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6.bin" ContentType="image/jpeg"/>
  <Override PartName="/word/media/image7.bin"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812" w:rsidRPr="003A7DA4" w:rsidRDefault="00A126A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3A7DA4">
        <w:rPr>
          <w:rFonts w:ascii="Times New Roman" w:hAnsi="Times New Roman" w:cs="Times New Roman"/>
          <w:sz w:val="28"/>
          <w:szCs w:val="24"/>
        </w:rPr>
        <w:t xml:space="preserve"> </w:t>
      </w:r>
    </w:p>
    <w:p w:rsidR="007E5812" w:rsidRPr="003A7DA4" w:rsidRDefault="007E5812">
      <w:pPr>
        <w:widowControl w:val="0"/>
        <w:autoSpaceDE w:val="0"/>
        <w:autoSpaceDN w:val="0"/>
        <w:adjustRightInd w:val="0"/>
        <w:spacing w:after="0" w:line="240" w:lineRule="auto"/>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center"/>
        <w:rPr>
          <w:rFonts w:ascii="Times New Roman" w:hAnsi="Times New Roman" w:cs="Times New Roman"/>
          <w:b/>
          <w:bCs/>
          <w:sz w:val="28"/>
          <w:szCs w:val="28"/>
        </w:rPr>
      </w:pPr>
      <w:r w:rsidRPr="003A7DA4">
        <w:rPr>
          <w:rFonts w:ascii="Times New Roman" w:hAnsi="Times New Roman" w:cs="Times New Roman"/>
          <w:b/>
          <w:bCs/>
          <w:sz w:val="28"/>
          <w:szCs w:val="28"/>
        </w:rPr>
        <w:t xml:space="preserve">TEMAS-SUBTEMAS </w:t>
      </w:r>
    </w:p>
    <w:p w:rsidR="007E5812" w:rsidRPr="003A7DA4" w:rsidRDefault="007E5812">
      <w:pPr>
        <w:widowControl w:val="0"/>
        <w:autoSpaceDE w:val="0"/>
        <w:autoSpaceDN w:val="0"/>
        <w:adjustRightInd w:val="0"/>
        <w:spacing w:after="0" w:line="240" w:lineRule="auto"/>
        <w:jc w:val="center"/>
        <w:rPr>
          <w:rFonts w:ascii="Times New Roman" w:hAnsi="Times New Roman" w:cs="Times New Roman"/>
          <w:b/>
          <w:bCs/>
          <w:sz w:val="28"/>
          <w:szCs w:val="28"/>
        </w:rPr>
      </w:pPr>
    </w:p>
    <w:p w:rsidR="007E5812" w:rsidRPr="003A7DA4" w:rsidRDefault="00A126AD">
      <w:pPr>
        <w:widowControl w:val="0"/>
        <w:autoSpaceDE w:val="0"/>
        <w:autoSpaceDN w:val="0"/>
        <w:adjustRightInd w:val="0"/>
        <w:spacing w:after="0" w:line="240" w:lineRule="auto"/>
        <w:jc w:val="center"/>
        <w:rPr>
          <w:rFonts w:ascii="Times New Roman" w:hAnsi="Times New Roman" w:cs="Times New Roman"/>
          <w:sz w:val="28"/>
          <w:szCs w:val="28"/>
        </w:rPr>
      </w:pPr>
      <w:r w:rsidRPr="003A7DA4">
        <w:rPr>
          <w:rFonts w:ascii="Times New Roman" w:hAnsi="Times New Roman" w:cs="Times New Roman"/>
          <w:b/>
          <w:bCs/>
          <w:sz w:val="28"/>
          <w:szCs w:val="28"/>
        </w:rPr>
        <w:t xml:space="preserve">Sentencia C-160/24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LEY APROBATORIA DEL CONVENIO ENTRE COLOMBIA Y COSTA RICA SOBRE ASISTENCIA JUDICIAL EN MATERIA PENAL</w:t>
      </w:r>
      <w:r w:rsidRPr="003A7DA4">
        <w:rPr>
          <w:rFonts w:ascii="Times New Roman" w:hAnsi="Times New Roman" w:cs="Times New Roman"/>
          <w:sz w:val="28"/>
          <w:szCs w:val="28"/>
        </w:rPr>
        <w:t>-Inexequibilidad por incumplimiento del análisis de impacto fiscal</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i/>
          <w:iCs/>
          <w:sz w:val="28"/>
          <w:szCs w:val="28"/>
        </w:rPr>
        <w:t>(...) la Sala observó que el artículo 10.5 del Convenio establece una exención tributaria consistente en que las devoluciones de objetos y documentos están “libres de impuestos”.  La Sala encontró que esta cláusula concedía un beneficio tributario. Sostuvo que, por la ambigüedad de la disposición, no era posible determinar el tipo de operaciones y beneficios a los que se refería, lo que daba cuenta de la necesidad de haberse realizado el estudio de impacto fiscal correspondiente en el trámite legislativo. Luego, constató que al presente tratado le era aplicable la regla de análisis de impacto fiscal, pues el proyecto de ley aprobatoria del tratado se radicó con posterioridad a la Sentencia C-170 de 2021 (30 de julio de 2021), esto es, el 1 de diciembre de 2021 (presupuesto temporal). Como en el presente caso se cumplían los presupuestos material y temporal para hacer exigible el análisis de impacto fiscal, de acuerdo con el artículo 7 de la Ley 819 de 2003, pero no se presentó el concepto correspondiente, la Corte encontró que se configuró un vicio insubsanable en el trámite de aprobación de la ley.</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TRATADOS INTERNACIONALES</w:t>
      </w:r>
      <w:r w:rsidRPr="003A7DA4">
        <w:rPr>
          <w:rFonts w:ascii="Times New Roman" w:hAnsi="Times New Roman" w:cs="Times New Roman"/>
          <w:sz w:val="28"/>
          <w:szCs w:val="28"/>
        </w:rPr>
        <w:t xml:space="preserve">-Control tripartito en su incorporación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CONTROL DE CONSTITUCIONALIDAD EN MATERIA DE TRATADOS Y LEYES APROBATORIAS DE TRATADOS</w:t>
      </w:r>
      <w:r w:rsidRPr="003A7DA4">
        <w:rPr>
          <w:rFonts w:ascii="Times New Roman" w:hAnsi="Times New Roman" w:cs="Times New Roman"/>
          <w:sz w:val="28"/>
          <w:szCs w:val="28"/>
        </w:rPr>
        <w:t xml:space="preserve">-Control formal y material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CONTROL FORMAL DE CONSTITUCIONALIDAD DE TRATADOS INTERNACIONALES Y LEYES APROBATORIAS DE TRATADOS</w:t>
      </w:r>
      <w:r w:rsidRPr="003A7DA4">
        <w:rPr>
          <w:rFonts w:ascii="Times New Roman" w:hAnsi="Times New Roman" w:cs="Times New Roman"/>
          <w:sz w:val="28"/>
          <w:szCs w:val="28"/>
        </w:rPr>
        <w:t xml:space="preserve">-Aspectos que comprende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CONTROL DE CONSTITUCIONALIDAD DE TRATADO INTERNACIONAL Y LEY APROBATORIA</w:t>
      </w:r>
      <w:r w:rsidRPr="003A7DA4">
        <w:rPr>
          <w:rFonts w:ascii="Times New Roman" w:hAnsi="Times New Roman" w:cs="Times New Roman"/>
          <w:sz w:val="28"/>
          <w:szCs w:val="28"/>
        </w:rPr>
        <w:t xml:space="preserve">-Negociación, celebración y aprobación ejecutiva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CONSULTA PREVIA DE COMUNIDADES Y GRUPOS ETNICOS</w:t>
      </w:r>
      <w:r w:rsidRPr="003A7DA4">
        <w:rPr>
          <w:rFonts w:ascii="Times New Roman" w:hAnsi="Times New Roman" w:cs="Times New Roman"/>
          <w:sz w:val="28"/>
          <w:szCs w:val="28"/>
        </w:rPr>
        <w:t xml:space="preserve">-No se requiere cuando la normatividad no dispone intervención específica a los pueblos o comunidades étnicas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ANÁLISIS DE IMPACTO FISCAL DE LAS NORMAS</w:t>
      </w:r>
      <w:r w:rsidRPr="003A7DA4">
        <w:rPr>
          <w:rFonts w:ascii="Times New Roman" w:hAnsi="Times New Roman" w:cs="Times New Roman"/>
          <w:sz w:val="28"/>
          <w:szCs w:val="28"/>
        </w:rPr>
        <w:t xml:space="preserve">-Contenido y alcance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ANÁLISIS DE IMPACTO FISCAL EN TRÁMITE LEGISLATIVO</w:t>
      </w:r>
      <w:r w:rsidRPr="003A7DA4">
        <w:rPr>
          <w:rFonts w:ascii="Times New Roman" w:hAnsi="Times New Roman" w:cs="Times New Roman"/>
          <w:sz w:val="28"/>
          <w:szCs w:val="28"/>
        </w:rPr>
        <w:t xml:space="preserve">-Reglas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3A7DA4">
        <w:rPr>
          <w:rFonts w:ascii="Times New Roman" w:hAnsi="Times New Roman" w:cs="Times New Roman"/>
          <w:sz w:val="28"/>
          <w:szCs w:val="28"/>
        </w:rPr>
        <w:t>-Exigibilidad</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i/>
          <w:iCs/>
          <w:sz w:val="28"/>
          <w:szCs w:val="28"/>
        </w:rPr>
        <w:t>La exigencia sobre el análisis de impacto fiscal respecto de leyes aprobatorias de tratados internacionales depende de que se acrediten dos presupuestos: de un lado, el factor temporal, según el cual el proyecto de ley aprobatoria del tratado internacional haya sido radicado con posterioridad al 30 de julio de 2021, fecha en la cual se notificó la Sentencia C-170 de 2021 y, del otro, el factor material, referido a que alguna de las disposiciones del tratado analizado contenga una orden de gasto o conceda un beneficio tributario.</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3A7DA4">
        <w:rPr>
          <w:rFonts w:ascii="Times New Roman" w:hAnsi="Times New Roman" w:cs="Times New Roman"/>
          <w:sz w:val="28"/>
          <w:szCs w:val="28"/>
        </w:rPr>
        <w:t xml:space="preserve">-Elemento gramatical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3A7DA4">
        <w:rPr>
          <w:rFonts w:ascii="Times New Roman" w:hAnsi="Times New Roman" w:cs="Times New Roman"/>
          <w:sz w:val="28"/>
          <w:szCs w:val="28"/>
        </w:rPr>
        <w:t xml:space="preserve">-Supuesto temporal </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3A7DA4">
        <w:rPr>
          <w:rFonts w:ascii="Times New Roman" w:hAnsi="Times New Roman" w:cs="Times New Roman"/>
          <w:sz w:val="28"/>
          <w:szCs w:val="28"/>
        </w:rPr>
        <w:t>-Incumplimiento constituye vicio insubsanable</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A126AD">
      <w:pPr>
        <w:widowControl w:val="0"/>
        <w:autoSpaceDE w:val="0"/>
        <w:autoSpaceDN w:val="0"/>
        <w:adjustRightInd w:val="0"/>
        <w:spacing w:after="0" w:line="240" w:lineRule="auto"/>
        <w:jc w:val="both"/>
        <w:rPr>
          <w:rFonts w:ascii="Times New Roman" w:hAnsi="Times New Roman" w:cs="Times New Roman"/>
          <w:sz w:val="28"/>
          <w:szCs w:val="28"/>
        </w:rPr>
      </w:pPr>
      <w:r w:rsidRPr="003A7DA4">
        <w:rPr>
          <w:rFonts w:ascii="Times New Roman" w:hAnsi="Times New Roman" w:cs="Times New Roman"/>
          <w:i/>
          <w:iCs/>
          <w:sz w:val="28"/>
          <w:szCs w:val="28"/>
        </w:rPr>
        <w:t>(...) la omisión del análisis del impacto fiscal en los proyectos de ley aprobatoria de tratados internacionales constituye un vicio de inconstitucionalidad de carácter insubsanable porque: (i) estos son de iniciativa gubernamental y en esas circunstancias, el examen del cumplimiento de tales cargas y responsabilidades en cabeza del Gobierno nacional es estricto; (ii) la exigencia del análisis es transversal al procedimiento en el Congreso de la República y por consiguiente, su omisión se proyecta frente a la totalidad del trámite legislativo; y (iii) tiene incidencia en el principio de publicidad en el trámite ante el Congreso de la República.</w:t>
      </w:r>
    </w:p>
    <w:p w:rsidR="007E5812" w:rsidRPr="003A7DA4" w:rsidRDefault="007E5812">
      <w:pPr>
        <w:widowControl w:val="0"/>
        <w:autoSpaceDE w:val="0"/>
        <w:autoSpaceDN w:val="0"/>
        <w:adjustRightInd w:val="0"/>
        <w:spacing w:after="0" w:line="240" w:lineRule="auto"/>
        <w:jc w:val="both"/>
        <w:rPr>
          <w:rFonts w:ascii="Times New Roman" w:hAnsi="Times New Roman" w:cs="Times New Roman"/>
          <w:sz w:val="28"/>
          <w:szCs w:val="28"/>
        </w:rPr>
      </w:pPr>
    </w:p>
    <w:p w:rsidR="007E5812" w:rsidRPr="003A7DA4" w:rsidRDefault="003A7DA4">
      <w:pPr>
        <w:widowControl w:val="0"/>
        <w:autoSpaceDE w:val="0"/>
        <w:autoSpaceDN w:val="0"/>
        <w:adjustRightInd w:val="0"/>
        <w:spacing w:after="0" w:line="240" w:lineRule="auto"/>
        <w:jc w:val="both"/>
        <w:rPr>
          <w:rFonts w:ascii="Times New Roman" w:hAnsi="Times New Roman" w:cs="Times New Roman"/>
          <w:sz w:val="28"/>
        </w:rPr>
      </w:pPr>
      <w:r w:rsidRPr="003A7DA4">
        <w:rPr>
          <w:rFonts w:ascii="Times New Roman" w:hAnsi="Times New Roman" w:cs="Times New Roman"/>
          <w:sz w:val="28"/>
          <w:szCs w:val="28"/>
        </w:rPr>
        <w:pict>
          <v:rect id="_x0000_i1025" style="width:0;height:1.5pt" o:hralign="center" o:hrstd="t" o:hr="t" fillcolor="#a0a0a0" stroked="f"/>
        </w:pict>
      </w:r>
    </w:p>
    <w:p w:rsidR="00EC4959" w:rsidRPr="003A7DA4" w:rsidRDefault="003A7DA4" w:rsidP="00EC4959">
      <w:pPr>
        <w:jc w:val="center"/>
        <w:rPr>
          <w:rFonts w:ascii="Times New Roman" w:hAnsi="Times New Roman" w:cs="Times New Roman"/>
          <w:b/>
          <w:color w:val="000000" w:themeColor="text1"/>
          <w:sz w:val="28"/>
          <w:szCs w:val="28"/>
        </w:rPr>
      </w:pPr>
      <w:r w:rsidRPr="003A7DA4">
        <w:rPr>
          <w:rFonts w:ascii="Times New Roman" w:hAnsi="Times New Roman" w:cs="Times New Roman"/>
          <w:b/>
          <w:color w:val="000000" w:themeColor="text1"/>
          <w:sz w:val="28"/>
          <w:szCs w:val="28"/>
        </w:rPr>
        <w:t>REPÚBLICA DE COLOMBIA</w:t>
      </w:r>
    </w:p>
    <w:p w:rsidR="00EC4959" w:rsidRPr="003A7DA4" w:rsidRDefault="003A7DA4" w:rsidP="00EC4959">
      <w:pPr>
        <w:jc w:val="center"/>
        <w:rPr>
          <w:rFonts w:ascii="Times New Roman" w:hAnsi="Times New Roman" w:cs="Times New Roman"/>
          <w:b/>
          <w:color w:val="000000" w:themeColor="text1"/>
          <w:sz w:val="28"/>
          <w:szCs w:val="28"/>
        </w:rPr>
      </w:pPr>
      <w:r w:rsidRPr="003A7DA4">
        <w:rPr>
          <w:rFonts w:ascii="Times New Roman" w:hAnsi="Times New Roman" w:cs="Times New Roman"/>
          <w:noProof/>
          <w:color w:val="000000" w:themeColor="text1"/>
          <w:sz w:val="28"/>
          <w:szCs w:val="28"/>
        </w:rPr>
        <w:drawing>
          <wp:inline distT="0" distB="0" distL="0" distR="0" wp14:anchorId="1411DD4D" wp14:editId="0C63851A">
            <wp:extent cx="792000" cy="792000"/>
            <wp:effectExtent l="0" t="0" r="8255" b="8255"/>
            <wp:docPr id="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792000" cy="792000"/>
                    </a:xfrm>
                    <a:prstGeom prst="rect">
                      <a:avLst/>
                    </a:prstGeom>
                  </pic:spPr>
                </pic:pic>
              </a:graphicData>
            </a:graphic>
          </wp:inline>
        </w:drawing>
      </w:r>
    </w:p>
    <w:p w:rsidR="00EC4959" w:rsidRPr="003A7DA4" w:rsidRDefault="003A7DA4" w:rsidP="00EC4959">
      <w:pPr>
        <w:jc w:val="center"/>
        <w:rPr>
          <w:rFonts w:ascii="Times New Roman" w:hAnsi="Times New Roman" w:cs="Times New Roman"/>
          <w:b/>
          <w:color w:val="000000" w:themeColor="text1"/>
          <w:sz w:val="28"/>
          <w:szCs w:val="28"/>
        </w:rPr>
      </w:pPr>
      <w:r w:rsidRPr="003A7DA4">
        <w:rPr>
          <w:rFonts w:ascii="Times New Roman" w:hAnsi="Times New Roman" w:cs="Times New Roman"/>
          <w:b/>
          <w:color w:val="000000" w:themeColor="text1"/>
          <w:sz w:val="28"/>
          <w:szCs w:val="28"/>
        </w:rPr>
        <w:t>CORTE CONSTITUCIONAL</w:t>
      </w:r>
    </w:p>
    <w:p w:rsidR="00EC4959" w:rsidRPr="003A7DA4" w:rsidRDefault="003A7DA4" w:rsidP="00EC4959">
      <w:pPr>
        <w:jc w:val="center"/>
        <w:rPr>
          <w:rFonts w:ascii="Times New Roman" w:hAnsi="Times New Roman" w:cs="Times New Roman"/>
          <w:b/>
          <w:color w:val="000000" w:themeColor="text1"/>
          <w:sz w:val="28"/>
          <w:szCs w:val="28"/>
        </w:rPr>
      </w:pPr>
      <w:r w:rsidRPr="003A7DA4">
        <w:rPr>
          <w:rFonts w:ascii="Times New Roman" w:hAnsi="Times New Roman" w:cs="Times New Roman"/>
          <w:b/>
          <w:color w:val="000000" w:themeColor="text1"/>
          <w:sz w:val="28"/>
          <w:szCs w:val="28"/>
        </w:rPr>
        <w:t>-</w:t>
      </w:r>
      <w:r w:rsidRPr="003A7DA4">
        <w:rPr>
          <w:rFonts w:ascii="Times New Roman" w:hAnsi="Times New Roman" w:cs="Times New Roman"/>
          <w:b/>
          <w:color w:val="000000" w:themeColor="text1"/>
          <w:sz w:val="28"/>
          <w:szCs w:val="28"/>
        </w:rPr>
        <w:t>Sala Plena</w:t>
      </w:r>
      <w:r w:rsidRPr="003A7DA4">
        <w:rPr>
          <w:rFonts w:ascii="Times New Roman" w:hAnsi="Times New Roman" w:cs="Times New Roman"/>
          <w:b/>
          <w:color w:val="000000" w:themeColor="text1"/>
          <w:sz w:val="28"/>
          <w:szCs w:val="28"/>
        </w:rPr>
        <w:t>-</w:t>
      </w:r>
    </w:p>
    <w:p w:rsidR="00EC4959" w:rsidRPr="003A7DA4" w:rsidRDefault="003A7DA4" w:rsidP="00EC4959">
      <w:pPr>
        <w:pStyle w:val="Sinespaciado"/>
        <w:jc w:val="both"/>
        <w:rPr>
          <w:rFonts w:ascii="Times New Roman" w:hAnsi="Times New Roman" w:cs="Times New Roman"/>
          <w:color w:val="000000" w:themeColor="text1"/>
          <w:sz w:val="28"/>
          <w:szCs w:val="28"/>
        </w:rPr>
      </w:pPr>
    </w:p>
    <w:p w:rsidR="00EC4959" w:rsidRPr="003A7DA4" w:rsidRDefault="003A7DA4" w:rsidP="00EC4959">
      <w:pPr>
        <w:pStyle w:val="Ttulo3"/>
        <w:spacing w:before="0" w:line="240" w:lineRule="auto"/>
        <w:jc w:val="center"/>
        <w:rPr>
          <w:rFonts w:ascii="Times New Roman" w:hAnsi="Times New Roman" w:cs="Times New Roman"/>
          <w:b/>
          <w:bCs/>
          <w:color w:val="000000" w:themeColor="text1"/>
          <w:sz w:val="28"/>
          <w:szCs w:val="28"/>
          <w:lang w:val="es-ES_tradnl"/>
        </w:rPr>
      </w:pPr>
      <w:r w:rsidRPr="003A7DA4">
        <w:rPr>
          <w:rFonts w:ascii="Times New Roman" w:hAnsi="Times New Roman" w:cs="Times New Roman"/>
          <w:b/>
          <w:bCs/>
          <w:color w:val="000000" w:themeColor="text1"/>
          <w:sz w:val="28"/>
          <w:szCs w:val="28"/>
          <w:lang w:val="es-ES_tradnl"/>
        </w:rPr>
        <w:t xml:space="preserve">SENTENCIA </w:t>
      </w:r>
      <w:r w:rsidRPr="003A7DA4">
        <w:rPr>
          <w:rFonts w:ascii="Times New Roman" w:hAnsi="Times New Roman" w:cs="Times New Roman"/>
          <w:b/>
          <w:bCs/>
          <w:color w:val="000000" w:themeColor="text1"/>
          <w:sz w:val="28"/>
          <w:szCs w:val="28"/>
          <w:lang w:val="es-ES_tradnl"/>
        </w:rPr>
        <w:t>C-160</w:t>
      </w:r>
      <w:r w:rsidRPr="003A7DA4">
        <w:rPr>
          <w:rFonts w:ascii="Times New Roman" w:hAnsi="Times New Roman" w:cs="Times New Roman"/>
          <w:b/>
          <w:bCs/>
          <w:color w:val="000000" w:themeColor="text1"/>
          <w:sz w:val="28"/>
          <w:szCs w:val="28"/>
          <w:lang w:val="es-ES_tradnl"/>
        </w:rPr>
        <w:t xml:space="preserve"> de 2024</w:t>
      </w:r>
    </w:p>
    <w:p w:rsidR="00EC4959" w:rsidRPr="003A7DA4" w:rsidRDefault="003A7DA4" w:rsidP="00EC4959">
      <w:pPr>
        <w:rPr>
          <w:rFonts w:ascii="Times New Roman" w:hAnsi="Times New Roman" w:cs="Times New Roman"/>
          <w:b/>
          <w:color w:val="000000" w:themeColor="text1"/>
          <w:sz w:val="28"/>
          <w:szCs w:val="28"/>
          <w:lang w:val="es-ES_tradnl"/>
        </w:rPr>
      </w:pPr>
    </w:p>
    <w:p w:rsidR="00EC4959" w:rsidRPr="003A7DA4" w:rsidRDefault="003A7DA4" w:rsidP="00EC4959">
      <w:pPr>
        <w:ind w:left="3402"/>
        <w:rPr>
          <w:rFonts w:ascii="Times New Roman" w:hAnsi="Times New Roman" w:cs="Times New Roman"/>
          <w:bCs/>
          <w:color w:val="000000" w:themeColor="text1"/>
          <w:sz w:val="28"/>
          <w:szCs w:val="28"/>
          <w:lang w:val="es-ES_tradnl"/>
        </w:rPr>
      </w:pPr>
      <w:r w:rsidRPr="003A7DA4">
        <w:rPr>
          <w:rFonts w:ascii="Times New Roman" w:hAnsi="Times New Roman" w:cs="Times New Roman"/>
          <w:b/>
          <w:color w:val="000000" w:themeColor="text1"/>
          <w:sz w:val="28"/>
          <w:szCs w:val="28"/>
          <w:lang w:val="es-ES_tradnl"/>
        </w:rPr>
        <w:t>Referencia:</w:t>
      </w:r>
      <w:r w:rsidRPr="003A7DA4">
        <w:rPr>
          <w:rFonts w:ascii="Times New Roman" w:hAnsi="Times New Roman" w:cs="Times New Roman"/>
          <w:bCs/>
          <w:color w:val="000000" w:themeColor="text1"/>
          <w:sz w:val="28"/>
          <w:szCs w:val="28"/>
          <w:lang w:val="es-ES_tradnl"/>
        </w:rPr>
        <w:t xml:space="preserve"> expediente LAT-489</w:t>
      </w:r>
    </w:p>
    <w:p w:rsidR="00EC4959" w:rsidRPr="003A7DA4" w:rsidRDefault="003A7DA4" w:rsidP="00EC4959">
      <w:pPr>
        <w:ind w:left="3402"/>
        <w:jc w:val="both"/>
        <w:rPr>
          <w:rFonts w:ascii="Times New Roman" w:hAnsi="Times New Roman" w:cs="Times New Roman"/>
          <w:bCs/>
          <w:color w:val="000000" w:themeColor="text1"/>
          <w:sz w:val="28"/>
          <w:szCs w:val="28"/>
          <w:lang w:val="es-ES_tradnl"/>
        </w:rPr>
      </w:pPr>
    </w:p>
    <w:p w:rsidR="00EC4959" w:rsidRPr="003A7DA4" w:rsidRDefault="003A7DA4" w:rsidP="00EC4959">
      <w:pPr>
        <w:ind w:left="3402"/>
        <w:jc w:val="both"/>
        <w:rPr>
          <w:rFonts w:ascii="Times New Roman" w:hAnsi="Times New Roman" w:cs="Times New Roman"/>
          <w:bCs/>
          <w:color w:val="000000" w:themeColor="text1"/>
          <w:sz w:val="28"/>
          <w:szCs w:val="28"/>
          <w:lang w:val="es-ES_tradnl"/>
        </w:rPr>
      </w:pPr>
      <w:bookmarkStart w:id="1" w:name="_Hlk66440980"/>
      <w:r w:rsidRPr="003A7DA4">
        <w:rPr>
          <w:rFonts w:ascii="Times New Roman" w:hAnsi="Times New Roman" w:cs="Times New Roman"/>
          <w:bCs/>
          <w:color w:val="000000" w:themeColor="text1"/>
          <w:sz w:val="28"/>
          <w:szCs w:val="28"/>
          <w:lang w:val="es-ES_tradnl"/>
        </w:rPr>
        <w:t xml:space="preserve">Revisión de constitucionalidad </w:t>
      </w:r>
      <w:bookmarkEnd w:id="1"/>
      <w:r w:rsidRPr="003A7DA4">
        <w:rPr>
          <w:rFonts w:ascii="Times New Roman" w:hAnsi="Times New Roman" w:cs="Times New Roman"/>
          <w:bCs/>
          <w:color w:val="000000" w:themeColor="text1"/>
          <w:sz w:val="28"/>
          <w:szCs w:val="28"/>
          <w:lang w:val="es-ES_tradnl"/>
        </w:rPr>
        <w:t xml:space="preserve">del </w:t>
      </w:r>
      <w:r w:rsidRPr="003A7DA4">
        <w:rPr>
          <w:rFonts w:ascii="Times New Roman" w:hAnsi="Times New Roman" w:cs="Times New Roman"/>
          <w:bCs/>
          <w:color w:val="000000" w:themeColor="text1"/>
          <w:sz w:val="28"/>
          <w:szCs w:val="28"/>
        </w:rPr>
        <w:t xml:space="preserve">Convenio entre la </w:t>
      </w:r>
      <w:r w:rsidRPr="003A7DA4">
        <w:rPr>
          <w:rFonts w:ascii="Times New Roman" w:hAnsi="Times New Roman" w:cs="Times New Roman"/>
          <w:bCs/>
          <w:color w:val="000000" w:themeColor="text1"/>
          <w:sz w:val="28"/>
          <w:szCs w:val="28"/>
        </w:rPr>
        <w:t>República de Colombia y la República de Costa Rica sobre asistencia judicial en materia penal</w:t>
      </w:r>
      <w:r w:rsidRPr="003A7DA4">
        <w:rPr>
          <w:rFonts w:ascii="Times New Roman" w:hAnsi="Times New Roman" w:cs="Times New Roman"/>
          <w:color w:val="000000" w:themeColor="text1"/>
          <w:sz w:val="28"/>
          <w:szCs w:val="28"/>
        </w:rPr>
        <w:t xml:space="preserve"> y</w:t>
      </w:r>
      <w:r w:rsidRPr="003A7DA4">
        <w:rPr>
          <w:rFonts w:ascii="Times New Roman" w:hAnsi="Times New Roman" w:cs="Times New Roman"/>
          <w:bCs/>
          <w:color w:val="000000" w:themeColor="text1"/>
          <w:sz w:val="28"/>
          <w:szCs w:val="28"/>
          <w:lang w:val="es-ES_tradnl" w:eastAsia="es-ES"/>
        </w:rPr>
        <w:t xml:space="preserve"> de su</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bCs/>
          <w:color w:val="000000" w:themeColor="text1"/>
          <w:sz w:val="28"/>
          <w:szCs w:val="28"/>
        </w:rPr>
        <w:t>Ley Aprobatoria 2288 de 2023</w:t>
      </w:r>
    </w:p>
    <w:p w:rsidR="00EC4959" w:rsidRPr="003A7DA4" w:rsidRDefault="003A7DA4" w:rsidP="00EC4959">
      <w:pPr>
        <w:ind w:left="3402"/>
        <w:rPr>
          <w:rFonts w:ascii="Times New Roman" w:hAnsi="Times New Roman" w:cs="Times New Roman"/>
          <w:bCs/>
          <w:color w:val="000000" w:themeColor="text1"/>
          <w:sz w:val="28"/>
          <w:szCs w:val="28"/>
          <w:lang w:val="es-ES_tradnl"/>
        </w:rPr>
      </w:pPr>
    </w:p>
    <w:p w:rsidR="00EC4959" w:rsidRPr="003A7DA4" w:rsidRDefault="003A7DA4" w:rsidP="00EC4959">
      <w:pPr>
        <w:ind w:left="3402"/>
        <w:rPr>
          <w:rFonts w:ascii="Times New Roman" w:hAnsi="Times New Roman" w:cs="Times New Roman"/>
          <w:b/>
          <w:color w:val="000000" w:themeColor="text1"/>
          <w:sz w:val="28"/>
          <w:szCs w:val="28"/>
          <w:lang w:val="es-ES_tradnl"/>
        </w:rPr>
      </w:pPr>
      <w:r w:rsidRPr="003A7DA4">
        <w:rPr>
          <w:rFonts w:ascii="Times New Roman" w:hAnsi="Times New Roman" w:cs="Times New Roman"/>
          <w:b/>
          <w:color w:val="000000" w:themeColor="text1"/>
          <w:sz w:val="28"/>
          <w:szCs w:val="28"/>
          <w:lang w:val="es-ES_tradnl"/>
        </w:rPr>
        <w:t xml:space="preserve">Magistrado Sustanciador: </w:t>
      </w:r>
    </w:p>
    <w:p w:rsidR="00EC4959" w:rsidRPr="003A7DA4" w:rsidRDefault="003A7DA4" w:rsidP="00EC4959">
      <w:pPr>
        <w:ind w:left="3402"/>
        <w:rPr>
          <w:rFonts w:ascii="Times New Roman" w:hAnsi="Times New Roman" w:cs="Times New Roman"/>
          <w:bCs/>
          <w:color w:val="000000" w:themeColor="text1"/>
          <w:sz w:val="28"/>
          <w:szCs w:val="28"/>
          <w:lang w:val="es-ES_tradnl"/>
        </w:rPr>
      </w:pPr>
      <w:r w:rsidRPr="003A7DA4">
        <w:rPr>
          <w:rFonts w:ascii="Times New Roman" w:hAnsi="Times New Roman" w:cs="Times New Roman"/>
          <w:bCs/>
          <w:color w:val="000000" w:themeColor="text1"/>
          <w:sz w:val="28"/>
          <w:szCs w:val="28"/>
          <w:lang w:val="es-ES_tradnl"/>
        </w:rPr>
        <w:t xml:space="preserve">Juan Carlos Cortés González </w:t>
      </w:r>
    </w:p>
    <w:p w:rsidR="00EC4959" w:rsidRPr="003A7DA4" w:rsidRDefault="003A7DA4" w:rsidP="00EC4959">
      <w:pPr>
        <w:jc w:val="both"/>
        <w:rPr>
          <w:rFonts w:ascii="Times New Roman" w:hAnsi="Times New Roman" w:cs="Times New Roman"/>
          <w:color w:val="000000" w:themeColor="text1"/>
          <w:sz w:val="28"/>
          <w:szCs w:val="28"/>
          <w:lang w:val="es-ES_tradnl" w:eastAsia="es-ES"/>
        </w:rPr>
      </w:pPr>
    </w:p>
    <w:p w:rsidR="00EC4959" w:rsidRPr="003A7DA4" w:rsidRDefault="003A7DA4" w:rsidP="00EC4959">
      <w:pPr>
        <w:rPr>
          <w:rFonts w:ascii="Times New Roman" w:hAnsi="Times New Roman" w:cs="Times New Roman"/>
          <w:b/>
          <w:color w:val="000000" w:themeColor="text1"/>
          <w:sz w:val="28"/>
          <w:szCs w:val="28"/>
        </w:rPr>
      </w:pPr>
      <w:r w:rsidRPr="003A7DA4">
        <w:rPr>
          <w:rFonts w:ascii="Times New Roman" w:hAnsi="Times New Roman" w:cs="Times New Roman"/>
          <w:b/>
          <w:color w:val="000000" w:themeColor="text1"/>
          <w:sz w:val="28"/>
          <w:szCs w:val="28"/>
        </w:rPr>
        <w:t>SÍNTESIS DE LA DECISIÓN</w:t>
      </w:r>
      <w:r w:rsidRPr="003A7DA4">
        <w:rPr>
          <w:rStyle w:val="Refdenotaalpie"/>
          <w:rFonts w:ascii="Times New Roman" w:eastAsia="Calibri" w:hAnsi="Times New Roman" w:cs="Times New Roman"/>
          <w:b/>
          <w:color w:val="000000" w:themeColor="text1"/>
          <w:sz w:val="28"/>
          <w:szCs w:val="28"/>
        </w:rPr>
        <w:footnoteReference w:id="1"/>
      </w:r>
    </w:p>
    <w:p w:rsidR="00EC4959" w:rsidRPr="003A7DA4" w:rsidRDefault="003A7DA4" w:rsidP="00EC4959">
      <w:pPr>
        <w:tabs>
          <w:tab w:val="left" w:pos="567"/>
        </w:tabs>
        <w:ind w:right="49"/>
        <w:contextualSpacing/>
        <w:jc w:val="both"/>
        <w:rPr>
          <w:rFonts w:ascii="Times New Roman" w:hAnsi="Times New Roman" w:cs="Times New Roman"/>
          <w:b/>
          <w:bCs/>
          <w:color w:val="000000" w:themeColor="text1"/>
          <w:sz w:val="28"/>
          <w:szCs w:val="28"/>
        </w:rPr>
      </w:pPr>
    </w:p>
    <w:tbl>
      <w:tblPr>
        <w:tblStyle w:val="Tablaconcuadrcula"/>
        <w:tblW w:w="0" w:type="auto"/>
        <w:tblLook w:val="04A0" w:firstRow="1" w:lastRow="0" w:firstColumn="1" w:lastColumn="0" w:noHBand="0" w:noVBand="1"/>
      </w:tblPr>
      <w:tblGrid>
        <w:gridCol w:w="1838"/>
        <w:gridCol w:w="6990"/>
      </w:tblGrid>
      <w:tr w:rsidR="00EC4959" w:rsidRPr="003A7DA4" w:rsidTr="002C5333">
        <w:tc>
          <w:tcPr>
            <w:tcW w:w="1838" w:type="dxa"/>
            <w:shd w:val="clear" w:color="auto" w:fill="AEAAAA" w:themeFill="background2" w:themeFillShade="BF"/>
            <w:vAlign w:val="center"/>
          </w:tcPr>
          <w:p w:rsidR="00EC4959" w:rsidRPr="003A7DA4" w:rsidRDefault="003A7DA4" w:rsidP="002C5333">
            <w:pPr>
              <w:tabs>
                <w:tab w:val="left" w:pos="567"/>
              </w:tabs>
              <w:ind w:right="49"/>
              <w:contextualSpacing/>
              <w:jc w:val="center"/>
              <w:rPr>
                <w:rFonts w:ascii="Times New Roman" w:hAnsi="Times New Roman"/>
                <w:b/>
                <w:bCs/>
                <w:color w:val="000000" w:themeColor="text1"/>
                <w:sz w:val="28"/>
                <w:szCs w:val="28"/>
                <w:lang w:eastAsia="es-ES"/>
              </w:rPr>
            </w:pPr>
            <w:r w:rsidRPr="003A7DA4">
              <w:rPr>
                <w:rFonts w:ascii="Times New Roman" w:hAnsi="Times New Roman"/>
                <w:b/>
                <w:bCs/>
                <w:color w:val="000000" w:themeColor="text1"/>
                <w:sz w:val="28"/>
                <w:szCs w:val="28"/>
                <w:lang w:eastAsia="es-ES"/>
              </w:rPr>
              <w:t>¿Qué estudió la Corte?</w:t>
            </w:r>
          </w:p>
        </w:tc>
        <w:tc>
          <w:tcPr>
            <w:tcW w:w="6992" w:type="dxa"/>
            <w:vAlign w:val="center"/>
          </w:tcPr>
          <w:p w:rsidR="00EC4959" w:rsidRPr="003A7DA4" w:rsidRDefault="003A7DA4" w:rsidP="002C5333">
            <w:pPr>
              <w:tabs>
                <w:tab w:val="left" w:pos="567"/>
              </w:tabs>
              <w:ind w:right="49"/>
              <w:contextualSpacing/>
              <w:jc w:val="both"/>
              <w:rPr>
                <w:rFonts w:ascii="Times New Roman" w:hAnsi="Times New Roman"/>
                <w:color w:val="000000" w:themeColor="text1"/>
                <w:sz w:val="28"/>
                <w:szCs w:val="24"/>
                <w:lang w:eastAsia="es-ES"/>
              </w:rPr>
            </w:pPr>
            <w:r w:rsidRPr="003A7DA4">
              <w:rPr>
                <w:rFonts w:ascii="Times New Roman" w:hAnsi="Times New Roman"/>
                <w:color w:val="000000" w:themeColor="text1"/>
                <w:sz w:val="28"/>
                <w:szCs w:val="24"/>
                <w:lang w:eastAsia="es-ES"/>
              </w:rPr>
              <w:t xml:space="preserve">La Corte </w:t>
            </w:r>
            <w:r w:rsidRPr="003A7DA4">
              <w:rPr>
                <w:rFonts w:ascii="Times New Roman" w:hAnsi="Times New Roman"/>
                <w:color w:val="000000" w:themeColor="text1"/>
                <w:sz w:val="28"/>
                <w:szCs w:val="24"/>
                <w:lang w:eastAsia="es-ES"/>
              </w:rPr>
              <w:t>Constitucional abordó la revisión oficiosa de constitucionalidad de la Ley 2288 de 2023</w:t>
            </w:r>
            <w:r w:rsidRPr="003A7DA4">
              <w:rPr>
                <w:rFonts w:ascii="Times New Roman" w:hAnsi="Times New Roman"/>
                <w:color w:val="000000" w:themeColor="text1"/>
                <w:sz w:val="28"/>
                <w:szCs w:val="24"/>
                <w:lang w:val="es-ES_tradnl" w:eastAsia="es-ES"/>
              </w:rPr>
              <w:t xml:space="preserve"> y del Convenio relativo a la </w:t>
            </w:r>
            <w:r w:rsidRPr="003A7DA4">
              <w:rPr>
                <w:rFonts w:ascii="Times New Roman" w:hAnsi="Times New Roman"/>
                <w:bCs/>
                <w:color w:val="000000" w:themeColor="text1"/>
                <w:sz w:val="28"/>
                <w:szCs w:val="24"/>
              </w:rPr>
              <w:t>asistencia judicial en materia penal</w:t>
            </w:r>
            <w:r w:rsidRPr="003A7DA4">
              <w:rPr>
                <w:rFonts w:ascii="Times New Roman" w:hAnsi="Times New Roman"/>
                <w:color w:val="000000" w:themeColor="text1"/>
                <w:sz w:val="28"/>
                <w:szCs w:val="24"/>
                <w:lang w:val="es-ES_tradnl" w:eastAsia="es-ES"/>
              </w:rPr>
              <w:t xml:space="preserve"> entre Colombia y Costa Rica, suscrito </w:t>
            </w:r>
            <w:r w:rsidRPr="003A7DA4">
              <w:rPr>
                <w:rFonts w:ascii="Times New Roman" w:hAnsi="Times New Roman"/>
                <w:color w:val="000000" w:themeColor="text1"/>
                <w:sz w:val="28"/>
                <w:szCs w:val="24"/>
              </w:rPr>
              <w:t>en Washington, el 4 de junio de 2018.</w:t>
            </w:r>
          </w:p>
        </w:tc>
      </w:tr>
      <w:tr w:rsidR="00EC4959" w:rsidRPr="003A7DA4" w:rsidTr="002C5333">
        <w:tc>
          <w:tcPr>
            <w:tcW w:w="1838" w:type="dxa"/>
            <w:shd w:val="clear" w:color="auto" w:fill="AEAAAA" w:themeFill="background2" w:themeFillShade="BF"/>
            <w:vAlign w:val="center"/>
          </w:tcPr>
          <w:p w:rsidR="00EC4959" w:rsidRPr="003A7DA4" w:rsidRDefault="003A7DA4" w:rsidP="002C5333">
            <w:pPr>
              <w:tabs>
                <w:tab w:val="left" w:pos="567"/>
              </w:tabs>
              <w:ind w:right="49"/>
              <w:contextualSpacing/>
              <w:jc w:val="center"/>
              <w:rPr>
                <w:rFonts w:ascii="Times New Roman" w:hAnsi="Times New Roman"/>
                <w:b/>
                <w:bCs/>
                <w:color w:val="000000" w:themeColor="text1"/>
                <w:sz w:val="28"/>
                <w:szCs w:val="28"/>
                <w:lang w:eastAsia="es-ES"/>
              </w:rPr>
            </w:pPr>
            <w:r w:rsidRPr="003A7DA4">
              <w:rPr>
                <w:rFonts w:ascii="Times New Roman" w:hAnsi="Times New Roman"/>
                <w:b/>
                <w:bCs/>
                <w:color w:val="000000" w:themeColor="text1"/>
                <w:sz w:val="28"/>
                <w:szCs w:val="28"/>
                <w:lang w:eastAsia="es-ES"/>
              </w:rPr>
              <w:t>¿Qué consideró la Corte?</w:t>
            </w:r>
          </w:p>
        </w:tc>
        <w:tc>
          <w:tcPr>
            <w:tcW w:w="6992" w:type="dxa"/>
            <w:vAlign w:val="center"/>
          </w:tcPr>
          <w:p w:rsidR="003F0CBB" w:rsidRPr="003A7DA4" w:rsidRDefault="003A7DA4" w:rsidP="002C5333">
            <w:pPr>
              <w:tabs>
                <w:tab w:val="left" w:pos="567"/>
              </w:tabs>
              <w:ind w:right="49"/>
              <w:contextualSpacing/>
              <w:jc w:val="both"/>
              <w:rPr>
                <w:rFonts w:ascii="Times New Roman" w:hAnsi="Times New Roman"/>
                <w:color w:val="000000" w:themeColor="text1"/>
                <w:sz w:val="28"/>
                <w:szCs w:val="24"/>
                <w:lang w:eastAsia="es-ES"/>
              </w:rPr>
            </w:pPr>
            <w:r w:rsidRPr="003A7DA4">
              <w:rPr>
                <w:rFonts w:ascii="Times New Roman" w:hAnsi="Times New Roman"/>
                <w:color w:val="000000" w:themeColor="text1"/>
                <w:sz w:val="28"/>
                <w:szCs w:val="24"/>
                <w:lang w:eastAsia="es-ES"/>
              </w:rPr>
              <w:t xml:space="preserve">La Corte Constitucional constató que el Estado colombiano estuvo debidamente representado en la negociación y suscripción del instrumento, pues la entonces </w:t>
            </w:r>
            <w:r w:rsidRPr="003A7DA4">
              <w:rPr>
                <w:rFonts w:ascii="Times New Roman" w:hAnsi="Times New Roman"/>
                <w:color w:val="000000" w:themeColor="text1"/>
                <w:sz w:val="28"/>
                <w:szCs w:val="24"/>
                <w:lang w:eastAsia="es-ES"/>
              </w:rPr>
              <w:t>m</w:t>
            </w:r>
            <w:r w:rsidRPr="003A7DA4">
              <w:rPr>
                <w:rFonts w:ascii="Times New Roman" w:hAnsi="Times New Roman"/>
                <w:color w:val="000000" w:themeColor="text1"/>
                <w:sz w:val="28"/>
                <w:szCs w:val="24"/>
                <w:lang w:eastAsia="es-ES"/>
              </w:rPr>
              <w:t xml:space="preserve">inistra suscribió el acuerdo y no necesitaba plenos poderes para el </w:t>
            </w:r>
            <w:r w:rsidRPr="003A7DA4">
              <w:rPr>
                <w:rFonts w:ascii="Times New Roman" w:hAnsi="Times New Roman"/>
                <w:color w:val="000000" w:themeColor="text1"/>
                <w:sz w:val="28"/>
                <w:szCs w:val="24"/>
                <w:lang w:eastAsia="es-ES"/>
              </w:rPr>
              <w:t>efecto.</w:t>
            </w:r>
          </w:p>
          <w:p w:rsidR="007F07A2" w:rsidRPr="003A7DA4" w:rsidRDefault="003A7DA4" w:rsidP="002C5333">
            <w:pPr>
              <w:tabs>
                <w:tab w:val="left" w:pos="567"/>
              </w:tabs>
              <w:ind w:right="49"/>
              <w:contextualSpacing/>
              <w:jc w:val="both"/>
              <w:rPr>
                <w:rFonts w:ascii="Times New Roman" w:hAnsi="Times New Roman"/>
                <w:color w:val="000000" w:themeColor="text1"/>
                <w:sz w:val="28"/>
                <w:szCs w:val="24"/>
                <w:lang w:val="es-ES_tradnl" w:eastAsia="es-ES"/>
              </w:rPr>
            </w:pPr>
          </w:p>
          <w:p w:rsidR="007F07A2" w:rsidRPr="003A7DA4" w:rsidRDefault="003A7DA4" w:rsidP="007F07A2">
            <w:pPr>
              <w:tabs>
                <w:tab w:val="left" w:pos="567"/>
              </w:tabs>
              <w:ind w:right="49"/>
              <w:contextualSpacing/>
              <w:jc w:val="both"/>
              <w:rPr>
                <w:rFonts w:ascii="Times New Roman" w:hAnsi="Times New Roman"/>
                <w:sz w:val="28"/>
                <w:szCs w:val="24"/>
              </w:rPr>
            </w:pPr>
            <w:r w:rsidRPr="003A7DA4">
              <w:rPr>
                <w:rFonts w:ascii="Times New Roman" w:hAnsi="Times New Roman"/>
                <w:color w:val="000000" w:themeColor="text1"/>
                <w:sz w:val="28"/>
                <w:szCs w:val="24"/>
              </w:rPr>
              <w:t xml:space="preserve">Igualmente abordó si el proyecto de ley requería consulta previa y concluyó </w:t>
            </w:r>
            <w:r w:rsidRPr="003A7DA4">
              <w:rPr>
                <w:rFonts w:ascii="Times New Roman" w:hAnsi="Times New Roman"/>
                <w:color w:val="000000" w:themeColor="text1"/>
                <w:sz w:val="28"/>
                <w:szCs w:val="24"/>
              </w:rPr>
              <w:t>que</w:t>
            </w:r>
            <w:r w:rsidRPr="003A7DA4">
              <w:rPr>
                <w:rFonts w:ascii="Times New Roman" w:hAnsi="Times New Roman"/>
                <w:sz w:val="28"/>
                <w:szCs w:val="24"/>
              </w:rPr>
              <w:t xml:space="preserve"> los instrumentos de cooperación judicial no contienen disposiciones que </w:t>
            </w:r>
            <w:r w:rsidRPr="003A7DA4">
              <w:rPr>
                <w:rFonts w:ascii="Times New Roman" w:hAnsi="Times New Roman"/>
                <w:i/>
                <w:iCs/>
                <w:sz w:val="28"/>
                <w:szCs w:val="24"/>
              </w:rPr>
              <w:t>afecten directamente</w:t>
            </w:r>
            <w:r w:rsidRPr="003A7DA4">
              <w:rPr>
                <w:rFonts w:ascii="Times New Roman" w:hAnsi="Times New Roman"/>
                <w:sz w:val="28"/>
                <w:szCs w:val="24"/>
              </w:rPr>
              <w:t xml:space="preserve"> el territorio o la identidad cultural de las comunidades titulares del derecho a la</w:t>
            </w:r>
            <w:r w:rsidRPr="003A7DA4">
              <w:rPr>
                <w:rFonts w:ascii="Times New Roman" w:hAnsi="Times New Roman"/>
                <w:sz w:val="28"/>
                <w:szCs w:val="24"/>
              </w:rPr>
              <w:t xml:space="preserve"> consulta previa y tampoco contienen medias diferenciadas. </w:t>
            </w:r>
          </w:p>
          <w:p w:rsidR="003F0CBB" w:rsidRPr="003A7DA4" w:rsidRDefault="003A7DA4" w:rsidP="002C5333">
            <w:pPr>
              <w:tabs>
                <w:tab w:val="left" w:pos="567"/>
              </w:tabs>
              <w:ind w:right="49"/>
              <w:contextualSpacing/>
              <w:jc w:val="both"/>
              <w:rPr>
                <w:rFonts w:ascii="Times New Roman" w:hAnsi="Times New Roman"/>
                <w:color w:val="000000" w:themeColor="text1"/>
                <w:sz w:val="28"/>
                <w:szCs w:val="24"/>
                <w:lang w:eastAsia="es-ES"/>
              </w:rPr>
            </w:pPr>
          </w:p>
          <w:p w:rsidR="003F0CBB" w:rsidRPr="003A7DA4" w:rsidRDefault="003A7DA4" w:rsidP="002C5333">
            <w:pPr>
              <w:tabs>
                <w:tab w:val="left" w:pos="567"/>
              </w:tabs>
              <w:ind w:right="49"/>
              <w:contextualSpacing/>
              <w:jc w:val="both"/>
              <w:rPr>
                <w:rFonts w:ascii="Times New Roman" w:hAnsi="Times New Roman"/>
                <w:color w:val="000000" w:themeColor="text1"/>
                <w:sz w:val="28"/>
                <w:szCs w:val="24"/>
                <w:lang w:val="es-ES_tradnl" w:eastAsia="es-ES"/>
              </w:rPr>
            </w:pPr>
            <w:r w:rsidRPr="003A7DA4">
              <w:rPr>
                <w:rFonts w:ascii="Times New Roman" w:hAnsi="Times New Roman"/>
                <w:color w:val="000000" w:themeColor="text1"/>
                <w:sz w:val="28"/>
                <w:szCs w:val="24"/>
                <w:lang w:eastAsia="es-ES"/>
              </w:rPr>
              <w:t xml:space="preserve">La Sala </w:t>
            </w:r>
            <w:r w:rsidRPr="003A7DA4">
              <w:rPr>
                <w:rFonts w:ascii="Times New Roman" w:hAnsi="Times New Roman"/>
                <w:color w:val="000000" w:themeColor="text1"/>
                <w:sz w:val="28"/>
                <w:szCs w:val="24"/>
                <w:lang w:val="es-ES_tradnl" w:eastAsia="es-ES"/>
              </w:rPr>
              <w:t xml:space="preserve">encontró que el entonces presidente de la República ordenó someter a consideración del Congreso de la República el tratado </w:t>
            </w:r>
            <w:r w:rsidRPr="003A7DA4">
              <w:rPr>
                <w:rFonts w:ascii="Times New Roman" w:hAnsi="Times New Roman"/>
                <w:color w:val="000000" w:themeColor="text1"/>
                <w:sz w:val="28"/>
                <w:szCs w:val="24"/>
              </w:rPr>
              <w:t>objeto de control, de acuerdo con el artículo 189.2 de la Consti</w:t>
            </w:r>
            <w:r w:rsidRPr="003A7DA4">
              <w:rPr>
                <w:rFonts w:ascii="Times New Roman" w:hAnsi="Times New Roman"/>
                <w:color w:val="000000" w:themeColor="text1"/>
                <w:sz w:val="28"/>
                <w:szCs w:val="24"/>
              </w:rPr>
              <w:t>tución. De igual manera, revisó que se hubiere cumplido con</w:t>
            </w:r>
            <w:r w:rsidRPr="003A7DA4">
              <w:rPr>
                <w:rFonts w:ascii="Times New Roman" w:hAnsi="Times New Roman"/>
                <w:color w:val="000000" w:themeColor="text1"/>
                <w:sz w:val="28"/>
                <w:szCs w:val="24"/>
                <w:lang w:val="es-ES_tradnl"/>
              </w:rPr>
              <w:t xml:space="preserve"> el trámite dispuesto para las leyes ordinarias</w:t>
            </w:r>
            <w:r w:rsidRPr="003A7DA4">
              <w:rPr>
                <w:rFonts w:ascii="Times New Roman" w:hAnsi="Times New Roman"/>
                <w:color w:val="000000" w:themeColor="text1"/>
                <w:sz w:val="28"/>
                <w:szCs w:val="24"/>
                <w:lang w:val="es-CO"/>
              </w:rPr>
              <w:t xml:space="preserve"> en </w:t>
            </w:r>
            <w:r w:rsidRPr="003A7DA4">
              <w:rPr>
                <w:rFonts w:ascii="Times New Roman" w:hAnsi="Times New Roman"/>
                <w:color w:val="000000" w:themeColor="text1"/>
                <w:sz w:val="28"/>
                <w:szCs w:val="24"/>
              </w:rPr>
              <w:t>el trámite legislativo.</w:t>
            </w:r>
          </w:p>
          <w:p w:rsidR="003F0CBB" w:rsidRPr="003A7DA4" w:rsidRDefault="003A7DA4" w:rsidP="002C5333">
            <w:pPr>
              <w:tabs>
                <w:tab w:val="left" w:pos="567"/>
              </w:tabs>
              <w:ind w:right="49"/>
              <w:contextualSpacing/>
              <w:jc w:val="both"/>
              <w:rPr>
                <w:rFonts w:ascii="Times New Roman" w:hAnsi="Times New Roman"/>
                <w:color w:val="000000" w:themeColor="text1"/>
                <w:sz w:val="28"/>
                <w:szCs w:val="24"/>
                <w:lang w:val="es-ES_tradnl" w:eastAsia="es-ES"/>
              </w:rPr>
            </w:pPr>
          </w:p>
          <w:p w:rsidR="001E69B7" w:rsidRPr="003A7DA4" w:rsidRDefault="003A7DA4" w:rsidP="002C5333">
            <w:pPr>
              <w:tabs>
                <w:tab w:val="left" w:pos="567"/>
              </w:tabs>
              <w:ind w:right="49"/>
              <w:contextualSpacing/>
              <w:jc w:val="both"/>
              <w:rPr>
                <w:rFonts w:ascii="Times New Roman" w:hAnsi="Times New Roman"/>
                <w:color w:val="000000" w:themeColor="text1"/>
                <w:sz w:val="28"/>
                <w:szCs w:val="24"/>
                <w:lang w:val="es-ES_tradnl" w:eastAsia="es-ES"/>
              </w:rPr>
            </w:pPr>
            <w:r w:rsidRPr="003A7DA4">
              <w:rPr>
                <w:rFonts w:ascii="Times New Roman" w:hAnsi="Times New Roman"/>
                <w:color w:val="000000" w:themeColor="text1"/>
                <w:sz w:val="28"/>
                <w:szCs w:val="24"/>
                <w:lang w:val="es-ES_tradnl" w:eastAsia="es-ES"/>
              </w:rPr>
              <w:t>Luego, la Corte estudió el trámite legislativo del proyecto de ley ante el Congreso de la República</w:t>
            </w:r>
            <w:r w:rsidRPr="003A7DA4">
              <w:rPr>
                <w:rFonts w:ascii="Times New Roman" w:hAnsi="Times New Roman"/>
                <w:color w:val="000000" w:themeColor="text1"/>
                <w:sz w:val="28"/>
                <w:szCs w:val="24"/>
                <w:lang w:val="es-ES_tradnl" w:eastAsia="es-ES"/>
              </w:rPr>
              <w:t xml:space="preserve"> y verificó las reglas de</w:t>
            </w:r>
            <w:r w:rsidRPr="003A7DA4">
              <w:rPr>
                <w:rFonts w:ascii="Times New Roman" w:hAnsi="Times New Roman"/>
                <w:color w:val="000000" w:themeColor="text1"/>
                <w:sz w:val="28"/>
                <w:szCs w:val="24"/>
                <w:lang w:val="es-ES_tradnl" w:eastAsia="es-ES"/>
              </w:rPr>
              <w:t xml:space="preserve"> publicación, deliberación y aprobación</w:t>
            </w:r>
            <w:r w:rsidRPr="003A7DA4">
              <w:rPr>
                <w:rFonts w:ascii="Times New Roman" w:hAnsi="Times New Roman"/>
                <w:color w:val="000000" w:themeColor="text1"/>
                <w:sz w:val="28"/>
                <w:szCs w:val="24"/>
                <w:lang w:val="es-ES_tradnl" w:eastAsia="es-ES"/>
              </w:rPr>
              <w:t xml:space="preserve"> de </w:t>
            </w:r>
            <w:r w:rsidRPr="003A7DA4">
              <w:rPr>
                <w:rFonts w:ascii="Times New Roman" w:hAnsi="Times New Roman"/>
                <w:color w:val="000000" w:themeColor="text1"/>
                <w:sz w:val="28"/>
                <w:szCs w:val="24"/>
                <w:lang w:val="es-ES_tradnl" w:eastAsia="es-ES"/>
              </w:rPr>
              <w:t>aquel</w:t>
            </w:r>
            <w:r w:rsidRPr="003A7DA4">
              <w:rPr>
                <w:rFonts w:ascii="Times New Roman" w:hAnsi="Times New Roman"/>
                <w:color w:val="000000" w:themeColor="text1"/>
                <w:sz w:val="28"/>
                <w:szCs w:val="24"/>
                <w:lang w:val="es-ES_tradnl" w:eastAsia="es-ES"/>
              </w:rPr>
              <w:t>,</w:t>
            </w:r>
            <w:r w:rsidRPr="003A7DA4">
              <w:rPr>
                <w:rFonts w:ascii="Times New Roman" w:hAnsi="Times New Roman"/>
                <w:color w:val="000000" w:themeColor="text1"/>
                <w:sz w:val="28"/>
                <w:szCs w:val="24"/>
                <w:lang w:val="es-ES_tradnl" w:eastAsia="es-ES"/>
              </w:rPr>
              <w:t xml:space="preserve"> así como </w:t>
            </w:r>
            <w:r w:rsidRPr="003A7DA4">
              <w:rPr>
                <w:rFonts w:ascii="Times New Roman" w:hAnsi="Times New Roman"/>
                <w:color w:val="000000" w:themeColor="text1"/>
                <w:sz w:val="28"/>
                <w:szCs w:val="24"/>
                <w:lang w:val="es-ES_tradnl" w:eastAsia="es-ES"/>
              </w:rPr>
              <w:t>el respeto por los principios de consecutividad e identidad flexible</w:t>
            </w:r>
            <w:r w:rsidRPr="003A7DA4">
              <w:rPr>
                <w:rFonts w:ascii="Times New Roman" w:hAnsi="Times New Roman"/>
                <w:color w:val="000000" w:themeColor="text1"/>
                <w:sz w:val="28"/>
                <w:szCs w:val="24"/>
                <w:lang w:val="es-ES_tradnl" w:eastAsia="es-ES"/>
              </w:rPr>
              <w:t>.</w:t>
            </w: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Sobre el impacto fiscal, la Corte reiteró su jurisprudencia relativa a que el análisis de impacto fis</w:t>
            </w:r>
            <w:r w:rsidRPr="003A7DA4">
              <w:rPr>
                <w:rFonts w:ascii="Times New Roman" w:hAnsi="Times New Roman"/>
                <w:color w:val="000000" w:themeColor="text1"/>
                <w:sz w:val="28"/>
                <w:szCs w:val="24"/>
              </w:rPr>
              <w:t xml:space="preserve">cal, ordenado por el artículo 76 de la Ley 819 de 2003, aplica a las leyes aprobatorias de tratados internacionales cuando estos ordenen gastos o establezcan beneficios tributarios. En el presente caso, la Sala encontró que el tratado objeto de aprobación </w:t>
            </w:r>
            <w:r w:rsidRPr="003A7DA4">
              <w:rPr>
                <w:rFonts w:ascii="Times New Roman" w:hAnsi="Times New Roman"/>
                <w:color w:val="000000" w:themeColor="text1"/>
                <w:sz w:val="28"/>
                <w:szCs w:val="24"/>
              </w:rPr>
              <w:t>contenía cláusulas que generaban gastos y establecían un beneficio tributario (presupuesto material).</w:t>
            </w: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Para verificar si era exigible el requisito, la Corte concluyó que el artículo 21 del Convenio no constituía una orden de gasto. Esto porque los allí señ</w:t>
            </w:r>
            <w:r w:rsidRPr="003A7DA4">
              <w:rPr>
                <w:rFonts w:ascii="Times New Roman" w:hAnsi="Times New Roman"/>
                <w:color w:val="000000" w:themeColor="text1"/>
                <w:sz w:val="28"/>
                <w:szCs w:val="24"/>
              </w:rPr>
              <w:t>alados no eran imperativos (presupuesto gramatical) y tampoco inmediatos (presupuesto funcional). Lo anterior, por cuanto: (i) el esquema de gastos se define por las partes; (ii) en ausencia de acuerdo, los gastos de la asistencia judicial no derivan de ma</w:t>
            </w:r>
            <w:r w:rsidRPr="003A7DA4">
              <w:rPr>
                <w:rFonts w:ascii="Times New Roman" w:hAnsi="Times New Roman"/>
                <w:color w:val="000000" w:themeColor="text1"/>
                <w:sz w:val="28"/>
                <w:szCs w:val="24"/>
              </w:rPr>
              <w:t xml:space="preserve">nera inmediata del tratado, sino que requieren una solicitud elevada por las partes y esta pueda ser denegada; y (iii) los gastos que se deriven de la ejecución de solicitudes se cubren con recursos de la </w:t>
            </w:r>
            <w:r w:rsidRPr="003A7DA4">
              <w:rPr>
                <w:rFonts w:ascii="Times New Roman" w:hAnsi="Times New Roman"/>
                <w:color w:val="000000" w:themeColor="text1"/>
                <w:sz w:val="28"/>
                <w:szCs w:val="24"/>
              </w:rPr>
              <w:t>fiscalía general</w:t>
            </w:r>
            <w:r w:rsidRPr="003A7DA4">
              <w:rPr>
                <w:rFonts w:ascii="Times New Roman" w:hAnsi="Times New Roman"/>
                <w:color w:val="000000" w:themeColor="text1"/>
                <w:sz w:val="28"/>
                <w:szCs w:val="24"/>
              </w:rPr>
              <w:t xml:space="preserve"> de la Nación –</w:t>
            </w:r>
            <w:r w:rsidRPr="003A7DA4">
              <w:rPr>
                <w:rFonts w:ascii="Times New Roman" w:hAnsi="Times New Roman"/>
                <w:color w:val="000000" w:themeColor="text1"/>
                <w:sz w:val="28"/>
                <w:szCs w:val="24"/>
              </w:rPr>
              <w:t>FGN</w:t>
            </w:r>
            <w:r w:rsidRPr="003A7DA4">
              <w:rPr>
                <w:rFonts w:ascii="Times New Roman" w:hAnsi="Times New Roman"/>
                <w:color w:val="000000" w:themeColor="text1"/>
                <w:sz w:val="28"/>
                <w:szCs w:val="24"/>
              </w:rPr>
              <w:t>–</w:t>
            </w:r>
            <w:r w:rsidRPr="003A7DA4">
              <w:rPr>
                <w:rFonts w:ascii="Times New Roman" w:hAnsi="Times New Roman"/>
                <w:color w:val="000000" w:themeColor="text1"/>
                <w:sz w:val="28"/>
                <w:szCs w:val="24"/>
              </w:rPr>
              <w:t xml:space="preserve"> o el Ministerio</w:t>
            </w:r>
            <w:r w:rsidRPr="003A7DA4">
              <w:rPr>
                <w:rFonts w:ascii="Times New Roman" w:hAnsi="Times New Roman"/>
                <w:color w:val="000000" w:themeColor="text1"/>
                <w:sz w:val="28"/>
                <w:szCs w:val="24"/>
              </w:rPr>
              <w:t xml:space="preserve"> de Justicia, previamente presupuestados. </w:t>
            </w: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No obstante, la Sala observó que el artículo 10.5 del Convenio establece una exención tributaria consistente en que las devoluciones de objetos y documentos están “libres de impuestos”.  La Sala encontró que esta</w:t>
            </w:r>
            <w:r w:rsidRPr="003A7DA4">
              <w:rPr>
                <w:rFonts w:ascii="Times New Roman" w:hAnsi="Times New Roman"/>
                <w:color w:val="000000" w:themeColor="text1"/>
                <w:sz w:val="28"/>
                <w:szCs w:val="24"/>
              </w:rPr>
              <w:t xml:space="preserve"> cláusula concedía un beneficio tributario. Sostuvo que</w:t>
            </w:r>
            <w:r w:rsidRPr="003A7DA4">
              <w:rPr>
                <w:rFonts w:ascii="Times New Roman" w:hAnsi="Times New Roman"/>
                <w:color w:val="000000" w:themeColor="text1"/>
                <w:sz w:val="28"/>
                <w:szCs w:val="24"/>
              </w:rPr>
              <w:t>,</w:t>
            </w:r>
            <w:r w:rsidRPr="003A7DA4">
              <w:rPr>
                <w:rFonts w:ascii="Times New Roman" w:hAnsi="Times New Roman"/>
                <w:color w:val="000000" w:themeColor="text1"/>
                <w:sz w:val="28"/>
                <w:szCs w:val="24"/>
              </w:rPr>
              <w:t xml:space="preserve"> por la ambigüedad de la disposición, no era posible determinar el tipo de operaciones y beneficios a los que se refería, lo que daba cuenta de la necesidad de haberse realizado el estudio de impacto </w:t>
            </w:r>
            <w:r w:rsidRPr="003A7DA4">
              <w:rPr>
                <w:rFonts w:ascii="Times New Roman" w:hAnsi="Times New Roman"/>
                <w:color w:val="000000" w:themeColor="text1"/>
                <w:sz w:val="28"/>
                <w:szCs w:val="24"/>
              </w:rPr>
              <w:t>fiscal correspondiente en el trámite legislativo.</w:t>
            </w: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p>
          <w:p w:rsidR="00EC4959" w:rsidRPr="003A7DA4" w:rsidRDefault="003A7DA4" w:rsidP="002C5333">
            <w:pPr>
              <w:tabs>
                <w:tab w:val="left" w:pos="567"/>
              </w:tabs>
              <w:ind w:right="49"/>
              <w:contextualSpacing/>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Luego, constató que al presente tratado le era aplicable la regla de análisis de impacto fiscal, pues el proyecto de ley aprobatoria del tratado se radicó con posterioridad a la Sentencia C-170 de 2021 (30</w:t>
            </w:r>
            <w:r w:rsidRPr="003A7DA4">
              <w:rPr>
                <w:rFonts w:ascii="Times New Roman" w:hAnsi="Times New Roman"/>
                <w:color w:val="000000" w:themeColor="text1"/>
                <w:sz w:val="28"/>
                <w:szCs w:val="24"/>
              </w:rPr>
              <w:t xml:space="preserve"> de julio de 2021), esto es, el 1 de diciembre de 2021 (presupuesto temporal).</w:t>
            </w:r>
          </w:p>
          <w:p w:rsidR="00EC4959" w:rsidRPr="003A7DA4" w:rsidRDefault="003A7DA4" w:rsidP="002C5333">
            <w:pPr>
              <w:tabs>
                <w:tab w:val="left" w:pos="567"/>
              </w:tabs>
              <w:ind w:right="49"/>
              <w:contextualSpacing/>
              <w:jc w:val="both"/>
              <w:rPr>
                <w:rFonts w:ascii="Times New Roman" w:hAnsi="Times New Roman"/>
                <w:color w:val="000000" w:themeColor="text1"/>
                <w:sz w:val="28"/>
                <w:szCs w:val="24"/>
                <w:shd w:val="clear" w:color="auto" w:fill="FFFFFF"/>
              </w:rPr>
            </w:pPr>
          </w:p>
          <w:p w:rsidR="00EC4959" w:rsidRPr="003A7DA4" w:rsidRDefault="003A7DA4" w:rsidP="002C5333">
            <w:pPr>
              <w:tabs>
                <w:tab w:val="left" w:pos="567"/>
              </w:tabs>
              <w:ind w:right="49"/>
              <w:contextualSpacing/>
              <w:jc w:val="both"/>
              <w:rPr>
                <w:rFonts w:ascii="Times New Roman" w:hAnsi="Times New Roman"/>
                <w:color w:val="000000" w:themeColor="text1"/>
                <w:sz w:val="28"/>
                <w:szCs w:val="24"/>
                <w:shd w:val="clear" w:color="auto" w:fill="FFFFFF"/>
              </w:rPr>
            </w:pPr>
            <w:r w:rsidRPr="003A7DA4">
              <w:rPr>
                <w:rFonts w:ascii="Times New Roman" w:hAnsi="Times New Roman"/>
                <w:color w:val="000000" w:themeColor="text1"/>
                <w:sz w:val="28"/>
                <w:szCs w:val="24"/>
                <w:shd w:val="clear" w:color="auto" w:fill="FFFFFF"/>
              </w:rPr>
              <w:t>Como en el presente caso se cumplían los presupuestos material y temporal para hacer exigible el análisis de impacto fiscal, de acuerdo con el artículo 7 de la Ley 819 de 2003, pero no se presentó el concepto correspondiente, la Corte encontró que se confi</w:t>
            </w:r>
            <w:r w:rsidRPr="003A7DA4">
              <w:rPr>
                <w:rFonts w:ascii="Times New Roman" w:hAnsi="Times New Roman"/>
                <w:color w:val="000000" w:themeColor="text1"/>
                <w:sz w:val="28"/>
                <w:szCs w:val="24"/>
                <w:shd w:val="clear" w:color="auto" w:fill="FFFFFF"/>
              </w:rPr>
              <w:t xml:space="preserve">guró un vicio insubsanable en el trámite de aprobación de la ley. </w:t>
            </w:r>
            <w:r w:rsidRPr="003A7DA4">
              <w:rPr>
                <w:rFonts w:ascii="Times New Roman" w:hAnsi="Times New Roman"/>
                <w:color w:val="000000" w:themeColor="text1"/>
                <w:sz w:val="28"/>
                <w:szCs w:val="24"/>
                <w:lang w:eastAsia="es-ES"/>
              </w:rPr>
              <w:t>Con todo, recordó que el Gobierno nacional puede, en ejercicio de sus competencias, presentar nuevamente el proyecto con el correspondiente concepto de impacto fiscal.</w:t>
            </w:r>
          </w:p>
        </w:tc>
      </w:tr>
      <w:tr w:rsidR="00EC4959" w:rsidRPr="003A7DA4" w:rsidTr="002C5333">
        <w:tc>
          <w:tcPr>
            <w:tcW w:w="1838" w:type="dxa"/>
            <w:shd w:val="clear" w:color="auto" w:fill="AEAAAA" w:themeFill="background2" w:themeFillShade="BF"/>
            <w:vAlign w:val="center"/>
          </w:tcPr>
          <w:p w:rsidR="00EC4959" w:rsidRPr="003A7DA4" w:rsidRDefault="003A7DA4" w:rsidP="002C5333">
            <w:pPr>
              <w:tabs>
                <w:tab w:val="left" w:pos="567"/>
              </w:tabs>
              <w:ind w:right="49"/>
              <w:contextualSpacing/>
              <w:jc w:val="center"/>
              <w:rPr>
                <w:rFonts w:ascii="Times New Roman" w:hAnsi="Times New Roman"/>
                <w:b/>
                <w:bCs/>
                <w:color w:val="000000" w:themeColor="text1"/>
                <w:sz w:val="28"/>
                <w:szCs w:val="28"/>
                <w:lang w:eastAsia="es-ES"/>
              </w:rPr>
            </w:pPr>
            <w:r w:rsidRPr="003A7DA4">
              <w:rPr>
                <w:rFonts w:ascii="Times New Roman" w:hAnsi="Times New Roman"/>
                <w:b/>
                <w:bCs/>
                <w:color w:val="000000" w:themeColor="text1"/>
                <w:sz w:val="28"/>
                <w:szCs w:val="28"/>
                <w:lang w:eastAsia="es-ES"/>
              </w:rPr>
              <w:t xml:space="preserve">¿Qué resolvió la </w:t>
            </w:r>
            <w:r w:rsidRPr="003A7DA4">
              <w:rPr>
                <w:rFonts w:ascii="Times New Roman" w:hAnsi="Times New Roman"/>
                <w:b/>
                <w:bCs/>
                <w:color w:val="000000" w:themeColor="text1"/>
                <w:sz w:val="28"/>
                <w:szCs w:val="28"/>
                <w:lang w:eastAsia="es-ES"/>
              </w:rPr>
              <w:t>Corte?</w:t>
            </w:r>
          </w:p>
        </w:tc>
        <w:tc>
          <w:tcPr>
            <w:tcW w:w="6992" w:type="dxa"/>
            <w:vAlign w:val="center"/>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 xml:space="preserve">Declarar </w:t>
            </w:r>
            <w:r w:rsidRPr="003A7DA4">
              <w:rPr>
                <w:rFonts w:ascii="Times New Roman" w:hAnsi="Times New Roman"/>
                <w:b/>
                <w:bCs/>
                <w:color w:val="000000" w:themeColor="text1"/>
                <w:sz w:val="28"/>
                <w:szCs w:val="24"/>
              </w:rPr>
              <w:t>INEXEQUIBLE</w:t>
            </w:r>
            <w:r w:rsidRPr="003A7DA4">
              <w:rPr>
                <w:rFonts w:ascii="Times New Roman" w:hAnsi="Times New Roman"/>
                <w:color w:val="000000" w:themeColor="text1"/>
                <w:sz w:val="28"/>
                <w:szCs w:val="24"/>
              </w:rPr>
              <w:t xml:space="preserve"> la Ley 2288 de 2023, “[p]or medio de la cual se aprueba el “Convenio entre la República de Colombia y la República de Costa Rica sobre Asistencia Judicial en Materia Penal”, suscrito en Washington, el 4 de junio de 2018, por la </w:t>
            </w:r>
            <w:r w:rsidRPr="003A7DA4">
              <w:rPr>
                <w:rFonts w:ascii="Times New Roman" w:hAnsi="Times New Roman"/>
                <w:color w:val="000000" w:themeColor="text1"/>
                <w:sz w:val="28"/>
                <w:szCs w:val="24"/>
              </w:rPr>
              <w:t xml:space="preserve">ausencia de análisis de impacto fiscal en su trámite y en los términos de esta providencia. </w:t>
            </w:r>
          </w:p>
        </w:tc>
      </w:tr>
    </w:tbl>
    <w:p w:rsidR="00EC4959" w:rsidRPr="003A7DA4" w:rsidRDefault="003A7DA4" w:rsidP="00EC4959">
      <w:pPr>
        <w:rPr>
          <w:rFonts w:ascii="Times New Roman" w:hAnsi="Times New Roman" w:cs="Times New Roman"/>
          <w:color w:val="000000" w:themeColor="text1"/>
          <w:sz w:val="28"/>
          <w:szCs w:val="28"/>
          <w:lang w:val="es-ES" w:eastAsia="es-ES"/>
        </w:rPr>
      </w:pPr>
    </w:p>
    <w:p w:rsidR="00EC4959" w:rsidRPr="003A7DA4" w:rsidRDefault="003A7DA4" w:rsidP="00EC4959">
      <w:pPr>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lang w:val="es-ES_tradnl" w:eastAsia="es-ES"/>
        </w:rPr>
        <w:t xml:space="preserve">Bogotá, D.C., </w:t>
      </w:r>
      <w:r w:rsidRPr="003A7DA4">
        <w:rPr>
          <w:rFonts w:ascii="Times New Roman" w:hAnsi="Times New Roman" w:cs="Times New Roman"/>
          <w:color w:val="000000" w:themeColor="text1"/>
          <w:sz w:val="28"/>
          <w:szCs w:val="28"/>
          <w:lang w:val="es-ES_tradnl" w:eastAsia="es-ES"/>
        </w:rPr>
        <w:t>ocho</w:t>
      </w:r>
      <w:r w:rsidRPr="003A7DA4">
        <w:rPr>
          <w:rFonts w:ascii="Times New Roman" w:hAnsi="Times New Roman" w:cs="Times New Roman"/>
          <w:color w:val="000000" w:themeColor="text1"/>
          <w:sz w:val="28"/>
          <w:szCs w:val="28"/>
          <w:lang w:val="es-ES_tradnl" w:eastAsia="es-ES"/>
        </w:rPr>
        <w:t xml:space="preserve"> (</w:t>
      </w:r>
      <w:r w:rsidRPr="003A7DA4">
        <w:rPr>
          <w:rFonts w:ascii="Times New Roman" w:hAnsi="Times New Roman" w:cs="Times New Roman"/>
          <w:color w:val="000000" w:themeColor="text1"/>
          <w:sz w:val="28"/>
          <w:szCs w:val="28"/>
          <w:lang w:val="es-ES_tradnl" w:eastAsia="es-ES"/>
        </w:rPr>
        <w:t>8</w:t>
      </w:r>
      <w:r w:rsidRPr="003A7DA4">
        <w:rPr>
          <w:rFonts w:ascii="Times New Roman" w:hAnsi="Times New Roman" w:cs="Times New Roman"/>
          <w:color w:val="000000" w:themeColor="text1"/>
          <w:sz w:val="28"/>
          <w:szCs w:val="28"/>
          <w:lang w:val="es-ES_tradnl" w:eastAsia="es-ES"/>
        </w:rPr>
        <w:t xml:space="preserve">) de </w:t>
      </w:r>
      <w:r w:rsidRPr="003A7DA4">
        <w:rPr>
          <w:rFonts w:ascii="Times New Roman" w:hAnsi="Times New Roman" w:cs="Times New Roman"/>
          <w:color w:val="000000" w:themeColor="text1"/>
          <w:sz w:val="28"/>
          <w:szCs w:val="28"/>
          <w:lang w:val="es-ES_tradnl" w:eastAsia="es-ES"/>
        </w:rPr>
        <w:t>mayo</w:t>
      </w:r>
      <w:r w:rsidRPr="003A7DA4">
        <w:rPr>
          <w:rFonts w:ascii="Times New Roman" w:hAnsi="Times New Roman" w:cs="Times New Roman"/>
          <w:color w:val="000000" w:themeColor="text1"/>
          <w:sz w:val="28"/>
          <w:szCs w:val="28"/>
          <w:lang w:val="es-ES_tradnl" w:eastAsia="es-ES"/>
        </w:rPr>
        <w:t xml:space="preserve"> de dos mil veinticuatro (2024)</w:t>
      </w:r>
    </w:p>
    <w:p w:rsidR="00EC4959" w:rsidRPr="003A7DA4" w:rsidRDefault="003A7DA4" w:rsidP="00EC4959">
      <w:pPr>
        <w:jc w:val="both"/>
        <w:rPr>
          <w:rFonts w:ascii="Times New Roman" w:hAnsi="Times New Roman" w:cs="Times New Roman"/>
          <w:color w:val="000000" w:themeColor="text1"/>
          <w:sz w:val="28"/>
          <w:szCs w:val="28"/>
          <w:lang w:val="es-ES_tradnl" w:eastAsia="es-ES"/>
        </w:rPr>
      </w:pPr>
    </w:p>
    <w:p w:rsidR="00EC4959" w:rsidRPr="003A7DA4" w:rsidRDefault="003A7DA4" w:rsidP="00EC4959">
      <w:pPr>
        <w:jc w:val="both"/>
        <w:rPr>
          <w:rFonts w:ascii="Times New Roman" w:hAnsi="Times New Roman" w:cs="Times New Roman"/>
          <w:color w:val="000000" w:themeColor="text1"/>
          <w:sz w:val="28"/>
          <w:szCs w:val="28"/>
          <w:shd w:val="clear" w:color="auto" w:fill="FFFFFF"/>
          <w:lang w:eastAsia="es-ES"/>
        </w:rPr>
      </w:pPr>
      <w:r w:rsidRPr="003A7DA4">
        <w:rPr>
          <w:rFonts w:ascii="Times New Roman" w:hAnsi="Times New Roman" w:cs="Times New Roman"/>
          <w:color w:val="000000" w:themeColor="text1"/>
          <w:sz w:val="28"/>
          <w:szCs w:val="28"/>
          <w:shd w:val="clear" w:color="auto" w:fill="FFFFFF"/>
          <w:lang w:eastAsia="es-ES"/>
        </w:rPr>
        <w:t xml:space="preserve">La Sala Plena de la Corte Constitucional, en ejercicio de sus atribuciones constitucionales y </w:t>
      </w:r>
      <w:r w:rsidRPr="003A7DA4">
        <w:rPr>
          <w:rFonts w:ascii="Times New Roman" w:hAnsi="Times New Roman" w:cs="Times New Roman"/>
          <w:color w:val="000000" w:themeColor="text1"/>
          <w:sz w:val="28"/>
          <w:szCs w:val="28"/>
          <w:shd w:val="clear" w:color="auto" w:fill="FFFFFF"/>
          <w:lang w:eastAsia="es-ES"/>
        </w:rPr>
        <w:t>legales, en especial de las previstas en el artículo 241.10 de la Constitución, cumplidos todos los trámites y requisitos contemplados en los artículos 36 a 38 y 44 del Decreto 2067 de 1991, ha proferido la siguiente</w:t>
      </w:r>
    </w:p>
    <w:p w:rsidR="00EC4959" w:rsidRPr="003A7DA4" w:rsidRDefault="003A7DA4" w:rsidP="00EC4959">
      <w:pPr>
        <w:rPr>
          <w:rFonts w:ascii="Times New Roman" w:hAnsi="Times New Roman" w:cs="Times New Roman"/>
          <w:color w:val="000000" w:themeColor="text1"/>
          <w:sz w:val="28"/>
          <w:szCs w:val="28"/>
          <w:shd w:val="clear" w:color="auto" w:fill="FFFFFF"/>
          <w:lang w:eastAsia="es-ES"/>
        </w:rPr>
      </w:pPr>
    </w:p>
    <w:p w:rsidR="00EC4959" w:rsidRPr="003A7DA4" w:rsidRDefault="003A7DA4" w:rsidP="00EC4959">
      <w:pPr>
        <w:jc w:val="center"/>
        <w:rPr>
          <w:rFonts w:ascii="Times New Roman" w:hAnsi="Times New Roman" w:cs="Times New Roman"/>
          <w:b/>
          <w:bCs/>
          <w:color w:val="000000" w:themeColor="text1"/>
          <w:sz w:val="28"/>
          <w:szCs w:val="28"/>
          <w:lang w:eastAsia="es-ES"/>
        </w:rPr>
      </w:pPr>
      <w:r w:rsidRPr="003A7DA4">
        <w:rPr>
          <w:rFonts w:ascii="Times New Roman" w:hAnsi="Times New Roman" w:cs="Times New Roman"/>
          <w:b/>
          <w:bCs/>
          <w:color w:val="000000" w:themeColor="text1"/>
          <w:sz w:val="28"/>
          <w:szCs w:val="28"/>
          <w:lang w:eastAsia="es-ES"/>
        </w:rPr>
        <w:t>SENTENCIA</w:t>
      </w:r>
    </w:p>
    <w:p w:rsidR="008F2E05" w:rsidRPr="003A7DA4" w:rsidRDefault="003A7DA4" w:rsidP="00EC4959">
      <w:pPr>
        <w:jc w:val="center"/>
        <w:rPr>
          <w:rFonts w:ascii="Times New Roman" w:hAnsi="Times New Roman" w:cs="Times New Roman"/>
          <w:b/>
          <w:bCs/>
          <w:color w:val="000000" w:themeColor="text1"/>
          <w:sz w:val="28"/>
          <w:szCs w:val="28"/>
          <w:lang w:eastAsia="es-ES"/>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ANTECEDENTES</w:t>
      </w:r>
    </w:p>
    <w:p w:rsidR="008F2E05" w:rsidRPr="003A7DA4" w:rsidRDefault="003A7DA4" w:rsidP="004B477E">
      <w:pPr>
        <w:ind w:left="1080"/>
        <w:rPr>
          <w:rStyle w:val="SangradetextonormalCar"/>
          <w:rFonts w:eastAsiaTheme="minorEastAsia"/>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Style w:val="SangradetextonormalCar"/>
          <w:rFonts w:eastAsiaTheme="minorEastAsia"/>
          <w:color w:val="000000" w:themeColor="text1"/>
          <w:sz w:val="28"/>
          <w:szCs w:val="28"/>
        </w:rPr>
        <w:t xml:space="preserve">Mediante </w:t>
      </w:r>
      <w:r w:rsidRPr="003A7DA4">
        <w:rPr>
          <w:rStyle w:val="SangradetextonormalCar"/>
          <w:rFonts w:eastAsiaTheme="minorEastAsia"/>
          <w:color w:val="000000" w:themeColor="text1"/>
          <w:sz w:val="28"/>
          <w:szCs w:val="28"/>
        </w:rPr>
        <w:t>oficio recibido el 21 de febrero de 2023, la Secretaría Jurídica de la Presidencia de la República remitió a esta corporación copia auténtica de la Ley</w:t>
      </w:r>
      <w:r w:rsidRPr="003A7DA4">
        <w:rPr>
          <w:rFonts w:ascii="Times New Roman" w:hAnsi="Times New Roman" w:cs="Times New Roman"/>
          <w:color w:val="000000" w:themeColor="text1"/>
          <w:sz w:val="28"/>
          <w:szCs w:val="28"/>
        </w:rPr>
        <w:t xml:space="preserve"> 2288 del 13 de febrero de 2023, “[p]or medio de la cual se aprueba el ‘Convenio entre la República de Co</w:t>
      </w:r>
      <w:r w:rsidRPr="003A7DA4">
        <w:rPr>
          <w:rFonts w:ascii="Times New Roman" w:hAnsi="Times New Roman" w:cs="Times New Roman"/>
          <w:color w:val="000000" w:themeColor="text1"/>
          <w:sz w:val="28"/>
          <w:szCs w:val="28"/>
        </w:rPr>
        <w:t>lombia y la República de Costa Rica sobre asistencia judicial en materia penal’, suscrito en Washington, el 4 de junio de 2018” (“el Tratado” o “el Convenio”)</w:t>
      </w:r>
      <w:r w:rsidRPr="003A7DA4">
        <w:rPr>
          <w:rFonts w:ascii="Times New Roman" w:hAnsi="Times New Roman" w:cs="Times New Roman"/>
          <w:color w:val="000000" w:themeColor="text1"/>
          <w:sz w:val="28"/>
          <w:szCs w:val="28"/>
          <w:vertAlign w:val="superscript"/>
        </w:rPr>
        <w:footnoteReference w:id="2"/>
      </w:r>
      <w:r w:rsidRPr="003A7DA4">
        <w:rPr>
          <w:rFonts w:ascii="Times New Roman" w:hAnsi="Times New Roman" w:cs="Times New Roman"/>
          <w:bCs/>
          <w:color w:val="000000" w:themeColor="text1"/>
          <w:sz w:val="28"/>
          <w:szCs w:val="28"/>
          <w:vertAlign w:val="superscript"/>
        </w:rPr>
        <w:footnoteReference w:id="3"/>
      </w:r>
      <w:r w:rsidRPr="003A7DA4">
        <w:rPr>
          <w:rFonts w:ascii="Times New Roman" w:hAnsi="Times New Roman" w:cs="Times New Roman"/>
          <w:bCs/>
          <w:color w:val="000000" w:themeColor="text1"/>
          <w:sz w:val="28"/>
          <w:szCs w:val="28"/>
        </w:rPr>
        <w:t>, para que decidiera sobre su constitucionalidad.</w:t>
      </w:r>
    </w:p>
    <w:p w:rsidR="00EC4959" w:rsidRPr="003A7DA4" w:rsidRDefault="003A7DA4" w:rsidP="00EC4959">
      <w:pPr>
        <w:tabs>
          <w:tab w:val="left" w:pos="284"/>
        </w:tabs>
        <w:ind w:right="49"/>
        <w:jc w:val="both"/>
        <w:rPr>
          <w:rFonts w:ascii="Times New Roman" w:hAnsi="Times New Roman" w:cs="Times New Roman"/>
          <w:bCs/>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 xml:space="preserve">El 23 de febrero de 2023, se efectúo reparto </w:t>
      </w:r>
      <w:r w:rsidRPr="003A7DA4">
        <w:rPr>
          <w:rFonts w:ascii="Times New Roman" w:hAnsi="Times New Roman" w:cs="Times New Roman"/>
          <w:color w:val="000000" w:themeColor="text1"/>
          <w:sz w:val="28"/>
          <w:szCs w:val="28"/>
        </w:rPr>
        <w:t>en la Sala Plena y el 27 de febrero siguiente, la Secretaría General envió el expediente al despacho del magistrado Alejandro Linares Cantillo para lo de su competencia</w:t>
      </w:r>
      <w:r w:rsidRPr="003A7DA4">
        <w:rPr>
          <w:rFonts w:ascii="Times New Roman" w:hAnsi="Times New Roman" w:cs="Times New Roman"/>
          <w:color w:val="000000" w:themeColor="text1"/>
          <w:sz w:val="28"/>
          <w:szCs w:val="28"/>
          <w:vertAlign w:val="superscript"/>
        </w:rPr>
        <w:footnoteReference w:id="4"/>
      </w:r>
      <w:r w:rsidRPr="003A7DA4">
        <w:rPr>
          <w:rFonts w:ascii="Times New Roman" w:hAnsi="Times New Roman" w:cs="Times New Roman"/>
          <w:color w:val="000000" w:themeColor="text1"/>
          <w:sz w:val="28"/>
          <w:szCs w:val="28"/>
        </w:rPr>
        <w:t>.</w:t>
      </w:r>
    </w:p>
    <w:p w:rsidR="00EC4959" w:rsidRPr="003A7DA4" w:rsidRDefault="003A7DA4" w:rsidP="00EC4959">
      <w:pPr>
        <w:ind w:left="1080"/>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En auto del 10 de marzo de 2023, el magistrado Alejandro Linares Cantillo avocó cono</w:t>
      </w:r>
      <w:r w:rsidRPr="003A7DA4">
        <w:rPr>
          <w:rFonts w:ascii="Times New Roman" w:hAnsi="Times New Roman" w:cs="Times New Roman"/>
          <w:color w:val="000000" w:themeColor="text1"/>
          <w:sz w:val="28"/>
          <w:szCs w:val="28"/>
        </w:rPr>
        <w:t>cimiento del examen de constitucionalidad y ordenó la práctica de pruebas. Asimismo, dispuso comunicar el inicio del proceso al presidente de la República y a los ministros de Relaciones Exteriores y de Justicia y del Derecho, así como al presidente del Co</w:t>
      </w:r>
      <w:r w:rsidRPr="003A7DA4">
        <w:rPr>
          <w:rFonts w:ascii="Times New Roman" w:hAnsi="Times New Roman" w:cs="Times New Roman"/>
          <w:color w:val="000000" w:themeColor="text1"/>
          <w:sz w:val="28"/>
          <w:szCs w:val="28"/>
        </w:rPr>
        <w:t>ngreso de la República. Igualmente, invitó a intervenir en el trámite a diferentes instituciones públicas y privadas</w:t>
      </w:r>
      <w:r w:rsidRPr="003A7DA4">
        <w:rPr>
          <w:rStyle w:val="Refdenotaalpie"/>
          <w:rFonts w:ascii="Times New Roman" w:eastAsiaTheme="majorEastAsia" w:hAnsi="Times New Roman" w:cs="Times New Roman"/>
          <w:color w:val="000000" w:themeColor="text1"/>
          <w:sz w:val="28"/>
          <w:szCs w:val="28"/>
        </w:rPr>
        <w:footnoteReference w:id="5"/>
      </w:r>
      <w:r w:rsidRPr="003A7DA4">
        <w:rPr>
          <w:rFonts w:ascii="Times New Roman" w:hAnsi="Times New Roman" w:cs="Times New Roman"/>
          <w:color w:val="000000" w:themeColor="text1"/>
          <w:sz w:val="28"/>
          <w:szCs w:val="28"/>
        </w:rPr>
        <w:t>, y ordenó fijar en lista el proceso, una vez vencido el periodo probatorio y evaluadas las pruebas solicitadas. Por último, dispuso que, s</w:t>
      </w:r>
      <w:r w:rsidRPr="003A7DA4">
        <w:rPr>
          <w:rFonts w:ascii="Times New Roman" w:hAnsi="Times New Roman" w:cs="Times New Roman"/>
          <w:color w:val="000000" w:themeColor="text1"/>
          <w:sz w:val="28"/>
          <w:szCs w:val="28"/>
        </w:rPr>
        <w:t>imultáneo a la fijación en lista, se corriera traslado a la procuradora general de la Nación para que rindiera concepto, conforme lo prevé el inciso primero del artículo 7 del Decreto Ley 2067 de 1991.</w:t>
      </w:r>
      <w:r w:rsidRPr="003A7DA4">
        <w:rPr>
          <w:rFonts w:ascii="Times New Roman" w:hAnsi="Times New Roman" w:cs="Times New Roman"/>
          <w:bCs/>
          <w:iCs/>
          <w:color w:val="000000" w:themeColor="text1"/>
          <w:sz w:val="28"/>
          <w:szCs w:val="28"/>
        </w:rPr>
        <w:t xml:space="preserve"> </w:t>
      </w:r>
      <w:r w:rsidRPr="003A7DA4">
        <w:rPr>
          <w:rFonts w:ascii="Times New Roman" w:hAnsi="Times New Roman" w:cs="Times New Roman"/>
          <w:bCs/>
          <w:color w:val="000000" w:themeColor="text1"/>
          <w:sz w:val="28"/>
          <w:szCs w:val="28"/>
        </w:rPr>
        <w:t xml:space="preserve">A través de autos del 18 de abril y del 23 de mayo de </w:t>
      </w:r>
      <w:r w:rsidRPr="003A7DA4">
        <w:rPr>
          <w:rFonts w:ascii="Times New Roman" w:hAnsi="Times New Roman" w:cs="Times New Roman"/>
          <w:bCs/>
          <w:color w:val="000000" w:themeColor="text1"/>
          <w:sz w:val="28"/>
          <w:szCs w:val="28"/>
        </w:rPr>
        <w:t xml:space="preserve">2023, el magistrado sustanciador reiteró el decreto de pruebas. </w:t>
      </w:r>
    </w:p>
    <w:p w:rsidR="00EC4959" w:rsidRPr="003A7DA4" w:rsidRDefault="003A7DA4" w:rsidP="00EC4959">
      <w:pPr>
        <w:ind w:left="1080"/>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 xml:space="preserve">Una vez finalizado el recaudo probatorio, mediante proveído del 13 de junio del mismo año, se ordenó a la Secretaría General de la Corte Constitucional continuar con el trámite respectivo y </w:t>
      </w:r>
      <w:r w:rsidRPr="003A7DA4">
        <w:rPr>
          <w:rFonts w:ascii="Times New Roman" w:hAnsi="Times New Roman" w:cs="Times New Roman"/>
          <w:color w:val="000000" w:themeColor="text1"/>
          <w:sz w:val="28"/>
          <w:szCs w:val="28"/>
        </w:rPr>
        <w:t>cumplir con lo inicialmente previsto en los numerales tercero a sexto del auto del 10 de marzo de 2023</w:t>
      </w:r>
      <w:r w:rsidRPr="003A7DA4">
        <w:rPr>
          <w:rFonts w:ascii="Times New Roman" w:hAnsi="Times New Roman" w:cs="Times New Roman"/>
          <w:color w:val="000000" w:themeColor="text1"/>
          <w:sz w:val="28"/>
          <w:szCs w:val="28"/>
          <w:vertAlign w:val="superscript"/>
        </w:rPr>
        <w:footnoteReference w:id="6"/>
      </w:r>
      <w:r w:rsidRPr="003A7DA4">
        <w:rPr>
          <w:rFonts w:ascii="Times New Roman" w:hAnsi="Times New Roman" w:cs="Times New Roman"/>
          <w:color w:val="000000" w:themeColor="text1"/>
          <w:sz w:val="28"/>
          <w:szCs w:val="28"/>
        </w:rPr>
        <w:t xml:space="preserve"> sobre: (i) fijar en lista el trámite por el término de 10 días, para los fines previstos en el artículo 241.10, 242.1 de la Constitución Política y el </w:t>
      </w:r>
      <w:r w:rsidRPr="003A7DA4">
        <w:rPr>
          <w:rFonts w:ascii="Times New Roman" w:hAnsi="Times New Roman" w:cs="Times New Roman"/>
          <w:color w:val="000000" w:themeColor="text1"/>
          <w:sz w:val="28"/>
          <w:szCs w:val="28"/>
        </w:rPr>
        <w:t>artículo 7 del Decreto Ley 2067 de 1991, (ii) correr traslado a la señora procuradora general de la Nación, por el término de 30 días, para que rindiera el concepto previsto en el artículo 278.5 de la Constitución, (iii) comunicar la iniciación del proces</w:t>
      </w:r>
      <w:r w:rsidRPr="003A7DA4">
        <w:rPr>
          <w:rFonts w:ascii="Times New Roman" w:hAnsi="Times New Roman" w:cs="Times New Roman"/>
          <w:color w:val="000000" w:themeColor="text1"/>
          <w:sz w:val="28"/>
          <w:szCs w:val="28"/>
        </w:rPr>
        <w:t xml:space="preserve">o a la Presidencia de la República, a la Presidencia del Congreso y a los ministerios de Justicia y del Derecho y de Relaciones Exteriores; e (iv) invitar a participar a distintas instituciones académicas y entidades públicas. </w:t>
      </w:r>
    </w:p>
    <w:p w:rsidR="00EC4959" w:rsidRPr="003A7DA4" w:rsidRDefault="003A7DA4" w:rsidP="00EC4959">
      <w:pPr>
        <w:tabs>
          <w:tab w:val="left" w:pos="284"/>
        </w:tabs>
        <w:ind w:right="49"/>
        <w:jc w:val="both"/>
        <w:rPr>
          <w:rFonts w:ascii="Times New Roman" w:hAnsi="Times New Roman" w:cs="Times New Roman"/>
          <w:bCs/>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En escrito radicado en la S</w:t>
      </w:r>
      <w:r w:rsidRPr="003A7DA4">
        <w:rPr>
          <w:rFonts w:ascii="Times New Roman" w:hAnsi="Times New Roman" w:cs="Times New Roman"/>
          <w:color w:val="000000" w:themeColor="text1"/>
          <w:sz w:val="28"/>
          <w:szCs w:val="28"/>
        </w:rPr>
        <w:t xml:space="preserve">ecretaría General de la Corte Constitucional el 14 de agosto de 2023, la procuradora general de la Nación, Margarita Cabello Blanco, manifestó su impedimento para rendir concepto sobre la constitucionalidad de la Ley 2288, por considerar que se encontraba </w:t>
      </w:r>
      <w:r w:rsidRPr="003A7DA4">
        <w:rPr>
          <w:rFonts w:ascii="Times New Roman" w:hAnsi="Times New Roman" w:cs="Times New Roman"/>
          <w:color w:val="000000" w:themeColor="text1"/>
          <w:sz w:val="28"/>
          <w:szCs w:val="28"/>
        </w:rPr>
        <w:t>incursa en la causal consistente en haber intervenido en la expedición de la norma acusada, según lo dispuesto en el artículo 25 del Decreto Ley 2067 de 1991. El 24 de agosto de 2023, a través del Auto 2011 de 2023, la Sala Plena de esta corporación declar</w:t>
      </w:r>
      <w:r w:rsidRPr="003A7DA4">
        <w:rPr>
          <w:rFonts w:ascii="Times New Roman" w:hAnsi="Times New Roman" w:cs="Times New Roman"/>
          <w:color w:val="000000" w:themeColor="text1"/>
          <w:sz w:val="28"/>
          <w:szCs w:val="28"/>
        </w:rPr>
        <w:t>ó infundado dicho impedimento, por lo que se le solicitó a la aludida funcionaria rendir el respectivo concepto sobre la constitucionalidad de la norma objeto de control</w:t>
      </w:r>
      <w:r w:rsidRPr="003A7DA4">
        <w:rPr>
          <w:rStyle w:val="Refdenotaalpie"/>
          <w:rFonts w:ascii="Times New Roman" w:eastAsiaTheme="majorEastAsia" w:hAnsi="Times New Roman" w:cs="Times New Roman"/>
          <w:color w:val="000000" w:themeColor="text1"/>
          <w:sz w:val="28"/>
          <w:szCs w:val="28"/>
        </w:rPr>
        <w:footnoteReference w:id="7"/>
      </w:r>
      <w:r w:rsidRPr="003A7DA4">
        <w:rPr>
          <w:rFonts w:ascii="Times New Roman" w:hAnsi="Times New Roman" w:cs="Times New Roman"/>
          <w:color w:val="000000" w:themeColor="text1"/>
          <w:sz w:val="28"/>
          <w:szCs w:val="28"/>
        </w:rPr>
        <w:t>.</w:t>
      </w:r>
    </w:p>
    <w:p w:rsidR="00EC4959" w:rsidRPr="003A7DA4" w:rsidRDefault="003A7DA4" w:rsidP="00EC4959">
      <w:pPr>
        <w:ind w:left="1080"/>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El 15 de enero de 2024, el magistrado Vladimir Fernández Andrade, quien reemplazó a</w:t>
      </w:r>
      <w:r w:rsidRPr="003A7DA4">
        <w:rPr>
          <w:rFonts w:ascii="Times New Roman" w:hAnsi="Times New Roman" w:cs="Times New Roman"/>
          <w:color w:val="000000" w:themeColor="text1"/>
          <w:sz w:val="28"/>
          <w:szCs w:val="28"/>
        </w:rPr>
        <w:t>l magistrado Alejandro Linares Cantillo, por vencimiento del período constitucional de este, puso de presente a la Sala Plena de la Corte Constitucional la configuración de causal de impedimento por “haber intervenido en la expedición de la disposición acu</w:t>
      </w:r>
      <w:r w:rsidRPr="003A7DA4">
        <w:rPr>
          <w:rFonts w:ascii="Times New Roman" w:hAnsi="Times New Roman" w:cs="Times New Roman"/>
          <w:color w:val="000000" w:themeColor="text1"/>
          <w:sz w:val="28"/>
          <w:szCs w:val="28"/>
        </w:rPr>
        <w:t>sada”, en razón a las funciones que ejerció como Secretario Jurídico de la Presidencia de la República</w:t>
      </w:r>
      <w:r w:rsidRPr="003A7DA4">
        <w:rPr>
          <w:rStyle w:val="Refdenotaalpie"/>
          <w:rFonts w:ascii="Times New Roman" w:eastAsiaTheme="majorEastAsia" w:hAnsi="Times New Roman" w:cs="Times New Roman"/>
          <w:bCs/>
          <w:color w:val="000000" w:themeColor="text1"/>
          <w:sz w:val="28"/>
          <w:szCs w:val="28"/>
        </w:rPr>
        <w:footnoteReference w:id="8"/>
      </w:r>
      <w:r w:rsidRPr="003A7DA4">
        <w:rPr>
          <w:rFonts w:ascii="Times New Roman" w:hAnsi="Times New Roman" w:cs="Times New Roman"/>
          <w:color w:val="000000" w:themeColor="text1"/>
          <w:sz w:val="28"/>
          <w:szCs w:val="28"/>
        </w:rPr>
        <w:t>. En sesión de la Sala Plena celebrada el 14 de febrero de 2024, se declaró fundado el impedimento manifestado por el magistrado Vladimir Fernández Andra</w:t>
      </w:r>
      <w:r w:rsidRPr="003A7DA4">
        <w:rPr>
          <w:rFonts w:ascii="Times New Roman" w:hAnsi="Times New Roman" w:cs="Times New Roman"/>
          <w:color w:val="000000" w:themeColor="text1"/>
          <w:sz w:val="28"/>
          <w:szCs w:val="28"/>
        </w:rPr>
        <w:t xml:space="preserve">de, para participar y decidir el proceso. En consecuencia, se procedió al sorteo del expediente entre los magistrados y las magistradas restantes para asumir su conocimiento y se designó como ponente el magistrado Juan Carlos Cortés González, quien asumió </w:t>
      </w:r>
      <w:r w:rsidRPr="003A7DA4">
        <w:rPr>
          <w:rFonts w:ascii="Times New Roman" w:hAnsi="Times New Roman" w:cs="Times New Roman"/>
          <w:color w:val="000000" w:themeColor="text1"/>
          <w:sz w:val="28"/>
          <w:szCs w:val="28"/>
        </w:rPr>
        <w:t>la sustanciación del caso</w:t>
      </w:r>
      <w:r w:rsidRPr="003A7DA4">
        <w:rPr>
          <w:rStyle w:val="Refdenotaalpie"/>
          <w:rFonts w:ascii="Times New Roman" w:eastAsiaTheme="majorEastAsia" w:hAnsi="Times New Roman" w:cs="Times New Roman"/>
          <w:color w:val="000000" w:themeColor="text1"/>
          <w:sz w:val="28"/>
          <w:szCs w:val="28"/>
        </w:rPr>
        <w:footnoteReference w:id="9"/>
      </w:r>
      <w:r w:rsidRPr="003A7DA4">
        <w:rPr>
          <w:rFonts w:ascii="Times New Roman" w:hAnsi="Times New Roman" w:cs="Times New Roman"/>
          <w:color w:val="000000" w:themeColor="text1"/>
          <w:sz w:val="28"/>
          <w:szCs w:val="28"/>
        </w:rPr>
        <w:t xml:space="preserve">. El 15 de febrero de 2024, la Secretaría General remitió el expediente al despacho del magistrado sustanciador. </w:t>
      </w:r>
    </w:p>
    <w:p w:rsidR="00EC4959" w:rsidRPr="003A7DA4" w:rsidRDefault="003A7DA4" w:rsidP="00EC4959">
      <w:pPr>
        <w:ind w:left="1080"/>
        <w:rPr>
          <w:rFonts w:ascii="Times New Roman" w:hAnsi="Times New Roman" w:cs="Times New Roman"/>
          <w:color w:val="000000" w:themeColor="text1"/>
          <w:sz w:val="28"/>
          <w:szCs w:val="28"/>
        </w:rPr>
      </w:pPr>
    </w:p>
    <w:p w:rsidR="00C51888" w:rsidRPr="003A7DA4" w:rsidRDefault="003A7DA4" w:rsidP="00431E2A">
      <w:pPr>
        <w:numPr>
          <w:ilvl w:val="0"/>
          <w:numId w:val="8"/>
        </w:numPr>
        <w:tabs>
          <w:tab w:val="left" w:pos="284"/>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Cumplidos los trámites constitucionales y legales propios de esta clase de juicios y previo concepto rendido por la</w:t>
      </w:r>
      <w:r w:rsidRPr="003A7DA4">
        <w:rPr>
          <w:rFonts w:ascii="Times New Roman" w:hAnsi="Times New Roman" w:cs="Times New Roman"/>
          <w:color w:val="000000" w:themeColor="text1"/>
          <w:sz w:val="28"/>
          <w:szCs w:val="28"/>
        </w:rPr>
        <w:t xml:space="preserve"> procuradora general de la Nación, la Corte Constitucional procede a realizar la revisión de constitucionalidad correspondiente.</w:t>
      </w:r>
    </w:p>
    <w:p w:rsidR="00431E2A" w:rsidRPr="003A7DA4" w:rsidRDefault="003A7DA4" w:rsidP="00067E87">
      <w:pPr>
        <w:ind w:left="1080"/>
        <w:rPr>
          <w:rFonts w:ascii="Times New Roman" w:hAnsi="Times New Roman" w:cs="Times New Roman"/>
          <w:sz w:val="28"/>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TEXTO DE LA LEY APROBATORIA DEL TRATADO OBJETO DE REVISIÓN</w:t>
      </w:r>
    </w:p>
    <w:p w:rsidR="00EC4959" w:rsidRPr="003A7DA4" w:rsidRDefault="003A7DA4" w:rsidP="00582EAF">
      <w:pPr>
        <w:spacing w:line="480" w:lineRule="auto"/>
        <w:rPr>
          <w:rFonts w:ascii="Times New Roman" w:hAnsi="Times New Roman" w:cs="Times New Roman"/>
          <w:color w:val="000000" w:themeColor="text1"/>
          <w:sz w:val="28"/>
          <w:szCs w:val="28"/>
          <w:lang w:eastAsia="es-ES"/>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A continuación, se transcribe el texto de la Ley 2288 de 2023</w:t>
      </w:r>
      <w:r w:rsidRPr="003A7DA4">
        <w:rPr>
          <w:rStyle w:val="Refdenotaalpie"/>
          <w:rFonts w:ascii="Times New Roman" w:eastAsiaTheme="majorEastAsia" w:hAnsi="Times New Roman" w:cs="Times New Roman"/>
          <w:color w:val="000000" w:themeColor="text1"/>
          <w:sz w:val="28"/>
          <w:szCs w:val="28"/>
        </w:rPr>
        <w:footnoteReference w:id="10"/>
      </w:r>
      <w:r w:rsidRPr="003A7DA4">
        <w:rPr>
          <w:rFonts w:ascii="Times New Roman" w:hAnsi="Times New Roman" w:cs="Times New Roman"/>
          <w:color w:val="000000" w:themeColor="text1"/>
          <w:sz w:val="28"/>
          <w:szCs w:val="28"/>
        </w:rPr>
        <w:t xml:space="preserve"> sus</w:t>
      </w:r>
      <w:r w:rsidRPr="003A7DA4">
        <w:rPr>
          <w:rFonts w:ascii="Times New Roman" w:hAnsi="Times New Roman" w:cs="Times New Roman"/>
          <w:color w:val="000000" w:themeColor="text1"/>
          <w:sz w:val="28"/>
          <w:szCs w:val="28"/>
        </w:rPr>
        <w:t>crito en Washington, el 4 de junio de 2018” (el Tratado), la cual fue publicada en el Diario Oficial No. 52.307 del 13 de febrero de 2023:</w:t>
      </w:r>
    </w:p>
    <w:p w:rsidR="00035C6D" w:rsidRPr="003A7DA4" w:rsidRDefault="003A7DA4" w:rsidP="00EC4959">
      <w:pPr>
        <w:rPr>
          <w:rFonts w:ascii="Times New Roman" w:hAnsi="Times New Roman" w:cs="Times New Roman"/>
          <w:iCs/>
          <w:color w:val="000000" w:themeColor="text1"/>
          <w:sz w:val="28"/>
          <w:szCs w:val="28"/>
        </w:rPr>
      </w:pPr>
    </w:p>
    <w:p w:rsidR="00700EE3" w:rsidRPr="003A7DA4" w:rsidRDefault="003A7DA4" w:rsidP="00EC4959">
      <w:pPr>
        <w:rPr>
          <w:rFonts w:ascii="Times New Roman" w:hAnsi="Times New Roman" w:cs="Times New Roman"/>
          <w:iCs/>
          <w:color w:val="000000" w:themeColor="text1"/>
          <w:sz w:val="28"/>
          <w:szCs w:val="28"/>
        </w:rPr>
      </w:pPr>
    </w:p>
    <w:p w:rsidR="00700EE3" w:rsidRPr="003A7DA4" w:rsidRDefault="003A7DA4" w:rsidP="00EC4959">
      <w:pPr>
        <w:rPr>
          <w:rFonts w:ascii="Times New Roman" w:hAnsi="Times New Roman" w:cs="Times New Roman"/>
          <w:iCs/>
          <w:color w:val="000000" w:themeColor="text1"/>
          <w:sz w:val="28"/>
          <w:szCs w:val="28"/>
        </w:rPr>
      </w:pPr>
    </w:p>
    <w:p w:rsidR="00700EE3" w:rsidRPr="003A7DA4" w:rsidRDefault="003A7DA4" w:rsidP="00EC4959">
      <w:pPr>
        <w:rPr>
          <w:rFonts w:ascii="Times New Roman" w:hAnsi="Times New Roman" w:cs="Times New Roman"/>
          <w:iCs/>
          <w:color w:val="000000" w:themeColor="text1"/>
          <w:sz w:val="28"/>
          <w:szCs w:val="28"/>
        </w:rPr>
      </w:pPr>
    </w:p>
    <w:p w:rsidR="00EC4959" w:rsidRPr="003A7DA4" w:rsidRDefault="003A7DA4" w:rsidP="00B53979">
      <w:pPr>
        <w:tabs>
          <w:tab w:val="left" w:pos="8222"/>
        </w:tabs>
        <w:ind w:left="567" w:right="616"/>
        <w:jc w:val="center"/>
        <w:rPr>
          <w:rFonts w:ascii="Times New Roman" w:hAnsi="Times New Roman" w:cs="Times New Roman"/>
          <w:b/>
          <w:bCs/>
          <w:iCs/>
          <w:color w:val="000000" w:themeColor="text1"/>
          <w:sz w:val="28"/>
        </w:rPr>
      </w:pPr>
      <w:r w:rsidRPr="003A7DA4">
        <w:rPr>
          <w:rFonts w:ascii="Times New Roman" w:hAnsi="Times New Roman" w:cs="Times New Roman"/>
          <w:iCs/>
          <w:color w:val="000000" w:themeColor="text1"/>
          <w:sz w:val="28"/>
        </w:rPr>
        <w:t>“</w:t>
      </w:r>
      <w:r w:rsidRPr="003A7DA4">
        <w:rPr>
          <w:rFonts w:ascii="Times New Roman" w:hAnsi="Times New Roman" w:cs="Times New Roman"/>
          <w:b/>
          <w:bCs/>
          <w:iCs/>
          <w:color w:val="000000" w:themeColor="text1"/>
          <w:sz w:val="28"/>
        </w:rPr>
        <w:t>LEY 2288 DE 2023</w:t>
      </w:r>
    </w:p>
    <w:p w:rsidR="00EC4959" w:rsidRPr="003A7DA4" w:rsidRDefault="003A7DA4" w:rsidP="00B53979">
      <w:pPr>
        <w:tabs>
          <w:tab w:val="left" w:pos="8222"/>
        </w:tabs>
        <w:ind w:right="616"/>
        <w:rPr>
          <w:rFonts w:ascii="Times New Roman" w:hAnsi="Times New Roman" w:cs="Times New Roman"/>
          <w:iCs/>
          <w:color w:val="000000" w:themeColor="text1"/>
          <w:sz w:val="28"/>
        </w:rPr>
      </w:pPr>
      <w:bookmarkStart w:id="2" w:name="ver_30284036"/>
      <w:bookmarkEnd w:id="2"/>
    </w:p>
    <w:p w:rsidR="00EC4959" w:rsidRPr="003A7DA4" w:rsidRDefault="003A7DA4" w:rsidP="00B53979">
      <w:pPr>
        <w:tabs>
          <w:tab w:val="left" w:pos="8222"/>
        </w:tabs>
        <w:ind w:left="567" w:right="616"/>
        <w:jc w:val="both"/>
        <w:rPr>
          <w:rFonts w:ascii="Times New Roman" w:hAnsi="Times New Roman" w:cs="Times New Roman"/>
          <w:iCs/>
          <w:color w:val="000000" w:themeColor="text1"/>
          <w:sz w:val="28"/>
        </w:rPr>
      </w:pPr>
      <w:r w:rsidRPr="003A7DA4">
        <w:rPr>
          <w:rFonts w:ascii="Times New Roman" w:hAnsi="Times New Roman" w:cs="Times New Roman"/>
          <w:b/>
          <w:bCs/>
          <w:iCs/>
          <w:color w:val="000000" w:themeColor="text1"/>
          <w:sz w:val="28"/>
        </w:rPr>
        <w:t xml:space="preserve">Artículo 1°. </w:t>
      </w:r>
      <w:r w:rsidRPr="003A7DA4">
        <w:rPr>
          <w:rFonts w:ascii="Times New Roman" w:hAnsi="Times New Roman" w:cs="Times New Roman"/>
          <w:iCs/>
          <w:color w:val="000000" w:themeColor="text1"/>
          <w:sz w:val="28"/>
        </w:rPr>
        <w:t xml:space="preserve">Apruébese el “Convenio entre la República de Colombia y la República de Costa </w:t>
      </w:r>
      <w:r w:rsidRPr="003A7DA4">
        <w:rPr>
          <w:rFonts w:ascii="Times New Roman" w:hAnsi="Times New Roman" w:cs="Times New Roman"/>
          <w:iCs/>
          <w:color w:val="000000" w:themeColor="text1"/>
          <w:sz w:val="28"/>
        </w:rPr>
        <w:t>Rica sobre Asistencia Judicial en Materia Penal”, suscrito en Washington, el 4 de junio de 2018.</w:t>
      </w:r>
    </w:p>
    <w:p w:rsidR="00EC4959" w:rsidRPr="003A7DA4" w:rsidRDefault="003A7DA4" w:rsidP="00B53979">
      <w:pPr>
        <w:tabs>
          <w:tab w:val="left" w:pos="8222"/>
        </w:tabs>
        <w:ind w:left="567" w:right="616"/>
        <w:jc w:val="both"/>
        <w:rPr>
          <w:rFonts w:ascii="Times New Roman" w:hAnsi="Times New Roman" w:cs="Times New Roman"/>
          <w:b/>
          <w:bCs/>
          <w:iCs/>
          <w:color w:val="000000" w:themeColor="text1"/>
          <w:sz w:val="28"/>
        </w:rPr>
      </w:pPr>
      <w:r w:rsidRPr="003A7DA4">
        <w:rPr>
          <w:rFonts w:ascii="Times New Roman" w:hAnsi="Times New Roman" w:cs="Times New Roman"/>
          <w:b/>
          <w:bCs/>
          <w:iCs/>
          <w:color w:val="000000" w:themeColor="text1"/>
          <w:sz w:val="28"/>
        </w:rPr>
        <w:t xml:space="preserve">Artículo 2°. </w:t>
      </w:r>
      <w:r w:rsidRPr="003A7DA4">
        <w:rPr>
          <w:rFonts w:ascii="Times New Roman" w:hAnsi="Times New Roman" w:cs="Times New Roman"/>
          <w:iCs/>
          <w:color w:val="000000" w:themeColor="text1"/>
          <w:sz w:val="28"/>
        </w:rPr>
        <w:t>De conformidad con lo dispuesto en el artículo 1° de la Ley 7ª de 1944, el “Convenio entre la República de Colombia y la República de Costa Rica s</w:t>
      </w:r>
      <w:r w:rsidRPr="003A7DA4">
        <w:rPr>
          <w:rFonts w:ascii="Times New Roman" w:hAnsi="Times New Roman" w:cs="Times New Roman"/>
          <w:iCs/>
          <w:color w:val="000000" w:themeColor="text1"/>
          <w:sz w:val="28"/>
        </w:rPr>
        <w:t>obre Asistencia Judicial en Materia Penal”, suscrito en Washington, el 4 de junio de 2018, que por el artículo primero de esta ley se aprueba, obligará al país a partir de la fecha en que se perfeccione el vínculo internacional respecto del mismo.</w:t>
      </w:r>
    </w:p>
    <w:p w:rsidR="00EC4959" w:rsidRPr="003A7DA4" w:rsidRDefault="003A7DA4" w:rsidP="00B53979">
      <w:pPr>
        <w:tabs>
          <w:tab w:val="left" w:pos="8222"/>
        </w:tabs>
        <w:ind w:left="567" w:right="616"/>
        <w:jc w:val="both"/>
        <w:rPr>
          <w:rFonts w:ascii="Times New Roman" w:hAnsi="Times New Roman" w:cs="Times New Roman"/>
          <w:b/>
          <w:bCs/>
          <w:iCs/>
          <w:color w:val="000000" w:themeColor="text1"/>
          <w:sz w:val="28"/>
        </w:rPr>
      </w:pPr>
    </w:p>
    <w:p w:rsidR="00EC4959" w:rsidRPr="003A7DA4" w:rsidRDefault="003A7DA4" w:rsidP="00B53979">
      <w:pPr>
        <w:tabs>
          <w:tab w:val="left" w:pos="8222"/>
        </w:tabs>
        <w:ind w:left="567" w:right="616"/>
        <w:jc w:val="both"/>
        <w:rPr>
          <w:rFonts w:ascii="Times New Roman" w:hAnsi="Times New Roman" w:cs="Times New Roman"/>
          <w:iCs/>
          <w:color w:val="000000" w:themeColor="text1"/>
          <w:sz w:val="28"/>
        </w:rPr>
      </w:pPr>
      <w:r w:rsidRPr="003A7DA4">
        <w:rPr>
          <w:rFonts w:ascii="Times New Roman" w:hAnsi="Times New Roman" w:cs="Times New Roman"/>
          <w:b/>
          <w:bCs/>
          <w:iCs/>
          <w:color w:val="000000" w:themeColor="text1"/>
          <w:sz w:val="28"/>
        </w:rPr>
        <w:t>Artícul</w:t>
      </w:r>
      <w:r w:rsidRPr="003A7DA4">
        <w:rPr>
          <w:rFonts w:ascii="Times New Roman" w:hAnsi="Times New Roman" w:cs="Times New Roman"/>
          <w:b/>
          <w:bCs/>
          <w:iCs/>
          <w:color w:val="000000" w:themeColor="text1"/>
          <w:sz w:val="28"/>
        </w:rPr>
        <w:t xml:space="preserve">o 3°. </w:t>
      </w:r>
      <w:r w:rsidRPr="003A7DA4">
        <w:rPr>
          <w:rFonts w:ascii="Times New Roman" w:hAnsi="Times New Roman" w:cs="Times New Roman"/>
          <w:iCs/>
          <w:color w:val="000000" w:themeColor="text1"/>
          <w:sz w:val="28"/>
        </w:rPr>
        <w:t>La presente ley rige a partir de la fecha de su publicación”.</w:t>
      </w:r>
    </w:p>
    <w:p w:rsidR="00EC4959" w:rsidRPr="003A7DA4" w:rsidRDefault="003A7DA4" w:rsidP="00EC4959">
      <w:pPr>
        <w:ind w:left="567" w:right="193"/>
        <w:jc w:val="both"/>
        <w:rPr>
          <w:rFonts w:ascii="Times New Roman" w:hAnsi="Times New Roman" w:cs="Times New Roman"/>
          <w:b/>
          <w:bCs/>
          <w:iCs/>
          <w:color w:val="000000" w:themeColor="text1"/>
          <w:sz w:val="28"/>
          <w:szCs w:val="26"/>
        </w:rPr>
      </w:pPr>
    </w:p>
    <w:p w:rsidR="00EC4959" w:rsidRPr="003A7DA4" w:rsidRDefault="003A7DA4" w:rsidP="001A6EBF">
      <w:pPr>
        <w:numPr>
          <w:ilvl w:val="0"/>
          <w:numId w:val="8"/>
        </w:numPr>
        <w:tabs>
          <w:tab w:val="left" w:pos="284"/>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El texto original del Convenio se pueden consultar en el siguiente link: </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https://www.corteconstitucional.gov.co/secretaria/archivo.php?id=52788</w:t>
      </w:r>
    </w:p>
    <w:p w:rsidR="001A6EBF" w:rsidRPr="003A7DA4" w:rsidRDefault="003A7DA4" w:rsidP="001A6EBF">
      <w:pPr>
        <w:tabs>
          <w:tab w:val="left" w:pos="284"/>
        </w:tabs>
        <w:ind w:right="49"/>
        <w:jc w:val="both"/>
        <w:rPr>
          <w:rFonts w:ascii="Times New Roman" w:hAnsi="Times New Roman" w:cs="Times New Roman"/>
          <w:color w:val="000000" w:themeColor="text1"/>
          <w:sz w:val="28"/>
          <w:szCs w:val="28"/>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 xml:space="preserve">INTERVENCIONES Y CONCEPTOS </w:t>
      </w:r>
    </w:p>
    <w:p w:rsidR="008C2645" w:rsidRPr="003A7DA4" w:rsidRDefault="003A7DA4" w:rsidP="00067E87">
      <w:pPr>
        <w:rPr>
          <w:rFonts w:ascii="Times New Roman" w:hAnsi="Times New Roman" w:cs="Times New Roman"/>
          <w:sz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El 16 de </w:t>
      </w:r>
      <w:r w:rsidRPr="003A7DA4">
        <w:rPr>
          <w:rFonts w:ascii="Times New Roman" w:hAnsi="Times New Roman" w:cs="Times New Roman"/>
          <w:color w:val="000000" w:themeColor="text1"/>
          <w:sz w:val="28"/>
          <w:szCs w:val="28"/>
        </w:rPr>
        <w:t>junio de 2023, el proceso se fijó en lista. En la oportunidad de ley se recibieron dos intervenciones ciudadanas y dos conceptos de autoridades a las que se comunicó el inicio de la actuación. Todos los intervinientes formularon solicitudes relacionadas co</w:t>
      </w:r>
      <w:r w:rsidRPr="003A7DA4">
        <w:rPr>
          <w:rFonts w:ascii="Times New Roman" w:hAnsi="Times New Roman" w:cs="Times New Roman"/>
          <w:color w:val="000000" w:themeColor="text1"/>
          <w:sz w:val="28"/>
          <w:szCs w:val="28"/>
        </w:rPr>
        <w:t>n la constitucionalidad de las normas objeto de revisión, como se indica en el siguiente cuadro:</w:t>
      </w:r>
    </w:p>
    <w:p w:rsidR="00EC4959" w:rsidRPr="003A7DA4" w:rsidRDefault="003A7DA4" w:rsidP="00EC4959">
      <w:pPr>
        <w:jc w:val="both"/>
        <w:rPr>
          <w:rFonts w:ascii="Times New Roman" w:hAnsi="Times New Roman" w:cs="Times New Roman"/>
          <w:color w:val="000000" w:themeColor="text1"/>
          <w:sz w:val="28"/>
          <w:szCs w:val="28"/>
        </w:rPr>
      </w:pPr>
    </w:p>
    <w:tbl>
      <w:tblPr>
        <w:tblStyle w:val="Tablaconcuadrcula"/>
        <w:tblW w:w="6247" w:type="dxa"/>
        <w:jc w:val="center"/>
        <w:tblLayout w:type="fixed"/>
        <w:tblLook w:val="04A0" w:firstRow="1" w:lastRow="0" w:firstColumn="1" w:lastColumn="0" w:noHBand="0" w:noVBand="1"/>
      </w:tblPr>
      <w:tblGrid>
        <w:gridCol w:w="2278"/>
        <w:gridCol w:w="3969"/>
      </w:tblGrid>
      <w:tr w:rsidR="00EC4959" w:rsidRPr="003A7DA4" w:rsidTr="002C5333">
        <w:trPr>
          <w:cantSplit/>
          <w:trHeight w:val="404"/>
          <w:jc w:val="center"/>
        </w:trPr>
        <w:tc>
          <w:tcPr>
            <w:tcW w:w="2278" w:type="dxa"/>
            <w:shd w:val="clear" w:color="auto" w:fill="AEAAAA" w:themeFill="background2" w:themeFillShade="BF"/>
            <w:vAlign w:val="center"/>
          </w:tcPr>
          <w:p w:rsidR="00EC4959" w:rsidRPr="003A7DA4" w:rsidRDefault="003A7DA4" w:rsidP="002C5333">
            <w:pPr>
              <w:jc w:val="center"/>
              <w:rPr>
                <w:rFonts w:ascii="Times New Roman" w:hAnsi="Times New Roman"/>
                <w:b/>
                <w:bCs/>
                <w:color w:val="000000" w:themeColor="text1"/>
                <w:sz w:val="28"/>
                <w:szCs w:val="24"/>
                <w:lang w:val="es-ES_tradnl"/>
              </w:rPr>
            </w:pPr>
            <w:r w:rsidRPr="003A7DA4">
              <w:rPr>
                <w:rFonts w:ascii="Times New Roman" w:hAnsi="Times New Roman"/>
                <w:b/>
                <w:bCs/>
                <w:color w:val="000000" w:themeColor="text1"/>
                <w:sz w:val="28"/>
                <w:szCs w:val="24"/>
                <w:lang w:val="es-ES_tradnl"/>
              </w:rPr>
              <w:t xml:space="preserve">Solicitud / </w:t>
            </w:r>
          </w:p>
          <w:p w:rsidR="00EC4959" w:rsidRPr="003A7DA4" w:rsidRDefault="003A7DA4" w:rsidP="002C5333">
            <w:pPr>
              <w:jc w:val="center"/>
              <w:rPr>
                <w:rFonts w:ascii="Times New Roman" w:hAnsi="Times New Roman"/>
                <w:b/>
                <w:bCs/>
                <w:color w:val="000000" w:themeColor="text1"/>
                <w:sz w:val="28"/>
                <w:szCs w:val="24"/>
                <w:lang w:val="es-ES_tradnl"/>
              </w:rPr>
            </w:pPr>
            <w:r w:rsidRPr="003A7DA4">
              <w:rPr>
                <w:rFonts w:ascii="Times New Roman" w:hAnsi="Times New Roman"/>
                <w:b/>
                <w:bCs/>
                <w:color w:val="000000" w:themeColor="text1"/>
                <w:sz w:val="28"/>
                <w:szCs w:val="24"/>
                <w:lang w:val="es-ES_tradnl"/>
              </w:rPr>
              <w:t xml:space="preserve">Tipo de participación </w:t>
            </w:r>
          </w:p>
        </w:tc>
        <w:tc>
          <w:tcPr>
            <w:tcW w:w="3969" w:type="dxa"/>
            <w:shd w:val="clear" w:color="auto" w:fill="AEAAAA" w:themeFill="background2" w:themeFillShade="BF"/>
            <w:vAlign w:val="center"/>
          </w:tcPr>
          <w:p w:rsidR="00EC4959" w:rsidRPr="003A7DA4" w:rsidRDefault="003A7DA4" w:rsidP="002C5333">
            <w:pPr>
              <w:jc w:val="center"/>
              <w:rPr>
                <w:rFonts w:ascii="Times New Roman" w:hAnsi="Times New Roman"/>
                <w:b/>
                <w:bCs/>
                <w:color w:val="000000" w:themeColor="text1"/>
                <w:sz w:val="28"/>
                <w:szCs w:val="24"/>
                <w:lang w:val="es-ES_tradnl"/>
              </w:rPr>
            </w:pPr>
            <w:r w:rsidRPr="003A7DA4">
              <w:rPr>
                <w:rFonts w:ascii="Times New Roman" w:hAnsi="Times New Roman"/>
                <w:b/>
                <w:bCs/>
                <w:color w:val="000000" w:themeColor="text1"/>
                <w:sz w:val="28"/>
                <w:szCs w:val="24"/>
                <w:lang w:val="es-ES_tradnl"/>
              </w:rPr>
              <w:t>Constitucionalidad</w:t>
            </w:r>
          </w:p>
        </w:tc>
      </w:tr>
      <w:tr w:rsidR="00EC4959" w:rsidRPr="003A7DA4" w:rsidTr="002C5333">
        <w:trPr>
          <w:cantSplit/>
          <w:trHeight w:val="1009"/>
          <w:jc w:val="center"/>
        </w:trPr>
        <w:tc>
          <w:tcPr>
            <w:tcW w:w="2278" w:type="dxa"/>
            <w:shd w:val="clear" w:color="auto" w:fill="AEAAAA" w:themeFill="background2" w:themeFillShade="BF"/>
            <w:vAlign w:val="center"/>
          </w:tcPr>
          <w:p w:rsidR="00EC4959" w:rsidRPr="003A7DA4" w:rsidRDefault="003A7DA4" w:rsidP="002C5333">
            <w:pPr>
              <w:jc w:val="center"/>
              <w:rPr>
                <w:rStyle w:val="Ttulo1Car"/>
                <w:rFonts w:ascii="Times New Roman" w:hAnsi="Times New Roman"/>
                <w:b/>
                <w:bCs/>
                <w:color w:val="000000" w:themeColor="text1"/>
                <w:sz w:val="28"/>
                <w:szCs w:val="24"/>
              </w:rPr>
            </w:pPr>
            <w:r w:rsidRPr="003A7DA4">
              <w:rPr>
                <w:rFonts w:ascii="Times New Roman" w:hAnsi="Times New Roman"/>
                <w:b/>
                <w:bCs/>
                <w:color w:val="000000" w:themeColor="text1"/>
                <w:sz w:val="28"/>
                <w:szCs w:val="24"/>
              </w:rPr>
              <w:t xml:space="preserve">Conceptos de entidades públicas </w:t>
            </w:r>
            <w:r w:rsidRPr="003A7DA4">
              <w:rPr>
                <w:rStyle w:val="Ttulo1Car"/>
                <w:rFonts w:ascii="Times New Roman" w:hAnsi="Times New Roman"/>
                <w:b/>
                <w:bCs/>
                <w:color w:val="000000" w:themeColor="text1"/>
                <w:sz w:val="28"/>
                <w:szCs w:val="24"/>
              </w:rPr>
              <w:t xml:space="preserve">(artículo 11 del Decreto 2067 de 1991) </w:t>
            </w:r>
          </w:p>
        </w:tc>
        <w:tc>
          <w:tcPr>
            <w:tcW w:w="3969" w:type="dxa"/>
            <w:vAlign w:val="center"/>
          </w:tcPr>
          <w:p w:rsidR="00EC4959" w:rsidRPr="003A7DA4" w:rsidRDefault="003A7DA4" w:rsidP="002C5333">
            <w:pPr>
              <w:jc w:val="center"/>
              <w:rPr>
                <w:rFonts w:ascii="Times New Roman" w:hAnsi="Times New Roman"/>
                <w:color w:val="000000" w:themeColor="text1"/>
                <w:sz w:val="28"/>
                <w:szCs w:val="24"/>
                <w:lang w:val="es-ES_tradnl"/>
              </w:rPr>
            </w:pPr>
            <w:r w:rsidRPr="003A7DA4">
              <w:rPr>
                <w:rFonts w:ascii="Times New Roman" w:hAnsi="Times New Roman"/>
                <w:color w:val="000000" w:themeColor="text1"/>
                <w:sz w:val="28"/>
                <w:szCs w:val="24"/>
                <w:lang w:val="es-ES_tradnl"/>
              </w:rPr>
              <w:t xml:space="preserve">Ministerio de Justicia y del </w:t>
            </w:r>
            <w:r w:rsidRPr="003A7DA4">
              <w:rPr>
                <w:rFonts w:ascii="Times New Roman" w:hAnsi="Times New Roman"/>
                <w:color w:val="000000" w:themeColor="text1"/>
                <w:sz w:val="28"/>
                <w:szCs w:val="24"/>
                <w:lang w:val="es-ES_tradnl"/>
              </w:rPr>
              <w:t>Derecho</w:t>
            </w:r>
          </w:p>
          <w:p w:rsidR="00EC4959" w:rsidRPr="003A7DA4" w:rsidRDefault="003A7DA4" w:rsidP="002C5333">
            <w:pPr>
              <w:jc w:val="center"/>
              <w:rPr>
                <w:rFonts w:ascii="Times New Roman" w:hAnsi="Times New Roman"/>
                <w:color w:val="000000" w:themeColor="text1"/>
                <w:sz w:val="28"/>
                <w:szCs w:val="24"/>
                <w:lang w:val="es-ES_tradnl"/>
              </w:rPr>
            </w:pPr>
            <w:r w:rsidRPr="003A7DA4">
              <w:rPr>
                <w:rFonts w:ascii="Times New Roman" w:hAnsi="Times New Roman"/>
                <w:color w:val="000000" w:themeColor="text1"/>
                <w:sz w:val="28"/>
                <w:szCs w:val="24"/>
                <w:lang w:val="es-ES_tradnl"/>
              </w:rPr>
              <w:t>Ministerio de Relaciones Exteriores</w:t>
            </w:r>
          </w:p>
        </w:tc>
      </w:tr>
      <w:tr w:rsidR="00EC4959" w:rsidRPr="003A7DA4" w:rsidTr="002C5333">
        <w:trPr>
          <w:cantSplit/>
          <w:trHeight w:val="1009"/>
          <w:jc w:val="center"/>
        </w:trPr>
        <w:tc>
          <w:tcPr>
            <w:tcW w:w="2278" w:type="dxa"/>
            <w:shd w:val="clear" w:color="auto" w:fill="AEAAAA" w:themeFill="background2" w:themeFillShade="BF"/>
            <w:vAlign w:val="center"/>
          </w:tcPr>
          <w:p w:rsidR="00EC4959" w:rsidRPr="003A7DA4" w:rsidRDefault="003A7DA4" w:rsidP="002C5333">
            <w:pPr>
              <w:jc w:val="center"/>
              <w:rPr>
                <w:rFonts w:ascii="Times New Roman" w:hAnsi="Times New Roman"/>
                <w:b/>
                <w:bCs/>
                <w:color w:val="000000" w:themeColor="text1"/>
                <w:sz w:val="28"/>
                <w:szCs w:val="24"/>
              </w:rPr>
            </w:pPr>
            <w:bookmarkStart w:id="3" w:name="_Hlk132701521"/>
            <w:bookmarkStart w:id="4" w:name="_Hlk136418669"/>
            <w:r w:rsidRPr="003A7DA4">
              <w:rPr>
                <w:rFonts w:ascii="Times New Roman" w:hAnsi="Times New Roman"/>
                <w:b/>
                <w:bCs/>
                <w:color w:val="000000" w:themeColor="text1"/>
                <w:sz w:val="28"/>
                <w:szCs w:val="24"/>
              </w:rPr>
              <w:t>Intervención ciudadana</w:t>
            </w:r>
          </w:p>
        </w:tc>
        <w:tc>
          <w:tcPr>
            <w:tcW w:w="3969" w:type="dxa"/>
            <w:vAlign w:val="center"/>
          </w:tcPr>
          <w:p w:rsidR="00EC4959" w:rsidRPr="003A7DA4" w:rsidRDefault="003A7DA4" w:rsidP="002C5333">
            <w:pPr>
              <w:jc w:val="center"/>
              <w:rPr>
                <w:rFonts w:ascii="Times New Roman" w:hAnsi="Times New Roman"/>
                <w:bCs/>
                <w:color w:val="000000" w:themeColor="text1"/>
                <w:sz w:val="28"/>
                <w:szCs w:val="24"/>
                <w:lang w:val="es-CO"/>
              </w:rPr>
            </w:pPr>
            <w:r w:rsidRPr="003A7DA4">
              <w:rPr>
                <w:rFonts w:ascii="Times New Roman" w:hAnsi="Times New Roman"/>
                <w:bCs/>
                <w:color w:val="000000" w:themeColor="text1"/>
                <w:sz w:val="28"/>
                <w:szCs w:val="24"/>
                <w:lang w:val="es-CO"/>
              </w:rPr>
              <w:t>María Alejandra Parra Celis</w:t>
            </w:r>
          </w:p>
          <w:p w:rsidR="00EC4959" w:rsidRPr="003A7DA4" w:rsidRDefault="003A7DA4" w:rsidP="002C5333">
            <w:pPr>
              <w:jc w:val="center"/>
              <w:rPr>
                <w:rFonts w:ascii="Times New Roman" w:hAnsi="Times New Roman"/>
                <w:color w:val="000000" w:themeColor="text1"/>
                <w:sz w:val="28"/>
                <w:szCs w:val="24"/>
                <w:lang w:val="es-ES_tradnl"/>
              </w:rPr>
            </w:pPr>
            <w:r w:rsidRPr="003A7DA4">
              <w:rPr>
                <w:rFonts w:ascii="Times New Roman" w:hAnsi="Times New Roman"/>
                <w:bCs/>
                <w:color w:val="000000" w:themeColor="text1"/>
                <w:sz w:val="28"/>
                <w:szCs w:val="24"/>
                <w:lang w:val="es-CO"/>
              </w:rPr>
              <w:t>Harold Eduardo Sua Montaña</w:t>
            </w:r>
          </w:p>
        </w:tc>
      </w:tr>
      <w:bookmarkEnd w:id="3"/>
      <w:bookmarkEnd w:id="4"/>
    </w:tbl>
    <w:p w:rsidR="00EC4959" w:rsidRPr="003A7DA4" w:rsidRDefault="003A7DA4" w:rsidP="00EC4959">
      <w:pPr>
        <w:jc w:val="both"/>
        <w:rPr>
          <w:rFonts w:ascii="Times New Roman" w:hAnsi="Times New Roman" w:cs="Times New Roman"/>
          <w:color w:val="000000" w:themeColor="text1"/>
          <w:sz w:val="28"/>
          <w:szCs w:val="28"/>
          <w:lang w:val="es-ES_tradnl"/>
        </w:rPr>
      </w:pPr>
    </w:p>
    <w:p w:rsidR="00EC4959" w:rsidRPr="003A7DA4" w:rsidRDefault="003A7DA4" w:rsidP="00EC4959">
      <w:pPr>
        <w:numPr>
          <w:ilvl w:val="0"/>
          <w:numId w:val="8"/>
        </w:numPr>
        <w:tabs>
          <w:tab w:val="left" w:pos="284"/>
        </w:tabs>
        <w:ind w:left="0" w:right="51" w:firstLine="0"/>
        <w:jc w:val="both"/>
        <w:rPr>
          <w:rFonts w:ascii="Times New Roman" w:hAnsi="Times New Roman" w:cs="Times New Roman"/>
          <w:color w:val="000000" w:themeColor="text1"/>
          <w:sz w:val="28"/>
          <w:szCs w:val="28"/>
        </w:rPr>
      </w:pPr>
      <w:r w:rsidRPr="003A7DA4">
        <w:rPr>
          <w:rStyle w:val="SangradetextonormalCar"/>
          <w:rFonts w:eastAsiaTheme="minorEastAsia"/>
          <w:i/>
          <w:iCs/>
          <w:color w:val="000000" w:themeColor="text1"/>
          <w:sz w:val="28"/>
          <w:szCs w:val="28"/>
        </w:rPr>
        <w:t>Ministerio de Justicia y del Derecho</w:t>
      </w:r>
      <w:r w:rsidRPr="003A7DA4">
        <w:rPr>
          <w:rStyle w:val="Refdenotaalpie"/>
          <w:rFonts w:ascii="Times New Roman" w:eastAsiaTheme="majorEastAsia" w:hAnsi="Times New Roman" w:cs="Times New Roman"/>
          <w:bCs/>
          <w:color w:val="000000" w:themeColor="text1"/>
          <w:sz w:val="28"/>
          <w:szCs w:val="28"/>
        </w:rPr>
        <w:footnoteReference w:id="11"/>
      </w:r>
      <w:r w:rsidRPr="003A7DA4">
        <w:rPr>
          <w:rStyle w:val="SangradetextonormalCar"/>
          <w:rFonts w:eastAsiaTheme="minorEastAsia"/>
          <w:i/>
          <w:iCs/>
          <w:color w:val="000000" w:themeColor="text1"/>
          <w:sz w:val="28"/>
          <w:szCs w:val="28"/>
        </w:rPr>
        <w:t>.</w:t>
      </w:r>
      <w:r w:rsidRPr="003A7DA4">
        <w:rPr>
          <w:rFonts w:ascii="Times New Roman" w:hAnsi="Times New Roman" w:cs="Times New Roman"/>
          <w:color w:val="000000" w:themeColor="text1"/>
          <w:sz w:val="28"/>
          <w:szCs w:val="28"/>
          <w:lang w:val="es-ES_tradnl" w:eastAsia="es-ES"/>
        </w:rPr>
        <w:t xml:space="preserve"> El 29 de junio de 2023, el ministerio solicitó la declaratoria de constitucionalidad de los instrumentos normativos objeto de revisión, al considerar que, en primer lugar, </w:t>
      </w:r>
      <w:r w:rsidRPr="003A7DA4">
        <w:rPr>
          <w:rFonts w:ascii="Times New Roman" w:hAnsi="Times New Roman" w:cs="Times New Roman"/>
          <w:bCs/>
          <w:color w:val="000000" w:themeColor="text1"/>
          <w:sz w:val="28"/>
          <w:szCs w:val="28"/>
          <w:lang w:eastAsia="es-ES"/>
        </w:rPr>
        <w:t xml:space="preserve">el proceso de negociación y suscripción del tratado fue válido. Destacó que el presidente de la República emitió la correspondiente aprobación ejecutiva para el trámite ante el Congreso de su ley aprobatoria. </w:t>
      </w:r>
    </w:p>
    <w:p w:rsidR="00EC4959" w:rsidRPr="003A7DA4" w:rsidRDefault="003A7DA4" w:rsidP="00EC4959">
      <w:pPr>
        <w:tabs>
          <w:tab w:val="left" w:pos="284"/>
        </w:tabs>
        <w:ind w:right="49"/>
        <w:jc w:val="both"/>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bCs/>
          <w:color w:val="000000" w:themeColor="text1"/>
          <w:sz w:val="28"/>
          <w:szCs w:val="28"/>
          <w:lang w:eastAsia="es-ES"/>
        </w:rPr>
        <w:t>En segundo lugar, indicó que el proceso de ex</w:t>
      </w:r>
      <w:r w:rsidRPr="003A7DA4">
        <w:rPr>
          <w:rFonts w:ascii="Times New Roman" w:hAnsi="Times New Roman" w:cs="Times New Roman"/>
          <w:bCs/>
          <w:color w:val="000000" w:themeColor="text1"/>
          <w:sz w:val="28"/>
          <w:szCs w:val="28"/>
          <w:lang w:eastAsia="es-ES"/>
        </w:rPr>
        <w:t xml:space="preserve">pedición de la Ley 2288 cumplió con todas las exigencias constitucionales y orgánicas para su validez formal, tras un recuento del proceso legislativo respectivo. </w:t>
      </w:r>
    </w:p>
    <w:p w:rsidR="00EC4959" w:rsidRPr="003A7DA4" w:rsidRDefault="003A7DA4" w:rsidP="00EC4959">
      <w:pPr>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bCs/>
          <w:color w:val="000000" w:themeColor="text1"/>
          <w:sz w:val="28"/>
          <w:szCs w:val="28"/>
          <w:lang w:eastAsia="es-ES"/>
        </w:rPr>
        <w:t>Por último, se refirió al contenido normativo del convenio y expuso las razones por las cua</w:t>
      </w:r>
      <w:r w:rsidRPr="003A7DA4">
        <w:rPr>
          <w:rFonts w:ascii="Times New Roman" w:hAnsi="Times New Roman" w:cs="Times New Roman"/>
          <w:bCs/>
          <w:color w:val="000000" w:themeColor="text1"/>
          <w:sz w:val="28"/>
          <w:szCs w:val="28"/>
          <w:lang w:eastAsia="es-ES"/>
        </w:rPr>
        <w:t>les este es materialmente compatible con la Constitución. Al respecto, destacó que el tratado tiene un objetivo válido, importante, necesario y compatible con la Carta, en tanto contribuye a la estabilidad del orden internacional de los Estados soberanos y</w:t>
      </w:r>
      <w:r w:rsidRPr="003A7DA4">
        <w:rPr>
          <w:rFonts w:ascii="Times New Roman" w:hAnsi="Times New Roman" w:cs="Times New Roman"/>
          <w:bCs/>
          <w:color w:val="000000" w:themeColor="text1"/>
          <w:sz w:val="28"/>
          <w:szCs w:val="28"/>
          <w:lang w:eastAsia="es-ES"/>
        </w:rPr>
        <w:t xml:space="preserve"> a la asistencia judicial internacional. Señaló que la Corte, en previas ocasiones, ha declarado la constitucionalidad de instrumentos internacionales de cooperación judicial en materia penal.</w:t>
      </w:r>
    </w:p>
    <w:p w:rsidR="00EC4959" w:rsidRPr="003A7DA4" w:rsidRDefault="003A7DA4" w:rsidP="00EC4959">
      <w:pPr>
        <w:tabs>
          <w:tab w:val="left" w:pos="284"/>
        </w:tabs>
        <w:ind w:right="49"/>
        <w:jc w:val="both"/>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lang w:val="es-ES_tradnl" w:eastAsia="es-ES"/>
        </w:rPr>
      </w:pPr>
      <w:r w:rsidRPr="003A7DA4">
        <w:rPr>
          <w:rStyle w:val="SangradetextonormalCar"/>
          <w:rFonts w:eastAsiaTheme="minorEastAsia"/>
          <w:i/>
          <w:iCs/>
          <w:color w:val="000000" w:themeColor="text1"/>
          <w:sz w:val="28"/>
          <w:szCs w:val="28"/>
        </w:rPr>
        <w:t>Ministerio de Relaciones Exteriores</w:t>
      </w:r>
      <w:r w:rsidRPr="003A7DA4">
        <w:rPr>
          <w:rStyle w:val="Refdenotaalpie"/>
          <w:rFonts w:ascii="Times New Roman" w:eastAsiaTheme="majorEastAsia" w:hAnsi="Times New Roman" w:cs="Times New Roman"/>
          <w:bCs/>
          <w:color w:val="000000" w:themeColor="text1"/>
          <w:sz w:val="28"/>
        </w:rPr>
        <w:footnoteReference w:id="12"/>
      </w:r>
      <w:r w:rsidRPr="003A7DA4">
        <w:rPr>
          <w:rStyle w:val="SangradetextonormalCar"/>
          <w:rFonts w:eastAsiaTheme="minorEastAsia"/>
          <w:i/>
          <w:iCs/>
          <w:color w:val="000000" w:themeColor="text1"/>
          <w:sz w:val="28"/>
          <w:szCs w:val="28"/>
        </w:rPr>
        <w:t>.</w:t>
      </w:r>
      <w:r w:rsidRPr="003A7DA4">
        <w:rPr>
          <w:rFonts w:ascii="Times New Roman" w:hAnsi="Times New Roman" w:cs="Times New Roman"/>
          <w:i/>
          <w:iCs/>
          <w:color w:val="000000" w:themeColor="text1"/>
          <w:sz w:val="28"/>
          <w:szCs w:val="28"/>
          <w:lang w:val="es-ES_tradnl" w:eastAsia="es-ES"/>
        </w:rPr>
        <w:t xml:space="preserve"> </w:t>
      </w:r>
      <w:r w:rsidRPr="003A7DA4">
        <w:rPr>
          <w:rFonts w:ascii="Times New Roman" w:hAnsi="Times New Roman" w:cs="Times New Roman"/>
          <w:iCs/>
          <w:color w:val="000000" w:themeColor="text1"/>
          <w:sz w:val="28"/>
          <w:szCs w:val="28"/>
          <w:lang w:val="es-ES_tradnl" w:eastAsia="es-ES"/>
        </w:rPr>
        <w:t xml:space="preserve">El 26 de junio de 2023, el ministerio </w:t>
      </w:r>
      <w:r w:rsidRPr="003A7DA4">
        <w:rPr>
          <w:rFonts w:ascii="Times New Roman" w:hAnsi="Times New Roman" w:cs="Times New Roman"/>
          <w:color w:val="000000" w:themeColor="text1"/>
          <w:sz w:val="28"/>
          <w:szCs w:val="28"/>
          <w:lang w:val="es-ES_tradnl" w:eastAsia="es-ES"/>
        </w:rPr>
        <w:t>solicitó la declaratoria de constitucionalidad del instrumento objeto de revisión, al considerar que el tratado cuenta con aprobación ejecutiva del presidente de la República y cumple con la validez del trámite realiza</w:t>
      </w:r>
      <w:r w:rsidRPr="003A7DA4">
        <w:rPr>
          <w:rFonts w:ascii="Times New Roman" w:hAnsi="Times New Roman" w:cs="Times New Roman"/>
          <w:color w:val="000000" w:themeColor="text1"/>
          <w:sz w:val="28"/>
          <w:szCs w:val="28"/>
          <w:lang w:val="es-ES_tradnl" w:eastAsia="es-ES"/>
        </w:rPr>
        <w:t xml:space="preserve">do ante el Congreso de la República, pues el proyecto fue presentado a consideración del Senado, con sujeción a lo dispuesto en los artículos 150-16, 154, 189-2 y 224 de la Constitución. </w:t>
      </w:r>
    </w:p>
    <w:p w:rsidR="00EC4959" w:rsidRPr="003A7DA4" w:rsidRDefault="003A7DA4" w:rsidP="00EC4959">
      <w:pPr>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rPr>
        <w:t xml:space="preserve">Así, ofreció un contexto sobre la necesidad y los beneficios de la </w:t>
      </w:r>
      <w:r w:rsidRPr="003A7DA4">
        <w:rPr>
          <w:rFonts w:ascii="Times New Roman" w:hAnsi="Times New Roman" w:cs="Times New Roman"/>
          <w:bCs/>
          <w:color w:val="000000" w:themeColor="text1"/>
          <w:sz w:val="28"/>
          <w:szCs w:val="28"/>
        </w:rPr>
        <w:t>asistencia judicial internacional en materia penal y destacó que, desde 2013, Colombia y Costa Rica vienen realizando esfuerzos para acordar un instrumento con tal objeto, que finalmente se concretó en el tratado suscrito en Washington el 4 de junio de 201</w:t>
      </w:r>
      <w:r w:rsidRPr="003A7DA4">
        <w:rPr>
          <w:rFonts w:ascii="Times New Roman" w:hAnsi="Times New Roman" w:cs="Times New Roman"/>
          <w:bCs/>
          <w:color w:val="000000" w:themeColor="text1"/>
          <w:sz w:val="28"/>
          <w:szCs w:val="28"/>
        </w:rPr>
        <w:t xml:space="preserve">8. </w:t>
      </w:r>
      <w:r w:rsidRPr="003A7DA4">
        <w:rPr>
          <w:rFonts w:ascii="Times New Roman" w:hAnsi="Times New Roman" w:cs="Times New Roman"/>
          <w:color w:val="000000" w:themeColor="text1"/>
          <w:sz w:val="28"/>
          <w:szCs w:val="28"/>
          <w:lang w:eastAsia="es-ES"/>
        </w:rPr>
        <w:t>Luego de ello</w:t>
      </w:r>
      <w:r w:rsidRPr="003A7DA4">
        <w:rPr>
          <w:rFonts w:ascii="Times New Roman" w:hAnsi="Times New Roman" w:cs="Times New Roman"/>
          <w:bCs/>
          <w:color w:val="000000" w:themeColor="text1"/>
          <w:sz w:val="28"/>
          <w:szCs w:val="28"/>
        </w:rPr>
        <w:t xml:space="preserve">, se refirió al objeto del tratado e hizo una reseña sumaria de su contenido. </w:t>
      </w:r>
    </w:p>
    <w:p w:rsidR="00EC4959" w:rsidRPr="003A7DA4" w:rsidRDefault="003A7DA4" w:rsidP="00EC4959">
      <w:pPr>
        <w:rPr>
          <w:rFonts w:ascii="Times New Roman" w:hAnsi="Times New Roman" w:cs="Times New Roman"/>
          <w:color w:val="000000" w:themeColor="text1"/>
          <w:sz w:val="28"/>
          <w:szCs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rPr>
        <w:t>Posteriormente, realizó un recuento del proceso de aprobación interna del tratado en sus facetas de suscripción, aprobación presidencial, trámite de la ley apro</w:t>
      </w:r>
      <w:r w:rsidRPr="003A7DA4">
        <w:rPr>
          <w:rFonts w:ascii="Times New Roman" w:hAnsi="Times New Roman" w:cs="Times New Roman"/>
          <w:bCs/>
          <w:color w:val="000000" w:themeColor="text1"/>
          <w:sz w:val="28"/>
          <w:szCs w:val="28"/>
        </w:rPr>
        <w:t xml:space="preserve">batoria ante el Congreso de la República, sanción presidencial de esta última y su posterior remisión a la Corte Constitucional. </w:t>
      </w:r>
    </w:p>
    <w:p w:rsidR="00EC4959" w:rsidRPr="003A7DA4" w:rsidRDefault="003A7DA4" w:rsidP="00EC4959">
      <w:pPr>
        <w:rPr>
          <w:rFonts w:ascii="Times New Roman" w:hAnsi="Times New Roman" w:cs="Times New Roman"/>
          <w:color w:val="000000" w:themeColor="text1"/>
          <w:sz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rPr>
        <w:t xml:space="preserve">En último lugar, se pronunció sobre la constitucionalidad e importancia del convenio, para lo cual, enfatizó en que sus disposiciones, orientadas a facilitar la cooperación judicial internacional entre ambos Estados, contribuyen a garantizar el acceso, la </w:t>
      </w:r>
      <w:r w:rsidRPr="003A7DA4">
        <w:rPr>
          <w:rFonts w:ascii="Times New Roman" w:hAnsi="Times New Roman" w:cs="Times New Roman"/>
          <w:bCs/>
          <w:color w:val="000000" w:themeColor="text1"/>
          <w:sz w:val="28"/>
          <w:szCs w:val="28"/>
        </w:rPr>
        <w:t>eficiencia y la celeridad en la administración de justicia, así como el respeto por los derechos de las personas. Añadió que es uno de los fines del Estado Social de Derecho la efectiva administración de justicia, la cual, ante la internacionalización de l</w:t>
      </w:r>
      <w:r w:rsidRPr="003A7DA4">
        <w:rPr>
          <w:rFonts w:ascii="Times New Roman" w:hAnsi="Times New Roman" w:cs="Times New Roman"/>
          <w:bCs/>
          <w:color w:val="000000" w:themeColor="text1"/>
          <w:sz w:val="28"/>
          <w:szCs w:val="28"/>
        </w:rPr>
        <w:t>as relaciones jurídicas y la globalización, requiere de instrumentos de cooperación judicial internacional que simplifiquen los trámites para la obtención de asistencia judicial en materia penal, máxime frente a la necesidad de acciones conjuntas entre Est</w:t>
      </w:r>
      <w:r w:rsidRPr="003A7DA4">
        <w:rPr>
          <w:rFonts w:ascii="Times New Roman" w:hAnsi="Times New Roman" w:cs="Times New Roman"/>
          <w:bCs/>
          <w:color w:val="000000" w:themeColor="text1"/>
          <w:sz w:val="28"/>
          <w:szCs w:val="28"/>
        </w:rPr>
        <w:t xml:space="preserve">ados para combatir los fenómenos actuales de criminalidad. </w:t>
      </w:r>
    </w:p>
    <w:p w:rsidR="00EC4959" w:rsidRPr="003A7DA4" w:rsidRDefault="003A7DA4" w:rsidP="001E60EC">
      <w:pPr>
        <w:ind w:left="1800"/>
        <w:rPr>
          <w:rFonts w:ascii="Times New Roman" w:hAnsi="Times New Roman" w:cs="Times New Roman"/>
          <w:sz w:val="28"/>
        </w:rPr>
      </w:pPr>
    </w:p>
    <w:p w:rsidR="00EC4959" w:rsidRPr="003A7DA4" w:rsidRDefault="003A7DA4" w:rsidP="00EC4959">
      <w:pPr>
        <w:numPr>
          <w:ilvl w:val="0"/>
          <w:numId w:val="8"/>
        </w:numPr>
        <w:tabs>
          <w:tab w:val="left" w:pos="284"/>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rPr>
        <w:t>También, indicó que no resulta exigible el análisis de impacto fiscal -Sentencia C-170 de 2021-, toda vez que el tratado no ordena gastos ni genera beneficios tributarios, por lo que no resulta n</w:t>
      </w:r>
      <w:r w:rsidRPr="003A7DA4">
        <w:rPr>
          <w:rFonts w:ascii="Times New Roman" w:hAnsi="Times New Roman" w:cs="Times New Roman"/>
          <w:bCs/>
          <w:color w:val="000000" w:themeColor="text1"/>
          <w:sz w:val="28"/>
          <w:szCs w:val="28"/>
        </w:rPr>
        <w:t xml:space="preserve">ecesario un análisis fiscal particular. </w:t>
      </w:r>
    </w:p>
    <w:p w:rsidR="00EC4959" w:rsidRPr="003A7DA4" w:rsidRDefault="003A7DA4" w:rsidP="00EC4959">
      <w:pPr>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rPr>
        <w:t>Por lo expuesto, concluyó que el tratado respeta y garantiza diversos postulados constitucionales, y se ajusta en su integridad a la Carta</w:t>
      </w:r>
      <w:bookmarkStart w:id="5" w:name="_Hlk138187651"/>
      <w:r w:rsidRPr="003A7DA4">
        <w:rPr>
          <w:rFonts w:ascii="Times New Roman" w:hAnsi="Times New Roman" w:cs="Times New Roman"/>
          <w:bCs/>
          <w:color w:val="000000" w:themeColor="text1"/>
          <w:sz w:val="28"/>
          <w:szCs w:val="28"/>
        </w:rPr>
        <w:t xml:space="preserve">. </w:t>
      </w:r>
    </w:p>
    <w:p w:rsidR="00EC4959" w:rsidRPr="003A7DA4" w:rsidRDefault="003A7DA4" w:rsidP="00EC4959">
      <w:pPr>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i/>
          <w:iCs/>
          <w:color w:val="000000" w:themeColor="text1"/>
          <w:sz w:val="28"/>
          <w:szCs w:val="28"/>
        </w:rPr>
        <w:t>María Alejandra Parra Celis</w:t>
      </w:r>
      <w:r w:rsidRPr="003A7DA4">
        <w:rPr>
          <w:rStyle w:val="Refdenotaalpie"/>
          <w:rFonts w:ascii="Times New Roman" w:eastAsiaTheme="majorEastAsia" w:hAnsi="Times New Roman" w:cs="Times New Roman"/>
          <w:bCs/>
          <w:color w:val="000000" w:themeColor="text1"/>
          <w:sz w:val="28"/>
          <w:szCs w:val="28"/>
        </w:rPr>
        <w:footnoteReference w:id="13"/>
      </w:r>
      <w:r w:rsidRPr="003A7DA4">
        <w:rPr>
          <w:rFonts w:ascii="Times New Roman" w:hAnsi="Times New Roman" w:cs="Times New Roman"/>
          <w:bCs/>
          <w:i/>
          <w:iCs/>
          <w:color w:val="000000" w:themeColor="text1"/>
          <w:sz w:val="28"/>
          <w:szCs w:val="28"/>
        </w:rPr>
        <w:t>.</w:t>
      </w:r>
      <w:r w:rsidRPr="003A7DA4">
        <w:rPr>
          <w:rFonts w:ascii="Times New Roman" w:hAnsi="Times New Roman" w:cs="Times New Roman"/>
          <w:bCs/>
          <w:color w:val="000000" w:themeColor="text1"/>
          <w:sz w:val="28"/>
          <w:szCs w:val="28"/>
        </w:rPr>
        <w:t xml:space="preserve"> El 30 de junio de 2023, la ciudadana </w:t>
      </w:r>
      <w:r w:rsidRPr="003A7DA4">
        <w:rPr>
          <w:rFonts w:ascii="Times New Roman" w:hAnsi="Times New Roman" w:cs="Times New Roman"/>
          <w:color w:val="000000" w:themeColor="text1"/>
          <w:sz w:val="28"/>
          <w:szCs w:val="28"/>
        </w:rPr>
        <w:t>prese</w:t>
      </w:r>
      <w:r w:rsidRPr="003A7DA4">
        <w:rPr>
          <w:rFonts w:ascii="Times New Roman" w:hAnsi="Times New Roman" w:cs="Times New Roman"/>
          <w:color w:val="000000" w:themeColor="text1"/>
          <w:sz w:val="28"/>
          <w:szCs w:val="28"/>
        </w:rPr>
        <w:t xml:space="preserve">ntó concepto </w:t>
      </w:r>
      <w:bookmarkEnd w:id="5"/>
      <w:r w:rsidRPr="003A7DA4">
        <w:rPr>
          <w:rFonts w:ascii="Times New Roman" w:hAnsi="Times New Roman" w:cs="Times New Roman"/>
          <w:color w:val="000000" w:themeColor="text1"/>
          <w:sz w:val="28"/>
          <w:szCs w:val="28"/>
        </w:rPr>
        <w:t xml:space="preserve">sobre dos aspectos. Por un lado, </w:t>
      </w:r>
      <w:r w:rsidRPr="003A7DA4">
        <w:rPr>
          <w:rFonts w:ascii="Times New Roman" w:hAnsi="Times New Roman" w:cs="Times New Roman"/>
          <w:bCs/>
          <w:color w:val="000000" w:themeColor="text1"/>
          <w:sz w:val="28"/>
          <w:szCs w:val="28"/>
        </w:rPr>
        <w:t>tras un recuento de los fines de la cooperación judicial internacional en asuntos penales, de los tratados previamente suscritos entre Colombia y otros Estados en esta materia y de la jurisprudencia de esta cor</w:t>
      </w:r>
      <w:r w:rsidRPr="003A7DA4">
        <w:rPr>
          <w:rFonts w:ascii="Times New Roman" w:hAnsi="Times New Roman" w:cs="Times New Roman"/>
          <w:bCs/>
          <w:color w:val="000000" w:themeColor="text1"/>
          <w:sz w:val="28"/>
          <w:szCs w:val="28"/>
        </w:rPr>
        <w:t>poración sobre el particular, señaló que el tratado en cuestión busca afianzar los canales de cooperación entre Estados hacia un proceso de integración regional y es necesario para enfrentar la delincuencia transnacional y evitar la impunidad, además que o</w:t>
      </w:r>
      <w:r w:rsidRPr="003A7DA4">
        <w:rPr>
          <w:rFonts w:ascii="Times New Roman" w:hAnsi="Times New Roman" w:cs="Times New Roman"/>
          <w:bCs/>
          <w:color w:val="000000" w:themeColor="text1"/>
          <w:sz w:val="28"/>
          <w:szCs w:val="28"/>
        </w:rPr>
        <w:t xml:space="preserve">pera como un mecanismo de acceso a la justicia disponible para las víctimas.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EC4959">
      <w:pPr>
        <w:numPr>
          <w:ilvl w:val="0"/>
          <w:numId w:val="8"/>
        </w:numPr>
        <w:tabs>
          <w:tab w:val="left" w:pos="426"/>
          <w:tab w:val="left" w:pos="851"/>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segundo lugar, </w:t>
      </w:r>
      <w:r w:rsidRPr="003A7DA4">
        <w:rPr>
          <w:rFonts w:ascii="Times New Roman" w:hAnsi="Times New Roman" w:cs="Times New Roman"/>
          <w:bCs/>
          <w:color w:val="000000" w:themeColor="text1"/>
          <w:sz w:val="28"/>
          <w:szCs w:val="28"/>
        </w:rPr>
        <w:t xml:space="preserve">se refirió al principio de derecho internacional de no intervención en los asuntos jurisdiccionales y afirmó que el tratado objeto de control lo acata, pues </w:t>
      </w:r>
      <w:r w:rsidRPr="003A7DA4">
        <w:rPr>
          <w:rFonts w:ascii="Times New Roman" w:hAnsi="Times New Roman" w:cs="Times New Roman"/>
          <w:bCs/>
          <w:color w:val="000000" w:themeColor="text1"/>
          <w:sz w:val="28"/>
          <w:szCs w:val="28"/>
        </w:rPr>
        <w:t>sus disposiciones son respetuosas de la soberanía de los Estados que lo suscriben. Concluyó que este instrumento propicia la integración entre naciones, respeta la soberanía de los Estados, garantiza el acceso a la justicia y se orienta a la lucha contra l</w:t>
      </w:r>
      <w:r w:rsidRPr="003A7DA4">
        <w:rPr>
          <w:rFonts w:ascii="Times New Roman" w:hAnsi="Times New Roman" w:cs="Times New Roman"/>
          <w:bCs/>
          <w:color w:val="000000" w:themeColor="text1"/>
          <w:sz w:val="28"/>
          <w:szCs w:val="28"/>
        </w:rPr>
        <w:t>a delincuencia transnacional y a la garantía del debido proceso, además que se aviene a la jurisprudencia constitucional sobre este tipo de instrumentos.</w:t>
      </w:r>
    </w:p>
    <w:p w:rsidR="00EC4959" w:rsidRPr="003A7DA4" w:rsidRDefault="003A7DA4" w:rsidP="00EC4959">
      <w:pPr>
        <w:rPr>
          <w:rFonts w:ascii="Times New Roman" w:hAnsi="Times New Roman" w:cs="Times New Roman"/>
          <w:color w:val="000000" w:themeColor="text1"/>
          <w:sz w:val="28"/>
        </w:rPr>
      </w:pPr>
    </w:p>
    <w:p w:rsidR="00EC4959" w:rsidRPr="003A7DA4" w:rsidRDefault="003A7DA4" w:rsidP="00E35A41">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bCs/>
          <w:i/>
          <w:iCs/>
          <w:color w:val="000000" w:themeColor="text1"/>
          <w:sz w:val="28"/>
          <w:szCs w:val="28"/>
        </w:rPr>
        <w:t>Harold Eduardo Sua Montaña</w:t>
      </w:r>
      <w:r w:rsidRPr="003A7DA4">
        <w:rPr>
          <w:rStyle w:val="Refdenotaalpie"/>
          <w:rFonts w:ascii="Times New Roman" w:eastAsiaTheme="majorEastAsia" w:hAnsi="Times New Roman" w:cs="Times New Roman"/>
          <w:bCs/>
          <w:i/>
          <w:iCs/>
          <w:color w:val="000000" w:themeColor="text1"/>
          <w:sz w:val="28"/>
          <w:szCs w:val="28"/>
        </w:rPr>
        <w:footnoteReference w:id="14"/>
      </w:r>
      <w:r w:rsidRPr="003A7DA4">
        <w:rPr>
          <w:rFonts w:ascii="Times New Roman" w:hAnsi="Times New Roman" w:cs="Times New Roman"/>
          <w:bCs/>
          <w:i/>
          <w:iCs/>
          <w:color w:val="000000" w:themeColor="text1"/>
          <w:sz w:val="28"/>
          <w:szCs w:val="28"/>
        </w:rPr>
        <w:t xml:space="preserve">. </w:t>
      </w:r>
      <w:r w:rsidRPr="003A7DA4">
        <w:rPr>
          <w:rFonts w:ascii="Times New Roman" w:hAnsi="Times New Roman" w:cs="Times New Roman"/>
          <w:bCs/>
          <w:color w:val="000000" w:themeColor="text1"/>
          <w:sz w:val="28"/>
          <w:szCs w:val="28"/>
        </w:rPr>
        <w:t>Manifestó que acoge lo resuelto por la Corte Constitucional dentro del e</w:t>
      </w:r>
      <w:r w:rsidRPr="003A7DA4">
        <w:rPr>
          <w:rFonts w:ascii="Times New Roman" w:hAnsi="Times New Roman" w:cs="Times New Roman"/>
          <w:bCs/>
          <w:color w:val="000000" w:themeColor="text1"/>
          <w:sz w:val="28"/>
          <w:szCs w:val="28"/>
        </w:rPr>
        <w:t>xpediente LAT-480, así como la jurisprudencia constitucional y contencioso administrativa sobre la plenitud de las formas de posesión de los congresistas. También indicó que por la temática del tratado no resultan aplicables las exigencias fijadas en las s</w:t>
      </w:r>
      <w:r w:rsidRPr="003A7DA4">
        <w:rPr>
          <w:rFonts w:ascii="Times New Roman" w:hAnsi="Times New Roman" w:cs="Times New Roman"/>
          <w:bCs/>
          <w:color w:val="000000" w:themeColor="text1"/>
          <w:sz w:val="28"/>
          <w:szCs w:val="28"/>
        </w:rPr>
        <w:t>entencias C-091 de 2021 y C-170 de 2021 sobre el análisis de impacto fiscal, pues no implica una reducción de ingresos y no genera gastos. En tercer lugar señaló que no advierte ningún motivo para afirmar que la norma objeto de control resulte incompatible</w:t>
      </w:r>
      <w:r w:rsidRPr="003A7DA4">
        <w:rPr>
          <w:rFonts w:ascii="Times New Roman" w:hAnsi="Times New Roman" w:cs="Times New Roman"/>
          <w:bCs/>
          <w:color w:val="000000" w:themeColor="text1"/>
          <w:sz w:val="28"/>
          <w:szCs w:val="28"/>
        </w:rPr>
        <w:t xml:space="preserve"> con la Constitución.</w:t>
      </w:r>
    </w:p>
    <w:p w:rsidR="00E35A41" w:rsidRPr="003A7DA4" w:rsidRDefault="003A7DA4" w:rsidP="00067E87">
      <w:pPr>
        <w:ind w:left="1080"/>
        <w:rPr>
          <w:rFonts w:ascii="Times New Roman" w:hAnsi="Times New Roman" w:cs="Times New Roman"/>
          <w:sz w:val="28"/>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CONCEPTO DE LA PROCURADORA GENERAL DE LA NACIÓN</w:t>
      </w:r>
      <w:r w:rsidRPr="003A7DA4">
        <w:rPr>
          <w:rFonts w:ascii="Times New Roman" w:hAnsi="Times New Roman" w:cs="Times New Roman"/>
          <w:vertAlign w:val="superscript"/>
        </w:rPr>
        <w:footnoteReference w:id="15"/>
      </w:r>
    </w:p>
    <w:p w:rsidR="00E35A41" w:rsidRPr="003A7DA4" w:rsidRDefault="003A7DA4" w:rsidP="00067E87">
      <w:pPr>
        <w:rPr>
          <w:rFonts w:ascii="Times New Roman" w:hAnsi="Times New Roman" w:cs="Times New Roman"/>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iCs/>
          <w:color w:val="000000" w:themeColor="text1"/>
          <w:sz w:val="28"/>
          <w:szCs w:val="28"/>
        </w:rPr>
      </w:pPr>
      <w:r w:rsidRPr="003A7DA4">
        <w:rPr>
          <w:rFonts w:ascii="Times New Roman" w:hAnsi="Times New Roman" w:cs="Times New Roman"/>
          <w:bCs/>
          <w:iCs/>
          <w:color w:val="000000" w:themeColor="text1"/>
          <w:sz w:val="28"/>
          <w:szCs w:val="28"/>
        </w:rPr>
        <w:t>El 5 de septiembre de 2023, la procuradora general de la Nación rindió concepto en el que solicitó se declare la exequibilidad de la Ley 2288 de 2023, así como la constitucionalidad del Convenio entre la República de Colombia y la República de Costa Rica s</w:t>
      </w:r>
      <w:r w:rsidRPr="003A7DA4">
        <w:rPr>
          <w:rFonts w:ascii="Times New Roman" w:hAnsi="Times New Roman" w:cs="Times New Roman"/>
          <w:bCs/>
          <w:iCs/>
          <w:color w:val="000000" w:themeColor="text1"/>
          <w:sz w:val="28"/>
          <w:szCs w:val="28"/>
        </w:rPr>
        <w:t xml:space="preserve">obre asistencia judicial en materia penal, al satisfacer los requisitos formales para su aprobación. </w:t>
      </w:r>
    </w:p>
    <w:p w:rsidR="00EC4959" w:rsidRPr="003A7DA4" w:rsidRDefault="003A7DA4" w:rsidP="00EC4959">
      <w:pPr>
        <w:tabs>
          <w:tab w:val="left" w:pos="426"/>
        </w:tabs>
        <w:ind w:right="49"/>
        <w:jc w:val="both"/>
        <w:rPr>
          <w:rFonts w:ascii="Times New Roman" w:hAnsi="Times New Roman" w:cs="Times New Roman"/>
          <w:bCs/>
          <w:iCs/>
          <w:color w:val="000000" w:themeColor="text1"/>
          <w:sz w:val="28"/>
          <w:szCs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iCs/>
          <w:color w:val="000000" w:themeColor="text1"/>
          <w:sz w:val="28"/>
          <w:szCs w:val="28"/>
        </w:rPr>
      </w:pPr>
      <w:r w:rsidRPr="003A7DA4">
        <w:rPr>
          <w:rFonts w:ascii="Times New Roman" w:hAnsi="Times New Roman" w:cs="Times New Roman"/>
          <w:bCs/>
          <w:iCs/>
          <w:color w:val="000000" w:themeColor="text1"/>
          <w:sz w:val="28"/>
          <w:szCs w:val="28"/>
        </w:rPr>
        <w:t>En concreto, sostuvo que: (i) el Estado estuvo debidamente representado; (ii) se verificaron todos los requisitos del trámite legislativo (iniciativa, in</w:t>
      </w:r>
      <w:r w:rsidRPr="003A7DA4">
        <w:rPr>
          <w:rFonts w:ascii="Times New Roman" w:hAnsi="Times New Roman" w:cs="Times New Roman"/>
          <w:bCs/>
          <w:iCs/>
          <w:color w:val="000000" w:themeColor="text1"/>
          <w:sz w:val="28"/>
          <w:szCs w:val="28"/>
        </w:rPr>
        <w:t xml:space="preserve">icio del trámite en la comisión Segunda del Senado, anuncio, discusiones, votaciones, quórum y el trámite se adelantó en menos de dos legislaturas). El proyecto no debía consultarse porque no afecta de forma directa a los grupos étnicamente diferenciados. </w:t>
      </w:r>
      <w:r w:rsidRPr="003A7DA4">
        <w:rPr>
          <w:rFonts w:ascii="Times New Roman" w:hAnsi="Times New Roman" w:cs="Times New Roman"/>
          <w:bCs/>
          <w:iCs/>
          <w:color w:val="000000" w:themeColor="text1"/>
          <w:sz w:val="28"/>
          <w:szCs w:val="28"/>
        </w:rPr>
        <w:t xml:space="preserve">El tratado bilateral examinado no introduce beneficios tributarios, así como tampoco ordena un gasto novedoso, por lo que no son aplicables las exigencias de </w:t>
      </w:r>
      <w:r w:rsidRPr="003A7DA4">
        <w:rPr>
          <w:rFonts w:ascii="Times New Roman" w:hAnsi="Times New Roman" w:cs="Times New Roman"/>
          <w:color w:val="000000" w:themeColor="text1"/>
          <w:sz w:val="28"/>
          <w:szCs w:val="28"/>
        </w:rPr>
        <w:t>artículo 7° de la Ley 819 de 2003. La procuradora general de la Nación destacó que las</w:t>
      </w:r>
      <w:r w:rsidRPr="003A7DA4">
        <w:rPr>
          <w:rFonts w:ascii="Times New Roman" w:hAnsi="Times New Roman" w:cs="Times New Roman"/>
          <w:bCs/>
          <w:iCs/>
          <w:color w:val="000000" w:themeColor="text1"/>
          <w:sz w:val="28"/>
          <w:szCs w:val="28"/>
        </w:rPr>
        <w:t xml:space="preserve"> </w:t>
      </w:r>
      <w:r w:rsidRPr="003A7DA4">
        <w:rPr>
          <w:rFonts w:ascii="Times New Roman" w:hAnsi="Times New Roman" w:cs="Times New Roman"/>
          <w:color w:val="000000" w:themeColor="text1"/>
          <w:sz w:val="28"/>
          <w:szCs w:val="28"/>
        </w:rPr>
        <w:t xml:space="preserve">eventuales </w:t>
      </w:r>
      <w:r w:rsidRPr="003A7DA4">
        <w:rPr>
          <w:rFonts w:ascii="Times New Roman" w:hAnsi="Times New Roman" w:cs="Times New Roman"/>
          <w:color w:val="000000" w:themeColor="text1"/>
          <w:sz w:val="28"/>
          <w:szCs w:val="28"/>
        </w:rPr>
        <w:t>erogaciones que deberá asumir el Estado colombiano para cumplir con</w:t>
      </w:r>
      <w:r w:rsidRPr="003A7DA4">
        <w:rPr>
          <w:rFonts w:ascii="Times New Roman" w:hAnsi="Times New Roman" w:cs="Times New Roman"/>
          <w:bCs/>
          <w:iCs/>
          <w:color w:val="000000" w:themeColor="text1"/>
          <w:sz w:val="28"/>
          <w:szCs w:val="28"/>
        </w:rPr>
        <w:t xml:space="preserve"> </w:t>
      </w:r>
      <w:r w:rsidRPr="003A7DA4">
        <w:rPr>
          <w:rFonts w:ascii="Times New Roman" w:hAnsi="Times New Roman" w:cs="Times New Roman"/>
          <w:color w:val="000000" w:themeColor="text1"/>
          <w:sz w:val="28"/>
          <w:szCs w:val="28"/>
        </w:rPr>
        <w:t>el convenio corresponden, por regla general, a los costos ordinarios propios de la</w:t>
      </w:r>
      <w:r w:rsidRPr="003A7DA4">
        <w:rPr>
          <w:rFonts w:ascii="Times New Roman" w:hAnsi="Times New Roman" w:cs="Times New Roman"/>
          <w:bCs/>
          <w:iCs/>
          <w:color w:val="000000" w:themeColor="text1"/>
          <w:sz w:val="28"/>
          <w:szCs w:val="28"/>
        </w:rPr>
        <w:t xml:space="preserve"> </w:t>
      </w:r>
      <w:r w:rsidRPr="003A7DA4">
        <w:rPr>
          <w:rFonts w:ascii="Times New Roman" w:hAnsi="Times New Roman" w:cs="Times New Roman"/>
          <w:color w:val="000000" w:themeColor="text1"/>
          <w:sz w:val="28"/>
          <w:szCs w:val="28"/>
        </w:rPr>
        <w:t>administración de justicia y no se trata de un gasto nuevo que deba asumir el Estado. Para el efecto, alu</w:t>
      </w:r>
      <w:r w:rsidRPr="003A7DA4">
        <w:rPr>
          <w:rFonts w:ascii="Times New Roman" w:hAnsi="Times New Roman" w:cs="Times New Roman"/>
          <w:color w:val="000000" w:themeColor="text1"/>
          <w:sz w:val="28"/>
          <w:szCs w:val="28"/>
        </w:rPr>
        <w:t>dió al artículo 21 del tratado, que se ocupa de regular los gastos ordinarios de la asistencia judicial.</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Sobre el contenido material, afirmó que el tratado objeto de revisión se compone de un preámbulo y 27 artículos, en los cuales se regulan los mecanism</w:t>
      </w:r>
      <w:r w:rsidRPr="003A7DA4">
        <w:rPr>
          <w:rFonts w:ascii="Times New Roman" w:hAnsi="Times New Roman" w:cs="Times New Roman"/>
          <w:color w:val="000000" w:themeColor="text1"/>
          <w:sz w:val="28"/>
          <w:szCs w:val="28"/>
        </w:rPr>
        <w:t>os de asistencia judicial en materia penal entre los Estados de Colombia y Costa Rica, en especial, las formalidades para realizar las solicitudes de cooperación, las autoridades competentes de cada país, así como los parámetros operativos para la práctica</w:t>
      </w:r>
      <w:r w:rsidRPr="003A7DA4">
        <w:rPr>
          <w:rFonts w:ascii="Times New Roman" w:hAnsi="Times New Roman" w:cs="Times New Roman"/>
          <w:color w:val="000000" w:themeColor="text1"/>
          <w:sz w:val="28"/>
          <w:szCs w:val="28"/>
        </w:rPr>
        <w:t xml:space="preserve"> de pruebas y, en general, el apoyo multilateral requerido para el eficaz desarrollo de las actuaciones procesales.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 xml:space="preserve">En relación con el contenido del cuerpo normativo, sostuvo que se trata de un convenio internacional que se adopta siguiendo el modelo de </w:t>
      </w:r>
      <w:r w:rsidRPr="003A7DA4">
        <w:rPr>
          <w:rFonts w:ascii="Times New Roman" w:hAnsi="Times New Roman" w:cs="Times New Roman"/>
          <w:color w:val="000000" w:themeColor="text1"/>
          <w:sz w:val="28"/>
          <w:szCs w:val="28"/>
        </w:rPr>
        <w:t>tratado de la Asamblea General de las Naciones Unidas para la ordenación multilateral de la asistencia recíproca en asuntos penales, cuyas disposiciones tipo ya han sido analizadas por la Corte Constitucional en varias ocasiones y han sido declaradas exequ</w:t>
      </w:r>
      <w:r w:rsidRPr="003A7DA4">
        <w:rPr>
          <w:rFonts w:ascii="Times New Roman" w:hAnsi="Times New Roman" w:cs="Times New Roman"/>
          <w:color w:val="000000" w:themeColor="text1"/>
          <w:sz w:val="28"/>
          <w:szCs w:val="28"/>
        </w:rPr>
        <w:t xml:space="preserve">ibles. Cita como ejemplos los tratados celebrados con el Reino de España, la Confederación Suiza, la República Popular de China, la Federación Rusa, la República Dominicana, entre otros.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 xml:space="preserve">Destacó que el presente tratado se dirige a regular mecanismos de </w:t>
      </w:r>
      <w:r w:rsidRPr="003A7DA4">
        <w:rPr>
          <w:rFonts w:ascii="Times New Roman" w:hAnsi="Times New Roman" w:cs="Times New Roman"/>
          <w:color w:val="000000" w:themeColor="text1"/>
          <w:sz w:val="28"/>
          <w:szCs w:val="28"/>
        </w:rPr>
        <w:t>asistencia judicial recíproca en materia penal, labor que se ajusta a lo dispuesto en los artículos 2, 4, 9, 29, 226 y 228 de la Carta. La persecución del delito y el establecimiento de formas de cooperación para tal efecto son finalidades por las que el t</w:t>
      </w:r>
      <w:r w:rsidRPr="003A7DA4">
        <w:rPr>
          <w:rFonts w:ascii="Times New Roman" w:hAnsi="Times New Roman" w:cs="Times New Roman"/>
          <w:color w:val="000000" w:themeColor="text1"/>
          <w:sz w:val="28"/>
          <w:szCs w:val="28"/>
        </w:rPr>
        <w:t>exto superior propende. Adicionalmente, manifestó que las disposiciones finales del tratado son reglas ordinarias para la aplicación y funcionamiento del instrumento de cooperación, que no contravienen la Carta sino que son una expresión de la libertad y a</w:t>
      </w:r>
      <w:r w:rsidRPr="003A7DA4">
        <w:rPr>
          <w:rFonts w:ascii="Times New Roman" w:hAnsi="Times New Roman" w:cs="Times New Roman"/>
          <w:color w:val="000000" w:themeColor="text1"/>
          <w:sz w:val="28"/>
          <w:szCs w:val="28"/>
        </w:rPr>
        <w:t>utonomía del Estado para adquirir obligaciones internacionales.</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bCs/>
          <w:color w:val="000000" w:themeColor="text1"/>
          <w:sz w:val="28"/>
          <w:szCs w:val="28"/>
        </w:rPr>
      </w:pPr>
      <w:r w:rsidRPr="003A7DA4">
        <w:rPr>
          <w:rFonts w:ascii="Times New Roman" w:hAnsi="Times New Roman" w:cs="Times New Roman"/>
          <w:color w:val="000000" w:themeColor="text1"/>
          <w:sz w:val="28"/>
          <w:szCs w:val="28"/>
        </w:rPr>
        <w:t>Sobre la exequibilidad material de la Ley 2288 de 2023, resaltó que existe una clara conexidad entre su título y sus artículos, cuyo contenido, por lo demás, respeta el ordenamiento constituc</w:t>
      </w:r>
      <w:r w:rsidRPr="003A7DA4">
        <w:rPr>
          <w:rFonts w:ascii="Times New Roman" w:hAnsi="Times New Roman" w:cs="Times New Roman"/>
          <w:color w:val="000000" w:themeColor="text1"/>
          <w:sz w:val="28"/>
          <w:szCs w:val="28"/>
        </w:rPr>
        <w:t>ional. Así las cosas, solicitó que se declare la exequibilidad de esta.</w:t>
      </w:r>
    </w:p>
    <w:p w:rsidR="00EC4959" w:rsidRPr="003A7DA4" w:rsidRDefault="003A7DA4" w:rsidP="00EC4959">
      <w:pPr>
        <w:contextualSpacing/>
        <w:jc w:val="both"/>
        <w:rPr>
          <w:rFonts w:ascii="Times New Roman" w:hAnsi="Times New Roman" w:cs="Times New Roman"/>
          <w:color w:val="000000" w:themeColor="text1"/>
          <w:sz w:val="28"/>
          <w:szCs w:val="28"/>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CONSIDERACIONES</w:t>
      </w:r>
    </w:p>
    <w:p w:rsidR="00EC4959" w:rsidRPr="003A7DA4" w:rsidRDefault="003A7DA4" w:rsidP="00EC4959">
      <w:pPr>
        <w:jc w:val="both"/>
        <w:rPr>
          <w:rFonts w:ascii="Times New Roman" w:hAnsi="Times New Roman" w:cs="Times New Roman"/>
          <w:color w:val="000000" w:themeColor="text1"/>
          <w:sz w:val="28"/>
          <w:szCs w:val="28"/>
          <w:lang w:val="es-ES_tradnl" w:eastAsia="es-ES"/>
        </w:rPr>
      </w:pPr>
    </w:p>
    <w:p w:rsidR="00EC4959" w:rsidRPr="003A7DA4" w:rsidRDefault="003A7DA4" w:rsidP="00067E87">
      <w:pPr>
        <w:rPr>
          <w:rFonts w:ascii="Times New Roman" w:hAnsi="Times New Roman" w:cs="Times New Roman"/>
          <w:b/>
          <w:bCs/>
          <w:sz w:val="28"/>
          <w:szCs w:val="28"/>
        </w:rPr>
      </w:pPr>
      <w:r w:rsidRPr="003A7DA4">
        <w:rPr>
          <w:rFonts w:ascii="Times New Roman" w:hAnsi="Times New Roman" w:cs="Times New Roman"/>
          <w:b/>
          <w:bCs/>
          <w:sz w:val="28"/>
          <w:szCs w:val="28"/>
        </w:rPr>
        <w:t>Competencia</w:t>
      </w:r>
    </w:p>
    <w:p w:rsidR="00EC4959" w:rsidRPr="003A7DA4" w:rsidRDefault="003A7DA4" w:rsidP="00EC4959">
      <w:pPr>
        <w:tabs>
          <w:tab w:val="left" w:pos="567"/>
        </w:tabs>
        <w:ind w:right="49"/>
        <w:jc w:val="both"/>
        <w:rPr>
          <w:rFonts w:ascii="Times New Roman" w:hAnsi="Times New Roman" w:cs="Times New Roman"/>
          <w:color w:val="000000" w:themeColor="text1"/>
          <w:sz w:val="28"/>
          <w:szCs w:val="28"/>
          <w:lang w:val="es-ES_tradnl" w:eastAsia="es-ES"/>
        </w:rPr>
      </w:pPr>
    </w:p>
    <w:p w:rsidR="00ED4C4C" w:rsidRPr="003A7DA4" w:rsidRDefault="003A7DA4" w:rsidP="00ED4C4C">
      <w:pPr>
        <w:numPr>
          <w:ilvl w:val="0"/>
          <w:numId w:val="8"/>
        </w:numPr>
        <w:tabs>
          <w:tab w:val="left" w:pos="567"/>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lang w:val="es-ES_tradnl" w:eastAsia="es-ES"/>
        </w:rPr>
        <w:t>De conformidad con lo previsto en el artículo 241.10 de la Constitución Política</w:t>
      </w:r>
      <w:r w:rsidRPr="003A7DA4">
        <w:rPr>
          <w:rFonts w:ascii="Times New Roman" w:hAnsi="Times New Roman" w:cs="Times New Roman"/>
          <w:color w:val="000000" w:themeColor="text1"/>
          <w:sz w:val="28"/>
          <w:szCs w:val="28"/>
          <w:vertAlign w:val="superscript"/>
          <w:lang w:val="es-ES_tradnl"/>
        </w:rPr>
        <w:footnoteReference w:id="16"/>
      </w:r>
      <w:r w:rsidRPr="003A7DA4">
        <w:rPr>
          <w:rFonts w:ascii="Times New Roman" w:hAnsi="Times New Roman" w:cs="Times New Roman"/>
          <w:color w:val="000000" w:themeColor="text1"/>
          <w:sz w:val="28"/>
          <w:szCs w:val="28"/>
          <w:lang w:val="es-ES_tradnl" w:eastAsia="es-ES"/>
        </w:rPr>
        <w:t xml:space="preserve">, la Corte Constitucional es competente para ejercer control de constitucionalidad del </w:t>
      </w:r>
      <w:r w:rsidRPr="003A7DA4">
        <w:rPr>
          <w:rFonts w:ascii="Times New Roman" w:hAnsi="Times New Roman" w:cs="Times New Roman"/>
          <w:bCs/>
          <w:color w:val="000000" w:themeColor="text1"/>
          <w:sz w:val="28"/>
          <w:szCs w:val="28"/>
          <w:lang w:eastAsia="es-ES"/>
        </w:rPr>
        <w:t>Convenio suscrito entre la República de Colombia y la República de Costa Rica sobre asistencia judicial en materia penal</w:t>
      </w:r>
      <w:r w:rsidRPr="003A7DA4">
        <w:rPr>
          <w:rFonts w:ascii="Times New Roman" w:hAnsi="Times New Roman" w:cs="Times New Roman"/>
          <w:color w:val="000000" w:themeColor="text1"/>
          <w:sz w:val="28"/>
          <w:szCs w:val="28"/>
          <w:lang w:val="es-ES_tradnl" w:eastAsia="es-ES"/>
        </w:rPr>
        <w:t>, así como de la Ley 2288 de 2023, que lo aprobó.</w:t>
      </w:r>
      <w:r w:rsidRPr="003A7DA4">
        <w:rPr>
          <w:rFonts w:ascii="Times New Roman" w:hAnsi="Times New Roman" w:cs="Times New Roman"/>
          <w:color w:val="000000" w:themeColor="text1"/>
          <w:sz w:val="28"/>
          <w:szCs w:val="28"/>
          <w:lang w:val="es-ES_tradnl" w:eastAsia="es-ES"/>
        </w:rPr>
        <w:t xml:space="preserve"> Este control implica el análisis de constitucionalidad de los aspectos formales y materiales del instrumento y de su correspondiente ley aprobatoria</w:t>
      </w:r>
      <w:r w:rsidRPr="003A7DA4">
        <w:rPr>
          <w:rFonts w:ascii="Times New Roman" w:hAnsi="Times New Roman" w:cs="Times New Roman"/>
          <w:color w:val="000000" w:themeColor="text1"/>
          <w:sz w:val="28"/>
          <w:szCs w:val="28"/>
          <w:vertAlign w:val="superscript"/>
          <w:lang w:val="es-ES_tradnl" w:eastAsia="es-ES"/>
        </w:rPr>
        <w:footnoteReference w:id="17"/>
      </w:r>
      <w:r w:rsidRPr="003A7DA4">
        <w:rPr>
          <w:rFonts w:ascii="Times New Roman" w:hAnsi="Times New Roman" w:cs="Times New Roman"/>
          <w:color w:val="000000" w:themeColor="text1"/>
          <w:sz w:val="28"/>
          <w:szCs w:val="28"/>
          <w:lang w:val="es-ES_tradnl" w:eastAsia="es-ES"/>
        </w:rPr>
        <w:t>.</w:t>
      </w:r>
    </w:p>
    <w:p w:rsidR="00EC4959" w:rsidRPr="003A7DA4" w:rsidRDefault="003A7DA4" w:rsidP="00EC4959">
      <w:pPr>
        <w:tabs>
          <w:tab w:val="left" w:pos="567"/>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1B6BCF">
      <w:pPr>
        <w:rPr>
          <w:rFonts w:ascii="Times New Roman" w:hAnsi="Times New Roman" w:cs="Times New Roman"/>
          <w:sz w:val="28"/>
        </w:rPr>
      </w:pPr>
      <w:r w:rsidRPr="003A7DA4">
        <w:rPr>
          <w:rFonts w:ascii="Times New Roman" w:hAnsi="Times New Roman" w:cs="Times New Roman"/>
          <w:b/>
          <w:bCs/>
          <w:sz w:val="28"/>
          <w:szCs w:val="28"/>
        </w:rPr>
        <w:t xml:space="preserve">Alcance del control </w:t>
      </w:r>
      <w:r w:rsidRPr="003A7DA4">
        <w:rPr>
          <w:rFonts w:ascii="Times New Roman" w:hAnsi="Times New Roman" w:cs="Times New Roman"/>
          <w:b/>
          <w:bCs/>
          <w:sz w:val="28"/>
          <w:szCs w:val="28"/>
        </w:rPr>
        <w:t>en materia de tratados y de sus leyes aprobatorias</w:t>
      </w:r>
    </w:p>
    <w:p w:rsidR="00EC4959" w:rsidRPr="003A7DA4" w:rsidRDefault="003A7DA4" w:rsidP="00EC4959">
      <w:pPr>
        <w:tabs>
          <w:tab w:val="left" w:pos="567"/>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EC4959">
      <w:pPr>
        <w:numPr>
          <w:ilvl w:val="0"/>
          <w:numId w:val="8"/>
        </w:numPr>
        <w:tabs>
          <w:tab w:val="left" w:pos="567"/>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lang w:val="es-ES_tradnl" w:eastAsia="es-ES"/>
        </w:rPr>
        <w:t>Naturaleza y alcance del contro</w:t>
      </w:r>
      <w:r w:rsidRPr="003A7DA4">
        <w:rPr>
          <w:rFonts w:ascii="Times New Roman" w:hAnsi="Times New Roman" w:cs="Times New Roman"/>
          <w:i/>
          <w:iCs/>
          <w:color w:val="000000" w:themeColor="text1"/>
          <w:sz w:val="28"/>
          <w:szCs w:val="28"/>
          <w:lang w:val="es-ES_tradnl" w:eastAsia="es-ES"/>
        </w:rPr>
        <w:t>l de la Corte Constitucional</w:t>
      </w:r>
      <w:r w:rsidRPr="003A7DA4">
        <w:rPr>
          <w:rFonts w:ascii="Times New Roman" w:hAnsi="Times New Roman" w:cs="Times New Roman"/>
          <w:color w:val="000000" w:themeColor="text1"/>
          <w:sz w:val="28"/>
          <w:szCs w:val="28"/>
          <w:lang w:val="es-ES_tradnl" w:eastAsia="es-ES"/>
        </w:rPr>
        <w:t xml:space="preserve">. </w:t>
      </w:r>
      <w:r w:rsidRPr="003A7DA4">
        <w:rPr>
          <w:rFonts w:ascii="Times New Roman" w:hAnsi="Times New Roman" w:cs="Times New Roman"/>
          <w:color w:val="000000" w:themeColor="text1"/>
          <w:sz w:val="28"/>
          <w:szCs w:val="28"/>
          <w:lang w:eastAsia="es-ES"/>
        </w:rPr>
        <w:t>De manera uniforme y pacífica</w:t>
      </w:r>
      <w:r w:rsidRPr="003A7DA4">
        <w:rPr>
          <w:rFonts w:ascii="Times New Roman" w:hAnsi="Times New Roman" w:cs="Times New Roman"/>
          <w:color w:val="000000" w:themeColor="text1"/>
          <w:sz w:val="28"/>
          <w:szCs w:val="28"/>
          <w:vertAlign w:val="superscript"/>
        </w:rPr>
        <w:footnoteReference w:id="18"/>
      </w:r>
      <w:r w:rsidRPr="003A7DA4">
        <w:rPr>
          <w:rFonts w:ascii="Times New Roman" w:hAnsi="Times New Roman" w:cs="Times New Roman"/>
          <w:color w:val="000000" w:themeColor="text1"/>
          <w:sz w:val="28"/>
          <w:szCs w:val="28"/>
          <w:lang w:eastAsia="es-ES"/>
        </w:rPr>
        <w:t xml:space="preserve">, esta Corte ha sostenido que el control de constitucionalidad de los tratados internacionales y de sus leyes aprobatorias se caracteriza por ser: (i) </w:t>
      </w:r>
      <w:r w:rsidRPr="003A7DA4">
        <w:rPr>
          <w:rFonts w:ascii="Times New Roman" w:hAnsi="Times New Roman" w:cs="Times New Roman"/>
          <w:i/>
          <w:iCs/>
          <w:color w:val="000000" w:themeColor="text1"/>
          <w:sz w:val="28"/>
          <w:szCs w:val="28"/>
          <w:lang w:eastAsia="es-ES"/>
        </w:rPr>
        <w:t>previo</w:t>
      </w:r>
      <w:r w:rsidRPr="003A7DA4">
        <w:rPr>
          <w:rFonts w:ascii="Times New Roman" w:hAnsi="Times New Roman" w:cs="Times New Roman"/>
          <w:color w:val="000000" w:themeColor="text1"/>
          <w:sz w:val="28"/>
          <w:szCs w:val="28"/>
          <w:lang w:eastAsia="es-ES"/>
        </w:rPr>
        <w:t xml:space="preserve"> al perfeccionamiento del tratado, pero posterior a la aprobación del Congreso y a la sanción presidencial de la ley aprobatoria; (ii) </w:t>
      </w:r>
      <w:r w:rsidRPr="003A7DA4">
        <w:rPr>
          <w:rFonts w:ascii="Times New Roman" w:hAnsi="Times New Roman" w:cs="Times New Roman"/>
          <w:i/>
          <w:iCs/>
          <w:color w:val="000000" w:themeColor="text1"/>
          <w:sz w:val="28"/>
          <w:szCs w:val="28"/>
          <w:lang w:eastAsia="es-ES"/>
        </w:rPr>
        <w:t>automático</w:t>
      </w:r>
      <w:r w:rsidRPr="003A7DA4">
        <w:rPr>
          <w:rFonts w:ascii="Times New Roman" w:hAnsi="Times New Roman" w:cs="Times New Roman"/>
          <w:color w:val="000000" w:themeColor="text1"/>
          <w:sz w:val="28"/>
          <w:szCs w:val="28"/>
          <w:lang w:eastAsia="es-ES"/>
        </w:rPr>
        <w:t xml:space="preserve">, porque no requiere demanda, pues el instrumento debe ser enviado a la Corte Constitucional por el presidente </w:t>
      </w:r>
      <w:r w:rsidRPr="003A7DA4">
        <w:rPr>
          <w:rFonts w:ascii="Times New Roman" w:hAnsi="Times New Roman" w:cs="Times New Roman"/>
          <w:color w:val="000000" w:themeColor="text1"/>
          <w:sz w:val="28"/>
          <w:szCs w:val="28"/>
          <w:lang w:eastAsia="es-ES"/>
        </w:rPr>
        <w:t xml:space="preserve">de la República dentro de los seis días siguientes luego de la sanción correspondiente; (iii) </w:t>
      </w:r>
      <w:r w:rsidRPr="003A7DA4">
        <w:rPr>
          <w:rFonts w:ascii="Times New Roman" w:hAnsi="Times New Roman" w:cs="Times New Roman"/>
          <w:i/>
          <w:iCs/>
          <w:color w:val="000000" w:themeColor="text1"/>
          <w:sz w:val="28"/>
          <w:szCs w:val="28"/>
          <w:lang w:eastAsia="es-ES"/>
        </w:rPr>
        <w:t>integral</w:t>
      </w:r>
      <w:r w:rsidRPr="003A7DA4">
        <w:rPr>
          <w:rFonts w:ascii="Times New Roman" w:hAnsi="Times New Roman" w:cs="Times New Roman"/>
          <w:color w:val="000000" w:themeColor="text1"/>
          <w:sz w:val="28"/>
          <w:szCs w:val="28"/>
          <w:lang w:eastAsia="es-ES"/>
        </w:rPr>
        <w:t xml:space="preserve">, en la medida en que el análisis de constitucionalidad abarca tanto los aspectos </w:t>
      </w:r>
      <w:r w:rsidRPr="003A7DA4">
        <w:rPr>
          <w:rFonts w:ascii="Times New Roman" w:hAnsi="Times New Roman" w:cs="Times New Roman"/>
          <w:i/>
          <w:iCs/>
          <w:color w:val="000000" w:themeColor="text1"/>
          <w:sz w:val="28"/>
          <w:szCs w:val="28"/>
          <w:lang w:eastAsia="es-ES"/>
        </w:rPr>
        <w:t>formales</w:t>
      </w:r>
      <w:r w:rsidRPr="003A7DA4">
        <w:rPr>
          <w:rFonts w:ascii="Times New Roman" w:hAnsi="Times New Roman" w:cs="Times New Roman"/>
          <w:color w:val="000000" w:themeColor="text1"/>
          <w:sz w:val="28"/>
          <w:szCs w:val="28"/>
          <w:lang w:eastAsia="es-ES"/>
        </w:rPr>
        <w:t xml:space="preserve"> como los </w:t>
      </w:r>
      <w:r w:rsidRPr="003A7DA4">
        <w:rPr>
          <w:rFonts w:ascii="Times New Roman" w:hAnsi="Times New Roman" w:cs="Times New Roman"/>
          <w:i/>
          <w:iCs/>
          <w:color w:val="000000" w:themeColor="text1"/>
          <w:sz w:val="28"/>
          <w:szCs w:val="28"/>
          <w:lang w:eastAsia="es-ES"/>
        </w:rPr>
        <w:t>materiales</w:t>
      </w:r>
      <w:r w:rsidRPr="003A7DA4">
        <w:rPr>
          <w:rFonts w:ascii="Times New Roman" w:hAnsi="Times New Roman" w:cs="Times New Roman"/>
          <w:color w:val="000000" w:themeColor="text1"/>
          <w:sz w:val="28"/>
          <w:szCs w:val="28"/>
          <w:lang w:eastAsia="es-ES"/>
        </w:rPr>
        <w:t xml:space="preserve"> de la ley y del tratado; (iv) la decisión q</w:t>
      </w:r>
      <w:r w:rsidRPr="003A7DA4">
        <w:rPr>
          <w:rFonts w:ascii="Times New Roman" w:hAnsi="Times New Roman" w:cs="Times New Roman"/>
          <w:color w:val="000000" w:themeColor="text1"/>
          <w:sz w:val="28"/>
          <w:szCs w:val="28"/>
          <w:lang w:eastAsia="es-ES"/>
        </w:rPr>
        <w:t>ue tome la Corte</w:t>
      </w:r>
      <w:r w:rsidRPr="003A7DA4">
        <w:rPr>
          <w:rFonts w:ascii="Times New Roman" w:hAnsi="Times New Roman" w:cs="Times New Roman"/>
          <w:i/>
          <w:iCs/>
          <w:color w:val="000000" w:themeColor="text1"/>
          <w:sz w:val="28"/>
          <w:szCs w:val="28"/>
          <w:lang w:eastAsia="es-ES"/>
        </w:rPr>
        <w:t xml:space="preserve"> tiene fuerza de cosa juzgada absoluta</w:t>
      </w:r>
      <w:r w:rsidRPr="003A7DA4">
        <w:rPr>
          <w:rFonts w:ascii="Times New Roman" w:hAnsi="Times New Roman" w:cs="Times New Roman"/>
          <w:color w:val="000000" w:themeColor="text1"/>
          <w:sz w:val="28"/>
          <w:szCs w:val="28"/>
          <w:lang w:eastAsia="es-ES"/>
        </w:rPr>
        <w:t xml:space="preserve">; (v) es un requisito </w:t>
      </w:r>
      <w:r w:rsidRPr="003A7DA4">
        <w:rPr>
          <w:rFonts w:ascii="Times New Roman" w:hAnsi="Times New Roman" w:cs="Times New Roman"/>
          <w:i/>
          <w:iCs/>
          <w:color w:val="000000" w:themeColor="text1"/>
          <w:sz w:val="28"/>
          <w:szCs w:val="28"/>
          <w:lang w:eastAsia="es-ES"/>
        </w:rPr>
        <w:t>sine qua non</w:t>
      </w:r>
      <w:r w:rsidRPr="003A7DA4">
        <w:rPr>
          <w:rFonts w:ascii="Times New Roman" w:hAnsi="Times New Roman" w:cs="Times New Roman"/>
          <w:color w:val="000000" w:themeColor="text1"/>
          <w:sz w:val="28"/>
          <w:szCs w:val="28"/>
          <w:lang w:eastAsia="es-ES"/>
        </w:rPr>
        <w:t xml:space="preserve"> para la ratificación del acuerdo; y (vi) </w:t>
      </w:r>
      <w:r w:rsidRPr="003A7DA4">
        <w:rPr>
          <w:rFonts w:ascii="Times New Roman" w:hAnsi="Times New Roman" w:cs="Times New Roman"/>
          <w:i/>
          <w:iCs/>
          <w:color w:val="000000" w:themeColor="text1"/>
          <w:sz w:val="28"/>
          <w:szCs w:val="28"/>
          <w:lang w:eastAsia="es-ES"/>
        </w:rPr>
        <w:t>tiene una función preventiva</w:t>
      </w:r>
      <w:r w:rsidRPr="003A7DA4">
        <w:rPr>
          <w:rFonts w:ascii="Times New Roman" w:hAnsi="Times New Roman" w:cs="Times New Roman"/>
          <w:color w:val="000000" w:themeColor="text1"/>
          <w:sz w:val="28"/>
          <w:szCs w:val="28"/>
          <w:lang w:eastAsia="es-ES"/>
        </w:rPr>
        <w:t>, en tanto que su finalidad es garantizar la supremacía de la Constitución y el cumplimiento de lo</w:t>
      </w:r>
      <w:r w:rsidRPr="003A7DA4">
        <w:rPr>
          <w:rFonts w:ascii="Times New Roman" w:hAnsi="Times New Roman" w:cs="Times New Roman"/>
          <w:color w:val="000000" w:themeColor="text1"/>
          <w:sz w:val="28"/>
          <w:szCs w:val="28"/>
          <w:lang w:eastAsia="es-ES"/>
        </w:rPr>
        <w:t>s compromisos internacionales adquiridos por el Estado.</w:t>
      </w:r>
    </w:p>
    <w:p w:rsidR="00EC4959" w:rsidRPr="003A7DA4" w:rsidRDefault="003A7DA4" w:rsidP="00EC4959">
      <w:pPr>
        <w:rPr>
          <w:rFonts w:ascii="Times New Roman" w:hAnsi="Times New Roman" w:cs="Times New Roman"/>
          <w:color w:val="000000" w:themeColor="text1"/>
          <w:sz w:val="28"/>
        </w:rPr>
      </w:pPr>
    </w:p>
    <w:p w:rsidR="00EC4959" w:rsidRPr="003A7DA4" w:rsidRDefault="003A7DA4" w:rsidP="00EC4959">
      <w:pPr>
        <w:numPr>
          <w:ilvl w:val="0"/>
          <w:numId w:val="8"/>
        </w:numPr>
        <w:tabs>
          <w:tab w:val="left" w:pos="567"/>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lang w:val="es-ES_tradnl" w:eastAsia="es-ES"/>
        </w:rPr>
        <w:t>Control de constitucionalidad formal</w:t>
      </w:r>
      <w:r w:rsidRPr="003A7DA4">
        <w:rPr>
          <w:rFonts w:ascii="Times New Roman" w:hAnsi="Times New Roman" w:cs="Times New Roman"/>
          <w:color w:val="000000" w:themeColor="text1"/>
          <w:sz w:val="28"/>
          <w:szCs w:val="28"/>
          <w:vertAlign w:val="superscript"/>
          <w:lang w:val="es-ES_tradnl" w:eastAsia="es-ES"/>
        </w:rPr>
        <w:footnoteReference w:id="19"/>
      </w:r>
      <w:r w:rsidRPr="003A7DA4">
        <w:rPr>
          <w:rFonts w:ascii="Times New Roman" w:hAnsi="Times New Roman" w:cs="Times New Roman"/>
          <w:color w:val="000000" w:themeColor="text1"/>
          <w:sz w:val="28"/>
          <w:szCs w:val="28"/>
          <w:vertAlign w:val="superscript"/>
          <w:lang w:val="es-ES_tradnl" w:eastAsia="es-ES"/>
        </w:rPr>
        <w:t>.</w:t>
      </w:r>
      <w:r w:rsidRPr="003A7DA4">
        <w:rPr>
          <w:rFonts w:ascii="Times New Roman" w:hAnsi="Times New Roman" w:cs="Times New Roman"/>
          <w:color w:val="000000" w:themeColor="text1"/>
          <w:sz w:val="28"/>
          <w:szCs w:val="28"/>
          <w:lang w:val="es-ES_tradnl" w:eastAsia="es-ES"/>
        </w:rPr>
        <w:t xml:space="preserve"> Implica examinar si el tratado internacional y su ley aprobatoria cumplen los requisitos procedimentales previstos por la Constitución y por la Ley 5ª de 1992. </w:t>
      </w:r>
      <w:r w:rsidRPr="003A7DA4">
        <w:rPr>
          <w:rFonts w:ascii="Times New Roman" w:hAnsi="Times New Roman" w:cs="Times New Roman"/>
          <w:color w:val="000000" w:themeColor="text1"/>
          <w:sz w:val="28"/>
          <w:szCs w:val="28"/>
          <w:lang w:val="es-ES_tradnl" w:eastAsia="es-ES"/>
        </w:rPr>
        <w:t>Supone la verificación de los siguientes aspectos: (i) la validez de la representación del Estado colombiano en las fases de negociación, celebración y firma del tratado correspondiente; (ii) el examen del cumplimiento del requisito de consulta previa, cua</w:t>
      </w:r>
      <w:r w:rsidRPr="003A7DA4">
        <w:rPr>
          <w:rFonts w:ascii="Times New Roman" w:hAnsi="Times New Roman" w:cs="Times New Roman"/>
          <w:color w:val="000000" w:themeColor="text1"/>
          <w:sz w:val="28"/>
          <w:szCs w:val="28"/>
          <w:lang w:val="es-ES_tradnl" w:eastAsia="es-ES"/>
        </w:rPr>
        <w:t>ndo el tratado internacional o las medidas que lo desarrollen impliquen una afectación directa a las comunidades étnicas implicadas; (i</w:t>
      </w:r>
      <w:r w:rsidRPr="003A7DA4">
        <w:rPr>
          <w:rFonts w:ascii="Times New Roman" w:hAnsi="Times New Roman" w:cs="Times New Roman"/>
          <w:color w:val="000000" w:themeColor="text1"/>
          <w:sz w:val="28"/>
          <w:szCs w:val="28"/>
          <w:lang w:val="es-ES_tradnl" w:eastAsia="es-ES"/>
        </w:rPr>
        <w:t>ii</w:t>
      </w:r>
      <w:r w:rsidRPr="003A7DA4">
        <w:rPr>
          <w:rFonts w:ascii="Times New Roman" w:hAnsi="Times New Roman" w:cs="Times New Roman"/>
          <w:color w:val="000000" w:themeColor="text1"/>
          <w:sz w:val="28"/>
          <w:szCs w:val="28"/>
          <w:lang w:val="es-ES_tradnl" w:eastAsia="es-ES"/>
        </w:rPr>
        <w:t>) estudiar el trámite legislativo del proyecto de ley ante el Congreso de la República, de acuerdo con las reglas proce</w:t>
      </w:r>
      <w:r w:rsidRPr="003A7DA4">
        <w:rPr>
          <w:rFonts w:ascii="Times New Roman" w:hAnsi="Times New Roman" w:cs="Times New Roman"/>
          <w:color w:val="000000" w:themeColor="text1"/>
          <w:sz w:val="28"/>
          <w:szCs w:val="28"/>
          <w:lang w:val="es-ES_tradnl" w:eastAsia="es-ES"/>
        </w:rPr>
        <w:t>dimentales para su publicación, deliberación y aprobación, y el respeto por los principios de consecutividad e identidad flexible</w:t>
      </w:r>
      <w:r w:rsidRPr="003A7DA4">
        <w:rPr>
          <w:rFonts w:ascii="Times New Roman" w:hAnsi="Times New Roman" w:cs="Times New Roman"/>
          <w:color w:val="000000" w:themeColor="text1"/>
          <w:sz w:val="28"/>
          <w:szCs w:val="28"/>
          <w:lang w:val="es-ES_tradnl" w:eastAsia="es-ES"/>
        </w:rPr>
        <w:t>; y (v</w:t>
      </w:r>
      <w:r w:rsidRPr="003A7DA4">
        <w:rPr>
          <w:rFonts w:ascii="Times New Roman" w:hAnsi="Times New Roman" w:cs="Times New Roman"/>
          <w:color w:val="000000" w:themeColor="text1"/>
          <w:sz w:val="28"/>
          <w:szCs w:val="28"/>
          <w:lang w:val="es-ES_tradnl" w:eastAsia="es-ES"/>
        </w:rPr>
        <w:t>i</w:t>
      </w:r>
      <w:r w:rsidRPr="003A7DA4">
        <w:rPr>
          <w:rFonts w:ascii="Times New Roman" w:hAnsi="Times New Roman" w:cs="Times New Roman"/>
          <w:color w:val="000000" w:themeColor="text1"/>
          <w:sz w:val="28"/>
          <w:szCs w:val="28"/>
          <w:lang w:val="es-ES_tradnl" w:eastAsia="es-ES"/>
        </w:rPr>
        <w:t xml:space="preserve">) el análisis del cumplimiento del requisito de impacto fiscal. </w:t>
      </w:r>
    </w:p>
    <w:p w:rsidR="00EC4959" w:rsidRPr="003A7DA4" w:rsidRDefault="003A7DA4" w:rsidP="00EC4959">
      <w:pPr>
        <w:tabs>
          <w:tab w:val="left" w:pos="567"/>
        </w:tabs>
        <w:ind w:right="49"/>
        <w:jc w:val="both"/>
        <w:rPr>
          <w:rFonts w:ascii="Times New Roman" w:hAnsi="Times New Roman" w:cs="Times New Roman"/>
          <w:color w:val="000000" w:themeColor="text1"/>
          <w:sz w:val="28"/>
          <w:lang w:val="es-ES_tradnl" w:eastAsia="es-ES"/>
        </w:rPr>
      </w:pPr>
    </w:p>
    <w:p w:rsidR="00EC4959" w:rsidRPr="003A7DA4" w:rsidRDefault="003A7DA4" w:rsidP="00EC4959">
      <w:pPr>
        <w:numPr>
          <w:ilvl w:val="0"/>
          <w:numId w:val="8"/>
        </w:numPr>
        <w:tabs>
          <w:tab w:val="left" w:pos="567"/>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rPr>
        <w:t>Control de constitucionalidad material</w:t>
      </w:r>
      <w:r w:rsidRPr="003A7DA4">
        <w:rPr>
          <w:rFonts w:ascii="Times New Roman" w:hAnsi="Times New Roman" w:cs="Times New Roman"/>
          <w:color w:val="000000" w:themeColor="text1"/>
          <w:sz w:val="28"/>
          <w:szCs w:val="28"/>
        </w:rPr>
        <w:t xml:space="preserve">. Consiste en </w:t>
      </w:r>
      <w:r w:rsidRPr="003A7DA4">
        <w:rPr>
          <w:rFonts w:ascii="Times New Roman" w:hAnsi="Times New Roman" w:cs="Times New Roman"/>
          <w:color w:val="000000" w:themeColor="text1"/>
          <w:sz w:val="28"/>
          <w:szCs w:val="28"/>
        </w:rPr>
        <w:t>confrontar el contenido “del Tratado internacional que se revisa y el de su ley aprobatoria, con la totalidad de las disposiciones de la Constitución, para determinar si se ajusta o no a la Carta Política”</w:t>
      </w:r>
      <w:r w:rsidRPr="003A7DA4">
        <w:rPr>
          <w:rFonts w:ascii="Times New Roman" w:hAnsi="Times New Roman" w:cs="Times New Roman"/>
          <w:color w:val="000000" w:themeColor="text1"/>
          <w:sz w:val="28"/>
          <w:szCs w:val="28"/>
          <w:vertAlign w:val="superscript"/>
        </w:rPr>
        <w:footnoteReference w:id="20"/>
      </w:r>
      <w:r w:rsidRPr="003A7DA4">
        <w:rPr>
          <w:rFonts w:ascii="Times New Roman" w:hAnsi="Times New Roman" w:cs="Times New Roman"/>
          <w:color w:val="000000" w:themeColor="text1"/>
          <w:sz w:val="28"/>
          <w:szCs w:val="28"/>
        </w:rPr>
        <w:t>. Este control comprende el análisis de constituci</w:t>
      </w:r>
      <w:r w:rsidRPr="003A7DA4">
        <w:rPr>
          <w:rFonts w:ascii="Times New Roman" w:hAnsi="Times New Roman" w:cs="Times New Roman"/>
          <w:color w:val="000000" w:themeColor="text1"/>
          <w:sz w:val="28"/>
          <w:szCs w:val="28"/>
        </w:rPr>
        <w:t>onalidad del tratado en general y de sus finalidades</w:t>
      </w:r>
      <w:r w:rsidRPr="003A7DA4">
        <w:rPr>
          <w:rFonts w:ascii="Times New Roman" w:hAnsi="Times New Roman" w:cs="Times New Roman"/>
          <w:color w:val="000000" w:themeColor="text1"/>
          <w:sz w:val="28"/>
          <w:szCs w:val="28"/>
          <w:vertAlign w:val="superscript"/>
        </w:rPr>
        <w:footnoteReference w:id="21"/>
      </w:r>
      <w:r w:rsidRPr="003A7DA4">
        <w:rPr>
          <w:rFonts w:ascii="Times New Roman" w:hAnsi="Times New Roman" w:cs="Times New Roman"/>
          <w:color w:val="000000" w:themeColor="text1"/>
          <w:sz w:val="28"/>
          <w:szCs w:val="28"/>
        </w:rPr>
        <w:t>, así como el de su contenido particular, esto es, de las “disposiciones del instrumento internacional y de su ley aprobatoria”</w:t>
      </w:r>
      <w:r w:rsidRPr="003A7DA4">
        <w:rPr>
          <w:rFonts w:ascii="Times New Roman" w:hAnsi="Times New Roman" w:cs="Times New Roman"/>
          <w:color w:val="000000" w:themeColor="text1"/>
          <w:sz w:val="28"/>
          <w:szCs w:val="28"/>
          <w:vertAlign w:val="superscript"/>
        </w:rPr>
        <w:footnoteReference w:id="22"/>
      </w:r>
      <w:r w:rsidRPr="003A7DA4">
        <w:rPr>
          <w:rFonts w:ascii="Times New Roman" w:hAnsi="Times New Roman" w:cs="Times New Roman"/>
          <w:color w:val="000000" w:themeColor="text1"/>
          <w:sz w:val="28"/>
          <w:szCs w:val="28"/>
        </w:rPr>
        <w:t>. El parámetro para llevar a cabo este control, en general, está conformado</w:t>
      </w:r>
      <w:r w:rsidRPr="003A7DA4">
        <w:rPr>
          <w:rFonts w:ascii="Times New Roman" w:hAnsi="Times New Roman" w:cs="Times New Roman"/>
          <w:color w:val="000000" w:themeColor="text1"/>
          <w:sz w:val="28"/>
          <w:szCs w:val="28"/>
        </w:rPr>
        <w:t xml:space="preserve"> por “la totalidad de los preceptos constitucionales”</w:t>
      </w:r>
      <w:r w:rsidRPr="003A7DA4">
        <w:rPr>
          <w:rFonts w:ascii="Times New Roman" w:hAnsi="Times New Roman" w:cs="Times New Roman"/>
          <w:color w:val="000000" w:themeColor="text1"/>
          <w:sz w:val="28"/>
          <w:szCs w:val="28"/>
          <w:vertAlign w:val="superscript"/>
        </w:rPr>
        <w:footnoteReference w:id="23"/>
      </w:r>
      <w:r w:rsidRPr="003A7DA4">
        <w:rPr>
          <w:rFonts w:ascii="Times New Roman" w:hAnsi="Times New Roman" w:cs="Times New Roman"/>
          <w:color w:val="000000" w:themeColor="text1"/>
          <w:sz w:val="28"/>
          <w:szCs w:val="28"/>
        </w:rPr>
        <w:t>, y, en particular, por los postulados de equidad, reciprocidad y conveniencia nacional (artículos 226 y 227 de la Constitución) que orientan el manejo de las relaciones internacionales y la suscripción</w:t>
      </w:r>
      <w:r w:rsidRPr="003A7DA4">
        <w:rPr>
          <w:rFonts w:ascii="Times New Roman" w:hAnsi="Times New Roman" w:cs="Times New Roman"/>
          <w:color w:val="000000" w:themeColor="text1"/>
          <w:sz w:val="28"/>
          <w:szCs w:val="28"/>
        </w:rPr>
        <w:t xml:space="preserve"> de tratados con otros Estados y organismos de derecho internacional</w:t>
      </w:r>
      <w:r w:rsidRPr="003A7DA4">
        <w:rPr>
          <w:rFonts w:ascii="Times New Roman" w:hAnsi="Times New Roman" w:cs="Times New Roman"/>
          <w:color w:val="000000" w:themeColor="text1"/>
          <w:sz w:val="28"/>
          <w:szCs w:val="28"/>
          <w:vertAlign w:val="superscript"/>
        </w:rPr>
        <w:footnoteReference w:id="24"/>
      </w:r>
      <w:r w:rsidRPr="003A7DA4">
        <w:rPr>
          <w:rFonts w:ascii="Times New Roman" w:hAnsi="Times New Roman" w:cs="Times New Roman"/>
          <w:color w:val="000000" w:themeColor="text1"/>
          <w:sz w:val="28"/>
          <w:szCs w:val="28"/>
        </w:rPr>
        <w:t>.</w:t>
      </w:r>
    </w:p>
    <w:p w:rsidR="00582B5F" w:rsidRPr="003A7DA4" w:rsidRDefault="003A7DA4" w:rsidP="004B477E">
      <w:pPr>
        <w:ind w:left="1080"/>
        <w:rPr>
          <w:rFonts w:ascii="Times New Roman" w:hAnsi="Times New Roman" w:cs="Times New Roman"/>
          <w:sz w:val="28"/>
        </w:rPr>
      </w:pPr>
    </w:p>
    <w:p w:rsidR="00582B5F" w:rsidRPr="003A7DA4" w:rsidRDefault="003A7DA4" w:rsidP="001B6BCF">
      <w:pPr>
        <w:tabs>
          <w:tab w:val="left" w:pos="567"/>
        </w:tabs>
        <w:ind w:right="49"/>
        <w:jc w:val="both"/>
        <w:rPr>
          <w:rFonts w:ascii="Times New Roman" w:hAnsi="Times New Roman" w:cs="Times New Roman"/>
          <w:b/>
          <w:bCs/>
          <w:color w:val="000000" w:themeColor="text1"/>
          <w:sz w:val="28"/>
          <w:szCs w:val="28"/>
          <w:lang w:val="es-ES_tradnl" w:eastAsia="es-ES"/>
        </w:rPr>
      </w:pPr>
      <w:r w:rsidRPr="003A7DA4">
        <w:rPr>
          <w:rFonts w:ascii="Times New Roman" w:hAnsi="Times New Roman" w:cs="Times New Roman"/>
          <w:b/>
          <w:bCs/>
          <w:color w:val="000000" w:themeColor="text1"/>
          <w:sz w:val="28"/>
          <w:szCs w:val="28"/>
          <w:lang w:val="es-ES_tradnl" w:eastAsia="es-ES"/>
        </w:rPr>
        <w:t>Control de constitucionalidad formal</w:t>
      </w:r>
    </w:p>
    <w:p w:rsidR="00DC46BB" w:rsidRPr="003A7DA4" w:rsidRDefault="003A7DA4" w:rsidP="00DC46BB">
      <w:pPr>
        <w:tabs>
          <w:tab w:val="left" w:pos="426"/>
        </w:tabs>
        <w:ind w:right="49"/>
        <w:jc w:val="both"/>
        <w:rPr>
          <w:rFonts w:ascii="Times New Roman" w:hAnsi="Times New Roman" w:cs="Times New Roman"/>
          <w:color w:val="000000" w:themeColor="text1"/>
          <w:sz w:val="28"/>
          <w:szCs w:val="28"/>
          <w:lang w:val="es-ES_tradnl" w:eastAsia="es-ES"/>
        </w:rPr>
      </w:pPr>
    </w:p>
    <w:p w:rsidR="005A15EB" w:rsidRPr="003A7DA4" w:rsidRDefault="003A7DA4" w:rsidP="00EC4959">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lang w:eastAsia="es-ES"/>
        </w:rPr>
        <w:t>Análisis de la fase previa gubernamental</w:t>
      </w:r>
      <w:r w:rsidRPr="003A7DA4">
        <w:rPr>
          <w:rFonts w:ascii="Times New Roman" w:hAnsi="Times New Roman" w:cs="Times New Roman"/>
          <w:color w:val="000000" w:themeColor="text1"/>
          <w:sz w:val="28"/>
          <w:szCs w:val="28"/>
          <w:lang w:eastAsia="es-ES"/>
        </w:rPr>
        <w:t xml:space="preserve">. </w:t>
      </w:r>
      <w:r w:rsidRPr="003A7DA4">
        <w:rPr>
          <w:rFonts w:ascii="Times New Roman" w:hAnsi="Times New Roman" w:cs="Times New Roman"/>
          <w:color w:val="000000" w:themeColor="text1"/>
          <w:sz w:val="28"/>
          <w:szCs w:val="28"/>
          <w:lang w:val="es-ES_tradnl" w:eastAsia="es-ES"/>
        </w:rPr>
        <w:t xml:space="preserve">El control de constitucionalidad en esta fase requiere que la Corte Constitucional verifique: (i) la </w:t>
      </w:r>
      <w:r w:rsidRPr="003A7DA4">
        <w:rPr>
          <w:rFonts w:ascii="Times New Roman" w:hAnsi="Times New Roman" w:cs="Times New Roman"/>
          <w:color w:val="000000" w:themeColor="text1"/>
          <w:sz w:val="28"/>
          <w:szCs w:val="28"/>
          <w:lang w:val="es-ES_tradnl" w:eastAsia="es-ES"/>
        </w:rPr>
        <w:t>validez de la representación del Estado colombiano en la negociación, celebración y firma del tratado</w:t>
      </w:r>
      <w:r w:rsidRPr="003A7DA4">
        <w:rPr>
          <w:rFonts w:ascii="Times New Roman" w:hAnsi="Times New Roman" w:cs="Times New Roman"/>
          <w:color w:val="000000" w:themeColor="text1"/>
          <w:sz w:val="28"/>
          <w:szCs w:val="28"/>
          <w:vertAlign w:val="superscript"/>
          <w:lang w:val="es-ES_tradnl" w:eastAsia="es-ES"/>
        </w:rPr>
        <w:footnoteReference w:id="25"/>
      </w:r>
      <w:r w:rsidRPr="003A7DA4">
        <w:rPr>
          <w:rFonts w:ascii="Times New Roman" w:hAnsi="Times New Roman" w:cs="Times New Roman"/>
          <w:color w:val="000000" w:themeColor="text1"/>
          <w:sz w:val="28"/>
          <w:szCs w:val="28"/>
          <w:lang w:val="es-ES_tradnl" w:eastAsia="es-ES"/>
        </w:rPr>
        <w:t>; y (ii) si el proyecto de ley que contiene el tratado fue sometido a la aprobación del Congreso por parte del presidente de la República</w:t>
      </w:r>
      <w:r w:rsidRPr="003A7DA4">
        <w:rPr>
          <w:rFonts w:ascii="Times New Roman" w:hAnsi="Times New Roman" w:cs="Times New Roman"/>
          <w:color w:val="000000" w:themeColor="text1"/>
          <w:sz w:val="28"/>
          <w:szCs w:val="28"/>
          <w:vertAlign w:val="superscript"/>
          <w:lang w:val="es-ES_tradnl" w:eastAsia="es-ES"/>
        </w:rPr>
        <w:footnoteReference w:id="26"/>
      </w:r>
      <w:r w:rsidRPr="003A7DA4">
        <w:rPr>
          <w:rFonts w:ascii="Times New Roman" w:hAnsi="Times New Roman" w:cs="Times New Roman"/>
          <w:color w:val="000000" w:themeColor="text1"/>
          <w:sz w:val="28"/>
          <w:szCs w:val="28"/>
          <w:vertAlign w:val="subscript"/>
          <w:lang w:val="es-ES_tradnl" w:eastAsia="es-ES"/>
        </w:rPr>
        <w:t>.</w:t>
      </w:r>
    </w:p>
    <w:p w:rsidR="00EC4959" w:rsidRPr="003A7DA4" w:rsidRDefault="003A7DA4" w:rsidP="001B6BCF">
      <w:pPr>
        <w:tabs>
          <w:tab w:val="left" w:pos="426"/>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lang w:val="es-ES_tradnl" w:eastAsia="es-ES"/>
        </w:rPr>
        <w:t>La representa</w:t>
      </w:r>
      <w:r w:rsidRPr="003A7DA4">
        <w:rPr>
          <w:rFonts w:ascii="Times New Roman" w:hAnsi="Times New Roman" w:cs="Times New Roman"/>
          <w:i/>
          <w:iCs/>
          <w:color w:val="000000" w:themeColor="text1"/>
          <w:sz w:val="28"/>
          <w:szCs w:val="28"/>
          <w:lang w:val="es-ES_tradnl" w:eastAsia="es-ES"/>
        </w:rPr>
        <w:t>ción del Estado en las fases de negociación, celebración y la firma del tratado fue válida</w:t>
      </w:r>
      <w:r w:rsidRPr="003A7DA4">
        <w:rPr>
          <w:rFonts w:ascii="Times New Roman" w:hAnsi="Times New Roman" w:cs="Times New Roman"/>
          <w:color w:val="000000" w:themeColor="text1"/>
          <w:sz w:val="28"/>
          <w:szCs w:val="28"/>
          <w:lang w:val="es-ES_tradnl" w:eastAsia="es-ES"/>
        </w:rPr>
        <w:t>. El artículo 7º de la Convención de Viena sobre el Derecho de los Tratados de 1969</w:t>
      </w:r>
      <w:r w:rsidRPr="003A7DA4">
        <w:rPr>
          <w:rFonts w:ascii="Times New Roman" w:hAnsi="Times New Roman" w:cs="Times New Roman"/>
          <w:color w:val="000000" w:themeColor="text1"/>
          <w:sz w:val="28"/>
          <w:szCs w:val="28"/>
          <w:vertAlign w:val="superscript"/>
          <w:lang w:val="es-ES_tradnl"/>
        </w:rPr>
        <w:footnoteReference w:id="27"/>
      </w:r>
      <w:r w:rsidRPr="003A7DA4">
        <w:rPr>
          <w:rFonts w:ascii="Times New Roman" w:hAnsi="Times New Roman" w:cs="Times New Roman"/>
          <w:color w:val="000000" w:themeColor="text1"/>
          <w:sz w:val="28"/>
          <w:szCs w:val="28"/>
          <w:lang w:val="es-ES_tradnl" w:eastAsia="es-ES"/>
        </w:rPr>
        <w:t xml:space="preserve"> dispone que “se considerará que una persona representa a un Estado” si presenta l</w:t>
      </w:r>
      <w:r w:rsidRPr="003A7DA4">
        <w:rPr>
          <w:rFonts w:ascii="Times New Roman" w:hAnsi="Times New Roman" w:cs="Times New Roman"/>
          <w:color w:val="000000" w:themeColor="text1"/>
          <w:sz w:val="28"/>
          <w:szCs w:val="28"/>
          <w:lang w:val="es-ES_tradnl" w:eastAsia="es-ES"/>
        </w:rPr>
        <w:t>os “adecuados plenos poderes” (artículo 7.1.a) o si ejerce tal función de conformidad con “la práctica seguida por los Estados interesados, o de otras circunstancias” de las cuales se deduce que la intención del Estado “ha sido considerar a esa persona” co</w:t>
      </w:r>
      <w:r w:rsidRPr="003A7DA4">
        <w:rPr>
          <w:rFonts w:ascii="Times New Roman" w:hAnsi="Times New Roman" w:cs="Times New Roman"/>
          <w:color w:val="000000" w:themeColor="text1"/>
          <w:sz w:val="28"/>
          <w:szCs w:val="28"/>
          <w:lang w:val="es-ES_tradnl" w:eastAsia="es-ES"/>
        </w:rPr>
        <w:t>mo su representante (artículo 7.1.b). El artículo también dispone que representan al Estado, (i) “los Jefes de Estado, Jefes de Gobierno y Ministros de relaciones exteriores, para la ejecución de todos los actos relativos a la celebración de un Tratado”, (</w:t>
      </w:r>
      <w:r w:rsidRPr="003A7DA4">
        <w:rPr>
          <w:rFonts w:ascii="Times New Roman" w:hAnsi="Times New Roman" w:cs="Times New Roman"/>
          <w:color w:val="000000" w:themeColor="text1"/>
          <w:sz w:val="28"/>
          <w:szCs w:val="28"/>
          <w:lang w:val="es-ES_tradnl" w:eastAsia="es-ES"/>
        </w:rPr>
        <w:t xml:space="preserve">ii) </w:t>
      </w:r>
      <w:r w:rsidRPr="003A7DA4">
        <w:rPr>
          <w:rFonts w:ascii="Times New Roman" w:hAnsi="Times New Roman" w:cs="Times New Roman"/>
          <w:color w:val="000000" w:themeColor="text1"/>
          <w:sz w:val="28"/>
          <w:szCs w:val="28"/>
        </w:rPr>
        <w:t>“los Jefes de misión diplomáticas [sic], para la adopción del texto de un Tratado entre el Estado acreditante y el Estado ante el cual se encuentran acreditados” y (iii) “los representantes acreditados por los Estados ante una conferencia internacional</w:t>
      </w:r>
      <w:r w:rsidRPr="003A7DA4">
        <w:rPr>
          <w:rFonts w:ascii="Times New Roman" w:hAnsi="Times New Roman" w:cs="Times New Roman"/>
          <w:color w:val="000000" w:themeColor="text1"/>
          <w:sz w:val="28"/>
          <w:szCs w:val="28"/>
        </w:rPr>
        <w:t xml:space="preserve"> o ante una organización internacional o uno de sus órganos, para la adopción del texto de un Tratado en tal conferencia, organización u órgano”</w:t>
      </w:r>
      <w:r w:rsidRPr="003A7DA4">
        <w:rPr>
          <w:rFonts w:ascii="Times New Roman" w:hAnsi="Times New Roman" w:cs="Times New Roman"/>
          <w:color w:val="000000" w:themeColor="text1"/>
          <w:sz w:val="28"/>
          <w:szCs w:val="28"/>
          <w:lang w:val="es-ES_tradnl" w:eastAsia="es-ES"/>
        </w:rPr>
        <w:t xml:space="preserve"> (artículo 7.2).</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EC4959">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lang w:val="es-ES_tradnl" w:eastAsia="es-ES"/>
        </w:rPr>
        <w:t xml:space="preserve">En el presente caso, el convenio relativo a la </w:t>
      </w:r>
      <w:r w:rsidRPr="003A7DA4">
        <w:rPr>
          <w:rFonts w:ascii="Times New Roman" w:hAnsi="Times New Roman" w:cs="Times New Roman"/>
          <w:bCs/>
          <w:color w:val="000000" w:themeColor="text1"/>
          <w:sz w:val="28"/>
          <w:szCs w:val="28"/>
        </w:rPr>
        <w:t>asistencia judicial en materia penal</w:t>
      </w:r>
      <w:r w:rsidRPr="003A7DA4">
        <w:rPr>
          <w:rFonts w:ascii="Times New Roman" w:hAnsi="Times New Roman" w:cs="Times New Roman"/>
          <w:color w:val="000000" w:themeColor="text1"/>
          <w:sz w:val="28"/>
          <w:szCs w:val="28"/>
          <w:lang w:val="es-ES_tradnl" w:eastAsia="es-ES"/>
        </w:rPr>
        <w:t xml:space="preserve"> entre Colombia y Costa Rica fue suscrito </w:t>
      </w:r>
      <w:r w:rsidRPr="003A7DA4">
        <w:rPr>
          <w:rFonts w:ascii="Times New Roman" w:hAnsi="Times New Roman" w:cs="Times New Roman"/>
          <w:color w:val="000000" w:themeColor="text1"/>
          <w:sz w:val="28"/>
          <w:szCs w:val="28"/>
        </w:rPr>
        <w:t>en Washington (Estados Unidos de América) el 4 de junio de 2018</w:t>
      </w:r>
      <w:r w:rsidRPr="003A7DA4">
        <w:rPr>
          <w:rFonts w:ascii="Times New Roman" w:hAnsi="Times New Roman" w:cs="Times New Roman"/>
          <w:bCs/>
          <w:color w:val="000000" w:themeColor="text1"/>
          <w:sz w:val="28"/>
          <w:szCs w:val="28"/>
          <w:lang w:eastAsia="es-ES"/>
        </w:rPr>
        <w:t>, por la entonces ministra de Relaciones Exteriores, María Ángela Holguín Cuéllar</w:t>
      </w:r>
      <w:r w:rsidRPr="003A7DA4">
        <w:rPr>
          <w:rFonts w:ascii="Times New Roman" w:hAnsi="Times New Roman" w:cs="Times New Roman"/>
          <w:bCs/>
          <w:color w:val="000000" w:themeColor="text1"/>
          <w:sz w:val="28"/>
          <w:szCs w:val="28"/>
          <w:vertAlign w:val="superscript"/>
          <w:lang w:eastAsia="es-ES"/>
        </w:rPr>
        <w:footnoteReference w:id="28"/>
      </w:r>
      <w:r w:rsidRPr="003A7DA4">
        <w:rPr>
          <w:rFonts w:ascii="Times New Roman" w:hAnsi="Times New Roman" w:cs="Times New Roman"/>
          <w:bCs/>
          <w:color w:val="000000" w:themeColor="text1"/>
          <w:sz w:val="28"/>
          <w:szCs w:val="28"/>
          <w:lang w:eastAsia="es-ES"/>
        </w:rPr>
        <w:t>. En tales términos, la representación del Estado colombiano en la su</w:t>
      </w:r>
      <w:r w:rsidRPr="003A7DA4">
        <w:rPr>
          <w:rFonts w:ascii="Times New Roman" w:hAnsi="Times New Roman" w:cs="Times New Roman"/>
          <w:bCs/>
          <w:color w:val="000000" w:themeColor="text1"/>
          <w:sz w:val="28"/>
          <w:szCs w:val="28"/>
          <w:lang w:eastAsia="es-ES"/>
        </w:rPr>
        <w:t>scripción de este tratado fue ejercida por quien, en razón de su cargo, tenía la capacidad para representar al Estado colombiano y, en consecuencia, no tenía que acreditar plenos poderes.</w:t>
      </w:r>
    </w:p>
    <w:p w:rsidR="00EC4959" w:rsidRPr="003A7DA4" w:rsidRDefault="003A7DA4" w:rsidP="00EC4959">
      <w:pPr>
        <w:ind w:left="360"/>
        <w:rPr>
          <w:rFonts w:ascii="Times New Roman" w:hAnsi="Times New Roman" w:cs="Times New Roman"/>
          <w:color w:val="000000" w:themeColor="text1"/>
          <w:sz w:val="28"/>
        </w:rPr>
      </w:pPr>
    </w:p>
    <w:p w:rsidR="004F1086" w:rsidRPr="003A7DA4" w:rsidRDefault="003A7DA4" w:rsidP="00AB4AB2">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bCs/>
          <w:color w:val="000000" w:themeColor="text1"/>
          <w:sz w:val="28"/>
          <w:szCs w:val="28"/>
          <w:lang w:eastAsia="es-ES"/>
        </w:rPr>
        <w:t>Así las cosas, la suscripción del tratado fue válida</w:t>
      </w:r>
      <w:r w:rsidRPr="003A7DA4">
        <w:rPr>
          <w:rFonts w:ascii="Times New Roman" w:hAnsi="Times New Roman" w:cs="Times New Roman"/>
          <w:color w:val="000000" w:themeColor="text1"/>
          <w:sz w:val="28"/>
          <w:szCs w:val="28"/>
          <w:lang w:val="es-ES_tradnl" w:eastAsia="es-ES"/>
        </w:rPr>
        <w:t xml:space="preserve">, </w:t>
      </w:r>
      <w:r w:rsidRPr="003A7DA4">
        <w:rPr>
          <w:rFonts w:ascii="Times New Roman" w:hAnsi="Times New Roman" w:cs="Times New Roman"/>
          <w:bCs/>
          <w:color w:val="000000" w:themeColor="text1"/>
          <w:sz w:val="28"/>
          <w:szCs w:val="28"/>
          <w:lang w:val="es-ES"/>
        </w:rPr>
        <w:t xml:space="preserve">en los </w:t>
      </w:r>
      <w:r w:rsidRPr="003A7DA4">
        <w:rPr>
          <w:rFonts w:ascii="Times New Roman" w:hAnsi="Times New Roman" w:cs="Times New Roman"/>
          <w:bCs/>
          <w:color w:val="000000" w:themeColor="text1"/>
          <w:sz w:val="28"/>
          <w:szCs w:val="28"/>
          <w:lang w:val="es-ES"/>
        </w:rPr>
        <w:t>términos dispuestos por el artículo 7.1 de la Convención de Viena sobre el Derecho de los Tratados</w:t>
      </w:r>
      <w:r w:rsidRPr="003A7DA4">
        <w:rPr>
          <w:rStyle w:val="Refdenotaalpie"/>
          <w:rFonts w:ascii="Times New Roman" w:eastAsiaTheme="majorEastAsia" w:hAnsi="Times New Roman" w:cs="Times New Roman"/>
          <w:bCs/>
          <w:color w:val="000000" w:themeColor="text1"/>
          <w:sz w:val="28"/>
          <w:szCs w:val="28"/>
          <w:lang w:val="es-ES"/>
        </w:rPr>
        <w:footnoteReference w:id="29"/>
      </w:r>
      <w:r w:rsidRPr="003A7DA4">
        <w:rPr>
          <w:rFonts w:ascii="Times New Roman" w:hAnsi="Times New Roman" w:cs="Times New Roman"/>
          <w:color w:val="000000" w:themeColor="text1"/>
          <w:sz w:val="28"/>
          <w:szCs w:val="28"/>
          <w:lang w:val="es-ES_tradnl" w:eastAsia="es-ES"/>
        </w:rPr>
        <w:t>.</w:t>
      </w:r>
    </w:p>
    <w:p w:rsidR="004F1086" w:rsidRPr="003A7DA4" w:rsidRDefault="003A7DA4" w:rsidP="004F1086">
      <w:pPr>
        <w:rPr>
          <w:rFonts w:ascii="Times New Roman" w:hAnsi="Times New Roman" w:cs="Times New Roman"/>
          <w:sz w:val="28"/>
        </w:rPr>
      </w:pPr>
    </w:p>
    <w:p w:rsidR="004F1086" w:rsidRPr="003A7DA4" w:rsidRDefault="003A7DA4" w:rsidP="004F1086">
      <w:pPr>
        <w:rPr>
          <w:rFonts w:ascii="Times New Roman" w:hAnsi="Times New Roman" w:cs="Times New Roman"/>
          <w:b/>
          <w:bCs/>
          <w:sz w:val="28"/>
          <w:szCs w:val="28"/>
        </w:rPr>
      </w:pPr>
      <w:r w:rsidRPr="003A7DA4">
        <w:rPr>
          <w:rFonts w:ascii="Times New Roman" w:hAnsi="Times New Roman" w:cs="Times New Roman"/>
          <w:b/>
          <w:bCs/>
          <w:sz w:val="28"/>
          <w:szCs w:val="28"/>
        </w:rPr>
        <w:t xml:space="preserve">Consulta previa </w:t>
      </w:r>
    </w:p>
    <w:p w:rsidR="004F1086" w:rsidRPr="003A7DA4" w:rsidRDefault="003A7DA4" w:rsidP="004F1086">
      <w:pPr>
        <w:rPr>
          <w:rFonts w:ascii="Times New Roman" w:hAnsi="Times New Roman" w:cs="Times New Roman"/>
          <w:sz w:val="28"/>
        </w:rPr>
      </w:pPr>
    </w:p>
    <w:p w:rsidR="00AB4AB2" w:rsidRPr="003A7DA4" w:rsidRDefault="003A7DA4" w:rsidP="00AB4AB2">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El tratado y la ley aprobatoria objeto de examen no debían someterse a consulta previa</w:t>
      </w:r>
      <w:r w:rsidRPr="003A7DA4">
        <w:rPr>
          <w:rFonts w:ascii="Times New Roman" w:hAnsi="Times New Roman" w:cs="Times New Roman"/>
          <w:sz w:val="28"/>
          <w:szCs w:val="28"/>
          <w:lang w:val="es-ES_tradnl" w:eastAsia="es-ES"/>
        </w:rPr>
        <w:t>. En el marco del control de constitucionalidad de</w:t>
      </w:r>
      <w:r w:rsidRPr="003A7DA4">
        <w:rPr>
          <w:rFonts w:ascii="Times New Roman" w:hAnsi="Times New Roman" w:cs="Times New Roman"/>
          <w:sz w:val="28"/>
          <w:szCs w:val="28"/>
          <w:lang w:val="es-ES_tradnl" w:eastAsia="es-ES"/>
        </w:rPr>
        <w:t xml:space="preserve"> los tratados internacionales y de sus leyes aprobatorias, la jurisprudencia constitucional ha reconocido que la consulta previa es un derecho de las comunidades indígenas, tribales, rom, afrodescendientes y raizales. Este reconocimiento tiene como fundame</w:t>
      </w:r>
      <w:r w:rsidRPr="003A7DA4">
        <w:rPr>
          <w:rFonts w:ascii="Times New Roman" w:hAnsi="Times New Roman" w:cs="Times New Roman"/>
          <w:sz w:val="28"/>
          <w:szCs w:val="28"/>
          <w:lang w:val="es-ES_tradnl" w:eastAsia="es-ES"/>
        </w:rPr>
        <w:t>nto el Convenio 169 de la Organización Internacional del Trabajo, así como los derechos de participación, reconocimiento y protección de la diversidad étnica y cultural de tales comunidades, previstos por la Constitución Política (artículos 1, 7, 70 y 330)</w:t>
      </w:r>
      <w:r w:rsidRPr="003A7DA4">
        <w:rPr>
          <w:rFonts w:ascii="Times New Roman" w:hAnsi="Times New Roman" w:cs="Times New Roman"/>
          <w:sz w:val="28"/>
          <w:szCs w:val="28"/>
          <w:lang w:val="es-ES_tradnl" w:eastAsia="es-ES"/>
        </w:rPr>
        <w:t>. El artículo 6.1.</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lang w:val="es-ES_tradnl" w:eastAsia="es-ES"/>
        </w:rPr>
        <w:t>ha</w:t>
      </w:r>
      <w:r w:rsidRPr="003A7DA4">
        <w:rPr>
          <w:rFonts w:ascii="Times New Roman" w:hAnsi="Times New Roman" w:cs="Times New Roman"/>
          <w:sz w:val="28"/>
          <w:szCs w:val="28"/>
          <w:lang w:val="es-ES_tradnl" w:eastAsia="es-ES"/>
        </w:rPr>
        <w:t xml:space="preserve"> de aquel instrumento internacional dispone:</w:t>
      </w:r>
    </w:p>
    <w:p w:rsidR="00AB4AB2" w:rsidRPr="003A7DA4" w:rsidRDefault="003A7DA4" w:rsidP="00AB4AB2">
      <w:pPr>
        <w:tabs>
          <w:tab w:val="left" w:pos="567"/>
        </w:tabs>
        <w:ind w:right="49"/>
        <w:jc w:val="both"/>
        <w:rPr>
          <w:rFonts w:ascii="Times New Roman" w:hAnsi="Times New Roman" w:cs="Times New Roman"/>
          <w:sz w:val="28"/>
          <w:szCs w:val="28"/>
        </w:rPr>
      </w:pPr>
    </w:p>
    <w:p w:rsidR="00AB4AB2" w:rsidRPr="003A7DA4" w:rsidRDefault="003A7DA4" w:rsidP="008A3835">
      <w:pPr>
        <w:ind w:left="567" w:right="616"/>
        <w:jc w:val="both"/>
        <w:rPr>
          <w:rFonts w:ascii="Times New Roman" w:hAnsi="Times New Roman" w:cs="Times New Roman"/>
          <w:sz w:val="28"/>
          <w:lang w:val="es-ES_tradnl" w:eastAsia="es-ES"/>
        </w:rPr>
      </w:pPr>
      <w:r w:rsidRPr="003A7DA4">
        <w:rPr>
          <w:rFonts w:ascii="Times New Roman" w:hAnsi="Times New Roman" w:cs="Times New Roman"/>
          <w:sz w:val="28"/>
        </w:rPr>
        <w:t>“Al aplicar las disposiciones del presente Convenio, los gobiernos deberán: a) consultar a los pueblos interesados, mediante procedimientos apropiados y en particular a través de sus instit</w:t>
      </w:r>
      <w:r w:rsidRPr="003A7DA4">
        <w:rPr>
          <w:rFonts w:ascii="Times New Roman" w:hAnsi="Times New Roman" w:cs="Times New Roman"/>
          <w:sz w:val="28"/>
        </w:rPr>
        <w:t xml:space="preserve">uciones representativas, cada vez que se prevean medidas legislativas o administrativas susceptibles de afectarles directamente”. </w:t>
      </w:r>
    </w:p>
    <w:p w:rsidR="00AB4AB2" w:rsidRPr="003A7DA4" w:rsidRDefault="003A7DA4" w:rsidP="00AB4AB2">
      <w:pPr>
        <w:tabs>
          <w:tab w:val="left" w:pos="567"/>
        </w:tabs>
        <w:ind w:right="49"/>
        <w:jc w:val="both"/>
        <w:rPr>
          <w:rFonts w:ascii="Times New Roman" w:hAnsi="Times New Roman" w:cs="Times New Roman"/>
          <w:sz w:val="28"/>
          <w:szCs w:val="28"/>
          <w:lang w:val="es-ES_tradnl" w:eastAsia="es-ES"/>
        </w:rPr>
      </w:pPr>
    </w:p>
    <w:p w:rsidR="00AB4AB2" w:rsidRPr="003A7DA4" w:rsidRDefault="003A7DA4" w:rsidP="00AB4AB2">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rPr>
        <w:t>De conformidad con la Observación General 2010/81 de la Comisión de Expertos en Aplicación de Convenios y Recomendaciones de</w:t>
      </w:r>
      <w:r w:rsidRPr="003A7DA4">
        <w:rPr>
          <w:rFonts w:ascii="Times New Roman" w:hAnsi="Times New Roman" w:cs="Times New Roman"/>
          <w:sz w:val="28"/>
          <w:szCs w:val="28"/>
        </w:rPr>
        <w:t xml:space="preserve"> la Organización Internacional del Trabajo, que tuvo por objeto </w:t>
      </w:r>
      <w:r w:rsidRPr="003A7DA4">
        <w:rPr>
          <w:rFonts w:ascii="Times New Roman" w:hAnsi="Times New Roman" w:cs="Times New Roman"/>
          <w:iCs/>
          <w:sz w:val="28"/>
          <w:szCs w:val="28"/>
        </w:rPr>
        <w:t>“aclarar el concepto de «consulta» [a que hace referencia el Convenio 169 de la OIT], y con la esperanza de que esto redunde en una mejora en la aplicación del Convenio, especialmente en lo qu</w:t>
      </w:r>
      <w:r w:rsidRPr="003A7DA4">
        <w:rPr>
          <w:rFonts w:ascii="Times New Roman" w:hAnsi="Times New Roman" w:cs="Times New Roman"/>
          <w:iCs/>
          <w:sz w:val="28"/>
          <w:szCs w:val="28"/>
        </w:rPr>
        <w:t xml:space="preserve">e respecta a este derecho”, reiteró, entre otros, el objeto de las consultas, en los siguientes términos: </w:t>
      </w:r>
    </w:p>
    <w:p w:rsidR="00AB4AB2" w:rsidRPr="003A7DA4" w:rsidRDefault="003A7DA4" w:rsidP="00AB4AB2">
      <w:pPr>
        <w:tabs>
          <w:tab w:val="left" w:pos="567"/>
        </w:tabs>
        <w:ind w:right="49"/>
        <w:jc w:val="both"/>
        <w:rPr>
          <w:rFonts w:ascii="Times New Roman" w:hAnsi="Times New Roman" w:cs="Times New Roman"/>
          <w:iCs/>
          <w:sz w:val="28"/>
          <w:szCs w:val="28"/>
        </w:rPr>
      </w:pPr>
    </w:p>
    <w:p w:rsidR="00AB4AB2" w:rsidRPr="003A7DA4" w:rsidRDefault="003A7DA4" w:rsidP="00A05B3D">
      <w:pPr>
        <w:ind w:left="567" w:right="616"/>
        <w:jc w:val="both"/>
        <w:rPr>
          <w:rFonts w:ascii="Times New Roman" w:hAnsi="Times New Roman" w:cs="Times New Roman"/>
          <w:sz w:val="28"/>
          <w:lang w:val="es-ES_tradnl" w:eastAsia="es-ES"/>
        </w:rPr>
      </w:pPr>
      <w:r w:rsidRPr="003A7DA4">
        <w:rPr>
          <w:rFonts w:ascii="Times New Roman" w:hAnsi="Times New Roman" w:cs="Times New Roman"/>
          <w:iCs/>
          <w:sz w:val="28"/>
        </w:rPr>
        <w:t>“En  relación  con  el  objeto  de  las  consultas, la Comisión considera  que  las consultas con los pueblos indígenas y tribales deben tener lugar</w:t>
      </w:r>
      <w:r w:rsidRPr="003A7DA4">
        <w:rPr>
          <w:rFonts w:ascii="Times New Roman" w:hAnsi="Times New Roman" w:cs="Times New Roman"/>
          <w:iCs/>
          <w:sz w:val="28"/>
        </w:rPr>
        <w:t xml:space="preserve"> concretamente en relación  con  las  siguientes  cuestiones:  cuestiones  legislativas  o  administrativas que pueden afectarles directamente (artículo 6, 1), a)); la autorización o ejecución de todos los programas de exploración o explotación de recursos</w:t>
      </w:r>
      <w:r w:rsidRPr="003A7DA4">
        <w:rPr>
          <w:rFonts w:ascii="Times New Roman" w:hAnsi="Times New Roman" w:cs="Times New Roman"/>
          <w:iCs/>
          <w:sz w:val="28"/>
        </w:rPr>
        <w:t xml:space="preserve"> minerales o del subsuelo  existentes  en  sus  tierras  (artículo  15,  2));  siempre que se considere su capacidad de enajenar sus tierras o de transmitir de otra forma sus derechos sobre estas tierras fuera de su comunidad  (artículo  17,  2)); y cuesti</w:t>
      </w:r>
      <w:r w:rsidRPr="003A7DA4">
        <w:rPr>
          <w:rFonts w:ascii="Times New Roman" w:hAnsi="Times New Roman" w:cs="Times New Roman"/>
          <w:iCs/>
          <w:sz w:val="28"/>
        </w:rPr>
        <w:t>ones específicas relacionadas con la educación (artículos 27, 3) y 28, 1))”.</w:t>
      </w:r>
    </w:p>
    <w:p w:rsidR="00AB4AB2" w:rsidRPr="003A7DA4" w:rsidRDefault="003A7DA4" w:rsidP="00AB4AB2">
      <w:pPr>
        <w:ind w:left="567" w:right="49"/>
        <w:jc w:val="both"/>
        <w:rPr>
          <w:rFonts w:ascii="Times New Roman" w:hAnsi="Times New Roman" w:cs="Times New Roman"/>
          <w:sz w:val="28"/>
          <w:szCs w:val="28"/>
          <w:lang w:val="es-ES_tradnl" w:eastAsia="es-ES"/>
        </w:rPr>
      </w:pPr>
    </w:p>
    <w:p w:rsidR="00AB4AB2" w:rsidRPr="003A7DA4" w:rsidRDefault="003A7DA4" w:rsidP="00AB4AB2">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En atención a lo dispuesto por la disposición en cita, la jurisprudencia constitucional ha considerado que la consulta previa es obligatoria siempre que se demuestre una “afectac</w:t>
      </w:r>
      <w:r w:rsidRPr="003A7DA4">
        <w:rPr>
          <w:rFonts w:ascii="Times New Roman" w:hAnsi="Times New Roman" w:cs="Times New Roman"/>
          <w:sz w:val="28"/>
          <w:szCs w:val="28"/>
          <w:lang w:val="es-ES_tradnl" w:eastAsia="es-ES"/>
        </w:rPr>
        <w:t>ión directa” a los sujetos titulares de este derecho</w:t>
      </w:r>
      <w:r w:rsidRPr="003A7DA4">
        <w:rPr>
          <w:rStyle w:val="Refdenotaalpie"/>
          <w:rFonts w:ascii="Times New Roman" w:eastAsiaTheme="majorEastAsia" w:hAnsi="Times New Roman" w:cs="Times New Roman"/>
          <w:sz w:val="28"/>
          <w:szCs w:val="28"/>
        </w:rPr>
        <w:footnoteReference w:id="30"/>
      </w:r>
      <w:r w:rsidRPr="003A7DA4">
        <w:rPr>
          <w:rFonts w:ascii="Times New Roman" w:hAnsi="Times New Roman" w:cs="Times New Roman"/>
          <w:sz w:val="28"/>
          <w:szCs w:val="28"/>
          <w:lang w:val="es-ES_tradnl" w:eastAsia="es-ES"/>
        </w:rPr>
        <w:t>.</w:t>
      </w:r>
      <w:r w:rsidRPr="003A7DA4">
        <w:rPr>
          <w:rFonts w:ascii="Times New Roman" w:hAnsi="Times New Roman" w:cs="Times New Roman"/>
          <w:sz w:val="28"/>
          <w:szCs w:val="28"/>
          <w:lang w:val="es-ES_tradnl"/>
        </w:rPr>
        <w:t xml:space="preserve"> Para la Corte, con la consulta previa se busca “materializar la protección constitucional […] que tienen los grupos étnicos a participar en las decisiones que los afecten”</w:t>
      </w:r>
      <w:r w:rsidRPr="003A7DA4">
        <w:rPr>
          <w:rStyle w:val="Refdenotaalpie"/>
          <w:rFonts w:ascii="Times New Roman" w:eastAsiaTheme="majorEastAsia" w:hAnsi="Times New Roman" w:cs="Times New Roman"/>
          <w:sz w:val="28"/>
          <w:szCs w:val="28"/>
        </w:rPr>
        <w:footnoteReference w:id="31"/>
      </w:r>
      <w:r w:rsidRPr="003A7DA4">
        <w:rPr>
          <w:rFonts w:ascii="Times New Roman" w:hAnsi="Times New Roman" w:cs="Times New Roman"/>
          <w:sz w:val="28"/>
          <w:szCs w:val="28"/>
          <w:lang w:val="es-ES_tradnl"/>
        </w:rPr>
        <w:t xml:space="preserve">, de allí que este </w:t>
      </w:r>
      <w:r w:rsidRPr="003A7DA4">
        <w:rPr>
          <w:rFonts w:ascii="Times New Roman" w:hAnsi="Times New Roman" w:cs="Times New Roman"/>
          <w:sz w:val="28"/>
          <w:szCs w:val="28"/>
          <w:lang w:val="es-ES_tradnl"/>
        </w:rPr>
        <w:t>procedimiento deba adelantarse conforme al principio de buena fe que implica, de un lado, que deba ser oportuno y eficaz</w:t>
      </w:r>
      <w:r w:rsidRPr="003A7DA4">
        <w:rPr>
          <w:rStyle w:val="Refdenotaalpie"/>
          <w:rFonts w:ascii="Times New Roman" w:eastAsiaTheme="majorEastAsia" w:hAnsi="Times New Roman" w:cs="Times New Roman"/>
          <w:sz w:val="28"/>
          <w:szCs w:val="28"/>
        </w:rPr>
        <w:footnoteReference w:id="32"/>
      </w:r>
      <w:r w:rsidRPr="003A7DA4">
        <w:rPr>
          <w:rFonts w:ascii="Times New Roman" w:hAnsi="Times New Roman" w:cs="Times New Roman"/>
          <w:sz w:val="28"/>
          <w:szCs w:val="28"/>
        </w:rPr>
        <w:t xml:space="preserve"> </w:t>
      </w:r>
      <w:r w:rsidRPr="003A7DA4">
        <w:rPr>
          <w:rFonts w:ascii="Times New Roman" w:hAnsi="Times New Roman" w:cs="Times New Roman"/>
          <w:sz w:val="28"/>
          <w:szCs w:val="28"/>
          <w:lang w:val="es-ES_tradnl"/>
        </w:rPr>
        <w:t xml:space="preserve">y, de otro, </w:t>
      </w:r>
      <w:r w:rsidRPr="003A7DA4">
        <w:rPr>
          <w:rFonts w:ascii="Times New Roman" w:hAnsi="Times New Roman" w:cs="Times New Roman"/>
          <w:sz w:val="28"/>
          <w:szCs w:val="28"/>
          <w:lang w:val="es-ES_tradnl"/>
        </w:rPr>
        <w:t xml:space="preserve">que </w:t>
      </w:r>
      <w:r w:rsidRPr="003A7DA4">
        <w:rPr>
          <w:rFonts w:ascii="Times New Roman" w:hAnsi="Times New Roman" w:cs="Times New Roman"/>
          <w:sz w:val="28"/>
          <w:szCs w:val="28"/>
          <w:lang w:val="es-ES_tradnl"/>
        </w:rPr>
        <w:t>permita lograr los beneficios del desarrollo, que exige la materialización del cometido finalista del Estado Social de</w:t>
      </w:r>
      <w:r w:rsidRPr="003A7DA4">
        <w:rPr>
          <w:rFonts w:ascii="Times New Roman" w:hAnsi="Times New Roman" w:cs="Times New Roman"/>
          <w:sz w:val="28"/>
          <w:szCs w:val="28"/>
          <w:lang w:val="es-ES_tradnl"/>
        </w:rPr>
        <w:t xml:space="preserve"> Derecho prescrito en el artículo 366 de la Carta</w:t>
      </w:r>
      <w:r w:rsidRPr="003A7DA4">
        <w:rPr>
          <w:rFonts w:ascii="Times New Roman" w:hAnsi="Times New Roman" w:cs="Times New Roman"/>
          <w:sz w:val="28"/>
          <w:szCs w:val="28"/>
          <w:lang w:val="es-ES_tradnl"/>
        </w:rPr>
        <w:t>,</w:t>
      </w:r>
      <w:r w:rsidRPr="003A7DA4">
        <w:rPr>
          <w:rFonts w:ascii="Times New Roman" w:hAnsi="Times New Roman" w:cs="Times New Roman"/>
          <w:sz w:val="28"/>
          <w:szCs w:val="28"/>
          <w:lang w:val="es-ES_tradnl"/>
        </w:rPr>
        <w:t xml:space="preserve"> en cuanto lograr “[e]l bienestar general y el mejoramiento de la calidad de vida de la población”. Su omisión, en los términos de la jurisprudencia constitucional, “constituye un vicio que impide declarar </w:t>
      </w:r>
      <w:r w:rsidRPr="003A7DA4">
        <w:rPr>
          <w:rFonts w:ascii="Times New Roman" w:hAnsi="Times New Roman" w:cs="Times New Roman"/>
          <w:sz w:val="28"/>
          <w:szCs w:val="28"/>
          <w:lang w:val="es-ES_tradnl"/>
        </w:rPr>
        <w:t>exequible la Ley”</w:t>
      </w:r>
      <w:r w:rsidRPr="003A7DA4">
        <w:rPr>
          <w:rStyle w:val="Refdenotaalpie"/>
          <w:rFonts w:ascii="Times New Roman" w:eastAsiaTheme="majorEastAsia" w:hAnsi="Times New Roman" w:cs="Times New Roman"/>
          <w:sz w:val="28"/>
          <w:szCs w:val="28"/>
        </w:rPr>
        <w:footnoteReference w:id="33"/>
      </w:r>
      <w:r w:rsidRPr="003A7DA4">
        <w:rPr>
          <w:rFonts w:ascii="Times New Roman" w:hAnsi="Times New Roman" w:cs="Times New Roman"/>
          <w:sz w:val="28"/>
          <w:szCs w:val="28"/>
          <w:lang w:val="es-ES_tradnl"/>
        </w:rPr>
        <w:t xml:space="preserve"> de que se trate.</w:t>
      </w:r>
    </w:p>
    <w:p w:rsidR="00AB4AB2" w:rsidRPr="003A7DA4" w:rsidRDefault="003A7DA4" w:rsidP="00AB4AB2">
      <w:pPr>
        <w:tabs>
          <w:tab w:val="left" w:pos="426"/>
        </w:tabs>
        <w:ind w:right="49"/>
        <w:jc w:val="both"/>
        <w:rPr>
          <w:rFonts w:ascii="Times New Roman" w:hAnsi="Times New Roman" w:cs="Times New Roman"/>
          <w:sz w:val="28"/>
          <w:szCs w:val="28"/>
          <w:lang w:val="es-ES_tradnl" w:eastAsia="es-ES"/>
        </w:rPr>
      </w:pPr>
    </w:p>
    <w:p w:rsidR="00AB4AB2" w:rsidRPr="003A7DA4" w:rsidRDefault="003A7DA4" w:rsidP="00AB4AB2">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Conforme a lo expuesto, resulta que el </w:t>
      </w:r>
      <w:r w:rsidRPr="003A7DA4">
        <w:rPr>
          <w:rFonts w:ascii="Times New Roman" w:hAnsi="Times New Roman" w:cs="Times New Roman"/>
          <w:bCs/>
          <w:sz w:val="28"/>
          <w:szCs w:val="28"/>
          <w:lang w:val="es-ES_tradnl"/>
        </w:rPr>
        <w:t>“</w:t>
      </w:r>
      <w:r w:rsidRPr="003A7DA4">
        <w:rPr>
          <w:rFonts w:ascii="Times New Roman" w:hAnsi="Times New Roman" w:cs="Times New Roman"/>
          <w:bCs/>
          <w:sz w:val="28"/>
          <w:szCs w:val="28"/>
        </w:rPr>
        <w:t>Convenio entre la República de Colombia y la República de Costa Rica sobre asistencia judicial en materia penal</w:t>
      </w:r>
      <w:r w:rsidRPr="003A7DA4">
        <w:rPr>
          <w:rFonts w:ascii="Times New Roman" w:hAnsi="Times New Roman" w:cs="Times New Roman"/>
          <w:sz w:val="28"/>
          <w:szCs w:val="28"/>
        </w:rPr>
        <w:t>” y</w:t>
      </w:r>
      <w:r w:rsidRPr="003A7DA4">
        <w:rPr>
          <w:rFonts w:ascii="Times New Roman" w:hAnsi="Times New Roman" w:cs="Times New Roman"/>
          <w:bCs/>
          <w:sz w:val="28"/>
          <w:szCs w:val="28"/>
          <w:lang w:val="es-ES_tradnl" w:eastAsia="es-ES"/>
        </w:rPr>
        <w:t xml:space="preserve"> l</w:t>
      </w:r>
      <w:r w:rsidRPr="003A7DA4">
        <w:rPr>
          <w:rFonts w:ascii="Times New Roman" w:hAnsi="Times New Roman" w:cs="Times New Roman"/>
          <w:sz w:val="28"/>
          <w:szCs w:val="28"/>
        </w:rPr>
        <w:t xml:space="preserve">a </w:t>
      </w:r>
      <w:r w:rsidRPr="003A7DA4">
        <w:rPr>
          <w:rFonts w:ascii="Times New Roman" w:hAnsi="Times New Roman" w:cs="Times New Roman"/>
          <w:bCs/>
          <w:sz w:val="28"/>
          <w:szCs w:val="28"/>
        </w:rPr>
        <w:t>Ley 2288 de 2023</w:t>
      </w:r>
      <w:r w:rsidRPr="003A7DA4">
        <w:rPr>
          <w:rFonts w:ascii="Times New Roman" w:hAnsi="Times New Roman" w:cs="Times New Roman"/>
          <w:sz w:val="28"/>
          <w:szCs w:val="28"/>
        </w:rPr>
        <w:t xml:space="preserve"> que lo aprobó</w:t>
      </w:r>
      <w:r w:rsidRPr="003A7DA4">
        <w:rPr>
          <w:rFonts w:ascii="Times New Roman" w:hAnsi="Times New Roman" w:cs="Times New Roman"/>
          <w:sz w:val="28"/>
          <w:szCs w:val="28"/>
        </w:rPr>
        <w:t>,</w:t>
      </w:r>
      <w:r w:rsidRPr="003A7DA4">
        <w:rPr>
          <w:rFonts w:ascii="Times New Roman" w:hAnsi="Times New Roman" w:cs="Times New Roman"/>
          <w:sz w:val="28"/>
          <w:szCs w:val="28"/>
          <w:lang w:val="es-ES_tradnl" w:eastAsia="es-ES"/>
        </w:rPr>
        <w:t xml:space="preserve"> no debían someterse a consulta previa, </w:t>
      </w:r>
      <w:r w:rsidRPr="003A7DA4">
        <w:rPr>
          <w:rFonts w:ascii="Times New Roman" w:hAnsi="Times New Roman" w:cs="Times New Roman"/>
          <w:sz w:val="28"/>
          <w:szCs w:val="28"/>
        </w:rPr>
        <w:t xml:space="preserve">por </w:t>
      </w:r>
      <w:r w:rsidRPr="003A7DA4">
        <w:rPr>
          <w:rFonts w:ascii="Times New Roman" w:hAnsi="Times New Roman" w:cs="Times New Roman"/>
          <w:sz w:val="28"/>
          <w:szCs w:val="28"/>
        </w:rPr>
        <w:t xml:space="preserve">dos </w:t>
      </w:r>
      <w:r w:rsidRPr="003A7DA4">
        <w:rPr>
          <w:rFonts w:ascii="Times New Roman" w:hAnsi="Times New Roman" w:cs="Times New Roman"/>
          <w:sz w:val="28"/>
          <w:szCs w:val="28"/>
        </w:rPr>
        <w:t xml:space="preserve">razones. </w:t>
      </w:r>
      <w:r w:rsidRPr="003A7DA4">
        <w:rPr>
          <w:rFonts w:ascii="Times New Roman" w:hAnsi="Times New Roman" w:cs="Times New Roman"/>
          <w:i/>
          <w:iCs/>
          <w:sz w:val="28"/>
          <w:szCs w:val="28"/>
        </w:rPr>
        <w:t>Primera</w:t>
      </w:r>
      <w:r w:rsidRPr="003A7DA4">
        <w:rPr>
          <w:rFonts w:ascii="Times New Roman" w:hAnsi="Times New Roman" w:cs="Times New Roman"/>
          <w:sz w:val="28"/>
          <w:szCs w:val="28"/>
        </w:rPr>
        <w:t xml:space="preserve">, </w:t>
      </w:r>
      <w:r w:rsidRPr="003A7DA4">
        <w:rPr>
          <w:rFonts w:ascii="Times New Roman" w:hAnsi="Times New Roman" w:cs="Times New Roman"/>
          <w:sz w:val="28"/>
          <w:szCs w:val="28"/>
        </w:rPr>
        <w:t>porque los instrumentos de cooperación judicial</w:t>
      </w:r>
      <w:r w:rsidRPr="003A7DA4">
        <w:rPr>
          <w:rFonts w:ascii="Times New Roman" w:hAnsi="Times New Roman" w:cs="Times New Roman"/>
          <w:sz w:val="28"/>
          <w:szCs w:val="28"/>
        </w:rPr>
        <w:t>, desde una perspectiva general,</w:t>
      </w:r>
      <w:r w:rsidRPr="003A7DA4">
        <w:rPr>
          <w:rFonts w:ascii="Times New Roman" w:hAnsi="Times New Roman" w:cs="Times New Roman"/>
          <w:sz w:val="28"/>
          <w:szCs w:val="28"/>
        </w:rPr>
        <w:t xml:space="preserve"> </w:t>
      </w:r>
      <w:r w:rsidRPr="003A7DA4">
        <w:rPr>
          <w:rFonts w:ascii="Times New Roman" w:hAnsi="Times New Roman" w:cs="Times New Roman"/>
          <w:sz w:val="28"/>
          <w:szCs w:val="28"/>
        </w:rPr>
        <w:t xml:space="preserve">“no contienen disposiciones que </w:t>
      </w:r>
      <w:r w:rsidRPr="003A7DA4">
        <w:rPr>
          <w:rFonts w:ascii="Times New Roman" w:hAnsi="Times New Roman" w:cs="Times New Roman"/>
          <w:i/>
          <w:iCs/>
          <w:sz w:val="28"/>
          <w:szCs w:val="28"/>
        </w:rPr>
        <w:t>afecten directamente</w:t>
      </w:r>
      <w:r w:rsidRPr="003A7DA4">
        <w:rPr>
          <w:rFonts w:ascii="Times New Roman" w:hAnsi="Times New Roman" w:cs="Times New Roman"/>
          <w:sz w:val="28"/>
          <w:szCs w:val="28"/>
        </w:rPr>
        <w:t xml:space="preserve"> el territorio o la identidad cultural de las comunidades titulares del derecho a la consulta previa”</w:t>
      </w:r>
      <w:r w:rsidRPr="003A7DA4">
        <w:rPr>
          <w:rStyle w:val="Refdenotaalpie"/>
          <w:rFonts w:ascii="Times New Roman" w:eastAsiaTheme="majorEastAsia" w:hAnsi="Times New Roman" w:cs="Times New Roman"/>
          <w:sz w:val="28"/>
          <w:szCs w:val="28"/>
        </w:rPr>
        <w:footnoteReference w:id="34"/>
      </w:r>
      <w:r w:rsidRPr="003A7DA4">
        <w:rPr>
          <w:rFonts w:ascii="Times New Roman" w:hAnsi="Times New Roman" w:cs="Times New Roman"/>
          <w:sz w:val="28"/>
          <w:szCs w:val="28"/>
        </w:rPr>
        <w:t xml:space="preserve">. </w:t>
      </w:r>
      <w:r w:rsidRPr="003A7DA4">
        <w:rPr>
          <w:rFonts w:ascii="Times New Roman" w:hAnsi="Times New Roman" w:cs="Times New Roman"/>
          <w:i/>
          <w:iCs/>
          <w:sz w:val="28"/>
          <w:szCs w:val="28"/>
        </w:rPr>
        <w:t>Segunda</w:t>
      </w:r>
      <w:r w:rsidRPr="003A7DA4">
        <w:rPr>
          <w:rFonts w:ascii="Times New Roman" w:hAnsi="Times New Roman" w:cs="Times New Roman"/>
          <w:sz w:val="28"/>
          <w:szCs w:val="28"/>
        </w:rPr>
        <w:t>, el contenido del Convenio y de la ley aprobatoria “no surte ningún efecto diferenciado y específico en relación con tales comunidades. Estos in</w:t>
      </w:r>
      <w:r w:rsidRPr="003A7DA4">
        <w:rPr>
          <w:rFonts w:ascii="Times New Roman" w:hAnsi="Times New Roman" w:cs="Times New Roman"/>
          <w:sz w:val="28"/>
          <w:szCs w:val="28"/>
        </w:rPr>
        <w:t>strumentos despliegan sus efectos sobre el Estado en general y, por ende, sobre toda la sociedad.”</w:t>
      </w:r>
      <w:r w:rsidRPr="003A7DA4">
        <w:rPr>
          <w:rStyle w:val="Refdenotaalpie"/>
          <w:rFonts w:ascii="Times New Roman" w:eastAsiaTheme="majorEastAsia" w:hAnsi="Times New Roman" w:cs="Times New Roman"/>
          <w:sz w:val="28"/>
          <w:szCs w:val="28"/>
        </w:rPr>
        <w:footnoteReference w:id="35"/>
      </w:r>
      <w:r w:rsidRPr="003A7DA4">
        <w:rPr>
          <w:rFonts w:ascii="Times New Roman" w:hAnsi="Times New Roman" w:cs="Times New Roman"/>
          <w:sz w:val="28"/>
          <w:szCs w:val="28"/>
        </w:rPr>
        <w:t xml:space="preserve"> Lo anterior, en la medida en que los derechos y beneficios previstos en el </w:t>
      </w:r>
      <w:r w:rsidRPr="003A7DA4">
        <w:rPr>
          <w:rFonts w:ascii="Times New Roman" w:hAnsi="Times New Roman" w:cs="Times New Roman"/>
          <w:sz w:val="28"/>
          <w:szCs w:val="28"/>
        </w:rPr>
        <w:t>C</w:t>
      </w:r>
      <w:r w:rsidRPr="003A7DA4">
        <w:rPr>
          <w:rFonts w:ascii="Times New Roman" w:hAnsi="Times New Roman" w:cs="Times New Roman"/>
          <w:sz w:val="28"/>
          <w:szCs w:val="28"/>
        </w:rPr>
        <w:t>onvenio analizado se reconocen y aplican respecto de cualquier solicitud de asis</w:t>
      </w:r>
      <w:r w:rsidRPr="003A7DA4">
        <w:rPr>
          <w:rFonts w:ascii="Times New Roman" w:hAnsi="Times New Roman" w:cs="Times New Roman"/>
          <w:sz w:val="28"/>
          <w:szCs w:val="28"/>
        </w:rPr>
        <w:t>tencia judicial en materia penal, lo que implica que sus efectos son generales y se despliegan de manera común a los residentes de ambos estados</w:t>
      </w:r>
      <w:r w:rsidRPr="003A7DA4">
        <w:rPr>
          <w:rFonts w:ascii="Times New Roman" w:hAnsi="Times New Roman" w:cs="Times New Roman"/>
          <w:sz w:val="28"/>
          <w:szCs w:val="28"/>
          <w:lang w:val="es-ES" w:eastAsia="es-ES"/>
        </w:rPr>
        <w:t>, “sin que se prevean reglas concretas y específicas que apliquen a los pueblos étnicamente diferenciados”</w:t>
      </w:r>
      <w:r w:rsidRPr="003A7DA4">
        <w:rPr>
          <w:rStyle w:val="Refdenotaalpie"/>
          <w:rFonts w:ascii="Times New Roman" w:eastAsiaTheme="majorEastAsia" w:hAnsi="Times New Roman" w:cs="Times New Roman"/>
          <w:sz w:val="28"/>
          <w:szCs w:val="28"/>
          <w:lang w:val="es-ES" w:eastAsia="es-ES"/>
        </w:rPr>
        <w:footnoteReference w:id="36"/>
      </w:r>
      <w:r w:rsidRPr="003A7DA4">
        <w:rPr>
          <w:rFonts w:ascii="Times New Roman" w:hAnsi="Times New Roman" w:cs="Times New Roman"/>
          <w:sz w:val="28"/>
          <w:szCs w:val="28"/>
          <w:lang w:val="es-ES" w:eastAsia="es-ES"/>
        </w:rPr>
        <w:t>.</w:t>
      </w:r>
    </w:p>
    <w:p w:rsidR="00A20C50" w:rsidRPr="003A7DA4" w:rsidRDefault="003A7DA4" w:rsidP="00A20C50">
      <w:pPr>
        <w:tabs>
          <w:tab w:val="left" w:pos="426"/>
        </w:tabs>
        <w:ind w:right="49"/>
        <w:jc w:val="both"/>
        <w:rPr>
          <w:rFonts w:ascii="Times New Roman" w:hAnsi="Times New Roman" w:cs="Times New Roman"/>
          <w:sz w:val="28"/>
          <w:szCs w:val="28"/>
          <w:lang w:val="es-ES" w:eastAsia="es-ES"/>
        </w:rPr>
      </w:pPr>
    </w:p>
    <w:p w:rsidR="00A20C50" w:rsidRPr="003A7DA4" w:rsidRDefault="003A7DA4" w:rsidP="00A20C50">
      <w:pPr>
        <w:tabs>
          <w:tab w:val="left" w:pos="426"/>
        </w:tabs>
        <w:ind w:right="49"/>
        <w:jc w:val="both"/>
        <w:rPr>
          <w:rFonts w:ascii="Times New Roman" w:hAnsi="Times New Roman" w:cs="Times New Roman"/>
          <w:b/>
          <w:bCs/>
          <w:sz w:val="28"/>
          <w:szCs w:val="28"/>
          <w:lang w:val="es-ES_tradnl" w:eastAsia="es-ES"/>
        </w:rPr>
      </w:pPr>
      <w:r w:rsidRPr="003A7DA4">
        <w:rPr>
          <w:rFonts w:ascii="Times New Roman" w:hAnsi="Times New Roman" w:cs="Times New Roman"/>
          <w:b/>
          <w:bCs/>
          <w:sz w:val="28"/>
          <w:szCs w:val="28"/>
          <w:lang w:val="es-ES" w:eastAsia="es-ES"/>
        </w:rPr>
        <w:t>So</w:t>
      </w:r>
      <w:r w:rsidRPr="003A7DA4">
        <w:rPr>
          <w:rFonts w:ascii="Times New Roman" w:hAnsi="Times New Roman" w:cs="Times New Roman"/>
          <w:b/>
          <w:bCs/>
          <w:sz w:val="28"/>
          <w:szCs w:val="28"/>
          <w:lang w:val="es-ES" w:eastAsia="es-ES"/>
        </w:rPr>
        <w:t>metimiento del tratado al Congreso de la República</w:t>
      </w:r>
    </w:p>
    <w:p w:rsidR="003F0CBB" w:rsidRPr="003A7DA4" w:rsidRDefault="003A7DA4" w:rsidP="003F0CBB">
      <w:pPr>
        <w:tabs>
          <w:tab w:val="left" w:pos="426"/>
        </w:tabs>
        <w:ind w:right="49"/>
        <w:jc w:val="both"/>
        <w:rPr>
          <w:rFonts w:ascii="Times New Roman" w:hAnsi="Times New Roman" w:cs="Times New Roman"/>
          <w:sz w:val="28"/>
          <w:szCs w:val="28"/>
          <w:lang w:val="es-ES" w:eastAsia="es-ES"/>
        </w:rPr>
      </w:pPr>
    </w:p>
    <w:p w:rsidR="003F0CBB" w:rsidRPr="003A7DA4" w:rsidRDefault="003A7DA4" w:rsidP="003F0CBB">
      <w:pPr>
        <w:numPr>
          <w:ilvl w:val="0"/>
          <w:numId w:val="8"/>
        </w:numPr>
        <w:tabs>
          <w:tab w:val="left" w:pos="426"/>
        </w:tabs>
        <w:ind w:left="0" w:right="49" w:firstLine="0"/>
        <w:jc w:val="both"/>
        <w:rPr>
          <w:rFonts w:ascii="Times New Roman" w:hAnsi="Times New Roman" w:cs="Times New Roman"/>
          <w:color w:val="000000" w:themeColor="text1"/>
          <w:sz w:val="28"/>
          <w:szCs w:val="28"/>
          <w:lang w:eastAsia="es-ES"/>
        </w:rPr>
      </w:pPr>
      <w:r w:rsidRPr="003A7DA4">
        <w:rPr>
          <w:rFonts w:ascii="Times New Roman" w:hAnsi="Times New Roman" w:cs="Times New Roman"/>
          <w:i/>
          <w:iCs/>
          <w:color w:val="000000" w:themeColor="text1"/>
          <w:sz w:val="28"/>
          <w:szCs w:val="28"/>
          <w:lang w:val="es-ES_tradnl" w:eastAsia="es-ES"/>
        </w:rPr>
        <w:t>El sometimiento de</w:t>
      </w:r>
      <w:r w:rsidRPr="003A7DA4">
        <w:rPr>
          <w:rFonts w:ascii="Times New Roman" w:hAnsi="Times New Roman" w:cs="Times New Roman"/>
          <w:i/>
          <w:iCs/>
          <w:color w:val="000000" w:themeColor="text1"/>
          <w:sz w:val="28"/>
          <w:szCs w:val="28"/>
          <w:lang w:val="es-ES_tradnl" w:eastAsia="es-ES"/>
        </w:rPr>
        <w:t xml:space="preserve">l Convenio </w:t>
      </w:r>
      <w:r w:rsidRPr="003A7DA4">
        <w:rPr>
          <w:rFonts w:ascii="Times New Roman" w:hAnsi="Times New Roman" w:cs="Times New Roman"/>
          <w:i/>
          <w:iCs/>
          <w:color w:val="000000" w:themeColor="text1"/>
          <w:sz w:val="28"/>
          <w:szCs w:val="28"/>
          <w:lang w:val="es-ES_tradnl" w:eastAsia="es-ES"/>
        </w:rPr>
        <w:t>se llevó a cabo de acuerdo con el artículo 189.2 de la Constitución Política</w:t>
      </w:r>
      <w:r w:rsidRPr="003A7DA4">
        <w:rPr>
          <w:rFonts w:ascii="Times New Roman" w:hAnsi="Times New Roman" w:cs="Times New Roman"/>
          <w:color w:val="000000" w:themeColor="text1"/>
          <w:sz w:val="28"/>
          <w:szCs w:val="28"/>
          <w:lang w:val="es-ES_tradnl" w:eastAsia="es-ES"/>
        </w:rPr>
        <w:t xml:space="preserve">. De conformidad con esta disposición, al presidente de la República le corresponde dirigir las </w:t>
      </w:r>
      <w:r w:rsidRPr="003A7DA4">
        <w:rPr>
          <w:rFonts w:ascii="Times New Roman" w:hAnsi="Times New Roman" w:cs="Times New Roman"/>
          <w:color w:val="000000" w:themeColor="text1"/>
          <w:sz w:val="28"/>
          <w:szCs w:val="28"/>
          <w:lang w:val="es-ES_tradnl" w:eastAsia="es-ES"/>
        </w:rPr>
        <w:t>relaciones internacionales y celebrar tratados con otros Estados que “se someterán a la aprobación del Congreso”. Como se dijo, el tratado sometido a revisión de esta Corporación fue suscrito por la entonces ministra de Relaciones Exteriores, de conformida</w:t>
      </w:r>
      <w:r w:rsidRPr="003A7DA4">
        <w:rPr>
          <w:rFonts w:ascii="Times New Roman" w:hAnsi="Times New Roman" w:cs="Times New Roman"/>
          <w:color w:val="000000" w:themeColor="text1"/>
          <w:sz w:val="28"/>
          <w:szCs w:val="28"/>
          <w:lang w:val="es-ES_tradnl" w:eastAsia="es-ES"/>
        </w:rPr>
        <w:t>d con el artículo 7.2 de la Convención de Viena del Derecho de los Tratados de 1969. Igualmente, en el presente asunto la Corte constató que el 19 de octubre de 2021</w:t>
      </w:r>
      <w:r w:rsidRPr="003A7DA4">
        <w:rPr>
          <w:rStyle w:val="Refdenotaalpie"/>
          <w:rFonts w:ascii="Times New Roman" w:eastAsiaTheme="majorEastAsia" w:hAnsi="Times New Roman" w:cs="Times New Roman"/>
          <w:color w:val="000000" w:themeColor="text1"/>
          <w:sz w:val="28"/>
          <w:szCs w:val="28"/>
          <w:lang w:val="es-ES_tradnl" w:eastAsia="es-ES"/>
        </w:rPr>
        <w:footnoteReference w:id="37"/>
      </w:r>
      <w:r w:rsidRPr="003A7DA4">
        <w:rPr>
          <w:rFonts w:ascii="Times New Roman" w:hAnsi="Times New Roman" w:cs="Times New Roman"/>
          <w:color w:val="000000" w:themeColor="text1"/>
          <w:sz w:val="28"/>
          <w:szCs w:val="28"/>
          <w:lang w:val="es-ES_tradnl" w:eastAsia="es-ES"/>
        </w:rPr>
        <w:t>, el presidente de la República, Iván Duque Márquez, ordenó someter a consideración del Co</w:t>
      </w:r>
      <w:r w:rsidRPr="003A7DA4">
        <w:rPr>
          <w:rFonts w:ascii="Times New Roman" w:hAnsi="Times New Roman" w:cs="Times New Roman"/>
          <w:color w:val="000000" w:themeColor="text1"/>
          <w:sz w:val="28"/>
          <w:szCs w:val="28"/>
          <w:lang w:val="es-ES_tradnl" w:eastAsia="es-ES"/>
        </w:rPr>
        <w:t xml:space="preserve">ngreso de la República el tratado </w:t>
      </w:r>
      <w:r w:rsidRPr="003A7DA4">
        <w:rPr>
          <w:rFonts w:ascii="Times New Roman" w:hAnsi="Times New Roman" w:cs="Times New Roman"/>
          <w:color w:val="000000" w:themeColor="text1"/>
          <w:sz w:val="28"/>
          <w:szCs w:val="28"/>
        </w:rPr>
        <w:t>objeto de control</w:t>
      </w:r>
      <w:r w:rsidRPr="003A7DA4">
        <w:rPr>
          <w:rFonts w:ascii="Times New Roman" w:hAnsi="Times New Roman" w:cs="Times New Roman"/>
          <w:color w:val="000000" w:themeColor="text1"/>
          <w:sz w:val="28"/>
          <w:szCs w:val="28"/>
          <w:lang w:val="es-ES_tradnl" w:eastAsia="es-ES"/>
        </w:rPr>
        <w:t xml:space="preserve">. </w:t>
      </w:r>
      <w:r w:rsidRPr="003A7DA4">
        <w:rPr>
          <w:rFonts w:ascii="Times New Roman" w:hAnsi="Times New Roman" w:cs="Times New Roman"/>
          <w:color w:val="000000" w:themeColor="text1"/>
          <w:sz w:val="28"/>
          <w:szCs w:val="28"/>
        </w:rPr>
        <w:t>Así lo certificó el director de Asuntos Jurídicos Internacionales de la Cancillería</w:t>
      </w:r>
      <w:r w:rsidRPr="003A7DA4">
        <w:rPr>
          <w:rStyle w:val="Refdenotaalpie"/>
          <w:rFonts w:ascii="Times New Roman" w:eastAsiaTheme="majorEastAsia" w:hAnsi="Times New Roman" w:cs="Times New Roman"/>
          <w:color w:val="000000" w:themeColor="text1"/>
          <w:sz w:val="28"/>
          <w:szCs w:val="28"/>
        </w:rPr>
        <w:footnoteReference w:id="38"/>
      </w:r>
      <w:r w:rsidRPr="003A7DA4">
        <w:rPr>
          <w:rFonts w:ascii="Times New Roman" w:hAnsi="Times New Roman" w:cs="Times New Roman"/>
          <w:color w:val="000000" w:themeColor="text1"/>
          <w:sz w:val="28"/>
          <w:szCs w:val="28"/>
        </w:rPr>
        <w:t xml:space="preserve">. Igualmente, en documento electrónico de respuesta al auto de pruebas remitido por dicho funcionario, con fecha </w:t>
      </w:r>
      <w:r w:rsidRPr="003A7DA4">
        <w:rPr>
          <w:rFonts w:ascii="Times New Roman" w:hAnsi="Times New Roman" w:cs="Times New Roman"/>
          <w:color w:val="000000" w:themeColor="text1"/>
          <w:sz w:val="28"/>
          <w:szCs w:val="28"/>
          <w:lang w:val="es-ES_tradnl" w:eastAsia="es-ES"/>
        </w:rPr>
        <w:t xml:space="preserve">19 de </w:t>
      </w:r>
      <w:r w:rsidRPr="003A7DA4">
        <w:rPr>
          <w:rFonts w:ascii="Times New Roman" w:hAnsi="Times New Roman" w:cs="Times New Roman"/>
          <w:color w:val="000000" w:themeColor="text1"/>
          <w:sz w:val="28"/>
          <w:szCs w:val="28"/>
          <w:lang w:val="es-ES_tradnl" w:eastAsia="es-ES"/>
        </w:rPr>
        <w:t xml:space="preserve">octubre de 2021 </w:t>
      </w:r>
      <w:r w:rsidRPr="003A7DA4">
        <w:rPr>
          <w:rFonts w:ascii="Times New Roman" w:hAnsi="Times New Roman" w:cs="Times New Roman"/>
          <w:color w:val="000000" w:themeColor="text1"/>
          <w:sz w:val="28"/>
          <w:szCs w:val="28"/>
        </w:rPr>
        <w:t>y rúbrica del presidente de la República y de la ministra de Relaciones Exteriores, se lee:</w:t>
      </w:r>
    </w:p>
    <w:p w:rsidR="003F0CBB" w:rsidRPr="003A7DA4" w:rsidRDefault="003A7DA4" w:rsidP="003F0CBB">
      <w:pPr>
        <w:rPr>
          <w:rFonts w:ascii="Times New Roman" w:hAnsi="Times New Roman" w:cs="Times New Roman"/>
          <w:color w:val="000000" w:themeColor="text1"/>
          <w:sz w:val="28"/>
          <w:lang w:val="es-ES_tradnl"/>
        </w:rPr>
      </w:pPr>
    </w:p>
    <w:p w:rsidR="003F0CBB" w:rsidRPr="003A7DA4" w:rsidRDefault="003A7DA4" w:rsidP="00E81171">
      <w:pPr>
        <w:ind w:left="567" w:right="616"/>
        <w:jc w:val="both"/>
        <w:rPr>
          <w:rFonts w:ascii="Times New Roman" w:hAnsi="Times New Roman" w:cs="Times New Roman"/>
          <w:color w:val="000000" w:themeColor="text1"/>
          <w:sz w:val="28"/>
        </w:rPr>
      </w:pPr>
      <w:r w:rsidRPr="003A7DA4">
        <w:rPr>
          <w:rFonts w:ascii="Times New Roman" w:hAnsi="Times New Roman" w:cs="Times New Roman"/>
          <w:color w:val="000000" w:themeColor="text1"/>
          <w:sz w:val="28"/>
        </w:rPr>
        <w:t xml:space="preserve">“CONVENIO ENTRE LA REPÚBLICA DE COLOMBIA Y LA REPÚBLICA DE COSTA RICA SOBRE ASISTENCIA JUDICIAL EN MATERIA PENAL», SUSCRITO EN WASHINGTON, EL 4 DE </w:t>
      </w:r>
      <w:r w:rsidRPr="003A7DA4">
        <w:rPr>
          <w:rFonts w:ascii="Times New Roman" w:hAnsi="Times New Roman" w:cs="Times New Roman"/>
          <w:color w:val="000000" w:themeColor="text1"/>
          <w:sz w:val="28"/>
        </w:rPr>
        <w:t>JUNIO DE 2018|| AUTORIZADO || SOMÉTASE A CONSIDERACIÓN DEL CONGRESO DE LA REPÚBLICA PARA LOS EFECTOS CONSTITUCIONALES”</w:t>
      </w:r>
      <w:r w:rsidRPr="003A7DA4">
        <w:rPr>
          <w:rStyle w:val="Refdenotaalpie"/>
          <w:rFonts w:ascii="Times New Roman" w:eastAsiaTheme="majorEastAsia" w:hAnsi="Times New Roman" w:cs="Times New Roman"/>
          <w:color w:val="000000" w:themeColor="text1"/>
          <w:sz w:val="28"/>
          <w:szCs w:val="24"/>
        </w:rPr>
        <w:footnoteReference w:id="39"/>
      </w:r>
      <w:r w:rsidRPr="003A7DA4">
        <w:rPr>
          <w:rFonts w:ascii="Times New Roman" w:hAnsi="Times New Roman" w:cs="Times New Roman"/>
          <w:color w:val="000000" w:themeColor="text1"/>
          <w:sz w:val="28"/>
        </w:rPr>
        <w:t>.</w:t>
      </w:r>
    </w:p>
    <w:p w:rsidR="001E60EC" w:rsidRPr="003A7DA4" w:rsidRDefault="003A7DA4" w:rsidP="00EC4959">
      <w:pPr>
        <w:tabs>
          <w:tab w:val="left" w:pos="1020"/>
        </w:tabs>
        <w:rPr>
          <w:rFonts w:ascii="Times New Roman" w:hAnsi="Times New Roman" w:cs="Times New Roman"/>
          <w:color w:val="000000" w:themeColor="text1"/>
          <w:sz w:val="28"/>
          <w:szCs w:val="28"/>
          <w:lang w:val="es-ES_tradnl" w:eastAsia="es-ES"/>
        </w:rPr>
      </w:pPr>
    </w:p>
    <w:p w:rsidR="00C97526" w:rsidRPr="003A7DA4" w:rsidRDefault="003A7DA4" w:rsidP="001B6BCF">
      <w:pPr>
        <w:rPr>
          <w:rFonts w:ascii="Times New Roman" w:hAnsi="Times New Roman" w:cs="Times New Roman"/>
          <w:sz w:val="28"/>
        </w:rPr>
      </w:pPr>
      <w:r w:rsidRPr="003A7DA4">
        <w:rPr>
          <w:rFonts w:ascii="Times New Roman" w:hAnsi="Times New Roman" w:cs="Times New Roman"/>
          <w:b/>
          <w:bCs/>
          <w:sz w:val="28"/>
          <w:szCs w:val="28"/>
        </w:rPr>
        <w:t>Fase legislativa</w:t>
      </w:r>
    </w:p>
    <w:p w:rsidR="005A15EB" w:rsidRPr="003A7DA4" w:rsidRDefault="003A7DA4" w:rsidP="001B6BCF">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Alcance del control</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lang w:val="es-ES_tradnl" w:eastAsia="es-ES"/>
        </w:rPr>
        <w:t xml:space="preserve">La jurisprudencia constitucional ha </w:t>
      </w:r>
      <w:r w:rsidRPr="003A7DA4">
        <w:rPr>
          <w:rFonts w:ascii="Times New Roman" w:hAnsi="Times New Roman" w:cs="Times New Roman"/>
          <w:sz w:val="28"/>
          <w:szCs w:val="28"/>
          <w:lang w:val="es-ES_tradnl" w:eastAsia="es-ES"/>
        </w:rPr>
        <w:t xml:space="preserve">señalado </w:t>
      </w:r>
      <w:r w:rsidRPr="003A7DA4">
        <w:rPr>
          <w:rFonts w:ascii="Times New Roman" w:hAnsi="Times New Roman" w:cs="Times New Roman"/>
          <w:sz w:val="28"/>
          <w:szCs w:val="28"/>
          <w:lang w:val="es-ES_tradnl" w:eastAsia="es-ES"/>
        </w:rPr>
        <w:t xml:space="preserve">que </w:t>
      </w:r>
      <w:r w:rsidRPr="003A7DA4">
        <w:rPr>
          <w:rFonts w:ascii="Times New Roman" w:hAnsi="Times New Roman" w:cs="Times New Roman"/>
          <w:sz w:val="28"/>
          <w:szCs w:val="28"/>
          <w:lang w:val="es-ES_tradnl" w:eastAsia="es-ES"/>
        </w:rPr>
        <w:t>la consideración</w:t>
      </w:r>
      <w:r w:rsidRPr="003A7DA4">
        <w:rPr>
          <w:rFonts w:ascii="Times New Roman" w:hAnsi="Times New Roman" w:cs="Times New Roman"/>
          <w:sz w:val="28"/>
          <w:szCs w:val="28"/>
          <w:lang w:val="es-ES_tradnl" w:eastAsia="es-ES"/>
        </w:rPr>
        <w:t xml:space="preserve"> por el Congreso de las leyes aprobatorias de los tratados internacionales debe cumplir, en términos generales, con el trámite dispuesto para las leyes ordinarias</w:t>
      </w:r>
      <w:r w:rsidRPr="003A7DA4">
        <w:rPr>
          <w:rFonts w:ascii="Times New Roman" w:hAnsi="Times New Roman" w:cs="Times New Roman"/>
          <w:sz w:val="28"/>
          <w:szCs w:val="28"/>
          <w:vertAlign w:val="superscript"/>
          <w:lang w:val="es-ES_tradnl" w:eastAsia="es-ES"/>
        </w:rPr>
        <w:footnoteReference w:id="40"/>
      </w:r>
      <w:r w:rsidRPr="003A7DA4">
        <w:rPr>
          <w:rFonts w:ascii="Times New Roman" w:hAnsi="Times New Roman" w:cs="Times New Roman"/>
          <w:sz w:val="28"/>
          <w:szCs w:val="28"/>
          <w:lang w:val="es-ES_tradnl" w:eastAsia="es-ES"/>
        </w:rPr>
        <w:t>. Con todo, la Constitución establece disposiciones especiales relacionadas con la aprobación</w:t>
      </w:r>
      <w:r w:rsidRPr="003A7DA4">
        <w:rPr>
          <w:rFonts w:ascii="Times New Roman" w:hAnsi="Times New Roman" w:cs="Times New Roman"/>
          <w:sz w:val="28"/>
          <w:szCs w:val="28"/>
          <w:lang w:val="es-ES_tradnl" w:eastAsia="es-ES"/>
        </w:rPr>
        <w:t xml:space="preserve"> de este tipo de proyectos de ley, relativas a la cámara en la que debe iniciar el trámite, las legislaturas en las que debe ser considerado y el control automático de constitucionalidad, tanto del tratado como de su ley aprobatoria (arts. 160, 162, y 241.</w:t>
      </w:r>
      <w:r w:rsidRPr="003A7DA4">
        <w:rPr>
          <w:rFonts w:ascii="Times New Roman" w:hAnsi="Times New Roman" w:cs="Times New Roman"/>
          <w:sz w:val="28"/>
          <w:szCs w:val="28"/>
          <w:lang w:val="es-ES_tradnl" w:eastAsia="es-ES"/>
        </w:rPr>
        <w:t xml:space="preserve">10 </w:t>
      </w:r>
      <w:r w:rsidRPr="003A7DA4">
        <w:rPr>
          <w:rFonts w:ascii="Times New Roman" w:hAnsi="Times New Roman" w:cs="Times New Roman"/>
          <w:sz w:val="28"/>
          <w:szCs w:val="28"/>
          <w:lang w:val="es-ES_tradnl" w:eastAsia="es-ES"/>
        </w:rPr>
        <w:t>C. P</w:t>
      </w:r>
      <w:r w:rsidRPr="003A7DA4">
        <w:rPr>
          <w:rFonts w:ascii="Times New Roman" w:hAnsi="Times New Roman" w:cs="Times New Roman"/>
          <w:sz w:val="28"/>
          <w:szCs w:val="28"/>
          <w:lang w:val="es-ES_tradnl" w:eastAsia="es-ES"/>
        </w:rPr>
        <w:t xml:space="preserve">). </w:t>
      </w:r>
    </w:p>
    <w:p w:rsidR="001E60EC" w:rsidRPr="003A7DA4" w:rsidRDefault="003A7DA4" w:rsidP="001E60EC">
      <w:pPr>
        <w:rPr>
          <w:rFonts w:ascii="Times New Roman" w:hAnsi="Times New Roman" w:cs="Times New Roman"/>
          <w:bCs/>
          <w:sz w:val="28"/>
          <w:szCs w:val="28"/>
          <w:lang w:val="es-ES"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La Corte ha sostenido</w:t>
      </w:r>
      <w:r w:rsidRPr="003A7DA4">
        <w:rPr>
          <w:rStyle w:val="Refdenotaalpie"/>
          <w:rFonts w:ascii="Times New Roman" w:eastAsiaTheme="majorEastAsia" w:hAnsi="Times New Roman" w:cs="Times New Roman"/>
          <w:sz w:val="28"/>
          <w:szCs w:val="28"/>
          <w:lang w:val="es-ES_tradnl" w:eastAsia="es-ES"/>
        </w:rPr>
        <w:footnoteReference w:id="41"/>
      </w:r>
      <w:r w:rsidRPr="003A7DA4">
        <w:rPr>
          <w:rFonts w:ascii="Times New Roman" w:hAnsi="Times New Roman" w:cs="Times New Roman"/>
          <w:sz w:val="28"/>
          <w:szCs w:val="28"/>
          <w:lang w:val="es-ES_tradnl" w:eastAsia="es-ES"/>
        </w:rPr>
        <w:t xml:space="preserve"> que el control de constitucionalidad sobre los aspectos formales en esta fase del procedimiento se debe verificar el cumplimiento de los requisitos constitucionales y legales relativos a: “(i) la presentación del proyecto de ley ante el Senado de la Repúb</w:t>
      </w:r>
      <w:r w:rsidRPr="003A7DA4">
        <w:rPr>
          <w:rFonts w:ascii="Times New Roman" w:hAnsi="Times New Roman" w:cs="Times New Roman"/>
          <w:sz w:val="28"/>
          <w:szCs w:val="28"/>
          <w:lang w:val="es-ES_tradnl" w:eastAsia="es-ES"/>
        </w:rPr>
        <w:t>lica por parte del Gobierno Nacional (artículos 157 y 144 de la Constitución); (ii) la publicación oficial del proyecto de ley aprobatoria (artículo 156 de la Ley 5</w:t>
      </w:r>
      <w:r w:rsidRPr="003A7DA4">
        <w:rPr>
          <w:rFonts w:ascii="Times New Roman" w:hAnsi="Times New Roman" w:cs="Times New Roman"/>
          <w:sz w:val="28"/>
          <w:szCs w:val="28"/>
          <w:lang w:val="es-ES_tradnl" w:eastAsia="es-ES"/>
        </w:rPr>
        <w:t>ª</w:t>
      </w:r>
      <w:r w:rsidRPr="003A7DA4">
        <w:rPr>
          <w:rFonts w:ascii="Times New Roman" w:hAnsi="Times New Roman" w:cs="Times New Roman"/>
          <w:sz w:val="28"/>
          <w:szCs w:val="28"/>
          <w:lang w:val="es-ES_tradnl" w:eastAsia="es-ES"/>
        </w:rPr>
        <w:t xml:space="preserve"> de 1992); (iii) el inicio del trámite legislativo en la respectiva comisión constitucional</w:t>
      </w:r>
      <w:r w:rsidRPr="003A7DA4">
        <w:rPr>
          <w:rFonts w:ascii="Times New Roman" w:hAnsi="Times New Roman" w:cs="Times New Roman"/>
          <w:sz w:val="28"/>
          <w:szCs w:val="28"/>
          <w:lang w:val="es-ES_tradnl" w:eastAsia="es-ES"/>
        </w:rPr>
        <w:t xml:space="preserve"> permanente del Senado de la República (artículo 154 de la Constitución); (iv) la publicación de la ponencia para debate en las comisiones y en las plenarias (artículos 157 y 185 de la Ley 5a de 1992); (v) el anuncio previo de las votaciones (artículo 160 </w:t>
      </w:r>
      <w:r w:rsidRPr="003A7DA4">
        <w:rPr>
          <w:rFonts w:ascii="Times New Roman" w:hAnsi="Times New Roman" w:cs="Times New Roman"/>
          <w:sz w:val="28"/>
          <w:szCs w:val="28"/>
          <w:lang w:val="es-ES_tradnl" w:eastAsia="es-ES"/>
        </w:rPr>
        <w:t>de la Constitución)</w:t>
      </w:r>
      <w:r w:rsidRPr="003A7DA4">
        <w:rPr>
          <w:rFonts w:ascii="Times New Roman" w:hAnsi="Times New Roman" w:cs="Times New Roman"/>
          <w:sz w:val="28"/>
        </w:rPr>
        <w:footnoteReference w:id="42"/>
      </w:r>
      <w:r w:rsidRPr="003A7DA4">
        <w:rPr>
          <w:rFonts w:ascii="Times New Roman" w:hAnsi="Times New Roman" w:cs="Times New Roman"/>
          <w:sz w:val="28"/>
          <w:szCs w:val="28"/>
          <w:lang w:val="es-ES_tradnl" w:eastAsia="es-ES"/>
        </w:rPr>
        <w:t>; (vi) la votación y las exigencias de quórum y mayorías (artículos 145 y 146 de la Constitución); (vii) el lapso entre los debates (artículo 160 de la Constitución); y, (viii) finalmente, que el proyecto de ley no se hubiere considerad</w:t>
      </w:r>
      <w:r w:rsidRPr="003A7DA4">
        <w:rPr>
          <w:rFonts w:ascii="Times New Roman" w:hAnsi="Times New Roman" w:cs="Times New Roman"/>
          <w:sz w:val="28"/>
          <w:szCs w:val="28"/>
          <w:lang w:val="es-ES_tradnl" w:eastAsia="es-ES"/>
        </w:rPr>
        <w:t>o en más de dos legislaturas (artículo 162 de la Constitución)”</w:t>
      </w:r>
      <w:r w:rsidRPr="003A7DA4">
        <w:rPr>
          <w:rStyle w:val="Refdenotaalpie"/>
          <w:rFonts w:ascii="Times New Roman" w:eastAsiaTheme="majorEastAsia" w:hAnsi="Times New Roman" w:cs="Times New Roman"/>
          <w:sz w:val="28"/>
          <w:szCs w:val="28"/>
          <w:lang w:val="es-ES_tradnl" w:eastAsia="es-ES"/>
        </w:rPr>
        <w:footnoteReference w:id="43"/>
      </w:r>
      <w:r w:rsidRPr="003A7DA4">
        <w:rPr>
          <w:rFonts w:ascii="Times New Roman" w:hAnsi="Times New Roman" w:cs="Times New Roman"/>
          <w:sz w:val="28"/>
          <w:szCs w:val="28"/>
          <w:lang w:val="es-ES_tradnl" w:eastAsia="es-ES"/>
        </w:rPr>
        <w:t>.</w:t>
      </w:r>
    </w:p>
    <w:p w:rsidR="001E60EC" w:rsidRPr="003A7DA4" w:rsidRDefault="003A7DA4" w:rsidP="001E60EC">
      <w:pPr>
        <w:tabs>
          <w:tab w:val="left" w:pos="426"/>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bCs/>
          <w:i/>
          <w:sz w:val="28"/>
          <w:szCs w:val="28"/>
          <w:lang w:val="es-ES_tradnl" w:eastAsia="es-ES"/>
        </w:rPr>
        <w:t>Trámite ante el Senado de la República.</w:t>
      </w:r>
      <w:r w:rsidRPr="003A7DA4">
        <w:rPr>
          <w:rFonts w:ascii="Times New Roman" w:hAnsi="Times New Roman" w:cs="Times New Roman"/>
          <w:b/>
          <w:iCs/>
          <w:sz w:val="28"/>
          <w:szCs w:val="28"/>
          <w:lang w:val="es-ES_tradnl" w:eastAsia="es-ES"/>
        </w:rPr>
        <w:t xml:space="preserve"> </w:t>
      </w:r>
      <w:r w:rsidRPr="003A7DA4">
        <w:rPr>
          <w:rFonts w:ascii="Times New Roman" w:hAnsi="Times New Roman" w:cs="Times New Roman"/>
          <w:sz w:val="28"/>
          <w:szCs w:val="28"/>
          <w:lang w:val="es-ES_tradnl" w:eastAsia="es-ES"/>
        </w:rPr>
        <w:t>En el expediente está probado que: (i) el proyecto de ley y su exposición de motivos fueron presentados por el Gobierno nacional ante el Senado de la</w:t>
      </w:r>
      <w:r w:rsidRPr="003A7DA4">
        <w:rPr>
          <w:rFonts w:ascii="Times New Roman" w:hAnsi="Times New Roman" w:cs="Times New Roman"/>
          <w:sz w:val="28"/>
          <w:szCs w:val="28"/>
          <w:lang w:val="es-ES_tradnl" w:eastAsia="es-ES"/>
        </w:rPr>
        <w:t xml:space="preserve"> República.</w:t>
      </w:r>
      <w:r w:rsidRPr="003A7DA4">
        <w:rPr>
          <w:rFonts w:ascii="Times New Roman" w:hAnsi="Times New Roman" w:cs="Times New Roman"/>
          <w:sz w:val="28"/>
          <w:szCs w:val="28"/>
        </w:rPr>
        <w:t xml:space="preserve"> El 1º de diciembre de 2021, la Ministra de Relaciones Exteriores, Martha Lucía Ramírez Blanco, y el Ministro de Justicia y del Derecho, Wilson Ruíz Orejuela, radicaron el proyecto de ley aprobatoria del tratado, junto con su exposición de motiv</w:t>
      </w:r>
      <w:r w:rsidRPr="003A7DA4">
        <w:rPr>
          <w:rFonts w:ascii="Times New Roman" w:hAnsi="Times New Roman" w:cs="Times New Roman"/>
          <w:sz w:val="28"/>
          <w:szCs w:val="28"/>
        </w:rPr>
        <w:t>os, ante la Secretaría General del Senado de la República</w:t>
      </w:r>
      <w:r w:rsidRPr="003A7DA4">
        <w:rPr>
          <w:rStyle w:val="Refdenotaalpie"/>
          <w:rFonts w:ascii="Times New Roman" w:eastAsiaTheme="majorEastAsia" w:hAnsi="Times New Roman" w:cs="Times New Roman"/>
          <w:sz w:val="28"/>
          <w:szCs w:val="28"/>
        </w:rPr>
        <w:footnoteReference w:id="44"/>
      </w:r>
      <w:r w:rsidRPr="003A7DA4">
        <w:rPr>
          <w:rFonts w:ascii="Times New Roman" w:hAnsi="Times New Roman" w:cs="Times New Roman"/>
          <w:sz w:val="28"/>
          <w:szCs w:val="28"/>
        </w:rPr>
        <w:t xml:space="preserve">. A ese proyecto se le asignó el número </w:t>
      </w:r>
      <w:r w:rsidRPr="003A7DA4">
        <w:rPr>
          <w:rFonts w:ascii="Times New Roman" w:hAnsi="Times New Roman" w:cs="Times New Roman"/>
          <w:sz w:val="28"/>
          <w:szCs w:val="28"/>
        </w:rPr>
        <w:t xml:space="preserve">de radicado </w:t>
      </w:r>
      <w:r w:rsidRPr="003A7DA4">
        <w:rPr>
          <w:rFonts w:ascii="Times New Roman" w:hAnsi="Times New Roman" w:cs="Times New Roman"/>
          <w:sz w:val="28"/>
          <w:szCs w:val="28"/>
        </w:rPr>
        <w:t>277 de 2021</w:t>
      </w:r>
      <w:r w:rsidRPr="003A7DA4">
        <w:rPr>
          <w:rFonts w:ascii="Times New Roman" w:hAnsi="Times New Roman" w:cs="Times New Roman"/>
          <w:sz w:val="28"/>
          <w:szCs w:val="28"/>
        </w:rPr>
        <w:t>-</w:t>
      </w:r>
      <w:r w:rsidRPr="003A7DA4">
        <w:rPr>
          <w:rFonts w:ascii="Times New Roman" w:hAnsi="Times New Roman" w:cs="Times New Roman"/>
          <w:sz w:val="28"/>
          <w:szCs w:val="28"/>
        </w:rPr>
        <w:t>Senado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En tales términos, se dio cumplimiento a lo previsto en los artículos 154 de la Constitución y 142.20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tabs>
          <w:tab w:val="left" w:pos="567"/>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bookmarkStart w:id="6" w:name="_Hlk162017035"/>
      <w:r w:rsidRPr="003A7DA4">
        <w:rPr>
          <w:rFonts w:ascii="Times New Roman" w:hAnsi="Times New Roman" w:cs="Times New Roman"/>
          <w:sz w:val="28"/>
          <w:szCs w:val="28"/>
          <w:lang w:val="es-ES_tradnl" w:eastAsia="es-ES"/>
        </w:rPr>
        <w:t xml:space="preserve">(ii) El proyecto de ley se publicó antes de darle trámite en la comisión respectiva. </w:t>
      </w:r>
      <w:r w:rsidRPr="003A7DA4">
        <w:rPr>
          <w:rFonts w:ascii="Times New Roman" w:hAnsi="Times New Roman" w:cs="Times New Roman"/>
          <w:sz w:val="28"/>
          <w:szCs w:val="28"/>
        </w:rPr>
        <w:t>El texto original del proyecto de ley y su respectiva exposición de motivos se publicaron en la Gaceta del Congreso 1839 de diciembre 13 de 2021</w:t>
      </w:r>
      <w:r w:rsidRPr="003A7DA4">
        <w:rPr>
          <w:rStyle w:val="Refdenotaalpie"/>
          <w:rFonts w:ascii="Times New Roman" w:eastAsiaTheme="majorEastAsia" w:hAnsi="Times New Roman" w:cs="Times New Roman"/>
          <w:sz w:val="28"/>
          <w:szCs w:val="28"/>
        </w:rPr>
        <w:footnoteReference w:id="45"/>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antes del trámite respec</w:t>
      </w:r>
      <w:r w:rsidRPr="003A7DA4">
        <w:rPr>
          <w:rFonts w:ascii="Times New Roman" w:hAnsi="Times New Roman" w:cs="Times New Roman"/>
          <w:sz w:val="28"/>
          <w:szCs w:val="28"/>
        </w:rPr>
        <w:t xml:space="preserve">tivo </w:t>
      </w:r>
      <w:r w:rsidRPr="003A7DA4">
        <w:rPr>
          <w:rFonts w:ascii="Times New Roman" w:hAnsi="Times New Roman" w:cs="Times New Roman"/>
          <w:sz w:val="28"/>
          <w:szCs w:val="28"/>
        </w:rPr>
        <w:t>en comisión</w:t>
      </w:r>
      <w:r w:rsidRPr="003A7DA4">
        <w:rPr>
          <w:rFonts w:ascii="Times New Roman" w:hAnsi="Times New Roman" w:cs="Times New Roman"/>
          <w:sz w:val="28"/>
          <w:szCs w:val="28"/>
        </w:rPr>
        <w:t>. En tales términos, se dio cumplimiento a lo previsto por los artículos 157 de la Constitución y 144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(iii) </w:t>
      </w:r>
      <w:r w:rsidRPr="003A7DA4">
        <w:rPr>
          <w:rFonts w:ascii="Times New Roman" w:hAnsi="Times New Roman" w:cs="Times New Roman"/>
          <w:i/>
          <w:iCs/>
          <w:sz w:val="28"/>
          <w:szCs w:val="28"/>
          <w:lang w:val="es-ES_tradnl" w:eastAsia="es-ES"/>
        </w:rPr>
        <w:t>El proyecto de ley inició su trámite en la comisión constitucional competente.</w:t>
      </w:r>
      <w:r w:rsidRPr="003A7DA4">
        <w:rPr>
          <w:rFonts w:ascii="Times New Roman" w:hAnsi="Times New Roman" w:cs="Times New Roman"/>
          <w:sz w:val="28"/>
          <w:szCs w:val="28"/>
        </w:rPr>
        <w:t xml:space="preserve"> El proyecto de ley inició su t</w:t>
      </w:r>
      <w:r w:rsidRPr="003A7DA4">
        <w:rPr>
          <w:rFonts w:ascii="Times New Roman" w:hAnsi="Times New Roman" w:cs="Times New Roman"/>
          <w:sz w:val="28"/>
          <w:szCs w:val="28"/>
        </w:rPr>
        <w:t>rámite en la Comisión Segunda Constitucional Permanente del Senado de la República, según lo previsto por el artículo 2 de la Ley 3</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r w:rsidRPr="003A7DA4">
        <w:rPr>
          <w:rFonts w:ascii="Times New Roman" w:hAnsi="Times New Roman" w:cs="Times New Roman"/>
          <w:sz w:val="28"/>
          <w:szCs w:val="28"/>
        </w:rPr>
        <w:t xml:space="preserve"> y</w:t>
      </w:r>
      <w:r w:rsidRPr="003A7DA4">
        <w:rPr>
          <w:rFonts w:ascii="Times New Roman" w:hAnsi="Times New Roman" w:cs="Times New Roman"/>
          <w:sz w:val="28"/>
          <w:szCs w:val="28"/>
        </w:rPr>
        <w:t xml:space="preserve"> se designó como ponente a la Senadora Paola Andrea Holguín Moreno</w:t>
      </w:r>
      <w:r w:rsidRPr="003A7DA4">
        <w:rPr>
          <w:rStyle w:val="Refdenotaalpie"/>
          <w:rFonts w:ascii="Times New Roman" w:eastAsiaTheme="majorEastAsia" w:hAnsi="Times New Roman" w:cs="Times New Roman"/>
          <w:sz w:val="28"/>
          <w:szCs w:val="28"/>
        </w:rPr>
        <w:footnoteReference w:id="46"/>
      </w:r>
      <w:r w:rsidRPr="003A7DA4">
        <w:rPr>
          <w:rFonts w:ascii="Times New Roman" w:hAnsi="Times New Roman" w:cs="Times New Roman"/>
          <w:sz w:val="28"/>
          <w:szCs w:val="28"/>
        </w:rPr>
        <w:t>.</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Cs/>
          <w:sz w:val="28"/>
          <w:szCs w:val="28"/>
          <w:lang w:val="es-ES_tradnl" w:eastAsia="es-ES"/>
        </w:rPr>
        <w:t>En el trámite de los debates y la aprobación</w:t>
      </w:r>
      <w:r w:rsidRPr="003A7DA4">
        <w:rPr>
          <w:rFonts w:ascii="Times New Roman" w:hAnsi="Times New Roman" w:cs="Times New Roman"/>
          <w:iCs/>
          <w:sz w:val="28"/>
          <w:szCs w:val="28"/>
          <w:lang w:val="es-ES_tradnl" w:eastAsia="es-ES"/>
        </w:rPr>
        <w:t xml:space="preserve"> del proyecto de ley en la Comisión Segunda Constitucional Permanente del Senado de la República, por </w:t>
      </w:r>
      <w:r w:rsidRPr="003A7DA4">
        <w:rPr>
          <w:rFonts w:ascii="Times New Roman" w:hAnsi="Times New Roman" w:cs="Times New Roman"/>
          <w:sz w:val="28"/>
          <w:szCs w:val="28"/>
          <w:lang w:val="es-ES_tradnl" w:eastAsia="es-ES"/>
        </w:rPr>
        <w:t xml:space="preserve">un lado, y en la plenaria de esa corporación, por el otro, se observaron las exigencias constitucionales y legales, </w:t>
      </w:r>
      <w:r w:rsidRPr="003A7DA4">
        <w:rPr>
          <w:rFonts w:ascii="Times New Roman" w:hAnsi="Times New Roman" w:cs="Times New Roman"/>
          <w:sz w:val="28"/>
          <w:szCs w:val="28"/>
          <w:lang w:val="es-ES_tradnl" w:eastAsia="es-ES"/>
        </w:rPr>
        <w:t>como pasa a explicarse.</w:t>
      </w:r>
      <w:r w:rsidRPr="003A7DA4">
        <w:rPr>
          <w:rFonts w:ascii="Times New Roman" w:hAnsi="Times New Roman" w:cs="Times New Roman"/>
          <w:sz w:val="28"/>
          <w:szCs w:val="28"/>
          <w:lang w:val="es-ES_tradnl" w:eastAsia="es-ES"/>
        </w:rPr>
        <w:t xml:space="preserve"> </w:t>
      </w:r>
    </w:p>
    <w:p w:rsidR="001E60EC" w:rsidRPr="003A7DA4" w:rsidRDefault="003A7DA4" w:rsidP="001E60EC">
      <w:pPr>
        <w:ind w:left="360"/>
        <w:rPr>
          <w:rFonts w:ascii="Times New Roman" w:hAnsi="Times New Roman" w:cs="Times New Roman"/>
          <w:sz w:val="28"/>
        </w:rPr>
      </w:pPr>
    </w:p>
    <w:p w:rsidR="001E60EC" w:rsidRPr="003A7DA4" w:rsidRDefault="003A7DA4" w:rsidP="006536C5">
      <w:pPr>
        <w:rPr>
          <w:rFonts w:ascii="Times New Roman" w:hAnsi="Times New Roman" w:cs="Times New Roman"/>
          <w:b/>
          <w:bCs/>
          <w:sz w:val="28"/>
          <w:szCs w:val="28"/>
        </w:rPr>
      </w:pPr>
      <w:r w:rsidRPr="003A7DA4">
        <w:rPr>
          <w:rFonts w:ascii="Times New Roman" w:hAnsi="Times New Roman" w:cs="Times New Roman"/>
          <w:b/>
          <w:bCs/>
          <w:sz w:val="28"/>
          <w:szCs w:val="28"/>
        </w:rPr>
        <w:t>P</w:t>
      </w:r>
      <w:r w:rsidRPr="003A7DA4">
        <w:rPr>
          <w:rFonts w:ascii="Times New Roman" w:hAnsi="Times New Roman" w:cs="Times New Roman"/>
          <w:b/>
          <w:bCs/>
          <w:sz w:val="28"/>
          <w:szCs w:val="28"/>
        </w:rPr>
        <w:t>rimer debat</w:t>
      </w:r>
      <w:r w:rsidRPr="003A7DA4">
        <w:rPr>
          <w:rFonts w:ascii="Times New Roman" w:hAnsi="Times New Roman" w:cs="Times New Roman"/>
          <w:b/>
          <w:bCs/>
          <w:sz w:val="28"/>
          <w:szCs w:val="28"/>
        </w:rPr>
        <w:t xml:space="preserve">e en la Comisión Segunda del Senado de la República </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Informe de ponencia</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 xml:space="preserve">la Senadora Paola Andrea Holguín Moreno presentó informe de ponencia para primer debate ante el vicepresidente de la Comisión Segunda Constitucional Permanente del Senado. El informe se publicó en la Gaceta del Congreso 232 </w:t>
      </w:r>
      <w:r w:rsidRPr="003A7DA4">
        <w:rPr>
          <w:rFonts w:ascii="Times New Roman" w:hAnsi="Times New Roman" w:cs="Times New Roman"/>
          <w:bCs/>
          <w:sz w:val="28"/>
          <w:szCs w:val="28"/>
          <w:lang w:val="es-ES_tradnl" w:eastAsia="es-ES"/>
        </w:rPr>
        <w:t>del 30 de marzo de 2022 (fls. 19</w:t>
      </w:r>
      <w:r w:rsidRPr="003A7DA4">
        <w:rPr>
          <w:rFonts w:ascii="Times New Roman" w:hAnsi="Times New Roman" w:cs="Times New Roman"/>
          <w:bCs/>
          <w:sz w:val="28"/>
          <w:szCs w:val="28"/>
          <w:lang w:val="es-ES_tradnl" w:eastAsia="es-ES"/>
        </w:rPr>
        <w:t>-28)</w:t>
      </w:r>
      <w:r w:rsidRPr="003A7DA4">
        <w:rPr>
          <w:rStyle w:val="Refdenotaalpie"/>
          <w:rFonts w:ascii="Times New Roman" w:eastAsiaTheme="majorEastAsia" w:hAnsi="Times New Roman" w:cs="Times New Roman"/>
          <w:bCs/>
          <w:sz w:val="28"/>
          <w:szCs w:val="28"/>
          <w:lang w:val="es-ES_tradnl" w:eastAsia="es-ES"/>
        </w:rPr>
        <w:footnoteReference w:id="47"/>
      </w:r>
      <w:r w:rsidRPr="003A7DA4">
        <w:rPr>
          <w:rFonts w:ascii="Times New Roman" w:hAnsi="Times New Roman" w:cs="Times New Roman"/>
          <w:sz w:val="28"/>
          <w:szCs w:val="28"/>
        </w:rPr>
        <w:t>. En tales términos, se observaron las exigencias previstas por los artículos 160 de la Constitución y 156 y 157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Anuncio previo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el anuncio previo al debate se llevó a cabo el 19 de abril de 2022, como consta en el Acta 18, publ</w:t>
      </w:r>
      <w:r w:rsidRPr="003A7DA4">
        <w:rPr>
          <w:rFonts w:ascii="Times New Roman" w:hAnsi="Times New Roman" w:cs="Times New Roman"/>
          <w:sz w:val="28"/>
          <w:szCs w:val="28"/>
        </w:rPr>
        <w:t>icada en la Gaceta del Congreso 718 de junio 14 de 2022 (fl.</w:t>
      </w:r>
      <w:r w:rsidRPr="003A7DA4">
        <w:rPr>
          <w:rFonts w:ascii="Times New Roman" w:hAnsi="Times New Roman" w:cs="Times New Roman"/>
          <w:sz w:val="28"/>
          <w:szCs w:val="28"/>
          <w:lang w:eastAsia="es-ES"/>
        </w:rPr>
        <w:t xml:space="preserve"> 27)</w:t>
      </w:r>
      <w:r w:rsidRPr="003A7DA4">
        <w:rPr>
          <w:rStyle w:val="Refdenotaalpie"/>
          <w:rFonts w:ascii="Times New Roman" w:eastAsiaTheme="majorEastAsia" w:hAnsi="Times New Roman" w:cs="Times New Roman"/>
          <w:sz w:val="28"/>
          <w:szCs w:val="28"/>
          <w:lang w:eastAsia="es-ES"/>
        </w:rPr>
        <w:footnoteReference w:id="48"/>
      </w:r>
      <w:r w:rsidRPr="003A7DA4">
        <w:rPr>
          <w:rFonts w:ascii="Times New Roman" w:hAnsi="Times New Roman" w:cs="Times New Roman"/>
          <w:bCs/>
          <w:sz w:val="28"/>
          <w:szCs w:val="28"/>
          <w:lang w:val="es-ES_tradnl" w:eastAsia="es-ES"/>
        </w:rPr>
        <w:t xml:space="preserve">. De esta forma, se </w:t>
      </w:r>
      <w:r w:rsidRPr="003A7DA4">
        <w:rPr>
          <w:rFonts w:ascii="Times New Roman" w:hAnsi="Times New Roman" w:cs="Times New Roman"/>
          <w:sz w:val="28"/>
          <w:szCs w:val="28"/>
        </w:rPr>
        <w:t>observó la exigencia prevista en el inciso final del artículo 160 de la Constitución, adicionado por el artículo 8 del Acto Legislativo 1 de 2003.</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284"/>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Debate y aprobación</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el</w:t>
      </w:r>
      <w:r w:rsidRPr="003A7DA4">
        <w:rPr>
          <w:rFonts w:ascii="Times New Roman" w:hAnsi="Times New Roman" w:cs="Times New Roman"/>
          <w:sz w:val="28"/>
          <w:szCs w:val="28"/>
        </w:rPr>
        <w:t xml:space="preserve"> debate y la aprobación del proyecto de ley se llevaron a cabo en la sesión del 21 de abril de 2022, esto es, la sesión inmediatamente siguiente a aquella en la que se anunció el proyecto de ley, como consta en el Acta 19, publicada en la Gaceta del Congre</w:t>
      </w:r>
      <w:r w:rsidRPr="003A7DA4">
        <w:rPr>
          <w:rFonts w:ascii="Times New Roman" w:hAnsi="Times New Roman" w:cs="Times New Roman"/>
          <w:sz w:val="28"/>
          <w:szCs w:val="28"/>
        </w:rPr>
        <w:t>so 719 del 14 de junio de 2022 (fls.</w:t>
      </w:r>
      <w:r w:rsidRPr="003A7DA4">
        <w:rPr>
          <w:rFonts w:ascii="Times New Roman" w:hAnsi="Times New Roman" w:cs="Times New Roman"/>
          <w:sz w:val="28"/>
          <w:szCs w:val="28"/>
          <w:lang w:eastAsia="es-ES"/>
        </w:rPr>
        <w:t xml:space="preserve"> 5-7)</w:t>
      </w:r>
      <w:r w:rsidRPr="003A7DA4">
        <w:rPr>
          <w:rStyle w:val="Refdenotaalpie"/>
          <w:rFonts w:ascii="Times New Roman" w:eastAsiaTheme="majorEastAsia" w:hAnsi="Times New Roman" w:cs="Times New Roman"/>
          <w:sz w:val="28"/>
          <w:szCs w:val="28"/>
          <w:lang w:eastAsia="es-ES"/>
        </w:rPr>
        <w:footnoteReference w:id="49"/>
      </w:r>
      <w:r w:rsidRPr="003A7DA4">
        <w:rPr>
          <w:rFonts w:ascii="Times New Roman" w:hAnsi="Times New Roman" w:cs="Times New Roman"/>
          <w:sz w:val="28"/>
          <w:szCs w:val="28"/>
          <w:lang w:eastAsia="es-ES"/>
        </w:rPr>
        <w:t xml:space="preserve">. </w:t>
      </w:r>
      <w:r w:rsidRPr="003A7DA4">
        <w:rPr>
          <w:rFonts w:ascii="Times New Roman" w:hAnsi="Times New Roman" w:cs="Times New Roman"/>
          <w:sz w:val="28"/>
          <w:szCs w:val="28"/>
          <w:lang w:val="es-ES_tradnl" w:eastAsia="es-ES"/>
        </w:rPr>
        <w:t xml:space="preserve">El texto definitivo que se aprobó por la Comisión Segunda del </w:t>
      </w:r>
      <w:r w:rsidRPr="003A7DA4">
        <w:rPr>
          <w:rFonts w:ascii="Times New Roman" w:hAnsi="Times New Roman" w:cs="Times New Roman"/>
          <w:sz w:val="28"/>
          <w:szCs w:val="28"/>
        </w:rPr>
        <w:t xml:space="preserve">Senado de la República se publicó en la Gaceta del Congreso </w:t>
      </w:r>
      <w:r w:rsidRPr="003A7DA4">
        <w:rPr>
          <w:rFonts w:ascii="Times New Roman" w:hAnsi="Times New Roman" w:cs="Times New Roman"/>
          <w:bCs/>
          <w:sz w:val="28"/>
          <w:szCs w:val="28"/>
          <w:lang w:val="es-ES_tradnl" w:eastAsia="es-ES"/>
        </w:rPr>
        <w:t>408 del 4 de mayo de 2022 (fl. 20)</w:t>
      </w:r>
      <w:r w:rsidRPr="003A7DA4">
        <w:rPr>
          <w:rStyle w:val="Refdenotaalpie"/>
          <w:rFonts w:ascii="Times New Roman" w:eastAsiaTheme="majorEastAsia" w:hAnsi="Times New Roman" w:cs="Times New Roman"/>
          <w:bCs/>
          <w:sz w:val="28"/>
          <w:szCs w:val="28"/>
          <w:lang w:val="es-ES_tradnl" w:eastAsia="es-ES"/>
        </w:rPr>
        <w:footnoteReference w:id="50"/>
      </w:r>
      <w:r w:rsidRPr="003A7DA4">
        <w:rPr>
          <w:rFonts w:ascii="Times New Roman" w:hAnsi="Times New Roman" w:cs="Times New Roman"/>
          <w:sz w:val="28"/>
          <w:szCs w:val="28"/>
        </w:rPr>
        <w:t>.</w:t>
      </w:r>
      <w:r w:rsidRPr="003A7DA4">
        <w:rPr>
          <w:rFonts w:ascii="Times New Roman" w:hAnsi="Times New Roman" w:cs="Times New Roman"/>
          <w:sz w:val="28"/>
          <w:szCs w:val="28"/>
          <w:lang w:val="es-ES_tradnl" w:eastAsia="es-ES"/>
        </w:rPr>
        <w:t xml:space="preserve"> </w:t>
      </w:r>
    </w:p>
    <w:p w:rsidR="001E60EC" w:rsidRPr="003A7DA4" w:rsidRDefault="003A7DA4" w:rsidP="001E60EC">
      <w:pPr>
        <w:tabs>
          <w:tab w:val="left" w:pos="284"/>
          <w:tab w:val="left" w:pos="426"/>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284"/>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A continuación, </w:t>
      </w:r>
      <w:r w:rsidRPr="003A7DA4">
        <w:rPr>
          <w:rFonts w:ascii="Times New Roman" w:hAnsi="Times New Roman" w:cs="Times New Roman"/>
          <w:bCs/>
          <w:sz w:val="28"/>
          <w:szCs w:val="28"/>
          <w:lang w:val="es-ES_tradnl" w:eastAsia="es-ES"/>
        </w:rPr>
        <w:t xml:space="preserve">se precisa la forma en que se </w:t>
      </w:r>
      <w:r w:rsidRPr="003A7DA4">
        <w:rPr>
          <w:rFonts w:ascii="Times New Roman" w:hAnsi="Times New Roman" w:cs="Times New Roman"/>
          <w:sz w:val="28"/>
          <w:szCs w:val="28"/>
          <w:lang w:val="es-ES_tradnl" w:eastAsia="es-ES"/>
        </w:rPr>
        <w:t>dio c</w:t>
      </w:r>
      <w:r w:rsidRPr="003A7DA4">
        <w:rPr>
          <w:rFonts w:ascii="Times New Roman" w:hAnsi="Times New Roman" w:cs="Times New Roman"/>
          <w:sz w:val="28"/>
          <w:szCs w:val="28"/>
          <w:lang w:val="es-ES_tradnl" w:eastAsia="es-ES"/>
        </w:rPr>
        <w:t xml:space="preserve">umplimiento a la exigencia del </w:t>
      </w:r>
      <w:r w:rsidRPr="003A7DA4">
        <w:rPr>
          <w:rFonts w:ascii="Times New Roman" w:hAnsi="Times New Roman" w:cs="Times New Roman"/>
          <w:iCs/>
          <w:sz w:val="28"/>
          <w:szCs w:val="28"/>
          <w:lang w:val="es-ES_tradnl" w:eastAsia="es-ES"/>
        </w:rPr>
        <w:t>quórum deliberatorio y decisorio,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lang w:val="es-ES_tradnl" w:eastAsia="es-ES"/>
        </w:rPr>
        <w:t>de conformidad con</w:t>
      </w:r>
      <w:r w:rsidRPr="003A7DA4">
        <w:rPr>
          <w:rFonts w:ascii="Times New Roman" w:hAnsi="Times New Roman" w:cs="Times New Roman"/>
          <w:sz w:val="28"/>
          <w:szCs w:val="28"/>
          <w:lang w:val="es-ES_tradnl" w:eastAsia="es-ES"/>
        </w:rPr>
        <w:t xml:space="preserve"> el artículo 145 de la Constitución para el debate y aprobación de la iniciativa, así como </w:t>
      </w:r>
      <w:r w:rsidRPr="003A7DA4">
        <w:rPr>
          <w:rFonts w:ascii="Times New Roman" w:hAnsi="Times New Roman" w:cs="Times New Roman"/>
          <w:sz w:val="28"/>
          <w:szCs w:val="28"/>
          <w:lang w:val="es-ES_tradnl" w:eastAsia="es-ES"/>
        </w:rPr>
        <w:t xml:space="preserve">de </w:t>
      </w:r>
      <w:r w:rsidRPr="003A7DA4">
        <w:rPr>
          <w:rFonts w:ascii="Times New Roman" w:hAnsi="Times New Roman" w:cs="Times New Roman"/>
          <w:sz w:val="28"/>
          <w:szCs w:val="28"/>
          <w:lang w:val="es-ES_tradnl" w:eastAsia="es-ES"/>
        </w:rPr>
        <w:t>la exigencia de votación nominal y pública a que se refiere el artículo 133 de aquella, para la aprobación de: (a) la proposición positiva del informe de ponencia, (b) el articulado del proyecto de ley y (c) el título y la intención de que el proyecto pase</w:t>
      </w:r>
      <w:r w:rsidRPr="003A7DA4">
        <w:rPr>
          <w:rFonts w:ascii="Times New Roman" w:hAnsi="Times New Roman" w:cs="Times New Roman"/>
          <w:sz w:val="28"/>
          <w:szCs w:val="28"/>
          <w:lang w:val="es-ES_tradnl" w:eastAsia="es-ES"/>
        </w:rPr>
        <w:t xml:space="preserve"> a segundo debate: </w:t>
      </w:r>
    </w:p>
    <w:p w:rsidR="001E60EC" w:rsidRPr="003A7DA4" w:rsidRDefault="003A7DA4" w:rsidP="001E60EC">
      <w:pPr>
        <w:rPr>
          <w:rFonts w:ascii="Times New Roman" w:hAnsi="Times New Roman" w:cs="Times New Roman"/>
          <w:sz w:val="28"/>
          <w:szCs w:val="28"/>
          <w:lang w:val="es-ES_tradnl" w:eastAsia="es-ES"/>
        </w:rPr>
      </w:pPr>
    </w:p>
    <w:tbl>
      <w:tblPr>
        <w:tblStyle w:val="Tablaconcuadrcula"/>
        <w:tblW w:w="0" w:type="auto"/>
        <w:tblInd w:w="708" w:type="dxa"/>
        <w:tblLook w:val="04A0" w:firstRow="1" w:lastRow="0" w:firstColumn="1" w:lastColumn="0" w:noHBand="0" w:noVBand="1"/>
      </w:tblPr>
      <w:tblGrid>
        <w:gridCol w:w="2551"/>
        <w:gridCol w:w="2552"/>
        <w:gridCol w:w="2312"/>
      </w:tblGrid>
      <w:tr w:rsidR="00D41728" w:rsidRPr="003A7DA4" w:rsidTr="00BF43C3">
        <w:trPr>
          <w:trHeight w:val="320"/>
        </w:trPr>
        <w:tc>
          <w:tcPr>
            <w:tcW w:w="2551" w:type="dxa"/>
            <w:shd w:val="clear" w:color="auto" w:fill="BDD6EE" w:themeFill="accent1" w:themeFillTint="66"/>
            <w:vAlign w:val="center"/>
          </w:tcPr>
          <w:p w:rsidR="00D41728" w:rsidRPr="003A7DA4" w:rsidRDefault="003A7DA4" w:rsidP="00BF43C3">
            <w:pPr>
              <w:ind w:right="49"/>
              <w:jc w:val="center"/>
              <w:rPr>
                <w:rFonts w:ascii="Times New Roman" w:hAnsi="Times New Roman"/>
                <w:b/>
                <w:sz w:val="28"/>
                <w:szCs w:val="24"/>
                <w:lang w:val="es-ES_tradnl" w:eastAsia="es-ES"/>
              </w:rPr>
            </w:pPr>
            <w:r w:rsidRPr="003A7DA4">
              <w:rPr>
                <w:rFonts w:ascii="Times New Roman" w:hAnsi="Times New Roman"/>
                <w:b/>
                <w:sz w:val="28"/>
                <w:szCs w:val="24"/>
                <w:lang w:val="es-ES_tradnl" w:eastAsia="es-ES"/>
              </w:rPr>
              <w:t>Proposición final</w:t>
            </w:r>
          </w:p>
        </w:tc>
        <w:tc>
          <w:tcPr>
            <w:tcW w:w="2552" w:type="dxa"/>
            <w:shd w:val="clear" w:color="auto" w:fill="BDD6EE" w:themeFill="accent1" w:themeFillTint="66"/>
          </w:tcPr>
          <w:p w:rsidR="00D41728" w:rsidRPr="003A7DA4" w:rsidRDefault="003A7DA4" w:rsidP="00BF43C3">
            <w:pPr>
              <w:ind w:right="49"/>
              <w:jc w:val="center"/>
              <w:rPr>
                <w:rFonts w:ascii="Times New Roman" w:hAnsi="Times New Roman"/>
                <w:b/>
                <w:sz w:val="28"/>
                <w:szCs w:val="24"/>
                <w:lang w:val="es-ES_tradnl" w:eastAsia="es-ES"/>
              </w:rPr>
            </w:pPr>
            <w:r w:rsidRPr="003A7DA4">
              <w:rPr>
                <w:rFonts w:ascii="Times New Roman" w:hAnsi="Times New Roman"/>
                <w:b/>
                <w:sz w:val="28"/>
                <w:szCs w:val="24"/>
                <w:lang w:val="es-ES_tradnl" w:eastAsia="es-ES"/>
              </w:rPr>
              <w:t>Articulado</w:t>
            </w:r>
          </w:p>
        </w:tc>
        <w:tc>
          <w:tcPr>
            <w:tcW w:w="2312" w:type="dxa"/>
            <w:shd w:val="clear" w:color="auto" w:fill="BDD6EE" w:themeFill="accent1" w:themeFillTint="66"/>
            <w:vAlign w:val="center"/>
          </w:tcPr>
          <w:p w:rsidR="00D41728" w:rsidRPr="003A7DA4" w:rsidRDefault="003A7DA4" w:rsidP="00BF43C3">
            <w:pPr>
              <w:ind w:right="49"/>
              <w:jc w:val="center"/>
              <w:rPr>
                <w:rFonts w:ascii="Times New Roman" w:hAnsi="Times New Roman"/>
                <w:b/>
                <w:sz w:val="28"/>
                <w:szCs w:val="24"/>
                <w:lang w:val="es-ES_tradnl" w:eastAsia="es-ES"/>
              </w:rPr>
            </w:pPr>
            <w:r w:rsidRPr="003A7DA4">
              <w:rPr>
                <w:rFonts w:ascii="Times New Roman" w:hAnsi="Times New Roman"/>
                <w:b/>
                <w:sz w:val="28"/>
                <w:szCs w:val="24"/>
                <w:lang w:val="es-ES_tradnl" w:eastAsia="es-ES"/>
              </w:rPr>
              <w:t>Título y pregunta</w:t>
            </w:r>
          </w:p>
        </w:tc>
      </w:tr>
      <w:tr w:rsidR="00D41728" w:rsidRPr="003A7DA4" w:rsidTr="00BF43C3">
        <w:trPr>
          <w:trHeight w:val="650"/>
        </w:trPr>
        <w:tc>
          <w:tcPr>
            <w:tcW w:w="2551" w:type="dxa"/>
            <w:vAlign w:val="center"/>
          </w:tcPr>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
                <w:sz w:val="28"/>
                <w:szCs w:val="24"/>
                <w:lang w:val="es-ES_tradnl" w:eastAsia="es-ES"/>
              </w:rPr>
              <w:t>Quórum:</w:t>
            </w:r>
            <w:r w:rsidRPr="003A7DA4">
              <w:rPr>
                <w:rFonts w:ascii="Times New Roman" w:hAnsi="Times New Roman"/>
                <w:bCs/>
                <w:sz w:val="28"/>
                <w:szCs w:val="24"/>
                <w:lang w:val="es-ES_tradnl" w:eastAsia="es-ES"/>
              </w:rPr>
              <w:t xml:space="preserve"> 13 integrantes / 7 asistentes</w:t>
            </w:r>
            <w:r w:rsidRPr="003A7DA4">
              <w:rPr>
                <w:rFonts w:ascii="Times New Roman" w:hAnsi="Times New Roman"/>
                <w:bCs/>
                <w:sz w:val="28"/>
                <w:szCs w:val="24"/>
                <w:vertAlign w:val="superscript"/>
                <w:lang w:val="es-ES_tradnl"/>
              </w:rPr>
              <w:footnoteReference w:id="51"/>
            </w:r>
          </w:p>
        </w:tc>
        <w:tc>
          <w:tcPr>
            <w:tcW w:w="2552" w:type="dxa"/>
            <w:vAlign w:val="center"/>
          </w:tcPr>
          <w:p w:rsidR="00D41728" w:rsidRPr="003A7DA4" w:rsidRDefault="003A7DA4" w:rsidP="00BF43C3">
            <w:pPr>
              <w:jc w:val="center"/>
              <w:rPr>
                <w:rFonts w:ascii="Times New Roman" w:hAnsi="Times New Roman"/>
                <w:b/>
                <w:sz w:val="28"/>
                <w:szCs w:val="24"/>
                <w:lang w:val="es-ES_tradnl" w:eastAsia="es-ES"/>
              </w:rPr>
            </w:pPr>
            <w:r w:rsidRPr="003A7DA4">
              <w:rPr>
                <w:rFonts w:ascii="Times New Roman" w:hAnsi="Times New Roman"/>
                <w:b/>
                <w:sz w:val="28"/>
                <w:szCs w:val="24"/>
                <w:lang w:val="es-ES_tradnl" w:eastAsia="es-ES"/>
              </w:rPr>
              <w:t>Quórum:</w:t>
            </w:r>
            <w:r w:rsidRPr="003A7DA4">
              <w:rPr>
                <w:rFonts w:ascii="Times New Roman" w:hAnsi="Times New Roman"/>
                <w:bCs/>
                <w:sz w:val="28"/>
                <w:szCs w:val="24"/>
                <w:lang w:val="es-ES_tradnl" w:eastAsia="es-ES"/>
              </w:rPr>
              <w:t xml:space="preserve"> 13 integrantes / 7 asistentes</w:t>
            </w:r>
            <w:r w:rsidRPr="003A7DA4">
              <w:rPr>
                <w:rFonts w:ascii="Times New Roman" w:hAnsi="Times New Roman"/>
                <w:bCs/>
                <w:sz w:val="28"/>
                <w:szCs w:val="24"/>
                <w:vertAlign w:val="superscript"/>
                <w:lang w:val="es-ES_tradnl"/>
              </w:rPr>
              <w:footnoteReference w:id="52"/>
            </w:r>
          </w:p>
        </w:tc>
        <w:tc>
          <w:tcPr>
            <w:tcW w:w="2312" w:type="dxa"/>
            <w:vAlign w:val="center"/>
          </w:tcPr>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
                <w:sz w:val="28"/>
                <w:szCs w:val="24"/>
                <w:lang w:val="es-ES_tradnl" w:eastAsia="es-ES"/>
              </w:rPr>
              <w:t>Quórum:</w:t>
            </w:r>
            <w:r w:rsidRPr="003A7DA4">
              <w:rPr>
                <w:rFonts w:ascii="Times New Roman" w:hAnsi="Times New Roman"/>
                <w:bCs/>
                <w:sz w:val="28"/>
                <w:szCs w:val="24"/>
                <w:lang w:val="es-ES_tradnl" w:eastAsia="es-ES"/>
              </w:rPr>
              <w:t xml:space="preserve"> 13 integrantes / 8 asistentes</w:t>
            </w:r>
            <w:r w:rsidRPr="003A7DA4">
              <w:rPr>
                <w:rStyle w:val="Refdenotaalpie"/>
                <w:rFonts w:ascii="Times New Roman" w:eastAsiaTheme="majorEastAsia" w:hAnsi="Times New Roman"/>
                <w:bCs/>
                <w:sz w:val="28"/>
                <w:szCs w:val="24"/>
                <w:lang w:val="es-ES_tradnl" w:eastAsia="es-ES"/>
              </w:rPr>
              <w:footnoteReference w:id="53"/>
            </w:r>
          </w:p>
        </w:tc>
      </w:tr>
      <w:tr w:rsidR="00D41728" w:rsidRPr="003A7DA4" w:rsidTr="00BF43C3">
        <w:trPr>
          <w:trHeight w:val="320"/>
        </w:trPr>
        <w:tc>
          <w:tcPr>
            <w:tcW w:w="2551" w:type="dxa"/>
            <w:shd w:val="clear" w:color="auto" w:fill="FFFFFF" w:themeFill="background1"/>
            <w:vAlign w:val="center"/>
          </w:tcPr>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
                <w:bCs/>
                <w:sz w:val="28"/>
                <w:szCs w:val="24"/>
                <w:lang w:val="es-ES_tradnl" w:eastAsia="es-ES"/>
              </w:rPr>
              <w:t>Votos</w:t>
            </w:r>
          </w:p>
        </w:tc>
        <w:tc>
          <w:tcPr>
            <w:tcW w:w="2552" w:type="dxa"/>
            <w:shd w:val="clear" w:color="auto" w:fill="FFFFFF" w:themeFill="background1"/>
            <w:vAlign w:val="center"/>
          </w:tcPr>
          <w:p w:rsidR="00D41728" w:rsidRPr="003A7DA4" w:rsidRDefault="003A7DA4" w:rsidP="00BF43C3">
            <w:pPr>
              <w:jc w:val="center"/>
              <w:rPr>
                <w:rFonts w:ascii="Times New Roman" w:hAnsi="Times New Roman"/>
                <w:b/>
                <w:bCs/>
                <w:sz w:val="28"/>
                <w:szCs w:val="24"/>
                <w:lang w:val="es-ES_tradnl" w:eastAsia="es-ES"/>
              </w:rPr>
            </w:pPr>
            <w:r w:rsidRPr="003A7DA4">
              <w:rPr>
                <w:rFonts w:ascii="Times New Roman" w:hAnsi="Times New Roman"/>
                <w:b/>
                <w:bCs/>
                <w:sz w:val="28"/>
                <w:szCs w:val="24"/>
                <w:lang w:val="es-ES_tradnl" w:eastAsia="es-ES"/>
              </w:rPr>
              <w:t>Votos</w:t>
            </w:r>
          </w:p>
        </w:tc>
        <w:tc>
          <w:tcPr>
            <w:tcW w:w="2312" w:type="dxa"/>
            <w:shd w:val="clear" w:color="auto" w:fill="FFFFFF" w:themeFill="background1"/>
            <w:vAlign w:val="center"/>
          </w:tcPr>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
                <w:bCs/>
                <w:sz w:val="28"/>
                <w:szCs w:val="24"/>
                <w:lang w:val="es-ES_tradnl" w:eastAsia="es-ES"/>
              </w:rPr>
              <w:t>Votos</w:t>
            </w:r>
          </w:p>
        </w:tc>
      </w:tr>
      <w:tr w:rsidR="00D41728" w:rsidRPr="003A7DA4" w:rsidTr="00BF43C3">
        <w:trPr>
          <w:trHeight w:val="640"/>
        </w:trPr>
        <w:tc>
          <w:tcPr>
            <w:tcW w:w="2551" w:type="dxa"/>
            <w:shd w:val="clear" w:color="auto" w:fill="FFFFFF" w:themeFill="background1"/>
            <w:vAlign w:val="center"/>
          </w:tcPr>
          <w:p w:rsidR="00D41728" w:rsidRPr="003A7DA4" w:rsidRDefault="003A7DA4" w:rsidP="00BF43C3">
            <w:pPr>
              <w:ind w:right="49"/>
              <w:jc w:val="center"/>
              <w:rPr>
                <w:rFonts w:ascii="Times New Roman" w:hAnsi="Times New Roman"/>
                <w:bCs/>
                <w:sz w:val="28"/>
                <w:szCs w:val="24"/>
                <w:lang w:val="es-ES_tradnl" w:eastAsia="es-ES"/>
              </w:rPr>
            </w:pPr>
            <w:r w:rsidRPr="003A7DA4">
              <w:rPr>
                <w:rFonts w:ascii="Times New Roman" w:hAnsi="Times New Roman"/>
                <w:bCs/>
                <w:sz w:val="28"/>
                <w:szCs w:val="24"/>
                <w:lang w:val="es-ES_tradnl" w:eastAsia="es-ES"/>
              </w:rPr>
              <w:t>Sí: 7</w:t>
            </w:r>
          </w:p>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Cs/>
                <w:sz w:val="28"/>
                <w:szCs w:val="24"/>
                <w:lang w:val="es-ES_tradnl" w:eastAsia="es-ES"/>
              </w:rPr>
              <w:t>No: 0</w:t>
            </w:r>
          </w:p>
        </w:tc>
        <w:tc>
          <w:tcPr>
            <w:tcW w:w="2552" w:type="dxa"/>
            <w:shd w:val="clear" w:color="auto" w:fill="FFFFFF" w:themeFill="background1"/>
            <w:vAlign w:val="center"/>
          </w:tcPr>
          <w:p w:rsidR="00D41728" w:rsidRPr="003A7DA4" w:rsidRDefault="003A7DA4" w:rsidP="00BF43C3">
            <w:pPr>
              <w:ind w:right="49"/>
              <w:jc w:val="center"/>
              <w:rPr>
                <w:rFonts w:ascii="Times New Roman" w:hAnsi="Times New Roman"/>
                <w:bCs/>
                <w:sz w:val="28"/>
                <w:szCs w:val="24"/>
                <w:lang w:val="es-ES_tradnl" w:eastAsia="es-ES"/>
              </w:rPr>
            </w:pPr>
            <w:r w:rsidRPr="003A7DA4">
              <w:rPr>
                <w:rFonts w:ascii="Times New Roman" w:hAnsi="Times New Roman"/>
                <w:bCs/>
                <w:sz w:val="28"/>
                <w:szCs w:val="24"/>
                <w:lang w:val="es-ES_tradnl" w:eastAsia="es-ES"/>
              </w:rPr>
              <w:t>Sí: 7</w:t>
            </w:r>
          </w:p>
          <w:p w:rsidR="00D41728" w:rsidRPr="003A7DA4" w:rsidRDefault="003A7DA4" w:rsidP="00BF43C3">
            <w:pPr>
              <w:ind w:right="49"/>
              <w:jc w:val="center"/>
              <w:rPr>
                <w:rFonts w:ascii="Times New Roman" w:hAnsi="Times New Roman"/>
                <w:bCs/>
                <w:sz w:val="28"/>
                <w:szCs w:val="24"/>
                <w:lang w:val="es-ES_tradnl" w:eastAsia="es-ES"/>
              </w:rPr>
            </w:pPr>
            <w:r w:rsidRPr="003A7DA4">
              <w:rPr>
                <w:rFonts w:ascii="Times New Roman" w:hAnsi="Times New Roman"/>
                <w:bCs/>
                <w:sz w:val="28"/>
                <w:szCs w:val="24"/>
                <w:lang w:val="es-ES_tradnl" w:eastAsia="es-ES"/>
              </w:rPr>
              <w:t>No: 0</w:t>
            </w:r>
          </w:p>
        </w:tc>
        <w:tc>
          <w:tcPr>
            <w:tcW w:w="2312" w:type="dxa"/>
            <w:shd w:val="clear" w:color="auto" w:fill="FFFFFF" w:themeFill="background1"/>
            <w:vAlign w:val="center"/>
          </w:tcPr>
          <w:p w:rsidR="00D41728" w:rsidRPr="003A7DA4" w:rsidRDefault="003A7DA4" w:rsidP="00BF43C3">
            <w:pPr>
              <w:ind w:right="49"/>
              <w:jc w:val="center"/>
              <w:rPr>
                <w:rFonts w:ascii="Times New Roman" w:hAnsi="Times New Roman"/>
                <w:bCs/>
                <w:sz w:val="28"/>
                <w:szCs w:val="24"/>
                <w:lang w:val="es-ES_tradnl" w:eastAsia="es-ES"/>
              </w:rPr>
            </w:pPr>
            <w:r w:rsidRPr="003A7DA4">
              <w:rPr>
                <w:rFonts w:ascii="Times New Roman" w:hAnsi="Times New Roman"/>
                <w:bCs/>
                <w:sz w:val="28"/>
                <w:szCs w:val="24"/>
                <w:lang w:val="es-ES_tradnl" w:eastAsia="es-ES"/>
              </w:rPr>
              <w:t>Sí: 8</w:t>
            </w:r>
          </w:p>
          <w:p w:rsidR="00D41728" w:rsidRPr="003A7DA4" w:rsidRDefault="003A7DA4" w:rsidP="00BF43C3">
            <w:pPr>
              <w:jc w:val="center"/>
              <w:rPr>
                <w:rFonts w:ascii="Times New Roman" w:hAnsi="Times New Roman"/>
                <w:sz w:val="28"/>
                <w:szCs w:val="24"/>
                <w:lang w:val="es-ES_tradnl" w:eastAsia="es-ES"/>
              </w:rPr>
            </w:pPr>
            <w:r w:rsidRPr="003A7DA4">
              <w:rPr>
                <w:rFonts w:ascii="Times New Roman" w:hAnsi="Times New Roman"/>
                <w:bCs/>
                <w:sz w:val="28"/>
                <w:szCs w:val="24"/>
                <w:lang w:val="es-ES_tradnl" w:eastAsia="es-ES"/>
              </w:rPr>
              <w:t>No: 0</w:t>
            </w:r>
          </w:p>
        </w:tc>
      </w:tr>
      <w:bookmarkEnd w:id="6"/>
    </w:tbl>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6536C5">
      <w:pPr>
        <w:rPr>
          <w:rFonts w:ascii="Times New Roman" w:hAnsi="Times New Roman" w:cs="Times New Roman"/>
          <w:b/>
          <w:bCs/>
          <w:sz w:val="28"/>
          <w:szCs w:val="28"/>
        </w:rPr>
      </w:pPr>
      <w:r w:rsidRPr="003A7DA4">
        <w:rPr>
          <w:rFonts w:ascii="Times New Roman" w:hAnsi="Times New Roman" w:cs="Times New Roman"/>
          <w:b/>
          <w:bCs/>
          <w:sz w:val="28"/>
          <w:szCs w:val="28"/>
        </w:rPr>
        <w:t>Segundo</w:t>
      </w:r>
      <w:r w:rsidRPr="003A7DA4">
        <w:rPr>
          <w:rFonts w:ascii="Times New Roman" w:hAnsi="Times New Roman" w:cs="Times New Roman"/>
          <w:b/>
          <w:bCs/>
          <w:sz w:val="28"/>
          <w:szCs w:val="28"/>
        </w:rPr>
        <w:t xml:space="preserve"> debate </w:t>
      </w:r>
      <w:r w:rsidRPr="003A7DA4">
        <w:rPr>
          <w:rFonts w:ascii="Times New Roman" w:hAnsi="Times New Roman" w:cs="Times New Roman"/>
          <w:b/>
          <w:bCs/>
          <w:sz w:val="28"/>
          <w:szCs w:val="28"/>
        </w:rPr>
        <w:t xml:space="preserve">en </w:t>
      </w:r>
      <w:r w:rsidRPr="003A7DA4">
        <w:rPr>
          <w:rFonts w:ascii="Times New Roman" w:hAnsi="Times New Roman" w:cs="Times New Roman"/>
          <w:b/>
          <w:bCs/>
          <w:sz w:val="28"/>
          <w:szCs w:val="28"/>
        </w:rPr>
        <w:t>la plenaria del Senado de la República</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Informe de ponencia</w:t>
      </w:r>
      <w:r w:rsidRPr="003A7DA4">
        <w:rPr>
          <w:rFonts w:ascii="Times New Roman" w:hAnsi="Times New Roman" w:cs="Times New Roman"/>
          <w:sz w:val="28"/>
          <w:szCs w:val="28"/>
          <w:lang w:val="es-ES_tradnl" w:eastAsia="es-ES"/>
        </w:rPr>
        <w:t>:</w:t>
      </w:r>
      <w:r w:rsidRPr="003A7DA4">
        <w:rPr>
          <w:rFonts w:ascii="Times New Roman" w:hAnsi="Times New Roman" w:cs="Times New Roman"/>
          <w:sz w:val="28"/>
          <w:szCs w:val="28"/>
        </w:rPr>
        <w:t xml:space="preserve"> el 3 de mayo de 2022, la Senadora Paola Andrea Holguín Moreno presentó su informe de ponencia para segundo debate, el cual </w:t>
      </w:r>
      <w:r w:rsidRPr="003A7DA4">
        <w:rPr>
          <w:rFonts w:ascii="Times New Roman" w:hAnsi="Times New Roman" w:cs="Times New Roman"/>
          <w:sz w:val="28"/>
          <w:szCs w:val="28"/>
        </w:rPr>
        <w:t>se publicó</w:t>
      </w:r>
      <w:r w:rsidRPr="003A7DA4">
        <w:rPr>
          <w:rFonts w:ascii="Times New Roman" w:hAnsi="Times New Roman" w:cs="Times New Roman"/>
          <w:sz w:val="28"/>
          <w:szCs w:val="28"/>
        </w:rPr>
        <w:t xml:space="preserve"> </w:t>
      </w:r>
      <w:r w:rsidRPr="003A7DA4">
        <w:rPr>
          <w:rFonts w:ascii="Times New Roman" w:hAnsi="Times New Roman" w:cs="Times New Roman"/>
          <w:sz w:val="28"/>
          <w:szCs w:val="28"/>
          <w:lang w:eastAsia="es-ES"/>
        </w:rPr>
        <w:t xml:space="preserve">en la Gaceta del Congreso 408 del 4 de mayo de </w:t>
      </w:r>
      <w:r w:rsidRPr="003A7DA4">
        <w:rPr>
          <w:rFonts w:ascii="Times New Roman" w:hAnsi="Times New Roman" w:cs="Times New Roman"/>
          <w:sz w:val="28"/>
          <w:szCs w:val="28"/>
          <w:lang w:eastAsia="es-ES"/>
        </w:rPr>
        <w:t>2022 (fl. 10)</w:t>
      </w:r>
      <w:r w:rsidRPr="003A7DA4">
        <w:rPr>
          <w:rStyle w:val="Refdenotaalpie"/>
          <w:rFonts w:ascii="Times New Roman" w:eastAsiaTheme="majorEastAsia" w:hAnsi="Times New Roman" w:cs="Times New Roman"/>
          <w:bCs/>
          <w:sz w:val="28"/>
          <w:szCs w:val="28"/>
          <w:lang w:val="es-ES_tradnl" w:eastAsia="es-ES"/>
        </w:rPr>
        <w:t xml:space="preserve"> </w:t>
      </w:r>
      <w:r w:rsidRPr="003A7DA4">
        <w:rPr>
          <w:rStyle w:val="Refdenotaalpie"/>
          <w:rFonts w:ascii="Times New Roman" w:eastAsiaTheme="majorEastAsia" w:hAnsi="Times New Roman" w:cs="Times New Roman"/>
          <w:bCs/>
          <w:sz w:val="28"/>
          <w:szCs w:val="28"/>
          <w:lang w:val="es-ES_tradnl" w:eastAsia="es-ES"/>
        </w:rPr>
        <w:footnoteReference w:id="54"/>
      </w:r>
      <w:r w:rsidRPr="003A7DA4">
        <w:rPr>
          <w:rFonts w:ascii="Times New Roman" w:hAnsi="Times New Roman" w:cs="Times New Roman"/>
          <w:sz w:val="28"/>
          <w:szCs w:val="28"/>
        </w:rPr>
        <w:t>.</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En tales términos, se observaron las exigencias previstas por los artículos 160 de la Constitución y 156 y 157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ind w:left="360"/>
        <w:rPr>
          <w:rFonts w:ascii="Times New Roman" w:hAnsi="Times New Roman" w:cs="Times New Roman"/>
          <w:sz w:val="28"/>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i/>
          <w:iCs/>
          <w:sz w:val="28"/>
          <w:szCs w:val="28"/>
          <w:lang w:val="es-ES_tradnl" w:eastAsia="es-ES"/>
        </w:rPr>
      </w:pPr>
      <w:r w:rsidRPr="003A7DA4">
        <w:rPr>
          <w:rFonts w:ascii="Times New Roman" w:hAnsi="Times New Roman" w:cs="Times New Roman"/>
          <w:sz w:val="28"/>
          <w:szCs w:val="28"/>
          <w:lang w:val="es-ES_tradnl" w:eastAsia="es-ES"/>
        </w:rPr>
        <w:t>Ahora bien, en la Gaceta 538 del 19 de mayo de 2022</w:t>
      </w:r>
      <w:r w:rsidRPr="003A7DA4">
        <w:rPr>
          <w:rStyle w:val="Refdenotaalpie"/>
          <w:rFonts w:ascii="Times New Roman" w:eastAsiaTheme="majorEastAsia" w:hAnsi="Times New Roman" w:cs="Times New Roman"/>
          <w:sz w:val="28"/>
          <w:szCs w:val="28"/>
          <w:lang w:val="es-ES_tradnl" w:eastAsia="es-ES"/>
        </w:rPr>
        <w:footnoteReference w:id="55"/>
      </w:r>
      <w:r w:rsidRPr="003A7DA4">
        <w:rPr>
          <w:rFonts w:ascii="Times New Roman" w:hAnsi="Times New Roman" w:cs="Times New Roman"/>
          <w:sz w:val="28"/>
          <w:szCs w:val="28"/>
          <w:lang w:val="es-ES_tradnl" w:eastAsia="es-ES"/>
        </w:rPr>
        <w:t xml:space="preserve"> se consignó nota aclaratoria al informe de ponencia para segundo debate al Proyecto de Ley Número 277 de 2021 Senado. En la Gaceta se indicó:</w:t>
      </w:r>
    </w:p>
    <w:p w:rsidR="001E60EC" w:rsidRPr="003A7DA4" w:rsidRDefault="003A7DA4" w:rsidP="001E60EC">
      <w:pPr>
        <w:ind w:left="360"/>
        <w:rPr>
          <w:rFonts w:ascii="Times New Roman" w:hAnsi="Times New Roman" w:cs="Times New Roman"/>
          <w:sz w:val="28"/>
        </w:rPr>
      </w:pPr>
    </w:p>
    <w:p w:rsidR="001E60EC" w:rsidRPr="003A7DA4" w:rsidRDefault="003A7DA4" w:rsidP="00576FE8">
      <w:pPr>
        <w:tabs>
          <w:tab w:val="left" w:pos="426"/>
        </w:tabs>
        <w:ind w:left="567" w:right="616"/>
        <w:jc w:val="both"/>
        <w:rPr>
          <w:rFonts w:ascii="Times New Roman" w:hAnsi="Times New Roman" w:cs="Times New Roman"/>
          <w:i/>
          <w:iCs/>
          <w:sz w:val="28"/>
          <w:szCs w:val="26"/>
          <w:lang w:val="es-ES_tradnl" w:eastAsia="es-ES"/>
        </w:rPr>
      </w:pPr>
      <w:r w:rsidRPr="003A7DA4">
        <w:rPr>
          <w:rFonts w:ascii="Times New Roman" w:hAnsi="Times New Roman" w:cs="Times New Roman"/>
          <w:i/>
          <w:iCs/>
          <w:sz w:val="28"/>
          <w:szCs w:val="26"/>
          <w:lang w:val="es-ES_tradnl" w:eastAsia="es-ES"/>
        </w:rPr>
        <w:t xml:space="preserve">“En la presente fecha se solicita publicar nuevamente en la Gaceta del Congreso de la República, la ponencia </w:t>
      </w:r>
      <w:r w:rsidRPr="003A7DA4">
        <w:rPr>
          <w:rFonts w:ascii="Times New Roman" w:hAnsi="Times New Roman" w:cs="Times New Roman"/>
          <w:i/>
          <w:iCs/>
          <w:sz w:val="28"/>
          <w:szCs w:val="26"/>
          <w:lang w:val="es-ES_tradnl" w:eastAsia="es-ES"/>
        </w:rPr>
        <w:t xml:space="preserve">para Segundo debate y el Texto definitivo aprobado en primer debate del Proyecto de Ley No. 277/21 Senado “POR MEDIO DE LA CUAL SE APRUEBA EL CONVENIO ENTRE LA REPÚBLICA DE COLOMBIA Y LA REPÚBLICA DE COSTA RICA SOBRE ASISTENCIA JUDICIAL EN MATERIA PENAL”, </w:t>
      </w:r>
      <w:r w:rsidRPr="003A7DA4">
        <w:rPr>
          <w:rFonts w:ascii="Times New Roman" w:hAnsi="Times New Roman" w:cs="Times New Roman"/>
          <w:i/>
          <w:iCs/>
          <w:sz w:val="28"/>
          <w:szCs w:val="26"/>
          <w:lang w:val="es-ES_tradnl" w:eastAsia="es-ES"/>
        </w:rPr>
        <w:t>SUSCRITO EN WASHINGTON, EL 4 DE JUNIO DE 2018, la cual había sido publicada inicialmente en la Gaceta No. 408 de 2022, pero el texto propuesto para Segundo Debate quedó con un error de transcripción, que por instrucciones de la H. Senadora Ponente Paola An</w:t>
      </w:r>
      <w:r w:rsidRPr="003A7DA4">
        <w:rPr>
          <w:rFonts w:ascii="Times New Roman" w:hAnsi="Times New Roman" w:cs="Times New Roman"/>
          <w:i/>
          <w:iCs/>
          <w:sz w:val="28"/>
          <w:szCs w:val="26"/>
          <w:lang w:val="es-ES_tradnl" w:eastAsia="es-ES"/>
        </w:rPr>
        <w:t>drea Holguín Moreno, se hace necesario volver a publicar”</w:t>
      </w:r>
      <w:r w:rsidRPr="003A7DA4">
        <w:rPr>
          <w:rStyle w:val="Refdenotaalpie"/>
          <w:rFonts w:ascii="Times New Roman" w:eastAsiaTheme="majorEastAsia" w:hAnsi="Times New Roman" w:cs="Times New Roman"/>
          <w:i/>
          <w:iCs/>
          <w:sz w:val="28"/>
          <w:szCs w:val="26"/>
          <w:lang w:val="es-ES_tradnl" w:eastAsia="es-ES"/>
        </w:rPr>
        <w:footnoteReference w:id="56"/>
      </w:r>
      <w:r w:rsidRPr="003A7DA4">
        <w:rPr>
          <w:rFonts w:ascii="Times New Roman" w:hAnsi="Times New Roman" w:cs="Times New Roman"/>
          <w:i/>
          <w:iCs/>
          <w:sz w:val="28"/>
          <w:szCs w:val="26"/>
          <w:lang w:val="es-ES_tradnl" w:eastAsia="es-ES"/>
        </w:rPr>
        <w:t>.</w:t>
      </w:r>
    </w:p>
    <w:p w:rsidR="008668D3" w:rsidRPr="003A7DA4" w:rsidRDefault="003A7DA4" w:rsidP="008668D3">
      <w:pPr>
        <w:tabs>
          <w:tab w:val="left" w:pos="426"/>
        </w:tabs>
        <w:ind w:right="333"/>
        <w:jc w:val="both"/>
        <w:rPr>
          <w:rFonts w:ascii="Times New Roman" w:hAnsi="Times New Roman" w:cs="Times New Roman"/>
          <w:i/>
          <w:iCs/>
          <w:sz w:val="28"/>
          <w:szCs w:val="26"/>
          <w:lang w:val="es-ES_tradnl" w:eastAsia="es-ES"/>
        </w:rPr>
      </w:pPr>
    </w:p>
    <w:p w:rsidR="008668D3" w:rsidRPr="003A7DA4" w:rsidRDefault="003A7DA4" w:rsidP="001B6BCF">
      <w:pPr>
        <w:numPr>
          <w:ilvl w:val="0"/>
          <w:numId w:val="8"/>
        </w:numPr>
        <w:tabs>
          <w:tab w:val="left" w:pos="426"/>
        </w:tabs>
        <w:ind w:left="0" w:right="49" w:firstLine="0"/>
        <w:jc w:val="both"/>
        <w:rPr>
          <w:rFonts w:ascii="Times New Roman" w:hAnsi="Times New Roman" w:cs="Times New Roman"/>
          <w:sz w:val="28"/>
          <w:szCs w:val="26"/>
          <w:lang w:val="es-ES_tradnl" w:eastAsia="es-ES"/>
        </w:rPr>
      </w:pPr>
      <w:r w:rsidRPr="003A7DA4">
        <w:rPr>
          <w:rFonts w:ascii="Times New Roman" w:hAnsi="Times New Roman" w:cs="Times New Roman"/>
          <w:sz w:val="28"/>
          <w:szCs w:val="26"/>
          <w:lang w:val="es-ES_tradnl" w:eastAsia="es-ES"/>
        </w:rPr>
        <w:t xml:space="preserve"> </w:t>
      </w:r>
      <w:r w:rsidRPr="003A7DA4">
        <w:rPr>
          <w:rFonts w:ascii="Times New Roman" w:hAnsi="Times New Roman" w:cs="Times New Roman"/>
          <w:sz w:val="28"/>
          <w:szCs w:val="28"/>
          <w:lang w:val="es-ES_tradnl" w:eastAsia="es-ES"/>
        </w:rPr>
        <w:t xml:space="preserve">Esta cuestión no </w:t>
      </w:r>
      <w:r w:rsidRPr="003A7DA4">
        <w:rPr>
          <w:rFonts w:ascii="Times New Roman" w:hAnsi="Times New Roman" w:cs="Times New Roman"/>
          <w:sz w:val="28"/>
          <w:szCs w:val="28"/>
          <w:lang w:val="es-ES_tradnl" w:eastAsia="es-ES"/>
        </w:rPr>
        <w:t>supone</w:t>
      </w:r>
      <w:r w:rsidRPr="003A7DA4">
        <w:rPr>
          <w:rFonts w:ascii="Times New Roman" w:hAnsi="Times New Roman" w:cs="Times New Roman"/>
          <w:sz w:val="28"/>
          <w:szCs w:val="28"/>
          <w:lang w:val="es-ES_tradnl" w:eastAsia="es-ES"/>
        </w:rPr>
        <w:t xml:space="preserve"> un vicio en el trámite, pues se corrigió el yerro </w:t>
      </w:r>
      <w:r w:rsidRPr="003A7DA4">
        <w:rPr>
          <w:rFonts w:ascii="Times New Roman" w:hAnsi="Times New Roman" w:cs="Times New Roman"/>
          <w:sz w:val="28"/>
          <w:szCs w:val="28"/>
          <w:lang w:val="es-ES_tradnl" w:eastAsia="es-ES"/>
        </w:rPr>
        <w:t>y el</w:t>
      </w:r>
      <w:r w:rsidRPr="003A7DA4">
        <w:rPr>
          <w:rFonts w:ascii="Times New Roman" w:hAnsi="Times New Roman" w:cs="Times New Roman"/>
          <w:sz w:val="28"/>
          <w:szCs w:val="28"/>
          <w:lang w:val="es-ES_tradnl" w:eastAsia="es-ES"/>
        </w:rPr>
        <w:t xml:space="preserve"> texto se publicó en la gaceta correspondiente para efectos de darle curso al debate.</w:t>
      </w:r>
    </w:p>
    <w:p w:rsidR="001E60EC" w:rsidRPr="003A7DA4" w:rsidRDefault="003A7DA4" w:rsidP="001E60EC">
      <w:pPr>
        <w:ind w:left="360"/>
        <w:rPr>
          <w:rFonts w:ascii="Times New Roman" w:hAnsi="Times New Roman" w:cs="Times New Roman"/>
          <w:sz w:val="28"/>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rPr>
      </w:pPr>
      <w:r w:rsidRPr="003A7DA4">
        <w:rPr>
          <w:rFonts w:ascii="Times New Roman" w:hAnsi="Times New Roman" w:cs="Times New Roman"/>
          <w:i/>
          <w:iCs/>
          <w:sz w:val="28"/>
          <w:szCs w:val="28"/>
          <w:lang w:val="es-ES_tradnl" w:eastAsia="es-ES"/>
        </w:rPr>
        <w:t>Anuncio previo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 xml:space="preserve">el anuncio </w:t>
      </w:r>
      <w:r w:rsidRPr="003A7DA4">
        <w:rPr>
          <w:rFonts w:ascii="Times New Roman" w:hAnsi="Times New Roman" w:cs="Times New Roman"/>
          <w:sz w:val="28"/>
          <w:szCs w:val="28"/>
        </w:rPr>
        <w:t>previo al debate se llevó a cabo el 11 de agosto de 2022, como consta en el Acta 05, publicada en la Gaceta 1103 del 19 de septiembre de 2022 (fl.</w:t>
      </w:r>
      <w:r w:rsidRPr="003A7DA4">
        <w:rPr>
          <w:rFonts w:ascii="Times New Roman" w:hAnsi="Times New Roman" w:cs="Times New Roman"/>
          <w:sz w:val="28"/>
          <w:szCs w:val="28"/>
          <w:lang w:eastAsia="es-ES"/>
        </w:rPr>
        <w:t xml:space="preserve"> 20)</w:t>
      </w:r>
      <w:r w:rsidRPr="003A7DA4">
        <w:rPr>
          <w:rStyle w:val="Refdenotaalpie"/>
          <w:rFonts w:ascii="Times New Roman" w:eastAsiaTheme="majorEastAsia" w:hAnsi="Times New Roman" w:cs="Times New Roman"/>
          <w:sz w:val="28"/>
          <w:szCs w:val="28"/>
        </w:rPr>
        <w:footnoteReference w:id="57"/>
      </w:r>
      <w:r w:rsidRPr="003A7DA4">
        <w:rPr>
          <w:rFonts w:ascii="Times New Roman" w:hAnsi="Times New Roman" w:cs="Times New Roman"/>
          <w:sz w:val="28"/>
          <w:szCs w:val="28"/>
          <w:lang w:eastAsia="es-ES"/>
        </w:rPr>
        <w:t xml:space="preserve">. </w:t>
      </w:r>
      <w:r w:rsidRPr="003A7DA4">
        <w:rPr>
          <w:rFonts w:ascii="Times New Roman" w:hAnsi="Times New Roman" w:cs="Times New Roman"/>
          <w:color w:val="000000" w:themeColor="text1"/>
          <w:sz w:val="28"/>
          <w:szCs w:val="28"/>
          <w:lang w:val="es-ES"/>
        </w:rPr>
        <w:t xml:space="preserve">En dicha sesión, el secretario de la Comisión, por solicitud del presidente de esta, anunció el debate </w:t>
      </w:r>
      <w:r w:rsidRPr="003A7DA4">
        <w:rPr>
          <w:rFonts w:ascii="Times New Roman" w:hAnsi="Times New Roman" w:cs="Times New Roman"/>
          <w:color w:val="000000" w:themeColor="text1"/>
          <w:sz w:val="28"/>
          <w:szCs w:val="28"/>
          <w:lang w:val="es-ES"/>
        </w:rPr>
        <w:t xml:space="preserve">y la votación del proyecto de ley </w:t>
      </w:r>
      <w:r w:rsidRPr="003A7DA4">
        <w:rPr>
          <w:rFonts w:ascii="Times New Roman" w:hAnsi="Times New Roman" w:cs="Times New Roman"/>
          <w:i/>
          <w:color w:val="000000" w:themeColor="text1"/>
          <w:sz w:val="28"/>
          <w:szCs w:val="28"/>
          <w:lang w:val="es-ES"/>
        </w:rPr>
        <w:t>sub examine</w:t>
      </w:r>
      <w:r w:rsidRPr="003A7DA4">
        <w:rPr>
          <w:rFonts w:ascii="Times New Roman" w:hAnsi="Times New Roman" w:cs="Times New Roman"/>
          <w:color w:val="000000" w:themeColor="text1"/>
          <w:sz w:val="28"/>
          <w:szCs w:val="28"/>
          <w:lang w:val="es-ES"/>
        </w:rPr>
        <w:t xml:space="preserve"> </w:t>
      </w:r>
      <w:r w:rsidRPr="003A7DA4">
        <w:rPr>
          <w:rFonts w:ascii="Times New Roman" w:hAnsi="Times New Roman" w:cs="Times New Roman"/>
          <w:i/>
          <w:iCs/>
          <w:color w:val="000000" w:themeColor="text1"/>
          <w:sz w:val="28"/>
          <w:szCs w:val="28"/>
          <w:lang w:val="es-ES"/>
        </w:rPr>
        <w:t>“</w:t>
      </w:r>
      <w:r w:rsidRPr="003A7DA4">
        <w:rPr>
          <w:rFonts w:ascii="Times New Roman" w:hAnsi="Times New Roman" w:cs="Times New Roman"/>
          <w:i/>
          <w:color w:val="000000" w:themeColor="text1"/>
          <w:sz w:val="28"/>
          <w:szCs w:val="28"/>
          <w:lang w:val="es-ES"/>
        </w:rPr>
        <w:t xml:space="preserve">para sesión siguiente </w:t>
      </w:r>
      <w:r w:rsidRPr="003A7DA4">
        <w:rPr>
          <w:rFonts w:ascii="Times New Roman" w:hAnsi="Times New Roman" w:cs="Times New Roman"/>
          <w:iCs/>
          <w:color w:val="000000" w:themeColor="text1"/>
          <w:sz w:val="28"/>
          <w:szCs w:val="28"/>
          <w:lang w:val="es-ES"/>
        </w:rPr>
        <w:t xml:space="preserve">[a] </w:t>
      </w:r>
      <w:r w:rsidRPr="003A7DA4">
        <w:rPr>
          <w:rFonts w:ascii="Times New Roman" w:hAnsi="Times New Roman" w:cs="Times New Roman"/>
          <w:i/>
          <w:color w:val="000000" w:themeColor="text1"/>
          <w:sz w:val="28"/>
          <w:szCs w:val="28"/>
          <w:lang w:val="es-ES"/>
        </w:rPr>
        <w:t>la del día jue</w:t>
      </w:r>
      <w:r w:rsidRPr="003A7DA4">
        <w:rPr>
          <w:rFonts w:ascii="Times New Roman" w:hAnsi="Times New Roman" w:cs="Times New Roman"/>
          <w:i/>
          <w:color w:val="000000" w:themeColor="text1"/>
          <w:sz w:val="28"/>
          <w:szCs w:val="28"/>
          <w:lang w:val="es-ES"/>
        </w:rPr>
        <w:t>v</w:t>
      </w:r>
      <w:r w:rsidRPr="003A7DA4">
        <w:rPr>
          <w:rFonts w:ascii="Times New Roman" w:hAnsi="Times New Roman" w:cs="Times New Roman"/>
          <w:i/>
          <w:color w:val="000000" w:themeColor="text1"/>
          <w:sz w:val="28"/>
          <w:szCs w:val="28"/>
          <w:lang w:val="es-ES"/>
        </w:rPr>
        <w:t>es 11 de agosto de 2022</w:t>
      </w:r>
      <w:r w:rsidRPr="003A7DA4">
        <w:rPr>
          <w:rFonts w:ascii="Times New Roman" w:hAnsi="Times New Roman" w:cs="Times New Roman"/>
          <w:i/>
          <w:iCs/>
          <w:color w:val="000000" w:themeColor="text1"/>
          <w:sz w:val="28"/>
          <w:szCs w:val="28"/>
          <w:lang w:val="es-ES"/>
        </w:rPr>
        <w:t>”</w:t>
      </w:r>
      <w:r w:rsidRPr="003A7DA4">
        <w:rPr>
          <w:rFonts w:ascii="Times New Roman" w:hAnsi="Times New Roman" w:cs="Times New Roman"/>
          <w:color w:val="000000" w:themeColor="text1"/>
          <w:sz w:val="28"/>
          <w:szCs w:val="28"/>
          <w:lang w:val="es-ES"/>
        </w:rPr>
        <w:t xml:space="preserve">. </w:t>
      </w:r>
      <w:r w:rsidRPr="003A7DA4">
        <w:rPr>
          <w:rFonts w:ascii="Times New Roman" w:hAnsi="Times New Roman" w:cs="Times New Roman"/>
          <w:bCs/>
          <w:sz w:val="28"/>
          <w:szCs w:val="28"/>
          <w:lang w:val="es-ES_tradnl" w:eastAsia="es-ES"/>
        </w:rPr>
        <w:t xml:space="preserve">De esta forma, se </w:t>
      </w:r>
      <w:r w:rsidRPr="003A7DA4">
        <w:rPr>
          <w:rFonts w:ascii="Times New Roman" w:hAnsi="Times New Roman" w:cs="Times New Roman"/>
          <w:sz w:val="28"/>
          <w:szCs w:val="28"/>
        </w:rPr>
        <w:t>cumplió la exigencia prevista en el inciso final del artículo 160 de la Constitución</w:t>
      </w:r>
      <w:r w:rsidRPr="003A7DA4">
        <w:rPr>
          <w:rFonts w:ascii="Times New Roman" w:hAnsi="Times New Roman" w:cs="Times New Roman"/>
          <w:bCs/>
          <w:sz w:val="28"/>
          <w:szCs w:val="28"/>
          <w:lang w:val="es-ES"/>
        </w:rPr>
        <w:t>.</w:t>
      </w:r>
    </w:p>
    <w:p w:rsidR="001E60EC" w:rsidRPr="003A7DA4" w:rsidRDefault="003A7DA4" w:rsidP="001E60EC">
      <w:pPr>
        <w:tabs>
          <w:tab w:val="left" w:pos="426"/>
        </w:tabs>
        <w:ind w:right="49"/>
        <w:jc w:val="both"/>
        <w:rPr>
          <w:rFonts w:ascii="Times New Roman" w:hAnsi="Times New Roman" w:cs="Times New Roman"/>
          <w:sz w:val="28"/>
        </w:rPr>
      </w:pPr>
    </w:p>
    <w:p w:rsidR="001E60EC" w:rsidRPr="003A7DA4" w:rsidRDefault="003A7DA4" w:rsidP="00D41728">
      <w:pPr>
        <w:numPr>
          <w:ilvl w:val="0"/>
          <w:numId w:val="8"/>
        </w:numPr>
        <w:tabs>
          <w:tab w:val="left" w:pos="142"/>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Debate y aprobación</w:t>
      </w:r>
      <w:r w:rsidRPr="003A7DA4">
        <w:rPr>
          <w:rFonts w:ascii="Times New Roman" w:hAnsi="Times New Roman" w:cs="Times New Roman"/>
          <w:sz w:val="28"/>
          <w:szCs w:val="28"/>
          <w:lang w:val="es-ES_tradnl" w:eastAsia="es-ES"/>
        </w:rPr>
        <w:t>:</w:t>
      </w:r>
      <w:r w:rsidRPr="003A7DA4">
        <w:rPr>
          <w:rFonts w:ascii="Times New Roman" w:hAnsi="Times New Roman" w:cs="Times New Roman"/>
          <w:sz w:val="28"/>
          <w:szCs w:val="28"/>
        </w:rPr>
        <w:t xml:space="preserve"> la votación del texto del proyecto de ley se llevó a cabo el 16 de agosto de 2022, tal como consta en la Gaceta 1286 de octubre 20 de 2022 (fl. 20-23)</w:t>
      </w:r>
      <w:r w:rsidRPr="003A7DA4">
        <w:rPr>
          <w:rStyle w:val="Refdenotaalpie"/>
          <w:rFonts w:ascii="Times New Roman" w:eastAsiaTheme="majorEastAsia" w:hAnsi="Times New Roman" w:cs="Times New Roman"/>
          <w:sz w:val="28"/>
          <w:szCs w:val="28"/>
        </w:rPr>
        <w:footnoteReference w:id="58"/>
      </w:r>
      <w:r w:rsidRPr="003A7DA4">
        <w:rPr>
          <w:rFonts w:ascii="Times New Roman" w:hAnsi="Times New Roman" w:cs="Times New Roman"/>
          <w:sz w:val="28"/>
          <w:szCs w:val="28"/>
          <w:lang w:val="es-ES_tradnl" w:eastAsia="es-ES"/>
        </w:rPr>
        <w:t xml:space="preserve">. El texto definitivo aprobado por la plenaria del </w:t>
      </w:r>
      <w:r w:rsidRPr="003A7DA4">
        <w:rPr>
          <w:rFonts w:ascii="Times New Roman" w:hAnsi="Times New Roman" w:cs="Times New Roman"/>
          <w:sz w:val="28"/>
          <w:szCs w:val="28"/>
        </w:rPr>
        <w:t>Senado de la República se publicó en la Gaceta del Co</w:t>
      </w:r>
      <w:r w:rsidRPr="003A7DA4">
        <w:rPr>
          <w:rFonts w:ascii="Times New Roman" w:hAnsi="Times New Roman" w:cs="Times New Roman"/>
          <w:sz w:val="28"/>
          <w:szCs w:val="28"/>
        </w:rPr>
        <w:t>ngreso 928 del 18 de agosto de 2022 (fl. 8)</w:t>
      </w:r>
      <w:r w:rsidRPr="003A7DA4">
        <w:rPr>
          <w:rStyle w:val="Refdenotaalpie"/>
          <w:rFonts w:ascii="Times New Roman" w:eastAsiaTheme="majorEastAsia" w:hAnsi="Times New Roman" w:cs="Times New Roman"/>
          <w:sz w:val="28"/>
          <w:szCs w:val="28"/>
        </w:rPr>
        <w:footnoteReference w:id="59"/>
      </w:r>
      <w:r w:rsidRPr="003A7DA4">
        <w:rPr>
          <w:rFonts w:ascii="Times New Roman" w:hAnsi="Times New Roman" w:cs="Times New Roman"/>
          <w:sz w:val="28"/>
          <w:szCs w:val="28"/>
        </w:rPr>
        <w:t xml:space="preserve">. </w:t>
      </w:r>
    </w:p>
    <w:p w:rsidR="00F86A63" w:rsidRPr="003A7DA4" w:rsidRDefault="003A7DA4" w:rsidP="00F86A63">
      <w:pPr>
        <w:pStyle w:val="Prrafodelista"/>
        <w:numPr>
          <w:ilvl w:val="0"/>
          <w:numId w:val="0"/>
        </w:numPr>
        <w:rPr>
          <w:rFonts w:ascii="Times New Roman" w:hAnsi="Times New Roman" w:cs="Times New Roman"/>
        </w:rPr>
      </w:pPr>
    </w:p>
    <w:p w:rsidR="001E60EC" w:rsidRPr="003A7DA4" w:rsidRDefault="003A7DA4" w:rsidP="001E60EC">
      <w:pPr>
        <w:numPr>
          <w:ilvl w:val="0"/>
          <w:numId w:val="8"/>
        </w:numPr>
        <w:tabs>
          <w:tab w:val="left" w:pos="426"/>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A continuación, </w:t>
      </w:r>
      <w:r w:rsidRPr="003A7DA4">
        <w:rPr>
          <w:rFonts w:ascii="Times New Roman" w:hAnsi="Times New Roman" w:cs="Times New Roman"/>
          <w:bCs/>
          <w:sz w:val="28"/>
          <w:szCs w:val="28"/>
          <w:lang w:val="es-ES_tradnl" w:eastAsia="es-ES"/>
        </w:rPr>
        <w:t xml:space="preserve">se precisa la forma en que se </w:t>
      </w:r>
      <w:r w:rsidRPr="003A7DA4">
        <w:rPr>
          <w:rFonts w:ascii="Times New Roman" w:hAnsi="Times New Roman" w:cs="Times New Roman"/>
          <w:sz w:val="28"/>
          <w:szCs w:val="28"/>
          <w:lang w:val="es-ES_tradnl" w:eastAsia="es-ES"/>
        </w:rPr>
        <w:t>dio cumplimiento a la exigencia de quórum deliberatorio y decisorio que establece el artículo 145 de la Constitución, así como a la de votación nominal y pública que requiere el artículo 133 de aquella, para la aprobación de: (i) la proposición positiva de</w:t>
      </w:r>
      <w:r w:rsidRPr="003A7DA4">
        <w:rPr>
          <w:rFonts w:ascii="Times New Roman" w:hAnsi="Times New Roman" w:cs="Times New Roman"/>
          <w:sz w:val="28"/>
          <w:szCs w:val="28"/>
          <w:lang w:val="es-ES_tradnl" w:eastAsia="es-ES"/>
        </w:rPr>
        <w:t xml:space="preserve">l informe de ponencia, (ii) el articulado del proyecto de ley y (iii) el título y la intención de que el proyecto </w:t>
      </w:r>
      <w:r w:rsidRPr="003A7DA4">
        <w:rPr>
          <w:rFonts w:ascii="Times New Roman" w:hAnsi="Times New Roman" w:cs="Times New Roman"/>
          <w:sz w:val="28"/>
          <w:szCs w:val="28"/>
          <w:lang w:eastAsia="es-ES"/>
        </w:rPr>
        <w:t>continúe su trámite en la Cámara de Representantes</w:t>
      </w:r>
      <w:r w:rsidRPr="003A7DA4">
        <w:rPr>
          <w:rFonts w:ascii="Times New Roman" w:hAnsi="Times New Roman" w:cs="Times New Roman"/>
          <w:sz w:val="28"/>
          <w:szCs w:val="28"/>
          <w:lang w:val="es-ES_tradnl" w:eastAsia="es-ES"/>
        </w:rPr>
        <w:t xml:space="preserve">: </w:t>
      </w:r>
    </w:p>
    <w:p w:rsidR="001E60EC" w:rsidRPr="003A7DA4" w:rsidRDefault="003A7DA4" w:rsidP="001E60EC">
      <w:pPr>
        <w:tabs>
          <w:tab w:val="left" w:pos="567"/>
        </w:tabs>
        <w:ind w:right="49"/>
        <w:jc w:val="both"/>
        <w:rPr>
          <w:rFonts w:ascii="Times New Roman" w:hAnsi="Times New Roman" w:cs="Times New Roman"/>
          <w:sz w:val="28"/>
          <w:szCs w:val="28"/>
          <w:lang w:eastAsia="es-ES"/>
        </w:rPr>
      </w:pPr>
    </w:p>
    <w:tbl>
      <w:tblPr>
        <w:tblStyle w:val="Tablaconcuadrcula"/>
        <w:tblW w:w="0" w:type="auto"/>
        <w:tblInd w:w="2174" w:type="dxa"/>
        <w:tblLook w:val="04A0" w:firstRow="1" w:lastRow="0" w:firstColumn="1" w:lastColumn="0" w:noHBand="0" w:noVBand="1"/>
      </w:tblPr>
      <w:tblGrid>
        <w:gridCol w:w="2469"/>
        <w:gridCol w:w="2469"/>
      </w:tblGrid>
      <w:tr w:rsidR="001E60EC" w:rsidRPr="003A7DA4" w:rsidTr="00F11F02">
        <w:trPr>
          <w:trHeight w:val="780"/>
        </w:trPr>
        <w:tc>
          <w:tcPr>
            <w:tcW w:w="2469" w:type="dxa"/>
            <w:shd w:val="clear" w:color="auto" w:fill="9CC2E5" w:themeFill="accent1" w:themeFillTint="99"/>
            <w:vAlign w:val="center"/>
          </w:tcPr>
          <w:p w:rsidR="001E60EC" w:rsidRPr="003A7DA4" w:rsidRDefault="003A7DA4" w:rsidP="00F11F02">
            <w:pPr>
              <w:tabs>
                <w:tab w:val="left" w:pos="567"/>
              </w:tabs>
              <w:ind w:right="49"/>
              <w:jc w:val="center"/>
              <w:rPr>
                <w:rFonts w:ascii="Times New Roman" w:hAnsi="Times New Roman"/>
                <w:sz w:val="28"/>
                <w:lang w:val="es-ES_tradnl" w:eastAsia="es-ES"/>
              </w:rPr>
            </w:pPr>
            <w:r w:rsidRPr="003A7DA4">
              <w:rPr>
                <w:rFonts w:ascii="Times New Roman" w:hAnsi="Times New Roman"/>
                <w:b/>
                <w:sz w:val="28"/>
                <w:lang w:val="es-ES_tradnl" w:eastAsia="es-ES"/>
              </w:rPr>
              <w:t>Proposición final</w:t>
            </w:r>
          </w:p>
        </w:tc>
        <w:tc>
          <w:tcPr>
            <w:tcW w:w="2469" w:type="dxa"/>
            <w:shd w:val="clear" w:color="auto" w:fill="9CC2E5" w:themeFill="accent1" w:themeFillTint="99"/>
            <w:vAlign w:val="center"/>
          </w:tcPr>
          <w:p w:rsidR="001E60EC" w:rsidRPr="003A7DA4" w:rsidRDefault="003A7DA4" w:rsidP="00F11F02">
            <w:pPr>
              <w:tabs>
                <w:tab w:val="left" w:pos="567"/>
              </w:tabs>
              <w:ind w:right="49"/>
              <w:jc w:val="center"/>
              <w:rPr>
                <w:rFonts w:ascii="Times New Roman" w:hAnsi="Times New Roman"/>
                <w:sz w:val="28"/>
                <w:lang w:val="es-ES_tradnl" w:eastAsia="es-ES"/>
              </w:rPr>
            </w:pPr>
            <w:r w:rsidRPr="003A7DA4">
              <w:rPr>
                <w:rFonts w:ascii="Times New Roman" w:hAnsi="Times New Roman"/>
                <w:b/>
                <w:sz w:val="28"/>
                <w:lang w:val="es-ES_tradnl" w:eastAsia="es-ES"/>
              </w:rPr>
              <w:t>Articulado, título y pregunta</w:t>
            </w:r>
          </w:p>
        </w:tc>
      </w:tr>
      <w:tr w:rsidR="001E60EC" w:rsidRPr="003A7DA4" w:rsidTr="00F11F02">
        <w:trPr>
          <w:trHeight w:val="956"/>
        </w:trPr>
        <w:tc>
          <w:tcPr>
            <w:tcW w:w="2469" w:type="dxa"/>
            <w:vAlign w:val="center"/>
          </w:tcPr>
          <w:p w:rsidR="001E60EC" w:rsidRPr="003A7DA4" w:rsidRDefault="003A7DA4" w:rsidP="00F11F02">
            <w:pPr>
              <w:tabs>
                <w:tab w:val="left" w:pos="567"/>
              </w:tabs>
              <w:ind w:right="49"/>
              <w:jc w:val="center"/>
              <w:rPr>
                <w:rFonts w:ascii="Times New Roman" w:hAnsi="Times New Roman"/>
                <w:sz w:val="28"/>
                <w:lang w:val="es-ES_tradnl" w:eastAsia="es-ES"/>
              </w:rPr>
            </w:pPr>
            <w:r w:rsidRPr="003A7DA4">
              <w:rPr>
                <w:rFonts w:ascii="Times New Roman" w:hAnsi="Times New Roman"/>
                <w:b/>
                <w:sz w:val="28"/>
                <w:lang w:val="es-ES_tradnl" w:eastAsia="es-ES"/>
              </w:rPr>
              <w:t>Quórum</w:t>
            </w:r>
            <w:r w:rsidRPr="003A7DA4">
              <w:rPr>
                <w:rFonts w:ascii="Times New Roman" w:hAnsi="Times New Roman"/>
                <w:bCs/>
                <w:sz w:val="28"/>
                <w:vertAlign w:val="superscript"/>
                <w:lang w:val="es-ES_tradnl"/>
              </w:rPr>
              <w:footnoteReference w:id="60"/>
            </w:r>
            <w:r w:rsidRPr="003A7DA4">
              <w:rPr>
                <w:rFonts w:ascii="Times New Roman" w:hAnsi="Times New Roman"/>
                <w:bCs/>
                <w:sz w:val="28"/>
                <w:lang w:val="es-ES_tradnl" w:eastAsia="es-ES"/>
              </w:rPr>
              <w:t>: 107</w:t>
            </w:r>
            <w:r w:rsidRPr="003A7DA4">
              <w:rPr>
                <w:rStyle w:val="Refdenotaalpie"/>
                <w:rFonts w:ascii="Times New Roman" w:eastAsiaTheme="majorEastAsia" w:hAnsi="Times New Roman"/>
                <w:bCs/>
                <w:sz w:val="28"/>
                <w:lang w:val="es-ES_tradnl" w:eastAsia="es-ES"/>
              </w:rPr>
              <w:footnoteReference w:id="61"/>
            </w:r>
            <w:r w:rsidRPr="003A7DA4">
              <w:rPr>
                <w:rFonts w:ascii="Times New Roman" w:hAnsi="Times New Roman"/>
                <w:b/>
                <w:sz w:val="28"/>
                <w:lang w:val="es-ES_tradnl" w:eastAsia="es-ES"/>
              </w:rPr>
              <w:t xml:space="preserve"> </w:t>
            </w:r>
            <w:r w:rsidRPr="003A7DA4">
              <w:rPr>
                <w:rFonts w:ascii="Times New Roman" w:hAnsi="Times New Roman"/>
                <w:bCs/>
                <w:sz w:val="28"/>
                <w:lang w:val="es-ES_tradnl" w:eastAsia="es-ES"/>
              </w:rPr>
              <w:t xml:space="preserve">integrantes / 89 </w:t>
            </w:r>
            <w:r w:rsidRPr="003A7DA4">
              <w:rPr>
                <w:rFonts w:ascii="Times New Roman" w:hAnsi="Times New Roman"/>
                <w:bCs/>
                <w:sz w:val="28"/>
                <w:lang w:val="es-ES_tradnl" w:eastAsia="es-ES"/>
              </w:rPr>
              <w:t>asistentes</w:t>
            </w:r>
          </w:p>
        </w:tc>
        <w:tc>
          <w:tcPr>
            <w:tcW w:w="2469" w:type="dxa"/>
            <w:vAlign w:val="center"/>
          </w:tcPr>
          <w:p w:rsidR="001E60EC" w:rsidRPr="003A7DA4" w:rsidRDefault="003A7DA4" w:rsidP="00F11F02">
            <w:pPr>
              <w:tabs>
                <w:tab w:val="left" w:pos="567"/>
              </w:tabs>
              <w:ind w:right="49"/>
              <w:jc w:val="center"/>
              <w:rPr>
                <w:rFonts w:ascii="Times New Roman" w:hAnsi="Times New Roman"/>
                <w:bCs/>
                <w:sz w:val="28"/>
                <w:lang w:val="es-ES_tradnl" w:eastAsia="es-ES"/>
              </w:rPr>
            </w:pPr>
            <w:r w:rsidRPr="003A7DA4">
              <w:rPr>
                <w:rFonts w:ascii="Times New Roman" w:hAnsi="Times New Roman"/>
                <w:b/>
                <w:sz w:val="28"/>
                <w:lang w:val="es-ES_tradnl" w:eastAsia="es-ES"/>
              </w:rPr>
              <w:t>Quórum</w:t>
            </w:r>
            <w:r w:rsidRPr="003A7DA4">
              <w:rPr>
                <w:rFonts w:ascii="Times New Roman" w:hAnsi="Times New Roman"/>
                <w:bCs/>
                <w:sz w:val="28"/>
                <w:lang w:val="es-ES_tradnl" w:eastAsia="es-ES"/>
              </w:rPr>
              <w:t>:</w:t>
            </w:r>
            <w:r w:rsidRPr="003A7DA4">
              <w:rPr>
                <w:rFonts w:ascii="Times New Roman" w:hAnsi="Times New Roman"/>
                <w:b/>
                <w:sz w:val="28"/>
                <w:lang w:val="es-ES_tradnl" w:eastAsia="es-ES"/>
              </w:rPr>
              <w:t xml:space="preserve"> </w:t>
            </w:r>
            <w:r w:rsidRPr="003A7DA4">
              <w:rPr>
                <w:rFonts w:ascii="Times New Roman" w:hAnsi="Times New Roman"/>
                <w:bCs/>
                <w:sz w:val="28"/>
                <w:lang w:val="es-ES_tradnl" w:eastAsia="es-ES"/>
              </w:rPr>
              <w:t>107 integrantes / 89 asistentes</w:t>
            </w:r>
          </w:p>
        </w:tc>
      </w:tr>
      <w:tr w:rsidR="001E60EC" w:rsidRPr="003A7DA4" w:rsidTr="00F11F02">
        <w:trPr>
          <w:trHeight w:val="647"/>
        </w:trPr>
        <w:tc>
          <w:tcPr>
            <w:tcW w:w="2469"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Sí: 88</w:t>
            </w:r>
            <w:r w:rsidRPr="003A7DA4">
              <w:rPr>
                <w:rStyle w:val="Refdenotaalpie"/>
                <w:rFonts w:ascii="Times New Roman" w:eastAsiaTheme="majorEastAsia" w:hAnsi="Times New Roman"/>
                <w:sz w:val="28"/>
                <w:lang w:val="es-ES_tradnl" w:eastAsia="es-ES"/>
              </w:rPr>
              <w:footnoteReference w:id="62"/>
            </w:r>
          </w:p>
          <w:p w:rsidR="001E60EC" w:rsidRPr="003A7DA4" w:rsidRDefault="003A7DA4" w:rsidP="00F11F02">
            <w:pPr>
              <w:tabs>
                <w:tab w:val="left" w:pos="567"/>
              </w:tabs>
              <w:ind w:right="49"/>
              <w:jc w:val="center"/>
              <w:rPr>
                <w:rFonts w:ascii="Times New Roman" w:hAnsi="Times New Roman"/>
                <w:sz w:val="28"/>
                <w:lang w:val="es-ES_tradnl" w:eastAsia="es-ES"/>
              </w:rPr>
            </w:pPr>
            <w:r w:rsidRPr="003A7DA4">
              <w:rPr>
                <w:rFonts w:ascii="Times New Roman" w:hAnsi="Times New Roman"/>
                <w:sz w:val="28"/>
                <w:lang w:val="es-ES_tradnl" w:eastAsia="es-ES"/>
              </w:rPr>
              <w:t>No: 0</w:t>
            </w:r>
          </w:p>
        </w:tc>
        <w:tc>
          <w:tcPr>
            <w:tcW w:w="2469"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Sí: 89</w:t>
            </w:r>
            <w:r w:rsidRPr="003A7DA4">
              <w:rPr>
                <w:rStyle w:val="Refdenotaalpie"/>
                <w:rFonts w:ascii="Times New Roman" w:eastAsiaTheme="majorEastAsia" w:hAnsi="Times New Roman"/>
                <w:sz w:val="28"/>
                <w:lang w:val="es-ES_tradnl" w:eastAsia="es-ES"/>
              </w:rPr>
              <w:footnoteReference w:id="63"/>
            </w:r>
          </w:p>
          <w:p w:rsidR="001E60EC" w:rsidRPr="003A7DA4" w:rsidRDefault="003A7DA4" w:rsidP="00F11F02">
            <w:pPr>
              <w:tabs>
                <w:tab w:val="left" w:pos="567"/>
              </w:tabs>
              <w:ind w:right="49"/>
              <w:jc w:val="center"/>
              <w:rPr>
                <w:rFonts w:ascii="Times New Roman" w:hAnsi="Times New Roman"/>
                <w:sz w:val="28"/>
                <w:lang w:val="es-ES_tradnl" w:eastAsia="es-ES"/>
              </w:rPr>
            </w:pPr>
            <w:r w:rsidRPr="003A7DA4">
              <w:rPr>
                <w:rFonts w:ascii="Times New Roman" w:hAnsi="Times New Roman"/>
                <w:sz w:val="28"/>
                <w:lang w:val="es-ES_tradnl" w:eastAsia="es-ES"/>
              </w:rPr>
              <w:t>No: 0</w:t>
            </w:r>
          </w:p>
        </w:tc>
      </w:tr>
    </w:tbl>
    <w:p w:rsidR="001E60EC" w:rsidRPr="003A7DA4" w:rsidRDefault="003A7DA4" w:rsidP="001E60EC">
      <w:pPr>
        <w:tabs>
          <w:tab w:val="left" w:pos="567"/>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rPr>
      </w:pPr>
      <w:r w:rsidRPr="003A7DA4">
        <w:rPr>
          <w:rFonts w:ascii="Times New Roman" w:hAnsi="Times New Roman" w:cs="Times New Roman"/>
          <w:i/>
          <w:iCs/>
          <w:sz w:val="28"/>
          <w:szCs w:val="28"/>
          <w:lang w:eastAsia="es-ES"/>
        </w:rPr>
        <w:t xml:space="preserve">Lapso entre los debates: </w:t>
      </w:r>
      <w:r w:rsidRPr="003A7DA4">
        <w:rPr>
          <w:rFonts w:ascii="Times New Roman" w:hAnsi="Times New Roman" w:cs="Times New Roman"/>
          <w:sz w:val="28"/>
          <w:szCs w:val="28"/>
          <w:lang w:eastAsia="es-ES"/>
        </w:rPr>
        <w:t xml:space="preserve">el tiempo entre el primer y el segundo debate satisface el término previsto en el artículo 160 de la Constitución. En efecto, medió entre ellos un </w:t>
      </w:r>
      <w:r w:rsidRPr="003A7DA4">
        <w:rPr>
          <w:rFonts w:ascii="Times New Roman" w:hAnsi="Times New Roman" w:cs="Times New Roman"/>
          <w:sz w:val="28"/>
          <w:szCs w:val="28"/>
          <w:lang w:eastAsia="es-ES"/>
        </w:rPr>
        <w:t>periodo no inferior a 8 días, dado que el primer debate se llevó a cabo el 21 de abril de 2022 y el segundo se surtió el 16 de agosto de 2022. Luego</w:t>
      </w:r>
      <w:r w:rsidRPr="003A7DA4">
        <w:rPr>
          <w:rFonts w:ascii="Times New Roman" w:hAnsi="Times New Roman" w:cs="Times New Roman"/>
          <w:sz w:val="28"/>
          <w:szCs w:val="28"/>
          <w:lang w:val="es-ES_tradnl" w:eastAsia="es-ES"/>
        </w:rPr>
        <w:t xml:space="preserve"> de su aprobación por la plenaria, el presidente del Senado remitió el proyecto de ley a la Cámara de Representantes. </w:t>
      </w:r>
    </w:p>
    <w:p w:rsidR="00D41728" w:rsidRPr="003A7DA4" w:rsidRDefault="003A7DA4" w:rsidP="00D41728">
      <w:pPr>
        <w:tabs>
          <w:tab w:val="left" w:pos="567"/>
        </w:tabs>
        <w:ind w:right="49"/>
        <w:jc w:val="both"/>
        <w:rPr>
          <w:rFonts w:ascii="Times New Roman" w:hAnsi="Times New Roman" w:cs="Times New Roman"/>
          <w:sz w:val="28"/>
          <w:szCs w:val="28"/>
        </w:rPr>
      </w:pPr>
    </w:p>
    <w:p w:rsidR="001E60EC" w:rsidRPr="003A7DA4" w:rsidRDefault="003A7DA4" w:rsidP="00D41728">
      <w:pPr>
        <w:numPr>
          <w:ilvl w:val="0"/>
          <w:numId w:val="8"/>
        </w:numPr>
        <w:tabs>
          <w:tab w:val="left" w:pos="567"/>
        </w:tabs>
        <w:ind w:left="0" w:right="49" w:firstLine="0"/>
        <w:jc w:val="both"/>
        <w:rPr>
          <w:rFonts w:ascii="Times New Roman" w:hAnsi="Times New Roman" w:cs="Times New Roman"/>
          <w:sz w:val="28"/>
          <w:szCs w:val="28"/>
          <w:lang w:eastAsia="es-ES"/>
        </w:rPr>
      </w:pPr>
      <w:r w:rsidRPr="003A7DA4">
        <w:rPr>
          <w:rFonts w:ascii="Times New Roman" w:hAnsi="Times New Roman" w:cs="Times New Roman"/>
          <w:i/>
          <w:iCs/>
          <w:sz w:val="28"/>
          <w:szCs w:val="28"/>
          <w:lang w:val="es-ES_tradnl" w:eastAsia="es-ES"/>
        </w:rPr>
        <w:t>Trámite en la Cámara de Representantes</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lang w:val="es-ES_tradnl" w:eastAsia="es-ES"/>
        </w:rPr>
        <w:t xml:space="preserve">El proyecto de ley se radicó con el número 170 de 2022-Cámara y se asignó a la Comisión Segunda </w:t>
      </w:r>
      <w:r w:rsidRPr="003A7DA4">
        <w:rPr>
          <w:rFonts w:ascii="Times New Roman" w:hAnsi="Times New Roman" w:cs="Times New Roman"/>
          <w:sz w:val="28"/>
          <w:szCs w:val="28"/>
          <w:lang w:val="es-ES_tradnl" w:eastAsia="es-ES"/>
        </w:rPr>
        <w:t>Constitucional Permanente</w:t>
      </w:r>
      <w:r w:rsidRPr="003A7DA4">
        <w:rPr>
          <w:rStyle w:val="Refdenotaalpie"/>
          <w:rFonts w:ascii="Times New Roman" w:eastAsiaTheme="majorEastAsia" w:hAnsi="Times New Roman" w:cs="Times New Roman"/>
          <w:sz w:val="28"/>
          <w:szCs w:val="28"/>
          <w:lang w:val="es-ES_tradnl" w:eastAsia="es-ES"/>
        </w:rPr>
        <w:footnoteReference w:id="64"/>
      </w:r>
      <w:r w:rsidRPr="003A7DA4">
        <w:rPr>
          <w:rFonts w:ascii="Times New Roman" w:hAnsi="Times New Roman" w:cs="Times New Roman"/>
          <w:sz w:val="28"/>
          <w:szCs w:val="28"/>
          <w:lang w:val="es-ES_tradnl" w:eastAsia="es-ES"/>
        </w:rPr>
        <w:t>. En ejercicio de sus competencias legales, la mesa directiva de esta comisión designó como ponente coordinador al representante Jhovany Carlos Palacios Mosquera, y como ponentes a los representantes Carmen Felisa Ramírez Boscán y</w:t>
      </w:r>
      <w:r w:rsidRPr="003A7DA4">
        <w:rPr>
          <w:rFonts w:ascii="Times New Roman" w:hAnsi="Times New Roman" w:cs="Times New Roman"/>
          <w:sz w:val="28"/>
          <w:szCs w:val="28"/>
          <w:lang w:val="es-ES_tradnl" w:eastAsia="es-ES"/>
        </w:rPr>
        <w:t xml:space="preserve"> Edinson Vladimir Olaya Mancipe</w:t>
      </w:r>
      <w:r w:rsidRPr="003A7DA4">
        <w:rPr>
          <w:rFonts w:ascii="Times New Roman" w:hAnsi="Times New Roman" w:cs="Times New Roman"/>
          <w:sz w:val="28"/>
          <w:szCs w:val="28"/>
          <w:vertAlign w:val="superscript"/>
        </w:rPr>
        <w:footnoteReference w:id="65"/>
      </w:r>
      <w:r w:rsidRPr="003A7DA4">
        <w:rPr>
          <w:rFonts w:ascii="Times New Roman" w:hAnsi="Times New Roman" w:cs="Times New Roman"/>
          <w:sz w:val="28"/>
          <w:szCs w:val="28"/>
          <w:vertAlign w:val="subscript"/>
          <w:lang w:val="es-ES_tradnl" w:eastAsia="es-ES"/>
        </w:rPr>
        <w:t>.</w:t>
      </w:r>
      <w:r w:rsidRPr="003A7DA4">
        <w:rPr>
          <w:rFonts w:ascii="Times New Roman" w:hAnsi="Times New Roman" w:cs="Times New Roman"/>
          <w:sz w:val="28"/>
          <w:szCs w:val="28"/>
          <w:lang w:val="es-ES_tradnl" w:eastAsia="es-ES"/>
        </w:rPr>
        <w:t xml:space="preserve">En el trámite de los debates y la aprobación del proyecto de ley en la Comisión Segunda Constitucional Permanente de la Cámara de Representantes, por un lado, y en la plenaria de esa corporación, por el otro, se observaron </w:t>
      </w:r>
      <w:r w:rsidRPr="003A7DA4">
        <w:rPr>
          <w:rFonts w:ascii="Times New Roman" w:hAnsi="Times New Roman" w:cs="Times New Roman"/>
          <w:sz w:val="28"/>
          <w:szCs w:val="28"/>
          <w:lang w:val="es-ES_tradnl" w:eastAsia="es-ES"/>
        </w:rPr>
        <w:t>las exigencias constitucionales y legales, como pasa a explicarse.</w:t>
      </w:r>
    </w:p>
    <w:p w:rsidR="001E60EC" w:rsidRPr="003A7DA4" w:rsidRDefault="003A7DA4" w:rsidP="001E60EC">
      <w:pPr>
        <w:tabs>
          <w:tab w:val="left" w:pos="567"/>
        </w:tabs>
        <w:ind w:right="49"/>
        <w:jc w:val="both"/>
        <w:rPr>
          <w:rFonts w:ascii="Times New Roman" w:hAnsi="Times New Roman" w:cs="Times New Roman"/>
          <w:sz w:val="28"/>
          <w:szCs w:val="28"/>
        </w:rPr>
      </w:pPr>
    </w:p>
    <w:p w:rsidR="001E60EC" w:rsidRPr="003A7DA4" w:rsidRDefault="003A7DA4" w:rsidP="006536C5">
      <w:pPr>
        <w:jc w:val="both"/>
        <w:rPr>
          <w:rFonts w:ascii="Times New Roman" w:hAnsi="Times New Roman" w:cs="Times New Roman"/>
          <w:b/>
          <w:bCs/>
          <w:sz w:val="28"/>
          <w:szCs w:val="28"/>
        </w:rPr>
      </w:pPr>
      <w:r w:rsidRPr="003A7DA4">
        <w:rPr>
          <w:rFonts w:ascii="Times New Roman" w:hAnsi="Times New Roman" w:cs="Times New Roman"/>
          <w:b/>
          <w:bCs/>
          <w:sz w:val="28"/>
          <w:szCs w:val="28"/>
        </w:rPr>
        <w:t>Primer</w:t>
      </w:r>
      <w:r w:rsidRPr="003A7DA4">
        <w:rPr>
          <w:rFonts w:ascii="Times New Roman" w:hAnsi="Times New Roman" w:cs="Times New Roman"/>
          <w:b/>
          <w:bCs/>
          <w:sz w:val="28"/>
          <w:szCs w:val="28"/>
        </w:rPr>
        <w:t xml:space="preserve"> debate en la Comisión Segunda de la Cámara de Representantes (“tercer debate”)</w:t>
      </w:r>
    </w:p>
    <w:p w:rsidR="001E60EC" w:rsidRPr="003A7DA4" w:rsidRDefault="003A7DA4" w:rsidP="001E60EC">
      <w:pPr>
        <w:pStyle w:val="Sinespaciado"/>
        <w:rPr>
          <w:rFonts w:ascii="Times New Roman" w:hAnsi="Times New Roman" w:cs="Times New Roman"/>
          <w:color w:val="auto"/>
          <w:sz w:val="28"/>
          <w:szCs w:val="28"/>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Informe de ponencia</w:t>
      </w:r>
      <w:r w:rsidRPr="003A7DA4">
        <w:rPr>
          <w:rFonts w:ascii="Times New Roman" w:hAnsi="Times New Roman" w:cs="Times New Roman"/>
          <w:sz w:val="28"/>
          <w:szCs w:val="28"/>
          <w:lang w:val="es-ES_tradnl" w:eastAsia="es-ES"/>
        </w:rPr>
        <w:t xml:space="preserve">: el 10 de octubre de 2022, luego de su designación como ponentes, los representantes </w:t>
      </w:r>
      <w:r w:rsidRPr="003A7DA4">
        <w:rPr>
          <w:rFonts w:ascii="Times New Roman" w:eastAsiaTheme="minorHAnsi" w:hAnsi="Times New Roman" w:cs="Times New Roman"/>
          <w:sz w:val="28"/>
          <w:szCs w:val="28"/>
          <w:lang w:eastAsia="en-US"/>
        </w:rPr>
        <w:t>Jhoany Carlos Palacios Mosquera</w:t>
      </w:r>
      <w:r w:rsidRPr="003A7DA4">
        <w:rPr>
          <w:rFonts w:ascii="Times New Roman" w:hAnsi="Times New Roman" w:cs="Times New Roman"/>
          <w:sz w:val="28"/>
          <w:szCs w:val="28"/>
        </w:rPr>
        <w:t xml:space="preserve">, </w:t>
      </w:r>
      <w:r w:rsidRPr="003A7DA4">
        <w:rPr>
          <w:rFonts w:ascii="Times New Roman" w:eastAsiaTheme="minorHAnsi" w:hAnsi="Times New Roman" w:cs="Times New Roman"/>
          <w:sz w:val="28"/>
          <w:szCs w:val="28"/>
          <w:lang w:eastAsia="en-US"/>
        </w:rPr>
        <w:t>Carmen Felisa Ramírez Boscán y Edinson Vladimir Olaya Mancipe,</w:t>
      </w:r>
      <w:r w:rsidRPr="003A7DA4">
        <w:rPr>
          <w:rFonts w:ascii="Times New Roman" w:hAnsi="Times New Roman" w:cs="Times New Roman"/>
          <w:sz w:val="28"/>
          <w:szCs w:val="28"/>
          <w:lang w:val="es-ES_tradnl" w:eastAsia="es-ES"/>
        </w:rPr>
        <w:t xml:space="preserve"> presentaron el informe de ponencia favorable para el primer debate en la C</w:t>
      </w:r>
      <w:r w:rsidRPr="003A7DA4">
        <w:rPr>
          <w:rFonts w:ascii="Times New Roman" w:hAnsi="Times New Roman" w:cs="Times New Roman"/>
          <w:sz w:val="28"/>
          <w:szCs w:val="28"/>
          <w:lang w:val="es-ES_tradnl" w:eastAsia="es-ES"/>
        </w:rPr>
        <w:t xml:space="preserve">omisión Segunda Constitucional Permanente de la Cámara de Representantes. </w:t>
      </w:r>
      <w:r w:rsidRPr="003A7DA4">
        <w:rPr>
          <w:rFonts w:ascii="Times New Roman" w:hAnsi="Times New Roman" w:cs="Times New Roman"/>
          <w:sz w:val="28"/>
          <w:szCs w:val="28"/>
        </w:rPr>
        <w:t xml:space="preserve">Este se publicó en la Gaceta del Congreso 1246 </w:t>
      </w:r>
      <w:r w:rsidRPr="003A7DA4">
        <w:rPr>
          <w:rFonts w:ascii="Times New Roman" w:hAnsi="Times New Roman" w:cs="Times New Roman"/>
          <w:bCs/>
          <w:sz w:val="28"/>
          <w:szCs w:val="28"/>
          <w:lang w:val="es-ES_tradnl" w:eastAsia="es-ES"/>
        </w:rPr>
        <w:t>del 13 de octubre de 2022 (fls.</w:t>
      </w:r>
      <w:r w:rsidRPr="003A7DA4">
        <w:rPr>
          <w:rFonts w:ascii="Times New Roman" w:hAnsi="Times New Roman" w:cs="Times New Roman"/>
          <w:sz w:val="28"/>
          <w:szCs w:val="28"/>
          <w:lang w:val="es-ES_tradnl" w:eastAsia="es-ES"/>
        </w:rPr>
        <w:t xml:space="preserve"> 1-13)</w:t>
      </w:r>
      <w:r w:rsidRPr="003A7DA4">
        <w:rPr>
          <w:rStyle w:val="Refdenotaalpie"/>
          <w:rFonts w:ascii="Times New Roman" w:eastAsiaTheme="majorEastAsia" w:hAnsi="Times New Roman" w:cs="Times New Roman"/>
          <w:sz w:val="28"/>
          <w:szCs w:val="28"/>
          <w:lang w:val="es-ES_tradnl" w:eastAsia="es-ES"/>
        </w:rPr>
        <w:footnoteReference w:id="66"/>
      </w:r>
      <w:r w:rsidRPr="003A7DA4">
        <w:rPr>
          <w:rFonts w:ascii="Times New Roman" w:hAnsi="Times New Roman" w:cs="Times New Roman"/>
          <w:sz w:val="28"/>
          <w:szCs w:val="28"/>
        </w:rPr>
        <w:t xml:space="preserve">. Así las cosas, se observaron las exigencias previstas por los artículos 160 de la Constitución </w:t>
      </w:r>
      <w:r w:rsidRPr="003A7DA4">
        <w:rPr>
          <w:rFonts w:ascii="Times New Roman" w:hAnsi="Times New Roman" w:cs="Times New Roman"/>
          <w:sz w:val="28"/>
          <w:szCs w:val="28"/>
        </w:rPr>
        <w:t>y 156 y 157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pStyle w:val="Sinespaciado"/>
        <w:rPr>
          <w:rFonts w:ascii="Times New Roman" w:hAnsi="Times New Roman" w:cs="Times New Roman"/>
          <w:color w:val="auto"/>
          <w:sz w:val="28"/>
          <w:szCs w:val="28"/>
          <w:lang w:val="es-ES_tradnl"/>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Anuncio previo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el anuncio previo al primer debate se llevó a cabo el 1º de noviembre de 2022, como consta en el Acta 10, publicada en la Gaceta del Congreso 464 de 11 de mayo de 2023 (fl. 2)</w:t>
      </w:r>
      <w:r w:rsidRPr="003A7DA4">
        <w:rPr>
          <w:rStyle w:val="Refdenotaalpie"/>
          <w:rFonts w:ascii="Times New Roman" w:eastAsiaTheme="majorEastAsia" w:hAnsi="Times New Roman" w:cs="Times New Roman"/>
          <w:sz w:val="28"/>
          <w:szCs w:val="28"/>
        </w:rPr>
        <w:footnoteReference w:id="67"/>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bCs/>
          <w:sz w:val="28"/>
          <w:szCs w:val="28"/>
          <w:lang w:val="es-ES_tradnl" w:eastAsia="es-ES"/>
        </w:rPr>
        <w:t xml:space="preserve">De esta forma se </w:t>
      </w:r>
      <w:r w:rsidRPr="003A7DA4">
        <w:rPr>
          <w:rFonts w:ascii="Times New Roman" w:hAnsi="Times New Roman" w:cs="Times New Roman"/>
          <w:sz w:val="28"/>
          <w:szCs w:val="28"/>
        </w:rPr>
        <w:t>observó la</w:t>
      </w:r>
      <w:r w:rsidRPr="003A7DA4">
        <w:rPr>
          <w:rFonts w:ascii="Times New Roman" w:hAnsi="Times New Roman" w:cs="Times New Roman"/>
          <w:sz w:val="28"/>
          <w:szCs w:val="28"/>
        </w:rPr>
        <w:t xml:space="preserve"> exigencia prevista en el inciso final del artículo 160 de la Constitución, adicionado por el artículo 8 del Acto Legislativo 1 de 2003.</w:t>
      </w:r>
    </w:p>
    <w:p w:rsidR="001E60EC" w:rsidRPr="003A7DA4" w:rsidRDefault="003A7DA4" w:rsidP="001E60EC">
      <w:pPr>
        <w:pStyle w:val="Sinespaciado"/>
        <w:rPr>
          <w:rFonts w:ascii="Times New Roman" w:hAnsi="Times New Roman" w:cs="Times New Roman"/>
          <w:color w:val="auto"/>
          <w:sz w:val="28"/>
          <w:szCs w:val="28"/>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Debate y aprobación</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el debate y la aprobación del proyecto de ley se llevaron a cabo en la sesión del 16 de noviembre</w:t>
      </w:r>
      <w:r w:rsidRPr="003A7DA4">
        <w:rPr>
          <w:rFonts w:ascii="Times New Roman" w:hAnsi="Times New Roman" w:cs="Times New Roman"/>
          <w:sz w:val="28"/>
          <w:szCs w:val="28"/>
        </w:rPr>
        <w:t xml:space="preserve"> de 2022, esto es, la sesión inmediatamente siguiente a aquella en la que se anunció el proyecto de ley, como consta en el Acta 11, publicada en la Gaceta del Congreso 469 de mayo 11 de 2023 (fls.</w:t>
      </w:r>
      <w:r w:rsidRPr="003A7DA4">
        <w:rPr>
          <w:rFonts w:ascii="Times New Roman" w:hAnsi="Times New Roman" w:cs="Times New Roman"/>
          <w:sz w:val="28"/>
          <w:szCs w:val="28"/>
          <w:lang w:eastAsia="es-ES"/>
        </w:rPr>
        <w:t xml:space="preserve"> 4-7)</w:t>
      </w:r>
      <w:r w:rsidRPr="003A7DA4">
        <w:rPr>
          <w:rStyle w:val="Refdenotaalpie"/>
          <w:rFonts w:ascii="Times New Roman" w:eastAsiaTheme="majorEastAsia" w:hAnsi="Times New Roman" w:cs="Times New Roman"/>
          <w:sz w:val="28"/>
          <w:szCs w:val="28"/>
          <w:lang w:eastAsia="es-ES"/>
        </w:rPr>
        <w:footnoteReference w:id="68"/>
      </w:r>
      <w:r w:rsidRPr="003A7DA4">
        <w:rPr>
          <w:rFonts w:ascii="Times New Roman" w:hAnsi="Times New Roman" w:cs="Times New Roman"/>
          <w:sz w:val="28"/>
          <w:szCs w:val="28"/>
          <w:lang w:eastAsia="es-ES"/>
        </w:rPr>
        <w:t xml:space="preserve">. </w:t>
      </w:r>
      <w:r w:rsidRPr="003A7DA4">
        <w:rPr>
          <w:rFonts w:ascii="Times New Roman" w:hAnsi="Times New Roman" w:cs="Times New Roman"/>
          <w:sz w:val="28"/>
          <w:szCs w:val="28"/>
          <w:lang w:val="es-ES_tradnl" w:eastAsia="es-ES"/>
        </w:rPr>
        <w:t>El texto definitivo que se aprobó por la Comisión Se</w:t>
      </w:r>
      <w:r w:rsidRPr="003A7DA4">
        <w:rPr>
          <w:rFonts w:ascii="Times New Roman" w:hAnsi="Times New Roman" w:cs="Times New Roman"/>
          <w:sz w:val="28"/>
          <w:szCs w:val="28"/>
          <w:lang w:val="es-ES_tradnl" w:eastAsia="es-ES"/>
        </w:rPr>
        <w:t xml:space="preserve">gunda de la Cámara de Representantes </w:t>
      </w:r>
      <w:r w:rsidRPr="003A7DA4">
        <w:rPr>
          <w:rFonts w:ascii="Times New Roman" w:hAnsi="Times New Roman" w:cs="Times New Roman"/>
          <w:sz w:val="28"/>
          <w:szCs w:val="28"/>
          <w:lang w:val="es-ES_tradnl" w:eastAsia="es-ES"/>
        </w:rPr>
        <w:t xml:space="preserve">y </w:t>
      </w:r>
      <w:r w:rsidRPr="003A7DA4">
        <w:rPr>
          <w:rFonts w:ascii="Times New Roman" w:hAnsi="Times New Roman" w:cs="Times New Roman"/>
          <w:sz w:val="28"/>
          <w:szCs w:val="28"/>
        </w:rPr>
        <w:t xml:space="preserve">se publicó en la Gaceta del Congreso </w:t>
      </w:r>
      <w:r w:rsidRPr="003A7DA4">
        <w:rPr>
          <w:rFonts w:ascii="Times New Roman" w:hAnsi="Times New Roman" w:cs="Times New Roman"/>
          <w:bCs/>
          <w:sz w:val="28"/>
          <w:szCs w:val="28"/>
          <w:lang w:val="es-ES_tradnl" w:eastAsia="es-ES"/>
        </w:rPr>
        <w:t>1523 de noviembre 28 de 2022 (fls. 18)</w:t>
      </w:r>
      <w:r w:rsidRPr="003A7DA4">
        <w:rPr>
          <w:rStyle w:val="Refdenotaalpie"/>
          <w:rFonts w:ascii="Times New Roman" w:eastAsiaTheme="majorEastAsia" w:hAnsi="Times New Roman" w:cs="Times New Roman"/>
          <w:bCs/>
          <w:sz w:val="28"/>
          <w:szCs w:val="28"/>
          <w:lang w:val="es-ES_tradnl" w:eastAsia="es-ES"/>
        </w:rPr>
        <w:footnoteReference w:id="69"/>
      </w:r>
      <w:r w:rsidRPr="003A7DA4">
        <w:rPr>
          <w:rFonts w:ascii="Times New Roman" w:hAnsi="Times New Roman" w:cs="Times New Roman"/>
          <w:sz w:val="28"/>
          <w:szCs w:val="28"/>
        </w:rPr>
        <w:t>.</w:t>
      </w:r>
      <w:r w:rsidRPr="003A7DA4">
        <w:rPr>
          <w:rFonts w:ascii="Times New Roman" w:hAnsi="Times New Roman" w:cs="Times New Roman"/>
          <w:sz w:val="28"/>
          <w:szCs w:val="28"/>
          <w:lang w:val="es-ES_tradnl" w:eastAsia="es-ES"/>
        </w:rPr>
        <w:t xml:space="preserve"> </w:t>
      </w:r>
    </w:p>
    <w:p w:rsidR="001E60EC" w:rsidRPr="003A7DA4" w:rsidRDefault="003A7DA4" w:rsidP="001E60EC">
      <w:pPr>
        <w:tabs>
          <w:tab w:val="left" w:pos="567"/>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A continuación, </w:t>
      </w:r>
      <w:r w:rsidRPr="003A7DA4">
        <w:rPr>
          <w:rFonts w:ascii="Times New Roman" w:hAnsi="Times New Roman" w:cs="Times New Roman"/>
          <w:bCs/>
          <w:sz w:val="28"/>
          <w:szCs w:val="28"/>
          <w:lang w:val="es-ES_tradnl" w:eastAsia="es-ES"/>
        </w:rPr>
        <w:t xml:space="preserve">se precisa la forma en que se </w:t>
      </w:r>
      <w:r w:rsidRPr="003A7DA4">
        <w:rPr>
          <w:rFonts w:ascii="Times New Roman" w:hAnsi="Times New Roman" w:cs="Times New Roman"/>
          <w:sz w:val="28"/>
          <w:szCs w:val="28"/>
          <w:lang w:val="es-ES_tradnl" w:eastAsia="es-ES"/>
        </w:rPr>
        <w:t xml:space="preserve">dio cumplimiento a la exigencia de </w:t>
      </w:r>
      <w:r w:rsidRPr="003A7DA4">
        <w:rPr>
          <w:rFonts w:ascii="Times New Roman" w:hAnsi="Times New Roman" w:cs="Times New Roman"/>
          <w:iCs/>
          <w:sz w:val="28"/>
          <w:szCs w:val="28"/>
          <w:lang w:val="es-ES_tradnl" w:eastAsia="es-ES"/>
        </w:rPr>
        <w:t>quórum deliberatorio y decisorio,</w:t>
      </w:r>
      <w:r w:rsidRPr="003A7DA4">
        <w:rPr>
          <w:rFonts w:ascii="Times New Roman" w:hAnsi="Times New Roman" w:cs="Times New Roman"/>
          <w:sz w:val="28"/>
          <w:szCs w:val="28"/>
          <w:lang w:val="es-ES_tradnl" w:eastAsia="es-ES"/>
        </w:rPr>
        <w:t xml:space="preserve"> que establece el artíc</w:t>
      </w:r>
      <w:r w:rsidRPr="003A7DA4">
        <w:rPr>
          <w:rFonts w:ascii="Times New Roman" w:hAnsi="Times New Roman" w:cs="Times New Roman"/>
          <w:sz w:val="28"/>
          <w:szCs w:val="28"/>
          <w:lang w:val="es-ES_tradnl" w:eastAsia="es-ES"/>
        </w:rPr>
        <w:t>ulo 145 de la Constitución, así como a la de votación nominal y pública que requiere el artículo 133 de aquella, para la aprobación de: (a) la proposición positiva del informe de ponencia, (b) el articulado del proyecto de ley y (c) el título y la intenció</w:t>
      </w:r>
      <w:r w:rsidRPr="003A7DA4">
        <w:rPr>
          <w:rFonts w:ascii="Times New Roman" w:hAnsi="Times New Roman" w:cs="Times New Roman"/>
          <w:sz w:val="28"/>
          <w:szCs w:val="28"/>
          <w:lang w:val="es-ES_tradnl" w:eastAsia="es-ES"/>
        </w:rPr>
        <w:t xml:space="preserve">n de que el proyecto pase a segundo debate en la plenaria de la Cámara: </w:t>
      </w:r>
    </w:p>
    <w:p w:rsidR="001E60EC" w:rsidRPr="003A7DA4" w:rsidRDefault="003A7DA4" w:rsidP="001E60EC">
      <w:pPr>
        <w:rPr>
          <w:rFonts w:ascii="Times New Roman" w:hAnsi="Times New Roman" w:cs="Times New Roman"/>
          <w:sz w:val="28"/>
          <w:szCs w:val="28"/>
          <w:lang w:val="es-ES_tradnl" w:eastAsia="es-ES"/>
        </w:rPr>
      </w:pPr>
    </w:p>
    <w:tbl>
      <w:tblPr>
        <w:tblStyle w:val="Tablaconcuadrcula"/>
        <w:tblW w:w="0" w:type="auto"/>
        <w:tblInd w:w="1273" w:type="dxa"/>
        <w:tblLook w:val="04A0" w:firstRow="1" w:lastRow="0" w:firstColumn="1" w:lastColumn="0" w:noHBand="0" w:noVBand="1"/>
      </w:tblPr>
      <w:tblGrid>
        <w:gridCol w:w="3144"/>
        <w:gridCol w:w="3144"/>
      </w:tblGrid>
      <w:tr w:rsidR="001E60EC" w:rsidRPr="003A7DA4" w:rsidTr="00F11F02">
        <w:trPr>
          <w:trHeight w:val="320"/>
        </w:trPr>
        <w:tc>
          <w:tcPr>
            <w:tcW w:w="3144" w:type="dxa"/>
            <w:shd w:val="clear" w:color="auto" w:fill="9CC2E5" w:themeFill="accent1" w:themeFillTint="99"/>
            <w:vAlign w:val="center"/>
          </w:tcPr>
          <w:p w:rsidR="001E60EC" w:rsidRPr="003A7DA4" w:rsidRDefault="003A7DA4" w:rsidP="00F11F02">
            <w:pPr>
              <w:ind w:right="49"/>
              <w:jc w:val="center"/>
              <w:rPr>
                <w:rFonts w:ascii="Times New Roman" w:hAnsi="Times New Roman"/>
                <w:b/>
                <w:sz w:val="28"/>
                <w:lang w:val="es-ES_tradnl" w:eastAsia="es-ES"/>
              </w:rPr>
            </w:pPr>
            <w:r w:rsidRPr="003A7DA4">
              <w:rPr>
                <w:rFonts w:ascii="Times New Roman" w:hAnsi="Times New Roman"/>
                <w:b/>
                <w:sz w:val="28"/>
                <w:lang w:val="es-ES_tradnl" w:eastAsia="es-ES"/>
              </w:rPr>
              <w:t>Proposición final</w:t>
            </w:r>
          </w:p>
        </w:tc>
        <w:tc>
          <w:tcPr>
            <w:tcW w:w="3144" w:type="dxa"/>
            <w:shd w:val="clear" w:color="auto" w:fill="9CC2E5" w:themeFill="accent1" w:themeFillTint="99"/>
            <w:vAlign w:val="center"/>
          </w:tcPr>
          <w:p w:rsidR="001E60EC" w:rsidRPr="003A7DA4" w:rsidRDefault="003A7DA4" w:rsidP="00F11F02">
            <w:pPr>
              <w:ind w:right="49"/>
              <w:jc w:val="center"/>
              <w:rPr>
                <w:rFonts w:ascii="Times New Roman" w:hAnsi="Times New Roman"/>
                <w:b/>
                <w:sz w:val="28"/>
                <w:lang w:val="es-ES_tradnl" w:eastAsia="es-ES"/>
              </w:rPr>
            </w:pPr>
            <w:r w:rsidRPr="003A7DA4">
              <w:rPr>
                <w:rFonts w:ascii="Times New Roman" w:hAnsi="Times New Roman"/>
                <w:b/>
                <w:sz w:val="28"/>
                <w:lang w:val="es-ES_tradnl" w:eastAsia="es-ES"/>
              </w:rPr>
              <w:t>Articulado, título y pregunta</w:t>
            </w:r>
          </w:p>
        </w:tc>
      </w:tr>
      <w:tr w:rsidR="001E60EC" w:rsidRPr="003A7DA4" w:rsidTr="00F11F02">
        <w:trPr>
          <w:trHeight w:val="650"/>
        </w:trPr>
        <w:tc>
          <w:tcPr>
            <w:tcW w:w="3144"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sz w:val="28"/>
                <w:lang w:val="es-ES_tradnl" w:eastAsia="es-ES"/>
              </w:rPr>
              <w:t>Quórum:</w:t>
            </w:r>
            <w:r w:rsidRPr="003A7DA4">
              <w:rPr>
                <w:rFonts w:ascii="Times New Roman" w:hAnsi="Times New Roman"/>
                <w:bCs/>
                <w:sz w:val="28"/>
                <w:lang w:val="es-ES_tradnl" w:eastAsia="es-ES"/>
              </w:rPr>
              <w:t xml:space="preserve"> 20 integrantes / 14 asistentes</w:t>
            </w:r>
            <w:r w:rsidRPr="003A7DA4">
              <w:rPr>
                <w:rFonts w:ascii="Times New Roman" w:hAnsi="Times New Roman"/>
                <w:bCs/>
                <w:sz w:val="28"/>
                <w:vertAlign w:val="superscript"/>
                <w:lang w:val="es-ES_tradnl"/>
              </w:rPr>
              <w:footnoteReference w:id="70"/>
            </w:r>
          </w:p>
        </w:tc>
        <w:tc>
          <w:tcPr>
            <w:tcW w:w="3144"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sz w:val="28"/>
                <w:lang w:val="es-ES_tradnl" w:eastAsia="es-ES"/>
              </w:rPr>
              <w:t>Quórum:</w:t>
            </w:r>
            <w:r w:rsidRPr="003A7DA4">
              <w:rPr>
                <w:rFonts w:ascii="Times New Roman" w:hAnsi="Times New Roman"/>
                <w:bCs/>
                <w:sz w:val="28"/>
                <w:lang w:val="es-ES_tradnl" w:eastAsia="es-ES"/>
              </w:rPr>
              <w:t xml:space="preserve"> 20 integrantes / 14 asistentes</w:t>
            </w:r>
          </w:p>
        </w:tc>
      </w:tr>
      <w:tr w:rsidR="001E60EC" w:rsidRPr="003A7DA4" w:rsidTr="00F11F02">
        <w:trPr>
          <w:trHeight w:val="320"/>
        </w:trPr>
        <w:tc>
          <w:tcPr>
            <w:tcW w:w="3144"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bCs/>
                <w:sz w:val="28"/>
                <w:lang w:val="es-ES_tradnl" w:eastAsia="es-ES"/>
              </w:rPr>
              <w:t>Votos</w:t>
            </w:r>
            <w:r w:rsidRPr="003A7DA4">
              <w:rPr>
                <w:rStyle w:val="Refdenotaalpie"/>
                <w:rFonts w:ascii="Times New Roman" w:eastAsiaTheme="majorEastAsia" w:hAnsi="Times New Roman"/>
                <w:sz w:val="28"/>
                <w:lang w:val="es-CO"/>
              </w:rPr>
              <w:footnoteReference w:id="71"/>
            </w:r>
          </w:p>
        </w:tc>
        <w:tc>
          <w:tcPr>
            <w:tcW w:w="3144"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bCs/>
                <w:sz w:val="28"/>
                <w:lang w:val="es-ES_tradnl" w:eastAsia="es-ES"/>
              </w:rPr>
              <w:t>Votos</w:t>
            </w:r>
            <w:r w:rsidRPr="003A7DA4">
              <w:rPr>
                <w:rStyle w:val="Refdenotaalpie"/>
                <w:rFonts w:ascii="Times New Roman" w:eastAsiaTheme="majorEastAsia" w:hAnsi="Times New Roman"/>
                <w:sz w:val="28"/>
                <w:lang w:val="es-CO"/>
              </w:rPr>
              <w:footnoteReference w:id="72"/>
            </w:r>
          </w:p>
        </w:tc>
      </w:tr>
      <w:tr w:rsidR="001E60EC" w:rsidRPr="003A7DA4" w:rsidTr="00F11F02">
        <w:trPr>
          <w:trHeight w:val="640"/>
        </w:trPr>
        <w:tc>
          <w:tcPr>
            <w:tcW w:w="3144" w:type="dxa"/>
            <w:shd w:val="clear" w:color="auto" w:fill="FFFFFF" w:themeFill="background1"/>
            <w:vAlign w:val="center"/>
          </w:tcPr>
          <w:p w:rsidR="001E60EC" w:rsidRPr="003A7DA4" w:rsidRDefault="003A7DA4" w:rsidP="00F11F02">
            <w:pPr>
              <w:ind w:right="49"/>
              <w:jc w:val="center"/>
              <w:rPr>
                <w:rFonts w:ascii="Times New Roman" w:hAnsi="Times New Roman"/>
                <w:bCs/>
                <w:sz w:val="28"/>
                <w:lang w:val="es-ES_tradnl" w:eastAsia="es-ES"/>
              </w:rPr>
            </w:pPr>
            <w:r w:rsidRPr="003A7DA4">
              <w:rPr>
                <w:rFonts w:ascii="Times New Roman" w:hAnsi="Times New Roman"/>
                <w:bCs/>
                <w:sz w:val="28"/>
                <w:lang w:val="es-ES_tradnl" w:eastAsia="es-ES"/>
              </w:rPr>
              <w:t>Sí: 14</w:t>
            </w:r>
          </w:p>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Cs/>
                <w:sz w:val="28"/>
                <w:lang w:val="es-ES_tradnl" w:eastAsia="es-ES"/>
              </w:rPr>
              <w:t>No: 0</w:t>
            </w:r>
          </w:p>
        </w:tc>
        <w:tc>
          <w:tcPr>
            <w:tcW w:w="3144" w:type="dxa"/>
            <w:shd w:val="clear" w:color="auto" w:fill="FFFFFF" w:themeFill="background1"/>
            <w:vAlign w:val="center"/>
          </w:tcPr>
          <w:p w:rsidR="001E60EC" w:rsidRPr="003A7DA4" w:rsidRDefault="003A7DA4" w:rsidP="00F11F02">
            <w:pPr>
              <w:ind w:right="49"/>
              <w:jc w:val="center"/>
              <w:rPr>
                <w:rFonts w:ascii="Times New Roman" w:hAnsi="Times New Roman"/>
                <w:bCs/>
                <w:sz w:val="28"/>
                <w:lang w:val="es-ES_tradnl" w:eastAsia="es-ES"/>
              </w:rPr>
            </w:pPr>
            <w:r w:rsidRPr="003A7DA4">
              <w:rPr>
                <w:rFonts w:ascii="Times New Roman" w:hAnsi="Times New Roman"/>
                <w:bCs/>
                <w:sz w:val="28"/>
                <w:lang w:val="es-ES_tradnl" w:eastAsia="es-ES"/>
              </w:rPr>
              <w:t>Sí: 14</w:t>
            </w:r>
          </w:p>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Cs/>
                <w:sz w:val="28"/>
                <w:lang w:val="es-ES_tradnl" w:eastAsia="es-ES"/>
              </w:rPr>
              <w:t>No: 0</w:t>
            </w:r>
          </w:p>
        </w:tc>
      </w:tr>
    </w:tbl>
    <w:p w:rsidR="001E60EC" w:rsidRPr="003A7DA4" w:rsidRDefault="003A7DA4" w:rsidP="001E60EC">
      <w:pPr>
        <w:tabs>
          <w:tab w:val="left" w:pos="567"/>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sz w:val="28"/>
          <w:szCs w:val="28"/>
          <w:lang w:val="es-ES_tradnl" w:eastAsia="es-ES"/>
        </w:rPr>
        <w:t xml:space="preserve">Lapso </w:t>
      </w:r>
      <w:r w:rsidRPr="003A7DA4">
        <w:rPr>
          <w:rFonts w:ascii="Times New Roman" w:hAnsi="Times New Roman" w:cs="Times New Roman"/>
          <w:i/>
          <w:sz w:val="28"/>
          <w:szCs w:val="28"/>
          <w:lang w:val="es-ES_tradnl" w:eastAsia="es-ES"/>
        </w:rPr>
        <w:t>entre los debates</w:t>
      </w:r>
      <w:r w:rsidRPr="003A7DA4">
        <w:rPr>
          <w:rFonts w:ascii="Times New Roman" w:hAnsi="Times New Roman" w:cs="Times New Roman"/>
          <w:iCs/>
          <w:sz w:val="28"/>
          <w:szCs w:val="28"/>
          <w:lang w:val="es-ES_tradnl" w:eastAsia="es-ES"/>
        </w:rPr>
        <w:t>: en el trámite en la Cámara de Representantes</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iCs/>
          <w:sz w:val="28"/>
          <w:szCs w:val="28"/>
          <w:lang w:val="es-ES_tradnl" w:eastAsia="es-ES"/>
        </w:rPr>
        <w:t xml:space="preserve">el lapso entre el primero y el segundo debate cumple el término previsto en el artículo 160 de la Constitución. En efecto, </w:t>
      </w:r>
      <w:r w:rsidRPr="003A7DA4">
        <w:rPr>
          <w:rFonts w:ascii="Times New Roman" w:hAnsi="Times New Roman" w:cs="Times New Roman"/>
          <w:sz w:val="28"/>
          <w:szCs w:val="28"/>
          <w:lang w:val="es-ES_tradnl"/>
        </w:rPr>
        <w:t>entre ellos medió un lapso no inferior a ocho días</w:t>
      </w:r>
      <w:r w:rsidRPr="003A7DA4">
        <w:rPr>
          <w:rFonts w:ascii="Times New Roman" w:hAnsi="Times New Roman" w:cs="Times New Roman"/>
          <w:iCs/>
          <w:sz w:val="28"/>
          <w:szCs w:val="28"/>
          <w:lang w:val="es-ES_tradnl" w:eastAsia="es-ES"/>
        </w:rPr>
        <w:t>, dado que e</w:t>
      </w:r>
      <w:r w:rsidRPr="003A7DA4">
        <w:rPr>
          <w:rFonts w:ascii="Times New Roman" w:hAnsi="Times New Roman" w:cs="Times New Roman"/>
          <w:sz w:val="28"/>
          <w:szCs w:val="28"/>
          <w:lang w:val="es-ES_tradnl"/>
        </w:rPr>
        <w:t xml:space="preserve">l primer debate se llevó a cabo el </w:t>
      </w:r>
      <w:r w:rsidRPr="003A7DA4">
        <w:rPr>
          <w:rFonts w:ascii="Times New Roman" w:hAnsi="Times New Roman" w:cs="Times New Roman"/>
          <w:sz w:val="28"/>
          <w:szCs w:val="28"/>
        </w:rPr>
        <w:t xml:space="preserve">16 de noviembre de 2022 </w:t>
      </w:r>
      <w:r w:rsidRPr="003A7DA4">
        <w:rPr>
          <w:rFonts w:ascii="Times New Roman" w:hAnsi="Times New Roman" w:cs="Times New Roman"/>
          <w:sz w:val="28"/>
          <w:szCs w:val="28"/>
          <w:lang w:val="es-ES_tradnl"/>
        </w:rPr>
        <w:t xml:space="preserve">y el segundo el 5 de diciembre de 2022. Además, dado que el proyecto de ley se aprobó por la plenaria del Senado de la República el </w:t>
      </w:r>
      <w:r w:rsidRPr="003A7DA4">
        <w:rPr>
          <w:rFonts w:ascii="Times New Roman" w:hAnsi="Times New Roman" w:cs="Times New Roman"/>
          <w:sz w:val="28"/>
          <w:szCs w:val="28"/>
        </w:rPr>
        <w:t>16 de agosto de 2022</w:t>
      </w:r>
      <w:r w:rsidRPr="003A7DA4">
        <w:rPr>
          <w:rFonts w:ascii="Times New Roman" w:hAnsi="Times New Roman" w:cs="Times New Roman"/>
          <w:sz w:val="28"/>
          <w:szCs w:val="28"/>
          <w:lang w:val="es-ES_tradnl"/>
        </w:rPr>
        <w:t xml:space="preserve"> y el debate en la </w:t>
      </w:r>
      <w:r w:rsidRPr="003A7DA4">
        <w:rPr>
          <w:rFonts w:ascii="Times New Roman" w:hAnsi="Times New Roman" w:cs="Times New Roman"/>
          <w:sz w:val="28"/>
          <w:szCs w:val="28"/>
        </w:rPr>
        <w:t>Comisión Segunda Constituc</w:t>
      </w:r>
      <w:r w:rsidRPr="003A7DA4">
        <w:rPr>
          <w:rFonts w:ascii="Times New Roman" w:hAnsi="Times New Roman" w:cs="Times New Roman"/>
          <w:sz w:val="28"/>
          <w:szCs w:val="28"/>
        </w:rPr>
        <w:t>ional Permanente de la Cámara de Representantes</w:t>
      </w:r>
      <w:r w:rsidRPr="003A7DA4">
        <w:rPr>
          <w:rFonts w:ascii="Times New Roman" w:hAnsi="Times New Roman" w:cs="Times New Roman"/>
          <w:sz w:val="28"/>
          <w:szCs w:val="28"/>
          <w:lang w:val="es-ES_tradnl"/>
        </w:rPr>
        <w:t xml:space="preserve"> inició el </w:t>
      </w:r>
      <w:r w:rsidRPr="003A7DA4">
        <w:rPr>
          <w:rFonts w:ascii="Times New Roman" w:hAnsi="Times New Roman" w:cs="Times New Roman"/>
          <w:sz w:val="28"/>
          <w:szCs w:val="28"/>
          <w:lang w:val="es-ES_tradnl" w:eastAsia="es-ES"/>
        </w:rPr>
        <w:t>10 de octubre de 2022</w:t>
      </w:r>
      <w:r w:rsidRPr="003A7DA4">
        <w:rPr>
          <w:rFonts w:ascii="Times New Roman" w:hAnsi="Times New Roman" w:cs="Times New Roman"/>
          <w:sz w:val="28"/>
          <w:szCs w:val="28"/>
          <w:lang w:val="es-ES_tradnl"/>
        </w:rPr>
        <w:t>, transcurrió un lapso no inferior a quince días, tal como lo ordena la segunda parte de la citada disposición constitucional</w:t>
      </w:r>
      <w:r w:rsidRPr="003A7DA4">
        <w:rPr>
          <w:rStyle w:val="Refdenotaalpie"/>
          <w:rFonts w:ascii="Times New Roman" w:eastAsiaTheme="majorEastAsia" w:hAnsi="Times New Roman" w:cs="Times New Roman"/>
          <w:sz w:val="28"/>
          <w:szCs w:val="28"/>
          <w:lang w:val="es-ES_tradnl"/>
        </w:rPr>
        <w:footnoteReference w:id="73"/>
      </w:r>
      <w:r w:rsidRPr="003A7DA4">
        <w:rPr>
          <w:rFonts w:ascii="Times New Roman" w:hAnsi="Times New Roman" w:cs="Times New Roman"/>
          <w:sz w:val="28"/>
          <w:szCs w:val="28"/>
          <w:lang w:val="es-ES_tradnl"/>
        </w:rPr>
        <w:t>.</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6536C5">
      <w:pPr>
        <w:rPr>
          <w:rFonts w:ascii="Times New Roman" w:hAnsi="Times New Roman" w:cs="Times New Roman"/>
          <w:b/>
          <w:bCs/>
          <w:sz w:val="28"/>
          <w:szCs w:val="28"/>
        </w:rPr>
      </w:pPr>
      <w:r w:rsidRPr="003A7DA4">
        <w:rPr>
          <w:rFonts w:ascii="Times New Roman" w:hAnsi="Times New Roman" w:cs="Times New Roman"/>
          <w:b/>
          <w:bCs/>
          <w:sz w:val="28"/>
          <w:szCs w:val="28"/>
        </w:rPr>
        <w:t>S</w:t>
      </w:r>
      <w:r w:rsidRPr="003A7DA4">
        <w:rPr>
          <w:rFonts w:ascii="Times New Roman" w:hAnsi="Times New Roman" w:cs="Times New Roman"/>
          <w:b/>
          <w:bCs/>
          <w:sz w:val="28"/>
          <w:szCs w:val="28"/>
        </w:rPr>
        <w:t>egundo debate en la plenaria de la Cámara de Re</w:t>
      </w:r>
      <w:r w:rsidRPr="003A7DA4">
        <w:rPr>
          <w:rFonts w:ascii="Times New Roman" w:hAnsi="Times New Roman" w:cs="Times New Roman"/>
          <w:b/>
          <w:bCs/>
          <w:sz w:val="28"/>
          <w:szCs w:val="28"/>
        </w:rPr>
        <w:t xml:space="preserve">presentantes (“cuarto debate”) </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Informe de ponencia</w:t>
      </w:r>
      <w:r w:rsidRPr="003A7DA4">
        <w:rPr>
          <w:rFonts w:ascii="Times New Roman" w:hAnsi="Times New Roman" w:cs="Times New Roman"/>
          <w:sz w:val="28"/>
          <w:szCs w:val="28"/>
          <w:lang w:val="es-ES_tradnl" w:eastAsia="es-ES"/>
        </w:rPr>
        <w:t>:</w:t>
      </w:r>
      <w:r w:rsidRPr="003A7DA4">
        <w:rPr>
          <w:rFonts w:ascii="Times New Roman" w:hAnsi="Times New Roman" w:cs="Times New Roman"/>
          <w:sz w:val="28"/>
          <w:szCs w:val="28"/>
        </w:rPr>
        <w:t xml:space="preserve"> el 25 de noviembre de 2022, </w:t>
      </w:r>
      <w:r w:rsidRPr="003A7DA4">
        <w:rPr>
          <w:rFonts w:ascii="Times New Roman" w:hAnsi="Times New Roman" w:cs="Times New Roman"/>
          <w:sz w:val="28"/>
          <w:szCs w:val="28"/>
          <w:lang w:val="es-ES_tradnl" w:eastAsia="es-ES"/>
        </w:rPr>
        <w:t xml:space="preserve">los representantes </w:t>
      </w:r>
      <w:r w:rsidRPr="003A7DA4">
        <w:rPr>
          <w:rFonts w:ascii="Times New Roman" w:eastAsiaTheme="minorHAnsi" w:hAnsi="Times New Roman" w:cs="Times New Roman"/>
          <w:sz w:val="28"/>
          <w:szCs w:val="28"/>
          <w:lang w:eastAsia="en-US"/>
        </w:rPr>
        <w:t>Jhoany Carlos Palacios Mosquera</w:t>
      </w:r>
      <w:r w:rsidRPr="003A7DA4">
        <w:rPr>
          <w:rFonts w:ascii="Times New Roman" w:hAnsi="Times New Roman" w:cs="Times New Roman"/>
          <w:sz w:val="28"/>
          <w:szCs w:val="28"/>
        </w:rPr>
        <w:t xml:space="preserve">, </w:t>
      </w:r>
      <w:r w:rsidRPr="003A7DA4">
        <w:rPr>
          <w:rFonts w:ascii="Times New Roman" w:eastAsiaTheme="minorHAnsi" w:hAnsi="Times New Roman" w:cs="Times New Roman"/>
          <w:sz w:val="28"/>
          <w:szCs w:val="28"/>
          <w:lang w:eastAsia="en-US"/>
        </w:rPr>
        <w:t>Carmen Felisa Ramírez Boscán y Edinson Vladimir Olaya Mancipe</w:t>
      </w:r>
      <w:r w:rsidRPr="003A7DA4">
        <w:rPr>
          <w:rFonts w:ascii="Times New Roman" w:hAnsi="Times New Roman" w:cs="Times New Roman"/>
          <w:sz w:val="28"/>
          <w:szCs w:val="28"/>
        </w:rPr>
        <w:t xml:space="preserve"> presentaron informe de ponencia para segundo debate. Este se</w:t>
      </w:r>
      <w:r w:rsidRPr="003A7DA4">
        <w:rPr>
          <w:rFonts w:ascii="Times New Roman" w:hAnsi="Times New Roman" w:cs="Times New Roman"/>
          <w:sz w:val="28"/>
          <w:szCs w:val="28"/>
        </w:rPr>
        <w:t xml:space="preserve"> publicó en la Gaceta del Congreso </w:t>
      </w:r>
      <w:r w:rsidRPr="003A7DA4">
        <w:rPr>
          <w:rFonts w:ascii="Times New Roman" w:hAnsi="Times New Roman" w:cs="Times New Roman"/>
          <w:bCs/>
          <w:sz w:val="28"/>
          <w:szCs w:val="28"/>
          <w:lang w:val="es-ES_tradnl" w:eastAsia="es-ES"/>
        </w:rPr>
        <w:t>1523 del 28 de noviembre de 2022 (fls. 9-17)</w:t>
      </w:r>
      <w:r w:rsidRPr="003A7DA4">
        <w:rPr>
          <w:rStyle w:val="Refdenotaalpie"/>
          <w:rFonts w:ascii="Times New Roman" w:eastAsiaTheme="majorEastAsia" w:hAnsi="Times New Roman" w:cs="Times New Roman"/>
          <w:bCs/>
          <w:sz w:val="28"/>
          <w:szCs w:val="28"/>
          <w:lang w:val="es-ES_tradnl" w:eastAsia="es-ES"/>
        </w:rPr>
        <w:t xml:space="preserve"> </w:t>
      </w:r>
      <w:r w:rsidRPr="003A7DA4">
        <w:rPr>
          <w:rStyle w:val="Refdenotaalpie"/>
          <w:rFonts w:ascii="Times New Roman" w:eastAsiaTheme="majorEastAsia" w:hAnsi="Times New Roman" w:cs="Times New Roman"/>
          <w:bCs/>
          <w:sz w:val="28"/>
          <w:szCs w:val="28"/>
          <w:lang w:val="es-ES_tradnl" w:eastAsia="es-ES"/>
        </w:rPr>
        <w:footnoteReference w:id="74"/>
      </w:r>
      <w:r w:rsidRPr="003A7DA4">
        <w:rPr>
          <w:rFonts w:ascii="Times New Roman" w:hAnsi="Times New Roman" w:cs="Times New Roman"/>
          <w:sz w:val="28"/>
          <w:szCs w:val="28"/>
        </w:rPr>
        <w:t>.</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En tales términos, se observaron las exigencias previstas por los artículos 160 de la Constitución y 156 y 157 de la Ley 5</w:t>
      </w:r>
      <w:r w:rsidRPr="003A7DA4">
        <w:rPr>
          <w:rFonts w:ascii="Times New Roman" w:hAnsi="Times New Roman" w:cs="Times New Roman"/>
          <w:sz w:val="28"/>
          <w:szCs w:val="28"/>
          <w:vertAlign w:val="superscript"/>
        </w:rPr>
        <w:t>a</w:t>
      </w:r>
      <w:r w:rsidRPr="003A7DA4">
        <w:rPr>
          <w:rFonts w:ascii="Times New Roman" w:hAnsi="Times New Roman" w:cs="Times New Roman"/>
          <w:sz w:val="28"/>
          <w:szCs w:val="28"/>
        </w:rPr>
        <w:t xml:space="preserve"> de 1992.</w:t>
      </w:r>
    </w:p>
    <w:p w:rsidR="001E60EC" w:rsidRPr="003A7DA4" w:rsidRDefault="003A7DA4" w:rsidP="001E60EC">
      <w:pPr>
        <w:ind w:left="360" w:hanging="360"/>
        <w:rPr>
          <w:rFonts w:ascii="Times New Roman" w:hAnsi="Times New Roman" w:cs="Times New Roman"/>
          <w:sz w:val="28"/>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Anuncio previo</w:t>
      </w:r>
      <w:r w:rsidRPr="003A7DA4">
        <w:rPr>
          <w:rFonts w:ascii="Times New Roman" w:hAnsi="Times New Roman" w:cs="Times New Roman"/>
          <w:sz w:val="28"/>
          <w:szCs w:val="28"/>
          <w:lang w:val="es-ES_tradnl" w:eastAsia="es-ES"/>
        </w:rPr>
        <w:t xml:space="preserve">: </w:t>
      </w:r>
      <w:r w:rsidRPr="003A7DA4">
        <w:rPr>
          <w:rFonts w:ascii="Times New Roman" w:hAnsi="Times New Roman" w:cs="Times New Roman"/>
          <w:sz w:val="28"/>
          <w:szCs w:val="28"/>
        </w:rPr>
        <w:t xml:space="preserve">el anuncio previo al </w:t>
      </w:r>
      <w:r w:rsidRPr="003A7DA4">
        <w:rPr>
          <w:rFonts w:ascii="Times New Roman" w:hAnsi="Times New Roman" w:cs="Times New Roman"/>
          <w:sz w:val="28"/>
          <w:szCs w:val="28"/>
        </w:rPr>
        <w:t>debate se llevó a cabo el 30 de noviembre de 2022, como consta en el Acta 035, publicada en la Gaceta del Congreso 352 del 20 abril de 2023 (fl. 62)</w:t>
      </w:r>
      <w:r w:rsidRPr="003A7DA4">
        <w:rPr>
          <w:rStyle w:val="Refdenotaalpie"/>
          <w:rFonts w:ascii="Times New Roman" w:eastAsiaTheme="majorEastAsia" w:hAnsi="Times New Roman" w:cs="Times New Roman"/>
          <w:bCs/>
          <w:sz w:val="28"/>
          <w:szCs w:val="28"/>
          <w:lang w:val="es-ES_tradnl" w:eastAsia="es-ES"/>
        </w:rPr>
        <w:footnoteReference w:id="75"/>
      </w:r>
      <w:r w:rsidRPr="003A7DA4">
        <w:rPr>
          <w:rFonts w:ascii="Times New Roman" w:hAnsi="Times New Roman" w:cs="Times New Roman"/>
          <w:sz w:val="28"/>
          <w:szCs w:val="28"/>
        </w:rPr>
        <w:t>.</w:t>
      </w:r>
      <w:r w:rsidRPr="003A7DA4">
        <w:rPr>
          <w:rFonts w:ascii="Times New Roman" w:hAnsi="Times New Roman" w:cs="Times New Roman"/>
          <w:sz w:val="28"/>
          <w:szCs w:val="28"/>
          <w:lang w:eastAsia="es-ES"/>
        </w:rPr>
        <w:t xml:space="preserve"> </w:t>
      </w:r>
      <w:r w:rsidRPr="003A7DA4">
        <w:rPr>
          <w:rFonts w:ascii="Times New Roman" w:hAnsi="Times New Roman" w:cs="Times New Roman"/>
          <w:bCs/>
          <w:sz w:val="28"/>
          <w:szCs w:val="28"/>
          <w:lang w:val="es-ES_tradnl" w:eastAsia="es-ES"/>
        </w:rPr>
        <w:t xml:space="preserve">De esta forma, se </w:t>
      </w:r>
      <w:r w:rsidRPr="003A7DA4">
        <w:rPr>
          <w:rFonts w:ascii="Times New Roman" w:hAnsi="Times New Roman" w:cs="Times New Roman"/>
          <w:sz w:val="28"/>
          <w:szCs w:val="28"/>
        </w:rPr>
        <w:t>observó la exigencia prevista en el inciso final del artículo 160 de la Constitución, a</w:t>
      </w:r>
      <w:r w:rsidRPr="003A7DA4">
        <w:rPr>
          <w:rFonts w:ascii="Times New Roman" w:hAnsi="Times New Roman" w:cs="Times New Roman"/>
          <w:sz w:val="28"/>
          <w:szCs w:val="28"/>
        </w:rPr>
        <w:t>dicionado por el artículo 8 del Acto Legislativo 1 de 2003.</w:t>
      </w:r>
    </w:p>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Debate y aprobación</w:t>
      </w:r>
      <w:r w:rsidRPr="003A7DA4">
        <w:rPr>
          <w:rFonts w:ascii="Times New Roman" w:hAnsi="Times New Roman" w:cs="Times New Roman"/>
          <w:sz w:val="28"/>
          <w:szCs w:val="28"/>
          <w:lang w:val="es-ES_tradnl" w:eastAsia="es-ES"/>
        </w:rPr>
        <w:t>:</w:t>
      </w:r>
      <w:r w:rsidRPr="003A7DA4">
        <w:rPr>
          <w:rFonts w:ascii="Times New Roman" w:hAnsi="Times New Roman" w:cs="Times New Roman"/>
          <w:sz w:val="28"/>
          <w:szCs w:val="28"/>
        </w:rPr>
        <w:t xml:space="preserve"> la votación del texto del proyecto de ley se llevó a cabo el 5 de diciembre de 2022, esto es, la sesión inmediatamente siguiente a aquella en la que se anunció el proyecto de</w:t>
      </w:r>
      <w:r w:rsidRPr="003A7DA4">
        <w:rPr>
          <w:rFonts w:ascii="Times New Roman" w:hAnsi="Times New Roman" w:cs="Times New Roman"/>
          <w:sz w:val="28"/>
          <w:szCs w:val="28"/>
        </w:rPr>
        <w:t xml:space="preserve"> ley, tal como consta en el Acta 036, publicada en la Gaceta del Congreso 298 de abril 12 de 2023 (fl.</w:t>
      </w:r>
      <w:r w:rsidRPr="003A7DA4">
        <w:rPr>
          <w:rFonts w:ascii="Times New Roman" w:hAnsi="Times New Roman" w:cs="Times New Roman"/>
          <w:sz w:val="28"/>
          <w:szCs w:val="28"/>
          <w:lang w:eastAsia="es-ES"/>
        </w:rPr>
        <w:t xml:space="preserve"> 36 - 42)</w:t>
      </w:r>
      <w:r w:rsidRPr="003A7DA4">
        <w:rPr>
          <w:rStyle w:val="Refdenotaalpie"/>
          <w:rFonts w:ascii="Times New Roman" w:eastAsiaTheme="majorEastAsia" w:hAnsi="Times New Roman" w:cs="Times New Roman"/>
          <w:sz w:val="28"/>
          <w:szCs w:val="28"/>
          <w:lang w:eastAsia="es-ES"/>
        </w:rPr>
        <w:footnoteReference w:id="76"/>
      </w:r>
      <w:r w:rsidRPr="003A7DA4">
        <w:rPr>
          <w:rFonts w:ascii="Times New Roman" w:hAnsi="Times New Roman" w:cs="Times New Roman"/>
          <w:sz w:val="28"/>
          <w:szCs w:val="28"/>
          <w:lang w:eastAsia="es-ES"/>
        </w:rPr>
        <w:t xml:space="preserve">. </w:t>
      </w:r>
      <w:r w:rsidRPr="003A7DA4">
        <w:rPr>
          <w:rFonts w:ascii="Times New Roman" w:hAnsi="Times New Roman" w:cs="Times New Roman"/>
          <w:sz w:val="28"/>
          <w:szCs w:val="28"/>
          <w:lang w:val="es-ES_tradnl" w:eastAsia="es-ES"/>
        </w:rPr>
        <w:t xml:space="preserve">El texto definitivo aprobado por la plenaria de la Cámara de Representantes </w:t>
      </w:r>
      <w:r w:rsidRPr="003A7DA4">
        <w:rPr>
          <w:rFonts w:ascii="Times New Roman" w:hAnsi="Times New Roman" w:cs="Times New Roman"/>
          <w:sz w:val="28"/>
          <w:szCs w:val="28"/>
        </w:rPr>
        <w:t xml:space="preserve">se publicó en la Gaceta del Congreso 1736 de diciembre 29 de 2022 </w:t>
      </w:r>
      <w:r w:rsidRPr="003A7DA4">
        <w:rPr>
          <w:rFonts w:ascii="Times New Roman" w:hAnsi="Times New Roman" w:cs="Times New Roman"/>
          <w:sz w:val="28"/>
          <w:szCs w:val="28"/>
        </w:rPr>
        <w:t>(fl.</w:t>
      </w:r>
      <w:r w:rsidRPr="003A7DA4">
        <w:rPr>
          <w:rFonts w:ascii="Times New Roman" w:hAnsi="Times New Roman" w:cs="Times New Roman"/>
          <w:sz w:val="28"/>
          <w:szCs w:val="28"/>
          <w:lang w:eastAsia="es-ES"/>
        </w:rPr>
        <w:t xml:space="preserve"> 2)</w:t>
      </w:r>
      <w:r w:rsidRPr="003A7DA4">
        <w:rPr>
          <w:rStyle w:val="Refdenotaalpie"/>
          <w:rFonts w:ascii="Times New Roman" w:eastAsiaTheme="majorEastAsia" w:hAnsi="Times New Roman" w:cs="Times New Roman"/>
          <w:sz w:val="28"/>
          <w:szCs w:val="28"/>
          <w:lang w:eastAsia="es-ES"/>
        </w:rPr>
        <w:footnoteReference w:id="77"/>
      </w:r>
      <w:r w:rsidRPr="003A7DA4">
        <w:rPr>
          <w:rFonts w:ascii="Times New Roman" w:hAnsi="Times New Roman" w:cs="Times New Roman"/>
          <w:sz w:val="28"/>
          <w:szCs w:val="28"/>
          <w:lang w:eastAsia="es-ES"/>
        </w:rPr>
        <w:t>.</w:t>
      </w:r>
      <w:r w:rsidRPr="003A7DA4">
        <w:rPr>
          <w:rFonts w:ascii="Times New Roman" w:hAnsi="Times New Roman" w:cs="Times New Roman"/>
          <w:sz w:val="28"/>
          <w:szCs w:val="28"/>
          <w:lang w:val="es-ES_tradnl" w:eastAsia="es-ES"/>
        </w:rPr>
        <w:t xml:space="preserve"> </w:t>
      </w:r>
    </w:p>
    <w:p w:rsidR="001E60EC" w:rsidRPr="003A7DA4" w:rsidRDefault="003A7DA4" w:rsidP="001E60EC">
      <w:pPr>
        <w:ind w:left="360"/>
        <w:rPr>
          <w:rFonts w:ascii="Times New Roman" w:hAnsi="Times New Roman" w:cs="Times New Roman"/>
          <w:sz w:val="28"/>
        </w:rPr>
      </w:pPr>
    </w:p>
    <w:p w:rsidR="001E60EC" w:rsidRPr="003A7DA4" w:rsidRDefault="003A7DA4" w:rsidP="00A34028">
      <w:pPr>
        <w:numPr>
          <w:ilvl w:val="0"/>
          <w:numId w:val="8"/>
        </w:numPr>
        <w:tabs>
          <w:tab w:val="left" w:pos="567"/>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sz w:val="28"/>
          <w:szCs w:val="28"/>
          <w:lang w:val="es-ES_tradnl" w:eastAsia="es-ES"/>
        </w:rPr>
        <w:t xml:space="preserve">A continuación, </w:t>
      </w:r>
      <w:r w:rsidRPr="003A7DA4">
        <w:rPr>
          <w:rFonts w:ascii="Times New Roman" w:hAnsi="Times New Roman" w:cs="Times New Roman"/>
          <w:bCs/>
          <w:sz w:val="28"/>
          <w:szCs w:val="28"/>
          <w:lang w:val="es-ES_tradnl" w:eastAsia="es-ES"/>
        </w:rPr>
        <w:t xml:space="preserve">se precisa la forma en que se </w:t>
      </w:r>
      <w:r w:rsidRPr="003A7DA4">
        <w:rPr>
          <w:rFonts w:ascii="Times New Roman" w:hAnsi="Times New Roman" w:cs="Times New Roman"/>
          <w:sz w:val="28"/>
          <w:szCs w:val="28"/>
          <w:lang w:val="es-ES_tradnl" w:eastAsia="es-ES"/>
        </w:rPr>
        <w:t xml:space="preserve">dio cumplimiento a la exigencia del quórum deliberatorio y decisorio que establece el artículo 145 de la Constitución, así como a la de votación nominal y pública que requiere el artículo 133 de </w:t>
      </w:r>
      <w:r w:rsidRPr="003A7DA4">
        <w:rPr>
          <w:rFonts w:ascii="Times New Roman" w:hAnsi="Times New Roman" w:cs="Times New Roman"/>
          <w:sz w:val="28"/>
          <w:szCs w:val="28"/>
          <w:lang w:val="es-ES_tradnl" w:eastAsia="es-ES"/>
        </w:rPr>
        <w:t>aquella, para la aprobación de: (i) la proposición positiva del informe de ponencia; (ii) el articulado del proyecto de ley y (iii) el título del proyecto de ley y la intención de que sea ley de la República:</w:t>
      </w:r>
    </w:p>
    <w:p w:rsidR="001E60EC" w:rsidRPr="003A7DA4" w:rsidRDefault="003A7DA4" w:rsidP="00A34028">
      <w:pPr>
        <w:ind w:left="720"/>
        <w:rPr>
          <w:rFonts w:ascii="Times New Roman" w:hAnsi="Times New Roman" w:cs="Times New Roman"/>
          <w:sz w:val="28"/>
        </w:rPr>
      </w:pPr>
    </w:p>
    <w:tbl>
      <w:tblPr>
        <w:tblStyle w:val="Tablaconcuadrcula"/>
        <w:tblW w:w="0" w:type="auto"/>
        <w:jc w:val="center"/>
        <w:tblLook w:val="04A0" w:firstRow="1" w:lastRow="0" w:firstColumn="1" w:lastColumn="0" w:noHBand="0" w:noVBand="1"/>
      </w:tblPr>
      <w:tblGrid>
        <w:gridCol w:w="2499"/>
        <w:gridCol w:w="2077"/>
        <w:gridCol w:w="2483"/>
      </w:tblGrid>
      <w:tr w:rsidR="001E60EC" w:rsidRPr="003A7DA4" w:rsidTr="00F11F02">
        <w:trPr>
          <w:trHeight w:val="320"/>
          <w:jc w:val="center"/>
        </w:trPr>
        <w:tc>
          <w:tcPr>
            <w:tcW w:w="2499" w:type="dxa"/>
            <w:shd w:val="clear" w:color="auto" w:fill="9CC2E5" w:themeFill="accent1" w:themeFillTint="99"/>
            <w:vAlign w:val="center"/>
          </w:tcPr>
          <w:p w:rsidR="001E60EC" w:rsidRPr="003A7DA4" w:rsidRDefault="003A7DA4" w:rsidP="00F11F02">
            <w:pPr>
              <w:ind w:right="49"/>
              <w:jc w:val="center"/>
              <w:rPr>
                <w:rFonts w:ascii="Times New Roman" w:hAnsi="Times New Roman"/>
                <w:b/>
                <w:sz w:val="28"/>
                <w:lang w:val="es-ES_tradnl" w:eastAsia="es-ES"/>
              </w:rPr>
            </w:pPr>
            <w:r w:rsidRPr="003A7DA4">
              <w:rPr>
                <w:rFonts w:ascii="Times New Roman" w:hAnsi="Times New Roman"/>
                <w:b/>
                <w:sz w:val="28"/>
                <w:lang w:val="es-ES_tradnl" w:eastAsia="es-ES"/>
              </w:rPr>
              <w:t>Proposición final</w:t>
            </w:r>
          </w:p>
        </w:tc>
        <w:tc>
          <w:tcPr>
            <w:tcW w:w="2077" w:type="dxa"/>
            <w:shd w:val="clear" w:color="auto" w:fill="9CC2E5" w:themeFill="accent1" w:themeFillTint="99"/>
          </w:tcPr>
          <w:p w:rsidR="001E60EC" w:rsidRPr="003A7DA4" w:rsidRDefault="003A7DA4" w:rsidP="00F11F02">
            <w:pPr>
              <w:ind w:right="49"/>
              <w:jc w:val="center"/>
              <w:rPr>
                <w:rFonts w:ascii="Times New Roman" w:hAnsi="Times New Roman"/>
                <w:b/>
                <w:sz w:val="28"/>
                <w:lang w:val="es-ES_tradnl" w:eastAsia="es-ES"/>
              </w:rPr>
            </w:pPr>
            <w:r w:rsidRPr="003A7DA4">
              <w:rPr>
                <w:rFonts w:ascii="Times New Roman" w:hAnsi="Times New Roman"/>
                <w:b/>
                <w:sz w:val="28"/>
                <w:lang w:val="es-ES_tradnl" w:eastAsia="es-ES"/>
              </w:rPr>
              <w:t>Articulado</w:t>
            </w:r>
          </w:p>
        </w:tc>
        <w:tc>
          <w:tcPr>
            <w:tcW w:w="2483" w:type="dxa"/>
            <w:shd w:val="clear" w:color="auto" w:fill="9CC2E5" w:themeFill="accent1" w:themeFillTint="99"/>
            <w:vAlign w:val="center"/>
          </w:tcPr>
          <w:p w:rsidR="001E60EC" w:rsidRPr="003A7DA4" w:rsidRDefault="003A7DA4" w:rsidP="00F11F02">
            <w:pPr>
              <w:ind w:right="49"/>
              <w:jc w:val="center"/>
              <w:rPr>
                <w:rFonts w:ascii="Times New Roman" w:hAnsi="Times New Roman"/>
                <w:b/>
                <w:sz w:val="28"/>
                <w:lang w:val="es-ES_tradnl" w:eastAsia="es-ES"/>
              </w:rPr>
            </w:pPr>
            <w:r w:rsidRPr="003A7DA4">
              <w:rPr>
                <w:rFonts w:ascii="Times New Roman" w:hAnsi="Times New Roman"/>
                <w:b/>
                <w:sz w:val="28"/>
                <w:lang w:val="es-ES_tradnl" w:eastAsia="es-ES"/>
              </w:rPr>
              <w:t>Título y pregunta</w:t>
            </w:r>
          </w:p>
        </w:tc>
      </w:tr>
      <w:tr w:rsidR="001E60EC" w:rsidRPr="003A7DA4" w:rsidTr="00F11F02">
        <w:trPr>
          <w:trHeight w:val="650"/>
          <w:jc w:val="center"/>
        </w:trPr>
        <w:tc>
          <w:tcPr>
            <w:tcW w:w="2499"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sz w:val="28"/>
                <w:lang w:val="es-ES_tradnl" w:eastAsia="es-ES"/>
              </w:rPr>
              <w:t xml:space="preserve">Quórum: </w:t>
            </w:r>
            <w:r w:rsidRPr="003A7DA4">
              <w:rPr>
                <w:rFonts w:ascii="Times New Roman" w:hAnsi="Times New Roman"/>
                <w:bCs/>
                <w:sz w:val="28"/>
                <w:lang w:val="es-ES_tradnl" w:eastAsia="es-ES"/>
              </w:rPr>
              <w:t>173</w:t>
            </w:r>
            <w:r w:rsidRPr="003A7DA4">
              <w:rPr>
                <w:rFonts w:ascii="Times New Roman" w:hAnsi="Times New Roman"/>
                <w:bCs/>
                <w:sz w:val="28"/>
                <w:vertAlign w:val="superscript"/>
                <w:lang w:val="es-ES_tradnl"/>
              </w:rPr>
              <w:footnoteReference w:id="78"/>
            </w:r>
            <w:r w:rsidRPr="003A7DA4">
              <w:rPr>
                <w:rFonts w:ascii="Times New Roman" w:hAnsi="Times New Roman"/>
                <w:bCs/>
                <w:sz w:val="28"/>
                <w:lang w:val="es-ES_tradnl" w:eastAsia="es-ES"/>
              </w:rPr>
              <w:t xml:space="preserve"> integrantes / 159</w:t>
            </w:r>
            <w:r w:rsidRPr="003A7DA4">
              <w:rPr>
                <w:rStyle w:val="Refdenotaalpie"/>
                <w:rFonts w:ascii="Times New Roman" w:eastAsiaTheme="majorEastAsia" w:hAnsi="Times New Roman"/>
                <w:bCs/>
                <w:sz w:val="28"/>
                <w:lang w:val="es-ES_tradnl" w:eastAsia="es-ES"/>
              </w:rPr>
              <w:footnoteReference w:id="79"/>
            </w:r>
            <w:r w:rsidRPr="003A7DA4">
              <w:rPr>
                <w:rFonts w:ascii="Times New Roman" w:hAnsi="Times New Roman"/>
                <w:bCs/>
                <w:sz w:val="28"/>
                <w:lang w:val="es-ES_tradnl" w:eastAsia="es-ES"/>
              </w:rPr>
              <w:t xml:space="preserve"> asistentes</w:t>
            </w:r>
          </w:p>
        </w:tc>
        <w:tc>
          <w:tcPr>
            <w:tcW w:w="2077" w:type="dxa"/>
            <w:vAlign w:val="center"/>
          </w:tcPr>
          <w:p w:rsidR="001E60EC" w:rsidRPr="003A7DA4" w:rsidRDefault="003A7DA4" w:rsidP="00F11F02">
            <w:pPr>
              <w:jc w:val="center"/>
              <w:rPr>
                <w:rFonts w:ascii="Times New Roman" w:hAnsi="Times New Roman"/>
                <w:b/>
                <w:sz w:val="28"/>
                <w:lang w:val="es-ES_tradnl" w:eastAsia="es-ES"/>
              </w:rPr>
            </w:pPr>
            <w:r w:rsidRPr="003A7DA4">
              <w:rPr>
                <w:rFonts w:ascii="Times New Roman" w:hAnsi="Times New Roman"/>
                <w:b/>
                <w:sz w:val="28"/>
                <w:lang w:val="es-ES_tradnl" w:eastAsia="es-ES"/>
              </w:rPr>
              <w:t xml:space="preserve">Quórum: </w:t>
            </w:r>
            <w:r w:rsidRPr="003A7DA4">
              <w:rPr>
                <w:rFonts w:ascii="Times New Roman" w:hAnsi="Times New Roman"/>
                <w:bCs/>
                <w:sz w:val="28"/>
                <w:lang w:val="es-ES_tradnl" w:eastAsia="es-ES"/>
              </w:rPr>
              <w:t>173 integrantes / 159 asistentes</w:t>
            </w:r>
          </w:p>
        </w:tc>
        <w:tc>
          <w:tcPr>
            <w:tcW w:w="2483" w:type="dxa"/>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sz w:val="28"/>
                <w:lang w:val="es-ES_tradnl" w:eastAsia="es-ES"/>
              </w:rPr>
              <w:t xml:space="preserve">Quórum: </w:t>
            </w:r>
            <w:r w:rsidRPr="003A7DA4">
              <w:rPr>
                <w:rFonts w:ascii="Times New Roman" w:hAnsi="Times New Roman"/>
                <w:bCs/>
                <w:sz w:val="28"/>
                <w:lang w:val="es-ES_tradnl" w:eastAsia="es-ES"/>
              </w:rPr>
              <w:t>173 integrantes / 159 asistentes</w:t>
            </w:r>
          </w:p>
        </w:tc>
      </w:tr>
      <w:tr w:rsidR="001E60EC" w:rsidRPr="003A7DA4" w:rsidTr="00F11F02">
        <w:trPr>
          <w:trHeight w:val="320"/>
          <w:jc w:val="center"/>
        </w:trPr>
        <w:tc>
          <w:tcPr>
            <w:tcW w:w="2499"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bCs/>
                <w:sz w:val="28"/>
                <w:lang w:val="es-ES_tradnl" w:eastAsia="es-ES"/>
              </w:rPr>
              <w:t>Votos</w:t>
            </w:r>
            <w:r w:rsidRPr="003A7DA4">
              <w:rPr>
                <w:rStyle w:val="Refdenotaalpie"/>
                <w:rFonts w:ascii="Times New Roman" w:eastAsiaTheme="majorEastAsia" w:hAnsi="Times New Roman"/>
                <w:sz w:val="28"/>
              </w:rPr>
              <w:footnoteReference w:id="80"/>
            </w:r>
          </w:p>
        </w:tc>
        <w:tc>
          <w:tcPr>
            <w:tcW w:w="2077" w:type="dxa"/>
            <w:shd w:val="clear" w:color="auto" w:fill="FFFFFF" w:themeFill="background1"/>
          </w:tcPr>
          <w:p w:rsidR="001E60EC" w:rsidRPr="003A7DA4" w:rsidRDefault="003A7DA4" w:rsidP="00F11F02">
            <w:pPr>
              <w:jc w:val="center"/>
              <w:rPr>
                <w:rFonts w:ascii="Times New Roman" w:hAnsi="Times New Roman"/>
                <w:b/>
                <w:bCs/>
                <w:sz w:val="28"/>
                <w:lang w:val="es-ES_tradnl" w:eastAsia="es-ES"/>
              </w:rPr>
            </w:pPr>
            <w:r w:rsidRPr="003A7DA4">
              <w:rPr>
                <w:rFonts w:ascii="Times New Roman" w:hAnsi="Times New Roman"/>
                <w:b/>
                <w:bCs/>
                <w:sz w:val="28"/>
                <w:lang w:val="es-ES_tradnl" w:eastAsia="es-ES"/>
              </w:rPr>
              <w:t>Votos</w:t>
            </w:r>
            <w:r w:rsidRPr="003A7DA4">
              <w:rPr>
                <w:rStyle w:val="Refdenotaalpie"/>
                <w:rFonts w:ascii="Times New Roman" w:eastAsiaTheme="majorEastAsia" w:hAnsi="Times New Roman"/>
                <w:sz w:val="28"/>
              </w:rPr>
              <w:footnoteReference w:id="81"/>
            </w:r>
          </w:p>
        </w:tc>
        <w:tc>
          <w:tcPr>
            <w:tcW w:w="2483"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b/>
                <w:bCs/>
                <w:sz w:val="28"/>
                <w:lang w:val="es-ES_tradnl" w:eastAsia="es-ES"/>
              </w:rPr>
              <w:t>Votos</w:t>
            </w:r>
            <w:r w:rsidRPr="003A7DA4">
              <w:rPr>
                <w:rStyle w:val="Refdenotaalpie"/>
                <w:rFonts w:ascii="Times New Roman" w:eastAsiaTheme="majorEastAsia" w:hAnsi="Times New Roman"/>
                <w:sz w:val="28"/>
              </w:rPr>
              <w:footnoteReference w:id="82"/>
            </w:r>
          </w:p>
        </w:tc>
      </w:tr>
      <w:tr w:rsidR="001E60EC" w:rsidRPr="003A7DA4" w:rsidTr="00F11F02">
        <w:trPr>
          <w:trHeight w:val="640"/>
          <w:jc w:val="center"/>
        </w:trPr>
        <w:tc>
          <w:tcPr>
            <w:tcW w:w="2499"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Sí: 131</w:t>
            </w:r>
          </w:p>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No: 0</w:t>
            </w:r>
          </w:p>
        </w:tc>
        <w:tc>
          <w:tcPr>
            <w:tcW w:w="2077" w:type="dxa"/>
            <w:shd w:val="clear" w:color="auto" w:fill="FFFFFF" w:themeFill="background1"/>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Sí: 123</w:t>
            </w:r>
          </w:p>
          <w:p w:rsidR="001E60EC" w:rsidRPr="003A7DA4" w:rsidRDefault="003A7DA4" w:rsidP="00F11F02">
            <w:pPr>
              <w:ind w:right="49"/>
              <w:jc w:val="center"/>
              <w:rPr>
                <w:rFonts w:ascii="Times New Roman" w:hAnsi="Times New Roman"/>
                <w:bCs/>
                <w:sz w:val="28"/>
                <w:lang w:val="es-ES_tradnl" w:eastAsia="es-ES"/>
              </w:rPr>
            </w:pPr>
            <w:r w:rsidRPr="003A7DA4">
              <w:rPr>
                <w:rFonts w:ascii="Times New Roman" w:hAnsi="Times New Roman"/>
                <w:sz w:val="28"/>
                <w:lang w:val="es-ES_tradnl" w:eastAsia="es-ES"/>
              </w:rPr>
              <w:t>No: 0</w:t>
            </w:r>
          </w:p>
        </w:tc>
        <w:tc>
          <w:tcPr>
            <w:tcW w:w="2483" w:type="dxa"/>
            <w:shd w:val="clear" w:color="auto" w:fill="FFFFFF" w:themeFill="background1"/>
            <w:vAlign w:val="center"/>
          </w:tcPr>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Sí: 121</w:t>
            </w:r>
          </w:p>
          <w:p w:rsidR="001E60EC" w:rsidRPr="003A7DA4" w:rsidRDefault="003A7DA4" w:rsidP="00F11F02">
            <w:pPr>
              <w:jc w:val="center"/>
              <w:rPr>
                <w:rFonts w:ascii="Times New Roman" w:hAnsi="Times New Roman"/>
                <w:sz w:val="28"/>
                <w:lang w:val="es-ES_tradnl" w:eastAsia="es-ES"/>
              </w:rPr>
            </w:pPr>
            <w:r w:rsidRPr="003A7DA4">
              <w:rPr>
                <w:rFonts w:ascii="Times New Roman" w:hAnsi="Times New Roman"/>
                <w:sz w:val="28"/>
                <w:lang w:val="es-ES_tradnl" w:eastAsia="es-ES"/>
              </w:rPr>
              <w:t>No: 8</w:t>
            </w:r>
          </w:p>
        </w:tc>
      </w:tr>
    </w:tbl>
    <w:p w:rsidR="001E60EC" w:rsidRPr="003A7DA4" w:rsidRDefault="003A7DA4" w:rsidP="001E60EC">
      <w:pPr>
        <w:rPr>
          <w:rFonts w:ascii="Times New Roman" w:hAnsi="Times New Roman" w:cs="Times New Roman"/>
          <w:sz w:val="28"/>
          <w:szCs w:val="28"/>
          <w:lang w:val="es-ES_tradnl" w:eastAsia="es-ES"/>
        </w:rPr>
      </w:pPr>
    </w:p>
    <w:p w:rsidR="001E60EC" w:rsidRPr="003A7DA4" w:rsidRDefault="003A7DA4" w:rsidP="000D7F82">
      <w:pPr>
        <w:numPr>
          <w:ilvl w:val="0"/>
          <w:numId w:val="8"/>
        </w:numPr>
        <w:tabs>
          <w:tab w:val="left" w:pos="567"/>
        </w:tabs>
        <w:ind w:left="0" w:right="49" w:firstLine="0"/>
        <w:jc w:val="both"/>
        <w:rPr>
          <w:rFonts w:ascii="Times New Roman" w:hAnsi="Times New Roman" w:cs="Times New Roman"/>
          <w:b/>
          <w:bCs/>
          <w:sz w:val="28"/>
          <w:szCs w:val="28"/>
        </w:rPr>
      </w:pPr>
      <w:r w:rsidRPr="003A7DA4">
        <w:rPr>
          <w:rFonts w:ascii="Times New Roman" w:hAnsi="Times New Roman" w:cs="Times New Roman"/>
          <w:i/>
          <w:iCs/>
          <w:sz w:val="28"/>
          <w:szCs w:val="28"/>
        </w:rPr>
        <w:t>El proyecto no se consideró en más de dos legislaturas</w:t>
      </w:r>
      <w:r w:rsidRPr="003A7DA4">
        <w:rPr>
          <w:rFonts w:ascii="Times New Roman" w:hAnsi="Times New Roman" w:cs="Times New Roman"/>
          <w:sz w:val="28"/>
          <w:szCs w:val="28"/>
        </w:rPr>
        <w:t>:</w:t>
      </w:r>
      <w:r w:rsidRPr="003A7DA4">
        <w:rPr>
          <w:rFonts w:ascii="Times New Roman" w:hAnsi="Times New Roman" w:cs="Times New Roman"/>
          <w:i/>
          <w:iCs/>
          <w:sz w:val="28"/>
          <w:szCs w:val="28"/>
        </w:rPr>
        <w:t xml:space="preserve"> </w:t>
      </w:r>
      <w:r w:rsidRPr="003A7DA4">
        <w:rPr>
          <w:rFonts w:ascii="Times New Roman" w:hAnsi="Times New Roman" w:cs="Times New Roman"/>
          <w:sz w:val="28"/>
          <w:szCs w:val="28"/>
        </w:rPr>
        <w:t xml:space="preserve">el proyecto de ley no se consideró en más de dos legislaturas, tal como lo ordena el artículo 162 de la Constitución. En efecto, el proyecto de ley se </w:t>
      </w:r>
      <w:r w:rsidRPr="003A7DA4">
        <w:rPr>
          <w:rFonts w:ascii="Times New Roman" w:hAnsi="Times New Roman" w:cs="Times New Roman"/>
          <w:sz w:val="28"/>
          <w:szCs w:val="28"/>
          <w:lang w:val="es-ES_tradnl" w:eastAsia="es-ES"/>
        </w:rPr>
        <w:t>radicó</w:t>
      </w:r>
      <w:r w:rsidRPr="003A7DA4">
        <w:rPr>
          <w:rFonts w:ascii="Times New Roman" w:hAnsi="Times New Roman" w:cs="Times New Roman"/>
          <w:sz w:val="28"/>
          <w:szCs w:val="28"/>
        </w:rPr>
        <w:t xml:space="preserve"> en el Congreso de la República el 1 de diciembre de 2021 y finalizó su trámite con el debate y la </w:t>
      </w:r>
      <w:r w:rsidRPr="003A7DA4">
        <w:rPr>
          <w:rFonts w:ascii="Times New Roman" w:hAnsi="Times New Roman" w:cs="Times New Roman"/>
          <w:sz w:val="28"/>
          <w:szCs w:val="28"/>
        </w:rPr>
        <w:t>aprobación por parte de la plenaria de la Cámara de Representantes, el 5 de diciembre de 2022 (en sesión plenaria ordinaria). De esta manera, la consideración y el trámite del proyecto de ley objeto de control constitucional se surtió en menos de dos legis</w:t>
      </w:r>
      <w:r w:rsidRPr="003A7DA4">
        <w:rPr>
          <w:rFonts w:ascii="Times New Roman" w:hAnsi="Times New Roman" w:cs="Times New Roman"/>
          <w:sz w:val="28"/>
          <w:szCs w:val="28"/>
        </w:rPr>
        <w:t>laturas, a saber: la primera, del 20 de julio de 2021 al 20 de junio de 2022 y la segunda del 20 de julio de 2022 al 20 de junio de 2023. Finalmente, se precisa que en el procedimiento de aprobación del proyecto de ley no fue necesario acudir al trámite de</w:t>
      </w:r>
      <w:r w:rsidRPr="003A7DA4">
        <w:rPr>
          <w:rFonts w:ascii="Times New Roman" w:hAnsi="Times New Roman" w:cs="Times New Roman"/>
          <w:sz w:val="28"/>
          <w:szCs w:val="28"/>
        </w:rPr>
        <w:t xml:space="preserve"> conciliación.</w:t>
      </w:r>
    </w:p>
    <w:p w:rsidR="001E60EC" w:rsidRPr="003A7DA4" w:rsidRDefault="003A7DA4" w:rsidP="001E60EC">
      <w:pPr>
        <w:tabs>
          <w:tab w:val="left" w:pos="426"/>
        </w:tabs>
        <w:ind w:right="49"/>
        <w:jc w:val="both"/>
        <w:rPr>
          <w:rFonts w:ascii="Times New Roman" w:hAnsi="Times New Roman" w:cs="Times New Roman"/>
          <w:sz w:val="28"/>
          <w:szCs w:val="28"/>
          <w:lang w:val="es-ES_tradnl" w:eastAsia="es-ES"/>
        </w:rPr>
      </w:pPr>
    </w:p>
    <w:p w:rsidR="001E60EC" w:rsidRPr="003A7DA4" w:rsidRDefault="003A7DA4" w:rsidP="001E60EC">
      <w:pPr>
        <w:numPr>
          <w:ilvl w:val="0"/>
          <w:numId w:val="8"/>
        </w:numPr>
        <w:tabs>
          <w:tab w:val="left" w:pos="426"/>
        </w:tabs>
        <w:ind w:left="0" w:right="49" w:firstLine="0"/>
        <w:jc w:val="both"/>
        <w:rPr>
          <w:rFonts w:ascii="Times New Roman" w:hAnsi="Times New Roman" w:cs="Times New Roman"/>
          <w:sz w:val="28"/>
          <w:szCs w:val="28"/>
          <w:lang w:val="es-ES_tradnl" w:eastAsia="es-ES"/>
        </w:rPr>
      </w:pPr>
      <w:r w:rsidRPr="003A7DA4">
        <w:rPr>
          <w:rFonts w:ascii="Times New Roman" w:hAnsi="Times New Roman" w:cs="Times New Roman"/>
          <w:i/>
          <w:iCs/>
          <w:sz w:val="28"/>
          <w:szCs w:val="28"/>
          <w:lang w:val="es-ES_tradnl" w:eastAsia="es-ES"/>
        </w:rPr>
        <w:t>Modificación del proyecto</w:t>
      </w:r>
      <w:r w:rsidRPr="003A7DA4">
        <w:rPr>
          <w:rFonts w:ascii="Times New Roman" w:hAnsi="Times New Roman" w:cs="Times New Roman"/>
          <w:sz w:val="28"/>
          <w:szCs w:val="28"/>
          <w:lang w:val="es-ES_tradnl" w:eastAsia="es-ES"/>
        </w:rPr>
        <w:t>. En el trámite del proyecto de ley no se modificó el contenido del tratado, según lo dispone el artículo 217 de la Ley 5ª de 1992, y tampoco se introdujeron modificaciones al proyecto de ley, por lo que se respetar</w:t>
      </w:r>
      <w:r w:rsidRPr="003A7DA4">
        <w:rPr>
          <w:rFonts w:ascii="Times New Roman" w:hAnsi="Times New Roman" w:cs="Times New Roman"/>
          <w:sz w:val="28"/>
          <w:szCs w:val="28"/>
          <w:lang w:val="es-ES_tradnl" w:eastAsia="es-ES"/>
        </w:rPr>
        <w:t>on los principios de consecutividad e identidad flexible.</w:t>
      </w:r>
    </w:p>
    <w:p w:rsidR="001E60EC" w:rsidRPr="003A7DA4" w:rsidRDefault="003A7DA4" w:rsidP="001B6BCF">
      <w:pPr>
        <w:tabs>
          <w:tab w:val="left" w:pos="567"/>
        </w:tabs>
        <w:ind w:right="49"/>
        <w:jc w:val="both"/>
        <w:rPr>
          <w:rFonts w:ascii="Times New Roman" w:hAnsi="Times New Roman" w:cs="Times New Roman"/>
          <w:sz w:val="28"/>
        </w:rPr>
      </w:pPr>
    </w:p>
    <w:p w:rsidR="00A34028" w:rsidRPr="003A7DA4" w:rsidRDefault="003A7DA4" w:rsidP="00A34028">
      <w:pPr>
        <w:numPr>
          <w:ilvl w:val="0"/>
          <w:numId w:val="8"/>
        </w:numPr>
        <w:tabs>
          <w:tab w:val="left" w:pos="567"/>
        </w:tabs>
        <w:ind w:left="0" w:right="49" w:firstLine="0"/>
        <w:jc w:val="both"/>
        <w:rPr>
          <w:rFonts w:ascii="Times New Roman" w:hAnsi="Times New Roman" w:cs="Times New Roman"/>
          <w:sz w:val="28"/>
          <w:szCs w:val="28"/>
        </w:rPr>
      </w:pPr>
      <w:r w:rsidRPr="003A7DA4">
        <w:rPr>
          <w:rFonts w:ascii="Times New Roman" w:hAnsi="Times New Roman" w:cs="Times New Roman"/>
          <w:sz w:val="28"/>
          <w:szCs w:val="28"/>
        </w:rPr>
        <w:t xml:space="preserve">A modo de síntesis, el trámite que se surtió tanto en la comisión como en la sesión plenaria del Senado de la República puede evidenciarse en las actas de las sesiones y en las gacetas respectivas </w:t>
      </w:r>
      <w:r w:rsidRPr="003A7DA4">
        <w:rPr>
          <w:rFonts w:ascii="Times New Roman" w:hAnsi="Times New Roman" w:cs="Times New Roman"/>
          <w:sz w:val="28"/>
          <w:szCs w:val="28"/>
        </w:rPr>
        <w:t xml:space="preserve">del Congreso, así: </w:t>
      </w:r>
    </w:p>
    <w:p w:rsidR="00A34028" w:rsidRPr="003A7DA4" w:rsidRDefault="003A7DA4" w:rsidP="00A34028">
      <w:pPr>
        <w:rPr>
          <w:rFonts w:ascii="Times New Roman" w:hAnsi="Times New Roman" w:cs="Times New Roman"/>
          <w:sz w:val="28"/>
          <w:szCs w:val="28"/>
        </w:rPr>
      </w:pPr>
    </w:p>
    <w:tbl>
      <w:tblPr>
        <w:tblStyle w:val="TableGrid"/>
        <w:tblW w:w="8813" w:type="dxa"/>
        <w:tblInd w:w="-29" w:type="dxa"/>
        <w:tblCellMar>
          <w:top w:w="7" w:type="dxa"/>
          <w:left w:w="106" w:type="dxa"/>
          <w:right w:w="59" w:type="dxa"/>
        </w:tblCellMar>
        <w:tblLook w:val="04A0" w:firstRow="1" w:lastRow="0" w:firstColumn="1" w:lastColumn="0" w:noHBand="0" w:noVBand="1"/>
      </w:tblPr>
      <w:tblGrid>
        <w:gridCol w:w="1485"/>
        <w:gridCol w:w="1964"/>
        <w:gridCol w:w="1963"/>
        <w:gridCol w:w="1872"/>
        <w:gridCol w:w="1529"/>
      </w:tblGrid>
      <w:tr w:rsidR="00A34028" w:rsidRPr="003A7DA4" w:rsidTr="00182674">
        <w:trPr>
          <w:trHeight w:val="1392"/>
        </w:trPr>
        <w:tc>
          <w:tcPr>
            <w:tcW w:w="148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6B6BD0" w:rsidRPr="003A7DA4" w:rsidRDefault="003A7DA4" w:rsidP="00F11F02">
            <w:pPr>
              <w:rPr>
                <w:rFonts w:ascii="Times New Roman" w:hAnsi="Times New Roman" w:cs="Times New Roman"/>
                <w:b/>
                <w:bCs/>
                <w:sz w:val="28"/>
              </w:rPr>
            </w:pPr>
          </w:p>
          <w:p w:rsidR="00A34028" w:rsidRPr="003A7DA4" w:rsidRDefault="003A7DA4" w:rsidP="00F11F02">
            <w:pPr>
              <w:rPr>
                <w:rFonts w:ascii="Times New Roman" w:hAnsi="Times New Roman" w:cs="Times New Roman"/>
                <w:b/>
                <w:bCs/>
                <w:sz w:val="28"/>
              </w:rPr>
            </w:pPr>
            <w:r w:rsidRPr="003A7DA4">
              <w:rPr>
                <w:rFonts w:ascii="Times New Roman" w:hAnsi="Times New Roman" w:cs="Times New Roman"/>
                <w:b/>
                <w:bCs/>
                <w:sz w:val="28"/>
              </w:rPr>
              <w:t xml:space="preserve">Presentación del proyecto de ley: </w:t>
            </w:r>
          </w:p>
          <w:p w:rsidR="00A34028" w:rsidRPr="003A7DA4" w:rsidRDefault="003A7DA4" w:rsidP="00067E87">
            <w:pPr>
              <w:pStyle w:val="Prrafodelista"/>
              <w:numPr>
                <w:ilvl w:val="0"/>
                <w:numId w:val="9"/>
              </w:numPr>
              <w:rPr>
                <w:rFonts w:ascii="Times New Roman" w:hAnsi="Times New Roman" w:cs="Times New Roman"/>
              </w:rPr>
            </w:pPr>
          </w:p>
        </w:tc>
        <w:tc>
          <w:tcPr>
            <w:tcW w:w="196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A34028" w:rsidRPr="003A7DA4" w:rsidRDefault="003A7DA4" w:rsidP="00F11F02">
            <w:pPr>
              <w:ind w:right="56"/>
              <w:jc w:val="center"/>
              <w:rPr>
                <w:rFonts w:ascii="Times New Roman" w:hAnsi="Times New Roman" w:cs="Times New Roman"/>
                <w:sz w:val="28"/>
              </w:rPr>
            </w:pPr>
            <w:r w:rsidRPr="003A7DA4">
              <w:rPr>
                <w:rFonts w:ascii="Times New Roman" w:hAnsi="Times New Roman" w:cs="Times New Roman"/>
                <w:b/>
                <w:sz w:val="28"/>
              </w:rPr>
              <w:t xml:space="preserve">Ponencia </w:t>
            </w:r>
          </w:p>
        </w:tc>
        <w:tc>
          <w:tcPr>
            <w:tcW w:w="1963"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A34028" w:rsidRPr="003A7DA4" w:rsidRDefault="003A7DA4" w:rsidP="00F11F02">
            <w:pPr>
              <w:ind w:right="53"/>
              <w:jc w:val="center"/>
              <w:rPr>
                <w:rFonts w:ascii="Times New Roman" w:hAnsi="Times New Roman" w:cs="Times New Roman"/>
                <w:sz w:val="28"/>
              </w:rPr>
            </w:pPr>
            <w:r w:rsidRPr="003A7DA4">
              <w:rPr>
                <w:rFonts w:ascii="Times New Roman" w:hAnsi="Times New Roman" w:cs="Times New Roman"/>
                <w:b/>
                <w:sz w:val="28"/>
              </w:rPr>
              <w:t xml:space="preserve">Anuncio </w:t>
            </w:r>
          </w:p>
        </w:tc>
        <w:tc>
          <w:tcPr>
            <w:tcW w:w="1872"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A34028" w:rsidRPr="003A7DA4" w:rsidRDefault="003A7DA4" w:rsidP="00F11F02">
            <w:pPr>
              <w:jc w:val="center"/>
              <w:rPr>
                <w:rFonts w:ascii="Times New Roman" w:hAnsi="Times New Roman" w:cs="Times New Roman"/>
                <w:sz w:val="28"/>
              </w:rPr>
            </w:pPr>
            <w:r w:rsidRPr="003A7DA4">
              <w:rPr>
                <w:rFonts w:ascii="Times New Roman" w:hAnsi="Times New Roman" w:cs="Times New Roman"/>
                <w:b/>
                <w:sz w:val="28"/>
              </w:rPr>
              <w:t xml:space="preserve">Discusión y aprobación </w:t>
            </w:r>
          </w:p>
        </w:tc>
        <w:tc>
          <w:tcPr>
            <w:tcW w:w="1529"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A34028" w:rsidRPr="003A7DA4" w:rsidRDefault="003A7DA4" w:rsidP="00F11F02">
            <w:pPr>
              <w:ind w:right="53"/>
              <w:jc w:val="center"/>
              <w:rPr>
                <w:rFonts w:ascii="Times New Roman" w:hAnsi="Times New Roman" w:cs="Times New Roman"/>
                <w:sz w:val="28"/>
              </w:rPr>
            </w:pPr>
            <w:r w:rsidRPr="003A7DA4">
              <w:rPr>
                <w:rFonts w:ascii="Times New Roman" w:hAnsi="Times New Roman" w:cs="Times New Roman"/>
                <w:b/>
                <w:sz w:val="28"/>
              </w:rPr>
              <w:t xml:space="preserve">Publicación </w:t>
            </w:r>
          </w:p>
        </w:tc>
      </w:tr>
      <w:tr w:rsidR="00A34028" w:rsidRPr="003A7DA4" w:rsidTr="00182674">
        <w:trPr>
          <w:trHeight w:val="2126"/>
        </w:trPr>
        <w:tc>
          <w:tcPr>
            <w:tcW w:w="1485" w:type="dxa"/>
            <w:tcBorders>
              <w:top w:val="single" w:sz="4" w:space="0" w:color="000000"/>
              <w:left w:val="single" w:sz="4" w:space="0" w:color="000000"/>
              <w:bottom w:val="single" w:sz="4" w:space="0" w:color="000000"/>
              <w:right w:val="single" w:sz="4" w:space="0" w:color="000000"/>
            </w:tcBorders>
            <w:vAlign w:val="center"/>
          </w:tcPr>
          <w:p w:rsidR="00A34028" w:rsidRPr="003A7DA4" w:rsidRDefault="003A7DA4" w:rsidP="00F11F02">
            <w:pPr>
              <w:ind w:left="2" w:right="30"/>
              <w:rPr>
                <w:rFonts w:ascii="Times New Roman" w:hAnsi="Times New Roman" w:cs="Times New Roman"/>
                <w:sz w:val="28"/>
              </w:rPr>
            </w:pPr>
            <w:r w:rsidRPr="003A7DA4">
              <w:rPr>
                <w:rFonts w:ascii="Times New Roman" w:hAnsi="Times New Roman" w:cs="Times New Roman"/>
                <w:b/>
                <w:sz w:val="28"/>
              </w:rPr>
              <w:t xml:space="preserve">Primer debate (Comisión) </w:t>
            </w:r>
          </w:p>
        </w:tc>
        <w:tc>
          <w:tcPr>
            <w:tcW w:w="1964"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right="57"/>
              <w:jc w:val="both"/>
              <w:rPr>
                <w:rFonts w:ascii="Times New Roman" w:hAnsi="Times New Roman" w:cs="Times New Roman"/>
                <w:sz w:val="28"/>
              </w:rPr>
            </w:pPr>
            <w:r w:rsidRPr="003A7DA4">
              <w:rPr>
                <w:rFonts w:ascii="Times New Roman" w:hAnsi="Times New Roman" w:cs="Times New Roman"/>
                <w:sz w:val="28"/>
              </w:rPr>
              <w:t xml:space="preserve">En la Gaceta del Congreso 232 </w:t>
            </w:r>
            <w:r w:rsidRPr="003A7DA4">
              <w:rPr>
                <w:rFonts w:ascii="Times New Roman" w:hAnsi="Times New Roman" w:cs="Times New Roman"/>
                <w:bCs/>
                <w:sz w:val="28"/>
                <w:lang w:val="es-ES_tradnl"/>
              </w:rPr>
              <w:t xml:space="preserve">de diciembre 30 de marzo de 2022 se publicó el texto. </w:t>
            </w:r>
          </w:p>
        </w:tc>
        <w:tc>
          <w:tcPr>
            <w:tcW w:w="1963"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right="53"/>
              <w:jc w:val="both"/>
              <w:rPr>
                <w:rFonts w:ascii="Times New Roman" w:hAnsi="Times New Roman" w:cs="Times New Roman"/>
                <w:sz w:val="28"/>
              </w:rPr>
            </w:pPr>
            <w:r w:rsidRPr="003A7DA4">
              <w:rPr>
                <w:rFonts w:ascii="Times New Roman" w:hAnsi="Times New Roman" w:cs="Times New Roman"/>
                <w:sz w:val="28"/>
              </w:rPr>
              <w:t xml:space="preserve">El 19 de abril de 2022, como consta en el Acta 18, publicada en la Gaceta del Congreso 718 de junio 14 de 2022 (fl. 27), se anunció el proyecto. </w:t>
            </w:r>
          </w:p>
        </w:tc>
        <w:tc>
          <w:tcPr>
            <w:tcW w:w="1872"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left="2" w:right="52"/>
              <w:jc w:val="both"/>
              <w:rPr>
                <w:rFonts w:ascii="Times New Roman" w:hAnsi="Times New Roman" w:cs="Times New Roman"/>
                <w:sz w:val="28"/>
              </w:rPr>
            </w:pPr>
            <w:r w:rsidRPr="003A7DA4">
              <w:rPr>
                <w:rFonts w:ascii="Times New Roman" w:hAnsi="Times New Roman" w:cs="Times New Roman"/>
                <w:sz w:val="28"/>
              </w:rPr>
              <w:t>El debate y la aprobación del proyecto de ley se llevaron a cabo en la sesión del 21 de abril de 2022, según c</w:t>
            </w:r>
            <w:r w:rsidRPr="003A7DA4">
              <w:rPr>
                <w:rFonts w:ascii="Times New Roman" w:hAnsi="Times New Roman" w:cs="Times New Roman"/>
                <w:sz w:val="28"/>
              </w:rPr>
              <w:t xml:space="preserve">onsta en el </w:t>
            </w:r>
            <w:r w:rsidRPr="003A7DA4">
              <w:rPr>
                <w:rFonts w:ascii="Times New Roman" w:hAnsi="Times New Roman" w:cs="Times New Roman"/>
                <w:sz w:val="28"/>
              </w:rPr>
              <w:t>Acta 19, publicada en la Gaceta del Congreso 719 de 14 de junio de 2022 (fls. 5-7)</w:t>
            </w:r>
            <w:r w:rsidRPr="003A7DA4">
              <w:rPr>
                <w:rFonts w:ascii="Times New Roman" w:hAnsi="Times New Roman" w:cs="Times New Roman"/>
                <w:sz w:val="28"/>
              </w:rPr>
              <w:t>.</w:t>
            </w:r>
          </w:p>
        </w:tc>
        <w:tc>
          <w:tcPr>
            <w:tcW w:w="1529"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left="2"/>
              <w:jc w:val="both"/>
              <w:rPr>
                <w:rFonts w:ascii="Times New Roman" w:hAnsi="Times New Roman" w:cs="Times New Roman"/>
                <w:sz w:val="28"/>
              </w:rPr>
            </w:pPr>
            <w:r w:rsidRPr="003A7DA4">
              <w:rPr>
                <w:rFonts w:ascii="Times New Roman" w:hAnsi="Times New Roman" w:cs="Times New Roman"/>
                <w:sz w:val="28"/>
              </w:rPr>
              <w:t xml:space="preserve">Gaceta del Congreso </w:t>
            </w:r>
            <w:r w:rsidRPr="003A7DA4">
              <w:rPr>
                <w:rFonts w:ascii="Times New Roman" w:hAnsi="Times New Roman" w:cs="Times New Roman"/>
                <w:bCs/>
                <w:sz w:val="28"/>
                <w:lang w:val="es-ES_tradnl"/>
              </w:rPr>
              <w:t xml:space="preserve">408 de mayo 4 de 2022 (fls. 20), contiene la publicación respectiva. </w:t>
            </w:r>
          </w:p>
        </w:tc>
      </w:tr>
      <w:tr w:rsidR="00A34028" w:rsidRPr="003A7DA4" w:rsidTr="00182674">
        <w:trPr>
          <w:trHeight w:val="1392"/>
        </w:trPr>
        <w:tc>
          <w:tcPr>
            <w:tcW w:w="1485" w:type="dxa"/>
            <w:tcBorders>
              <w:top w:val="single" w:sz="4" w:space="0" w:color="000000"/>
              <w:left w:val="single" w:sz="4" w:space="0" w:color="000000"/>
              <w:bottom w:val="single" w:sz="4" w:space="0" w:color="000000"/>
              <w:right w:val="single" w:sz="4" w:space="0" w:color="000000"/>
            </w:tcBorders>
            <w:vAlign w:val="center"/>
          </w:tcPr>
          <w:p w:rsidR="00A34028" w:rsidRPr="003A7DA4" w:rsidRDefault="003A7DA4" w:rsidP="00F11F02">
            <w:pPr>
              <w:ind w:left="2"/>
              <w:rPr>
                <w:rFonts w:ascii="Times New Roman" w:hAnsi="Times New Roman" w:cs="Times New Roman"/>
                <w:sz w:val="28"/>
              </w:rPr>
            </w:pPr>
            <w:r w:rsidRPr="003A7DA4">
              <w:rPr>
                <w:rFonts w:ascii="Times New Roman" w:hAnsi="Times New Roman" w:cs="Times New Roman"/>
                <w:b/>
                <w:sz w:val="28"/>
              </w:rPr>
              <w:t xml:space="preserve">Segundo debate (Plenaria) </w:t>
            </w:r>
          </w:p>
        </w:tc>
        <w:tc>
          <w:tcPr>
            <w:tcW w:w="1964"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right="54"/>
              <w:jc w:val="both"/>
              <w:rPr>
                <w:rFonts w:ascii="Times New Roman" w:hAnsi="Times New Roman" w:cs="Times New Roman"/>
                <w:sz w:val="28"/>
              </w:rPr>
            </w:pPr>
            <w:r w:rsidRPr="003A7DA4">
              <w:rPr>
                <w:rFonts w:ascii="Times New Roman" w:hAnsi="Times New Roman" w:cs="Times New Roman"/>
                <w:sz w:val="28"/>
              </w:rPr>
              <w:t xml:space="preserve">Gaceta del Congreso 408 de mayo 4 de 2022 </w:t>
            </w:r>
            <w:r w:rsidRPr="003A7DA4">
              <w:rPr>
                <w:rFonts w:ascii="Times New Roman" w:hAnsi="Times New Roman" w:cs="Times New Roman"/>
                <w:sz w:val="28"/>
              </w:rPr>
              <w:t>(fl. 10).</w:t>
            </w:r>
          </w:p>
          <w:p w:rsidR="00A34028" w:rsidRPr="003A7DA4" w:rsidRDefault="003A7DA4" w:rsidP="002C6398">
            <w:pPr>
              <w:ind w:right="54"/>
              <w:jc w:val="both"/>
              <w:rPr>
                <w:rFonts w:ascii="Times New Roman" w:hAnsi="Times New Roman" w:cs="Times New Roman"/>
                <w:sz w:val="28"/>
                <w:szCs w:val="20"/>
              </w:rPr>
            </w:pPr>
            <w:r w:rsidRPr="003A7DA4">
              <w:rPr>
                <w:rFonts w:ascii="Times New Roman" w:hAnsi="Times New Roman" w:cs="Times New Roman"/>
                <w:sz w:val="28"/>
                <w:szCs w:val="20"/>
                <w:lang w:val="es-ES_tradnl"/>
              </w:rPr>
              <w:t>Se debe señalar que, mediante Gaceta 538 de mayo 19 de 2022 se realizó nota aclaratoria al informe de ponencia para segundo debate al Proyecto de Ley Número 277 de 2021 Senado.</w:t>
            </w:r>
          </w:p>
        </w:tc>
        <w:tc>
          <w:tcPr>
            <w:tcW w:w="1963"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right="48"/>
              <w:jc w:val="both"/>
              <w:rPr>
                <w:rFonts w:ascii="Times New Roman" w:hAnsi="Times New Roman" w:cs="Times New Roman"/>
                <w:sz w:val="28"/>
              </w:rPr>
            </w:pPr>
            <w:r w:rsidRPr="003A7DA4">
              <w:rPr>
                <w:rFonts w:ascii="Times New Roman" w:hAnsi="Times New Roman" w:cs="Times New Roman"/>
                <w:sz w:val="28"/>
              </w:rPr>
              <w:t>E</w:t>
            </w:r>
            <w:r w:rsidRPr="003A7DA4">
              <w:rPr>
                <w:rFonts w:ascii="Times New Roman" w:hAnsi="Times New Roman" w:cs="Times New Roman"/>
                <w:sz w:val="28"/>
              </w:rPr>
              <w:t xml:space="preserve">l anuncio previo al debate se llevó a cabo el 11 de agosto de 2022, </w:t>
            </w:r>
            <w:r w:rsidRPr="003A7DA4">
              <w:rPr>
                <w:rFonts w:ascii="Times New Roman" w:hAnsi="Times New Roman" w:cs="Times New Roman"/>
                <w:sz w:val="28"/>
              </w:rPr>
              <w:t>como consta en el Acta 05, publicada en la Gaceta 1103 del 19 de septiembre de 2022 (fl. 20)</w:t>
            </w:r>
          </w:p>
        </w:tc>
        <w:tc>
          <w:tcPr>
            <w:tcW w:w="1872"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left="2" w:right="49"/>
              <w:jc w:val="both"/>
              <w:rPr>
                <w:rFonts w:ascii="Times New Roman" w:hAnsi="Times New Roman" w:cs="Times New Roman"/>
                <w:sz w:val="28"/>
              </w:rPr>
            </w:pPr>
            <w:r w:rsidRPr="003A7DA4">
              <w:rPr>
                <w:rFonts w:ascii="Times New Roman" w:hAnsi="Times New Roman" w:cs="Times New Roman"/>
                <w:sz w:val="28"/>
                <w:szCs w:val="20"/>
              </w:rPr>
              <w:t>La votación del texto del proyecto de ley se llevó a cabo el 16 de agosto de 2022. Gaceta</w:t>
            </w:r>
            <w:r w:rsidRPr="003A7DA4">
              <w:rPr>
                <w:rFonts w:ascii="Times New Roman" w:hAnsi="Times New Roman" w:cs="Times New Roman"/>
                <w:sz w:val="28"/>
              </w:rPr>
              <w:t xml:space="preserve"> 1286 de octubre 20 de 2022 (fl. 20-23)</w:t>
            </w:r>
          </w:p>
        </w:tc>
        <w:tc>
          <w:tcPr>
            <w:tcW w:w="1529" w:type="dxa"/>
            <w:tcBorders>
              <w:top w:val="single" w:sz="4" w:space="0" w:color="000000"/>
              <w:left w:val="single" w:sz="4" w:space="0" w:color="000000"/>
              <w:bottom w:val="single" w:sz="4" w:space="0" w:color="000000"/>
              <w:right w:val="single" w:sz="4" w:space="0" w:color="000000"/>
            </w:tcBorders>
          </w:tcPr>
          <w:p w:rsidR="00A34028" w:rsidRPr="003A7DA4" w:rsidRDefault="003A7DA4" w:rsidP="002C6398">
            <w:pPr>
              <w:ind w:left="2"/>
              <w:jc w:val="both"/>
              <w:rPr>
                <w:rFonts w:ascii="Times New Roman" w:hAnsi="Times New Roman" w:cs="Times New Roman"/>
                <w:sz w:val="28"/>
                <w:szCs w:val="20"/>
              </w:rPr>
            </w:pPr>
            <w:r w:rsidRPr="003A7DA4">
              <w:rPr>
                <w:rFonts w:ascii="Times New Roman" w:hAnsi="Times New Roman" w:cs="Times New Roman"/>
                <w:sz w:val="28"/>
                <w:szCs w:val="20"/>
              </w:rPr>
              <w:t>Gaceta del Congreso 928 de</w:t>
            </w:r>
            <w:r w:rsidRPr="003A7DA4">
              <w:rPr>
                <w:rFonts w:ascii="Times New Roman" w:hAnsi="Times New Roman" w:cs="Times New Roman"/>
                <w:sz w:val="28"/>
                <w:szCs w:val="20"/>
              </w:rPr>
              <w:t xml:space="preserve">l </w:t>
            </w:r>
            <w:r w:rsidRPr="003A7DA4">
              <w:rPr>
                <w:rFonts w:ascii="Times New Roman" w:hAnsi="Times New Roman" w:cs="Times New Roman"/>
                <w:sz w:val="28"/>
                <w:szCs w:val="20"/>
              </w:rPr>
              <w:t xml:space="preserve">18 de agosto de 2022 (fl. 8), contiene la publicación del texto. </w:t>
            </w:r>
          </w:p>
        </w:tc>
      </w:tr>
    </w:tbl>
    <w:p w:rsidR="00A34028" w:rsidRPr="003A7DA4" w:rsidRDefault="003A7DA4" w:rsidP="00A34028">
      <w:pPr>
        <w:ind w:left="720" w:hanging="360"/>
        <w:rPr>
          <w:rFonts w:ascii="Times New Roman" w:hAnsi="Times New Roman" w:cs="Times New Roman"/>
          <w:sz w:val="28"/>
        </w:rPr>
      </w:pPr>
    </w:p>
    <w:p w:rsidR="001E60EC" w:rsidRPr="003A7DA4" w:rsidRDefault="003A7DA4" w:rsidP="003308EF">
      <w:pPr>
        <w:numPr>
          <w:ilvl w:val="0"/>
          <w:numId w:val="8"/>
        </w:numPr>
        <w:tabs>
          <w:tab w:val="left" w:pos="567"/>
        </w:tabs>
        <w:ind w:left="0" w:right="49" w:firstLine="0"/>
        <w:jc w:val="both"/>
        <w:rPr>
          <w:rFonts w:ascii="Times New Roman" w:hAnsi="Times New Roman" w:cs="Times New Roman"/>
          <w:b/>
          <w:bCs/>
          <w:sz w:val="28"/>
          <w:szCs w:val="28"/>
        </w:rPr>
      </w:pPr>
      <w:r w:rsidRPr="003A7DA4">
        <w:rPr>
          <w:rFonts w:ascii="Times New Roman" w:hAnsi="Times New Roman" w:cs="Times New Roman"/>
          <w:sz w:val="28"/>
          <w:szCs w:val="28"/>
        </w:rPr>
        <w:t>El trámite que se surtió tanto en la comisión como en la sesión plenaria de la Cámara de Representantes puede evidenciarse en las actas de las sesiones y en las gacetas respectivas del Con</w:t>
      </w:r>
      <w:r w:rsidRPr="003A7DA4">
        <w:rPr>
          <w:rFonts w:ascii="Times New Roman" w:hAnsi="Times New Roman" w:cs="Times New Roman"/>
          <w:sz w:val="28"/>
          <w:szCs w:val="28"/>
        </w:rPr>
        <w:t xml:space="preserve">greso, así: </w:t>
      </w:r>
    </w:p>
    <w:p w:rsidR="00295A78" w:rsidRPr="003A7DA4" w:rsidRDefault="003A7DA4" w:rsidP="00295A78">
      <w:pPr>
        <w:tabs>
          <w:tab w:val="left" w:pos="567"/>
        </w:tabs>
        <w:ind w:right="49"/>
        <w:jc w:val="both"/>
        <w:rPr>
          <w:rFonts w:ascii="Times New Roman" w:hAnsi="Times New Roman" w:cs="Times New Roman"/>
          <w:b/>
          <w:bCs/>
          <w:sz w:val="28"/>
          <w:szCs w:val="28"/>
        </w:rPr>
      </w:pPr>
    </w:p>
    <w:p w:rsidR="001E60EC" w:rsidRPr="003A7DA4" w:rsidRDefault="003A7DA4" w:rsidP="001E60EC">
      <w:pPr>
        <w:rPr>
          <w:rFonts w:ascii="Times New Roman" w:hAnsi="Times New Roman" w:cs="Times New Roman"/>
          <w:sz w:val="28"/>
        </w:rPr>
      </w:pPr>
      <w:r w:rsidRPr="003A7DA4">
        <w:rPr>
          <w:rFonts w:ascii="Times New Roman" w:hAnsi="Times New Roman" w:cs="Times New Roman"/>
          <w:sz w:val="28"/>
        </w:rPr>
        <w:t xml:space="preserve"> </w:t>
      </w:r>
    </w:p>
    <w:tbl>
      <w:tblPr>
        <w:tblStyle w:val="TableGrid"/>
        <w:tblW w:w="8922" w:type="dxa"/>
        <w:tblInd w:w="-41" w:type="dxa"/>
        <w:tblCellMar>
          <w:top w:w="7" w:type="dxa"/>
          <w:left w:w="108" w:type="dxa"/>
          <w:right w:w="56" w:type="dxa"/>
        </w:tblCellMar>
        <w:tblLook w:val="04A0" w:firstRow="1" w:lastRow="0" w:firstColumn="1" w:lastColumn="0" w:noHBand="0" w:noVBand="1"/>
      </w:tblPr>
      <w:tblGrid>
        <w:gridCol w:w="1423"/>
        <w:gridCol w:w="1985"/>
        <w:gridCol w:w="1990"/>
        <w:gridCol w:w="1762"/>
        <w:gridCol w:w="1762"/>
      </w:tblGrid>
      <w:tr w:rsidR="001E60EC" w:rsidRPr="003A7DA4" w:rsidTr="00F11F02">
        <w:trPr>
          <w:trHeight w:val="468"/>
        </w:trPr>
        <w:tc>
          <w:tcPr>
            <w:tcW w:w="1423"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1E60EC" w:rsidRPr="003A7DA4" w:rsidRDefault="003A7DA4" w:rsidP="00F11F02">
            <w:pPr>
              <w:ind w:left="47"/>
              <w:jc w:val="center"/>
              <w:rPr>
                <w:rFonts w:ascii="Times New Roman" w:hAnsi="Times New Roman" w:cs="Times New Roman"/>
                <w:sz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1E60EC" w:rsidRPr="003A7DA4" w:rsidRDefault="003A7DA4" w:rsidP="00F11F02">
            <w:pPr>
              <w:ind w:right="5"/>
              <w:jc w:val="center"/>
              <w:rPr>
                <w:rFonts w:ascii="Times New Roman" w:hAnsi="Times New Roman" w:cs="Times New Roman"/>
                <w:sz w:val="28"/>
              </w:rPr>
            </w:pPr>
            <w:r w:rsidRPr="003A7DA4">
              <w:rPr>
                <w:rFonts w:ascii="Times New Roman" w:hAnsi="Times New Roman" w:cs="Times New Roman"/>
                <w:b/>
                <w:sz w:val="28"/>
              </w:rPr>
              <w:t xml:space="preserve">Ponencia </w:t>
            </w:r>
          </w:p>
        </w:tc>
        <w:tc>
          <w:tcPr>
            <w:tcW w:w="1990"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1E60EC" w:rsidRPr="003A7DA4" w:rsidRDefault="003A7DA4" w:rsidP="00F11F02">
            <w:pPr>
              <w:ind w:right="4"/>
              <w:jc w:val="center"/>
              <w:rPr>
                <w:rFonts w:ascii="Times New Roman" w:hAnsi="Times New Roman" w:cs="Times New Roman"/>
                <w:sz w:val="28"/>
              </w:rPr>
            </w:pPr>
            <w:r w:rsidRPr="003A7DA4">
              <w:rPr>
                <w:rFonts w:ascii="Times New Roman" w:hAnsi="Times New Roman" w:cs="Times New Roman"/>
                <w:b/>
                <w:sz w:val="28"/>
              </w:rPr>
              <w:t xml:space="preserve">Anuncio </w:t>
            </w:r>
          </w:p>
        </w:tc>
        <w:tc>
          <w:tcPr>
            <w:tcW w:w="1762"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1E60EC" w:rsidRPr="003A7DA4" w:rsidRDefault="003A7DA4" w:rsidP="00F11F02">
            <w:pPr>
              <w:jc w:val="center"/>
              <w:rPr>
                <w:rFonts w:ascii="Times New Roman" w:hAnsi="Times New Roman" w:cs="Times New Roman"/>
                <w:sz w:val="28"/>
              </w:rPr>
            </w:pPr>
            <w:r w:rsidRPr="003A7DA4">
              <w:rPr>
                <w:rFonts w:ascii="Times New Roman" w:hAnsi="Times New Roman" w:cs="Times New Roman"/>
                <w:b/>
                <w:sz w:val="28"/>
              </w:rPr>
              <w:t xml:space="preserve">Discusión y aprobación </w:t>
            </w:r>
          </w:p>
        </w:tc>
        <w:tc>
          <w:tcPr>
            <w:tcW w:w="1762"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1E60EC" w:rsidRPr="003A7DA4" w:rsidRDefault="003A7DA4" w:rsidP="00F11F02">
            <w:pPr>
              <w:ind w:right="6"/>
              <w:jc w:val="center"/>
              <w:rPr>
                <w:rFonts w:ascii="Times New Roman" w:hAnsi="Times New Roman" w:cs="Times New Roman"/>
                <w:sz w:val="28"/>
              </w:rPr>
            </w:pPr>
            <w:r w:rsidRPr="003A7DA4">
              <w:rPr>
                <w:rFonts w:ascii="Times New Roman" w:hAnsi="Times New Roman" w:cs="Times New Roman"/>
                <w:b/>
                <w:sz w:val="28"/>
              </w:rPr>
              <w:t xml:space="preserve">Publicación </w:t>
            </w:r>
          </w:p>
        </w:tc>
      </w:tr>
      <w:tr w:rsidR="001E60EC" w:rsidRPr="003A7DA4" w:rsidTr="00F11F02">
        <w:trPr>
          <w:trHeight w:val="2244"/>
        </w:trPr>
        <w:tc>
          <w:tcPr>
            <w:tcW w:w="1423" w:type="dxa"/>
            <w:tcBorders>
              <w:top w:val="single" w:sz="4" w:space="0" w:color="000000"/>
              <w:left w:val="single" w:sz="4" w:space="0" w:color="000000"/>
              <w:bottom w:val="single" w:sz="4" w:space="0" w:color="000000"/>
              <w:right w:val="single" w:sz="4" w:space="0" w:color="000000"/>
            </w:tcBorders>
            <w:vAlign w:val="center"/>
          </w:tcPr>
          <w:p w:rsidR="001E60EC" w:rsidRPr="003A7DA4" w:rsidRDefault="003A7DA4" w:rsidP="00F11F02">
            <w:pPr>
              <w:ind w:right="37"/>
              <w:rPr>
                <w:rFonts w:ascii="Times New Roman" w:hAnsi="Times New Roman" w:cs="Times New Roman"/>
                <w:sz w:val="28"/>
              </w:rPr>
            </w:pPr>
            <w:r w:rsidRPr="003A7DA4">
              <w:rPr>
                <w:rFonts w:ascii="Times New Roman" w:hAnsi="Times New Roman" w:cs="Times New Roman"/>
                <w:b/>
                <w:sz w:val="28"/>
              </w:rPr>
              <w:t xml:space="preserve">Primer debate (Comisión) </w:t>
            </w:r>
          </w:p>
        </w:tc>
        <w:tc>
          <w:tcPr>
            <w:tcW w:w="1985"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52"/>
              <w:jc w:val="both"/>
              <w:rPr>
                <w:rFonts w:ascii="Times New Roman" w:hAnsi="Times New Roman" w:cs="Times New Roman"/>
                <w:sz w:val="28"/>
              </w:rPr>
            </w:pPr>
            <w:r w:rsidRPr="003A7DA4">
              <w:rPr>
                <w:rFonts w:ascii="Times New Roman" w:hAnsi="Times New Roman" w:cs="Times New Roman"/>
                <w:sz w:val="28"/>
              </w:rPr>
              <w:t xml:space="preserve">Gaceta del Congreso 1246 </w:t>
            </w:r>
            <w:r w:rsidRPr="003A7DA4">
              <w:rPr>
                <w:rFonts w:ascii="Times New Roman" w:hAnsi="Times New Roman" w:cs="Times New Roman"/>
                <w:bCs/>
                <w:sz w:val="28"/>
                <w:lang w:val="es-ES_tradnl"/>
              </w:rPr>
              <w:t>de octubre 13 de 2022 (fls.</w:t>
            </w:r>
            <w:r w:rsidRPr="003A7DA4">
              <w:rPr>
                <w:rFonts w:ascii="Times New Roman" w:hAnsi="Times New Roman" w:cs="Times New Roman"/>
                <w:sz w:val="28"/>
                <w:lang w:val="es-ES_tradnl"/>
              </w:rPr>
              <w:t xml:space="preserve"> 1-13), contiene la ponencia respectiva. </w:t>
            </w:r>
          </w:p>
        </w:tc>
        <w:tc>
          <w:tcPr>
            <w:tcW w:w="1990"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50"/>
              <w:jc w:val="both"/>
              <w:rPr>
                <w:rFonts w:ascii="Times New Roman" w:hAnsi="Times New Roman" w:cs="Times New Roman"/>
                <w:sz w:val="28"/>
              </w:rPr>
            </w:pPr>
            <w:r w:rsidRPr="003A7DA4">
              <w:rPr>
                <w:rFonts w:ascii="Times New Roman" w:hAnsi="Times New Roman" w:cs="Times New Roman"/>
                <w:sz w:val="28"/>
                <w:lang w:val="es-MX"/>
              </w:rPr>
              <w:t xml:space="preserve">Acta No 10 del 1°noviembre  de 2022. </w:t>
            </w:r>
            <w:r w:rsidRPr="003A7DA4">
              <w:rPr>
                <w:rFonts w:ascii="Times New Roman" w:hAnsi="Times New Roman" w:cs="Times New Roman"/>
                <w:sz w:val="28"/>
              </w:rPr>
              <w:t xml:space="preserve">Gaceta del Congreso 464 de mayo 11 de 2023, contiene el anuncio del proyecto. </w:t>
            </w:r>
          </w:p>
        </w:tc>
        <w:tc>
          <w:tcPr>
            <w:tcW w:w="1762"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jc w:val="both"/>
              <w:rPr>
                <w:rFonts w:ascii="Times New Roman" w:hAnsi="Times New Roman" w:cs="Times New Roman"/>
                <w:sz w:val="28"/>
              </w:rPr>
            </w:pPr>
            <w:r w:rsidRPr="003A7DA4">
              <w:rPr>
                <w:rFonts w:ascii="Times New Roman" w:hAnsi="Times New Roman" w:cs="Times New Roman"/>
                <w:sz w:val="28"/>
              </w:rPr>
              <w:t xml:space="preserve">El debate y la aprobación del proyecto de ley se llevaron a cabo en la sesión del 16 de noviembre de 2022, según da cuenta el </w:t>
            </w:r>
            <w:r w:rsidRPr="003A7DA4">
              <w:rPr>
                <w:rFonts w:ascii="Times New Roman" w:hAnsi="Times New Roman" w:cs="Times New Roman"/>
                <w:sz w:val="28"/>
              </w:rPr>
              <w:t xml:space="preserve">Acta 11 del 16 de noviembre de 2022, publicada </w:t>
            </w:r>
            <w:r w:rsidRPr="003A7DA4">
              <w:rPr>
                <w:rFonts w:ascii="Times New Roman" w:hAnsi="Times New Roman" w:cs="Times New Roman"/>
                <w:sz w:val="28"/>
              </w:rPr>
              <w:t>en l</w:t>
            </w:r>
            <w:r w:rsidRPr="003A7DA4">
              <w:rPr>
                <w:rFonts w:ascii="Times New Roman" w:hAnsi="Times New Roman" w:cs="Times New Roman"/>
                <w:sz w:val="28"/>
              </w:rPr>
              <w:t xml:space="preserve">a </w:t>
            </w:r>
            <w:r w:rsidRPr="003A7DA4">
              <w:rPr>
                <w:rFonts w:ascii="Times New Roman" w:hAnsi="Times New Roman" w:cs="Times New Roman"/>
                <w:sz w:val="28"/>
              </w:rPr>
              <w:t xml:space="preserve">Gaceta del Congreso 469 de mayo 11 de 2023 (fls. 4-7). </w:t>
            </w:r>
          </w:p>
        </w:tc>
        <w:tc>
          <w:tcPr>
            <w:tcW w:w="1762"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51"/>
              <w:jc w:val="both"/>
              <w:rPr>
                <w:rFonts w:ascii="Times New Roman" w:hAnsi="Times New Roman" w:cs="Times New Roman"/>
                <w:sz w:val="28"/>
                <w:szCs w:val="20"/>
              </w:rPr>
            </w:pPr>
            <w:r w:rsidRPr="003A7DA4">
              <w:rPr>
                <w:rFonts w:ascii="Times New Roman" w:hAnsi="Times New Roman" w:cs="Times New Roman"/>
                <w:sz w:val="28"/>
                <w:szCs w:val="20"/>
              </w:rPr>
              <w:t xml:space="preserve">Gaceta del Congreso </w:t>
            </w:r>
            <w:r w:rsidRPr="003A7DA4">
              <w:rPr>
                <w:rFonts w:ascii="Times New Roman" w:hAnsi="Times New Roman" w:cs="Times New Roman"/>
                <w:bCs/>
                <w:sz w:val="28"/>
                <w:szCs w:val="20"/>
                <w:lang w:val="es-ES_tradnl" w:eastAsia="es-ES"/>
              </w:rPr>
              <w:t xml:space="preserve">1523 de noviembre 28 de 2022 (fls. 18), en la que se </w:t>
            </w:r>
            <w:r w:rsidRPr="003A7DA4">
              <w:rPr>
                <w:rFonts w:ascii="Times New Roman" w:hAnsi="Times New Roman" w:cs="Times New Roman"/>
                <w:bCs/>
                <w:sz w:val="28"/>
                <w:szCs w:val="20"/>
                <w:lang w:val="es-ES_tradnl" w:eastAsia="es-ES"/>
              </w:rPr>
              <w:t>encuentra</w:t>
            </w:r>
            <w:r w:rsidRPr="003A7DA4">
              <w:rPr>
                <w:rFonts w:ascii="Times New Roman" w:hAnsi="Times New Roman" w:cs="Times New Roman"/>
                <w:bCs/>
                <w:sz w:val="28"/>
                <w:szCs w:val="20"/>
                <w:lang w:val="es-ES_tradnl" w:eastAsia="es-ES"/>
              </w:rPr>
              <w:t xml:space="preserve"> publicado el proyecto. </w:t>
            </w:r>
          </w:p>
        </w:tc>
      </w:tr>
      <w:tr w:rsidR="001E60EC" w:rsidRPr="003A7DA4" w:rsidTr="00F11F02">
        <w:trPr>
          <w:trHeight w:val="1620"/>
        </w:trPr>
        <w:tc>
          <w:tcPr>
            <w:tcW w:w="1423" w:type="dxa"/>
            <w:tcBorders>
              <w:top w:val="single" w:sz="4" w:space="0" w:color="000000"/>
              <w:left w:val="single" w:sz="4" w:space="0" w:color="000000"/>
              <w:bottom w:val="single" w:sz="4" w:space="0" w:color="000000"/>
              <w:right w:val="single" w:sz="4" w:space="0" w:color="000000"/>
            </w:tcBorders>
            <w:vAlign w:val="center"/>
          </w:tcPr>
          <w:p w:rsidR="001E60EC" w:rsidRPr="003A7DA4" w:rsidRDefault="003A7DA4" w:rsidP="00F11F02">
            <w:pPr>
              <w:rPr>
                <w:rFonts w:ascii="Times New Roman" w:hAnsi="Times New Roman" w:cs="Times New Roman"/>
                <w:sz w:val="28"/>
              </w:rPr>
            </w:pPr>
            <w:r w:rsidRPr="003A7DA4">
              <w:rPr>
                <w:rFonts w:ascii="Times New Roman" w:hAnsi="Times New Roman" w:cs="Times New Roman"/>
                <w:b/>
                <w:sz w:val="28"/>
              </w:rPr>
              <w:t xml:space="preserve">Segundo debate (Plenaria) </w:t>
            </w:r>
          </w:p>
        </w:tc>
        <w:tc>
          <w:tcPr>
            <w:tcW w:w="1985"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52"/>
              <w:jc w:val="both"/>
              <w:rPr>
                <w:rFonts w:ascii="Times New Roman" w:hAnsi="Times New Roman" w:cs="Times New Roman"/>
                <w:sz w:val="28"/>
              </w:rPr>
            </w:pPr>
            <w:r w:rsidRPr="003A7DA4">
              <w:rPr>
                <w:rFonts w:ascii="Times New Roman" w:hAnsi="Times New Roman" w:cs="Times New Roman"/>
                <w:sz w:val="28"/>
              </w:rPr>
              <w:t xml:space="preserve">Gaceta del Congreso </w:t>
            </w:r>
            <w:r w:rsidRPr="003A7DA4">
              <w:rPr>
                <w:rFonts w:ascii="Times New Roman" w:hAnsi="Times New Roman" w:cs="Times New Roman"/>
                <w:bCs/>
                <w:sz w:val="28"/>
                <w:lang w:val="es-ES_tradnl"/>
              </w:rPr>
              <w:t xml:space="preserve">1523 de noviembre 28 de 2022 (fls. 9-17), </w:t>
            </w:r>
            <w:r w:rsidRPr="003A7DA4">
              <w:rPr>
                <w:rFonts w:ascii="Times New Roman" w:hAnsi="Times New Roman" w:cs="Times New Roman"/>
                <w:bCs/>
                <w:sz w:val="28"/>
                <w:lang w:val="es-ES_tradnl"/>
              </w:rPr>
              <w:t>que contiene la ponencia respectiva.</w:t>
            </w:r>
          </w:p>
        </w:tc>
        <w:tc>
          <w:tcPr>
            <w:tcW w:w="1990"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49"/>
              <w:jc w:val="both"/>
              <w:rPr>
                <w:rFonts w:ascii="Times New Roman" w:hAnsi="Times New Roman" w:cs="Times New Roman"/>
                <w:sz w:val="28"/>
              </w:rPr>
            </w:pPr>
            <w:r w:rsidRPr="003A7DA4">
              <w:rPr>
                <w:rFonts w:ascii="Times New Roman" w:hAnsi="Times New Roman" w:cs="Times New Roman"/>
                <w:sz w:val="28"/>
              </w:rPr>
              <w:t xml:space="preserve">Acta 35 del 30 de noviembre de 2022, publicada en la </w:t>
            </w:r>
          </w:p>
          <w:p w:rsidR="001E60EC" w:rsidRPr="003A7DA4" w:rsidRDefault="003A7DA4" w:rsidP="002C6398">
            <w:pPr>
              <w:jc w:val="both"/>
              <w:rPr>
                <w:rFonts w:ascii="Times New Roman" w:hAnsi="Times New Roman" w:cs="Times New Roman"/>
                <w:sz w:val="28"/>
              </w:rPr>
            </w:pPr>
            <w:r w:rsidRPr="003A7DA4">
              <w:rPr>
                <w:rFonts w:ascii="Times New Roman" w:hAnsi="Times New Roman" w:cs="Times New Roman"/>
                <w:sz w:val="28"/>
              </w:rPr>
              <w:t xml:space="preserve">Gaceta del Congreso 352 de1 20 de abril de </w:t>
            </w:r>
          </w:p>
          <w:p w:rsidR="001E60EC" w:rsidRPr="003A7DA4" w:rsidRDefault="003A7DA4" w:rsidP="002C6398">
            <w:pPr>
              <w:jc w:val="both"/>
              <w:rPr>
                <w:rFonts w:ascii="Times New Roman" w:hAnsi="Times New Roman" w:cs="Times New Roman"/>
                <w:sz w:val="28"/>
              </w:rPr>
            </w:pPr>
            <w:r w:rsidRPr="003A7DA4">
              <w:rPr>
                <w:rFonts w:ascii="Times New Roman" w:hAnsi="Times New Roman" w:cs="Times New Roman"/>
                <w:sz w:val="28"/>
              </w:rPr>
              <w:t xml:space="preserve">2023, contiene el anuncio del proyecto. </w:t>
            </w:r>
          </w:p>
        </w:tc>
        <w:tc>
          <w:tcPr>
            <w:tcW w:w="1762"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ind w:right="54"/>
              <w:jc w:val="both"/>
              <w:rPr>
                <w:rFonts w:ascii="Times New Roman" w:hAnsi="Times New Roman" w:cs="Times New Roman"/>
                <w:sz w:val="28"/>
              </w:rPr>
            </w:pPr>
            <w:r w:rsidRPr="003A7DA4">
              <w:rPr>
                <w:rFonts w:ascii="Times New Roman" w:hAnsi="Times New Roman" w:cs="Times New Roman"/>
                <w:sz w:val="28"/>
              </w:rPr>
              <w:t xml:space="preserve">La votación del texto del proyecto de ley se llevó a cabo el 5 de diciembre de </w:t>
            </w:r>
            <w:r w:rsidRPr="003A7DA4">
              <w:rPr>
                <w:rFonts w:ascii="Times New Roman" w:hAnsi="Times New Roman" w:cs="Times New Roman"/>
                <w:sz w:val="28"/>
              </w:rPr>
              <w:t>2022 según da cuenta el A</w:t>
            </w:r>
            <w:r w:rsidRPr="003A7DA4">
              <w:rPr>
                <w:rFonts w:ascii="Times New Roman" w:hAnsi="Times New Roman" w:cs="Times New Roman"/>
                <w:sz w:val="28"/>
              </w:rPr>
              <w:t xml:space="preserve">cta 36 del 5 de diciembre de 2022, publicada en la </w:t>
            </w:r>
            <w:r w:rsidRPr="003A7DA4">
              <w:rPr>
                <w:rFonts w:ascii="Times New Roman" w:hAnsi="Times New Roman" w:cs="Times New Roman"/>
                <w:sz w:val="28"/>
              </w:rPr>
              <w:t xml:space="preserve"> </w:t>
            </w:r>
            <w:r w:rsidRPr="003A7DA4">
              <w:rPr>
                <w:rFonts w:ascii="Times New Roman" w:hAnsi="Times New Roman" w:cs="Times New Roman"/>
                <w:sz w:val="28"/>
              </w:rPr>
              <w:t>Gaceta 298 del 12 de abril de 2023.</w:t>
            </w:r>
          </w:p>
        </w:tc>
        <w:tc>
          <w:tcPr>
            <w:tcW w:w="1762" w:type="dxa"/>
            <w:tcBorders>
              <w:top w:val="single" w:sz="4" w:space="0" w:color="000000"/>
              <w:left w:val="single" w:sz="4" w:space="0" w:color="000000"/>
              <w:bottom w:val="single" w:sz="4" w:space="0" w:color="000000"/>
              <w:right w:val="single" w:sz="4" w:space="0" w:color="000000"/>
            </w:tcBorders>
          </w:tcPr>
          <w:p w:rsidR="001E60EC" w:rsidRPr="003A7DA4" w:rsidRDefault="003A7DA4" w:rsidP="002C6398">
            <w:pPr>
              <w:tabs>
                <w:tab w:val="right" w:pos="1598"/>
              </w:tabs>
              <w:jc w:val="both"/>
              <w:rPr>
                <w:rFonts w:ascii="Times New Roman" w:hAnsi="Times New Roman" w:cs="Times New Roman"/>
                <w:sz w:val="28"/>
              </w:rPr>
            </w:pPr>
            <w:r w:rsidRPr="003A7DA4">
              <w:rPr>
                <w:rFonts w:ascii="Times New Roman" w:hAnsi="Times New Roman" w:cs="Times New Roman"/>
                <w:sz w:val="28"/>
              </w:rPr>
              <w:t xml:space="preserve">Gaceta </w:t>
            </w:r>
            <w:r w:rsidRPr="003A7DA4">
              <w:rPr>
                <w:rFonts w:ascii="Times New Roman" w:hAnsi="Times New Roman" w:cs="Times New Roman"/>
                <w:sz w:val="28"/>
              </w:rPr>
              <w:tab/>
              <w:t xml:space="preserve">del </w:t>
            </w:r>
          </w:p>
          <w:p w:rsidR="001E60EC" w:rsidRPr="003A7DA4" w:rsidRDefault="003A7DA4" w:rsidP="002C6398">
            <w:pPr>
              <w:ind w:right="50"/>
              <w:jc w:val="both"/>
              <w:rPr>
                <w:rFonts w:ascii="Times New Roman" w:hAnsi="Times New Roman" w:cs="Times New Roman"/>
                <w:sz w:val="28"/>
              </w:rPr>
            </w:pPr>
            <w:r w:rsidRPr="003A7DA4">
              <w:rPr>
                <w:rFonts w:ascii="Times New Roman" w:hAnsi="Times New Roman" w:cs="Times New Roman"/>
                <w:sz w:val="28"/>
              </w:rPr>
              <w:t>Congreso 1736 del 29 de diciembre de 2022, contiene la publicación del proyecto.</w:t>
            </w:r>
          </w:p>
        </w:tc>
      </w:tr>
    </w:tbl>
    <w:p w:rsidR="001E60EC" w:rsidRPr="003A7DA4" w:rsidRDefault="003A7DA4" w:rsidP="00EC4959">
      <w:pPr>
        <w:tabs>
          <w:tab w:val="left" w:pos="1020"/>
        </w:tabs>
        <w:rPr>
          <w:rFonts w:ascii="Times New Roman" w:hAnsi="Times New Roman" w:cs="Times New Roman"/>
          <w:color w:val="000000" w:themeColor="text1"/>
          <w:sz w:val="28"/>
          <w:szCs w:val="28"/>
          <w:lang w:val="es-ES_tradnl" w:eastAsia="es-ES"/>
        </w:rPr>
      </w:pPr>
    </w:p>
    <w:p w:rsidR="00EC4959" w:rsidRPr="003A7DA4" w:rsidRDefault="003A7DA4" w:rsidP="001B6BCF">
      <w:pPr>
        <w:jc w:val="both"/>
        <w:rPr>
          <w:rFonts w:ascii="Times New Roman" w:hAnsi="Times New Roman" w:cs="Times New Roman"/>
          <w:sz w:val="28"/>
        </w:rPr>
      </w:pPr>
      <w:r w:rsidRPr="003A7DA4">
        <w:rPr>
          <w:rFonts w:ascii="Times New Roman" w:hAnsi="Times New Roman" w:cs="Times New Roman"/>
          <w:b/>
          <w:bCs/>
          <w:sz w:val="28"/>
          <w:szCs w:val="28"/>
        </w:rPr>
        <w:t xml:space="preserve">Análisis del impacto fiscal sobre el proyecto </w:t>
      </w:r>
      <w:r w:rsidRPr="003A7DA4">
        <w:rPr>
          <w:rFonts w:ascii="Times New Roman" w:hAnsi="Times New Roman" w:cs="Times New Roman"/>
          <w:b/>
          <w:bCs/>
          <w:sz w:val="28"/>
          <w:szCs w:val="28"/>
        </w:rPr>
        <w:t>de ley. Reiteración de jurisprudencia</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lang w:val="es-ES_tradnl" w:eastAsia="es-ES"/>
        </w:rPr>
        <w:t xml:space="preserve">De acuerdo con el artículo 7 de la Ley 819 de 2003, en todo proyecto de ley que se ordene un gasto o que se otorguen beneficios tributarios debe hacerse explícito el impacto fiscal de la propuesta, lo cual debe ser </w:t>
      </w:r>
      <w:r w:rsidRPr="003A7DA4">
        <w:rPr>
          <w:rFonts w:ascii="Times New Roman" w:hAnsi="Times New Roman" w:cs="Times New Roman"/>
          <w:color w:val="000000" w:themeColor="text1"/>
          <w:sz w:val="28"/>
          <w:szCs w:val="28"/>
          <w:lang w:val="es-ES_tradnl" w:eastAsia="es-ES"/>
        </w:rPr>
        <w:t>compatible con el marco fiscal de mediano plazo</w:t>
      </w:r>
      <w:r w:rsidRPr="003A7DA4">
        <w:rPr>
          <w:rFonts w:ascii="Times New Roman" w:hAnsi="Times New Roman" w:cs="Times New Roman"/>
          <w:color w:val="000000" w:themeColor="text1"/>
          <w:sz w:val="28"/>
          <w:szCs w:val="28"/>
          <w:vertAlign w:val="superscript"/>
          <w:lang w:val="es-ES_tradnl" w:eastAsia="es-ES"/>
        </w:rPr>
        <w:footnoteReference w:id="83"/>
      </w:r>
      <w:r w:rsidRPr="003A7DA4">
        <w:rPr>
          <w:rFonts w:ascii="Times New Roman" w:hAnsi="Times New Roman" w:cs="Times New Roman"/>
          <w:color w:val="000000" w:themeColor="text1"/>
          <w:sz w:val="28"/>
          <w:szCs w:val="28"/>
          <w:lang w:val="es-ES_tradnl" w:eastAsia="es-ES"/>
        </w:rPr>
        <w:t xml:space="preserve">. </w:t>
      </w:r>
      <w:r w:rsidRPr="003A7DA4">
        <w:rPr>
          <w:rFonts w:ascii="Times New Roman" w:hAnsi="Times New Roman" w:cs="Times New Roman"/>
          <w:color w:val="000000" w:themeColor="text1"/>
          <w:sz w:val="28"/>
          <w:szCs w:val="28"/>
          <w:lang w:eastAsia="es-ES"/>
        </w:rPr>
        <w:t>Esta obligación constituye un parámetro de racionalidad legislativa que está encaminado a cumplir propósitos constitucionalmente valiosos, entre ellos el orden de las finanzas públicas, la estabilidad macro</w:t>
      </w:r>
      <w:r w:rsidRPr="003A7DA4">
        <w:rPr>
          <w:rFonts w:ascii="Times New Roman" w:hAnsi="Times New Roman" w:cs="Times New Roman"/>
          <w:color w:val="000000" w:themeColor="text1"/>
          <w:sz w:val="28"/>
          <w:szCs w:val="28"/>
          <w:lang w:eastAsia="es-ES"/>
        </w:rPr>
        <w:t>económica y la aplicación efectiva de las leyes</w:t>
      </w:r>
      <w:r w:rsidRPr="003A7DA4">
        <w:rPr>
          <w:rFonts w:ascii="Times New Roman" w:hAnsi="Times New Roman" w:cs="Times New Roman"/>
          <w:color w:val="000000" w:themeColor="text1"/>
          <w:sz w:val="28"/>
          <w:szCs w:val="28"/>
          <w:vertAlign w:val="superscript"/>
          <w:lang w:eastAsia="es-ES"/>
        </w:rPr>
        <w:footnoteReference w:id="84"/>
      </w:r>
      <w:r w:rsidRPr="003A7DA4">
        <w:rPr>
          <w:rFonts w:ascii="Times New Roman" w:hAnsi="Times New Roman" w:cs="Times New Roman"/>
          <w:color w:val="000000" w:themeColor="text1"/>
          <w:sz w:val="28"/>
          <w:szCs w:val="28"/>
          <w:lang w:eastAsia="es-ES"/>
        </w:rPr>
        <w:t xml:space="preserve">. </w:t>
      </w:r>
      <w:r w:rsidRPr="003A7DA4">
        <w:rPr>
          <w:rFonts w:ascii="Times New Roman" w:hAnsi="Times New Roman" w:cs="Times New Roman"/>
          <w:color w:val="000000" w:themeColor="text1"/>
          <w:sz w:val="28"/>
          <w:szCs w:val="28"/>
          <w:lang w:val="es-ES_tradnl" w:eastAsia="es-ES"/>
        </w:rPr>
        <w:t>Tal exigencia implica tres deberes específicos</w:t>
      </w:r>
      <w:r w:rsidRPr="003A7DA4">
        <w:rPr>
          <w:rFonts w:ascii="Times New Roman" w:hAnsi="Times New Roman" w:cs="Times New Roman"/>
          <w:color w:val="000000" w:themeColor="text1"/>
          <w:sz w:val="28"/>
          <w:szCs w:val="28"/>
          <w:vertAlign w:val="superscript"/>
          <w:lang w:val="es-ES_tradnl" w:eastAsia="es-ES"/>
        </w:rPr>
        <w:footnoteReference w:id="85"/>
      </w:r>
      <w:r w:rsidRPr="003A7DA4">
        <w:rPr>
          <w:rFonts w:ascii="Times New Roman" w:hAnsi="Times New Roman" w:cs="Times New Roman"/>
          <w:color w:val="000000" w:themeColor="text1"/>
          <w:sz w:val="28"/>
          <w:szCs w:val="28"/>
          <w:lang w:val="es-ES_tradnl" w:eastAsia="es-ES"/>
        </w:rPr>
        <w:t>.</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lang w:val="es-ES_tradnl" w:eastAsia="es-ES"/>
        </w:rPr>
        <w:t>Primero</w:t>
      </w:r>
      <w:r w:rsidRPr="003A7DA4">
        <w:rPr>
          <w:rFonts w:ascii="Times New Roman" w:hAnsi="Times New Roman" w:cs="Times New Roman"/>
          <w:color w:val="000000" w:themeColor="text1"/>
          <w:sz w:val="28"/>
          <w:szCs w:val="28"/>
          <w:lang w:val="es-ES_tradnl" w:eastAsia="es-ES"/>
        </w:rPr>
        <w:t>, el deber de los autores de la iniciativa de incluir en la exposición de motivos y en las ponencias de trámite respectivas, los costos fiscales de l</w:t>
      </w:r>
      <w:r w:rsidRPr="003A7DA4">
        <w:rPr>
          <w:rFonts w:ascii="Times New Roman" w:hAnsi="Times New Roman" w:cs="Times New Roman"/>
          <w:color w:val="000000" w:themeColor="text1"/>
          <w:sz w:val="28"/>
          <w:szCs w:val="28"/>
          <w:lang w:val="es-ES_tradnl" w:eastAsia="es-ES"/>
        </w:rPr>
        <w:t>a iniciativa y la fuente de ingresos adicionales para su financiamiento. En el caso de proyectos de ley de iniciativa de miembros del Congreso, si bien no se impone un análisis exhaustivo o detallado, “se requiere una mínima consideración al respecto, de m</w:t>
      </w:r>
      <w:r w:rsidRPr="003A7DA4">
        <w:rPr>
          <w:rFonts w:ascii="Times New Roman" w:hAnsi="Times New Roman" w:cs="Times New Roman"/>
          <w:color w:val="000000" w:themeColor="text1"/>
          <w:sz w:val="28"/>
          <w:szCs w:val="28"/>
          <w:lang w:val="es-ES_tradnl" w:eastAsia="es-ES"/>
        </w:rPr>
        <w:t>odo que sea posible establecer los referentes básicos para analizar los efectos fiscales”</w:t>
      </w:r>
      <w:r w:rsidRPr="003A7DA4">
        <w:rPr>
          <w:rFonts w:ascii="Times New Roman" w:hAnsi="Times New Roman" w:cs="Times New Roman"/>
          <w:color w:val="000000" w:themeColor="text1"/>
          <w:sz w:val="28"/>
          <w:szCs w:val="28"/>
          <w:vertAlign w:val="superscript"/>
          <w:lang w:val="es-ES_tradnl" w:eastAsia="es-ES"/>
        </w:rPr>
        <w:footnoteReference w:id="86"/>
      </w:r>
      <w:r w:rsidRPr="003A7DA4">
        <w:rPr>
          <w:rFonts w:ascii="Times New Roman" w:hAnsi="Times New Roman" w:cs="Times New Roman"/>
          <w:color w:val="000000" w:themeColor="text1"/>
          <w:sz w:val="28"/>
          <w:szCs w:val="28"/>
          <w:lang w:val="es-ES_tradnl" w:eastAsia="es-ES"/>
        </w:rPr>
        <w:t>.</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lang w:val="es-ES_tradnl" w:eastAsia="es-ES"/>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rPr>
        <w:t>Segundo</w:t>
      </w:r>
      <w:r w:rsidRPr="003A7DA4">
        <w:rPr>
          <w:rFonts w:ascii="Times New Roman" w:hAnsi="Times New Roman" w:cs="Times New Roman"/>
          <w:color w:val="000000" w:themeColor="text1"/>
          <w:sz w:val="28"/>
          <w:szCs w:val="28"/>
        </w:rPr>
        <w:t xml:space="preserve">, el deber del Ministerio de Hacienda y Crédito Público de rendir en cualquier tiempo durante el respectivo trámite ante el Congreso de la República su </w:t>
      </w:r>
      <w:r w:rsidRPr="003A7DA4">
        <w:rPr>
          <w:rFonts w:ascii="Times New Roman" w:hAnsi="Times New Roman" w:cs="Times New Roman"/>
          <w:color w:val="000000" w:themeColor="text1"/>
          <w:sz w:val="28"/>
          <w:szCs w:val="28"/>
        </w:rPr>
        <w:t>concepto sobre la consistencia del análisis sobre el costo fiscal, sin que este se oponga al Marco Fiscal de Mediano Plazo.</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rPr>
        <w:t>Tercero</w:t>
      </w:r>
      <w:r w:rsidRPr="003A7DA4">
        <w:rPr>
          <w:rFonts w:ascii="Times New Roman" w:hAnsi="Times New Roman" w:cs="Times New Roman"/>
          <w:color w:val="000000" w:themeColor="text1"/>
          <w:sz w:val="28"/>
          <w:szCs w:val="28"/>
        </w:rPr>
        <w:t>, en el caso de proyectos de ley de iniciativa gubernamental que planteen un gasto adicional o una reducción de ingresos, la</w:t>
      </w:r>
      <w:r w:rsidRPr="003A7DA4">
        <w:rPr>
          <w:rFonts w:ascii="Times New Roman" w:hAnsi="Times New Roman" w:cs="Times New Roman"/>
          <w:color w:val="000000" w:themeColor="text1"/>
          <w:sz w:val="28"/>
          <w:szCs w:val="28"/>
        </w:rPr>
        <w:t xml:space="preserve"> exposición de motivos debe contener la correspondiente fuente sustitutiva por disminución de ingresos o aumento de gastos, de conformidad con el análisis y aprobación que efectúe el Ministerio de Hacienda y Crédito Público</w:t>
      </w:r>
      <w:r w:rsidRPr="003A7DA4">
        <w:rPr>
          <w:rStyle w:val="Refdenotaalpie"/>
          <w:rFonts w:ascii="Times New Roman" w:eastAsiaTheme="majorEastAsia" w:hAnsi="Times New Roman" w:cs="Times New Roman"/>
          <w:color w:val="000000" w:themeColor="text1"/>
          <w:sz w:val="28"/>
          <w:szCs w:val="28"/>
        </w:rPr>
        <w:footnoteReference w:id="87"/>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rPr>
        <w:t xml:space="preserve"> </w:t>
      </w:r>
    </w:p>
    <w:p w:rsidR="00421202" w:rsidRPr="003A7DA4" w:rsidRDefault="003A7DA4" w:rsidP="00421202">
      <w:pPr>
        <w:rPr>
          <w:rFonts w:ascii="Times New Roman" w:hAnsi="Times New Roman" w:cs="Times New Roman"/>
          <w:color w:val="000000" w:themeColor="text1"/>
          <w:sz w:val="28"/>
        </w:rPr>
      </w:pPr>
    </w:p>
    <w:p w:rsidR="00421202"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Ahora bien</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y además de esto</w:t>
      </w:r>
      <w:r w:rsidRPr="003A7DA4">
        <w:rPr>
          <w:rFonts w:ascii="Times New Roman" w:hAnsi="Times New Roman" w:cs="Times New Roman"/>
          <w:color w:val="000000" w:themeColor="text1"/>
          <w:sz w:val="28"/>
          <w:szCs w:val="28"/>
        </w:rPr>
        <w:t xml:space="preserve">s tres deberes, </w:t>
      </w:r>
      <w:r w:rsidRPr="003A7DA4">
        <w:rPr>
          <w:rFonts w:ascii="Times New Roman" w:hAnsi="Times New Roman" w:cs="Times New Roman"/>
          <w:color w:val="000000" w:themeColor="text1"/>
          <w:sz w:val="28"/>
          <w:szCs w:val="28"/>
        </w:rPr>
        <w:t xml:space="preserve">la </w:t>
      </w:r>
      <w:r w:rsidRPr="003A7DA4">
        <w:rPr>
          <w:rFonts w:ascii="Times New Roman" w:hAnsi="Times New Roman" w:cs="Times New Roman"/>
          <w:color w:val="000000" w:themeColor="text1"/>
          <w:sz w:val="28"/>
          <w:szCs w:val="28"/>
        </w:rPr>
        <w:t xml:space="preserve">Corte </w:t>
      </w:r>
      <w:r w:rsidRPr="003A7DA4">
        <w:rPr>
          <w:rFonts w:ascii="Times New Roman" w:hAnsi="Times New Roman" w:cs="Times New Roman"/>
          <w:color w:val="000000" w:themeColor="text1"/>
          <w:sz w:val="28"/>
          <w:szCs w:val="28"/>
        </w:rPr>
        <w:t>realizó una precisión adicional frente a los proyectos de ley de iniciativa gubernamental</w:t>
      </w:r>
      <w:r w:rsidRPr="003A7DA4">
        <w:rPr>
          <w:rFonts w:ascii="Times New Roman" w:hAnsi="Times New Roman" w:cs="Times New Roman"/>
          <w:color w:val="000000" w:themeColor="text1"/>
          <w:sz w:val="28"/>
          <w:szCs w:val="28"/>
        </w:rPr>
        <w:t>. En</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 xml:space="preserve">la </w:t>
      </w:r>
      <w:r w:rsidRPr="003A7DA4">
        <w:rPr>
          <w:rFonts w:ascii="Times New Roman" w:hAnsi="Times New Roman" w:cs="Times New Roman"/>
          <w:color w:val="000000" w:themeColor="text1"/>
          <w:sz w:val="28"/>
          <w:szCs w:val="28"/>
        </w:rPr>
        <w:t>S</w:t>
      </w:r>
      <w:r w:rsidRPr="003A7DA4">
        <w:rPr>
          <w:rFonts w:ascii="Times New Roman" w:hAnsi="Times New Roman" w:cs="Times New Roman"/>
          <w:color w:val="000000" w:themeColor="text1"/>
          <w:sz w:val="28"/>
          <w:szCs w:val="28"/>
        </w:rPr>
        <w:t>entencia C</w:t>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rPr>
        <w:t>116 de 2024</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esta corporación</w:t>
      </w:r>
      <w:r w:rsidRPr="003A7DA4">
        <w:rPr>
          <w:rFonts w:ascii="Times New Roman" w:hAnsi="Times New Roman" w:cs="Times New Roman"/>
          <w:color w:val="000000" w:themeColor="text1"/>
          <w:sz w:val="28"/>
          <w:szCs w:val="28"/>
        </w:rPr>
        <w:t xml:space="preserve"> explicó que</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existen obligaciones específicas y cualificadas</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en cabeza</w:t>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rPr>
        <w:t xml:space="preserve"> de un lado, del Gobierno </w:t>
      </w:r>
      <w:r w:rsidRPr="003A7DA4">
        <w:rPr>
          <w:rFonts w:ascii="Times New Roman" w:hAnsi="Times New Roman" w:cs="Times New Roman"/>
          <w:color w:val="000000" w:themeColor="text1"/>
          <w:sz w:val="28"/>
          <w:szCs w:val="28"/>
        </w:rPr>
        <w:t xml:space="preserve">nacional </w:t>
      </w:r>
      <w:r w:rsidRPr="003A7DA4">
        <w:rPr>
          <w:rFonts w:ascii="Times New Roman" w:hAnsi="Times New Roman" w:cs="Times New Roman"/>
          <w:color w:val="000000" w:themeColor="text1"/>
          <w:sz w:val="28"/>
          <w:szCs w:val="28"/>
        </w:rPr>
        <w:t>y, del otro, del Ministerio de Hacienda</w:t>
      </w:r>
      <w:r w:rsidRPr="003A7DA4">
        <w:rPr>
          <w:rFonts w:ascii="Times New Roman" w:hAnsi="Times New Roman" w:cs="Times New Roman"/>
          <w:color w:val="000000" w:themeColor="text1"/>
          <w:sz w:val="28"/>
          <w:szCs w:val="28"/>
        </w:rPr>
        <w:t xml:space="preserve"> y Crédito Público</w:t>
      </w:r>
      <w:r w:rsidRPr="003A7DA4">
        <w:rPr>
          <w:rFonts w:ascii="Times New Roman" w:hAnsi="Times New Roman" w:cs="Times New Roman"/>
          <w:color w:val="000000" w:themeColor="text1"/>
          <w:sz w:val="28"/>
          <w:szCs w:val="28"/>
        </w:rPr>
        <w:t xml:space="preserve">, así: </w:t>
      </w:r>
    </w:p>
    <w:p w:rsidR="00421202" w:rsidRPr="003A7DA4" w:rsidRDefault="003A7DA4" w:rsidP="00421202">
      <w:pPr>
        <w:tabs>
          <w:tab w:val="left" w:pos="360"/>
        </w:tabs>
        <w:contextualSpacing/>
        <w:jc w:val="both"/>
        <w:rPr>
          <w:rFonts w:ascii="Times New Roman" w:hAnsi="Times New Roman" w:cs="Times New Roman"/>
          <w:sz w:val="28"/>
          <w:szCs w:val="28"/>
        </w:rPr>
      </w:pPr>
    </w:p>
    <w:p w:rsidR="00D23799" w:rsidRPr="003A7DA4" w:rsidRDefault="003A7DA4" w:rsidP="00230631">
      <w:pPr>
        <w:tabs>
          <w:tab w:val="left" w:pos="360"/>
          <w:tab w:val="left" w:pos="8222"/>
        </w:tabs>
        <w:ind w:left="567" w:right="616"/>
        <w:contextualSpacing/>
        <w:jc w:val="both"/>
        <w:rPr>
          <w:rFonts w:ascii="Times New Roman" w:hAnsi="Times New Roman" w:cs="Times New Roman"/>
          <w:b/>
          <w:sz w:val="28"/>
        </w:rPr>
      </w:pPr>
      <w:r w:rsidRPr="003A7DA4">
        <w:rPr>
          <w:rFonts w:ascii="Times New Roman" w:hAnsi="Times New Roman" w:cs="Times New Roman"/>
          <w:sz w:val="28"/>
        </w:rPr>
        <w:t>«</w:t>
      </w:r>
      <w:r w:rsidRPr="003A7DA4">
        <w:rPr>
          <w:rFonts w:ascii="Times New Roman" w:hAnsi="Times New Roman" w:cs="Times New Roman"/>
          <w:b/>
          <w:sz w:val="28"/>
        </w:rPr>
        <w:t>El</w:t>
      </w:r>
      <w:r w:rsidRPr="003A7DA4">
        <w:rPr>
          <w:rFonts w:ascii="Times New Roman" w:hAnsi="Times New Roman" w:cs="Times New Roman"/>
          <w:sz w:val="28"/>
        </w:rPr>
        <w:t xml:space="preserve"> </w:t>
      </w:r>
      <w:r w:rsidRPr="003A7DA4">
        <w:rPr>
          <w:rFonts w:ascii="Times New Roman" w:hAnsi="Times New Roman" w:cs="Times New Roman"/>
          <w:b/>
          <w:sz w:val="28"/>
        </w:rPr>
        <w:t>Gobierno nacional</w:t>
      </w:r>
      <w:r w:rsidRPr="003A7DA4">
        <w:rPr>
          <w:rFonts w:ascii="Times New Roman" w:hAnsi="Times New Roman" w:cs="Times New Roman"/>
          <w:sz w:val="28"/>
        </w:rPr>
        <w:t>: está obligado a incluir en la exposición de motivos y en las ponencias de trámite respectivas los costos fiscales de la iniciativa y</w:t>
      </w:r>
      <w:r w:rsidRPr="003A7DA4">
        <w:rPr>
          <w:rFonts w:ascii="Times New Roman" w:hAnsi="Times New Roman" w:cs="Times New Roman"/>
          <w:sz w:val="28"/>
        </w:rPr>
        <w:t xml:space="preserve"> la fuente de ingreso adicional generada para el financiamiento de esos costos</w:t>
      </w:r>
      <w:r w:rsidRPr="003A7DA4">
        <w:rPr>
          <w:rStyle w:val="Refdenotaalpie"/>
          <w:rFonts w:ascii="Times New Roman" w:hAnsi="Times New Roman" w:cs="Times New Roman"/>
          <w:sz w:val="28"/>
          <w:szCs w:val="24"/>
        </w:rPr>
        <w:footnoteReference w:id="88"/>
      </w:r>
      <w:r w:rsidRPr="003A7DA4">
        <w:rPr>
          <w:rFonts w:ascii="Times New Roman" w:hAnsi="Times New Roman" w:cs="Times New Roman"/>
          <w:sz w:val="28"/>
        </w:rPr>
        <w:t xml:space="preserve">. Para el efecto, de conformidad con lo dispuesto en el artículo 115 de la Constitución, el presidente de la República y un ministro o un director de departamento, </w:t>
      </w:r>
      <w:r w:rsidRPr="003A7DA4">
        <w:rPr>
          <w:rFonts w:ascii="Times New Roman" w:hAnsi="Times New Roman" w:cs="Times New Roman"/>
          <w:sz w:val="28"/>
        </w:rPr>
        <w:t>“</w:t>
      </w:r>
      <w:r w:rsidRPr="003A7DA4">
        <w:rPr>
          <w:rFonts w:ascii="Times New Roman" w:hAnsi="Times New Roman" w:cs="Times New Roman"/>
          <w:sz w:val="28"/>
        </w:rPr>
        <w:t>en cada nego</w:t>
      </w:r>
      <w:r w:rsidRPr="003A7DA4">
        <w:rPr>
          <w:rFonts w:ascii="Times New Roman" w:hAnsi="Times New Roman" w:cs="Times New Roman"/>
          <w:sz w:val="28"/>
        </w:rPr>
        <w:t>cio particular, constituyen el Gobierno</w:t>
      </w:r>
      <w:r w:rsidRPr="003A7DA4">
        <w:rPr>
          <w:rFonts w:ascii="Times New Roman" w:hAnsi="Times New Roman" w:cs="Times New Roman"/>
          <w:sz w:val="28"/>
        </w:rPr>
        <w:t>”</w:t>
      </w:r>
      <w:r w:rsidRPr="003A7DA4">
        <w:rPr>
          <w:rFonts w:ascii="Times New Roman" w:hAnsi="Times New Roman" w:cs="Times New Roman"/>
          <w:sz w:val="28"/>
        </w:rPr>
        <w:t>.</w:t>
      </w:r>
    </w:p>
    <w:p w:rsidR="00D23799" w:rsidRPr="003A7DA4" w:rsidRDefault="003A7DA4" w:rsidP="00CD62C8">
      <w:pPr>
        <w:tabs>
          <w:tab w:val="left" w:pos="360"/>
        </w:tabs>
        <w:ind w:left="567" w:right="333"/>
        <w:contextualSpacing/>
        <w:jc w:val="both"/>
        <w:rPr>
          <w:rFonts w:ascii="Times New Roman" w:hAnsi="Times New Roman" w:cs="Times New Roman"/>
          <w:sz w:val="28"/>
          <w:szCs w:val="26"/>
        </w:rPr>
      </w:pPr>
    </w:p>
    <w:p w:rsidR="00421202" w:rsidRPr="003A7DA4" w:rsidRDefault="003A7DA4" w:rsidP="001B6BCF">
      <w:pPr>
        <w:tabs>
          <w:tab w:val="left" w:pos="360"/>
        </w:tabs>
        <w:ind w:left="567" w:right="333"/>
        <w:contextualSpacing/>
        <w:jc w:val="both"/>
        <w:rPr>
          <w:rFonts w:ascii="Times New Roman" w:hAnsi="Times New Roman" w:cs="Times New Roman"/>
          <w:sz w:val="28"/>
          <w:szCs w:val="26"/>
        </w:rPr>
      </w:pPr>
      <w:r w:rsidRPr="003A7DA4">
        <w:rPr>
          <w:rFonts w:ascii="Times New Roman" w:hAnsi="Times New Roman" w:cs="Times New Roman"/>
          <w:b/>
          <w:sz w:val="28"/>
          <w:szCs w:val="26"/>
        </w:rPr>
        <w:t>El Ministerio de Hacienda y Crédito Público</w:t>
      </w:r>
      <w:r w:rsidRPr="003A7DA4">
        <w:rPr>
          <w:rFonts w:ascii="Times New Roman" w:hAnsi="Times New Roman" w:cs="Times New Roman"/>
          <w:sz w:val="28"/>
          <w:szCs w:val="26"/>
        </w:rPr>
        <w:t>: tiene el deber de analizar y aprobar la correspondiente fuente sustitutiva por disminución de gasto o aumento de ingresos contenida en el proyecto de ley</w:t>
      </w:r>
      <w:r w:rsidRPr="003A7DA4">
        <w:rPr>
          <w:rStyle w:val="Refdenotaalpie"/>
          <w:rFonts w:ascii="Times New Roman" w:hAnsi="Times New Roman" w:cs="Times New Roman"/>
          <w:sz w:val="28"/>
          <w:szCs w:val="26"/>
        </w:rPr>
        <w:footnoteReference w:id="89"/>
      </w:r>
      <w:r w:rsidRPr="003A7DA4">
        <w:rPr>
          <w:rFonts w:ascii="Times New Roman" w:hAnsi="Times New Roman" w:cs="Times New Roman"/>
          <w:sz w:val="28"/>
          <w:szCs w:val="26"/>
        </w:rPr>
        <w:t>.</w:t>
      </w:r>
      <w:r w:rsidRPr="003A7DA4">
        <w:rPr>
          <w:rFonts w:ascii="Times New Roman" w:hAnsi="Times New Roman" w:cs="Times New Roman"/>
          <w:sz w:val="28"/>
          <w:szCs w:val="26"/>
        </w:rPr>
        <w:t>»</w:t>
      </w:r>
    </w:p>
    <w:p w:rsidR="00701677" w:rsidRPr="003A7DA4" w:rsidRDefault="003A7DA4" w:rsidP="00701677">
      <w:pPr>
        <w:rPr>
          <w:rFonts w:ascii="Times New Roman" w:hAnsi="Times New Roman" w:cs="Times New Roman"/>
          <w:sz w:val="28"/>
        </w:rPr>
      </w:pPr>
    </w:p>
    <w:p w:rsidR="00D23799" w:rsidRPr="003A7DA4" w:rsidRDefault="003A7DA4" w:rsidP="00636A25">
      <w:pPr>
        <w:numPr>
          <w:ilvl w:val="0"/>
          <w:numId w:val="8"/>
        </w:numPr>
        <w:tabs>
          <w:tab w:val="left" w:pos="426"/>
        </w:tabs>
        <w:ind w:left="0" w:right="49" w:firstLine="0"/>
        <w:jc w:val="both"/>
        <w:rPr>
          <w:rFonts w:ascii="Times New Roman" w:hAnsi="Times New Roman" w:cs="Times New Roman"/>
          <w:b/>
          <w:bCs/>
          <w:sz w:val="28"/>
          <w:szCs w:val="28"/>
        </w:rPr>
      </w:pPr>
      <w:r w:rsidRPr="003A7DA4">
        <w:rPr>
          <w:rFonts w:ascii="Times New Roman" w:hAnsi="Times New Roman" w:cs="Times New Roman"/>
          <w:sz w:val="28"/>
          <w:szCs w:val="28"/>
        </w:rPr>
        <w:t xml:space="preserve">Además, </w:t>
      </w:r>
      <w:r w:rsidRPr="003A7DA4">
        <w:rPr>
          <w:rFonts w:ascii="Times New Roman" w:hAnsi="Times New Roman" w:cs="Times New Roman"/>
          <w:sz w:val="28"/>
          <w:szCs w:val="28"/>
        </w:rPr>
        <w:t xml:space="preserve">la Corte </w:t>
      </w:r>
      <w:r w:rsidRPr="003A7DA4">
        <w:rPr>
          <w:rFonts w:ascii="Times New Roman" w:hAnsi="Times New Roman" w:cs="Times New Roman"/>
          <w:sz w:val="28"/>
          <w:szCs w:val="28"/>
        </w:rPr>
        <w:t>sostuvo que</w:t>
      </w:r>
      <w:r w:rsidRPr="003A7DA4">
        <w:rPr>
          <w:rFonts w:ascii="Times New Roman" w:hAnsi="Times New Roman" w:cs="Times New Roman"/>
          <w:sz w:val="28"/>
          <w:szCs w:val="28"/>
        </w:rPr>
        <w:t xml:space="preserve"> en el evento en el que </w:t>
      </w:r>
      <w:r w:rsidRPr="003A7DA4">
        <w:rPr>
          <w:rFonts w:ascii="Times New Roman" w:hAnsi="Times New Roman" w:cs="Times New Roman"/>
          <w:sz w:val="28"/>
          <w:szCs w:val="28"/>
        </w:rPr>
        <w:t xml:space="preserve">la radicación del proyecto </w:t>
      </w:r>
      <w:r w:rsidRPr="003A7DA4">
        <w:rPr>
          <w:rFonts w:ascii="Times New Roman" w:hAnsi="Times New Roman" w:cs="Times New Roman"/>
          <w:sz w:val="28"/>
          <w:szCs w:val="28"/>
        </w:rPr>
        <w:t xml:space="preserve">no se acompaña con el </w:t>
      </w:r>
      <w:r w:rsidRPr="003A7DA4">
        <w:rPr>
          <w:rFonts w:ascii="Times New Roman" w:hAnsi="Times New Roman" w:cs="Times New Roman"/>
          <w:color w:val="000000" w:themeColor="text1"/>
          <w:sz w:val="28"/>
          <w:szCs w:val="28"/>
        </w:rPr>
        <w:t>concepto</w:t>
      </w:r>
      <w:r w:rsidRPr="003A7DA4">
        <w:rPr>
          <w:rFonts w:ascii="Times New Roman" w:hAnsi="Times New Roman" w:cs="Times New Roman"/>
          <w:sz w:val="28"/>
          <w:szCs w:val="28"/>
        </w:rPr>
        <w:t xml:space="preserve"> de impacto fiscal del Ministerio de Hacienda y Crédito Público</w:t>
      </w:r>
      <w:r w:rsidRPr="003A7DA4">
        <w:rPr>
          <w:rFonts w:ascii="Times New Roman" w:hAnsi="Times New Roman" w:cs="Times New Roman"/>
          <w:sz w:val="28"/>
          <w:szCs w:val="28"/>
        </w:rPr>
        <w:t xml:space="preserve">, se prevén dos alternativas para dar </w:t>
      </w:r>
      <w:r w:rsidRPr="003A7DA4">
        <w:rPr>
          <w:rFonts w:ascii="Times New Roman" w:hAnsi="Times New Roman" w:cs="Times New Roman"/>
          <w:sz w:val="28"/>
          <w:szCs w:val="28"/>
        </w:rPr>
        <w:t>cumplimiento de este deber</w:t>
      </w:r>
      <w:r w:rsidRPr="003A7DA4">
        <w:rPr>
          <w:rFonts w:ascii="Times New Roman" w:hAnsi="Times New Roman" w:cs="Times New Roman"/>
          <w:sz w:val="28"/>
          <w:szCs w:val="28"/>
        </w:rPr>
        <w:t xml:space="preserve">. </w:t>
      </w:r>
      <w:r w:rsidRPr="003A7DA4">
        <w:rPr>
          <w:rFonts w:ascii="Times New Roman" w:hAnsi="Times New Roman" w:cs="Times New Roman"/>
          <w:sz w:val="28"/>
          <w:szCs w:val="28"/>
        </w:rPr>
        <w:t>La primera de ellas consis</w:t>
      </w:r>
      <w:r w:rsidRPr="003A7DA4">
        <w:rPr>
          <w:rFonts w:ascii="Times New Roman" w:hAnsi="Times New Roman" w:cs="Times New Roman"/>
          <w:sz w:val="28"/>
          <w:szCs w:val="28"/>
        </w:rPr>
        <w:t>te en la activación de la obligación general a cargo de esa cartera de rendir concepto, en cualquier tiempo durante el respectivo trámite legislativo. La segunda</w:t>
      </w:r>
      <w:r w:rsidRPr="003A7DA4">
        <w:rPr>
          <w:rFonts w:ascii="Times New Roman" w:hAnsi="Times New Roman" w:cs="Times New Roman"/>
          <w:sz w:val="28"/>
          <w:szCs w:val="28"/>
        </w:rPr>
        <w:t>, co</w:t>
      </w:r>
      <w:r w:rsidRPr="003A7DA4">
        <w:rPr>
          <w:rFonts w:ascii="Times New Roman" w:hAnsi="Times New Roman" w:cs="Times New Roman"/>
          <w:sz w:val="28"/>
          <w:szCs w:val="28"/>
        </w:rPr>
        <w:t>n</w:t>
      </w:r>
      <w:r w:rsidRPr="003A7DA4">
        <w:rPr>
          <w:rFonts w:ascii="Times New Roman" w:hAnsi="Times New Roman" w:cs="Times New Roman"/>
          <w:sz w:val="28"/>
          <w:szCs w:val="28"/>
        </w:rPr>
        <w:t>siste en</w:t>
      </w:r>
      <w:r w:rsidRPr="003A7DA4">
        <w:rPr>
          <w:rFonts w:ascii="Times New Roman" w:hAnsi="Times New Roman" w:cs="Times New Roman"/>
          <w:sz w:val="28"/>
          <w:szCs w:val="28"/>
        </w:rPr>
        <w:t xml:space="preserve"> la posibilidad de que e</w:t>
      </w:r>
      <w:r w:rsidRPr="003A7DA4">
        <w:rPr>
          <w:rFonts w:ascii="Times New Roman" w:hAnsi="Times New Roman" w:cs="Times New Roman"/>
          <w:sz w:val="28"/>
          <w:szCs w:val="28"/>
        </w:rPr>
        <w:t xml:space="preserve">se ministerio </w:t>
      </w:r>
      <w:r w:rsidRPr="003A7DA4">
        <w:rPr>
          <w:rFonts w:ascii="Times New Roman" w:hAnsi="Times New Roman" w:cs="Times New Roman"/>
          <w:sz w:val="28"/>
          <w:szCs w:val="28"/>
        </w:rPr>
        <w:t>no presente un concepto escrito, pero sí hag</w:t>
      </w:r>
      <w:r w:rsidRPr="003A7DA4">
        <w:rPr>
          <w:rFonts w:ascii="Times New Roman" w:hAnsi="Times New Roman" w:cs="Times New Roman"/>
          <w:sz w:val="28"/>
          <w:szCs w:val="28"/>
        </w:rPr>
        <w:t>a una exposición oral durante una sesión en comisión o en la plenaria de alguna de las dos cámaras, informando sobre «el costo fiscal [de la iniciativa], sus fuentes de financiamiento y su compatibilidad con el Marco Fiscal de Mediano Plazo»</w:t>
      </w:r>
      <w:r w:rsidRPr="003A7DA4">
        <w:rPr>
          <w:rStyle w:val="Refdenotaalpie"/>
          <w:rFonts w:ascii="Times New Roman" w:hAnsi="Times New Roman" w:cs="Times New Roman"/>
          <w:sz w:val="28"/>
          <w:szCs w:val="28"/>
        </w:rPr>
        <w:footnoteReference w:id="90"/>
      </w:r>
      <w:r w:rsidRPr="003A7DA4">
        <w:rPr>
          <w:rFonts w:ascii="Times New Roman" w:hAnsi="Times New Roman" w:cs="Times New Roman"/>
          <w:sz w:val="28"/>
          <w:szCs w:val="28"/>
        </w:rPr>
        <w:t xml:space="preserve">. </w:t>
      </w:r>
    </w:p>
    <w:p w:rsidR="00421202" w:rsidRPr="003A7DA4" w:rsidRDefault="003A7DA4" w:rsidP="0034149B">
      <w:pPr>
        <w:rPr>
          <w:rFonts w:ascii="Times New Roman" w:hAnsi="Times New Roman" w:cs="Times New Roman"/>
          <w:color w:val="000000" w:themeColor="text1"/>
          <w:sz w:val="28"/>
          <w:szCs w:val="28"/>
          <w:lang w:val="es-ES_tradnl"/>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lang w:val="es-ES_tradnl" w:eastAsia="es-ES"/>
        </w:rPr>
        <w:t>Ahora bien</w:t>
      </w:r>
      <w:r w:rsidRPr="003A7DA4">
        <w:rPr>
          <w:rFonts w:ascii="Times New Roman" w:hAnsi="Times New Roman" w:cs="Times New Roman"/>
          <w:color w:val="000000" w:themeColor="text1"/>
          <w:sz w:val="28"/>
          <w:szCs w:val="28"/>
          <w:lang w:val="es-ES_tradnl" w:eastAsia="es-ES"/>
        </w:rPr>
        <w:t>, desde una perspectiva material (presupuesto material), dicho deber opera respecto de órdenes de gasto y beneficios tributarios. Sobre la primera categoría, la Corte Constitucional ha precisado que es necesario identificar dos aspectos. El primero, relaci</w:t>
      </w:r>
      <w:r w:rsidRPr="003A7DA4">
        <w:rPr>
          <w:rFonts w:ascii="Times New Roman" w:hAnsi="Times New Roman" w:cs="Times New Roman"/>
          <w:color w:val="000000" w:themeColor="text1"/>
          <w:sz w:val="28"/>
          <w:szCs w:val="28"/>
          <w:lang w:val="es-ES_tradnl" w:eastAsia="es-ES"/>
        </w:rPr>
        <w:t>onado con un análisis gramatical, esto es, si las disposiciones “</w:t>
      </w:r>
      <w:r w:rsidRPr="003A7DA4">
        <w:rPr>
          <w:rFonts w:ascii="Times New Roman" w:hAnsi="Times New Roman" w:cs="Times New Roman"/>
          <w:color w:val="000000" w:themeColor="text1"/>
          <w:sz w:val="28"/>
          <w:szCs w:val="28"/>
          <w:lang w:val="es-ES" w:eastAsia="es-ES"/>
        </w:rPr>
        <w:t xml:space="preserve">establecen un mandato imperativo al Ejecutivo o si contienen un título jurídico suficiente para la posterior inclusión de la partida presupuestal correspondiente en la ley de presupuesto, de </w:t>
      </w:r>
      <w:r w:rsidRPr="003A7DA4">
        <w:rPr>
          <w:rFonts w:ascii="Times New Roman" w:hAnsi="Times New Roman" w:cs="Times New Roman"/>
          <w:color w:val="000000" w:themeColor="text1"/>
          <w:sz w:val="28"/>
          <w:szCs w:val="28"/>
          <w:lang w:val="es-ES" w:eastAsia="es-ES"/>
        </w:rPr>
        <w:t>conformidad con la disponibilidad de los recursos, las prioridades del Gobierno [Nacional], y en armonía con los principios y objetivos generales señalados en el Plan Nacional de Desarrollo</w:t>
      </w:r>
      <w:r w:rsidRPr="003A7DA4">
        <w:rPr>
          <w:rFonts w:ascii="Times New Roman" w:hAnsi="Times New Roman" w:cs="Times New Roman"/>
          <w:color w:val="000000" w:themeColor="text1"/>
          <w:sz w:val="28"/>
          <w:szCs w:val="28"/>
          <w:lang w:val="es-ES_tradnl" w:eastAsia="es-ES"/>
        </w:rPr>
        <w:t>”</w:t>
      </w:r>
      <w:r w:rsidRPr="003A7DA4">
        <w:rPr>
          <w:rStyle w:val="Refdenotaalpie"/>
          <w:rFonts w:ascii="Times New Roman" w:eastAsiaTheme="majorEastAsia" w:hAnsi="Times New Roman" w:cs="Times New Roman"/>
          <w:color w:val="000000" w:themeColor="text1"/>
          <w:sz w:val="28"/>
          <w:szCs w:val="28"/>
          <w:lang w:val="es-ES_tradnl" w:eastAsia="es-ES"/>
        </w:rPr>
        <w:footnoteReference w:id="91"/>
      </w:r>
      <w:r w:rsidRPr="003A7DA4">
        <w:rPr>
          <w:rFonts w:ascii="Times New Roman" w:hAnsi="Times New Roman" w:cs="Times New Roman"/>
          <w:color w:val="000000" w:themeColor="text1"/>
          <w:sz w:val="28"/>
          <w:szCs w:val="28"/>
          <w:lang w:val="es-ES_tradnl" w:eastAsia="es-ES"/>
        </w:rPr>
        <w:t xml:space="preserve">. El segundo se refiere a la verificación sobre su ejecución, </w:t>
      </w:r>
      <w:r w:rsidRPr="003A7DA4">
        <w:rPr>
          <w:rFonts w:ascii="Times New Roman" w:hAnsi="Times New Roman" w:cs="Times New Roman"/>
          <w:color w:val="000000" w:themeColor="text1"/>
          <w:sz w:val="28"/>
          <w:szCs w:val="28"/>
          <w:shd w:val="clear" w:color="auto" w:fill="FFFFFF"/>
        </w:rPr>
        <w:t>pues “debe tenerse en cuenta no solo la imperatividad aparente del enunciado, sino también otros factores, especialmente el hecho de determinar si su ejecución está supeditada o no a la expedición de otras normas con fuerza de ley”</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92"/>
      </w:r>
      <w:r w:rsidRPr="003A7DA4">
        <w:rPr>
          <w:rFonts w:ascii="Times New Roman" w:hAnsi="Times New Roman" w:cs="Times New Roman"/>
          <w:color w:val="000000" w:themeColor="text1"/>
          <w:sz w:val="28"/>
          <w:szCs w:val="28"/>
          <w:shd w:val="clear" w:color="auto" w:fill="FFFFFF"/>
        </w:rPr>
        <w:t>.</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iCs/>
          <w:color w:val="000000" w:themeColor="text1"/>
          <w:sz w:val="28"/>
          <w:szCs w:val="28"/>
        </w:rPr>
      </w:pPr>
      <w:r w:rsidRPr="003A7DA4">
        <w:rPr>
          <w:rFonts w:ascii="Times New Roman" w:hAnsi="Times New Roman" w:cs="Times New Roman"/>
          <w:color w:val="000000" w:themeColor="text1"/>
          <w:sz w:val="28"/>
          <w:szCs w:val="28"/>
          <w:shd w:val="clear" w:color="auto" w:fill="FFFFFF"/>
        </w:rPr>
        <w:t>La jurisprudencia tam</w:t>
      </w:r>
      <w:r w:rsidRPr="003A7DA4">
        <w:rPr>
          <w:rFonts w:ascii="Times New Roman" w:hAnsi="Times New Roman" w:cs="Times New Roman"/>
          <w:color w:val="000000" w:themeColor="text1"/>
          <w:sz w:val="28"/>
          <w:szCs w:val="28"/>
          <w:shd w:val="clear" w:color="auto" w:fill="FFFFFF"/>
        </w:rPr>
        <w:t xml:space="preserve">bién ha precisado que si no se verifican las condiciones precitadas, no se puede calificar el deber como una orden de gasto, sino como una autorización de esta naturaleza. Así, la Corte precisó que la identificación de una orden de gasto “(…) </w:t>
      </w:r>
      <w:r w:rsidRPr="003A7DA4">
        <w:rPr>
          <w:rFonts w:ascii="Times New Roman" w:hAnsi="Times New Roman" w:cs="Times New Roman"/>
          <w:iCs/>
          <w:color w:val="000000" w:themeColor="text1"/>
          <w:sz w:val="28"/>
          <w:szCs w:val="28"/>
        </w:rPr>
        <w:t xml:space="preserve">debe tenerse </w:t>
      </w:r>
      <w:r w:rsidRPr="003A7DA4">
        <w:rPr>
          <w:rFonts w:ascii="Times New Roman" w:hAnsi="Times New Roman" w:cs="Times New Roman"/>
          <w:iCs/>
          <w:color w:val="000000" w:themeColor="text1"/>
          <w:sz w:val="28"/>
          <w:szCs w:val="28"/>
        </w:rPr>
        <w:t>en cuenta no solo la imperatividad aparente del enunciado, sino también otros factores, especialmente el hecho de determinar si su ejecución está supeditada o no a la expedición de otras normas con fuerza de ley</w:t>
      </w:r>
      <w:r w:rsidRPr="003A7DA4">
        <w:rPr>
          <w:rStyle w:val="Refdenotaalpie"/>
          <w:rFonts w:ascii="Times New Roman" w:eastAsiaTheme="majorEastAsia" w:hAnsi="Times New Roman" w:cs="Times New Roman"/>
          <w:iCs/>
          <w:color w:val="000000" w:themeColor="text1"/>
          <w:sz w:val="28"/>
          <w:szCs w:val="28"/>
        </w:rPr>
        <w:footnoteReference w:id="93"/>
      </w:r>
      <w:r w:rsidRPr="003A7DA4">
        <w:rPr>
          <w:rFonts w:ascii="Times New Roman" w:hAnsi="Times New Roman" w:cs="Times New Roman"/>
          <w:iCs/>
          <w:color w:val="000000" w:themeColor="text1"/>
          <w:sz w:val="28"/>
          <w:szCs w:val="28"/>
        </w:rPr>
        <w:t>.</w:t>
      </w:r>
    </w:p>
    <w:p w:rsidR="00EC4959" w:rsidRPr="003A7DA4" w:rsidRDefault="003A7DA4" w:rsidP="00EC4959">
      <w:pPr>
        <w:tabs>
          <w:tab w:val="left" w:pos="426"/>
        </w:tabs>
        <w:ind w:right="49"/>
        <w:jc w:val="both"/>
        <w:rPr>
          <w:rFonts w:ascii="Times New Roman" w:hAnsi="Times New Roman" w:cs="Times New Roman"/>
          <w:iCs/>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iCs/>
          <w:color w:val="000000" w:themeColor="text1"/>
          <w:sz w:val="28"/>
          <w:szCs w:val="28"/>
        </w:rPr>
        <w:t>Sobre los beneficios tributarios, esta Co</w:t>
      </w:r>
      <w:r w:rsidRPr="003A7DA4">
        <w:rPr>
          <w:rFonts w:ascii="Times New Roman" w:hAnsi="Times New Roman" w:cs="Times New Roman"/>
          <w:iCs/>
          <w:color w:val="000000" w:themeColor="text1"/>
          <w:sz w:val="28"/>
          <w:szCs w:val="28"/>
        </w:rPr>
        <w:t xml:space="preserve">rte ha sostenido que </w:t>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shd w:val="clear" w:color="auto" w:fill="FFFFFF"/>
        </w:rPr>
        <w:t xml:space="preserve">para que una determinada disposición se pueda considerar como un beneficio tributario, debe tener esencialmente el propósito de colocar al sujeto o actividad destinataria de la misma en una situación preferencial o de privilegio, con </w:t>
      </w:r>
      <w:r w:rsidRPr="003A7DA4">
        <w:rPr>
          <w:rFonts w:ascii="Times New Roman" w:hAnsi="Times New Roman" w:cs="Times New Roman"/>
          <w:color w:val="000000" w:themeColor="text1"/>
          <w:sz w:val="28"/>
          <w:szCs w:val="28"/>
          <w:shd w:val="clear" w:color="auto" w:fill="FFFFFF"/>
        </w:rPr>
        <w:t>fines esencialmente extrafiscales”</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94"/>
      </w:r>
      <w:r w:rsidRPr="003A7DA4">
        <w:rPr>
          <w:rFonts w:ascii="Times New Roman" w:hAnsi="Times New Roman" w:cs="Times New Roman"/>
          <w:color w:val="000000" w:themeColor="text1"/>
          <w:sz w:val="28"/>
          <w:szCs w:val="28"/>
          <w:shd w:val="clear" w:color="auto" w:fill="FFFFFF"/>
        </w:rPr>
        <w:t>. En este orden, son beneficios tributarios, por ejemplo, “las exenciones, las deducciones de base, los regímenes contributivos sustitutivos, la suspensión temporal del recaudo, la concesión de incentivos tributarios y la</w:t>
      </w:r>
      <w:r w:rsidRPr="003A7DA4">
        <w:rPr>
          <w:rFonts w:ascii="Times New Roman" w:hAnsi="Times New Roman" w:cs="Times New Roman"/>
          <w:color w:val="000000" w:themeColor="text1"/>
          <w:sz w:val="28"/>
          <w:szCs w:val="28"/>
          <w:shd w:val="clear" w:color="auto" w:fill="FFFFFF"/>
        </w:rPr>
        <w:t xml:space="preserve"> devolución de impuestos”</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95"/>
      </w:r>
      <w:r w:rsidRPr="003A7DA4">
        <w:rPr>
          <w:rFonts w:ascii="Times New Roman" w:hAnsi="Times New Roman" w:cs="Times New Roman"/>
          <w:color w:val="000000" w:themeColor="text1"/>
          <w:sz w:val="28"/>
          <w:szCs w:val="28"/>
          <w:shd w:val="clear" w:color="auto" w:fill="FFFFFF"/>
        </w:rPr>
        <w:t>. Sobre el concepto de exenciones tributarias se ha señalado que estas “tienen lugar cuando una norma exonera del tributo determinados actos o personas que normalmente estarían gravados; es decir, cuando habiéndose presentado el h</w:t>
      </w:r>
      <w:r w:rsidRPr="003A7DA4">
        <w:rPr>
          <w:rFonts w:ascii="Times New Roman" w:hAnsi="Times New Roman" w:cs="Times New Roman"/>
          <w:color w:val="000000" w:themeColor="text1"/>
          <w:sz w:val="28"/>
          <w:szCs w:val="28"/>
          <w:shd w:val="clear" w:color="auto" w:fill="FFFFFF"/>
        </w:rPr>
        <w:t>echo generador, la ley estipula que no se producirán sus consecuencias o ello ocurrirá solo de forma parcial”</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96"/>
      </w:r>
      <w:r w:rsidRPr="003A7DA4">
        <w:rPr>
          <w:rFonts w:ascii="Times New Roman" w:hAnsi="Times New Roman" w:cs="Times New Roman"/>
          <w:color w:val="000000" w:themeColor="text1"/>
          <w:sz w:val="28"/>
          <w:szCs w:val="28"/>
          <w:shd w:val="clear" w:color="auto" w:fill="FFFFFF"/>
        </w:rPr>
        <w:t>.</w:t>
      </w:r>
    </w:p>
    <w:p w:rsidR="00EC4959" w:rsidRPr="003A7DA4" w:rsidRDefault="003A7DA4" w:rsidP="00EC4959">
      <w:pPr>
        <w:ind w:left="2124" w:hanging="2124"/>
        <w:rPr>
          <w:rFonts w:ascii="Times New Roman" w:hAnsi="Times New Roman" w:cs="Times New Roman"/>
          <w:color w:val="000000" w:themeColor="text1"/>
          <w:sz w:val="28"/>
        </w:rPr>
      </w:pPr>
    </w:p>
    <w:p w:rsidR="00F84606" w:rsidRPr="003A7DA4" w:rsidRDefault="003A7DA4" w:rsidP="00F84606">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La Corte Constitucional tiene establecido que el análisis de impacto fiscal es exigible en materia de leyes que aprueban tratados internacionales. La Sentencia </w:t>
      </w:r>
      <w:r w:rsidRPr="003A7DA4">
        <w:rPr>
          <w:rFonts w:ascii="Times New Roman" w:hAnsi="Times New Roman" w:cs="Times New Roman"/>
          <w:color w:val="000000" w:themeColor="text1"/>
          <w:sz w:val="28"/>
          <w:szCs w:val="28"/>
          <w:lang w:val="es-ES" w:eastAsia="es-ES"/>
        </w:rPr>
        <w:t>C-170 de 2021 sostuvo que este requisito debe acreditarse respecto de “tratados que consagren be</w:t>
      </w:r>
      <w:r w:rsidRPr="003A7DA4">
        <w:rPr>
          <w:rFonts w:ascii="Times New Roman" w:hAnsi="Times New Roman" w:cs="Times New Roman"/>
          <w:color w:val="000000" w:themeColor="text1"/>
          <w:sz w:val="28"/>
          <w:szCs w:val="28"/>
          <w:lang w:val="es-ES" w:eastAsia="es-ES"/>
        </w:rPr>
        <w:t>neficios tributarios a favor de sujetos de derecho internacional, así como del personal diplomático o cooperante que apoya la ejecución de sus actividades en Colombia”.</w:t>
      </w:r>
      <w:r w:rsidRPr="003A7DA4">
        <w:rPr>
          <w:rFonts w:ascii="Times New Roman" w:hAnsi="Times New Roman" w:cs="Times New Roman"/>
          <w:color w:val="000000" w:themeColor="text1"/>
          <w:sz w:val="28"/>
          <w:szCs w:val="28"/>
          <w:lang w:val="es-ES"/>
        </w:rPr>
        <w:t xml:space="preserve"> Sin embargo, la Corte </w:t>
      </w:r>
      <w:r w:rsidRPr="003A7DA4">
        <w:rPr>
          <w:rFonts w:ascii="Times New Roman" w:hAnsi="Times New Roman" w:cs="Times New Roman"/>
          <w:color w:val="000000" w:themeColor="text1"/>
          <w:sz w:val="28"/>
          <w:szCs w:val="28"/>
        </w:rPr>
        <w:t>precisó que esta exigencia sólo se predica de los proyectos de le</w:t>
      </w:r>
      <w:r w:rsidRPr="003A7DA4">
        <w:rPr>
          <w:rFonts w:ascii="Times New Roman" w:hAnsi="Times New Roman" w:cs="Times New Roman"/>
          <w:color w:val="000000" w:themeColor="text1"/>
          <w:sz w:val="28"/>
          <w:szCs w:val="28"/>
        </w:rPr>
        <w:t xml:space="preserve">y tramitados con posterioridad a la notificación de la aludida sentencia. </w:t>
      </w:r>
    </w:p>
    <w:p w:rsidR="00F84606" w:rsidRPr="003A7DA4" w:rsidRDefault="003A7DA4" w:rsidP="00F84606">
      <w:pPr>
        <w:tabs>
          <w:tab w:val="left" w:pos="426"/>
        </w:tabs>
        <w:ind w:right="49"/>
        <w:jc w:val="both"/>
        <w:rPr>
          <w:rFonts w:ascii="Times New Roman" w:hAnsi="Times New Roman" w:cs="Times New Roman"/>
          <w:color w:val="000000" w:themeColor="text1"/>
          <w:sz w:val="28"/>
          <w:szCs w:val="28"/>
        </w:rPr>
      </w:pPr>
    </w:p>
    <w:p w:rsidR="00F84606" w:rsidRPr="003A7DA4" w:rsidRDefault="003A7DA4" w:rsidP="00F84606">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Ahora bien</w:t>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 xml:space="preserve">la Sentencia C-126 de 2023 </w:t>
      </w:r>
      <w:r w:rsidRPr="003A7DA4">
        <w:rPr>
          <w:rFonts w:ascii="Times New Roman" w:hAnsi="Times New Roman" w:cs="Times New Roman"/>
          <w:color w:val="000000" w:themeColor="text1"/>
          <w:sz w:val="28"/>
          <w:szCs w:val="28"/>
          <w:lang w:val="es-ES"/>
        </w:rPr>
        <w:t>unificó la jurisprudencia de la Corte en relación con el momento a partir del cual es exigible la obligación contenida en el artículo 7 de la</w:t>
      </w:r>
      <w:r w:rsidRPr="003A7DA4">
        <w:rPr>
          <w:rFonts w:ascii="Times New Roman" w:hAnsi="Times New Roman" w:cs="Times New Roman"/>
          <w:color w:val="000000" w:themeColor="text1"/>
          <w:sz w:val="28"/>
          <w:szCs w:val="28"/>
          <w:lang w:val="es-ES"/>
        </w:rPr>
        <w:t xml:space="preserve"> Ley Orgánica 819 de 2003</w:t>
      </w:r>
      <w:r w:rsidRPr="003A7DA4">
        <w:rPr>
          <w:rFonts w:ascii="Times New Roman" w:hAnsi="Times New Roman" w:cs="Times New Roman"/>
          <w:color w:val="000000" w:themeColor="text1"/>
          <w:sz w:val="28"/>
          <w:szCs w:val="28"/>
          <w:lang w:val="es-ES"/>
        </w:rPr>
        <w:t xml:space="preserve">. </w:t>
      </w:r>
      <w:r w:rsidRPr="003A7DA4">
        <w:rPr>
          <w:rFonts w:ascii="Times New Roman" w:hAnsi="Times New Roman" w:cs="Times New Roman"/>
          <w:color w:val="000000" w:themeColor="text1"/>
          <w:sz w:val="28"/>
          <w:szCs w:val="28"/>
          <w:lang w:val="es-ES"/>
        </w:rPr>
        <w:t>La Sala precisó</w:t>
      </w:r>
      <w:r w:rsidRPr="003A7DA4">
        <w:rPr>
          <w:rFonts w:ascii="Times New Roman" w:hAnsi="Times New Roman" w:cs="Times New Roman"/>
          <w:color w:val="000000" w:themeColor="text1"/>
          <w:sz w:val="28"/>
          <w:szCs w:val="28"/>
        </w:rPr>
        <w:t xml:space="preserve"> que el requisito de impacto fiscal es exigible respecto de leyes aprobatorias de tratados internacionales, en los casos de </w:t>
      </w:r>
      <w:r w:rsidRPr="003A7DA4">
        <w:rPr>
          <w:rFonts w:ascii="Times New Roman" w:hAnsi="Times New Roman" w:cs="Times New Roman"/>
          <w:bCs/>
          <w:color w:val="000000" w:themeColor="text1"/>
          <w:sz w:val="28"/>
          <w:szCs w:val="28"/>
          <w:lang w:val="es-ES"/>
        </w:rPr>
        <w:t>proyectos de ley radicados en el Congreso de la República después del 30 de julio de 2021</w:t>
      </w:r>
      <w:r w:rsidRPr="003A7DA4">
        <w:rPr>
          <w:rFonts w:ascii="Times New Roman" w:hAnsi="Times New Roman" w:cs="Times New Roman"/>
          <w:bCs/>
          <w:color w:val="000000" w:themeColor="text1"/>
          <w:sz w:val="28"/>
          <w:szCs w:val="28"/>
          <w:lang w:val="es-ES"/>
        </w:rPr>
        <w:t xml:space="preserve"> </w:t>
      </w:r>
      <w:r w:rsidRPr="003A7DA4">
        <w:rPr>
          <w:rFonts w:ascii="Times New Roman" w:hAnsi="Times New Roman" w:cs="Times New Roman"/>
          <w:color w:val="000000" w:themeColor="text1"/>
          <w:sz w:val="28"/>
          <w:szCs w:val="28"/>
          <w:shd w:val="clear" w:color="auto" w:fill="FFFFFF"/>
        </w:rPr>
        <w:t>(presupuesto temporal)</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97"/>
      </w:r>
      <w:r w:rsidRPr="003A7DA4">
        <w:rPr>
          <w:rFonts w:ascii="Times New Roman" w:hAnsi="Times New Roman" w:cs="Times New Roman"/>
          <w:color w:val="000000" w:themeColor="text1"/>
          <w:sz w:val="28"/>
          <w:szCs w:val="28"/>
          <w:shd w:val="clear" w:color="auto" w:fill="FFFFFF"/>
        </w:rPr>
        <w:t>.</w:t>
      </w:r>
    </w:p>
    <w:p w:rsidR="00DF035B" w:rsidRPr="003A7DA4" w:rsidRDefault="003A7DA4" w:rsidP="00DF035B">
      <w:pPr>
        <w:tabs>
          <w:tab w:val="left" w:pos="426"/>
        </w:tabs>
        <w:ind w:right="49"/>
        <w:jc w:val="both"/>
        <w:rPr>
          <w:rFonts w:ascii="Times New Roman" w:hAnsi="Times New Roman" w:cs="Times New Roman"/>
          <w:color w:val="000000" w:themeColor="text1"/>
          <w:sz w:val="28"/>
          <w:szCs w:val="28"/>
        </w:rPr>
      </w:pPr>
    </w:p>
    <w:p w:rsidR="00B758C5" w:rsidRPr="003A7DA4" w:rsidRDefault="003A7DA4" w:rsidP="00F84606">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shd w:val="clear" w:color="auto" w:fill="FFFFFF"/>
        </w:rPr>
        <w:t xml:space="preserve">Sobre </w:t>
      </w:r>
      <w:r w:rsidRPr="003A7DA4">
        <w:rPr>
          <w:rFonts w:ascii="Times New Roman" w:hAnsi="Times New Roman" w:cs="Times New Roman"/>
          <w:color w:val="000000" w:themeColor="text1"/>
          <w:sz w:val="28"/>
          <w:szCs w:val="28"/>
          <w:shd w:val="clear" w:color="auto" w:fill="FFFFFF"/>
        </w:rPr>
        <w:t xml:space="preserve">la noción de gastos, la </w:t>
      </w:r>
      <w:r w:rsidRPr="003A7DA4">
        <w:rPr>
          <w:rFonts w:ascii="Times New Roman" w:hAnsi="Times New Roman" w:cs="Times New Roman"/>
          <w:color w:val="000000" w:themeColor="text1"/>
          <w:sz w:val="28"/>
          <w:szCs w:val="28"/>
          <w:shd w:val="clear" w:color="auto" w:fill="FFFFFF"/>
        </w:rPr>
        <w:t>S</w:t>
      </w:r>
      <w:r w:rsidRPr="003A7DA4">
        <w:rPr>
          <w:rFonts w:ascii="Times New Roman" w:hAnsi="Times New Roman" w:cs="Times New Roman"/>
          <w:color w:val="000000" w:themeColor="text1"/>
          <w:sz w:val="28"/>
          <w:szCs w:val="28"/>
          <w:shd w:val="clear" w:color="auto" w:fill="FFFFFF"/>
        </w:rPr>
        <w:t>entencia C</w:t>
      </w:r>
      <w:r w:rsidRPr="003A7DA4">
        <w:rPr>
          <w:rFonts w:ascii="Times New Roman" w:hAnsi="Times New Roman" w:cs="Times New Roman"/>
          <w:color w:val="000000" w:themeColor="text1"/>
          <w:sz w:val="28"/>
          <w:szCs w:val="28"/>
          <w:shd w:val="clear" w:color="auto" w:fill="FFFFFF"/>
        </w:rPr>
        <w:t>-</w:t>
      </w:r>
      <w:r w:rsidRPr="003A7DA4">
        <w:rPr>
          <w:rFonts w:ascii="Times New Roman" w:hAnsi="Times New Roman" w:cs="Times New Roman"/>
          <w:color w:val="000000" w:themeColor="text1"/>
          <w:sz w:val="28"/>
          <w:szCs w:val="28"/>
          <w:shd w:val="clear" w:color="auto" w:fill="FFFFFF"/>
        </w:rPr>
        <w:t xml:space="preserve">093 de 2024 explicó el avance jurisprudencial que existió en torno a dicho concepto e indicó que </w:t>
      </w:r>
      <w:r w:rsidRPr="003A7DA4">
        <w:rPr>
          <w:rFonts w:ascii="Times New Roman" w:hAnsi="Times New Roman" w:cs="Times New Roman"/>
          <w:color w:val="000000" w:themeColor="text1"/>
          <w:sz w:val="28"/>
          <w:szCs w:val="28"/>
          <w:lang w:val="es-ES"/>
        </w:rPr>
        <w:t>esta corporación, durante la mayor parte de ese desarrollo</w:t>
      </w:r>
      <w:r w:rsidRPr="003A7DA4">
        <w:rPr>
          <w:rFonts w:ascii="Times New Roman" w:hAnsi="Times New Roman" w:cs="Times New Roman"/>
          <w:color w:val="000000" w:themeColor="text1"/>
          <w:sz w:val="28"/>
          <w:szCs w:val="28"/>
          <w:lang w:val="es-ES"/>
        </w:rPr>
        <w:t>,</w:t>
      </w:r>
      <w:r w:rsidRPr="003A7DA4">
        <w:rPr>
          <w:rFonts w:ascii="Times New Roman" w:hAnsi="Times New Roman" w:cs="Times New Roman"/>
          <w:color w:val="000000" w:themeColor="text1"/>
          <w:sz w:val="28"/>
          <w:szCs w:val="28"/>
          <w:lang w:val="es-ES"/>
        </w:rPr>
        <w:t xml:space="preserve"> se limitó a verificar el carácter imperativo de la disposición analizada para establecer si resultaban o no exigible </w:t>
      </w:r>
      <w:r w:rsidRPr="003A7DA4">
        <w:rPr>
          <w:rFonts w:ascii="Times New Roman" w:hAnsi="Times New Roman" w:cs="Times New Roman"/>
          <w:color w:val="000000" w:themeColor="text1"/>
          <w:sz w:val="28"/>
          <w:szCs w:val="28"/>
          <w:lang w:val="es-ES"/>
        </w:rPr>
        <w:t>el análisis previsto en el artículo</w:t>
      </w:r>
      <w:r w:rsidRPr="003A7DA4">
        <w:rPr>
          <w:rFonts w:ascii="Times New Roman" w:hAnsi="Times New Roman" w:cs="Times New Roman"/>
          <w:color w:val="000000" w:themeColor="text1"/>
          <w:sz w:val="28"/>
          <w:szCs w:val="28"/>
          <w:lang w:val="es-ES"/>
        </w:rPr>
        <w:t xml:space="preserve"> 7º de la Ley 819 de 2003</w:t>
      </w:r>
      <w:r w:rsidRPr="003A7DA4">
        <w:rPr>
          <w:rFonts w:ascii="Times New Roman" w:hAnsi="Times New Roman" w:cs="Times New Roman"/>
          <w:color w:val="000000" w:themeColor="text1"/>
          <w:sz w:val="28"/>
          <w:szCs w:val="28"/>
          <w:lang w:val="es-ES"/>
        </w:rPr>
        <w:t>. A</w:t>
      </w:r>
      <w:r w:rsidRPr="003A7DA4">
        <w:rPr>
          <w:rFonts w:ascii="Times New Roman" w:hAnsi="Times New Roman" w:cs="Times New Roman"/>
          <w:color w:val="000000" w:themeColor="text1"/>
          <w:sz w:val="28"/>
          <w:szCs w:val="28"/>
          <w:lang w:val="es-ES"/>
        </w:rPr>
        <w:t xml:space="preserve"> modo de ejemplo, </w:t>
      </w:r>
      <w:r w:rsidRPr="003A7DA4">
        <w:rPr>
          <w:rFonts w:ascii="Times New Roman" w:hAnsi="Times New Roman" w:cs="Times New Roman"/>
          <w:color w:val="000000" w:themeColor="text1"/>
          <w:sz w:val="28"/>
          <w:szCs w:val="28"/>
          <w:lang w:val="es-ES"/>
        </w:rPr>
        <w:t>trajo a colación</w:t>
      </w:r>
      <w:r w:rsidRPr="003A7DA4">
        <w:rPr>
          <w:rFonts w:ascii="Times New Roman" w:hAnsi="Times New Roman" w:cs="Times New Roman"/>
          <w:color w:val="000000" w:themeColor="text1"/>
          <w:sz w:val="28"/>
          <w:szCs w:val="28"/>
          <w:lang w:val="es-ES"/>
        </w:rPr>
        <w:t xml:space="preserve"> las sentencias C-395 de 2021, C-447 de 2</w:t>
      </w:r>
      <w:r w:rsidRPr="003A7DA4">
        <w:rPr>
          <w:rFonts w:ascii="Times New Roman" w:hAnsi="Times New Roman" w:cs="Times New Roman"/>
          <w:color w:val="000000" w:themeColor="text1"/>
          <w:sz w:val="28"/>
          <w:szCs w:val="28"/>
          <w:lang w:val="es-ES"/>
        </w:rPr>
        <w:t xml:space="preserve">022 y C-361 de 2023, en las que </w:t>
      </w:r>
      <w:r w:rsidRPr="003A7DA4">
        <w:rPr>
          <w:rFonts w:ascii="Times New Roman" w:hAnsi="Times New Roman" w:cs="Times New Roman"/>
          <w:color w:val="000000" w:themeColor="text1"/>
          <w:sz w:val="28"/>
          <w:szCs w:val="28"/>
          <w:lang w:val="es-ES"/>
        </w:rPr>
        <w:t xml:space="preserve">indicó </w:t>
      </w:r>
      <w:r w:rsidRPr="003A7DA4">
        <w:rPr>
          <w:rFonts w:ascii="Times New Roman" w:hAnsi="Times New Roman" w:cs="Times New Roman"/>
          <w:color w:val="000000" w:themeColor="text1"/>
          <w:sz w:val="28"/>
          <w:szCs w:val="28"/>
          <w:lang w:val="es-ES"/>
        </w:rPr>
        <w:t>la necesidad de establecer si las leyes aprobatorias de tratado ordenan o autorizan gastos, pues solo en el primer supuesto</w:t>
      </w:r>
      <w:r w:rsidRPr="003A7DA4">
        <w:rPr>
          <w:rFonts w:ascii="Times New Roman" w:hAnsi="Times New Roman" w:cs="Times New Roman"/>
          <w:color w:val="000000" w:themeColor="text1"/>
          <w:sz w:val="28"/>
          <w:szCs w:val="28"/>
          <w:lang w:val="es-ES"/>
        </w:rPr>
        <w:t xml:space="preserve"> se consideraban </w:t>
      </w:r>
      <w:r w:rsidRPr="003A7DA4">
        <w:rPr>
          <w:rFonts w:ascii="Times New Roman" w:hAnsi="Times New Roman" w:cs="Times New Roman"/>
          <w:color w:val="000000" w:themeColor="text1"/>
          <w:sz w:val="28"/>
          <w:szCs w:val="28"/>
          <w:lang w:val="es-ES"/>
        </w:rPr>
        <w:t xml:space="preserve">exigible </w:t>
      </w:r>
      <w:r w:rsidRPr="003A7DA4">
        <w:rPr>
          <w:rFonts w:ascii="Times New Roman" w:hAnsi="Times New Roman" w:cs="Times New Roman"/>
          <w:color w:val="000000" w:themeColor="text1"/>
          <w:sz w:val="28"/>
          <w:szCs w:val="28"/>
          <w:lang w:val="es-ES"/>
        </w:rPr>
        <w:t>el análisis de impacto fiscal</w:t>
      </w:r>
      <w:r w:rsidRPr="003A7DA4">
        <w:rPr>
          <w:rFonts w:ascii="Times New Roman" w:hAnsi="Times New Roman" w:cs="Times New Roman"/>
          <w:color w:val="000000" w:themeColor="text1"/>
          <w:sz w:val="28"/>
          <w:szCs w:val="28"/>
          <w:lang w:val="es-ES"/>
        </w:rPr>
        <w:t>.</w:t>
      </w:r>
      <w:r w:rsidRPr="003A7DA4">
        <w:rPr>
          <w:rFonts w:ascii="Times New Roman" w:hAnsi="Times New Roman" w:cs="Times New Roman"/>
          <w:color w:val="000000" w:themeColor="text1"/>
          <w:sz w:val="28"/>
          <w:szCs w:val="28"/>
          <w:lang w:val="es-ES"/>
        </w:rPr>
        <w:t xml:space="preserve"> Finalmente, </w:t>
      </w:r>
      <w:r w:rsidRPr="003A7DA4">
        <w:rPr>
          <w:rFonts w:ascii="Times New Roman" w:hAnsi="Times New Roman" w:cs="Times New Roman"/>
          <w:color w:val="000000" w:themeColor="text1"/>
          <w:sz w:val="28"/>
          <w:szCs w:val="28"/>
          <w:lang w:val="es-ES"/>
        </w:rPr>
        <w:t>la</w:t>
      </w:r>
      <w:r w:rsidRPr="003A7DA4">
        <w:rPr>
          <w:rFonts w:ascii="Times New Roman" w:hAnsi="Times New Roman" w:cs="Times New Roman"/>
          <w:color w:val="000000" w:themeColor="text1"/>
          <w:sz w:val="28"/>
          <w:szCs w:val="28"/>
          <w:lang w:val="es-ES"/>
        </w:rPr>
        <w:t xml:space="preserve"> jurisprudencia vigente</w:t>
      </w:r>
      <w:r w:rsidRPr="003A7DA4">
        <w:rPr>
          <w:rFonts w:ascii="Times New Roman" w:hAnsi="Times New Roman" w:cs="Times New Roman"/>
          <w:color w:val="000000" w:themeColor="text1"/>
          <w:sz w:val="28"/>
          <w:szCs w:val="28"/>
          <w:lang w:val="es-ES"/>
        </w:rPr>
        <w:t xml:space="preserve"> sobre el</w:t>
      </w:r>
      <w:r w:rsidRPr="003A7DA4">
        <w:rPr>
          <w:rFonts w:ascii="Times New Roman" w:hAnsi="Times New Roman" w:cs="Times New Roman"/>
          <w:color w:val="000000" w:themeColor="text1"/>
          <w:sz w:val="28"/>
          <w:szCs w:val="28"/>
          <w:lang w:val="es-ES"/>
        </w:rPr>
        <w:t xml:space="preserve"> alcance del </w:t>
      </w:r>
      <w:r w:rsidRPr="003A7DA4">
        <w:rPr>
          <w:rFonts w:ascii="Times New Roman" w:hAnsi="Times New Roman" w:cs="Times New Roman"/>
          <w:color w:val="000000" w:themeColor="text1"/>
          <w:sz w:val="28"/>
          <w:szCs w:val="28"/>
          <w:lang w:val="es-ES"/>
        </w:rPr>
        <w:t>artículo 7º de la Ley 819 de 2003</w:t>
      </w:r>
      <w:r w:rsidRPr="003A7DA4">
        <w:rPr>
          <w:rFonts w:ascii="Times New Roman" w:hAnsi="Times New Roman" w:cs="Times New Roman"/>
          <w:color w:val="000000" w:themeColor="text1"/>
          <w:sz w:val="28"/>
          <w:szCs w:val="28"/>
          <w:lang w:val="es-ES"/>
        </w:rPr>
        <w:t xml:space="preserve">, </w:t>
      </w:r>
      <w:r w:rsidRPr="003A7DA4">
        <w:rPr>
          <w:rFonts w:ascii="Times New Roman" w:hAnsi="Times New Roman" w:cs="Times New Roman"/>
          <w:color w:val="000000" w:themeColor="text1"/>
          <w:sz w:val="28"/>
          <w:szCs w:val="28"/>
          <w:lang w:val="es-ES"/>
        </w:rPr>
        <w:t xml:space="preserve">exige verificar </w:t>
      </w:r>
      <w:r w:rsidRPr="003A7DA4">
        <w:rPr>
          <w:rFonts w:ascii="Times New Roman" w:hAnsi="Times New Roman" w:cs="Times New Roman"/>
          <w:color w:val="000000" w:themeColor="text1"/>
          <w:sz w:val="28"/>
          <w:szCs w:val="28"/>
          <w:lang w:val="es-ES"/>
        </w:rPr>
        <w:t>“además del criterio gramatical, resulta indispensable valorar si la disposición que establece el</w:t>
      </w:r>
      <w:r w:rsidRPr="003A7DA4">
        <w:rPr>
          <w:rFonts w:ascii="Times New Roman" w:hAnsi="Times New Roman" w:cs="Times New Roman"/>
          <w:i/>
          <w:iCs/>
          <w:color w:val="000000" w:themeColor="text1"/>
          <w:sz w:val="28"/>
          <w:szCs w:val="28"/>
          <w:lang w:val="es-ES"/>
        </w:rPr>
        <w:t xml:space="preserve"> gasto </w:t>
      </w:r>
      <w:r w:rsidRPr="003A7DA4">
        <w:rPr>
          <w:rFonts w:ascii="Times New Roman" w:hAnsi="Times New Roman" w:cs="Times New Roman"/>
          <w:color w:val="000000" w:themeColor="text1"/>
          <w:sz w:val="28"/>
          <w:szCs w:val="28"/>
          <w:lang w:val="es-ES"/>
        </w:rPr>
        <w:t>se expresa en términos generales, de tal modo que para su concreción se requier</w:t>
      </w:r>
      <w:r w:rsidRPr="003A7DA4">
        <w:rPr>
          <w:rFonts w:ascii="Times New Roman" w:hAnsi="Times New Roman" w:cs="Times New Roman"/>
          <w:color w:val="000000" w:themeColor="text1"/>
          <w:sz w:val="28"/>
          <w:szCs w:val="28"/>
          <w:lang w:val="es-ES"/>
        </w:rPr>
        <w:t xml:space="preserve">a la intervención del ejecutivo a efectos de incluir las partidas presupuestales necesarias en la ley del presupuesto”. </w:t>
      </w:r>
    </w:p>
    <w:p w:rsidR="00B758C5" w:rsidRPr="003A7DA4" w:rsidRDefault="003A7DA4" w:rsidP="00B758C5">
      <w:pPr>
        <w:tabs>
          <w:tab w:val="left" w:pos="426"/>
        </w:tabs>
        <w:ind w:right="49"/>
        <w:jc w:val="both"/>
        <w:rPr>
          <w:rFonts w:ascii="Times New Roman" w:hAnsi="Times New Roman" w:cs="Times New Roman"/>
          <w:color w:val="000000" w:themeColor="text1"/>
          <w:sz w:val="28"/>
          <w:szCs w:val="28"/>
        </w:rPr>
      </w:pPr>
    </w:p>
    <w:p w:rsidR="00B758C5" w:rsidRPr="003A7DA4" w:rsidRDefault="003A7DA4" w:rsidP="00B758C5">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lang w:val="es-ES"/>
        </w:rPr>
        <w:t xml:space="preserve">En esa línea, </w:t>
      </w:r>
      <w:r w:rsidRPr="003A7DA4">
        <w:rPr>
          <w:rFonts w:ascii="Times New Roman" w:hAnsi="Times New Roman" w:cs="Times New Roman"/>
          <w:color w:val="000000" w:themeColor="text1"/>
          <w:sz w:val="28"/>
          <w:szCs w:val="28"/>
          <w:lang w:val="es-ES"/>
        </w:rPr>
        <w:t xml:space="preserve">en </w:t>
      </w:r>
      <w:r w:rsidRPr="003A7DA4">
        <w:rPr>
          <w:rFonts w:ascii="Times New Roman" w:hAnsi="Times New Roman" w:cs="Times New Roman"/>
          <w:color w:val="000000" w:themeColor="text1"/>
          <w:sz w:val="28"/>
          <w:szCs w:val="28"/>
          <w:lang w:val="es-ES"/>
        </w:rPr>
        <w:t>la Sentencia C-134 de 2023 la Sala Plena señaló que</w:t>
      </w:r>
      <w:r w:rsidRPr="003A7DA4">
        <w:rPr>
          <w:rFonts w:ascii="Times New Roman" w:hAnsi="Times New Roman" w:cs="Times New Roman"/>
          <w:color w:val="000000" w:themeColor="text1"/>
          <w:sz w:val="28"/>
          <w:szCs w:val="28"/>
          <w:lang w:val="es-ES"/>
        </w:rPr>
        <w:t>:</w:t>
      </w:r>
      <w:r w:rsidRPr="003A7DA4">
        <w:rPr>
          <w:rFonts w:ascii="Times New Roman" w:hAnsi="Times New Roman" w:cs="Times New Roman"/>
          <w:color w:val="000000" w:themeColor="text1"/>
          <w:sz w:val="28"/>
          <w:szCs w:val="28"/>
          <w:lang w:val="es-ES"/>
        </w:rPr>
        <w:t xml:space="preserve"> “la ley ordena un gasto cuando (…) contiene un mandato imperativ</w:t>
      </w:r>
      <w:r w:rsidRPr="003A7DA4">
        <w:rPr>
          <w:rFonts w:ascii="Times New Roman" w:hAnsi="Times New Roman" w:cs="Times New Roman"/>
          <w:color w:val="000000" w:themeColor="text1"/>
          <w:sz w:val="28"/>
          <w:szCs w:val="28"/>
          <w:lang w:val="es-ES"/>
        </w:rPr>
        <w:t xml:space="preserve">o de gasto y, por tanto, constituye un título jurídico suficiente y obligatorio para la inclusión de una partida en la ley de presupuesto”. En igual sentido, en dicha decisión se estableció lo que </w:t>
      </w:r>
      <w:r w:rsidRPr="003A7DA4">
        <w:rPr>
          <w:rFonts w:ascii="Times New Roman" w:hAnsi="Times New Roman" w:cs="Times New Roman"/>
          <w:color w:val="000000" w:themeColor="text1"/>
          <w:sz w:val="28"/>
          <w:szCs w:val="28"/>
        </w:rPr>
        <w:t xml:space="preserve">no constituye una orden de gasto: “aquella previsión legal </w:t>
      </w:r>
      <w:r w:rsidRPr="003A7DA4">
        <w:rPr>
          <w:rFonts w:ascii="Times New Roman" w:hAnsi="Times New Roman" w:cs="Times New Roman"/>
          <w:color w:val="000000" w:themeColor="text1"/>
          <w:sz w:val="28"/>
          <w:szCs w:val="28"/>
        </w:rPr>
        <w:t>[i] en la cual se autoriza un determinado gasto, que se puede o no incluir en el presupuesto, a discreción del Gobierno Nacional; [ii] en la cual no es claro si se prescribe una orden o una autorización de gasto, ya que el Gobierno también puede definir có</w:t>
      </w:r>
      <w:r w:rsidRPr="003A7DA4">
        <w:rPr>
          <w:rFonts w:ascii="Times New Roman" w:hAnsi="Times New Roman" w:cs="Times New Roman"/>
          <w:color w:val="000000" w:themeColor="text1"/>
          <w:sz w:val="28"/>
          <w:szCs w:val="28"/>
        </w:rPr>
        <w:t>mo ejecuta la disposición; [iii] en la que el legislador se limita a habilitar la realización de ciertos arreglos presupuestales, sin predeterminar que estos tengan que consistir en un gasto, o [iv] en los eventos en los cuales se confieren competencias”.</w:t>
      </w:r>
    </w:p>
    <w:p w:rsidR="00B758C5" w:rsidRPr="003A7DA4" w:rsidRDefault="003A7DA4" w:rsidP="00B758C5">
      <w:pPr>
        <w:tabs>
          <w:tab w:val="left" w:pos="426"/>
        </w:tabs>
        <w:ind w:right="49"/>
        <w:jc w:val="both"/>
        <w:rPr>
          <w:rFonts w:ascii="Times New Roman" w:hAnsi="Times New Roman" w:cs="Times New Roman"/>
          <w:color w:val="000000" w:themeColor="text1"/>
          <w:sz w:val="28"/>
          <w:szCs w:val="28"/>
        </w:rPr>
      </w:pPr>
    </w:p>
    <w:p w:rsidR="00A961A3" w:rsidRPr="003A7DA4" w:rsidRDefault="003A7DA4" w:rsidP="00A961A3">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Así las cosas, la </w:t>
      </w:r>
      <w:r w:rsidRPr="003A7DA4">
        <w:rPr>
          <w:rFonts w:ascii="Times New Roman" w:hAnsi="Times New Roman" w:cs="Times New Roman"/>
          <w:color w:val="000000" w:themeColor="text1"/>
          <w:sz w:val="28"/>
          <w:szCs w:val="28"/>
        </w:rPr>
        <w:t xml:space="preserve">Sentencia </w:t>
      </w:r>
      <w:r w:rsidRPr="003A7DA4">
        <w:rPr>
          <w:rFonts w:ascii="Times New Roman" w:hAnsi="Times New Roman" w:cs="Times New Roman"/>
          <w:color w:val="000000" w:themeColor="text1"/>
          <w:sz w:val="28"/>
          <w:szCs w:val="28"/>
        </w:rPr>
        <w:t xml:space="preserve">C-093 de 2024 al hacer el estudio jurisprudencial sobre la noción de gasto, </w:t>
      </w:r>
      <w:r w:rsidRPr="003A7DA4">
        <w:rPr>
          <w:rFonts w:ascii="Times New Roman" w:hAnsi="Times New Roman" w:cs="Times New Roman"/>
          <w:color w:val="000000" w:themeColor="text1"/>
          <w:sz w:val="28"/>
          <w:szCs w:val="28"/>
        </w:rPr>
        <w:t xml:space="preserve">explicó que </w:t>
      </w:r>
      <w:r w:rsidRPr="003A7DA4">
        <w:rPr>
          <w:rFonts w:ascii="Times New Roman" w:hAnsi="Times New Roman" w:cs="Times New Roman"/>
          <w:color w:val="000000" w:themeColor="text1"/>
          <w:sz w:val="28"/>
          <w:szCs w:val="28"/>
          <w:lang w:val="es-ES" w:eastAsia="es-ES"/>
        </w:rPr>
        <w:t>para identificar si la disposición sometida a control de constitucionalidad establece una orden de gastos y, en consecuencia, si son exigib</w:t>
      </w:r>
      <w:r w:rsidRPr="003A7DA4">
        <w:rPr>
          <w:rFonts w:ascii="Times New Roman" w:hAnsi="Times New Roman" w:cs="Times New Roman"/>
          <w:color w:val="000000" w:themeColor="text1"/>
          <w:sz w:val="28"/>
          <w:szCs w:val="28"/>
          <w:lang w:val="es-ES" w:eastAsia="es-ES"/>
        </w:rPr>
        <w:t xml:space="preserve">les las obligaciones del artículo 7º de la Ley 819 de 2003, incluido el concepto al que se refiere el inciso 3º </w:t>
      </w:r>
      <w:r w:rsidRPr="003A7DA4">
        <w:rPr>
          <w:rFonts w:ascii="Times New Roman" w:hAnsi="Times New Roman" w:cs="Times New Roman"/>
          <w:i/>
          <w:iCs/>
          <w:color w:val="000000" w:themeColor="text1"/>
          <w:sz w:val="28"/>
          <w:szCs w:val="28"/>
          <w:lang w:val="es-ES" w:eastAsia="es-ES"/>
        </w:rPr>
        <w:t>ibidem</w:t>
      </w:r>
      <w:r w:rsidRPr="003A7DA4">
        <w:rPr>
          <w:rFonts w:ascii="Times New Roman" w:hAnsi="Times New Roman" w:cs="Times New Roman"/>
          <w:color w:val="000000" w:themeColor="text1"/>
          <w:sz w:val="28"/>
          <w:szCs w:val="28"/>
          <w:lang w:val="es-ES" w:eastAsia="es-ES"/>
        </w:rPr>
        <w:t>, se acude a dos elementos analíticos</w:t>
      </w:r>
      <w:r w:rsidRPr="003A7DA4">
        <w:rPr>
          <w:rFonts w:ascii="Times New Roman" w:hAnsi="Times New Roman" w:cs="Times New Roman"/>
          <w:color w:val="000000" w:themeColor="text1"/>
          <w:sz w:val="28"/>
          <w:szCs w:val="28"/>
          <w:lang w:val="es-ES" w:eastAsia="es-ES"/>
        </w:rPr>
        <w:t>:</w:t>
      </w:r>
    </w:p>
    <w:p w:rsidR="00A961A3" w:rsidRPr="003A7DA4" w:rsidRDefault="003A7DA4" w:rsidP="00A961A3">
      <w:pPr>
        <w:tabs>
          <w:tab w:val="left" w:pos="567"/>
        </w:tabs>
        <w:ind w:right="49"/>
        <w:jc w:val="both"/>
        <w:rPr>
          <w:rFonts w:ascii="Times New Roman" w:hAnsi="Times New Roman" w:cs="Times New Roman"/>
          <w:color w:val="000000" w:themeColor="text1"/>
          <w:sz w:val="28"/>
          <w:szCs w:val="28"/>
          <w:lang w:val="es-ES" w:eastAsia="es-ES"/>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3949"/>
      </w:tblGrid>
      <w:tr w:rsidR="00A961A3" w:rsidRPr="003A7DA4" w:rsidTr="00177DA9">
        <w:tc>
          <w:tcPr>
            <w:tcW w:w="4840" w:type="dxa"/>
            <w:shd w:val="clear" w:color="auto" w:fill="D9D9D9" w:themeFill="background1" w:themeFillShade="D9"/>
          </w:tcPr>
          <w:p w:rsidR="00A961A3" w:rsidRPr="003A7DA4" w:rsidRDefault="003A7DA4" w:rsidP="00177DA9">
            <w:pPr>
              <w:jc w:val="center"/>
              <w:outlineLvl w:val="0"/>
              <w:rPr>
                <w:rFonts w:ascii="Times New Roman" w:hAnsi="Times New Roman" w:cs="Times New Roman"/>
                <w:b/>
                <w:color w:val="000000" w:themeColor="text1"/>
                <w:sz w:val="28"/>
                <w:lang w:val="es-ES_tradnl" w:eastAsia="es-ES"/>
              </w:rPr>
            </w:pPr>
            <w:r w:rsidRPr="003A7DA4">
              <w:rPr>
                <w:rFonts w:ascii="Times New Roman" w:hAnsi="Times New Roman" w:cs="Times New Roman"/>
                <w:b/>
                <w:color w:val="000000" w:themeColor="text1"/>
                <w:sz w:val="28"/>
                <w:lang w:val="es-ES_tradnl" w:eastAsia="es-ES"/>
              </w:rPr>
              <w:t>“Elemento gramatical</w:t>
            </w:r>
          </w:p>
        </w:tc>
        <w:tc>
          <w:tcPr>
            <w:tcW w:w="3949" w:type="dxa"/>
            <w:shd w:val="clear" w:color="auto" w:fill="D9D9D9" w:themeFill="background1" w:themeFillShade="D9"/>
          </w:tcPr>
          <w:p w:rsidR="00A961A3" w:rsidRPr="003A7DA4" w:rsidRDefault="003A7DA4" w:rsidP="00177DA9">
            <w:pPr>
              <w:jc w:val="center"/>
              <w:outlineLvl w:val="0"/>
              <w:rPr>
                <w:rFonts w:ascii="Times New Roman" w:hAnsi="Times New Roman" w:cs="Times New Roman"/>
                <w:b/>
                <w:color w:val="000000" w:themeColor="text1"/>
                <w:sz w:val="28"/>
                <w:lang w:val="es-ES_tradnl" w:eastAsia="es-ES"/>
              </w:rPr>
            </w:pPr>
            <w:r w:rsidRPr="003A7DA4">
              <w:rPr>
                <w:rFonts w:ascii="Times New Roman" w:hAnsi="Times New Roman" w:cs="Times New Roman"/>
                <w:b/>
                <w:color w:val="000000" w:themeColor="text1"/>
                <w:sz w:val="28"/>
                <w:lang w:val="es-ES_tradnl" w:eastAsia="es-ES"/>
              </w:rPr>
              <w:t>Elemento funcional</w:t>
            </w:r>
          </w:p>
        </w:tc>
      </w:tr>
      <w:tr w:rsidR="00A961A3" w:rsidRPr="003A7DA4" w:rsidTr="00177DA9">
        <w:tc>
          <w:tcPr>
            <w:tcW w:w="4840" w:type="dxa"/>
          </w:tcPr>
          <w:p w:rsidR="00A961A3" w:rsidRPr="003A7DA4" w:rsidRDefault="003A7DA4" w:rsidP="00F11F02">
            <w:pPr>
              <w:jc w:val="both"/>
              <w:rPr>
                <w:rFonts w:ascii="Times New Roman" w:hAnsi="Times New Roman" w:cs="Times New Roman"/>
                <w:color w:val="000000" w:themeColor="text1"/>
                <w:sz w:val="28"/>
                <w:lang w:val="es-ES"/>
              </w:rPr>
            </w:pPr>
            <w:r w:rsidRPr="003A7DA4">
              <w:rPr>
                <w:rFonts w:ascii="Times New Roman" w:hAnsi="Times New Roman" w:cs="Times New Roman"/>
                <w:color w:val="000000" w:themeColor="text1"/>
                <w:sz w:val="28"/>
                <w:shd w:val="clear" w:color="auto" w:fill="FFFFFF"/>
                <w:lang w:val="es-ES"/>
              </w:rPr>
              <w:t xml:space="preserve">Se debe establecer si los términos de la norma, respecto </w:t>
            </w:r>
            <w:r w:rsidRPr="003A7DA4">
              <w:rPr>
                <w:rFonts w:ascii="Times New Roman" w:hAnsi="Times New Roman" w:cs="Times New Roman"/>
                <w:color w:val="000000" w:themeColor="text1"/>
                <w:sz w:val="28"/>
                <w:shd w:val="clear" w:color="auto" w:fill="FFFFFF"/>
                <w:lang w:val="es-ES"/>
              </w:rPr>
              <w:t>de la inclusión del gasto en el presupuesto, son imperativos o facultativos</w:t>
            </w:r>
          </w:p>
          <w:p w:rsidR="00A961A3" w:rsidRPr="003A7DA4" w:rsidRDefault="003A7DA4" w:rsidP="00F11F02">
            <w:pPr>
              <w:tabs>
                <w:tab w:val="left" w:pos="567"/>
              </w:tabs>
              <w:ind w:right="49"/>
              <w:jc w:val="both"/>
              <w:rPr>
                <w:rFonts w:ascii="Times New Roman" w:hAnsi="Times New Roman" w:cs="Times New Roman"/>
                <w:color w:val="000000" w:themeColor="text1"/>
                <w:sz w:val="28"/>
                <w:lang w:val="es-ES" w:eastAsia="es-ES"/>
              </w:rPr>
            </w:pPr>
          </w:p>
        </w:tc>
        <w:tc>
          <w:tcPr>
            <w:tcW w:w="3949" w:type="dxa"/>
          </w:tcPr>
          <w:p w:rsidR="00A961A3" w:rsidRPr="003A7DA4" w:rsidRDefault="003A7DA4" w:rsidP="00F11F02">
            <w:pPr>
              <w:jc w:val="both"/>
              <w:rPr>
                <w:rFonts w:ascii="Times New Roman" w:hAnsi="Times New Roman" w:cs="Times New Roman"/>
                <w:color w:val="000000" w:themeColor="text1"/>
                <w:sz w:val="28"/>
                <w:lang w:val="es-ES"/>
              </w:rPr>
            </w:pPr>
            <w:r w:rsidRPr="003A7DA4">
              <w:rPr>
                <w:rFonts w:ascii="Times New Roman" w:hAnsi="Times New Roman" w:cs="Times New Roman"/>
                <w:color w:val="000000" w:themeColor="text1"/>
                <w:sz w:val="28"/>
                <w:shd w:val="clear" w:color="auto" w:fill="FFFFFF"/>
                <w:lang w:val="es-ES"/>
              </w:rPr>
              <w:t>Se debe establecer si la norma se expresa en términos generales, de tal modo que para su implementación se requiera la intervención del ejecutivo a efectos de incluir las partidas</w:t>
            </w:r>
            <w:r w:rsidRPr="003A7DA4">
              <w:rPr>
                <w:rFonts w:ascii="Times New Roman" w:hAnsi="Times New Roman" w:cs="Times New Roman"/>
                <w:color w:val="000000" w:themeColor="text1"/>
                <w:sz w:val="28"/>
                <w:shd w:val="clear" w:color="auto" w:fill="FFFFFF"/>
                <w:lang w:val="es-ES"/>
              </w:rPr>
              <w:t xml:space="preserve"> presupuestales necesarias en la ley del presupuesto o algún tipo de desarrollo normativo relacionado”.</w:t>
            </w:r>
            <w:r w:rsidRPr="003A7DA4">
              <w:rPr>
                <w:rStyle w:val="Refdenotaalpie"/>
                <w:rFonts w:ascii="Times New Roman" w:hAnsi="Times New Roman" w:cs="Times New Roman"/>
                <w:color w:val="000000" w:themeColor="text1"/>
                <w:sz w:val="28"/>
                <w:szCs w:val="24"/>
                <w:shd w:val="clear" w:color="auto" w:fill="FFFFFF"/>
                <w:lang w:val="es-ES"/>
              </w:rPr>
              <w:footnoteReference w:id="98"/>
            </w:r>
          </w:p>
        </w:tc>
      </w:tr>
    </w:tbl>
    <w:p w:rsidR="00A961A3" w:rsidRPr="003A7DA4" w:rsidRDefault="003A7DA4" w:rsidP="00A961A3">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síntesis, la exigencia sobre el análisis de impacto fiscal respecto de leyes aprobatorias de tratados internacionales depende de que se acrediten dos presupuestos: de un lado, </w:t>
      </w:r>
      <w:r w:rsidRPr="003A7DA4">
        <w:rPr>
          <w:rFonts w:ascii="Times New Roman" w:hAnsi="Times New Roman" w:cs="Times New Roman"/>
          <w:i/>
          <w:iCs/>
          <w:color w:val="000000" w:themeColor="text1"/>
          <w:sz w:val="28"/>
          <w:szCs w:val="28"/>
        </w:rPr>
        <w:t>el factor temporal</w:t>
      </w:r>
      <w:r w:rsidRPr="003A7DA4">
        <w:rPr>
          <w:rFonts w:ascii="Times New Roman" w:hAnsi="Times New Roman" w:cs="Times New Roman"/>
          <w:color w:val="000000" w:themeColor="text1"/>
          <w:sz w:val="28"/>
          <w:szCs w:val="28"/>
        </w:rPr>
        <w:t xml:space="preserve">, según el cual el proyecto de ley aprobatoria del tratado </w:t>
      </w:r>
      <w:r w:rsidRPr="003A7DA4">
        <w:rPr>
          <w:rFonts w:ascii="Times New Roman" w:hAnsi="Times New Roman" w:cs="Times New Roman"/>
          <w:color w:val="000000" w:themeColor="text1"/>
          <w:sz w:val="28"/>
          <w:szCs w:val="28"/>
        </w:rPr>
        <w:t xml:space="preserve">internacional haya sido radicado con posterioridad al 30 de julio de 2021, fecha en la cual se notificó la Sentencia C-170 de 2021 </w:t>
      </w:r>
      <w:r w:rsidRPr="003A7DA4">
        <w:rPr>
          <w:rFonts w:ascii="Times New Roman" w:hAnsi="Times New Roman" w:cs="Times New Roman"/>
          <w:color w:val="000000" w:themeColor="text1"/>
          <w:sz w:val="28"/>
          <w:szCs w:val="28"/>
        </w:rPr>
        <w:t xml:space="preserve">y, del otro, </w:t>
      </w:r>
      <w:r w:rsidRPr="003A7DA4">
        <w:rPr>
          <w:rFonts w:ascii="Times New Roman" w:hAnsi="Times New Roman" w:cs="Times New Roman"/>
          <w:color w:val="000000" w:themeColor="text1"/>
          <w:sz w:val="28"/>
          <w:szCs w:val="28"/>
        </w:rPr>
        <w:t xml:space="preserve">el </w:t>
      </w:r>
      <w:r w:rsidRPr="003A7DA4">
        <w:rPr>
          <w:rFonts w:ascii="Times New Roman" w:hAnsi="Times New Roman" w:cs="Times New Roman"/>
          <w:i/>
          <w:iCs/>
          <w:color w:val="000000" w:themeColor="text1"/>
          <w:sz w:val="28"/>
          <w:szCs w:val="28"/>
        </w:rPr>
        <w:t>factor material</w:t>
      </w:r>
      <w:r w:rsidRPr="003A7DA4">
        <w:rPr>
          <w:rFonts w:ascii="Times New Roman" w:hAnsi="Times New Roman" w:cs="Times New Roman"/>
          <w:color w:val="000000" w:themeColor="text1"/>
          <w:sz w:val="28"/>
          <w:szCs w:val="28"/>
        </w:rPr>
        <w:t>, referido a que alguna de las disposiciones del tratado analizado contenga una orden de gasto</w:t>
      </w:r>
      <w:r w:rsidRPr="003A7DA4">
        <w:rPr>
          <w:rFonts w:ascii="Times New Roman" w:hAnsi="Times New Roman" w:cs="Times New Roman"/>
          <w:color w:val="000000" w:themeColor="text1"/>
          <w:sz w:val="28"/>
          <w:szCs w:val="28"/>
        </w:rPr>
        <w:t xml:space="preserve"> o conceda un beneficio tributario</w:t>
      </w:r>
      <w:r w:rsidRPr="003A7DA4">
        <w:rPr>
          <w:rFonts w:ascii="Times New Roman" w:hAnsi="Times New Roman" w:cs="Times New Roman"/>
          <w:color w:val="000000" w:themeColor="text1"/>
          <w:sz w:val="28"/>
          <w:szCs w:val="28"/>
        </w:rPr>
        <w:t>.</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Ahora bien, la Corte Constitucional ha declarado la inexequibilidad de leyes aprobatorias de tratados internacionales porque contienen beneficios tributarios, en tres oportunidades, como se muestra en el siguiente cuadr</w:t>
      </w:r>
      <w:r w:rsidRPr="003A7DA4">
        <w:rPr>
          <w:rFonts w:ascii="Times New Roman" w:hAnsi="Times New Roman" w:cs="Times New Roman"/>
          <w:color w:val="000000" w:themeColor="text1"/>
          <w:sz w:val="28"/>
          <w:szCs w:val="28"/>
        </w:rPr>
        <w:t>o:</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tbl>
      <w:tblPr>
        <w:tblStyle w:val="Tablaconcuadrcula"/>
        <w:tblW w:w="0" w:type="auto"/>
        <w:tblLook w:val="04A0" w:firstRow="1" w:lastRow="0" w:firstColumn="1" w:lastColumn="0" w:noHBand="0" w:noVBand="1"/>
      </w:tblPr>
      <w:tblGrid>
        <w:gridCol w:w="4414"/>
        <w:gridCol w:w="4414"/>
      </w:tblGrid>
      <w:tr w:rsidR="00EC4959" w:rsidRPr="003A7DA4" w:rsidTr="002C5333">
        <w:tc>
          <w:tcPr>
            <w:tcW w:w="4414"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szCs w:val="24"/>
                <w:lang w:val="es-ES_tradnl" w:eastAsia="es-ES"/>
              </w:rPr>
            </w:pPr>
            <w:r w:rsidRPr="003A7DA4">
              <w:rPr>
                <w:rFonts w:ascii="Times New Roman" w:hAnsi="Times New Roman"/>
                <w:b/>
                <w:color w:val="000000" w:themeColor="text1"/>
                <w:sz w:val="28"/>
                <w:lang w:val="es-ES_tradnl" w:eastAsia="es-ES"/>
              </w:rPr>
              <w:t>Ley aprobatoria del tratado</w:t>
            </w:r>
          </w:p>
        </w:tc>
        <w:tc>
          <w:tcPr>
            <w:tcW w:w="4414"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szCs w:val="24"/>
                <w:lang w:val="es-ES_tradnl" w:eastAsia="es-ES"/>
              </w:rPr>
            </w:pPr>
            <w:r w:rsidRPr="003A7DA4">
              <w:rPr>
                <w:rFonts w:ascii="Times New Roman" w:hAnsi="Times New Roman"/>
                <w:b/>
                <w:color w:val="000000" w:themeColor="text1"/>
                <w:sz w:val="28"/>
                <w:lang w:val="es-ES_tradnl" w:eastAsia="es-ES"/>
              </w:rPr>
              <w:t>Sentencia</w:t>
            </w:r>
          </w:p>
        </w:tc>
      </w:tr>
      <w:tr w:rsidR="00EC4959" w:rsidRPr="003A7DA4" w:rsidTr="002C5333">
        <w:tc>
          <w:tcPr>
            <w:tcW w:w="4414" w:type="dxa"/>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b/>
                <w:bCs/>
                <w:color w:val="000000" w:themeColor="text1"/>
                <w:sz w:val="28"/>
                <w:szCs w:val="24"/>
              </w:rPr>
              <w:t>Ley 2246 de 2022</w:t>
            </w:r>
            <w:r w:rsidRPr="003A7DA4">
              <w:rPr>
                <w:rFonts w:ascii="Times New Roman" w:hAnsi="Times New Roman"/>
                <w:color w:val="000000" w:themeColor="text1"/>
                <w:sz w:val="28"/>
                <w:szCs w:val="24"/>
              </w:rPr>
              <w:t>, aprobatoria del “Acuerdo entre el Gobierno de la República de Colombia y el Gobierno de los Emiratos Árabes Unidos en relación con servicios aéreos entre y más allá de sus respectivos territorios</w:t>
            </w:r>
            <w:r w:rsidRPr="003A7DA4">
              <w:rPr>
                <w:rFonts w:ascii="Times New Roman" w:hAnsi="Times New Roman"/>
                <w:color w:val="000000" w:themeColor="text1"/>
                <w:sz w:val="28"/>
                <w:szCs w:val="24"/>
              </w:rPr>
              <w:t>”.</w:t>
            </w:r>
          </w:p>
        </w:tc>
        <w:tc>
          <w:tcPr>
            <w:tcW w:w="4414" w:type="dxa"/>
          </w:tcPr>
          <w:p w:rsidR="00EC4959" w:rsidRPr="003A7DA4" w:rsidRDefault="003A7DA4" w:rsidP="002C5333">
            <w:pPr>
              <w:rPr>
                <w:rFonts w:ascii="Times New Roman" w:hAnsi="Times New Roman"/>
                <w:b/>
                <w:bCs/>
                <w:color w:val="000000" w:themeColor="text1"/>
                <w:sz w:val="28"/>
                <w:szCs w:val="24"/>
              </w:rPr>
            </w:pPr>
            <w:r w:rsidRPr="003A7DA4">
              <w:rPr>
                <w:rFonts w:ascii="Times New Roman" w:hAnsi="Times New Roman"/>
                <w:b/>
                <w:bCs/>
                <w:color w:val="000000" w:themeColor="text1"/>
                <w:sz w:val="28"/>
                <w:szCs w:val="24"/>
              </w:rPr>
              <w:t xml:space="preserve">C-175 de 2023. </w:t>
            </w:r>
            <w:r w:rsidRPr="003A7DA4">
              <w:rPr>
                <w:rFonts w:ascii="Times New Roman" w:hAnsi="Times New Roman"/>
                <w:color w:val="000000" w:themeColor="text1"/>
                <w:sz w:val="28"/>
                <w:szCs w:val="24"/>
              </w:rPr>
              <w:t>Declaró la inexequibilidad de la ley.</w:t>
            </w:r>
          </w:p>
          <w:p w:rsidR="00EC4959" w:rsidRPr="003A7DA4" w:rsidRDefault="003A7DA4" w:rsidP="002C5333">
            <w:pPr>
              <w:ind w:left="1080" w:hanging="720"/>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Sobre el presupuesto material, la Sala señaló que si bien el tratado no tenía como objeto la regulación de reglas tributarias, lo cierto es que dicho instrumento previó beneficios tributarios en los artículos 6 (exenciones a equipos de aeronaves, insumos p</w:t>
            </w:r>
            <w:r w:rsidRPr="003A7DA4">
              <w:rPr>
                <w:rFonts w:ascii="Times New Roman" w:hAnsi="Times New Roman"/>
                <w:color w:val="000000" w:themeColor="text1"/>
                <w:sz w:val="28"/>
                <w:szCs w:val="24"/>
              </w:rPr>
              <w:t>ara su operación y producto para venta o consumo en la aeronave) y 7.4 (exenciones a equipaje y carga en tránsito, de derechos de aduana, impuestos sobre el consumo y otros derechos y cargos nacionales y/o locales similares, razón por la cual se declaró la</w:t>
            </w:r>
            <w:r w:rsidRPr="003A7DA4">
              <w:rPr>
                <w:rFonts w:ascii="Times New Roman" w:hAnsi="Times New Roman"/>
                <w:color w:val="000000" w:themeColor="text1"/>
                <w:sz w:val="28"/>
                <w:szCs w:val="24"/>
              </w:rPr>
              <w:t xml:space="preserve"> inexequibilidad de la ley por tratarse de un vicio insubsanable. </w:t>
            </w:r>
          </w:p>
          <w:p w:rsidR="00EC4959" w:rsidRPr="003A7DA4" w:rsidRDefault="003A7DA4" w:rsidP="002C5333">
            <w:pPr>
              <w:jc w:val="both"/>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Se encontró igualmente acreditado el requisito temporal, pues el proyecto se radicó con posterioridad a la notificación de la Sentencia C-170 de 2021.</w:t>
            </w:r>
          </w:p>
        </w:tc>
      </w:tr>
      <w:tr w:rsidR="00EC4959" w:rsidRPr="003A7DA4" w:rsidTr="002C5333">
        <w:tc>
          <w:tcPr>
            <w:tcW w:w="4414" w:type="dxa"/>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b/>
                <w:bCs/>
                <w:color w:val="000000" w:themeColor="text1"/>
                <w:sz w:val="28"/>
                <w:szCs w:val="24"/>
              </w:rPr>
              <w:t>Ley 2284 de 2023,</w:t>
            </w:r>
            <w:r w:rsidRPr="003A7DA4">
              <w:rPr>
                <w:rFonts w:ascii="Times New Roman" w:hAnsi="Times New Roman"/>
                <w:color w:val="000000" w:themeColor="text1"/>
                <w:sz w:val="28"/>
                <w:szCs w:val="24"/>
              </w:rPr>
              <w:t xml:space="preserve"> por la cual se apr</w:t>
            </w:r>
            <w:r w:rsidRPr="003A7DA4">
              <w:rPr>
                <w:rFonts w:ascii="Times New Roman" w:hAnsi="Times New Roman"/>
                <w:color w:val="000000" w:themeColor="text1"/>
                <w:sz w:val="28"/>
                <w:szCs w:val="24"/>
              </w:rPr>
              <w:t>obó el “Acuerdo de incorporación de Singapur como Estado asociado a la Alianza del Pacífico integrado por la República de Chile, la República de Colombia, los Estados Unidos Mexicanos y la República de Perú con la República de Singapur”.</w:t>
            </w:r>
          </w:p>
        </w:tc>
        <w:tc>
          <w:tcPr>
            <w:tcW w:w="4414" w:type="dxa"/>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 xml:space="preserve">Sentencia </w:t>
            </w:r>
            <w:r w:rsidRPr="003A7DA4">
              <w:rPr>
                <w:rFonts w:ascii="Times New Roman" w:hAnsi="Times New Roman"/>
                <w:b/>
                <w:bCs/>
                <w:color w:val="000000" w:themeColor="text1"/>
                <w:sz w:val="28"/>
                <w:szCs w:val="24"/>
              </w:rPr>
              <w:t>C-424 de</w:t>
            </w:r>
            <w:r w:rsidRPr="003A7DA4">
              <w:rPr>
                <w:rFonts w:ascii="Times New Roman" w:hAnsi="Times New Roman"/>
                <w:b/>
                <w:bCs/>
                <w:color w:val="000000" w:themeColor="text1"/>
                <w:sz w:val="28"/>
                <w:szCs w:val="24"/>
              </w:rPr>
              <w:t xml:space="preserve"> 2023</w:t>
            </w:r>
            <w:r w:rsidRPr="003A7DA4">
              <w:rPr>
                <w:rFonts w:ascii="Times New Roman" w:hAnsi="Times New Roman"/>
                <w:color w:val="000000" w:themeColor="text1"/>
                <w:sz w:val="28"/>
                <w:szCs w:val="24"/>
              </w:rPr>
              <w:t xml:space="preserve">. Declaró la inexequibilidad de la ley aprobatoria. </w:t>
            </w:r>
          </w:p>
          <w:p w:rsidR="00EC4959" w:rsidRPr="003A7DA4" w:rsidRDefault="003A7DA4" w:rsidP="002C5333">
            <w:pPr>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Desde el punto de vita material, la Sala encontró la necesidad de analizar el impacto fiscal, debido a que el instrumento internacional establecía la eliminación, exención o el reembolso de los ara</w:t>
            </w:r>
            <w:r w:rsidRPr="003A7DA4">
              <w:rPr>
                <w:rFonts w:ascii="Times New Roman" w:hAnsi="Times New Roman"/>
                <w:color w:val="000000" w:themeColor="text1"/>
                <w:sz w:val="28"/>
                <w:szCs w:val="24"/>
              </w:rPr>
              <w:t>nceles aduaneros, los impuestos y otros cargos a la exportación, entre otros.</w:t>
            </w:r>
          </w:p>
          <w:p w:rsidR="00EC4959" w:rsidRPr="003A7DA4" w:rsidRDefault="003A7DA4" w:rsidP="002C5333">
            <w:pPr>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Dicho análisis era exigible porque el proyecto se radicó con posterioridad a la notificación de la Sentencia C-170 de 2021, por lo que se cumplió el presupuesto temporal.</w:t>
            </w:r>
          </w:p>
        </w:tc>
      </w:tr>
      <w:tr w:rsidR="00EC4959" w:rsidRPr="003A7DA4" w:rsidTr="002C5333">
        <w:tc>
          <w:tcPr>
            <w:tcW w:w="4414" w:type="dxa"/>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b/>
                <w:bCs/>
                <w:color w:val="000000" w:themeColor="text1"/>
                <w:sz w:val="28"/>
                <w:szCs w:val="24"/>
              </w:rPr>
              <w:t>Ley 2</w:t>
            </w:r>
            <w:r w:rsidRPr="003A7DA4">
              <w:rPr>
                <w:rFonts w:ascii="Times New Roman" w:hAnsi="Times New Roman"/>
                <w:b/>
                <w:bCs/>
                <w:color w:val="000000" w:themeColor="text1"/>
                <w:sz w:val="28"/>
                <w:szCs w:val="24"/>
              </w:rPr>
              <w:t>274 de 2022,</w:t>
            </w:r>
            <w:r w:rsidRPr="003A7DA4">
              <w:rPr>
                <w:rFonts w:ascii="Times New Roman" w:hAnsi="Times New Roman"/>
                <w:color w:val="000000" w:themeColor="text1"/>
                <w:sz w:val="28"/>
                <w:szCs w:val="24"/>
              </w:rPr>
              <w:t xml:space="preserve"> por medio de la cual se aprueba el “Convenio Marco de Cooperación entre la República de Colombia y el Reino de España”</w:t>
            </w:r>
          </w:p>
        </w:tc>
        <w:tc>
          <w:tcPr>
            <w:tcW w:w="4414" w:type="dxa"/>
          </w:tcPr>
          <w:p w:rsidR="00EC4959" w:rsidRPr="003A7DA4" w:rsidRDefault="003A7DA4" w:rsidP="002C5333">
            <w:pPr>
              <w:rPr>
                <w:rFonts w:ascii="Times New Roman" w:hAnsi="Times New Roman"/>
                <w:color w:val="000000" w:themeColor="text1"/>
                <w:sz w:val="28"/>
                <w:szCs w:val="24"/>
              </w:rPr>
            </w:pPr>
            <w:r w:rsidRPr="003A7DA4">
              <w:rPr>
                <w:rFonts w:ascii="Times New Roman" w:hAnsi="Times New Roman"/>
                <w:b/>
                <w:bCs/>
                <w:color w:val="000000" w:themeColor="text1"/>
                <w:sz w:val="28"/>
                <w:szCs w:val="24"/>
              </w:rPr>
              <w:t>C-459 de 2023.</w:t>
            </w:r>
            <w:r w:rsidRPr="003A7DA4">
              <w:rPr>
                <w:rFonts w:ascii="Times New Roman" w:hAnsi="Times New Roman"/>
                <w:color w:val="000000" w:themeColor="text1"/>
                <w:sz w:val="28"/>
                <w:szCs w:val="24"/>
              </w:rPr>
              <w:t xml:space="preserve"> Declaró la inexequibilidad de la ley aprobatoria</w:t>
            </w:r>
            <w:r w:rsidRPr="003A7DA4">
              <w:rPr>
                <w:rFonts w:ascii="Times New Roman" w:hAnsi="Times New Roman"/>
                <w:i/>
                <w:iCs/>
                <w:color w:val="000000" w:themeColor="text1"/>
                <w:sz w:val="28"/>
                <w:szCs w:val="24"/>
              </w:rPr>
              <w:t>.</w:t>
            </w:r>
            <w:r w:rsidRPr="003A7DA4">
              <w:rPr>
                <w:rFonts w:ascii="Times New Roman" w:hAnsi="Times New Roman"/>
                <w:color w:val="000000" w:themeColor="text1"/>
                <w:sz w:val="28"/>
                <w:szCs w:val="24"/>
              </w:rPr>
              <w:t xml:space="preserve"> </w:t>
            </w:r>
          </w:p>
          <w:p w:rsidR="00EC4959" w:rsidRPr="003A7DA4" w:rsidRDefault="003A7DA4" w:rsidP="002C5333">
            <w:pPr>
              <w:jc w:val="both"/>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 xml:space="preserve">Desde el punto de vista material, la Sala encontró que el instrumento internacional consagró beneficios tributarios a favor del personal cooperante de la misión diplomática y del director y/o coordinador de las Unidades de Cooperación en el exterior de la </w:t>
            </w:r>
            <w:r w:rsidRPr="003A7DA4">
              <w:rPr>
                <w:rFonts w:ascii="Times New Roman" w:hAnsi="Times New Roman"/>
                <w:color w:val="000000" w:themeColor="text1"/>
                <w:sz w:val="28"/>
                <w:szCs w:val="24"/>
              </w:rPr>
              <w:t xml:space="preserve">Agencia Española de Cooperación Internacional para el Desarrollo (AECID). </w:t>
            </w:r>
          </w:p>
          <w:p w:rsidR="00EC4959" w:rsidRPr="003A7DA4" w:rsidRDefault="003A7DA4" w:rsidP="002C5333">
            <w:pPr>
              <w:jc w:val="both"/>
              <w:rPr>
                <w:rFonts w:ascii="Times New Roman" w:hAnsi="Times New Roman"/>
                <w:color w:val="000000" w:themeColor="text1"/>
                <w:sz w:val="28"/>
                <w:szCs w:val="24"/>
              </w:rPr>
            </w:pPr>
          </w:p>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Desde el punto de vista temporal, la Corte encontró que la iniciativa se radicó con posterioridad a la notificación de la Sentencia C-170 de 2021.</w:t>
            </w:r>
          </w:p>
        </w:tc>
      </w:tr>
      <w:tr w:rsidR="00C55F10" w:rsidRPr="003A7DA4" w:rsidTr="002C5333">
        <w:tc>
          <w:tcPr>
            <w:tcW w:w="4414" w:type="dxa"/>
          </w:tcPr>
          <w:p w:rsidR="00C55F10" w:rsidRPr="003A7DA4" w:rsidRDefault="003A7DA4" w:rsidP="002C5333">
            <w:pPr>
              <w:jc w:val="both"/>
              <w:rPr>
                <w:rFonts w:ascii="Times New Roman" w:hAnsi="Times New Roman"/>
                <w:b/>
                <w:bCs/>
                <w:color w:val="000000" w:themeColor="text1"/>
                <w:sz w:val="28"/>
                <w:szCs w:val="24"/>
              </w:rPr>
            </w:pPr>
            <w:r w:rsidRPr="003A7DA4">
              <w:rPr>
                <w:rFonts w:ascii="Times New Roman" w:hAnsi="Times New Roman"/>
                <w:b/>
                <w:bCs/>
                <w:color w:val="000000" w:themeColor="text1"/>
                <w:sz w:val="28"/>
                <w:szCs w:val="24"/>
                <w:lang w:val="es-ES_tradnl"/>
              </w:rPr>
              <w:t xml:space="preserve">Ley 2293 del 26 de abril de 2023, </w:t>
            </w:r>
            <w:r w:rsidRPr="003A7DA4">
              <w:rPr>
                <w:rFonts w:ascii="Times New Roman" w:hAnsi="Times New Roman"/>
                <w:color w:val="000000" w:themeColor="text1"/>
                <w:sz w:val="28"/>
                <w:szCs w:val="24"/>
                <w:lang w:val="es-ES_tradnl"/>
              </w:rPr>
              <w:t>por medio de la cual se aprueba el “Protocolo Adicional</w:t>
            </w:r>
            <w:r w:rsidRPr="003A7DA4">
              <w:rPr>
                <w:rFonts w:ascii="Times New Roman" w:hAnsi="Times New Roman"/>
                <w:color w:val="000000" w:themeColor="text1"/>
                <w:sz w:val="28"/>
                <w:szCs w:val="24"/>
                <w:lang w:val="es-CO"/>
              </w:rPr>
              <w:t xml:space="preserve"> del Acuerdo Comercial entre la Unión Europea y sus Estados Miembros, por una parte, y Colombia y el Perú, por otra, para tener en cuenta la adhesión de la República d</w:t>
            </w:r>
            <w:r w:rsidRPr="003A7DA4">
              <w:rPr>
                <w:rFonts w:ascii="Times New Roman" w:hAnsi="Times New Roman"/>
                <w:color w:val="000000" w:themeColor="text1"/>
                <w:sz w:val="28"/>
                <w:szCs w:val="24"/>
                <w:lang w:val="es-CO"/>
              </w:rPr>
              <w:t>e Croacia a la Unión Europea”</w:t>
            </w:r>
            <w:r w:rsidRPr="003A7DA4">
              <w:rPr>
                <w:rFonts w:ascii="Times New Roman" w:hAnsi="Times New Roman"/>
                <w:color w:val="000000" w:themeColor="text1"/>
                <w:sz w:val="28"/>
                <w:szCs w:val="24"/>
                <w:lang w:val="es-CO"/>
              </w:rPr>
              <w:t>.</w:t>
            </w:r>
          </w:p>
        </w:tc>
        <w:tc>
          <w:tcPr>
            <w:tcW w:w="4414" w:type="dxa"/>
          </w:tcPr>
          <w:p w:rsidR="00E20D6C" w:rsidRPr="003A7DA4" w:rsidRDefault="003A7DA4" w:rsidP="00D23799">
            <w:pPr>
              <w:jc w:val="both"/>
              <w:rPr>
                <w:rFonts w:ascii="Times New Roman" w:hAnsi="Times New Roman"/>
                <w:color w:val="000000" w:themeColor="text1"/>
                <w:sz w:val="28"/>
                <w:szCs w:val="24"/>
              </w:rPr>
            </w:pPr>
            <w:r w:rsidRPr="003A7DA4">
              <w:rPr>
                <w:rFonts w:ascii="Times New Roman" w:hAnsi="Times New Roman"/>
                <w:b/>
                <w:bCs/>
                <w:color w:val="000000" w:themeColor="text1"/>
                <w:sz w:val="28"/>
                <w:szCs w:val="24"/>
              </w:rPr>
              <w:t>C-116 de 2024.</w:t>
            </w:r>
            <w:r w:rsidRPr="003A7DA4">
              <w:rPr>
                <w:rFonts w:ascii="Times New Roman" w:hAnsi="Times New Roman"/>
                <w:color w:val="000000" w:themeColor="text1"/>
                <w:sz w:val="28"/>
                <w:szCs w:val="24"/>
              </w:rPr>
              <w:t xml:space="preserve"> Declaró la inexequibilidad de la ley aprobatoria</w:t>
            </w:r>
            <w:r w:rsidRPr="003A7DA4">
              <w:rPr>
                <w:rFonts w:ascii="Times New Roman" w:hAnsi="Times New Roman"/>
                <w:i/>
                <w:iCs/>
                <w:color w:val="000000" w:themeColor="text1"/>
                <w:sz w:val="28"/>
                <w:szCs w:val="24"/>
              </w:rPr>
              <w:t>.</w:t>
            </w:r>
            <w:r w:rsidRPr="003A7DA4">
              <w:rPr>
                <w:rFonts w:ascii="Times New Roman" w:hAnsi="Times New Roman"/>
                <w:color w:val="000000" w:themeColor="text1"/>
                <w:sz w:val="28"/>
                <w:szCs w:val="24"/>
              </w:rPr>
              <w:t xml:space="preserve"> </w:t>
            </w:r>
          </w:p>
          <w:p w:rsidR="00AD2F24" w:rsidRPr="003A7DA4" w:rsidRDefault="003A7DA4" w:rsidP="00D23799">
            <w:pPr>
              <w:jc w:val="both"/>
              <w:rPr>
                <w:rFonts w:ascii="Times New Roman" w:hAnsi="Times New Roman"/>
                <w:color w:val="000000" w:themeColor="text1"/>
                <w:sz w:val="28"/>
                <w:szCs w:val="24"/>
              </w:rPr>
            </w:pPr>
          </w:p>
          <w:p w:rsidR="00AD2F24" w:rsidRPr="003A7DA4" w:rsidRDefault="003A7DA4" w:rsidP="001B6BCF">
            <w:pPr>
              <w:jc w:val="both"/>
              <w:rPr>
                <w:rFonts w:ascii="Times New Roman" w:hAnsi="Times New Roman"/>
                <w:color w:val="000000" w:themeColor="text1"/>
                <w:sz w:val="28"/>
                <w:szCs w:val="24"/>
              </w:rPr>
            </w:pPr>
            <w:r w:rsidRPr="003A7DA4">
              <w:rPr>
                <w:rFonts w:ascii="Times New Roman" w:hAnsi="Times New Roman"/>
                <w:sz w:val="28"/>
                <w:szCs w:val="24"/>
              </w:rPr>
              <w:t xml:space="preserve">El análisis era exigible porque el proyecto se radicó con posterioridad a la notificación de la Sentencia C-170 de 2021, por lo que se cumplió el presupuesto temporal. </w:t>
            </w:r>
            <w:r w:rsidRPr="003A7DA4">
              <w:rPr>
                <w:rFonts w:ascii="Times New Roman" w:hAnsi="Times New Roman"/>
                <w:iCs/>
                <w:sz w:val="28"/>
                <w:szCs w:val="24"/>
              </w:rPr>
              <w:t>El proyecto de ley aprobatorio fue radicado en el Congreso de la República el 23 de sept</w:t>
            </w:r>
            <w:r w:rsidRPr="003A7DA4">
              <w:rPr>
                <w:rFonts w:ascii="Times New Roman" w:hAnsi="Times New Roman"/>
                <w:iCs/>
                <w:sz w:val="28"/>
                <w:szCs w:val="24"/>
              </w:rPr>
              <w:t>iembre de 2021, es decir, aproximadamente un mes y 23 días después de la notificación de ese fallo.</w:t>
            </w:r>
          </w:p>
          <w:p w:rsidR="0009347B" w:rsidRPr="003A7DA4" w:rsidRDefault="003A7DA4" w:rsidP="00225894">
            <w:pPr>
              <w:jc w:val="both"/>
              <w:rPr>
                <w:rFonts w:ascii="Times New Roman" w:hAnsi="Times New Roman"/>
                <w:color w:val="000000" w:themeColor="text1"/>
                <w:sz w:val="28"/>
                <w:szCs w:val="24"/>
              </w:rPr>
            </w:pPr>
          </w:p>
          <w:p w:rsidR="00225894" w:rsidRPr="003A7DA4" w:rsidRDefault="003A7DA4" w:rsidP="00225894">
            <w:pPr>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 xml:space="preserve">Desde el punto de vita material, la Sala encontró la necesidad de analizar el impacto fiscal, debido a que el instrumento internacional establecía </w:t>
            </w:r>
            <w:r w:rsidRPr="003A7DA4">
              <w:rPr>
                <w:rFonts w:ascii="Times New Roman" w:hAnsi="Times New Roman"/>
                <w:iCs/>
                <w:color w:val="000000" w:themeColor="text1"/>
                <w:sz w:val="28"/>
                <w:szCs w:val="24"/>
                <w:lang w:val="es-CO"/>
              </w:rPr>
              <w:t>benefici</w:t>
            </w:r>
            <w:r w:rsidRPr="003A7DA4">
              <w:rPr>
                <w:rFonts w:ascii="Times New Roman" w:hAnsi="Times New Roman"/>
                <w:iCs/>
                <w:color w:val="000000" w:themeColor="text1"/>
                <w:sz w:val="28"/>
                <w:szCs w:val="24"/>
                <w:lang w:val="es-CO"/>
              </w:rPr>
              <w:t xml:space="preserve">os a la República de Croacia que no aplicaban previamente a ese país, tales como, la exoneración de aranceles aduaneros y de otros gravámenes para un alto porcentaje de productos importados. </w:t>
            </w:r>
          </w:p>
          <w:p w:rsidR="00C55F10" w:rsidRPr="003A7DA4" w:rsidRDefault="003A7DA4" w:rsidP="006536C5">
            <w:pPr>
              <w:jc w:val="both"/>
              <w:rPr>
                <w:rFonts w:ascii="Times New Roman" w:hAnsi="Times New Roman"/>
                <w:b/>
                <w:bCs/>
                <w:sz w:val="28"/>
                <w:szCs w:val="24"/>
              </w:rPr>
            </w:pPr>
          </w:p>
        </w:tc>
      </w:tr>
    </w:tbl>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cuanto al estándar de análisis para determinar si procede </w:t>
      </w:r>
      <w:r w:rsidRPr="003A7DA4">
        <w:rPr>
          <w:rFonts w:ascii="Times New Roman" w:hAnsi="Times New Roman" w:cs="Times New Roman"/>
          <w:color w:val="000000" w:themeColor="text1"/>
          <w:sz w:val="28"/>
          <w:szCs w:val="28"/>
        </w:rPr>
        <w:t>exigir el análisis de impacto fiscal por la existencia de un beneficio tributario, esta Corte ha optado por un examen que identifica la naturaleza de las medidas relacionadas, para concluir silogísticamente que si estas tienen tal alcance, es preciso acred</w:t>
      </w:r>
      <w:r w:rsidRPr="003A7DA4">
        <w:rPr>
          <w:rFonts w:ascii="Times New Roman" w:hAnsi="Times New Roman" w:cs="Times New Roman"/>
          <w:color w:val="000000" w:themeColor="text1"/>
          <w:sz w:val="28"/>
          <w:szCs w:val="28"/>
        </w:rPr>
        <w:t xml:space="preserve">itar que se cumplió con la obligación prevista por el artículo 7 de la Ley 819 de 2003, so pena de declararse la inexequibilidad de la ley.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la Sentencia C-459 de 2023, luego de una revisión de las normas que establecían beneficios en el tratado </w:t>
      </w:r>
      <w:r w:rsidRPr="003A7DA4">
        <w:rPr>
          <w:rFonts w:ascii="Times New Roman" w:hAnsi="Times New Roman" w:cs="Times New Roman"/>
          <w:color w:val="000000" w:themeColor="text1"/>
          <w:sz w:val="28"/>
          <w:szCs w:val="28"/>
        </w:rPr>
        <w:t>analizado, concluyó esta corporación lo siguiente: “</w:t>
      </w:r>
      <w:r w:rsidRPr="003A7DA4">
        <w:rPr>
          <w:rFonts w:ascii="Times New Roman" w:hAnsi="Times New Roman" w:cs="Times New Roman"/>
          <w:color w:val="000000" w:themeColor="text1"/>
          <w:sz w:val="28"/>
          <w:szCs w:val="28"/>
          <w:shd w:val="clear" w:color="auto" w:fill="FFFFFF"/>
        </w:rPr>
        <w:t>teniendo en cuenta que las normas referidas exoneran del pago de impuestos y gravámenes nacionales a algunos actos y sujetos pasivos que normalmente estarían gravados, se considera que estas consagran ben</w:t>
      </w:r>
      <w:r w:rsidRPr="003A7DA4">
        <w:rPr>
          <w:rFonts w:ascii="Times New Roman" w:hAnsi="Times New Roman" w:cs="Times New Roman"/>
          <w:color w:val="000000" w:themeColor="text1"/>
          <w:sz w:val="28"/>
          <w:szCs w:val="28"/>
          <w:shd w:val="clear" w:color="auto" w:fill="FFFFFF"/>
        </w:rPr>
        <w:t xml:space="preserve">eficios tributarios que debieron ser analizados durante el trámite legislativo del proyecto que dio lugar a la expedición de la Ley 2274 de 2022, a la luz de los deberes y mandatos de actuación que se derivan del artículo 7° de la Ley 819 de 2003”. Por su </w:t>
      </w:r>
      <w:r w:rsidRPr="003A7DA4">
        <w:rPr>
          <w:rFonts w:ascii="Times New Roman" w:hAnsi="Times New Roman" w:cs="Times New Roman"/>
          <w:color w:val="000000" w:themeColor="text1"/>
          <w:sz w:val="28"/>
          <w:szCs w:val="28"/>
          <w:shd w:val="clear" w:color="auto" w:fill="FFFFFF"/>
        </w:rPr>
        <w:t>parte, en la Sentencia C-175 de 2023 se señaló que: “De su literalidad [cláusula analizada] se deduce que esta disposición del tratado ubica a ciertos bienes en una situación preferencial al relevarlos de pagar derechos de aduana, impuestos sobre el consum</w:t>
      </w:r>
      <w:r w:rsidRPr="003A7DA4">
        <w:rPr>
          <w:rFonts w:ascii="Times New Roman" w:hAnsi="Times New Roman" w:cs="Times New Roman"/>
          <w:color w:val="000000" w:themeColor="text1"/>
          <w:sz w:val="28"/>
          <w:szCs w:val="28"/>
          <w:shd w:val="clear" w:color="auto" w:fill="FFFFFF"/>
        </w:rPr>
        <w:t>o e, inclusive, impuestos del ámbito nacional y territorial”.</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6536C5">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Ahora bien, en las sentencias citadas la Corte ha precisado aspectos puntuales como la temporalidad del beneficio o su impacto concreto. Sobre el primer asunto, la Sentencia C-175 de 2023 preci</w:t>
      </w:r>
      <w:r w:rsidRPr="003A7DA4">
        <w:rPr>
          <w:rFonts w:ascii="Times New Roman" w:hAnsi="Times New Roman" w:cs="Times New Roman"/>
          <w:color w:val="000000" w:themeColor="text1"/>
          <w:sz w:val="28"/>
          <w:szCs w:val="28"/>
        </w:rPr>
        <w:t>só que: “</w:t>
      </w:r>
      <w:r w:rsidRPr="003A7DA4">
        <w:rPr>
          <w:rFonts w:ascii="Times New Roman" w:hAnsi="Times New Roman" w:cs="Times New Roman"/>
          <w:color w:val="000000" w:themeColor="text1"/>
          <w:sz w:val="28"/>
          <w:szCs w:val="28"/>
          <w:shd w:val="clear" w:color="auto" w:fill="FFFFFF"/>
        </w:rPr>
        <w:t>El tratamiento tributario aquí incorporado no se trata de un mero llamado a otorgar una exención futura, sino que implica el reconocimiento de un trato diferenciado a la línea aérea designada o a aquella con la que esta contrate, así la regulación</w:t>
      </w:r>
      <w:r w:rsidRPr="003A7DA4">
        <w:rPr>
          <w:rFonts w:ascii="Times New Roman" w:hAnsi="Times New Roman" w:cs="Times New Roman"/>
          <w:color w:val="000000" w:themeColor="text1"/>
          <w:sz w:val="28"/>
          <w:szCs w:val="28"/>
          <w:shd w:val="clear" w:color="auto" w:fill="FFFFFF"/>
        </w:rPr>
        <w:t xml:space="preserve"> nacional no la incluya y, en todo caso, teniendo en cuenta la normativa interna (...)”. Sobre el impacto concreto del beneficio, en la Sentencia C-424 de 2023, la Sala encontró varios beneficios de carácter tributario y precisó que dichas “cláusulas tiene</w:t>
      </w:r>
      <w:r w:rsidRPr="003A7DA4">
        <w:rPr>
          <w:rFonts w:ascii="Times New Roman" w:hAnsi="Times New Roman" w:cs="Times New Roman"/>
          <w:color w:val="000000" w:themeColor="text1"/>
          <w:sz w:val="28"/>
          <w:szCs w:val="28"/>
          <w:shd w:val="clear" w:color="auto" w:fill="FFFFFF"/>
        </w:rPr>
        <w:t>n un claro potencial de impacto fiscal”.</w:t>
      </w:r>
    </w:p>
    <w:p w:rsidR="00AB1A05" w:rsidRPr="003A7DA4" w:rsidRDefault="003A7DA4" w:rsidP="004B477E">
      <w:pPr>
        <w:ind w:left="1080"/>
        <w:rPr>
          <w:rFonts w:ascii="Times New Roman" w:hAnsi="Times New Roman" w:cs="Times New Roman"/>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lang w:val="es-ES_tradnl"/>
        </w:rPr>
        <w:t xml:space="preserve">La Sala concluye que se deben verificar ciertos </w:t>
      </w:r>
      <w:r w:rsidRPr="003A7DA4">
        <w:rPr>
          <w:rFonts w:ascii="Times New Roman" w:hAnsi="Times New Roman" w:cs="Times New Roman"/>
          <w:color w:val="000000" w:themeColor="text1"/>
          <w:sz w:val="28"/>
          <w:szCs w:val="28"/>
        </w:rPr>
        <w:t>elementos frente a la exigencia de considerar el impacto fiscal en materia de benéficos tributarios como requisito del trámite aprobatorio de tratados internacionales</w:t>
      </w:r>
      <w:r w:rsidRPr="003A7DA4">
        <w:rPr>
          <w:rFonts w:ascii="Times New Roman" w:hAnsi="Times New Roman" w:cs="Times New Roman"/>
          <w:color w:val="000000" w:themeColor="text1"/>
          <w:sz w:val="28"/>
          <w:szCs w:val="28"/>
        </w:rPr>
        <w:t>, tales como: (i) que opere sobre beneficios tributarios, esto es, exenciones, exclusiones o tarifas preferenciales; (ii) que se predique de actos o de sujetos pasivos; (ii) que puedan recaer sobre impuestos nacionales o territoriales; (iii) basta con la i</w:t>
      </w:r>
      <w:r w:rsidRPr="003A7DA4">
        <w:rPr>
          <w:rFonts w:ascii="Times New Roman" w:hAnsi="Times New Roman" w:cs="Times New Roman"/>
          <w:color w:val="000000" w:themeColor="text1"/>
          <w:sz w:val="28"/>
          <w:szCs w:val="28"/>
        </w:rPr>
        <w:t>dentificación de un potencial impacto fiscal; y (iv) el análisis comprende la literalidad de la medida incorporada al instrumento internacional.</w:t>
      </w:r>
    </w:p>
    <w:p w:rsidR="00EC4959" w:rsidRPr="003A7DA4" w:rsidRDefault="003A7DA4" w:rsidP="004B477E">
      <w:pPr>
        <w:ind w:left="720"/>
        <w:rPr>
          <w:rFonts w:ascii="Times New Roman" w:hAnsi="Times New Roman" w:cs="Times New Roman"/>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Como lo precisó la Corte Constitucional en la Sentencia C-175 de 2023, “el alcance, magnitud o condiciones del</w:t>
      </w:r>
      <w:r w:rsidRPr="003A7DA4">
        <w:rPr>
          <w:rFonts w:ascii="Times New Roman" w:hAnsi="Times New Roman" w:cs="Times New Roman"/>
          <w:color w:val="000000" w:themeColor="text1"/>
          <w:sz w:val="28"/>
          <w:szCs w:val="28"/>
        </w:rPr>
        <w:t xml:space="preserve"> régimen exceptivo no determina la necesidad de acreditar tal requisito orgánico, pues inclusive pudiera verificarse que el efecto práctico en términos fiscales fuera neutro, pese a lo cual, para los propósitos de racionalidad legislativa y la necesaria de</w:t>
      </w:r>
      <w:r w:rsidRPr="003A7DA4">
        <w:rPr>
          <w:rFonts w:ascii="Times New Roman" w:hAnsi="Times New Roman" w:cs="Times New Roman"/>
          <w:color w:val="000000" w:themeColor="text1"/>
          <w:sz w:val="28"/>
          <w:szCs w:val="28"/>
        </w:rPr>
        <w:t>liberación en este aspecto, lo que se demanda es que razonadamente el Gobierno exponga el análisis sobre la norma de cara a sus posibles incidencias fiscales”.</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 </w:t>
      </w: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Previamente a abordar el estudio en el presente caso, debe tenerse en cuenta que en la Sentenc</w:t>
      </w:r>
      <w:r w:rsidRPr="003A7DA4">
        <w:rPr>
          <w:rFonts w:ascii="Times New Roman" w:hAnsi="Times New Roman" w:cs="Times New Roman"/>
          <w:color w:val="000000" w:themeColor="text1"/>
          <w:sz w:val="28"/>
          <w:szCs w:val="28"/>
        </w:rPr>
        <w:t>ia C-36</w:t>
      </w:r>
      <w:r w:rsidRPr="003A7DA4">
        <w:rPr>
          <w:rFonts w:ascii="Times New Roman" w:hAnsi="Times New Roman" w:cs="Times New Roman"/>
          <w:color w:val="000000" w:themeColor="text1"/>
          <w:sz w:val="28"/>
          <w:szCs w:val="28"/>
        </w:rPr>
        <w:t>1</w:t>
      </w:r>
      <w:r w:rsidRPr="003A7DA4">
        <w:rPr>
          <w:rFonts w:ascii="Times New Roman" w:hAnsi="Times New Roman" w:cs="Times New Roman"/>
          <w:color w:val="000000" w:themeColor="text1"/>
          <w:sz w:val="28"/>
          <w:szCs w:val="28"/>
        </w:rPr>
        <w:t xml:space="preserve"> de 2023, la Corte Constitucional revisó el tratado</w:t>
      </w:r>
      <w:r w:rsidRPr="003A7DA4">
        <w:rPr>
          <w:rFonts w:ascii="Times New Roman" w:hAnsi="Times New Roman" w:cs="Times New Roman"/>
          <w:color w:val="000000" w:themeColor="text1"/>
          <w:sz w:val="28"/>
          <w:szCs w:val="28"/>
          <w:shd w:val="clear" w:color="auto" w:fill="FFFFFF"/>
        </w:rPr>
        <w:t xml:space="preserve"> entre Colombia y la República Italia</w:t>
      </w:r>
      <w:r w:rsidRPr="003A7DA4">
        <w:rPr>
          <w:rFonts w:ascii="Times New Roman" w:hAnsi="Times New Roman" w:cs="Times New Roman"/>
          <w:color w:val="000000" w:themeColor="text1"/>
          <w:sz w:val="28"/>
          <w:szCs w:val="28"/>
          <w:shd w:val="clear" w:color="auto" w:fill="FFFFFF"/>
        </w:rPr>
        <w:t>na</w:t>
      </w:r>
      <w:r w:rsidRPr="003A7DA4">
        <w:rPr>
          <w:rFonts w:ascii="Times New Roman" w:hAnsi="Times New Roman" w:cs="Times New Roman"/>
          <w:color w:val="000000" w:themeColor="text1"/>
          <w:sz w:val="28"/>
          <w:szCs w:val="28"/>
          <w:shd w:val="clear" w:color="auto" w:fill="FFFFFF"/>
        </w:rPr>
        <w:t xml:space="preserve"> sobre asistencia legal recíproca en materia penal, cuyo texto es muy similar al que ahora se estudia. Sobre el análisis del impacto fiscal se sostuvo en dicha providencia:</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6"/>
          <w:shd w:val="clear" w:color="auto" w:fill="FFFFFF"/>
        </w:rPr>
      </w:pPr>
    </w:p>
    <w:p w:rsidR="00EC4959" w:rsidRPr="003A7DA4" w:rsidRDefault="003A7DA4" w:rsidP="00AF7778">
      <w:pPr>
        <w:tabs>
          <w:tab w:val="left" w:pos="426"/>
        </w:tabs>
        <w:ind w:left="567" w:right="616"/>
        <w:jc w:val="both"/>
        <w:rPr>
          <w:rFonts w:ascii="Times New Roman" w:hAnsi="Times New Roman" w:cs="Times New Roman"/>
          <w:color w:val="000000" w:themeColor="text1"/>
          <w:sz w:val="28"/>
          <w:shd w:val="clear" w:color="auto" w:fill="FFFFFF"/>
        </w:rPr>
      </w:pPr>
      <w:r w:rsidRPr="003A7DA4">
        <w:rPr>
          <w:rFonts w:ascii="Times New Roman" w:hAnsi="Times New Roman" w:cs="Times New Roman"/>
          <w:color w:val="000000" w:themeColor="text1"/>
          <w:sz w:val="28"/>
          <w:shd w:val="clear" w:color="auto" w:fill="FFFFFF"/>
        </w:rPr>
        <w:t>“La Sala Plena constata que en el presente caso no se reúnen los presupuestos mate</w:t>
      </w:r>
      <w:r w:rsidRPr="003A7DA4">
        <w:rPr>
          <w:rFonts w:ascii="Times New Roman" w:hAnsi="Times New Roman" w:cs="Times New Roman"/>
          <w:color w:val="000000" w:themeColor="text1"/>
          <w:sz w:val="28"/>
          <w:shd w:val="clear" w:color="auto" w:fill="FFFFFF"/>
        </w:rPr>
        <w:t>rial ni temporal que condicionan la aplicabilidad de la exigencia prevista en el artículo 7 de la Ley Orgánica 819 de 2003. Esto, porque</w:t>
      </w:r>
      <w:r w:rsidRPr="003A7DA4">
        <w:rPr>
          <w:rStyle w:val="apple-converted-space"/>
          <w:rFonts w:ascii="Times New Roman" w:eastAsiaTheme="majorEastAsia" w:hAnsi="Times New Roman" w:cs="Times New Roman"/>
          <w:color w:val="000000" w:themeColor="text1"/>
          <w:sz w:val="28"/>
          <w:shd w:val="clear" w:color="auto" w:fill="FFFFFF"/>
        </w:rPr>
        <w:t xml:space="preserve"> </w:t>
      </w:r>
      <w:r w:rsidRPr="003A7DA4">
        <w:rPr>
          <w:rFonts w:ascii="Times New Roman" w:hAnsi="Times New Roman" w:cs="Times New Roman"/>
          <w:color w:val="000000" w:themeColor="text1"/>
          <w:sz w:val="28"/>
          <w:shd w:val="clear" w:color="auto" w:fill="FFFFFF"/>
        </w:rPr>
        <w:t>(i)</w:t>
      </w:r>
      <w:r w:rsidRPr="003A7DA4">
        <w:rPr>
          <w:rStyle w:val="apple-converted-space"/>
          <w:rFonts w:ascii="Times New Roman" w:eastAsiaTheme="majorEastAsia" w:hAnsi="Times New Roman" w:cs="Times New Roman"/>
          <w:color w:val="000000" w:themeColor="text1"/>
          <w:sz w:val="28"/>
          <w:shd w:val="clear" w:color="auto" w:fill="FFFFFF"/>
        </w:rPr>
        <w:t xml:space="preserve"> </w:t>
      </w:r>
      <w:r w:rsidRPr="003A7DA4">
        <w:rPr>
          <w:rFonts w:ascii="Times New Roman" w:hAnsi="Times New Roman" w:cs="Times New Roman"/>
          <w:color w:val="000000" w:themeColor="text1"/>
          <w:sz w:val="28"/>
          <w:shd w:val="clear" w:color="auto" w:fill="FFFFFF"/>
        </w:rPr>
        <w:t>ninguna disposición del Tratado otorga beneficios tributarios ni ordena gasto</w:t>
      </w:r>
      <w:r w:rsidRPr="003A7DA4">
        <w:rPr>
          <w:rFonts w:ascii="Times New Roman" w:hAnsi="Times New Roman" w:cs="Times New Roman"/>
          <w:b/>
          <w:bCs/>
          <w:color w:val="000000" w:themeColor="text1"/>
          <w:sz w:val="28"/>
          <w:shd w:val="clear" w:color="auto" w:fill="FFFFFF"/>
        </w:rPr>
        <w:t xml:space="preserve"> </w:t>
      </w:r>
      <w:r w:rsidRPr="003A7DA4">
        <w:rPr>
          <w:rFonts w:ascii="Times New Roman" w:hAnsi="Times New Roman" w:cs="Times New Roman"/>
          <w:color w:val="000000" w:themeColor="text1"/>
          <w:sz w:val="28"/>
          <w:shd w:val="clear" w:color="auto" w:fill="FFFFFF"/>
        </w:rPr>
        <w:t xml:space="preserve">y (ii) el </w:t>
      </w:r>
      <w:r w:rsidRPr="003A7DA4">
        <w:rPr>
          <w:rFonts w:ascii="Times New Roman" w:hAnsi="Times New Roman" w:cs="Times New Roman"/>
          <w:b/>
          <w:bCs/>
          <w:color w:val="000000" w:themeColor="text1"/>
          <w:sz w:val="28"/>
          <w:shd w:val="clear" w:color="auto" w:fill="FFFFFF"/>
        </w:rPr>
        <w:t>proyecto de ley y su exposi</w:t>
      </w:r>
      <w:r w:rsidRPr="003A7DA4">
        <w:rPr>
          <w:rFonts w:ascii="Times New Roman" w:hAnsi="Times New Roman" w:cs="Times New Roman"/>
          <w:b/>
          <w:bCs/>
          <w:color w:val="000000" w:themeColor="text1"/>
          <w:sz w:val="28"/>
          <w:shd w:val="clear" w:color="auto" w:fill="FFFFFF"/>
        </w:rPr>
        <w:t>ción de motivos fueron radicados por el Gobierno nacional ante el Senado de la República el 26 de agosto de 2020. Esto es, más de once meses antes de la notificación de la sentencia C-170 de 2021. Por estas razones, la Sala se abstendrá de analizar dicha e</w:t>
      </w:r>
      <w:r w:rsidRPr="003A7DA4">
        <w:rPr>
          <w:rFonts w:ascii="Times New Roman" w:hAnsi="Times New Roman" w:cs="Times New Roman"/>
          <w:b/>
          <w:bCs/>
          <w:color w:val="000000" w:themeColor="text1"/>
          <w:sz w:val="28"/>
          <w:shd w:val="clear" w:color="auto" w:fill="FFFFFF"/>
        </w:rPr>
        <w:t>xigencia en el presente caso</w:t>
      </w:r>
      <w:r w:rsidRPr="003A7DA4">
        <w:rPr>
          <w:rFonts w:ascii="Times New Roman" w:hAnsi="Times New Roman" w:cs="Times New Roman"/>
          <w:color w:val="000000" w:themeColor="text1"/>
          <w:sz w:val="28"/>
          <w:shd w:val="clear" w:color="auto" w:fill="FFFFFF"/>
        </w:rPr>
        <w:t>”.</w:t>
      </w:r>
      <w:r w:rsidRPr="003A7DA4">
        <w:rPr>
          <w:rFonts w:ascii="Times New Roman" w:hAnsi="Times New Roman" w:cs="Times New Roman"/>
          <w:color w:val="000000" w:themeColor="text1"/>
          <w:sz w:val="28"/>
          <w:shd w:val="clear" w:color="auto" w:fill="FFFFFF"/>
        </w:rPr>
        <w:t xml:space="preserve"> (Negrillas propias).</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lang w:val="es-ES_tradnl" w:eastAsia="es-ES"/>
        </w:rPr>
      </w:pPr>
    </w:p>
    <w:p w:rsidR="0043398D" w:rsidRPr="003A7DA4" w:rsidRDefault="003A7DA4" w:rsidP="00A34028">
      <w:pPr>
        <w:numPr>
          <w:ilvl w:val="0"/>
          <w:numId w:val="8"/>
        </w:numPr>
        <w:tabs>
          <w:tab w:val="left" w:pos="426"/>
        </w:tabs>
        <w:ind w:left="0" w:right="49" w:firstLine="0"/>
        <w:jc w:val="both"/>
        <w:rPr>
          <w:rFonts w:ascii="Times New Roman" w:hAnsi="Times New Roman" w:cs="Times New Roman"/>
          <w:color w:val="FF0000"/>
          <w:sz w:val="28"/>
          <w:szCs w:val="28"/>
        </w:rPr>
      </w:pPr>
      <w:r w:rsidRPr="003A7DA4">
        <w:rPr>
          <w:rFonts w:ascii="Times New Roman" w:hAnsi="Times New Roman" w:cs="Times New Roman"/>
          <w:color w:val="000000" w:themeColor="text1"/>
          <w:sz w:val="28"/>
          <w:szCs w:val="28"/>
        </w:rPr>
        <w:t>Sobre el particular</w:t>
      </w:r>
      <w:r w:rsidRPr="003A7DA4">
        <w:rPr>
          <w:rFonts w:ascii="Times New Roman" w:hAnsi="Times New Roman" w:cs="Times New Roman"/>
          <w:color w:val="000000" w:themeColor="text1"/>
          <w:sz w:val="28"/>
          <w:szCs w:val="28"/>
        </w:rPr>
        <w:t>, l</w:t>
      </w:r>
      <w:r w:rsidRPr="003A7DA4">
        <w:rPr>
          <w:rFonts w:ascii="Times New Roman" w:hAnsi="Times New Roman" w:cs="Times New Roman"/>
          <w:color w:val="000000" w:themeColor="text1"/>
          <w:sz w:val="28"/>
          <w:szCs w:val="28"/>
        </w:rPr>
        <w:t>a Sala resalta</w:t>
      </w:r>
      <w:r w:rsidRPr="003A7DA4">
        <w:rPr>
          <w:rFonts w:ascii="Times New Roman" w:hAnsi="Times New Roman" w:cs="Times New Roman"/>
          <w:color w:val="000000" w:themeColor="text1"/>
          <w:sz w:val="28"/>
          <w:szCs w:val="28"/>
        </w:rPr>
        <w:t>, en primer lugar,</w:t>
      </w:r>
      <w:r w:rsidRPr="003A7DA4">
        <w:rPr>
          <w:rFonts w:ascii="Times New Roman" w:hAnsi="Times New Roman" w:cs="Times New Roman"/>
          <w:color w:val="000000" w:themeColor="text1"/>
          <w:sz w:val="28"/>
          <w:szCs w:val="28"/>
        </w:rPr>
        <w:t xml:space="preserve"> que el argumento central que sustentó aquella sentencia en cuanto a no exigir el análisis sobre impacto fiscal en el caso, </w:t>
      </w:r>
      <w:r w:rsidRPr="003A7DA4">
        <w:rPr>
          <w:rFonts w:ascii="Times New Roman" w:hAnsi="Times New Roman" w:cs="Times New Roman"/>
          <w:color w:val="000000" w:themeColor="text1"/>
          <w:sz w:val="28"/>
          <w:szCs w:val="28"/>
        </w:rPr>
        <w:t xml:space="preserve">es el incumplimiento del </w:t>
      </w:r>
      <w:r w:rsidRPr="003A7DA4">
        <w:rPr>
          <w:rFonts w:ascii="Times New Roman" w:hAnsi="Times New Roman" w:cs="Times New Roman"/>
          <w:color w:val="000000" w:themeColor="text1"/>
          <w:sz w:val="28"/>
          <w:szCs w:val="28"/>
        </w:rPr>
        <w:t>presupuesto temporal</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 xml:space="preserve">Este requisito </w:t>
      </w:r>
      <w:r w:rsidRPr="003A7DA4">
        <w:rPr>
          <w:rFonts w:ascii="Times New Roman" w:hAnsi="Times New Roman" w:cs="Times New Roman"/>
          <w:color w:val="000000" w:themeColor="text1"/>
          <w:sz w:val="28"/>
          <w:szCs w:val="28"/>
        </w:rPr>
        <w:t xml:space="preserve">es uno de los presupuestos </w:t>
      </w:r>
      <w:r w:rsidRPr="003A7DA4">
        <w:rPr>
          <w:rFonts w:ascii="Times New Roman" w:hAnsi="Times New Roman" w:cs="Times New Roman"/>
          <w:color w:val="000000" w:themeColor="text1"/>
          <w:sz w:val="28"/>
          <w:szCs w:val="28"/>
        </w:rPr>
        <w:t>cuya ocurrencia es indispensable</w:t>
      </w:r>
      <w:r w:rsidRPr="003A7DA4">
        <w:rPr>
          <w:rFonts w:ascii="Times New Roman" w:hAnsi="Times New Roman" w:cs="Times New Roman"/>
          <w:color w:val="000000" w:themeColor="text1"/>
          <w:sz w:val="28"/>
          <w:szCs w:val="28"/>
        </w:rPr>
        <w:t xml:space="preserve"> de cara a exigir el análisis de impacto fiscal respecto de las leyes aprobatorias de tratados internacionales</w:t>
      </w:r>
      <w:r w:rsidRPr="003A7DA4">
        <w:rPr>
          <w:rFonts w:ascii="Times New Roman" w:hAnsi="Times New Roman" w:cs="Times New Roman"/>
          <w:color w:val="000000" w:themeColor="text1"/>
          <w:sz w:val="28"/>
          <w:szCs w:val="28"/>
        </w:rPr>
        <w:t xml:space="preserve">, tal y como lo ha sostenido </w:t>
      </w:r>
      <w:r w:rsidRPr="003A7DA4">
        <w:rPr>
          <w:rFonts w:ascii="Times New Roman" w:hAnsi="Times New Roman" w:cs="Times New Roman"/>
          <w:color w:val="000000" w:themeColor="text1"/>
          <w:sz w:val="28"/>
          <w:szCs w:val="28"/>
        </w:rPr>
        <w:t>la jurisprudencia. So</w:t>
      </w:r>
      <w:r w:rsidRPr="003A7DA4">
        <w:rPr>
          <w:rFonts w:ascii="Times New Roman" w:hAnsi="Times New Roman" w:cs="Times New Roman"/>
          <w:color w:val="000000" w:themeColor="text1"/>
          <w:sz w:val="28"/>
          <w:szCs w:val="28"/>
        </w:rPr>
        <w:t>bre el particular, la Sentencia C-424 de 2023 sostuvo que “la jurisprudencia ha precisado que la exigencia del análisis del impacto fiscal de las leyes aprobatorias de los tratados o acuerdos internacionales es aplicable, siempre y cuando se cumplan los pr</w:t>
      </w:r>
      <w:r w:rsidRPr="003A7DA4">
        <w:rPr>
          <w:rFonts w:ascii="Times New Roman" w:hAnsi="Times New Roman" w:cs="Times New Roman"/>
          <w:color w:val="000000" w:themeColor="text1"/>
          <w:sz w:val="28"/>
          <w:szCs w:val="28"/>
        </w:rPr>
        <w:t>esupuestos material y temporal”.</w:t>
      </w:r>
      <w:r w:rsidRPr="003A7DA4">
        <w:rPr>
          <w:rFonts w:ascii="Times New Roman" w:hAnsi="Times New Roman" w:cs="Times New Roman"/>
          <w:sz w:val="28"/>
          <w:szCs w:val="28"/>
        </w:rPr>
        <w:t xml:space="preserve"> En esa medida, como se muestra </w:t>
      </w:r>
      <w:r w:rsidRPr="003A7DA4">
        <w:rPr>
          <w:rFonts w:ascii="Times New Roman" w:hAnsi="Times New Roman" w:cs="Times New Roman"/>
          <w:sz w:val="28"/>
          <w:szCs w:val="28"/>
        </w:rPr>
        <w:t>enseguida</w:t>
      </w:r>
      <w:r w:rsidRPr="003A7DA4">
        <w:rPr>
          <w:rFonts w:ascii="Times New Roman" w:hAnsi="Times New Roman" w:cs="Times New Roman"/>
          <w:sz w:val="28"/>
          <w:szCs w:val="28"/>
        </w:rPr>
        <w:t xml:space="preserve">, el caso que estudia ahora la Sala es diferente al previamente decidido, en cuanto al elemento </w:t>
      </w:r>
      <w:r w:rsidRPr="003A7DA4">
        <w:rPr>
          <w:rFonts w:ascii="Times New Roman" w:hAnsi="Times New Roman" w:cs="Times New Roman"/>
          <w:sz w:val="28"/>
          <w:szCs w:val="28"/>
        </w:rPr>
        <w:t>temporal</w:t>
      </w:r>
      <w:r w:rsidRPr="003A7DA4">
        <w:rPr>
          <w:rFonts w:ascii="Times New Roman" w:hAnsi="Times New Roman" w:cs="Times New Roman"/>
          <w:sz w:val="28"/>
          <w:szCs w:val="28"/>
        </w:rPr>
        <w:t>, pues en este caso</w:t>
      </w:r>
      <w:r w:rsidRPr="003A7DA4">
        <w:rPr>
          <w:rFonts w:ascii="Times New Roman" w:hAnsi="Times New Roman" w:cs="Times New Roman"/>
          <w:sz w:val="28"/>
          <w:szCs w:val="28"/>
        </w:rPr>
        <w:t>,</w:t>
      </w:r>
      <w:r w:rsidRPr="003A7DA4">
        <w:rPr>
          <w:rFonts w:ascii="Times New Roman" w:hAnsi="Times New Roman" w:cs="Times New Roman"/>
          <w:sz w:val="28"/>
          <w:szCs w:val="28"/>
        </w:rPr>
        <w:t xml:space="preserve"> sí se verifica el cumplimiento de dicho presupuesto.</w:t>
      </w:r>
    </w:p>
    <w:p w:rsidR="0043398D" w:rsidRPr="003A7DA4" w:rsidRDefault="003A7DA4" w:rsidP="0043398D">
      <w:pPr>
        <w:tabs>
          <w:tab w:val="left" w:pos="426"/>
        </w:tabs>
        <w:ind w:right="49"/>
        <w:jc w:val="both"/>
        <w:rPr>
          <w:rFonts w:ascii="Times New Roman" w:hAnsi="Times New Roman" w:cs="Times New Roman"/>
          <w:color w:val="000000" w:themeColor="text1"/>
          <w:sz w:val="28"/>
          <w:szCs w:val="28"/>
        </w:rPr>
      </w:pPr>
    </w:p>
    <w:p w:rsidR="00E1215F"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w:t>
      </w:r>
      <w:r w:rsidRPr="003A7DA4">
        <w:rPr>
          <w:rFonts w:ascii="Times New Roman" w:hAnsi="Times New Roman" w:cs="Times New Roman"/>
          <w:color w:val="000000" w:themeColor="text1"/>
          <w:sz w:val="28"/>
          <w:szCs w:val="28"/>
        </w:rPr>
        <w:t>segundo lugar</w:t>
      </w:r>
      <w:r w:rsidRPr="003A7DA4">
        <w:rPr>
          <w:rFonts w:ascii="Times New Roman" w:hAnsi="Times New Roman" w:cs="Times New Roman"/>
          <w:color w:val="000000" w:themeColor="text1"/>
          <w:sz w:val="28"/>
          <w:szCs w:val="28"/>
        </w:rPr>
        <w:t>,</w:t>
      </w:r>
      <w:r w:rsidRPr="003A7DA4">
        <w:rPr>
          <w:rFonts w:ascii="Times New Roman" w:hAnsi="Times New Roman" w:cs="Times New Roman"/>
          <w:color w:val="000000" w:themeColor="text1"/>
          <w:sz w:val="28"/>
          <w:szCs w:val="28"/>
        </w:rPr>
        <w:t xml:space="preserve"> y frente al presupuesto material, p</w:t>
      </w:r>
      <w:r w:rsidRPr="003A7DA4">
        <w:rPr>
          <w:rFonts w:ascii="Times New Roman" w:hAnsi="Times New Roman" w:cs="Times New Roman"/>
          <w:color w:val="000000" w:themeColor="text1"/>
          <w:sz w:val="28"/>
          <w:szCs w:val="28"/>
        </w:rPr>
        <w:t xml:space="preserve">ese a </w:t>
      </w:r>
      <w:r w:rsidRPr="003A7DA4">
        <w:rPr>
          <w:rFonts w:ascii="Times New Roman" w:hAnsi="Times New Roman" w:cs="Times New Roman"/>
          <w:color w:val="000000" w:themeColor="text1"/>
          <w:sz w:val="28"/>
          <w:szCs w:val="28"/>
        </w:rPr>
        <w:t xml:space="preserve">que la Sentencia C-361 de 2023 aludió a que ninguna </w:t>
      </w:r>
      <w:r w:rsidRPr="003A7DA4">
        <w:rPr>
          <w:rFonts w:ascii="Times New Roman" w:hAnsi="Times New Roman" w:cs="Times New Roman"/>
          <w:color w:val="000000" w:themeColor="text1"/>
          <w:sz w:val="28"/>
          <w:szCs w:val="28"/>
          <w:shd w:val="clear" w:color="auto" w:fill="FFFFFF"/>
        </w:rPr>
        <w:t xml:space="preserve">disposición del </w:t>
      </w:r>
      <w:r w:rsidRPr="003A7DA4">
        <w:rPr>
          <w:rFonts w:ascii="Times New Roman" w:hAnsi="Times New Roman" w:cs="Times New Roman"/>
          <w:color w:val="000000" w:themeColor="text1"/>
          <w:sz w:val="28"/>
          <w:szCs w:val="28"/>
          <w:shd w:val="clear" w:color="auto" w:fill="FFFFFF"/>
        </w:rPr>
        <w:t xml:space="preserve">tratado </w:t>
      </w:r>
      <w:r w:rsidRPr="003A7DA4">
        <w:rPr>
          <w:rFonts w:ascii="Times New Roman" w:hAnsi="Times New Roman" w:cs="Times New Roman"/>
          <w:color w:val="000000" w:themeColor="text1"/>
          <w:sz w:val="28"/>
          <w:szCs w:val="28"/>
          <w:shd w:val="clear" w:color="auto" w:fill="FFFFFF"/>
        </w:rPr>
        <w:t>otorga</w:t>
      </w:r>
      <w:r w:rsidRPr="003A7DA4">
        <w:rPr>
          <w:rFonts w:ascii="Times New Roman" w:hAnsi="Times New Roman" w:cs="Times New Roman"/>
          <w:color w:val="000000" w:themeColor="text1"/>
          <w:sz w:val="28"/>
          <w:szCs w:val="28"/>
          <w:shd w:val="clear" w:color="auto" w:fill="FFFFFF"/>
        </w:rPr>
        <w:t>ba</w:t>
      </w:r>
      <w:r w:rsidRPr="003A7DA4">
        <w:rPr>
          <w:rFonts w:ascii="Times New Roman" w:hAnsi="Times New Roman" w:cs="Times New Roman"/>
          <w:color w:val="000000" w:themeColor="text1"/>
          <w:sz w:val="28"/>
          <w:szCs w:val="28"/>
          <w:shd w:val="clear" w:color="auto" w:fill="FFFFFF"/>
        </w:rPr>
        <w:t xml:space="preserve"> beneficios tributarios ni ordena</w:t>
      </w:r>
      <w:r w:rsidRPr="003A7DA4">
        <w:rPr>
          <w:rFonts w:ascii="Times New Roman" w:hAnsi="Times New Roman" w:cs="Times New Roman"/>
          <w:color w:val="000000" w:themeColor="text1"/>
          <w:sz w:val="28"/>
          <w:szCs w:val="28"/>
          <w:shd w:val="clear" w:color="auto" w:fill="FFFFFF"/>
        </w:rPr>
        <w:t>ba</w:t>
      </w:r>
      <w:r w:rsidRPr="003A7DA4">
        <w:rPr>
          <w:rFonts w:ascii="Times New Roman" w:hAnsi="Times New Roman" w:cs="Times New Roman"/>
          <w:color w:val="000000" w:themeColor="text1"/>
          <w:sz w:val="28"/>
          <w:szCs w:val="28"/>
          <w:shd w:val="clear" w:color="auto" w:fill="FFFFFF"/>
        </w:rPr>
        <w:t xml:space="preserve"> gasto, se trató de una consideración general que no refleja un análisis detallado de los artículos </w:t>
      </w:r>
      <w:r w:rsidRPr="003A7DA4">
        <w:rPr>
          <w:rFonts w:ascii="Times New Roman" w:hAnsi="Times New Roman" w:cs="Times New Roman"/>
          <w:color w:val="000000" w:themeColor="text1"/>
          <w:sz w:val="28"/>
          <w:szCs w:val="28"/>
          <w:shd w:val="clear" w:color="auto" w:fill="FFFFFF"/>
        </w:rPr>
        <w:t>de aquel convenio</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rPr>
        <w:t>en función de analizar el requisito de impacto fiscal, pues no se verificó el presupuesto temporal</w:t>
      </w:r>
      <w:r w:rsidRPr="003A7DA4">
        <w:rPr>
          <w:rFonts w:ascii="Times New Roman" w:hAnsi="Times New Roman" w:cs="Times New Roman"/>
          <w:color w:val="000000" w:themeColor="text1"/>
          <w:sz w:val="28"/>
          <w:szCs w:val="28"/>
          <w:shd w:val="clear" w:color="auto" w:fill="FFFFFF"/>
        </w:rPr>
        <w:t xml:space="preserve">. Por lo anterior, </w:t>
      </w:r>
      <w:r w:rsidRPr="003A7DA4">
        <w:rPr>
          <w:rFonts w:ascii="Times New Roman" w:hAnsi="Times New Roman" w:cs="Times New Roman"/>
          <w:color w:val="000000" w:themeColor="text1"/>
          <w:sz w:val="28"/>
          <w:szCs w:val="28"/>
          <w:shd w:val="clear" w:color="auto" w:fill="FFFFFF"/>
        </w:rPr>
        <w:t>constituyó</w:t>
      </w:r>
      <w:r w:rsidRPr="003A7DA4">
        <w:rPr>
          <w:rFonts w:ascii="Times New Roman" w:hAnsi="Times New Roman" w:cs="Times New Roman"/>
          <w:color w:val="000000" w:themeColor="text1"/>
          <w:sz w:val="28"/>
          <w:szCs w:val="28"/>
          <w:shd w:val="clear" w:color="auto" w:fill="FFFFFF"/>
        </w:rPr>
        <w:t xml:space="preserve"> una consid</w:t>
      </w:r>
      <w:r w:rsidRPr="003A7DA4">
        <w:rPr>
          <w:rFonts w:ascii="Times New Roman" w:hAnsi="Times New Roman" w:cs="Times New Roman"/>
          <w:color w:val="000000" w:themeColor="text1"/>
          <w:sz w:val="28"/>
          <w:szCs w:val="28"/>
          <w:shd w:val="clear" w:color="auto" w:fill="FFFFFF"/>
        </w:rPr>
        <w:t xml:space="preserve">eración general que </w:t>
      </w:r>
      <w:r w:rsidRPr="003A7DA4">
        <w:rPr>
          <w:rFonts w:ascii="Times New Roman" w:hAnsi="Times New Roman" w:cs="Times New Roman"/>
          <w:color w:val="000000" w:themeColor="text1"/>
          <w:sz w:val="28"/>
          <w:szCs w:val="28"/>
          <w:shd w:val="clear" w:color="auto" w:fill="FFFFFF"/>
        </w:rPr>
        <w:t xml:space="preserve">no </w:t>
      </w:r>
      <w:r w:rsidRPr="003A7DA4">
        <w:rPr>
          <w:rFonts w:ascii="Times New Roman" w:hAnsi="Times New Roman" w:cs="Times New Roman"/>
          <w:color w:val="000000" w:themeColor="text1"/>
          <w:sz w:val="28"/>
          <w:szCs w:val="28"/>
          <w:shd w:val="clear" w:color="auto" w:fill="FFFFFF"/>
        </w:rPr>
        <w:t xml:space="preserve">integró </w:t>
      </w:r>
      <w:r w:rsidRPr="003A7DA4">
        <w:rPr>
          <w:rFonts w:ascii="Times New Roman" w:hAnsi="Times New Roman" w:cs="Times New Roman"/>
          <w:color w:val="000000" w:themeColor="text1"/>
          <w:sz w:val="28"/>
          <w:szCs w:val="28"/>
          <w:shd w:val="clear" w:color="auto" w:fill="FFFFFF"/>
        </w:rPr>
        <w:t xml:space="preserve">la razón de la decisión, pues la ausencia de estudio del impacto fiscal tuvo como causa la inaplicación de dicho requisito a la ley </w:t>
      </w:r>
      <w:r w:rsidRPr="003A7DA4">
        <w:rPr>
          <w:rFonts w:ascii="Times New Roman" w:hAnsi="Times New Roman" w:cs="Times New Roman"/>
          <w:color w:val="000000" w:themeColor="text1"/>
          <w:sz w:val="28"/>
          <w:szCs w:val="28"/>
          <w:shd w:val="clear" w:color="auto" w:fill="FFFFFF"/>
        </w:rPr>
        <w:t>aprobatoria</w:t>
      </w:r>
      <w:r w:rsidRPr="003A7DA4">
        <w:rPr>
          <w:rFonts w:ascii="Times New Roman" w:hAnsi="Times New Roman" w:cs="Times New Roman"/>
          <w:color w:val="000000" w:themeColor="text1"/>
          <w:sz w:val="28"/>
          <w:szCs w:val="28"/>
          <w:shd w:val="clear" w:color="auto" w:fill="FFFFFF"/>
        </w:rPr>
        <w:t xml:space="preserve"> del </w:t>
      </w:r>
      <w:r w:rsidRPr="003A7DA4">
        <w:rPr>
          <w:rFonts w:ascii="Times New Roman" w:hAnsi="Times New Roman" w:cs="Times New Roman"/>
          <w:color w:val="000000" w:themeColor="text1"/>
          <w:sz w:val="28"/>
          <w:szCs w:val="28"/>
          <w:shd w:val="clear" w:color="auto" w:fill="FFFFFF"/>
        </w:rPr>
        <w:t>tratado</w:t>
      </w:r>
      <w:r w:rsidRPr="003A7DA4">
        <w:rPr>
          <w:rFonts w:ascii="Times New Roman" w:hAnsi="Times New Roman" w:cs="Times New Roman"/>
          <w:color w:val="000000" w:themeColor="text1"/>
          <w:sz w:val="28"/>
          <w:szCs w:val="28"/>
          <w:shd w:val="clear" w:color="auto" w:fill="FFFFFF"/>
        </w:rPr>
        <w:t xml:space="preserve"> que se estudió. </w:t>
      </w:r>
    </w:p>
    <w:p w:rsidR="00EC4959" w:rsidRPr="003A7DA4" w:rsidRDefault="003A7DA4" w:rsidP="00EC4959">
      <w:pPr>
        <w:rPr>
          <w:rFonts w:ascii="Times New Roman" w:hAnsi="Times New Roman" w:cs="Times New Roman"/>
          <w:color w:val="FF0000"/>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i/>
          <w:iCs/>
          <w:color w:val="000000" w:themeColor="text1"/>
          <w:sz w:val="28"/>
          <w:szCs w:val="28"/>
        </w:rPr>
        <w:t>Análisis del caso concreto</w:t>
      </w:r>
      <w:r w:rsidRPr="003A7DA4">
        <w:rPr>
          <w:rFonts w:ascii="Times New Roman" w:hAnsi="Times New Roman" w:cs="Times New Roman"/>
          <w:color w:val="000000" w:themeColor="text1"/>
          <w:sz w:val="28"/>
          <w:szCs w:val="28"/>
        </w:rPr>
        <w:t xml:space="preserve">. De conformidad con las </w:t>
      </w:r>
      <w:r w:rsidRPr="003A7DA4">
        <w:rPr>
          <w:rFonts w:ascii="Times New Roman" w:hAnsi="Times New Roman" w:cs="Times New Roman"/>
          <w:color w:val="000000" w:themeColor="text1"/>
          <w:sz w:val="28"/>
          <w:szCs w:val="28"/>
        </w:rPr>
        <w:t xml:space="preserve">reglas jurisprudenciales descritas, la Sala Plena concluye que en el presente asunto se reúnen los supuestos temporal </w:t>
      </w:r>
      <w:r w:rsidRPr="003A7DA4">
        <w:rPr>
          <w:rFonts w:ascii="Times New Roman" w:hAnsi="Times New Roman" w:cs="Times New Roman"/>
          <w:color w:val="000000" w:themeColor="text1"/>
          <w:sz w:val="28"/>
          <w:szCs w:val="28"/>
        </w:rPr>
        <w:t xml:space="preserve">y material </w:t>
      </w:r>
      <w:r w:rsidRPr="003A7DA4">
        <w:rPr>
          <w:rFonts w:ascii="Times New Roman" w:hAnsi="Times New Roman" w:cs="Times New Roman"/>
          <w:color w:val="000000" w:themeColor="text1"/>
          <w:sz w:val="28"/>
          <w:szCs w:val="28"/>
        </w:rPr>
        <w:t xml:space="preserve">que hacen exigible el análisis de impacto fiscal en el trámite legislativo de aprobación del instrumento bajo estudio, como se </w:t>
      </w:r>
      <w:r w:rsidRPr="003A7DA4">
        <w:rPr>
          <w:rFonts w:ascii="Times New Roman" w:hAnsi="Times New Roman" w:cs="Times New Roman"/>
          <w:color w:val="000000" w:themeColor="text1"/>
          <w:sz w:val="28"/>
          <w:szCs w:val="28"/>
        </w:rPr>
        <w:t>explica a continuación:</w:t>
      </w:r>
    </w:p>
    <w:p w:rsidR="00D96995" w:rsidRPr="003A7DA4" w:rsidRDefault="003A7DA4" w:rsidP="001B6BCF">
      <w:pPr>
        <w:tabs>
          <w:tab w:val="left" w:pos="426"/>
        </w:tabs>
        <w:ind w:right="49"/>
        <w:jc w:val="both"/>
        <w:rPr>
          <w:rFonts w:ascii="Times New Roman" w:hAnsi="Times New Roman" w:cs="Times New Roman"/>
          <w:color w:val="000000" w:themeColor="text1"/>
          <w:sz w:val="28"/>
          <w:szCs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rPr>
      </w:pPr>
      <w:r w:rsidRPr="003A7DA4">
        <w:rPr>
          <w:rFonts w:ascii="Times New Roman" w:hAnsi="Times New Roman" w:cs="Times New Roman"/>
          <w:i/>
          <w:iCs/>
          <w:color w:val="000000" w:themeColor="text1"/>
          <w:sz w:val="28"/>
          <w:szCs w:val="28"/>
        </w:rPr>
        <w:t>Análisis del elemento temporal para la exigencia del requisito</w:t>
      </w:r>
      <w:r w:rsidRPr="003A7DA4">
        <w:rPr>
          <w:rFonts w:ascii="Times New Roman" w:hAnsi="Times New Roman" w:cs="Times New Roman"/>
          <w:color w:val="000000" w:themeColor="text1"/>
          <w:sz w:val="28"/>
          <w:szCs w:val="28"/>
        </w:rPr>
        <w:t>. En el expediente está acreditado que la Ministra de Relaciones Exteriores y el Ministro de Justicia y del Derecho radicaron el proyecto de ley que aprueba el Convenio,</w:t>
      </w:r>
      <w:r w:rsidRPr="003A7DA4">
        <w:rPr>
          <w:rFonts w:ascii="Times New Roman" w:hAnsi="Times New Roman" w:cs="Times New Roman"/>
          <w:color w:val="000000" w:themeColor="text1"/>
          <w:sz w:val="28"/>
          <w:szCs w:val="28"/>
        </w:rPr>
        <w:t xml:space="preserve"> el 1º de diciembre de 2021, según da cuenta la constancia secretarial respectiva</w:t>
      </w:r>
      <w:r w:rsidRPr="003A7DA4">
        <w:rPr>
          <w:rStyle w:val="Refdenotaalpie"/>
          <w:rFonts w:ascii="Times New Roman" w:eastAsiaTheme="majorEastAsia" w:hAnsi="Times New Roman" w:cs="Times New Roman"/>
          <w:color w:val="000000" w:themeColor="text1"/>
          <w:sz w:val="28"/>
          <w:szCs w:val="28"/>
        </w:rPr>
        <w:footnoteReference w:id="99"/>
      </w:r>
      <w:r w:rsidRPr="003A7DA4">
        <w:rPr>
          <w:rFonts w:ascii="Times New Roman" w:hAnsi="Times New Roman" w:cs="Times New Roman"/>
          <w:color w:val="000000" w:themeColor="text1"/>
          <w:sz w:val="28"/>
          <w:szCs w:val="28"/>
        </w:rPr>
        <w:t xml:space="preserve">. Por lo anterior, </w:t>
      </w:r>
      <w:r w:rsidRPr="003A7DA4">
        <w:rPr>
          <w:rFonts w:ascii="Times New Roman" w:hAnsi="Times New Roman" w:cs="Times New Roman"/>
          <w:color w:val="000000" w:themeColor="text1"/>
          <w:sz w:val="28"/>
          <w:szCs w:val="28"/>
          <w:lang w:val="es-ES"/>
        </w:rPr>
        <w:t xml:space="preserve">la ley aprobatoria del Tratado fue radicada con posterioridad al 30 de julio de 2021, fecha en la que se notificó la Sentencia C-170 de 2021, desde cuando </w:t>
      </w:r>
      <w:r w:rsidRPr="003A7DA4">
        <w:rPr>
          <w:rFonts w:ascii="Times New Roman" w:hAnsi="Times New Roman" w:cs="Times New Roman"/>
          <w:color w:val="000000" w:themeColor="text1"/>
          <w:sz w:val="28"/>
          <w:szCs w:val="28"/>
          <w:lang w:val="es-ES"/>
        </w:rPr>
        <w:t xml:space="preserve">se hizo exigible </w:t>
      </w:r>
      <w:r w:rsidRPr="003A7DA4">
        <w:rPr>
          <w:rFonts w:ascii="Times New Roman" w:hAnsi="Times New Roman" w:cs="Times New Roman"/>
          <w:color w:val="000000" w:themeColor="text1"/>
          <w:sz w:val="28"/>
          <w:szCs w:val="28"/>
          <w:lang w:val="es-ES" w:eastAsia="es-ES"/>
        </w:rPr>
        <w:t>el análisis del impacto fiscal en relación con leyes aprobatorias de tratados internacionales.</w:t>
      </w:r>
    </w:p>
    <w:p w:rsidR="00D96995" w:rsidRPr="003A7DA4" w:rsidRDefault="003A7DA4" w:rsidP="004B477E">
      <w:pPr>
        <w:ind w:left="720"/>
        <w:rPr>
          <w:rFonts w:ascii="Times New Roman" w:hAnsi="Times New Roman" w:cs="Times New Roman"/>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
        </w:rPr>
      </w:pPr>
      <w:r w:rsidRPr="003A7DA4">
        <w:rPr>
          <w:rFonts w:ascii="Times New Roman" w:hAnsi="Times New Roman" w:cs="Times New Roman"/>
          <w:color w:val="000000" w:themeColor="text1"/>
          <w:sz w:val="28"/>
          <w:szCs w:val="28"/>
          <w:lang w:val="es-ES"/>
        </w:rPr>
        <w:t>Como</w:t>
      </w:r>
      <w:r w:rsidRPr="003A7DA4">
        <w:rPr>
          <w:rFonts w:ascii="Times New Roman" w:hAnsi="Times New Roman" w:cs="Times New Roman"/>
          <w:color w:val="000000" w:themeColor="text1"/>
          <w:sz w:val="28"/>
          <w:szCs w:val="28"/>
          <w:lang w:val="es-ES"/>
        </w:rPr>
        <w:t xml:space="preserve"> el Convenio incluye beneficios tributarios, era exigible el análisis de impacto fiscal como requisito para el trámite de la ley aprobatori</w:t>
      </w:r>
      <w:r w:rsidRPr="003A7DA4">
        <w:rPr>
          <w:rFonts w:ascii="Times New Roman" w:hAnsi="Times New Roman" w:cs="Times New Roman"/>
          <w:color w:val="000000" w:themeColor="text1"/>
          <w:sz w:val="28"/>
          <w:szCs w:val="28"/>
          <w:lang w:val="es-ES"/>
        </w:rPr>
        <w:t>a, procede ahora la Corte a establecer si el mismo se dio durante el procedimiento legislativo, en las condiciones que tiene prevista la jurisprudencia constitucional.</w:t>
      </w:r>
    </w:p>
    <w:p w:rsidR="00D96995" w:rsidRPr="003A7DA4" w:rsidRDefault="003A7DA4" w:rsidP="004B477E">
      <w:pPr>
        <w:ind w:left="720"/>
        <w:rPr>
          <w:rFonts w:ascii="Times New Roman" w:hAnsi="Times New Roman" w:cs="Times New Roman"/>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rPr>
      </w:pPr>
      <w:r w:rsidRPr="003A7DA4">
        <w:rPr>
          <w:rFonts w:ascii="Times New Roman" w:hAnsi="Times New Roman" w:cs="Times New Roman"/>
          <w:i/>
          <w:iCs/>
          <w:color w:val="000000" w:themeColor="text1"/>
          <w:sz w:val="28"/>
          <w:szCs w:val="28"/>
        </w:rPr>
        <w:t>Trámite legislativo y análisis de impacto fiscal</w:t>
      </w:r>
      <w:r w:rsidRPr="003A7DA4">
        <w:rPr>
          <w:rFonts w:ascii="Times New Roman" w:hAnsi="Times New Roman" w:cs="Times New Roman"/>
          <w:color w:val="000000" w:themeColor="text1"/>
          <w:sz w:val="28"/>
          <w:szCs w:val="28"/>
        </w:rPr>
        <w:t>. La Sala encuentra que, de conformidad</w:t>
      </w:r>
      <w:r w:rsidRPr="003A7DA4">
        <w:rPr>
          <w:rFonts w:ascii="Times New Roman" w:hAnsi="Times New Roman" w:cs="Times New Roman"/>
          <w:color w:val="000000" w:themeColor="text1"/>
          <w:sz w:val="28"/>
          <w:szCs w:val="28"/>
        </w:rPr>
        <w:t xml:space="preserve"> con el numeral 20 del</w:t>
      </w:r>
      <w:r w:rsidRPr="003A7DA4">
        <w:rPr>
          <w:rFonts w:ascii="Times New Roman" w:hAnsi="Times New Roman" w:cs="Times New Roman"/>
          <w:color w:val="000000" w:themeColor="text1"/>
          <w:sz w:val="28"/>
          <w:szCs w:val="28"/>
          <w:shd w:val="clear" w:color="auto" w:fill="FFFFFF"/>
        </w:rPr>
        <w:t xml:space="preserve"> artículo 142 de la Ley</w:t>
      </w:r>
      <w:r w:rsidRPr="003A7DA4">
        <w:rPr>
          <w:rStyle w:val="apple-converted-space"/>
          <w:rFonts w:ascii="Times New Roman" w:eastAsiaTheme="majorEastAsia"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lang w:val="es-ES_tradnl"/>
        </w:rPr>
        <w:t>5</w:t>
      </w:r>
      <w:r w:rsidRPr="003A7DA4">
        <w:rPr>
          <w:rFonts w:ascii="Times New Roman" w:hAnsi="Times New Roman" w:cs="Times New Roman"/>
          <w:color w:val="000000" w:themeColor="text1"/>
          <w:sz w:val="28"/>
          <w:szCs w:val="21"/>
          <w:vertAlign w:val="superscript"/>
          <w:lang w:val="es-ES_tradnl"/>
        </w:rPr>
        <w:t>a</w:t>
      </w:r>
      <w:r w:rsidRPr="003A7DA4">
        <w:rPr>
          <w:rStyle w:val="apple-converted-space"/>
          <w:rFonts w:ascii="Times New Roman" w:eastAsiaTheme="majorEastAsia" w:hAnsi="Times New Roman" w:cs="Times New Roman"/>
          <w:color w:val="000000" w:themeColor="text1"/>
          <w:sz w:val="28"/>
          <w:szCs w:val="28"/>
          <w:lang w:val="es-ES_tradnl"/>
        </w:rPr>
        <w:t xml:space="preserve"> </w:t>
      </w:r>
      <w:r w:rsidRPr="003A7DA4">
        <w:rPr>
          <w:rFonts w:ascii="Times New Roman" w:hAnsi="Times New Roman" w:cs="Times New Roman"/>
          <w:color w:val="000000" w:themeColor="text1"/>
          <w:sz w:val="28"/>
          <w:szCs w:val="28"/>
          <w:lang w:val="es-ES_tradnl"/>
        </w:rPr>
        <w:t>de 1992, el Gobierno Nacional tiene iniciativa privativa respecto de las leyes aprobatorias de los tratados o convenios que celebre Colombia con otros Estados. Como el proyecto es de iniciativa gubernamental, el estándar en cuanto al análisis de impacto fi</w:t>
      </w:r>
      <w:r w:rsidRPr="003A7DA4">
        <w:rPr>
          <w:rFonts w:ascii="Times New Roman" w:hAnsi="Times New Roman" w:cs="Times New Roman"/>
          <w:color w:val="000000" w:themeColor="text1"/>
          <w:sz w:val="28"/>
          <w:szCs w:val="28"/>
          <w:lang w:val="es-ES_tradnl"/>
        </w:rPr>
        <w:t xml:space="preserve">scal aplicable es estricto y, en consecuencia, </w:t>
      </w:r>
      <w:r w:rsidRPr="003A7DA4">
        <w:rPr>
          <w:rFonts w:ascii="Times New Roman" w:hAnsi="Times New Roman" w:cs="Times New Roman"/>
          <w:color w:val="000000" w:themeColor="text1"/>
          <w:sz w:val="28"/>
          <w:szCs w:val="28"/>
        </w:rPr>
        <w:t>la exposición de motivos o las ponencias correspondientes deben contener esa referencia, así como el estudio sobre la correspondiente fuente sustitutiva por disminución de ingresos o aumento de gastos, de conf</w:t>
      </w:r>
      <w:r w:rsidRPr="003A7DA4">
        <w:rPr>
          <w:rFonts w:ascii="Times New Roman" w:hAnsi="Times New Roman" w:cs="Times New Roman"/>
          <w:color w:val="000000" w:themeColor="text1"/>
          <w:sz w:val="28"/>
          <w:szCs w:val="28"/>
        </w:rPr>
        <w:t>ormidad con el análisis y aprobación que efectúe el Ministerio de Hacienda y Crédito Público</w:t>
      </w:r>
      <w:r w:rsidRPr="003A7DA4">
        <w:rPr>
          <w:rStyle w:val="Refdenotaalpie"/>
          <w:rFonts w:ascii="Times New Roman" w:eastAsiaTheme="majorEastAsia" w:hAnsi="Times New Roman" w:cs="Times New Roman"/>
          <w:color w:val="000000" w:themeColor="text1"/>
          <w:sz w:val="28"/>
          <w:szCs w:val="28"/>
        </w:rPr>
        <w:footnoteReference w:id="100"/>
      </w:r>
      <w:r w:rsidRPr="003A7DA4">
        <w:rPr>
          <w:rFonts w:ascii="Times New Roman" w:hAnsi="Times New Roman" w:cs="Times New Roman"/>
          <w:color w:val="000000" w:themeColor="text1"/>
          <w:sz w:val="28"/>
          <w:szCs w:val="28"/>
        </w:rPr>
        <w:t>.</w:t>
      </w:r>
    </w:p>
    <w:p w:rsidR="00D96995" w:rsidRPr="003A7DA4" w:rsidRDefault="003A7DA4" w:rsidP="00D96995">
      <w:pPr>
        <w:rPr>
          <w:rFonts w:ascii="Times New Roman"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rPr>
        <w:t>Exposición de motivos</w:t>
      </w:r>
      <w:r w:rsidRPr="003A7DA4">
        <w:rPr>
          <w:rFonts w:ascii="Times New Roman" w:hAnsi="Times New Roman" w:cs="Times New Roman"/>
          <w:color w:val="000000" w:themeColor="text1"/>
          <w:sz w:val="28"/>
          <w:szCs w:val="28"/>
        </w:rPr>
        <w:t>. En la exposición de motivos</w:t>
      </w:r>
      <w:r w:rsidRPr="003A7DA4">
        <w:rPr>
          <w:rStyle w:val="Refdenotaalpie"/>
          <w:rFonts w:ascii="Times New Roman" w:eastAsiaTheme="majorEastAsia" w:hAnsi="Times New Roman" w:cs="Times New Roman"/>
          <w:color w:val="000000" w:themeColor="text1"/>
          <w:sz w:val="28"/>
          <w:szCs w:val="28"/>
        </w:rPr>
        <w:footnoteReference w:id="101"/>
      </w:r>
      <w:r w:rsidRPr="003A7DA4">
        <w:rPr>
          <w:rFonts w:ascii="Times New Roman" w:hAnsi="Times New Roman" w:cs="Times New Roman"/>
          <w:color w:val="000000" w:themeColor="text1"/>
          <w:sz w:val="28"/>
          <w:szCs w:val="28"/>
        </w:rPr>
        <w:t>, el Gobierno nacional, a través de la Ministra de Relaciones Exteriores y el Ministro de Justicia, se refiri</w:t>
      </w:r>
      <w:r w:rsidRPr="003A7DA4">
        <w:rPr>
          <w:rFonts w:ascii="Times New Roman" w:hAnsi="Times New Roman" w:cs="Times New Roman"/>
          <w:color w:val="000000" w:themeColor="text1"/>
          <w:sz w:val="28"/>
          <w:szCs w:val="28"/>
        </w:rPr>
        <w:t>ó a los siguientes temas en el documento: (i) la relación del Convenio con la Constitución, como un instrumento para afianzar la seguridad jurídica y el acceso a la justicia; (ii) la cooperación judicial entre Estados como un insumo para la lucha contra la</w:t>
      </w:r>
      <w:r w:rsidRPr="003A7DA4">
        <w:rPr>
          <w:rFonts w:ascii="Times New Roman" w:hAnsi="Times New Roman" w:cs="Times New Roman"/>
          <w:color w:val="000000" w:themeColor="text1"/>
          <w:sz w:val="28"/>
          <w:szCs w:val="28"/>
        </w:rPr>
        <w:t xml:space="preserve"> delincuencia, sin transgredir los límites de la autonomía de los Estados; (iii) una descripción general de los artículos del Convenio. En dicho documento no se aludió a los costos fiscales de la iniciativa, así como tampoco existe prueba de un documento a</w:t>
      </w:r>
      <w:r w:rsidRPr="003A7DA4">
        <w:rPr>
          <w:rFonts w:ascii="Times New Roman" w:hAnsi="Times New Roman" w:cs="Times New Roman"/>
          <w:color w:val="000000" w:themeColor="text1"/>
          <w:sz w:val="28"/>
          <w:szCs w:val="28"/>
        </w:rPr>
        <w:t xml:space="preserve">nexo al respecto. </w:t>
      </w:r>
    </w:p>
    <w:p w:rsidR="00D96995" w:rsidRPr="003A7DA4" w:rsidRDefault="003A7DA4" w:rsidP="00D96995">
      <w:pPr>
        <w:ind w:left="360"/>
        <w:rPr>
          <w:rFonts w:ascii="Times New Roman"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i/>
          <w:iCs/>
          <w:color w:val="000000" w:themeColor="text1"/>
          <w:sz w:val="28"/>
          <w:szCs w:val="28"/>
        </w:rPr>
        <w:t>Ponencia para primer debate en Senado</w:t>
      </w:r>
      <w:r w:rsidRPr="003A7DA4">
        <w:rPr>
          <w:rFonts w:ascii="Times New Roman" w:hAnsi="Times New Roman" w:cs="Times New Roman"/>
          <w:color w:val="000000" w:themeColor="text1"/>
          <w:sz w:val="28"/>
          <w:szCs w:val="28"/>
        </w:rPr>
        <w:t>. La ponencia para primer debate</w:t>
      </w:r>
      <w:r w:rsidRPr="003A7DA4">
        <w:rPr>
          <w:rStyle w:val="Refdenotaalpie"/>
          <w:rFonts w:ascii="Times New Roman" w:eastAsiaTheme="majorEastAsia" w:hAnsi="Times New Roman" w:cs="Times New Roman"/>
          <w:color w:val="000000" w:themeColor="text1"/>
          <w:sz w:val="28"/>
          <w:szCs w:val="28"/>
        </w:rPr>
        <w:footnoteReference w:id="102"/>
      </w:r>
      <w:r w:rsidRPr="003A7DA4">
        <w:rPr>
          <w:rFonts w:ascii="Times New Roman" w:hAnsi="Times New Roman" w:cs="Times New Roman"/>
          <w:color w:val="000000" w:themeColor="text1"/>
          <w:sz w:val="28"/>
          <w:szCs w:val="28"/>
        </w:rPr>
        <w:t xml:space="preserve"> en la Comisión Segunda del Senado correspondió a la senadora Paola Holguín. En el informe correspondiente se sostuvo que no era necesaria ninguna modificación al pro</w:t>
      </w:r>
      <w:r w:rsidRPr="003A7DA4">
        <w:rPr>
          <w:rFonts w:ascii="Times New Roman" w:hAnsi="Times New Roman" w:cs="Times New Roman"/>
          <w:color w:val="000000" w:themeColor="text1"/>
          <w:sz w:val="28"/>
          <w:szCs w:val="28"/>
        </w:rPr>
        <w:t xml:space="preserve">yecto radicado por el Gobierno nacional. El texto expone el contenido del Convenio de manera general y alude a la </w:t>
      </w:r>
      <w:r w:rsidRPr="003A7DA4">
        <w:rPr>
          <w:rFonts w:ascii="Times New Roman" w:eastAsiaTheme="minorHAnsi" w:hAnsi="Times New Roman" w:cs="Times New Roman"/>
          <w:color w:val="000000" w:themeColor="text1"/>
          <w:sz w:val="28"/>
          <w:szCs w:val="28"/>
          <w:lang w:val="es-MX" w:eastAsia="en-US"/>
          <w14:ligatures w14:val="standardContextual"/>
        </w:rPr>
        <w:t>Convención de las Naciones Unidas contra la Delincuencia Organizada Transnacional, ratificada por Colombia mediante la Ley 800 de 2003 y revis</w:t>
      </w:r>
      <w:r w:rsidRPr="003A7DA4">
        <w:rPr>
          <w:rFonts w:ascii="Times New Roman" w:eastAsiaTheme="minorHAnsi" w:hAnsi="Times New Roman" w:cs="Times New Roman"/>
          <w:color w:val="000000" w:themeColor="text1"/>
          <w:sz w:val="28"/>
          <w:szCs w:val="28"/>
          <w:lang w:val="es-MX" w:eastAsia="en-US"/>
          <w14:ligatures w14:val="standardContextual"/>
        </w:rPr>
        <w:t>ada por la Corte Constitucional. Resalta que la asistencia judicial es una obligación de los Estados suscriptores. En el texto no hay concepto del Ministerio de Hacienda y Crédito Público, ni análisis sobre la materia.</w:t>
      </w:r>
    </w:p>
    <w:p w:rsidR="00D96995" w:rsidRPr="003A7DA4" w:rsidRDefault="003A7DA4" w:rsidP="00D96995">
      <w:pPr>
        <w:ind w:left="360"/>
        <w:rPr>
          <w:rFonts w:ascii="Times New Roman" w:eastAsiaTheme="minorHAnsi"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eastAsiaTheme="minorHAnsi" w:hAnsi="Times New Roman" w:cs="Times New Roman"/>
          <w:i/>
          <w:iCs/>
          <w:color w:val="000000" w:themeColor="text1"/>
          <w:sz w:val="28"/>
          <w:szCs w:val="28"/>
        </w:rPr>
        <w:t>Ponencia para segundo debate en Sena</w:t>
      </w:r>
      <w:r w:rsidRPr="003A7DA4">
        <w:rPr>
          <w:rFonts w:ascii="Times New Roman" w:eastAsiaTheme="minorHAnsi" w:hAnsi="Times New Roman" w:cs="Times New Roman"/>
          <w:i/>
          <w:iCs/>
          <w:color w:val="000000" w:themeColor="text1"/>
          <w:sz w:val="28"/>
          <w:szCs w:val="28"/>
        </w:rPr>
        <w:t>do</w:t>
      </w:r>
      <w:r w:rsidRPr="003A7DA4">
        <w:rPr>
          <w:rFonts w:ascii="Times New Roman" w:eastAsiaTheme="minorHAnsi" w:hAnsi="Times New Roman" w:cs="Times New Roman"/>
          <w:color w:val="000000" w:themeColor="text1"/>
          <w:sz w:val="28"/>
          <w:szCs w:val="28"/>
        </w:rPr>
        <w:t>. La ponencia para segundo debate en la Plenaria del Senado</w:t>
      </w:r>
      <w:r w:rsidRPr="003A7DA4">
        <w:rPr>
          <w:rStyle w:val="Refdenotaalpie"/>
          <w:rFonts w:ascii="Times New Roman" w:eastAsiaTheme="minorHAnsi" w:hAnsi="Times New Roman" w:cs="Times New Roman"/>
          <w:color w:val="000000" w:themeColor="text1"/>
          <w:sz w:val="28"/>
          <w:szCs w:val="28"/>
        </w:rPr>
        <w:footnoteReference w:id="103"/>
      </w:r>
      <w:r w:rsidRPr="003A7DA4">
        <w:rPr>
          <w:rFonts w:ascii="Times New Roman" w:eastAsiaTheme="minorHAnsi" w:hAnsi="Times New Roman" w:cs="Times New Roman"/>
          <w:color w:val="000000" w:themeColor="text1"/>
          <w:sz w:val="28"/>
          <w:szCs w:val="28"/>
        </w:rPr>
        <w:t xml:space="preserve"> reprodujo integralmente la ponencia para primer debate, razón por la cual tampoco contiene concepto del Ministerio de Hacienda y Crédito Público, ni análisis sobre impacto fiscal.  </w:t>
      </w:r>
    </w:p>
    <w:p w:rsidR="00D96995" w:rsidRPr="003A7DA4" w:rsidRDefault="003A7DA4" w:rsidP="00D96995">
      <w:pPr>
        <w:ind w:left="360"/>
        <w:rPr>
          <w:rFonts w:ascii="Times New Roman" w:eastAsiaTheme="minorHAnsi"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eastAsiaTheme="minorHAnsi" w:hAnsi="Times New Roman" w:cs="Times New Roman"/>
          <w:i/>
          <w:iCs/>
          <w:color w:val="000000" w:themeColor="text1"/>
          <w:sz w:val="28"/>
          <w:szCs w:val="28"/>
        </w:rPr>
        <w:t xml:space="preserve">Ponencia </w:t>
      </w:r>
      <w:r w:rsidRPr="003A7DA4">
        <w:rPr>
          <w:rFonts w:ascii="Times New Roman" w:eastAsiaTheme="minorHAnsi" w:hAnsi="Times New Roman" w:cs="Times New Roman"/>
          <w:i/>
          <w:iCs/>
          <w:color w:val="000000" w:themeColor="text1"/>
          <w:sz w:val="28"/>
          <w:szCs w:val="28"/>
        </w:rPr>
        <w:t>para primer debate en Cámara de Representantes</w:t>
      </w:r>
      <w:r w:rsidRPr="003A7DA4">
        <w:rPr>
          <w:rFonts w:ascii="Times New Roman" w:eastAsiaTheme="minorHAnsi" w:hAnsi="Times New Roman" w:cs="Times New Roman"/>
          <w:color w:val="000000" w:themeColor="text1"/>
          <w:sz w:val="28"/>
          <w:szCs w:val="28"/>
        </w:rPr>
        <w:t>.</w:t>
      </w:r>
      <w:r w:rsidRPr="003A7DA4">
        <w:rPr>
          <w:rStyle w:val="Refdenotaalpie"/>
          <w:rFonts w:ascii="Times New Roman" w:eastAsiaTheme="minorHAnsi" w:hAnsi="Times New Roman" w:cs="Times New Roman"/>
          <w:color w:val="000000" w:themeColor="text1"/>
          <w:sz w:val="28"/>
          <w:szCs w:val="28"/>
        </w:rPr>
        <w:footnoteReference w:id="104"/>
      </w:r>
      <w:r w:rsidRPr="003A7DA4">
        <w:rPr>
          <w:rFonts w:ascii="Times New Roman" w:eastAsiaTheme="minorHAnsi" w:hAnsi="Times New Roman" w:cs="Times New Roman"/>
          <w:color w:val="000000" w:themeColor="text1"/>
          <w:sz w:val="28"/>
          <w:szCs w:val="28"/>
        </w:rPr>
        <w:t xml:space="preserve"> La ponencia correspondió a Jhoany Carlos Alberto Palacios Mosquera, Carmen Felisa Ramírez Boscán y Edison Vladimir Olaya Manrique. En el informe se presentó una síntesis del Convenio y se transcribió su text</w:t>
      </w:r>
      <w:r w:rsidRPr="003A7DA4">
        <w:rPr>
          <w:rFonts w:ascii="Times New Roman" w:eastAsiaTheme="minorHAnsi" w:hAnsi="Times New Roman" w:cs="Times New Roman"/>
          <w:color w:val="000000" w:themeColor="text1"/>
          <w:sz w:val="28"/>
          <w:szCs w:val="28"/>
        </w:rPr>
        <w:t>o. Se describió la finalidad de los acuerdos de cooperación y su carácter instrumental, así como una breve referencia a la constitucionalidad de las medidas, en la que se indicó la competencia del Congreso para aprobar o improbar los tratados. No se aludió</w:t>
      </w:r>
      <w:r w:rsidRPr="003A7DA4">
        <w:rPr>
          <w:rFonts w:ascii="Times New Roman" w:eastAsiaTheme="minorHAnsi" w:hAnsi="Times New Roman" w:cs="Times New Roman"/>
          <w:color w:val="000000" w:themeColor="text1"/>
          <w:sz w:val="28"/>
          <w:szCs w:val="28"/>
        </w:rPr>
        <w:t xml:space="preserve"> a la existencia de un concepto sobre impacto fiscal, ni se hizo análisis al respecto. </w:t>
      </w:r>
    </w:p>
    <w:p w:rsidR="00D96995" w:rsidRPr="003A7DA4" w:rsidRDefault="003A7DA4" w:rsidP="00D96995">
      <w:pPr>
        <w:ind w:left="360"/>
        <w:rPr>
          <w:rFonts w:ascii="Times New Roman" w:eastAsiaTheme="minorHAnsi"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eastAsiaTheme="minorHAnsi" w:hAnsi="Times New Roman" w:cs="Times New Roman"/>
          <w:i/>
          <w:iCs/>
          <w:color w:val="000000" w:themeColor="text1"/>
          <w:sz w:val="28"/>
          <w:szCs w:val="28"/>
        </w:rPr>
        <w:t>Ponencia para segundo debate en Cámara de Representantes</w:t>
      </w:r>
      <w:r w:rsidRPr="003A7DA4">
        <w:rPr>
          <w:rFonts w:ascii="Times New Roman" w:eastAsiaTheme="minorHAnsi" w:hAnsi="Times New Roman" w:cs="Times New Roman"/>
          <w:color w:val="000000" w:themeColor="text1"/>
          <w:sz w:val="28"/>
          <w:szCs w:val="28"/>
        </w:rPr>
        <w:t>. En esta ponencia</w:t>
      </w:r>
      <w:r w:rsidRPr="003A7DA4">
        <w:rPr>
          <w:rStyle w:val="Refdenotaalpie"/>
          <w:rFonts w:ascii="Times New Roman" w:eastAsiaTheme="minorHAnsi" w:hAnsi="Times New Roman" w:cs="Times New Roman"/>
          <w:color w:val="000000" w:themeColor="text1"/>
          <w:sz w:val="28"/>
          <w:szCs w:val="28"/>
        </w:rPr>
        <w:footnoteReference w:id="105"/>
      </w:r>
      <w:r w:rsidRPr="003A7DA4">
        <w:rPr>
          <w:rFonts w:ascii="Times New Roman" w:eastAsiaTheme="minorHAnsi" w:hAnsi="Times New Roman" w:cs="Times New Roman"/>
          <w:color w:val="000000" w:themeColor="text1"/>
          <w:sz w:val="28"/>
          <w:szCs w:val="28"/>
        </w:rPr>
        <w:t xml:space="preserve"> se reiteró, por los mismos ponentes, el contenido de la ponencia presentada para primer debate en Cámara de Representantes y, en consecuencia, tampoco se acreditó concepto del Ministerio de Hacienda y Crédito Público o análisis particular sobre beneficios</w:t>
      </w:r>
      <w:r w:rsidRPr="003A7DA4">
        <w:rPr>
          <w:rFonts w:ascii="Times New Roman" w:eastAsiaTheme="minorHAnsi" w:hAnsi="Times New Roman" w:cs="Times New Roman"/>
          <w:color w:val="000000" w:themeColor="text1"/>
          <w:sz w:val="28"/>
          <w:szCs w:val="28"/>
        </w:rPr>
        <w:t xml:space="preserve"> tributarios o gastos.   </w:t>
      </w:r>
    </w:p>
    <w:p w:rsidR="00D96995" w:rsidRPr="003A7DA4" w:rsidRDefault="003A7DA4" w:rsidP="00D96995">
      <w:pPr>
        <w:ind w:left="360"/>
        <w:rPr>
          <w:rFonts w:ascii="Times New Roman" w:hAnsi="Times New Roman" w:cs="Times New Roman"/>
          <w:color w:val="000000" w:themeColor="text1"/>
          <w:sz w:val="28"/>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lang w:val="es-ES_tradnl" w:eastAsia="es-ES"/>
        </w:rPr>
      </w:pPr>
      <w:r w:rsidRPr="003A7DA4">
        <w:rPr>
          <w:rFonts w:ascii="Times New Roman" w:hAnsi="Times New Roman" w:cs="Times New Roman"/>
          <w:color w:val="000000" w:themeColor="text1"/>
          <w:sz w:val="28"/>
          <w:szCs w:val="28"/>
        </w:rPr>
        <w:t>Ahora bien, el 12 de marzo de 2023, en el marco de la revisión constitucional del tratado, el director de Asuntos Jurídicos Internacionales de la Fiscalía General de la Nación respondió al auto de pruebas. En el documento de resp</w:t>
      </w:r>
      <w:r w:rsidRPr="003A7DA4">
        <w:rPr>
          <w:rFonts w:ascii="Times New Roman" w:hAnsi="Times New Roman" w:cs="Times New Roman"/>
          <w:color w:val="000000" w:themeColor="text1"/>
          <w:sz w:val="28"/>
          <w:szCs w:val="28"/>
        </w:rPr>
        <w:t>uesta adjuntó algunos documentos producidos en curso de la negociación de este instrumento e intervino para comentar el Convenio en su calidad de entidad técnica. Sobre el tema de los gastos contemplados por el artículo 21, expuso que:</w:t>
      </w:r>
    </w:p>
    <w:p w:rsidR="00D96995" w:rsidRPr="003A7DA4" w:rsidRDefault="003A7DA4" w:rsidP="00D96995">
      <w:pPr>
        <w:tabs>
          <w:tab w:val="left" w:pos="426"/>
        </w:tabs>
        <w:ind w:right="49"/>
        <w:jc w:val="both"/>
        <w:rPr>
          <w:rFonts w:ascii="Times New Roman" w:hAnsi="Times New Roman" w:cs="Times New Roman"/>
          <w:color w:val="000000" w:themeColor="text1"/>
          <w:sz w:val="28"/>
          <w:szCs w:val="26"/>
          <w:lang w:val="es-ES_tradnl" w:eastAsia="es-ES"/>
        </w:rPr>
      </w:pPr>
    </w:p>
    <w:p w:rsidR="00D96995" w:rsidRPr="003A7DA4" w:rsidRDefault="003A7DA4" w:rsidP="00820840">
      <w:pPr>
        <w:tabs>
          <w:tab w:val="left" w:pos="426"/>
        </w:tabs>
        <w:ind w:left="567" w:right="616"/>
        <w:jc w:val="both"/>
        <w:rPr>
          <w:rFonts w:ascii="Times New Roman" w:hAnsi="Times New Roman" w:cs="Times New Roman"/>
          <w:color w:val="000000" w:themeColor="text1"/>
          <w:sz w:val="28"/>
          <w:lang w:val="es-ES_tradnl" w:eastAsia="es-ES"/>
        </w:rPr>
      </w:pPr>
      <w:r w:rsidRPr="003A7DA4">
        <w:rPr>
          <w:rFonts w:ascii="Times New Roman" w:hAnsi="Times New Roman" w:cs="Times New Roman"/>
          <w:color w:val="000000" w:themeColor="text1"/>
          <w:sz w:val="28"/>
          <w:lang w:val="es-ES_tradnl" w:eastAsia="es-ES"/>
        </w:rPr>
        <w:t>“El artículo 21 del</w:t>
      </w:r>
      <w:r w:rsidRPr="003A7DA4">
        <w:rPr>
          <w:rFonts w:ascii="Times New Roman" w:hAnsi="Times New Roman" w:cs="Times New Roman"/>
          <w:color w:val="000000" w:themeColor="text1"/>
          <w:sz w:val="28"/>
          <w:lang w:val="es-ES_tradnl" w:eastAsia="es-ES"/>
        </w:rPr>
        <w:t xml:space="preserve"> Convenio regula el tema de distribución de los gastos entre los países para la realización de las diferentes actividades que hacen parte de la colaboración judicial. La distribución resulta razonable en tanto que la Parte requirente deberá sufragar los ga</w:t>
      </w:r>
      <w:r w:rsidRPr="003A7DA4">
        <w:rPr>
          <w:rFonts w:ascii="Times New Roman" w:hAnsi="Times New Roman" w:cs="Times New Roman"/>
          <w:color w:val="000000" w:themeColor="text1"/>
          <w:sz w:val="28"/>
          <w:lang w:val="es-ES_tradnl" w:eastAsia="es-ES"/>
        </w:rPr>
        <w:t>stos que se generen con ocasión de ciertas actividades, como los honorarios de peritos, el traslado, estadía y presencia sus representantes en las diligencias respectivas, entre otros. Cuando los gastos sean muy cuantiosos las autoridades centrales de cada</w:t>
      </w:r>
      <w:r w:rsidRPr="003A7DA4">
        <w:rPr>
          <w:rFonts w:ascii="Times New Roman" w:hAnsi="Times New Roman" w:cs="Times New Roman"/>
          <w:color w:val="000000" w:themeColor="text1"/>
          <w:sz w:val="28"/>
          <w:lang w:val="es-ES_tradnl" w:eastAsia="es-ES"/>
        </w:rPr>
        <w:t xml:space="preserve"> parte deberán concretar las condiciones en que se dará cumplimiento a la solicitud, así como la manera en que se sufragan los gastos”</w:t>
      </w:r>
      <w:r w:rsidRPr="003A7DA4">
        <w:rPr>
          <w:rStyle w:val="Refdenotaalpie"/>
          <w:rFonts w:ascii="Times New Roman" w:eastAsiaTheme="majorEastAsia" w:hAnsi="Times New Roman" w:cs="Times New Roman"/>
          <w:color w:val="000000" w:themeColor="text1"/>
          <w:sz w:val="28"/>
          <w:szCs w:val="24"/>
          <w:lang w:val="es-ES_tradnl" w:eastAsia="es-ES"/>
        </w:rPr>
        <w:footnoteReference w:id="106"/>
      </w:r>
      <w:r w:rsidRPr="003A7DA4">
        <w:rPr>
          <w:rFonts w:ascii="Times New Roman" w:hAnsi="Times New Roman" w:cs="Times New Roman"/>
          <w:color w:val="000000" w:themeColor="text1"/>
          <w:sz w:val="28"/>
          <w:lang w:val="es-ES_tradnl" w:eastAsia="es-ES"/>
        </w:rPr>
        <w:t xml:space="preserve">.  </w:t>
      </w:r>
    </w:p>
    <w:p w:rsidR="00D96995" w:rsidRPr="003A7DA4" w:rsidRDefault="003A7DA4" w:rsidP="00D96995">
      <w:pPr>
        <w:tabs>
          <w:tab w:val="left" w:pos="426"/>
        </w:tabs>
        <w:ind w:right="49"/>
        <w:jc w:val="both"/>
        <w:rPr>
          <w:rFonts w:ascii="Times New Roman" w:hAnsi="Times New Roman" w:cs="Times New Roman"/>
          <w:color w:val="000000" w:themeColor="text1"/>
          <w:sz w:val="28"/>
          <w:szCs w:val="28"/>
          <w:lang w:val="es-ES_tradnl" w:eastAsia="es-ES"/>
        </w:rPr>
      </w:pPr>
    </w:p>
    <w:p w:rsidR="00D96995" w:rsidRPr="003A7DA4" w:rsidRDefault="003A7DA4" w:rsidP="00D96995">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Mas adelante, la Fiscalía General de la Nación sostuvo que la suscripción del convenio “no implica per se el compromiso de partidas presupuestales de los Estados firmantes”. Finalmente, precisó que “la firma del convenio podría conllevar la firma de acuerd</w:t>
      </w:r>
      <w:r w:rsidRPr="003A7DA4">
        <w:rPr>
          <w:rFonts w:ascii="Times New Roman" w:hAnsi="Times New Roman" w:cs="Times New Roman"/>
          <w:color w:val="000000" w:themeColor="text1"/>
          <w:sz w:val="28"/>
          <w:szCs w:val="28"/>
        </w:rPr>
        <w:t xml:space="preserve">os específicos de asistencia judicial, los cuales no se podrán ejecutar por medio de contratación directa en el marco de la ley de garantías”. </w:t>
      </w:r>
    </w:p>
    <w:p w:rsidR="00D96995" w:rsidRPr="003A7DA4" w:rsidRDefault="003A7DA4" w:rsidP="00D96995">
      <w:pPr>
        <w:tabs>
          <w:tab w:val="left" w:pos="426"/>
        </w:tabs>
        <w:ind w:right="49"/>
        <w:jc w:val="both"/>
        <w:rPr>
          <w:rFonts w:ascii="Times New Roman" w:hAnsi="Times New Roman" w:cs="Times New Roman"/>
          <w:color w:val="000000" w:themeColor="text1"/>
          <w:sz w:val="28"/>
          <w:szCs w:val="28"/>
        </w:rPr>
      </w:pPr>
    </w:p>
    <w:p w:rsidR="00D96995" w:rsidRPr="003A7DA4" w:rsidRDefault="003A7DA4" w:rsidP="00CC1D1E">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lang w:val="es-ES_tradnl" w:eastAsia="es-ES"/>
        </w:rPr>
        <w:t>En consecuencia, está probado que en el trámite legislativo el Ministerio de Hacienda y Crédito Público no rind</w:t>
      </w:r>
      <w:r w:rsidRPr="003A7DA4">
        <w:rPr>
          <w:rFonts w:ascii="Times New Roman" w:hAnsi="Times New Roman" w:cs="Times New Roman"/>
          <w:color w:val="000000" w:themeColor="text1"/>
          <w:sz w:val="28"/>
          <w:szCs w:val="28"/>
          <w:lang w:val="es-ES_tradnl" w:eastAsia="es-ES"/>
        </w:rPr>
        <w:t xml:space="preserve">ió el concepto respectivo, de conformidad con el artículo 7 de la Ley 819 de 2003, y que, ni en la exposición de motivos ni en las ponencias correspondientes, se incluyó un análisis tal. </w:t>
      </w:r>
    </w:p>
    <w:p w:rsidR="00EC4959" w:rsidRPr="003A7DA4" w:rsidRDefault="003A7DA4" w:rsidP="00EC4959">
      <w:pPr>
        <w:rPr>
          <w:rFonts w:ascii="Times New Roman" w:hAnsi="Times New Roman" w:cs="Times New Roman"/>
          <w:i/>
          <w:iCs/>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i/>
          <w:iCs/>
          <w:color w:val="000000" w:themeColor="text1"/>
          <w:sz w:val="28"/>
          <w:szCs w:val="28"/>
        </w:rPr>
        <w:t>Análisis del presupuesto material para la exigencia del requisito</w:t>
      </w:r>
      <w:r w:rsidRPr="003A7DA4">
        <w:rPr>
          <w:rFonts w:ascii="Times New Roman" w:hAnsi="Times New Roman" w:cs="Times New Roman"/>
          <w:color w:val="000000" w:themeColor="text1"/>
          <w:sz w:val="28"/>
          <w:szCs w:val="28"/>
        </w:rPr>
        <w:t xml:space="preserve">. </w:t>
      </w:r>
      <w:r w:rsidRPr="003A7DA4">
        <w:rPr>
          <w:rFonts w:ascii="Times New Roman" w:hAnsi="Times New Roman" w:cs="Times New Roman"/>
          <w:color w:val="000000" w:themeColor="text1"/>
          <w:sz w:val="28"/>
          <w:szCs w:val="28"/>
        </w:rPr>
        <w:t>Como se explicó, desde el punto de vista material se pueden diferenciar dos clase</w:t>
      </w:r>
      <w:r w:rsidRPr="003A7DA4">
        <w:rPr>
          <w:rFonts w:ascii="Times New Roman" w:hAnsi="Times New Roman" w:cs="Times New Roman"/>
          <w:color w:val="000000" w:themeColor="text1"/>
          <w:sz w:val="28"/>
          <w:szCs w:val="28"/>
        </w:rPr>
        <w:t>s</w:t>
      </w:r>
      <w:r w:rsidRPr="003A7DA4">
        <w:rPr>
          <w:rFonts w:ascii="Times New Roman" w:hAnsi="Times New Roman" w:cs="Times New Roman"/>
          <w:color w:val="000000" w:themeColor="text1"/>
          <w:sz w:val="28"/>
          <w:szCs w:val="28"/>
        </w:rPr>
        <w:t xml:space="preserve"> de medidas incluidas en los tratados, las cuales determinan que se deba cumplir con dicho requisito. De un lado, la imposición de gastos por parte del instrumento internacio</w:t>
      </w:r>
      <w:r w:rsidRPr="003A7DA4">
        <w:rPr>
          <w:rFonts w:ascii="Times New Roman" w:hAnsi="Times New Roman" w:cs="Times New Roman"/>
          <w:color w:val="000000" w:themeColor="text1"/>
          <w:sz w:val="28"/>
          <w:szCs w:val="28"/>
        </w:rPr>
        <w:t>nal</w:t>
      </w:r>
      <w:r w:rsidRPr="003A7DA4">
        <w:rPr>
          <w:rFonts w:ascii="Times New Roman" w:hAnsi="Times New Roman" w:cs="Times New Roman"/>
          <w:iCs/>
          <w:color w:val="000000" w:themeColor="text1"/>
          <w:sz w:val="28"/>
          <w:szCs w:val="28"/>
        </w:rPr>
        <w:t xml:space="preserve"> y, de otro, el establecimiento de un beneficio tributario.</w:t>
      </w:r>
      <w:r w:rsidRPr="003A7DA4">
        <w:rPr>
          <w:rFonts w:ascii="Times New Roman" w:hAnsi="Times New Roman" w:cs="Times New Roman"/>
          <w:i/>
          <w:iCs/>
          <w:color w:val="000000" w:themeColor="text1"/>
          <w:sz w:val="28"/>
          <w:szCs w:val="28"/>
        </w:rPr>
        <w:t xml:space="preserve">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b/>
          <w:bCs/>
          <w:color w:val="000000" w:themeColor="text1"/>
          <w:sz w:val="28"/>
          <w:szCs w:val="28"/>
        </w:rPr>
      </w:pPr>
      <w:r w:rsidRPr="003A7DA4">
        <w:rPr>
          <w:rFonts w:ascii="Times New Roman" w:hAnsi="Times New Roman" w:cs="Times New Roman"/>
          <w:color w:val="000000" w:themeColor="text1"/>
          <w:sz w:val="28"/>
          <w:szCs w:val="28"/>
        </w:rPr>
        <w:t>La Sala observa que, desde una perspectiva general y literal, el Convenio en revisión incluye tanto gastos</w:t>
      </w:r>
      <w:r w:rsidRPr="003A7DA4">
        <w:rPr>
          <w:rFonts w:ascii="Times New Roman" w:hAnsi="Times New Roman" w:cs="Times New Roman"/>
          <w:b/>
          <w:bCs/>
          <w:color w:val="000000" w:themeColor="text1"/>
          <w:sz w:val="28"/>
          <w:szCs w:val="28"/>
        </w:rPr>
        <w:t xml:space="preserve"> </w:t>
      </w:r>
      <w:r w:rsidRPr="003A7DA4">
        <w:rPr>
          <w:rFonts w:ascii="Times New Roman" w:hAnsi="Times New Roman" w:cs="Times New Roman"/>
          <w:color w:val="000000" w:themeColor="text1"/>
          <w:sz w:val="28"/>
          <w:szCs w:val="28"/>
        </w:rPr>
        <w:t>como beneficios tributarios.</w:t>
      </w:r>
      <w:r w:rsidRPr="003A7DA4">
        <w:rPr>
          <w:rFonts w:ascii="Times New Roman" w:hAnsi="Times New Roman" w:cs="Times New Roman"/>
          <w:b/>
          <w:bCs/>
          <w:color w:val="000000" w:themeColor="text1"/>
          <w:sz w:val="28"/>
          <w:szCs w:val="28"/>
        </w:rPr>
        <w:t xml:space="preserve">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b/>
          <w:bCs/>
          <w:color w:val="000000" w:themeColor="text1"/>
          <w:sz w:val="28"/>
          <w:szCs w:val="28"/>
        </w:rPr>
      </w:pPr>
      <w:r w:rsidRPr="003A7DA4">
        <w:rPr>
          <w:rFonts w:ascii="Times New Roman" w:hAnsi="Times New Roman" w:cs="Times New Roman"/>
          <w:color w:val="000000" w:themeColor="text1"/>
          <w:sz w:val="28"/>
          <w:szCs w:val="28"/>
        </w:rPr>
        <w:t xml:space="preserve">Sobre las normas del Convenio que implican u ordenan </w:t>
      </w:r>
      <w:r w:rsidRPr="003A7DA4">
        <w:rPr>
          <w:rFonts w:ascii="Times New Roman" w:hAnsi="Times New Roman" w:cs="Times New Roman"/>
          <w:color w:val="000000" w:themeColor="text1"/>
          <w:sz w:val="28"/>
          <w:szCs w:val="28"/>
        </w:rPr>
        <w:t>gasto, la Sala advierte principalmente que el artículo 21 del instrumento contiene la cláusula de gastos derivados de la ejecución de las solicitudes de asistencia. Este enunciado remite a otras disposiciones del instrumento, como: (i) el artículo 14.2 que</w:t>
      </w:r>
      <w:r w:rsidRPr="003A7DA4">
        <w:rPr>
          <w:rFonts w:ascii="Times New Roman" w:hAnsi="Times New Roman" w:cs="Times New Roman"/>
          <w:color w:val="000000" w:themeColor="text1"/>
          <w:sz w:val="28"/>
          <w:szCs w:val="28"/>
        </w:rPr>
        <w:t xml:space="preserve"> se ocupa de las condiciones y forma de pago frente a los gastos derivados de la solicitud</w:t>
      </w:r>
      <w:r w:rsidRPr="003A7DA4">
        <w:rPr>
          <w:rFonts w:ascii="Times New Roman" w:hAnsi="Times New Roman" w:cs="Times New Roman"/>
          <w:b/>
          <w:bCs/>
          <w:color w:val="000000" w:themeColor="text1"/>
          <w:sz w:val="28"/>
          <w:szCs w:val="28"/>
        </w:rPr>
        <w:t xml:space="preserve"> </w:t>
      </w:r>
      <w:r w:rsidRPr="003A7DA4">
        <w:rPr>
          <w:rFonts w:ascii="Times New Roman" w:hAnsi="Times New Roman" w:cs="Times New Roman"/>
          <w:bCs/>
          <w:color w:val="000000" w:themeColor="text1"/>
          <w:sz w:val="28"/>
          <w:szCs w:val="28"/>
        </w:rPr>
        <w:t xml:space="preserve">de comparecencia de las personas; (ii) el artículo 16 que regula el traslado temporal para prestar testimonio como testigo o víctima, </w:t>
      </w:r>
      <w:r w:rsidRPr="003A7DA4">
        <w:rPr>
          <w:rStyle w:val="apple-converted-space"/>
          <w:rFonts w:ascii="Times New Roman" w:hAnsi="Times New Roman" w:cs="Times New Roman"/>
          <w:color w:val="000000" w:themeColor="text1"/>
          <w:sz w:val="28"/>
          <w:szCs w:val="28"/>
        </w:rPr>
        <w:t xml:space="preserve">o </w:t>
      </w:r>
      <w:r w:rsidRPr="003A7DA4">
        <w:rPr>
          <w:rFonts w:ascii="Times New Roman" w:hAnsi="Times New Roman" w:cs="Times New Roman"/>
          <w:color w:val="000000" w:themeColor="text1"/>
          <w:sz w:val="28"/>
          <w:szCs w:val="28"/>
        </w:rPr>
        <w:t>para otras actuaciones proces</w:t>
      </w:r>
      <w:r w:rsidRPr="003A7DA4">
        <w:rPr>
          <w:rFonts w:ascii="Times New Roman" w:hAnsi="Times New Roman" w:cs="Times New Roman"/>
          <w:color w:val="000000" w:themeColor="text1"/>
          <w:sz w:val="28"/>
          <w:szCs w:val="28"/>
        </w:rPr>
        <w:t>ales, lo que significa gastos de transporte al territorio del requirente a su territorio y regreso, así como la estadía y otros gastos asociados al traslado; (iii) el artículo 9.2 sobre gastos relacionados con el</w:t>
      </w:r>
      <w:r w:rsidRPr="003A7DA4">
        <w:rPr>
          <w:rFonts w:ascii="Times New Roman" w:hAnsi="Times New Roman" w:cs="Times New Roman"/>
          <w:bCs/>
          <w:color w:val="000000" w:themeColor="text1"/>
          <w:sz w:val="28"/>
          <w:szCs w:val="28"/>
        </w:rPr>
        <w:t xml:space="preserve"> transporte, la estadía y la presencia de lo</w:t>
      </w:r>
      <w:r w:rsidRPr="003A7DA4">
        <w:rPr>
          <w:rFonts w:ascii="Times New Roman" w:hAnsi="Times New Roman" w:cs="Times New Roman"/>
          <w:bCs/>
          <w:color w:val="000000" w:themeColor="text1"/>
          <w:sz w:val="28"/>
          <w:szCs w:val="28"/>
        </w:rPr>
        <w:t xml:space="preserve">s representantes de autoridades competentes de la Parte Requirente; (iv) </w:t>
      </w:r>
      <w:r w:rsidRPr="003A7DA4">
        <w:rPr>
          <w:rStyle w:val="apple-converted-space"/>
          <w:rFonts w:ascii="Times New Roman" w:eastAsiaTheme="majorEastAsia" w:hAnsi="Times New Roman" w:cs="Times New Roman"/>
          <w:color w:val="000000" w:themeColor="text1"/>
          <w:sz w:val="28"/>
          <w:szCs w:val="28"/>
        </w:rPr>
        <w:t xml:space="preserve">los gastos derivados de la </w:t>
      </w:r>
      <w:r w:rsidRPr="003A7DA4">
        <w:rPr>
          <w:rFonts w:ascii="Times New Roman" w:hAnsi="Times New Roman" w:cs="Times New Roman"/>
          <w:color w:val="000000" w:themeColor="text1"/>
          <w:sz w:val="28"/>
          <w:szCs w:val="28"/>
        </w:rPr>
        <w:t>protección de las personas citadas o trasladadas al territorio de la Parte requirente, de acuerdo con el artículo 17; y (v) los gastos derivados de programa</w:t>
      </w:r>
      <w:r w:rsidRPr="003A7DA4">
        <w:rPr>
          <w:rFonts w:ascii="Times New Roman" w:hAnsi="Times New Roman" w:cs="Times New Roman"/>
          <w:color w:val="000000" w:themeColor="text1"/>
          <w:sz w:val="28"/>
          <w:szCs w:val="28"/>
        </w:rPr>
        <w:t>s de cooperación entre las partes.</w:t>
      </w:r>
    </w:p>
    <w:p w:rsidR="00EC4959" w:rsidRPr="003A7DA4" w:rsidRDefault="003A7DA4" w:rsidP="00EC4959">
      <w:pPr>
        <w:tabs>
          <w:tab w:val="left" w:pos="426"/>
        </w:tabs>
        <w:ind w:right="49"/>
        <w:jc w:val="both"/>
        <w:rPr>
          <w:rFonts w:ascii="Times New Roman" w:hAnsi="Times New Roman" w:cs="Times New Roman"/>
          <w:b/>
          <w:bCs/>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b/>
          <w:bCs/>
          <w:color w:val="000000" w:themeColor="text1"/>
          <w:sz w:val="28"/>
          <w:szCs w:val="28"/>
        </w:rPr>
      </w:pPr>
      <w:r w:rsidRPr="003A7DA4">
        <w:rPr>
          <w:rFonts w:ascii="Times New Roman" w:hAnsi="Times New Roman" w:cs="Times New Roman"/>
          <w:color w:val="000000" w:themeColor="text1"/>
          <w:sz w:val="28"/>
          <w:szCs w:val="28"/>
        </w:rPr>
        <w:t xml:space="preserve">El artículo 21 es entonces la cláusula principal en cuanto a los gastos </w:t>
      </w:r>
      <w:r w:rsidRPr="003A7DA4">
        <w:rPr>
          <w:rFonts w:ascii="Times New Roman" w:hAnsi="Times New Roman" w:cs="Times New Roman"/>
          <w:bCs/>
          <w:color w:val="000000" w:themeColor="text1"/>
          <w:sz w:val="28"/>
          <w:szCs w:val="28"/>
        </w:rPr>
        <w:t>ordinarios</w:t>
      </w:r>
      <w:r w:rsidRPr="003A7DA4">
        <w:rPr>
          <w:rFonts w:ascii="Times New Roman" w:hAnsi="Times New Roman" w:cs="Times New Roman"/>
          <w:color w:val="000000" w:themeColor="text1"/>
          <w:sz w:val="28"/>
          <w:szCs w:val="28"/>
        </w:rPr>
        <w:t xml:space="preserve"> previstos por el Convenio, por lo que la Sala enfocará su análisis en dicho artículo, cuyo texto es el siguiente:</w:t>
      </w:r>
    </w:p>
    <w:p w:rsidR="00EC4959" w:rsidRPr="003A7DA4" w:rsidRDefault="003A7DA4" w:rsidP="00EC4959">
      <w:pPr>
        <w:rPr>
          <w:rFonts w:ascii="Times New Roman" w:hAnsi="Times New Roman" w:cs="Times New Roman"/>
          <w:b/>
          <w:bCs/>
          <w:color w:val="000000" w:themeColor="text1"/>
          <w:sz w:val="28"/>
        </w:rPr>
      </w:pPr>
    </w:p>
    <w:tbl>
      <w:tblPr>
        <w:tblStyle w:val="Tablaconcuadrcula"/>
        <w:tblW w:w="0" w:type="auto"/>
        <w:tblLook w:val="04A0" w:firstRow="1" w:lastRow="0" w:firstColumn="1" w:lastColumn="0" w:noHBand="0" w:noVBand="1"/>
      </w:tblPr>
      <w:tblGrid>
        <w:gridCol w:w="2263"/>
        <w:gridCol w:w="6565"/>
      </w:tblGrid>
      <w:tr w:rsidR="00EC4959" w:rsidRPr="003A7DA4" w:rsidTr="002C5333">
        <w:tc>
          <w:tcPr>
            <w:tcW w:w="2263"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lang w:val="es-ES_tradnl" w:eastAsia="es-ES"/>
              </w:rPr>
            </w:pPr>
            <w:r w:rsidRPr="003A7DA4">
              <w:rPr>
                <w:rFonts w:ascii="Times New Roman" w:hAnsi="Times New Roman"/>
                <w:b/>
                <w:color w:val="000000" w:themeColor="text1"/>
                <w:sz w:val="28"/>
                <w:lang w:val="es-ES_tradnl" w:eastAsia="es-ES"/>
              </w:rPr>
              <w:t>Artículo</w:t>
            </w:r>
          </w:p>
        </w:tc>
        <w:tc>
          <w:tcPr>
            <w:tcW w:w="6565"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lang w:val="es-ES_tradnl" w:eastAsia="es-ES"/>
              </w:rPr>
            </w:pPr>
            <w:r w:rsidRPr="003A7DA4">
              <w:rPr>
                <w:rFonts w:ascii="Times New Roman" w:hAnsi="Times New Roman"/>
                <w:b/>
                <w:color w:val="000000" w:themeColor="text1"/>
                <w:sz w:val="28"/>
                <w:lang w:val="es-ES_tradnl" w:eastAsia="es-ES"/>
              </w:rPr>
              <w:t>Contenido</w:t>
            </w:r>
          </w:p>
        </w:tc>
      </w:tr>
      <w:tr w:rsidR="00EC4959" w:rsidRPr="003A7DA4" w:rsidTr="002C5333">
        <w:tc>
          <w:tcPr>
            <w:tcW w:w="2263" w:type="dxa"/>
          </w:tcPr>
          <w:p w:rsidR="00EC4959" w:rsidRPr="003A7DA4" w:rsidRDefault="003A7DA4" w:rsidP="002C5333">
            <w:pPr>
              <w:jc w:val="both"/>
              <w:rPr>
                <w:rFonts w:ascii="Times New Roman" w:hAnsi="Times New Roman"/>
                <w:b/>
                <w:bCs/>
                <w:color w:val="000000" w:themeColor="text1"/>
                <w:sz w:val="28"/>
              </w:rPr>
            </w:pPr>
            <w:r w:rsidRPr="003A7DA4">
              <w:rPr>
                <w:rFonts w:ascii="Times New Roman" w:hAnsi="Times New Roman"/>
                <w:b/>
                <w:bCs/>
                <w:color w:val="000000" w:themeColor="text1"/>
                <w:sz w:val="28"/>
              </w:rPr>
              <w:t>Ar</w:t>
            </w:r>
            <w:r w:rsidRPr="003A7DA4">
              <w:rPr>
                <w:rFonts w:ascii="Times New Roman" w:hAnsi="Times New Roman"/>
                <w:b/>
                <w:bCs/>
                <w:color w:val="000000" w:themeColor="text1"/>
                <w:sz w:val="28"/>
              </w:rPr>
              <w:t>tículo 21. GASTOS</w:t>
            </w:r>
          </w:p>
        </w:tc>
        <w:tc>
          <w:tcPr>
            <w:tcW w:w="6565" w:type="dxa"/>
          </w:tcPr>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 xml:space="preserve"> 1. Sin perjuicio de un acuerdo sobre el particular entre las Partes, la Parte Requerida asumirá los gastos ordinarios de la ejecución de solicitudes de asistencia judicial, salvo los siguientes gastos que asumirá la Parte Requirente:</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 xml:space="preserve">a) </w:t>
            </w:r>
            <w:r w:rsidRPr="003A7DA4">
              <w:rPr>
                <w:rFonts w:ascii="Times New Roman" w:hAnsi="Times New Roman"/>
                <w:color w:val="000000" w:themeColor="text1"/>
                <w:sz w:val="28"/>
              </w:rPr>
              <w:t>Gastos relativos al transporte de las personas a su territorio y de regreso, conforme a los artículos 14 y 16 del presente Convenio, y a su estadía en este territorio, así como otros pagos qué correspondan a estas personas</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b) Gastos y honorarios de peritos</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c) Gastos relativos al transporte, la estadía y a la presencia de los representantes de autoridades competentes de la Parte Requirente durante la ejecución de la solicitud, de conformidad con el numeral 2 del artículo 9 del presente Convenio</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d) Gastos rel</w:t>
            </w:r>
            <w:r w:rsidRPr="003A7DA4">
              <w:rPr>
                <w:rFonts w:ascii="Times New Roman" w:hAnsi="Times New Roman"/>
                <w:color w:val="000000" w:themeColor="text1"/>
                <w:sz w:val="28"/>
              </w:rPr>
              <w:t>ativos al envío y devolución de objetos trasladados del territorio de la Parte Requerida al territorio de la Parte Requirente</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e) Los gastos relativos a la protección de personas estipulado en el Artículo 17 del presente acuerdo</w:t>
            </w:r>
          </w:p>
          <w:p w:rsidR="00EC4959" w:rsidRPr="003A7DA4" w:rsidRDefault="003A7DA4" w:rsidP="002C5333">
            <w:pPr>
              <w:pStyle w:val="NormalWeb"/>
              <w:jc w:val="both"/>
              <w:rPr>
                <w:rFonts w:ascii="Times New Roman" w:hAnsi="Times New Roman"/>
                <w:color w:val="000000" w:themeColor="text1"/>
                <w:sz w:val="28"/>
              </w:rPr>
            </w:pPr>
            <w:r w:rsidRPr="003A7DA4">
              <w:rPr>
                <w:rFonts w:ascii="Times New Roman" w:hAnsi="Times New Roman"/>
                <w:color w:val="000000" w:themeColor="text1"/>
                <w:sz w:val="28"/>
              </w:rPr>
              <w:t>2. En caso de que la solicit</w:t>
            </w:r>
            <w:r w:rsidRPr="003A7DA4">
              <w:rPr>
                <w:rFonts w:ascii="Times New Roman" w:hAnsi="Times New Roman"/>
                <w:color w:val="000000" w:themeColor="text1"/>
                <w:sz w:val="28"/>
              </w:rPr>
              <w:t>ud requiera de gastos cuantiosos o de carácter extraordinario, como es el caso de los equipos de investigación conjunta y las entregas controladas, las Autoridades Centrales de las Partes se consultarán para determinar las condiciones en que se dará cumpli</w:t>
            </w:r>
            <w:r w:rsidRPr="003A7DA4">
              <w:rPr>
                <w:rFonts w:ascii="Times New Roman" w:hAnsi="Times New Roman"/>
                <w:color w:val="000000" w:themeColor="text1"/>
                <w:sz w:val="28"/>
              </w:rPr>
              <w:t>miento a la solicitud, así como la manera como se sufragarán los gastos</w:t>
            </w:r>
          </w:p>
        </w:tc>
      </w:tr>
    </w:tbl>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De acuerdo con este enunciado normativo, la Sala constata que el esquema de gastos tiene dos modalidades. La primera modalidad es el acuerdo entre las partes sobre la distribución de los pagos. Dicho acuerdo opera de forma prevalente a la regulación del tr</w:t>
      </w:r>
      <w:r w:rsidRPr="003A7DA4">
        <w:rPr>
          <w:rFonts w:ascii="Times New Roman" w:hAnsi="Times New Roman" w:cs="Times New Roman"/>
          <w:color w:val="000000" w:themeColor="text1"/>
          <w:sz w:val="28"/>
          <w:szCs w:val="28"/>
        </w:rPr>
        <w:t xml:space="preserve">atado, según se sigue de la expresión “sin perjuicio de un acuerdo entre las partes”. Ante la falta de acuerdo de las partes operan las reglas sobre gastos contenidas en el artículo 21, el cual establece dos tipos de reglas en materia de gastos.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Una de c</w:t>
      </w:r>
      <w:r w:rsidRPr="003A7DA4">
        <w:rPr>
          <w:rFonts w:ascii="Times New Roman" w:hAnsi="Times New Roman" w:cs="Times New Roman"/>
          <w:color w:val="000000" w:themeColor="text1"/>
          <w:sz w:val="28"/>
          <w:szCs w:val="28"/>
        </w:rPr>
        <w:t xml:space="preserve">arácter general consiste en que a la </w:t>
      </w:r>
      <w:r w:rsidRPr="003A7DA4">
        <w:rPr>
          <w:rFonts w:ascii="Times New Roman" w:hAnsi="Times New Roman" w:cs="Times New Roman"/>
          <w:bCs/>
          <w:color w:val="000000" w:themeColor="text1"/>
          <w:sz w:val="28"/>
          <w:szCs w:val="28"/>
        </w:rPr>
        <w:t>parte requerida</w:t>
      </w:r>
      <w:r w:rsidRPr="003A7DA4">
        <w:rPr>
          <w:rFonts w:ascii="Times New Roman" w:hAnsi="Times New Roman" w:cs="Times New Roman"/>
          <w:color w:val="000000" w:themeColor="text1"/>
          <w:sz w:val="28"/>
          <w:szCs w:val="28"/>
        </w:rPr>
        <w:t xml:space="preserve"> le corresponde asumir los gastos ordinarios de la ejecución de solicitudes de asistencia judicial. De acuerdo con el artículo 2</w:t>
      </w:r>
      <w:r w:rsidRPr="003A7DA4">
        <w:rPr>
          <w:rStyle w:val="Refdenotaalpie"/>
          <w:rFonts w:ascii="Times New Roman" w:eastAsiaTheme="majorEastAsia" w:hAnsi="Times New Roman" w:cs="Times New Roman"/>
          <w:color w:val="000000" w:themeColor="text1"/>
          <w:sz w:val="28"/>
          <w:szCs w:val="28"/>
        </w:rPr>
        <w:footnoteReference w:id="107"/>
      </w:r>
      <w:r w:rsidRPr="003A7DA4">
        <w:rPr>
          <w:rFonts w:ascii="Times New Roman" w:hAnsi="Times New Roman" w:cs="Times New Roman"/>
          <w:color w:val="000000" w:themeColor="text1"/>
          <w:sz w:val="28"/>
          <w:szCs w:val="28"/>
        </w:rPr>
        <w:t xml:space="preserve">, el contenido de la asistencia supone, entre otras cosas, notificación de </w:t>
      </w:r>
      <w:r w:rsidRPr="003A7DA4">
        <w:rPr>
          <w:rFonts w:ascii="Times New Roman" w:hAnsi="Times New Roman" w:cs="Times New Roman"/>
          <w:color w:val="000000" w:themeColor="text1"/>
          <w:sz w:val="28"/>
          <w:szCs w:val="28"/>
        </w:rPr>
        <w:t xml:space="preserve">documentos, traslado de personas, ejecución de medidas sobre bienes, citaciones a testigos o personas investigadas, y ejecuciones de inspecciones judiciales.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Ahora bien, a la </w:t>
      </w:r>
      <w:r w:rsidRPr="003A7DA4">
        <w:rPr>
          <w:rFonts w:ascii="Times New Roman" w:hAnsi="Times New Roman" w:cs="Times New Roman"/>
          <w:color w:val="000000" w:themeColor="text1"/>
          <w:sz w:val="28"/>
          <w:szCs w:val="28"/>
        </w:rPr>
        <w:t>P</w:t>
      </w:r>
      <w:r w:rsidRPr="003A7DA4">
        <w:rPr>
          <w:rFonts w:ascii="Times New Roman" w:hAnsi="Times New Roman" w:cs="Times New Roman"/>
          <w:color w:val="000000" w:themeColor="text1"/>
          <w:sz w:val="28"/>
          <w:szCs w:val="28"/>
        </w:rPr>
        <w:t xml:space="preserve">arte </w:t>
      </w:r>
      <w:r w:rsidRPr="003A7DA4">
        <w:rPr>
          <w:rFonts w:ascii="Times New Roman" w:hAnsi="Times New Roman" w:cs="Times New Roman"/>
          <w:color w:val="000000" w:themeColor="text1"/>
          <w:sz w:val="28"/>
          <w:szCs w:val="28"/>
        </w:rPr>
        <w:t>R</w:t>
      </w:r>
      <w:r w:rsidRPr="003A7DA4">
        <w:rPr>
          <w:rFonts w:ascii="Times New Roman" w:hAnsi="Times New Roman" w:cs="Times New Roman"/>
          <w:color w:val="000000" w:themeColor="text1"/>
          <w:sz w:val="28"/>
          <w:szCs w:val="28"/>
        </w:rPr>
        <w:t>equirente le corresponde asumir los siguientes gastos: (i) el transporte</w:t>
      </w:r>
      <w:r w:rsidRPr="003A7DA4">
        <w:rPr>
          <w:rFonts w:ascii="Times New Roman" w:hAnsi="Times New Roman" w:cs="Times New Roman"/>
          <w:color w:val="000000" w:themeColor="text1"/>
          <w:sz w:val="28"/>
          <w:szCs w:val="28"/>
        </w:rPr>
        <w:t xml:space="preserve"> y viáticos de las personas, la estadía en su territorio y su regreso; (i</w:t>
      </w:r>
      <w:r w:rsidRPr="003A7DA4">
        <w:rPr>
          <w:rFonts w:ascii="Times New Roman" w:hAnsi="Times New Roman" w:cs="Times New Roman"/>
          <w:color w:val="000000" w:themeColor="text1"/>
          <w:sz w:val="28"/>
          <w:szCs w:val="28"/>
        </w:rPr>
        <w:t>i</w:t>
      </w:r>
      <w:r w:rsidRPr="003A7DA4">
        <w:rPr>
          <w:rFonts w:ascii="Times New Roman" w:hAnsi="Times New Roman" w:cs="Times New Roman"/>
          <w:color w:val="000000" w:themeColor="text1"/>
          <w:sz w:val="28"/>
          <w:szCs w:val="28"/>
        </w:rPr>
        <w:t xml:space="preserve">) los </w:t>
      </w:r>
      <w:r w:rsidRPr="003A7DA4">
        <w:rPr>
          <w:rFonts w:ascii="Times New Roman" w:hAnsi="Times New Roman" w:cs="Times New Roman"/>
          <w:noProof/>
          <w:color w:val="000000" w:themeColor="text1"/>
          <w:sz w:val="28"/>
          <w:szCs w:val="28"/>
        </w:rPr>
        <w:t>gastos y honorarios de peritos; (iii) los gastos relativos al envio y devolución de objetos; (iv) los gastos relacionados con los representantes de sus autoridades durante la e</w:t>
      </w:r>
      <w:r w:rsidRPr="003A7DA4">
        <w:rPr>
          <w:rFonts w:ascii="Times New Roman" w:hAnsi="Times New Roman" w:cs="Times New Roman"/>
          <w:noProof/>
          <w:color w:val="000000" w:themeColor="text1"/>
          <w:sz w:val="28"/>
          <w:szCs w:val="28"/>
        </w:rPr>
        <w:t>jecución de las actividades de asistencia;</w:t>
      </w:r>
      <w:r w:rsidRPr="003A7DA4">
        <w:rPr>
          <w:rFonts w:ascii="Times New Roman" w:hAnsi="Times New Roman" w:cs="Times New Roman"/>
          <w:b/>
          <w:bCs/>
          <w:noProof/>
          <w:color w:val="000000" w:themeColor="text1"/>
          <w:sz w:val="28"/>
          <w:szCs w:val="28"/>
        </w:rPr>
        <w:t xml:space="preserve"> </w:t>
      </w:r>
      <w:r w:rsidRPr="003A7DA4">
        <w:rPr>
          <w:rFonts w:ascii="Times New Roman" w:hAnsi="Times New Roman" w:cs="Times New Roman"/>
          <w:noProof/>
          <w:color w:val="000000" w:themeColor="text1"/>
          <w:sz w:val="28"/>
          <w:szCs w:val="28"/>
        </w:rPr>
        <w:t>(v) los</w:t>
      </w:r>
      <w:r w:rsidRPr="003A7DA4">
        <w:rPr>
          <w:rFonts w:ascii="Times New Roman" w:hAnsi="Times New Roman" w:cs="Times New Roman"/>
          <w:b/>
          <w:bCs/>
          <w:noProof/>
          <w:color w:val="000000" w:themeColor="text1"/>
          <w:sz w:val="28"/>
          <w:szCs w:val="28"/>
        </w:rPr>
        <w:t xml:space="preserve"> </w:t>
      </w:r>
      <w:r w:rsidRPr="003A7DA4">
        <w:rPr>
          <w:rFonts w:ascii="Times New Roman" w:hAnsi="Times New Roman" w:cs="Times New Roman"/>
          <w:noProof/>
          <w:color w:val="000000" w:themeColor="text1"/>
          <w:sz w:val="28"/>
          <w:szCs w:val="28"/>
        </w:rPr>
        <w:t>gastos derivados del envío y devolución de objetos trasladados del territorio de la Parte Requerida al territorio de la Parte Requirente; y (vi) los gastos relacionados con la protección de las personas ci</w:t>
      </w:r>
      <w:r w:rsidRPr="003A7DA4">
        <w:rPr>
          <w:rFonts w:ascii="Times New Roman" w:hAnsi="Times New Roman" w:cs="Times New Roman"/>
          <w:noProof/>
          <w:color w:val="000000" w:themeColor="text1"/>
          <w:sz w:val="28"/>
          <w:szCs w:val="28"/>
        </w:rPr>
        <w:t xml:space="preserve">tadas o trasladadas a su territorio.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Sobre</w:t>
      </w:r>
      <w:r w:rsidRPr="003A7DA4">
        <w:rPr>
          <w:rFonts w:ascii="Times New Roman" w:hAnsi="Times New Roman" w:cs="Times New Roman"/>
          <w:color w:val="000000" w:themeColor="text1"/>
          <w:sz w:val="28"/>
          <w:szCs w:val="28"/>
          <w:shd w:val="clear" w:color="auto" w:fill="FFFFFF"/>
        </w:rPr>
        <w:t xml:space="preserve"> el tema de gastos, </w:t>
      </w:r>
      <w:r w:rsidRPr="003A7DA4">
        <w:rPr>
          <w:rFonts w:ascii="Times New Roman" w:hAnsi="Times New Roman" w:cs="Times New Roman"/>
          <w:color w:val="000000" w:themeColor="text1"/>
          <w:sz w:val="28"/>
          <w:szCs w:val="28"/>
        </w:rPr>
        <w:t>en la reciente Sentencia C-093 de 2024, la Corte Constitucional adelantó la revisión oficiosa de constitucionalidad de la Ley 2280 del 29 de diciembre de 2022, “por medio de la cual se aprueba</w:t>
      </w:r>
      <w:r w:rsidRPr="003A7DA4">
        <w:rPr>
          <w:rFonts w:ascii="Times New Roman" w:hAnsi="Times New Roman" w:cs="Times New Roman"/>
          <w:color w:val="000000" w:themeColor="text1"/>
          <w:sz w:val="28"/>
          <w:szCs w:val="28"/>
        </w:rPr>
        <w:t xml:space="preserve"> el «Tratado sobre traslado de personas condenadas entre la República de Perú y la República de Colombia», suscrito el 27 de febrero de 2018”.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Dicha sentencia contiene un balance de la jurisprudencia sobre lo que ha de considerarse como gastos para efectos de la regla sobre el análisis de impacto fiscal en el trámite de proyectos de ley. En general, en esa providencia se identificaron dos element</w:t>
      </w:r>
      <w:r w:rsidRPr="003A7DA4">
        <w:rPr>
          <w:rFonts w:ascii="Times New Roman" w:hAnsi="Times New Roman" w:cs="Times New Roman"/>
          <w:color w:val="000000" w:themeColor="text1"/>
          <w:sz w:val="28"/>
          <w:szCs w:val="28"/>
        </w:rPr>
        <w:t>os de cara a determinar si una disposición del tratado objeto de control de constitucionalidad establece o no un gasto. Para este propósito se sostuvo que el análisis se enfoca en el elemento gramatical, por un lado, y en el elemento funcional, por el otro</w:t>
      </w:r>
      <w:r w:rsidRPr="003A7DA4">
        <w:rPr>
          <w:rFonts w:ascii="Times New Roman" w:hAnsi="Times New Roman" w:cs="Times New Roman"/>
          <w:color w:val="000000" w:themeColor="text1"/>
          <w:sz w:val="28"/>
          <w:szCs w:val="28"/>
        </w:rPr>
        <w:t xml:space="preserve">.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Esta Corte explicó que el elemento </w:t>
      </w:r>
      <w:r w:rsidRPr="003A7DA4">
        <w:rPr>
          <w:rFonts w:ascii="Times New Roman" w:hAnsi="Times New Roman" w:cs="Times New Roman"/>
          <w:i/>
          <w:iCs/>
          <w:color w:val="000000" w:themeColor="text1"/>
          <w:sz w:val="28"/>
          <w:szCs w:val="28"/>
        </w:rPr>
        <w:t>gramatical</w:t>
      </w:r>
      <w:r w:rsidRPr="003A7DA4">
        <w:rPr>
          <w:rFonts w:ascii="Times New Roman" w:hAnsi="Times New Roman" w:cs="Times New Roman"/>
          <w:color w:val="000000" w:themeColor="text1"/>
          <w:sz w:val="28"/>
          <w:szCs w:val="28"/>
        </w:rPr>
        <w:t xml:space="preserve"> “supone establecer si la disposición que establece el </w:t>
      </w:r>
      <w:r w:rsidRPr="003A7DA4">
        <w:rPr>
          <w:rFonts w:ascii="Times New Roman" w:hAnsi="Times New Roman" w:cs="Times New Roman"/>
          <w:i/>
          <w:iCs/>
          <w:color w:val="000000" w:themeColor="text1"/>
          <w:sz w:val="28"/>
          <w:szCs w:val="28"/>
        </w:rPr>
        <w:t xml:space="preserve">gasto </w:t>
      </w:r>
      <w:r w:rsidRPr="003A7DA4">
        <w:rPr>
          <w:rFonts w:ascii="Times New Roman" w:hAnsi="Times New Roman" w:cs="Times New Roman"/>
          <w:color w:val="000000" w:themeColor="text1"/>
          <w:sz w:val="28"/>
          <w:szCs w:val="28"/>
        </w:rPr>
        <w:t>contiene un mandato imperativo al poder Ejecutivo o si contiene un título jurídico suficiente para la posterior inclusión de la partida presupuest</w:t>
      </w:r>
      <w:r w:rsidRPr="003A7DA4">
        <w:rPr>
          <w:rFonts w:ascii="Times New Roman" w:hAnsi="Times New Roman" w:cs="Times New Roman"/>
          <w:color w:val="000000" w:themeColor="text1"/>
          <w:sz w:val="28"/>
          <w:szCs w:val="28"/>
        </w:rPr>
        <w:t>al correspondiente en la ley del presupuesto”</w:t>
      </w:r>
      <w:r w:rsidRPr="003A7DA4">
        <w:rPr>
          <w:rStyle w:val="Refdenotaalpie"/>
          <w:rFonts w:ascii="Times New Roman" w:eastAsiaTheme="majorEastAsia" w:hAnsi="Times New Roman" w:cs="Times New Roman"/>
          <w:color w:val="000000" w:themeColor="text1"/>
          <w:sz w:val="28"/>
          <w:szCs w:val="28"/>
        </w:rPr>
        <w:footnoteReference w:id="108"/>
      </w:r>
      <w:r w:rsidRPr="003A7DA4">
        <w:rPr>
          <w:rFonts w:ascii="Times New Roman" w:hAnsi="Times New Roman" w:cs="Times New Roman"/>
          <w:color w:val="000000" w:themeColor="text1"/>
          <w:sz w:val="28"/>
          <w:szCs w:val="28"/>
        </w:rPr>
        <w:t xml:space="preserve">.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 xml:space="preserve">En cuanto al elemento </w:t>
      </w:r>
      <w:r w:rsidRPr="003A7DA4">
        <w:rPr>
          <w:rFonts w:ascii="Times New Roman" w:hAnsi="Times New Roman" w:cs="Times New Roman"/>
          <w:i/>
          <w:iCs/>
          <w:color w:val="000000" w:themeColor="text1"/>
          <w:sz w:val="28"/>
          <w:szCs w:val="28"/>
        </w:rPr>
        <w:t>funcional</w:t>
      </w:r>
      <w:r w:rsidRPr="003A7DA4">
        <w:rPr>
          <w:rFonts w:ascii="Times New Roman" w:hAnsi="Times New Roman" w:cs="Times New Roman"/>
          <w:color w:val="000000" w:themeColor="text1"/>
          <w:sz w:val="28"/>
          <w:szCs w:val="28"/>
        </w:rPr>
        <w:t>, se explicó que implica “</w:t>
      </w:r>
      <w:r w:rsidRPr="003A7DA4">
        <w:rPr>
          <w:rFonts w:ascii="Times New Roman" w:hAnsi="Times New Roman" w:cs="Times New Roman"/>
          <w:color w:val="000000" w:themeColor="text1"/>
          <w:sz w:val="28"/>
          <w:szCs w:val="28"/>
          <w:shd w:val="clear" w:color="auto" w:fill="FFFFFF"/>
        </w:rPr>
        <w:t xml:space="preserve">estudiar si la norma le impone al Ejecutivo la asunción de unos </w:t>
      </w:r>
      <w:r w:rsidRPr="003A7DA4">
        <w:rPr>
          <w:rFonts w:ascii="Times New Roman" w:hAnsi="Times New Roman" w:cs="Times New Roman"/>
          <w:i/>
          <w:iCs/>
          <w:color w:val="000000" w:themeColor="text1"/>
          <w:sz w:val="28"/>
          <w:szCs w:val="28"/>
          <w:shd w:val="clear" w:color="auto" w:fill="FFFFFF"/>
        </w:rPr>
        <w:t>gastos</w:t>
      </w:r>
      <w:r w:rsidRPr="003A7DA4">
        <w:rPr>
          <w:rFonts w:ascii="Times New Roman" w:hAnsi="Times New Roman" w:cs="Times New Roman"/>
          <w:color w:val="000000" w:themeColor="text1"/>
          <w:sz w:val="28"/>
          <w:szCs w:val="28"/>
          <w:shd w:val="clear" w:color="auto" w:fill="FFFFFF"/>
        </w:rPr>
        <w:t xml:space="preserve"> y, particularmente, si para la implementación de la disposición se necesita desarrollo alguno”</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109"/>
      </w:r>
      <w:r w:rsidRPr="003A7DA4">
        <w:rPr>
          <w:rFonts w:ascii="Times New Roman" w:hAnsi="Times New Roman" w:cs="Times New Roman"/>
          <w:color w:val="000000" w:themeColor="text1"/>
          <w:sz w:val="28"/>
          <w:szCs w:val="28"/>
          <w:shd w:val="clear" w:color="auto" w:fill="FFFFFF"/>
        </w:rPr>
        <w:t>. De ser así, no estaría acreditado el elemento funcional objeto de análisis.</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Como se indicó, en la Sentencia C-093 de 2024, la Sala estudió la cláusula de gas</w:t>
      </w:r>
      <w:r w:rsidRPr="003A7DA4">
        <w:rPr>
          <w:rFonts w:ascii="Times New Roman" w:hAnsi="Times New Roman" w:cs="Times New Roman"/>
          <w:color w:val="000000" w:themeColor="text1"/>
          <w:sz w:val="28"/>
          <w:szCs w:val="28"/>
        </w:rPr>
        <w:t>tos del Tratado sobre traslado de personas condenadas entre la República de Perú y la República de Colombia. El artículo 14 de aquel preveía que el traslado de la persona condenada corresponde a la parte receptora, salvo los costos causados en el territori</w:t>
      </w:r>
      <w:r w:rsidRPr="003A7DA4">
        <w:rPr>
          <w:rFonts w:ascii="Times New Roman" w:hAnsi="Times New Roman" w:cs="Times New Roman"/>
          <w:color w:val="000000" w:themeColor="text1"/>
          <w:sz w:val="28"/>
          <w:szCs w:val="28"/>
        </w:rPr>
        <w:t xml:space="preserve">o de la parte trasladante. A dicha parte -receptora- también le correspondía asumir los costos por la continuación de la ejecución de la condena con posterioridad al traslado. Estas reglas se complementan con una cláusula según la cual “la Parte Receptora </w:t>
      </w:r>
      <w:r w:rsidRPr="003A7DA4">
        <w:rPr>
          <w:rFonts w:ascii="Times New Roman" w:hAnsi="Times New Roman" w:cs="Times New Roman"/>
          <w:color w:val="000000" w:themeColor="text1"/>
          <w:sz w:val="28"/>
          <w:szCs w:val="28"/>
        </w:rPr>
        <w:t>podrá solicitar a la persona condenada el pago de la totalidad o de una parte de los gastos del traslado”.</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La Corte Constitucional sostuvo entonces que los gastos “(…) no contienen un mandato imperativo al Gobierno Nacional; por lo que no pueden ser asimi</w:t>
      </w:r>
      <w:r w:rsidRPr="003A7DA4">
        <w:rPr>
          <w:rFonts w:ascii="Times New Roman" w:hAnsi="Times New Roman" w:cs="Times New Roman"/>
          <w:color w:val="000000" w:themeColor="text1"/>
          <w:sz w:val="28"/>
          <w:szCs w:val="28"/>
        </w:rPr>
        <w:t xml:space="preserve">lados con una </w:t>
      </w:r>
      <w:r w:rsidRPr="003A7DA4">
        <w:rPr>
          <w:rFonts w:ascii="Times New Roman" w:hAnsi="Times New Roman" w:cs="Times New Roman"/>
          <w:i/>
          <w:iCs/>
          <w:color w:val="000000" w:themeColor="text1"/>
          <w:sz w:val="28"/>
          <w:szCs w:val="28"/>
        </w:rPr>
        <w:t xml:space="preserve">orden de gastos </w:t>
      </w:r>
      <w:r w:rsidRPr="003A7DA4">
        <w:rPr>
          <w:rFonts w:ascii="Times New Roman" w:hAnsi="Times New Roman" w:cs="Times New Roman"/>
          <w:color w:val="000000" w:themeColor="text1"/>
          <w:sz w:val="28"/>
          <w:szCs w:val="28"/>
        </w:rPr>
        <w:t xml:space="preserve">para los efectos del artículo 7º de la Ley 819 de 2003. Esto, al menos, por dos razones: </w:t>
      </w:r>
      <w:r w:rsidRPr="003A7DA4">
        <w:rPr>
          <w:rFonts w:ascii="Times New Roman" w:hAnsi="Times New Roman" w:cs="Times New Roman"/>
          <w:i/>
          <w:iCs/>
          <w:color w:val="000000" w:themeColor="text1"/>
          <w:sz w:val="28"/>
          <w:szCs w:val="28"/>
        </w:rPr>
        <w:t>primero</w:t>
      </w:r>
      <w:r w:rsidRPr="003A7DA4">
        <w:rPr>
          <w:rFonts w:ascii="Times New Roman" w:hAnsi="Times New Roman" w:cs="Times New Roman"/>
          <w:color w:val="000000" w:themeColor="text1"/>
          <w:sz w:val="28"/>
          <w:szCs w:val="28"/>
        </w:rPr>
        <w:t xml:space="preserve">, porque aquellas disposiciones autorizan al GN a asumir los </w:t>
      </w:r>
      <w:r w:rsidRPr="003A7DA4">
        <w:rPr>
          <w:rFonts w:ascii="Times New Roman" w:hAnsi="Times New Roman" w:cs="Times New Roman"/>
          <w:i/>
          <w:iCs/>
          <w:color w:val="000000" w:themeColor="text1"/>
          <w:sz w:val="28"/>
          <w:szCs w:val="28"/>
        </w:rPr>
        <w:t xml:space="preserve">gastos de traslado </w:t>
      </w:r>
      <w:r w:rsidRPr="003A7DA4">
        <w:rPr>
          <w:rFonts w:ascii="Times New Roman" w:hAnsi="Times New Roman" w:cs="Times New Roman"/>
          <w:color w:val="000000" w:themeColor="text1"/>
          <w:sz w:val="28"/>
          <w:szCs w:val="28"/>
        </w:rPr>
        <w:t>de los colombianos o, si a bien lo tiene, exigirlo</w:t>
      </w:r>
      <w:r w:rsidRPr="003A7DA4">
        <w:rPr>
          <w:rFonts w:ascii="Times New Roman" w:hAnsi="Times New Roman" w:cs="Times New Roman"/>
          <w:color w:val="000000" w:themeColor="text1"/>
          <w:sz w:val="28"/>
          <w:szCs w:val="28"/>
        </w:rPr>
        <w:t xml:space="preserve">s a la persona trasladada. Y, </w:t>
      </w:r>
      <w:r w:rsidRPr="003A7DA4">
        <w:rPr>
          <w:rFonts w:ascii="Times New Roman" w:hAnsi="Times New Roman" w:cs="Times New Roman"/>
          <w:i/>
          <w:iCs/>
          <w:color w:val="000000" w:themeColor="text1"/>
          <w:sz w:val="28"/>
          <w:szCs w:val="28"/>
        </w:rPr>
        <w:t>segundo</w:t>
      </w:r>
      <w:r w:rsidRPr="003A7DA4">
        <w:rPr>
          <w:rFonts w:ascii="Times New Roman" w:hAnsi="Times New Roman" w:cs="Times New Roman"/>
          <w:color w:val="000000" w:themeColor="text1"/>
          <w:sz w:val="28"/>
          <w:szCs w:val="28"/>
        </w:rPr>
        <w:t>, porque los gastos de traslado generados en el territorio del Perú deben ser asumidos por dicho Estado, cuando este sea la Parte Trasladante”.</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En la misma línea, la sentencia precisó, a partir de una interpretación si</w:t>
      </w:r>
      <w:r w:rsidRPr="003A7DA4">
        <w:rPr>
          <w:rFonts w:ascii="Times New Roman" w:hAnsi="Times New Roman" w:cs="Times New Roman"/>
          <w:color w:val="000000" w:themeColor="text1"/>
          <w:sz w:val="28"/>
          <w:szCs w:val="28"/>
        </w:rPr>
        <w:t xml:space="preserve">stemática del tratado, que el traslado de personas es un acto discrecional de las partes, de acuerdo con el artículo 2 del instrumento. Así concluyó que: “debido a que en virtud del carácter discrecional de la decisión sobre el traslado, las disposiciones </w:t>
      </w:r>
      <w:r w:rsidRPr="003A7DA4">
        <w:rPr>
          <w:rFonts w:ascii="Times New Roman" w:hAnsi="Times New Roman" w:cs="Times New Roman"/>
          <w:color w:val="000000" w:themeColor="text1"/>
          <w:sz w:val="28"/>
          <w:szCs w:val="28"/>
        </w:rPr>
        <w:t xml:space="preserve">en comento no implican una orden inmediata para asumir gastos, esto es, no suponen la imposición de una orden de pago de los gastos de todas las personas que cumplan los requisitos previstos en el artículo 5º del Tratado y que aporten los documentos a los </w:t>
      </w:r>
      <w:r w:rsidRPr="003A7DA4">
        <w:rPr>
          <w:rFonts w:ascii="Times New Roman" w:hAnsi="Times New Roman" w:cs="Times New Roman"/>
          <w:color w:val="000000" w:themeColor="text1"/>
          <w:sz w:val="28"/>
          <w:szCs w:val="28"/>
        </w:rPr>
        <w:t>que se refiere el artículo 6º ibidem”.</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La Sala encontró que el esquema de gastos de aquel tratado no contenía un mandato imperativo al ejecutivo para la realización de estos, por lo que no se acreditó el elemento gramatical. Concluyó entonces la sentencia</w:t>
      </w:r>
      <w:r w:rsidRPr="003A7DA4">
        <w:rPr>
          <w:rFonts w:ascii="Times New Roman" w:hAnsi="Times New Roman" w:cs="Times New Roman"/>
          <w:color w:val="000000" w:themeColor="text1"/>
          <w:sz w:val="28"/>
          <w:szCs w:val="28"/>
        </w:rPr>
        <w:t xml:space="preserve"> que no se trataba de una orden de gasto y, en consecuencia, que no se acreditó el presupuesto material de cara a exigir el cumplimiento del deber de analizar el impacto fiscal en el trámite legislativo del caso.  </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rPr>
        <w:t>A pesar de lo anterior, la Sala abordó e</w:t>
      </w:r>
      <w:r w:rsidRPr="003A7DA4">
        <w:rPr>
          <w:rFonts w:ascii="Times New Roman" w:hAnsi="Times New Roman" w:cs="Times New Roman"/>
          <w:color w:val="000000" w:themeColor="text1"/>
          <w:sz w:val="28"/>
          <w:szCs w:val="28"/>
        </w:rPr>
        <w:t xml:space="preserve">l elemento funcional y sostuvo que el artículo 14 del aludido convenio en materia de gastos, </w:t>
      </w:r>
      <w:r w:rsidRPr="003A7DA4">
        <w:rPr>
          <w:rFonts w:ascii="Times New Roman" w:hAnsi="Times New Roman" w:cs="Times New Roman"/>
          <w:color w:val="000000" w:themeColor="text1"/>
          <w:sz w:val="28"/>
          <w:szCs w:val="28"/>
          <w:lang w:val="es-ES" w:eastAsia="es-ES"/>
        </w:rPr>
        <w:t>no implicaba una orden inmediata para asumirlos, por dos razones. Primero, porque “(…) la efectividad material del artículo 14 del Tratado supone la intervención d</w:t>
      </w:r>
      <w:r w:rsidRPr="003A7DA4">
        <w:rPr>
          <w:rFonts w:ascii="Times New Roman" w:hAnsi="Times New Roman" w:cs="Times New Roman"/>
          <w:color w:val="000000" w:themeColor="text1"/>
          <w:sz w:val="28"/>
          <w:szCs w:val="28"/>
          <w:lang w:val="es-ES" w:eastAsia="es-ES"/>
        </w:rPr>
        <w:t xml:space="preserve">el Ejecutivo </w:t>
      </w:r>
      <w:r w:rsidRPr="003A7DA4">
        <w:rPr>
          <w:rFonts w:ascii="Times New Roman" w:hAnsi="Times New Roman" w:cs="Times New Roman"/>
          <w:color w:val="000000" w:themeColor="text1"/>
          <w:sz w:val="28"/>
          <w:szCs w:val="28"/>
          <w:shd w:val="clear" w:color="auto" w:fill="FFFFFF"/>
          <w:lang w:val="es-ES"/>
        </w:rPr>
        <w:t>para incluir las partidas presupuestales necesarias</w:t>
      </w:r>
      <w:r w:rsidRPr="003A7DA4">
        <w:rPr>
          <w:rFonts w:ascii="Times New Roman" w:hAnsi="Times New Roman" w:cs="Times New Roman"/>
          <w:color w:val="000000" w:themeColor="text1"/>
          <w:sz w:val="28"/>
          <w:szCs w:val="28"/>
          <w:lang w:val="es-ES" w:eastAsia="es-ES"/>
        </w:rPr>
        <w:t>, no solo para aceptar el traslado sino también para incorporar las partidas presupuestales requeridas para la operatividad de tales traslados desde y hacia el territorio nacional”. Segundo, p</w:t>
      </w:r>
      <w:r w:rsidRPr="003A7DA4">
        <w:rPr>
          <w:rFonts w:ascii="Times New Roman" w:hAnsi="Times New Roman" w:cs="Times New Roman"/>
          <w:color w:val="000000" w:themeColor="text1"/>
          <w:sz w:val="28"/>
          <w:szCs w:val="28"/>
          <w:lang w:val="es-ES" w:eastAsia="es-ES"/>
        </w:rPr>
        <w:t>orque “los gastos asociados con la ejecución de la condena que pudieren llegar a generarse durante una vigencia que ya se inició, en estricto sentido, no se pueden considerar nuevos gastos y, en consecuencia, tendrían que estar financiados con cargo al pre</w:t>
      </w:r>
      <w:r w:rsidRPr="003A7DA4">
        <w:rPr>
          <w:rFonts w:ascii="Times New Roman" w:hAnsi="Times New Roman" w:cs="Times New Roman"/>
          <w:color w:val="000000" w:themeColor="text1"/>
          <w:sz w:val="28"/>
          <w:szCs w:val="28"/>
          <w:lang w:val="es-ES" w:eastAsia="es-ES"/>
        </w:rPr>
        <w:t>supuesto apropiado por las entidades del Sector Justicia y del Derecho, encabezadas por el Ministerio de Justicia y del Derecho (…)”.</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Para la Sala, la decisión referida constituye un precedente relevante que debe considerarse en el análisis de la cláusula de gastos que contiene el tratado objeto de control, razón por la cual con base en sus consideraciones procederá al estudio sobre el r</w:t>
      </w:r>
      <w:r w:rsidRPr="003A7DA4">
        <w:rPr>
          <w:rFonts w:ascii="Times New Roman" w:hAnsi="Times New Roman" w:cs="Times New Roman"/>
          <w:color w:val="000000" w:themeColor="text1"/>
          <w:sz w:val="28"/>
          <w:szCs w:val="28"/>
          <w:shd w:val="clear" w:color="auto" w:fill="FFFFFF"/>
        </w:rPr>
        <w:t xml:space="preserve">equisito material respecto de los gastos a los que alude el Convenio entre Colombia y Costa Rica en cuanto asistencia judicial en materia penal. </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i/>
          <w:iCs/>
          <w:color w:val="000000" w:themeColor="text1"/>
          <w:sz w:val="28"/>
          <w:szCs w:val="28"/>
          <w:shd w:val="clear" w:color="auto" w:fill="FFFFFF"/>
        </w:rPr>
        <w:t>Análisis del presupuesto gramatical</w:t>
      </w:r>
      <w:r w:rsidRPr="003A7DA4">
        <w:rPr>
          <w:rFonts w:ascii="Times New Roman" w:hAnsi="Times New Roman" w:cs="Times New Roman"/>
          <w:color w:val="000000" w:themeColor="text1"/>
          <w:sz w:val="28"/>
          <w:szCs w:val="28"/>
          <w:shd w:val="clear" w:color="auto" w:fill="FFFFFF"/>
        </w:rPr>
        <w:t xml:space="preserve">. Un primer elemento del esquema de gastos definido en el artículo 21 del </w:t>
      </w:r>
      <w:r w:rsidRPr="003A7DA4">
        <w:rPr>
          <w:rFonts w:ascii="Times New Roman" w:hAnsi="Times New Roman" w:cs="Times New Roman"/>
          <w:color w:val="000000" w:themeColor="text1"/>
          <w:sz w:val="28"/>
          <w:szCs w:val="28"/>
          <w:shd w:val="clear" w:color="auto" w:fill="FFFFFF"/>
        </w:rPr>
        <w:t xml:space="preserve">instrumento </w:t>
      </w:r>
      <w:r w:rsidRPr="003A7DA4">
        <w:rPr>
          <w:rFonts w:ascii="Times New Roman" w:hAnsi="Times New Roman" w:cs="Times New Roman"/>
          <w:i/>
          <w:iCs/>
          <w:color w:val="000000" w:themeColor="text1"/>
          <w:sz w:val="28"/>
          <w:szCs w:val="28"/>
          <w:shd w:val="clear" w:color="auto" w:fill="FFFFFF"/>
        </w:rPr>
        <w:t xml:space="preserve">sub examine </w:t>
      </w:r>
      <w:r w:rsidRPr="003A7DA4">
        <w:rPr>
          <w:rFonts w:ascii="Times New Roman" w:hAnsi="Times New Roman" w:cs="Times New Roman"/>
          <w:color w:val="000000" w:themeColor="text1"/>
          <w:sz w:val="28"/>
          <w:szCs w:val="28"/>
          <w:shd w:val="clear" w:color="auto" w:fill="FFFFFF"/>
        </w:rPr>
        <w:t xml:space="preserve">parecería sugerir una redacción imperativa, pues se establece que </w:t>
      </w:r>
      <w:r w:rsidRPr="003A7DA4">
        <w:rPr>
          <w:rFonts w:ascii="Times New Roman" w:hAnsi="Times New Roman" w:cs="Times New Roman"/>
          <w:color w:val="000000" w:themeColor="text1"/>
          <w:sz w:val="28"/>
          <w:szCs w:val="28"/>
        </w:rPr>
        <w:t>la Parte Requerida “asumirá” los gastos ordinarios para la ejecución de solicitudes de asistencia judicial, salvo los que “asumirá” la Parte Requirente. Desde el punt</w:t>
      </w:r>
      <w:r w:rsidRPr="003A7DA4">
        <w:rPr>
          <w:rFonts w:ascii="Times New Roman" w:hAnsi="Times New Roman" w:cs="Times New Roman"/>
          <w:color w:val="000000" w:themeColor="text1"/>
          <w:sz w:val="28"/>
          <w:szCs w:val="28"/>
        </w:rPr>
        <w:t xml:space="preserve">o de vista gramatical, asumir significa, entre otras cosas, </w:t>
      </w:r>
      <w:r w:rsidRPr="003A7DA4">
        <w:rPr>
          <w:rFonts w:ascii="Times New Roman" w:eastAsia="Arial Unicode MS" w:hAnsi="Times New Roman" w:cs="Times New Roman"/>
          <w:color w:val="000000" w:themeColor="text1"/>
          <w:spacing w:val="4"/>
          <w:sz w:val="28"/>
          <w:szCs w:val="28"/>
        </w:rPr>
        <w:t>hacerse cargo, responsabilizarse de algo o aceptarlo</w:t>
      </w:r>
      <w:r w:rsidRPr="003A7DA4">
        <w:rPr>
          <w:rStyle w:val="Refdenotaalpie"/>
          <w:rFonts w:ascii="Times New Roman" w:eastAsia="Arial Unicode MS" w:hAnsi="Times New Roman" w:cs="Times New Roman"/>
          <w:color w:val="000000" w:themeColor="text1"/>
          <w:spacing w:val="4"/>
          <w:sz w:val="28"/>
          <w:szCs w:val="28"/>
        </w:rPr>
        <w:footnoteReference w:id="110"/>
      </w:r>
      <w:r w:rsidRPr="003A7DA4">
        <w:rPr>
          <w:rFonts w:ascii="Times New Roman" w:eastAsia="Arial Unicode MS" w:hAnsi="Times New Roman" w:cs="Times New Roman"/>
          <w:color w:val="000000" w:themeColor="text1"/>
          <w:spacing w:val="4"/>
          <w:sz w:val="28"/>
          <w:szCs w:val="28"/>
        </w:rPr>
        <w:t xml:space="preserve">. </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La jurisprudencia de esta Corte “</w:t>
      </w:r>
      <w:r w:rsidRPr="003A7DA4">
        <w:rPr>
          <w:rFonts w:ascii="Times New Roman" w:hAnsi="Times New Roman" w:cs="Times New Roman"/>
          <w:color w:val="000000" w:themeColor="text1"/>
          <w:sz w:val="28"/>
          <w:szCs w:val="28"/>
          <w:lang w:val="es-ES" w:eastAsia="es-ES"/>
        </w:rPr>
        <w:t>ha descartado la aplicación de los efectos del artículo 7º de la Ley 819 de 2003, al interpretar expresion</w:t>
      </w:r>
      <w:r w:rsidRPr="003A7DA4">
        <w:rPr>
          <w:rFonts w:ascii="Times New Roman" w:hAnsi="Times New Roman" w:cs="Times New Roman"/>
          <w:color w:val="000000" w:themeColor="text1"/>
          <w:sz w:val="28"/>
          <w:szCs w:val="28"/>
          <w:lang w:val="es-ES" w:eastAsia="es-ES"/>
        </w:rPr>
        <w:t>es cuyo contenido gramatical puede ser catalogado como imperativo, como, por ejemplo, la expresión “se financiarán”, frente a la cual se concluyó que era necesario interpretarla como una “simple autorización” para los efectos del mencionado artículo orgáni</w:t>
      </w:r>
      <w:r w:rsidRPr="003A7DA4">
        <w:rPr>
          <w:rFonts w:ascii="Times New Roman" w:hAnsi="Times New Roman" w:cs="Times New Roman"/>
          <w:color w:val="000000" w:themeColor="text1"/>
          <w:sz w:val="28"/>
          <w:szCs w:val="28"/>
          <w:lang w:val="es-ES" w:eastAsia="es-ES"/>
        </w:rPr>
        <w:t>co, debido a que el GN podía decidir si incluía o no las correspondientes partidas en la Ley de Presupuesto Nacional”</w:t>
      </w:r>
      <w:r w:rsidRPr="003A7DA4">
        <w:rPr>
          <w:rStyle w:val="Refdenotaalpie"/>
          <w:rFonts w:ascii="Times New Roman" w:eastAsiaTheme="majorEastAsia" w:hAnsi="Times New Roman" w:cs="Times New Roman"/>
          <w:color w:val="000000" w:themeColor="text1"/>
          <w:sz w:val="28"/>
          <w:szCs w:val="28"/>
          <w:lang w:val="es-ES" w:eastAsia="es-ES"/>
        </w:rPr>
        <w:footnoteReference w:id="111"/>
      </w:r>
      <w:r w:rsidRPr="003A7DA4">
        <w:rPr>
          <w:rFonts w:ascii="Times New Roman" w:hAnsi="Times New Roman" w:cs="Times New Roman"/>
          <w:color w:val="000000" w:themeColor="text1"/>
          <w:sz w:val="28"/>
          <w:szCs w:val="28"/>
          <w:lang w:val="es-ES" w:eastAsia="es-ES"/>
        </w:rPr>
        <w:t xml:space="preserve">. </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De acuerdo con esta regla, una interpretación sistemática del presente tratado da cuenta de que los gastos no tienen carácter imperati</w:t>
      </w:r>
      <w:r w:rsidRPr="003A7DA4">
        <w:rPr>
          <w:rFonts w:ascii="Times New Roman" w:hAnsi="Times New Roman" w:cs="Times New Roman"/>
          <w:color w:val="000000" w:themeColor="text1"/>
          <w:sz w:val="28"/>
          <w:szCs w:val="28"/>
          <w:shd w:val="clear" w:color="auto" w:fill="FFFFFF"/>
        </w:rPr>
        <w:t xml:space="preserve">vo y, en consecuencia, no constituyen una orden de gasto, por varias razones. </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i/>
          <w:iCs/>
          <w:color w:val="000000" w:themeColor="text1"/>
          <w:sz w:val="28"/>
          <w:szCs w:val="28"/>
          <w:shd w:val="clear" w:color="auto" w:fill="FFFFFF"/>
        </w:rPr>
        <w:t>Primero</w:t>
      </w:r>
      <w:r w:rsidRPr="003A7DA4">
        <w:rPr>
          <w:rFonts w:ascii="Times New Roman" w:hAnsi="Times New Roman" w:cs="Times New Roman"/>
          <w:color w:val="000000" w:themeColor="text1"/>
          <w:sz w:val="28"/>
          <w:szCs w:val="28"/>
          <w:shd w:val="clear" w:color="auto" w:fill="FFFFFF"/>
        </w:rPr>
        <w:t xml:space="preserve"> porque, como se explicó (§ 75), </w:t>
      </w:r>
      <w:r w:rsidRPr="003A7DA4">
        <w:rPr>
          <w:rFonts w:ascii="Times New Roman" w:hAnsi="Times New Roman" w:cs="Times New Roman"/>
          <w:color w:val="000000" w:themeColor="text1"/>
          <w:sz w:val="28"/>
          <w:szCs w:val="28"/>
        </w:rPr>
        <w:t xml:space="preserve">el esquema de gastos se define por las partes, razón por la cual las reglas del tratado sólo operan de manera subsidiaria y ante la </w:t>
      </w:r>
      <w:r w:rsidRPr="003A7DA4">
        <w:rPr>
          <w:rFonts w:ascii="Times New Roman" w:hAnsi="Times New Roman" w:cs="Times New Roman"/>
          <w:color w:val="000000" w:themeColor="text1"/>
          <w:sz w:val="28"/>
          <w:szCs w:val="28"/>
        </w:rPr>
        <w:t xml:space="preserve">falta de dicho acuerdo. Entonces, el primer mecanismo para definir los gastos que se originen por la asistencia judicial, depende exclusivamente de las partes, por lo que su fuente es el acuerdo y no una orden imperativa de asumirlos derivada del tratado. </w:t>
      </w:r>
      <w:r w:rsidRPr="003A7DA4">
        <w:rPr>
          <w:rFonts w:ascii="Times New Roman" w:hAnsi="Times New Roman" w:cs="Times New Roman"/>
          <w:color w:val="000000" w:themeColor="text1"/>
          <w:sz w:val="28"/>
          <w:szCs w:val="28"/>
        </w:rPr>
        <w:t>En la misma lógica, los gastos cuantiosos o extraordinarios derivados de la adquisición de los equipos de investigación conjunta y las entregas controladas serán objeto de consulta entre las partes, con el fin de determinar las condiciones de cumplimento d</w:t>
      </w:r>
      <w:r w:rsidRPr="003A7DA4">
        <w:rPr>
          <w:rFonts w:ascii="Times New Roman" w:hAnsi="Times New Roman" w:cs="Times New Roman"/>
          <w:color w:val="000000" w:themeColor="text1"/>
          <w:sz w:val="28"/>
          <w:szCs w:val="28"/>
        </w:rPr>
        <w:t>e la solicitud, así como la forma en que podrán ser financiados (art. 21.1).</w:t>
      </w:r>
    </w:p>
    <w:p w:rsidR="00EC4959" w:rsidRPr="003A7DA4" w:rsidRDefault="003A7DA4" w:rsidP="00EC4959">
      <w:pPr>
        <w:ind w:left="36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Sobre otro tipo de gastos, como los de cooperación entre las Partes, el tratado sigue una lógica similar. </w:t>
      </w:r>
      <w:r w:rsidRPr="003A7DA4">
        <w:rPr>
          <w:rFonts w:ascii="Times New Roman" w:hAnsi="Times New Roman" w:cs="Times New Roman"/>
          <w:color w:val="000000" w:themeColor="text1"/>
          <w:sz w:val="28"/>
          <w:szCs w:val="28"/>
        </w:rPr>
        <w:t>En efecto, el artículo 22, sobre mecanismos para facilitar la cooperació</w:t>
      </w:r>
      <w:r w:rsidRPr="003A7DA4">
        <w:rPr>
          <w:rFonts w:ascii="Times New Roman" w:hAnsi="Times New Roman" w:cs="Times New Roman"/>
          <w:color w:val="000000" w:themeColor="text1"/>
          <w:sz w:val="28"/>
          <w:szCs w:val="28"/>
        </w:rPr>
        <w:t>n jurídica en materia penal, dispone en su numeral 3 lo siguiente: “las Partes, a través de sus Autoridades Centrales, financiarán la cooperación a que se refiere el presente Artículo con los recursos asignados en sus respectivos presupuestos, de conformid</w:t>
      </w:r>
      <w:r w:rsidRPr="003A7DA4">
        <w:rPr>
          <w:rFonts w:ascii="Times New Roman" w:hAnsi="Times New Roman" w:cs="Times New Roman"/>
          <w:color w:val="000000" w:themeColor="text1"/>
          <w:sz w:val="28"/>
          <w:szCs w:val="28"/>
        </w:rPr>
        <w:t>ad con su disponibilidad, afectación y lo establecido en su respectiva legislación interna”. Nuevamente, el instrumento no impone una orden de gasto directa en la ejecución de los recursos de cooperación que impida al Gobierno nacional, en este caso con ca</w:t>
      </w:r>
      <w:r w:rsidRPr="003A7DA4">
        <w:rPr>
          <w:rFonts w:ascii="Times New Roman" w:hAnsi="Times New Roman" w:cs="Times New Roman"/>
          <w:color w:val="000000" w:themeColor="text1"/>
          <w:sz w:val="28"/>
          <w:szCs w:val="28"/>
        </w:rPr>
        <w:t>rgo a recursos de la Rama Judicial,</w:t>
      </w:r>
      <w:r w:rsidRPr="003A7DA4">
        <w:rPr>
          <w:rFonts w:ascii="Times New Roman" w:hAnsi="Times New Roman" w:cs="Times New Roman"/>
          <w:color w:val="000000" w:themeColor="text1"/>
          <w:sz w:val="28"/>
          <w:szCs w:val="28"/>
          <w:shd w:val="clear" w:color="auto" w:fill="FFFFFF"/>
        </w:rPr>
        <w:t xml:space="preserve"> definir las partidas presupuestales para su consecución.</w:t>
      </w:r>
      <w:r w:rsidRPr="003A7DA4">
        <w:rPr>
          <w:rFonts w:ascii="Times New Roman" w:hAnsi="Times New Roman" w:cs="Times New Roman"/>
          <w:color w:val="000000" w:themeColor="text1"/>
          <w:sz w:val="28"/>
        </w:rPr>
        <w:t xml:space="preserve"> </w:t>
      </w:r>
    </w:p>
    <w:p w:rsidR="00EC4959"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En otras oportunidades, la Corte ha llegado a una conclusión similar. En la Sentencia C-360 de 2023, la Sala analizó el “Tratado relativo a la transmisión electr</w:t>
      </w:r>
      <w:r w:rsidRPr="003A7DA4">
        <w:rPr>
          <w:rFonts w:ascii="Times New Roman" w:hAnsi="Times New Roman" w:cs="Times New Roman"/>
          <w:color w:val="000000" w:themeColor="text1"/>
          <w:sz w:val="28"/>
          <w:szCs w:val="28"/>
          <w:shd w:val="clear" w:color="auto" w:fill="FFFFFF"/>
        </w:rPr>
        <w:t xml:space="preserve">ónica de solicitudes de cooperación </w:t>
      </w:r>
      <w:r w:rsidRPr="003A7DA4">
        <w:rPr>
          <w:rFonts w:ascii="Times New Roman" w:hAnsi="Times New Roman" w:cs="Times New Roman"/>
          <w:b/>
          <w:bCs/>
          <w:color w:val="000000" w:themeColor="text1"/>
          <w:sz w:val="28"/>
          <w:szCs w:val="28"/>
          <w:shd w:val="clear" w:color="auto" w:fill="FFFFFF"/>
        </w:rPr>
        <w:t>jurídica</w:t>
      </w:r>
      <w:r w:rsidRPr="003A7DA4">
        <w:rPr>
          <w:rFonts w:ascii="Times New Roman" w:hAnsi="Times New Roman" w:cs="Times New Roman"/>
          <w:color w:val="000000" w:themeColor="text1"/>
          <w:sz w:val="28"/>
          <w:szCs w:val="28"/>
          <w:shd w:val="clear" w:color="auto" w:fill="FFFFFF"/>
        </w:rPr>
        <w:t xml:space="preserve"> internacional entre autoridades”, que disponía que las partes debían acordar un reglamento de financiación. Al analizar si esta regla creaba un gasto, la Sala concluyó que: “el mecanismo de financiación previsto</w:t>
      </w:r>
      <w:r w:rsidRPr="003A7DA4">
        <w:rPr>
          <w:rFonts w:ascii="Times New Roman" w:hAnsi="Times New Roman" w:cs="Times New Roman"/>
          <w:color w:val="000000" w:themeColor="text1"/>
          <w:sz w:val="28"/>
          <w:szCs w:val="28"/>
          <w:shd w:val="clear" w:color="auto" w:fill="FFFFFF"/>
        </w:rPr>
        <w:t xml:space="preserve"> por el artículo 10 del acuerdo no implica un gasto, sino una habilitación en el marco del deber de financiación. Además, el reglamento de financiación, por sí mismo, no representa un gasto. Cosa distinta es que pueda implicar un gasto futuro derivado del </w:t>
      </w:r>
      <w:r w:rsidRPr="003A7DA4">
        <w:rPr>
          <w:rFonts w:ascii="Times New Roman" w:hAnsi="Times New Roman" w:cs="Times New Roman"/>
          <w:color w:val="000000" w:themeColor="text1"/>
          <w:sz w:val="28"/>
          <w:szCs w:val="28"/>
          <w:shd w:val="clear" w:color="auto" w:fill="FFFFFF"/>
        </w:rPr>
        <w:t>funcionamiento propio de Iber@”.</w:t>
      </w:r>
    </w:p>
    <w:p w:rsidR="00EC4959" w:rsidRPr="003A7DA4" w:rsidRDefault="003A7DA4" w:rsidP="00EC4959">
      <w:pPr>
        <w:ind w:left="360" w:hanging="360"/>
        <w:rPr>
          <w:rFonts w:ascii="Times New Roman" w:hAnsi="Times New Roman" w:cs="Times New Roman"/>
          <w:i/>
          <w:iCs/>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i/>
          <w:iCs/>
          <w:color w:val="000000" w:themeColor="text1"/>
          <w:sz w:val="28"/>
          <w:szCs w:val="28"/>
          <w:shd w:val="clear" w:color="auto" w:fill="FFFFFF"/>
        </w:rPr>
        <w:t>Segundo</w:t>
      </w:r>
      <w:r w:rsidRPr="003A7DA4">
        <w:rPr>
          <w:rFonts w:ascii="Times New Roman" w:hAnsi="Times New Roman" w:cs="Times New Roman"/>
          <w:color w:val="000000" w:themeColor="text1"/>
          <w:sz w:val="28"/>
          <w:szCs w:val="28"/>
          <w:shd w:val="clear" w:color="auto" w:fill="FFFFFF"/>
        </w:rPr>
        <w:t>, y ante ausencia de acuerdo entre las partes, la interpretación sistemática del Convenio da cuenta que la asunción de los gastos sólo opera si media una solicitud de asistencia. El artículo 1 establece la obligació</w:t>
      </w:r>
      <w:r w:rsidRPr="003A7DA4">
        <w:rPr>
          <w:rFonts w:ascii="Times New Roman" w:hAnsi="Times New Roman" w:cs="Times New Roman"/>
          <w:color w:val="000000" w:themeColor="text1"/>
          <w:sz w:val="28"/>
          <w:szCs w:val="28"/>
          <w:shd w:val="clear" w:color="auto" w:fill="FFFFFF"/>
        </w:rPr>
        <w:t xml:space="preserve">n de las Partes de brindar asistencia judicial mutua en materia penal, de manera amplia y recíproca. </w:t>
      </w:r>
      <w:r w:rsidRPr="003A7DA4">
        <w:rPr>
          <w:rFonts w:ascii="Times New Roman" w:hAnsi="Times New Roman" w:cs="Times New Roman"/>
          <w:color w:val="000000" w:themeColor="text1"/>
          <w:sz w:val="28"/>
          <w:szCs w:val="28"/>
        </w:rPr>
        <w:t>El numeral 5 de este mismo artículo dispone que el Convenio aplicará a cualquier solicitud de asistencia judicial presentada después de la entrada en vigor</w:t>
      </w:r>
      <w:r w:rsidRPr="003A7DA4">
        <w:rPr>
          <w:rFonts w:ascii="Times New Roman" w:hAnsi="Times New Roman" w:cs="Times New Roman"/>
          <w:color w:val="000000" w:themeColor="text1"/>
          <w:sz w:val="28"/>
          <w:szCs w:val="28"/>
        </w:rPr>
        <w:t xml:space="preserve"> del texto, incluso cubriendo </w:t>
      </w:r>
      <w:r w:rsidRPr="003A7DA4">
        <w:rPr>
          <w:rFonts w:ascii="Times New Roman" w:hAnsi="Times New Roman" w:cs="Times New Roman"/>
          <w:color w:val="000000" w:themeColor="text1"/>
          <w:sz w:val="28"/>
          <w:szCs w:val="28"/>
          <w:shd w:val="clear" w:color="auto" w:fill="FFFFFF"/>
        </w:rPr>
        <w:t xml:space="preserve">actos u omisiones que ocurrieron con anterioridad a dicha vigencia. Por su parte, el artículo 6 se ocupa de los requisitos que debe contener la solicitudes de asistencia judicial. </w:t>
      </w:r>
    </w:p>
    <w:p w:rsidR="00EC4959"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rPr>
      </w:pPr>
      <w:r w:rsidRPr="003A7DA4">
        <w:rPr>
          <w:rFonts w:ascii="Times New Roman" w:hAnsi="Times New Roman" w:cs="Times New Roman"/>
          <w:color w:val="000000" w:themeColor="text1"/>
          <w:sz w:val="28"/>
          <w:szCs w:val="28"/>
          <w:shd w:val="clear" w:color="auto" w:fill="FFFFFF"/>
          <w:lang w:val="es-ES_tradnl"/>
        </w:rPr>
        <w:t>De los artículos previamente citados, se der</w:t>
      </w:r>
      <w:r w:rsidRPr="003A7DA4">
        <w:rPr>
          <w:rFonts w:ascii="Times New Roman" w:hAnsi="Times New Roman" w:cs="Times New Roman"/>
          <w:color w:val="000000" w:themeColor="text1"/>
          <w:sz w:val="28"/>
          <w:szCs w:val="28"/>
          <w:shd w:val="clear" w:color="auto" w:fill="FFFFFF"/>
          <w:lang w:val="es-ES_tradnl"/>
        </w:rPr>
        <w:t xml:space="preserve">iva que la obligación de </w:t>
      </w:r>
      <w:r w:rsidRPr="003A7DA4">
        <w:rPr>
          <w:rFonts w:ascii="Times New Roman" w:hAnsi="Times New Roman" w:cs="Times New Roman"/>
          <w:color w:val="000000" w:themeColor="text1"/>
          <w:sz w:val="28"/>
          <w:szCs w:val="28"/>
          <w:shd w:val="clear" w:color="auto" w:fill="FFFFFF"/>
        </w:rPr>
        <w:t xml:space="preserve">los gastos responde a la existencia de una solicitud. Dicha solicitud, es el requisito inmediato que da lugar a los costos ordinarios de la asistencia. </w:t>
      </w:r>
    </w:p>
    <w:p w:rsidR="00EC4959" w:rsidRPr="003A7DA4" w:rsidRDefault="003A7DA4" w:rsidP="00EC4959">
      <w:pPr>
        <w:tabs>
          <w:tab w:val="left" w:pos="426"/>
        </w:tabs>
        <w:ind w:right="49"/>
        <w:jc w:val="both"/>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rPr>
        <w:t xml:space="preserve">En estos términos, y desde la perspectiva de los gastos, </w:t>
      </w:r>
      <w:r w:rsidRPr="003A7DA4">
        <w:rPr>
          <w:rFonts w:ascii="Times New Roman" w:hAnsi="Times New Roman" w:cs="Times New Roman"/>
          <w:color w:val="000000" w:themeColor="text1"/>
          <w:sz w:val="28"/>
          <w:szCs w:val="28"/>
          <w:shd w:val="clear" w:color="auto" w:fill="FFFFFF"/>
          <w:lang w:val="es-ES_tradnl"/>
        </w:rPr>
        <w:t>el esquema de pagos sólo se activa en los casos en los que existe una solicitud por cualquiera de las partes. Esta cuestión es trascendental de cara a determinar el carácter imperativo del tratado en la materia, pues los gastos no tienen origen inmediato e</w:t>
      </w:r>
      <w:r w:rsidRPr="003A7DA4">
        <w:rPr>
          <w:rFonts w:ascii="Times New Roman" w:hAnsi="Times New Roman" w:cs="Times New Roman"/>
          <w:color w:val="000000" w:themeColor="text1"/>
          <w:sz w:val="28"/>
          <w:szCs w:val="28"/>
          <w:shd w:val="clear" w:color="auto" w:fill="FFFFFF"/>
          <w:lang w:val="es-ES_tradnl"/>
        </w:rPr>
        <w:t xml:space="preserve">n las cláusulas del </w:t>
      </w:r>
      <w:r w:rsidRPr="003A7DA4">
        <w:rPr>
          <w:rFonts w:ascii="Times New Roman" w:hAnsi="Times New Roman" w:cs="Times New Roman"/>
          <w:color w:val="000000" w:themeColor="text1"/>
          <w:sz w:val="28"/>
          <w:szCs w:val="28"/>
          <w:shd w:val="clear" w:color="auto" w:fill="FFFFFF"/>
        </w:rPr>
        <w:t xml:space="preserve">tratado, sino en la existencia de una solicitud por cualquiera de las partes. </w:t>
      </w:r>
    </w:p>
    <w:p w:rsidR="00EC4959" w:rsidRPr="003A7DA4" w:rsidRDefault="003A7DA4" w:rsidP="00EC4959">
      <w:pPr>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lang w:val="es-ES_tradnl"/>
        </w:rPr>
        <w:t xml:space="preserve">Ahora bien, es importante diferenciar las posiciones de aquellas respecto de los gastos, en línea con la lectura que se viene haciendo. En los casos en los </w:t>
      </w:r>
      <w:r w:rsidRPr="003A7DA4">
        <w:rPr>
          <w:rFonts w:ascii="Times New Roman" w:hAnsi="Times New Roman" w:cs="Times New Roman"/>
          <w:color w:val="000000" w:themeColor="text1"/>
          <w:sz w:val="28"/>
          <w:szCs w:val="28"/>
          <w:shd w:val="clear" w:color="auto" w:fill="FFFFFF"/>
          <w:lang w:val="es-ES_tradnl"/>
        </w:rPr>
        <w:t xml:space="preserve">que Colombia tenga la calidad de parte requerida (Costa Rica hace una solicitud de asistencia a Colombia), las reglas sobre gastos </w:t>
      </w:r>
      <w:r w:rsidRPr="003A7DA4">
        <w:rPr>
          <w:rFonts w:ascii="Times New Roman" w:hAnsi="Times New Roman" w:cs="Times New Roman"/>
          <w:color w:val="000000" w:themeColor="text1"/>
          <w:sz w:val="28"/>
          <w:szCs w:val="28"/>
          <w:lang w:val="es-ES" w:eastAsia="es-ES"/>
        </w:rPr>
        <w:t>no suponen la imposición de una orden de pago para ejecutar todas las solicitudes que presente el Estado requirente. Esta con</w:t>
      </w:r>
      <w:r w:rsidRPr="003A7DA4">
        <w:rPr>
          <w:rFonts w:ascii="Times New Roman" w:hAnsi="Times New Roman" w:cs="Times New Roman"/>
          <w:color w:val="000000" w:themeColor="text1"/>
          <w:sz w:val="28"/>
          <w:szCs w:val="28"/>
          <w:lang w:val="es-ES" w:eastAsia="es-ES"/>
        </w:rPr>
        <w:t xml:space="preserve">clusión está sustentada en que el propio tratado contiene dos cláusulas relevantes para limitar </w:t>
      </w:r>
      <w:r w:rsidRPr="003A7DA4">
        <w:rPr>
          <w:rFonts w:ascii="Times New Roman" w:hAnsi="Times New Roman" w:cs="Times New Roman"/>
          <w:color w:val="000000" w:themeColor="text1"/>
          <w:sz w:val="28"/>
          <w:szCs w:val="28"/>
          <w:lang w:val="es-ES" w:eastAsia="es-ES"/>
        </w:rPr>
        <w:t>las solicitudes</w:t>
      </w:r>
      <w:r w:rsidRPr="003A7DA4">
        <w:rPr>
          <w:rFonts w:ascii="Times New Roman" w:hAnsi="Times New Roman" w:cs="Times New Roman"/>
          <w:color w:val="000000" w:themeColor="text1"/>
          <w:sz w:val="28"/>
          <w:szCs w:val="28"/>
          <w:lang w:val="es-ES" w:eastAsia="es-ES"/>
        </w:rPr>
        <w:t xml:space="preserve">. La primera se refiere a que aquellas deben cumplir unos requisitos especiales, </w:t>
      </w:r>
      <w:r w:rsidRPr="003A7DA4">
        <w:rPr>
          <w:rFonts w:ascii="Times New Roman" w:hAnsi="Times New Roman" w:cs="Times New Roman"/>
          <w:color w:val="000000" w:themeColor="text1"/>
          <w:sz w:val="28"/>
          <w:szCs w:val="28"/>
        </w:rPr>
        <w:t>de conformidad con el artículo 6.4 del tratado</w:t>
      </w:r>
      <w:r w:rsidRPr="003A7DA4">
        <w:rPr>
          <w:rStyle w:val="Refdenotaalpie"/>
          <w:rFonts w:ascii="Times New Roman" w:eastAsiaTheme="majorEastAsia" w:hAnsi="Times New Roman" w:cs="Times New Roman"/>
          <w:color w:val="000000" w:themeColor="text1"/>
          <w:sz w:val="28"/>
          <w:szCs w:val="28"/>
        </w:rPr>
        <w:footnoteReference w:id="112"/>
      </w:r>
      <w:r w:rsidRPr="003A7DA4">
        <w:rPr>
          <w:rFonts w:ascii="Times New Roman" w:hAnsi="Times New Roman" w:cs="Times New Roman"/>
          <w:color w:val="000000" w:themeColor="text1"/>
          <w:sz w:val="28"/>
          <w:szCs w:val="28"/>
        </w:rPr>
        <w:t>, razón por la cu</w:t>
      </w:r>
      <w:r w:rsidRPr="003A7DA4">
        <w:rPr>
          <w:rFonts w:ascii="Times New Roman" w:hAnsi="Times New Roman" w:cs="Times New Roman"/>
          <w:color w:val="000000" w:themeColor="text1"/>
          <w:sz w:val="28"/>
          <w:szCs w:val="28"/>
        </w:rPr>
        <w:t>al no toda solicitud implica la asunción inmediata de un gasto, pues se deben cumplir los requisitos previstos por el Convenio. La segunda es que la Parte Requerida y, en particular, la Autoridad Central del Estado (Fiscalía General de la Nación y Minister</w:t>
      </w:r>
      <w:r w:rsidRPr="003A7DA4">
        <w:rPr>
          <w:rFonts w:ascii="Times New Roman" w:hAnsi="Times New Roman" w:cs="Times New Roman"/>
          <w:color w:val="000000" w:themeColor="text1"/>
          <w:sz w:val="28"/>
          <w:szCs w:val="28"/>
        </w:rPr>
        <w:t xml:space="preserve">io de Justicia y el Derecho en el caso de Colombia) pueden denegar la solicitud, entre otras razones porque pueda causar daño a la soberanía, a la seguridad, al orden público o a otros intereses esenciales de la Parte Requerida, de acuerdo con el artículo </w:t>
      </w:r>
      <w:r w:rsidRPr="003A7DA4">
        <w:rPr>
          <w:rFonts w:ascii="Times New Roman" w:hAnsi="Times New Roman" w:cs="Times New Roman"/>
          <w:color w:val="000000" w:themeColor="text1"/>
          <w:sz w:val="28"/>
          <w:szCs w:val="28"/>
        </w:rPr>
        <w:t>3 del Convenio.</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Esta interpretación se refuerza con la lectura de otras cláusulas del tratado. El artículo 12 permite que las partes, por conducto de sus autoridades centrales y de conformidad con su legislación, anticipen el envío voluntario de elementos</w:t>
      </w:r>
      <w:r w:rsidRPr="003A7DA4">
        <w:rPr>
          <w:rFonts w:ascii="Times New Roman" w:hAnsi="Times New Roman" w:cs="Times New Roman"/>
          <w:color w:val="000000" w:themeColor="text1"/>
          <w:sz w:val="28"/>
          <w:szCs w:val="28"/>
          <w:shd w:val="clear" w:color="auto" w:fill="FFFFFF"/>
        </w:rPr>
        <w:t xml:space="preserve"> probatorios para i</w:t>
      </w:r>
      <w:r w:rsidRPr="003A7DA4">
        <w:rPr>
          <w:rFonts w:ascii="Times New Roman" w:hAnsi="Times New Roman" w:cs="Times New Roman"/>
          <w:color w:val="000000" w:themeColor="text1"/>
          <w:sz w:val="28"/>
          <w:szCs w:val="28"/>
        </w:rPr>
        <w:t>ntercambiar información respecto a hechos penalmente sancionables, entre otras cosas, que permitan o motiven a la parte receptora a presentar una solicitud de asistencia. Esto demuestra que un elemento central del Convenio es la solicitu</w:t>
      </w:r>
      <w:r w:rsidRPr="003A7DA4">
        <w:rPr>
          <w:rFonts w:ascii="Times New Roman" w:hAnsi="Times New Roman" w:cs="Times New Roman"/>
          <w:color w:val="000000" w:themeColor="text1"/>
          <w:sz w:val="28"/>
          <w:szCs w:val="28"/>
        </w:rPr>
        <w:t xml:space="preserve">d de asistencia como actuación voluntaria de las partes.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7728D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En estos términos, la Sala concluye, desde una perspectiva gramatical, que no existe una orden de gasto inmediata derivada del artículo 21 del Convenio, sino una autorización de gasto que opera sob</w:t>
      </w:r>
      <w:r w:rsidRPr="003A7DA4">
        <w:rPr>
          <w:rFonts w:ascii="Times New Roman" w:hAnsi="Times New Roman" w:cs="Times New Roman"/>
          <w:color w:val="000000" w:themeColor="text1"/>
          <w:sz w:val="28"/>
          <w:szCs w:val="28"/>
          <w:shd w:val="clear" w:color="auto" w:fill="FFFFFF"/>
        </w:rPr>
        <w:t>re la existencia de una solicitud de ejecución</w:t>
      </w:r>
      <w:r w:rsidRPr="003A7DA4">
        <w:rPr>
          <w:rFonts w:ascii="Times New Roman" w:hAnsi="Times New Roman" w:cs="Times New Roman"/>
          <w:color w:val="000000" w:themeColor="text1"/>
          <w:sz w:val="28"/>
          <w:szCs w:val="28"/>
          <w:shd w:val="clear" w:color="auto" w:fill="FFFFFF"/>
        </w:rPr>
        <w:t>, la cual puede ser acordaba entre las partes e incluso puede ser denegada</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rPr>
        <w:t>Ahora bien, es importante resaltar que</w:t>
      </w:r>
      <w:r w:rsidRPr="003A7DA4">
        <w:rPr>
          <w:rFonts w:ascii="Times New Roman" w:hAnsi="Times New Roman" w:cs="Times New Roman"/>
          <w:color w:val="000000" w:themeColor="text1"/>
          <w:sz w:val="28"/>
          <w:szCs w:val="28"/>
          <w:shd w:val="clear" w:color="auto" w:fill="FFFFFF"/>
        </w:rPr>
        <w:t xml:space="preserve">, aunque la fuente de la obligación es el Convenio, la solicitud de asistencia opera como una condición para generar el gasto, razón por la cual no existe una orden de gasto inmediato. </w:t>
      </w:r>
    </w:p>
    <w:p w:rsidR="00EC4959" w:rsidRPr="003A7DA4" w:rsidRDefault="003A7DA4" w:rsidP="001B6BCF">
      <w:pPr>
        <w:rPr>
          <w:rFonts w:ascii="Times New Roman" w:hAnsi="Times New Roman" w:cs="Times New Roman"/>
          <w:color w:val="000000" w:themeColor="text1"/>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rPr>
        <w:t xml:space="preserve">Sobre el criterio </w:t>
      </w:r>
      <w:r w:rsidRPr="003A7DA4">
        <w:rPr>
          <w:rFonts w:ascii="Times New Roman" w:hAnsi="Times New Roman" w:cs="Times New Roman"/>
          <w:i/>
          <w:iCs/>
          <w:color w:val="000000" w:themeColor="text1"/>
          <w:sz w:val="28"/>
          <w:szCs w:val="28"/>
        </w:rPr>
        <w:t>funcional</w:t>
      </w:r>
      <w:r w:rsidRPr="003A7DA4">
        <w:rPr>
          <w:rFonts w:ascii="Times New Roman" w:hAnsi="Times New Roman" w:cs="Times New Roman"/>
          <w:color w:val="000000" w:themeColor="text1"/>
          <w:sz w:val="28"/>
          <w:szCs w:val="28"/>
        </w:rPr>
        <w:t xml:space="preserve">, cuyo alcance estudia </w:t>
      </w:r>
      <w:r w:rsidRPr="003A7DA4">
        <w:rPr>
          <w:rFonts w:ascii="Times New Roman" w:hAnsi="Times New Roman" w:cs="Times New Roman"/>
          <w:color w:val="000000" w:themeColor="text1"/>
          <w:sz w:val="28"/>
          <w:szCs w:val="28"/>
          <w:shd w:val="clear" w:color="auto" w:fill="FFFFFF"/>
          <w:lang w:val="es-ES"/>
        </w:rPr>
        <w:t xml:space="preserve">si la norma impone </w:t>
      </w:r>
      <w:r w:rsidRPr="003A7DA4">
        <w:rPr>
          <w:rFonts w:ascii="Times New Roman" w:hAnsi="Times New Roman" w:cs="Times New Roman"/>
          <w:color w:val="000000" w:themeColor="text1"/>
          <w:sz w:val="28"/>
          <w:szCs w:val="28"/>
          <w:shd w:val="clear" w:color="auto" w:fill="FFFFFF"/>
          <w:lang w:val="es-ES"/>
        </w:rPr>
        <w:t>la asunción de gastos y, particularmente, si para la implementación de la disposición se necesita desarrollo normativo alguno o si el gasto es inmediato, la Sala observa que tampoco se verifica en el presente caso.</w:t>
      </w:r>
    </w:p>
    <w:p w:rsidR="00EC4959" w:rsidRPr="003A7DA4" w:rsidRDefault="003A7DA4" w:rsidP="00EC4959">
      <w:pPr>
        <w:ind w:left="360"/>
        <w:rPr>
          <w:rFonts w:ascii="Times New Roman" w:hAnsi="Times New Roman" w:cs="Times New Roman"/>
          <w:color w:val="000000" w:themeColor="text1"/>
          <w:sz w:val="28"/>
        </w:rPr>
      </w:pPr>
    </w:p>
    <w:p w:rsidR="0065635A" w:rsidRPr="003A7DA4" w:rsidRDefault="003A7DA4" w:rsidP="0065635A">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rPr>
        <w:t>La aceptación de los gastos derivados de</w:t>
      </w:r>
      <w:r w:rsidRPr="003A7DA4">
        <w:rPr>
          <w:rFonts w:ascii="Times New Roman" w:hAnsi="Times New Roman" w:cs="Times New Roman"/>
          <w:color w:val="000000" w:themeColor="text1"/>
          <w:sz w:val="28"/>
          <w:szCs w:val="28"/>
        </w:rPr>
        <w:t xml:space="preserve"> la asistencia judicial por parte del Estado colombiano no tienen efectos presupuestales inmediatos. </w:t>
      </w:r>
      <w:r w:rsidRPr="003A7DA4">
        <w:rPr>
          <w:rFonts w:ascii="Times New Roman" w:hAnsi="Times New Roman" w:cs="Times New Roman"/>
          <w:color w:val="000000" w:themeColor="text1"/>
          <w:sz w:val="28"/>
          <w:szCs w:val="28"/>
          <w:shd w:val="clear" w:color="auto" w:fill="FFFFFF"/>
          <w:lang w:val="es-ES_tradnl"/>
        </w:rPr>
        <w:t>En este punto es relevante considerar que el Convenio define dos escenarios en relación con los gastos. Un primer escenario es que Colombia obre como Parte</w:t>
      </w:r>
      <w:r w:rsidRPr="003A7DA4">
        <w:rPr>
          <w:rFonts w:ascii="Times New Roman" w:hAnsi="Times New Roman" w:cs="Times New Roman"/>
          <w:color w:val="000000" w:themeColor="text1"/>
          <w:sz w:val="28"/>
          <w:szCs w:val="28"/>
          <w:shd w:val="clear" w:color="auto" w:fill="FFFFFF"/>
          <w:lang w:val="es-ES_tradnl"/>
        </w:rPr>
        <w:t xml:space="preserve"> Requirente, frente a lo cual es evidente que los gastos que deriven de su ejecución dependen exclusivamente de la decisión de las autoridades centrales del Estado. En efecto, </w:t>
      </w:r>
      <w:r w:rsidRPr="003A7DA4">
        <w:rPr>
          <w:rFonts w:ascii="Times New Roman" w:hAnsi="Times New Roman" w:cs="Times New Roman"/>
          <w:color w:val="000000" w:themeColor="text1"/>
          <w:sz w:val="28"/>
          <w:szCs w:val="28"/>
        </w:rPr>
        <w:t>cuando las solicitudes de asistencia judicial elevadas por Colombia se realizan,</w:t>
      </w:r>
      <w:r w:rsidRPr="003A7DA4">
        <w:rPr>
          <w:rFonts w:ascii="Times New Roman" w:hAnsi="Times New Roman" w:cs="Times New Roman"/>
          <w:color w:val="000000" w:themeColor="text1"/>
          <w:sz w:val="28"/>
          <w:szCs w:val="28"/>
        </w:rPr>
        <w:t xml:space="preserve"> en etapa de indagación o investigación, serán remitidas por la Fiscalía General de la Nación (art 4.1). Por su parte, cuando las solicitudes de asistencia judicial elevadas por Colombia se realizan en etapa de juicio, serán remitidas por</w:t>
      </w:r>
      <w:r w:rsidRPr="003A7DA4">
        <w:rPr>
          <w:rFonts w:ascii="Times New Roman" w:hAnsi="Times New Roman" w:cs="Times New Roman"/>
          <w:color w:val="000000" w:themeColor="text1"/>
          <w:sz w:val="28"/>
          <w:szCs w:val="28"/>
          <w:lang w:val="es-ES"/>
        </w:rPr>
        <w:t xml:space="preserve"> el Ministerio de </w:t>
      </w:r>
      <w:r w:rsidRPr="003A7DA4">
        <w:rPr>
          <w:rFonts w:ascii="Times New Roman" w:hAnsi="Times New Roman" w:cs="Times New Roman"/>
          <w:color w:val="000000" w:themeColor="text1"/>
          <w:sz w:val="28"/>
          <w:szCs w:val="28"/>
          <w:lang w:val="es-ES"/>
        </w:rPr>
        <w:t>Justicia y el Derecho (art 4.1).</w:t>
      </w:r>
    </w:p>
    <w:p w:rsidR="0065635A" w:rsidRPr="003A7DA4" w:rsidRDefault="003A7DA4" w:rsidP="001B6BCF">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65635A">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En ese sentido, s</w:t>
      </w:r>
      <w:r w:rsidRPr="003A7DA4">
        <w:rPr>
          <w:rFonts w:ascii="Times New Roman" w:hAnsi="Times New Roman" w:cs="Times New Roman"/>
          <w:color w:val="000000" w:themeColor="text1"/>
          <w:sz w:val="28"/>
          <w:szCs w:val="28"/>
          <w:shd w:val="clear" w:color="auto" w:fill="FFFFFF"/>
        </w:rPr>
        <w:t>e trata de un</w:t>
      </w:r>
      <w:r w:rsidRPr="003A7DA4">
        <w:rPr>
          <w:rFonts w:ascii="Times New Roman" w:hAnsi="Times New Roman" w:cs="Times New Roman"/>
          <w:color w:val="000000" w:themeColor="text1"/>
          <w:sz w:val="28"/>
          <w:szCs w:val="28"/>
          <w:shd w:val="clear" w:color="auto" w:fill="FFFFFF"/>
        </w:rPr>
        <w:t xml:space="preserve">a obligación que si bien tiene como fuente el tratado, </w:t>
      </w:r>
      <w:r w:rsidRPr="003A7DA4">
        <w:rPr>
          <w:rFonts w:ascii="Times New Roman" w:hAnsi="Times New Roman" w:cs="Times New Roman"/>
          <w:color w:val="000000" w:themeColor="text1"/>
          <w:sz w:val="28"/>
          <w:szCs w:val="28"/>
          <w:shd w:val="clear" w:color="auto" w:fill="FFFFFF"/>
        </w:rPr>
        <w:t>está</w:t>
      </w:r>
      <w:r w:rsidRPr="003A7DA4">
        <w:rPr>
          <w:rFonts w:ascii="Times New Roman" w:hAnsi="Times New Roman" w:cs="Times New Roman"/>
          <w:color w:val="000000" w:themeColor="text1"/>
          <w:sz w:val="28"/>
          <w:szCs w:val="28"/>
          <w:shd w:val="clear" w:color="auto" w:fill="FFFFFF"/>
        </w:rPr>
        <w:t xml:space="preserve"> sujeta a una condición</w:t>
      </w:r>
      <w:r w:rsidRPr="003A7DA4">
        <w:rPr>
          <w:rFonts w:ascii="Times New Roman" w:hAnsi="Times New Roman" w:cs="Times New Roman"/>
          <w:color w:val="000000" w:themeColor="text1"/>
          <w:sz w:val="28"/>
          <w:szCs w:val="28"/>
          <w:shd w:val="clear" w:color="auto" w:fill="FFFFFF"/>
        </w:rPr>
        <w:t>,</w:t>
      </w:r>
      <w:r w:rsidRPr="003A7DA4">
        <w:rPr>
          <w:rFonts w:ascii="Times New Roman" w:hAnsi="Times New Roman" w:cs="Times New Roman"/>
          <w:color w:val="000000" w:themeColor="text1"/>
          <w:sz w:val="28"/>
          <w:szCs w:val="28"/>
          <w:shd w:val="clear" w:color="auto" w:fill="FFFFFF"/>
        </w:rPr>
        <w:t xml:space="preserve"> por lo que puede</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rPr>
        <w:t xml:space="preserve">entenderse como un </w:t>
      </w:r>
      <w:r w:rsidRPr="003A7DA4">
        <w:rPr>
          <w:rFonts w:ascii="Times New Roman" w:hAnsi="Times New Roman" w:cs="Times New Roman"/>
          <w:color w:val="000000" w:themeColor="text1"/>
          <w:sz w:val="28"/>
          <w:szCs w:val="28"/>
          <w:shd w:val="clear" w:color="auto" w:fill="FFFFFF"/>
        </w:rPr>
        <w:t xml:space="preserve">acto puramente voluntario que tiene como efecto que las autoridades nacionales definan las partidas presupuestales que </w:t>
      </w:r>
      <w:r w:rsidRPr="003A7DA4">
        <w:rPr>
          <w:rFonts w:ascii="Times New Roman" w:hAnsi="Times New Roman" w:cs="Times New Roman"/>
          <w:color w:val="000000" w:themeColor="text1"/>
          <w:sz w:val="28"/>
          <w:szCs w:val="28"/>
          <w:shd w:val="clear" w:color="auto" w:fill="FFFFFF"/>
        </w:rPr>
        <w:t xml:space="preserve">sustenten </w:t>
      </w:r>
      <w:r w:rsidRPr="003A7DA4">
        <w:rPr>
          <w:rFonts w:ascii="Times New Roman" w:hAnsi="Times New Roman" w:cs="Times New Roman"/>
          <w:color w:val="000000" w:themeColor="text1"/>
          <w:sz w:val="28"/>
          <w:szCs w:val="28"/>
          <w:shd w:val="clear" w:color="auto" w:fill="FFFFFF"/>
        </w:rPr>
        <w:t>los gastos para atender las solicitudes de asistencia judicial en las que Colombia actúa como Parte Requirente. No se trata ent</w:t>
      </w:r>
      <w:r w:rsidRPr="003A7DA4">
        <w:rPr>
          <w:rFonts w:ascii="Times New Roman" w:hAnsi="Times New Roman" w:cs="Times New Roman"/>
          <w:color w:val="000000" w:themeColor="text1"/>
          <w:sz w:val="28"/>
          <w:szCs w:val="28"/>
          <w:shd w:val="clear" w:color="auto" w:fill="FFFFFF"/>
        </w:rPr>
        <w:t>onces de un gasto nuevo e inmediato, sino de la ejecución de los recursos presupuestales previamente aprobados</w:t>
      </w:r>
      <w:r w:rsidRPr="003A7DA4">
        <w:rPr>
          <w:rFonts w:ascii="Times New Roman" w:hAnsi="Times New Roman" w:cs="Times New Roman"/>
          <w:color w:val="000000" w:themeColor="text1"/>
          <w:sz w:val="28"/>
          <w:szCs w:val="28"/>
          <w:shd w:val="clear" w:color="auto" w:fill="FFFFFF"/>
        </w:rPr>
        <w:t>, y que si bien tienen como fuente el tratado, están sujeto</w:t>
      </w:r>
      <w:r w:rsidRPr="003A7DA4">
        <w:rPr>
          <w:rFonts w:ascii="Times New Roman" w:hAnsi="Times New Roman" w:cs="Times New Roman"/>
          <w:color w:val="000000" w:themeColor="text1"/>
          <w:sz w:val="28"/>
          <w:szCs w:val="28"/>
          <w:shd w:val="clear" w:color="auto" w:fill="FFFFFF"/>
        </w:rPr>
        <w:t>s</w:t>
      </w:r>
      <w:r w:rsidRPr="003A7DA4">
        <w:rPr>
          <w:rFonts w:ascii="Times New Roman" w:hAnsi="Times New Roman" w:cs="Times New Roman"/>
          <w:color w:val="000000" w:themeColor="text1"/>
          <w:sz w:val="28"/>
          <w:szCs w:val="28"/>
          <w:shd w:val="clear" w:color="auto" w:fill="FFFFFF"/>
        </w:rPr>
        <w:t xml:space="preserve"> a una condición</w:t>
      </w:r>
      <w:r w:rsidRPr="003A7DA4">
        <w:rPr>
          <w:rFonts w:ascii="Times New Roman" w:hAnsi="Times New Roman" w:cs="Times New Roman"/>
          <w:color w:val="000000" w:themeColor="text1"/>
          <w:sz w:val="28"/>
          <w:szCs w:val="28"/>
          <w:shd w:val="clear" w:color="auto" w:fill="FFFFFF"/>
        </w:rPr>
        <w:t>. En efecto, el Decreto 016 de 20</w:t>
      </w:r>
      <w:r w:rsidRPr="003A7DA4">
        <w:rPr>
          <w:rFonts w:ascii="Times New Roman" w:hAnsi="Times New Roman" w:cs="Times New Roman"/>
          <w:color w:val="000000" w:themeColor="text1"/>
          <w:sz w:val="28"/>
          <w:szCs w:val="28"/>
          <w:shd w:val="clear" w:color="auto" w:fill="FFFFFF"/>
        </w:rPr>
        <w:t>1</w:t>
      </w:r>
      <w:r w:rsidRPr="003A7DA4">
        <w:rPr>
          <w:rFonts w:ascii="Times New Roman" w:hAnsi="Times New Roman" w:cs="Times New Roman"/>
          <w:color w:val="000000" w:themeColor="text1"/>
          <w:sz w:val="28"/>
          <w:szCs w:val="28"/>
          <w:shd w:val="clear" w:color="auto" w:fill="FFFFFF"/>
        </w:rPr>
        <w:t xml:space="preserve">4, que modificó la estructura de la </w:t>
      </w:r>
      <w:r w:rsidRPr="003A7DA4">
        <w:rPr>
          <w:rFonts w:ascii="Times New Roman" w:hAnsi="Times New Roman" w:cs="Times New Roman"/>
          <w:color w:val="000000" w:themeColor="text1"/>
          <w:sz w:val="28"/>
          <w:szCs w:val="28"/>
          <w:shd w:val="clear" w:color="auto" w:fill="FFFFFF"/>
        </w:rPr>
        <w:t>Fiscalía General de la Nación, se refiere a las funciones del fiscal general de la Nación en materia de cooperación</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rPr>
        <w:t>a la dirección de cooperación internacional (art. 12); a las funciones del CTI en materia de cooperación (art. 12A), entre otras. Por su pa</w:t>
      </w:r>
      <w:r w:rsidRPr="003A7DA4">
        <w:rPr>
          <w:rFonts w:ascii="Times New Roman" w:hAnsi="Times New Roman" w:cs="Times New Roman"/>
          <w:color w:val="000000" w:themeColor="text1"/>
          <w:sz w:val="28"/>
          <w:szCs w:val="28"/>
          <w:shd w:val="clear" w:color="auto" w:fill="FFFFFF"/>
        </w:rPr>
        <w:t xml:space="preserve">rte, el ministro de Justicia tiene como función, entre otras, promover la cooperación judicial y técnica, de acuerdo con el numeral 11 del artículo 6 del Decreto 2897 de 2011. Asimismo, de acuerdo con el artículo 7 </w:t>
      </w:r>
      <w:r w:rsidRPr="003A7DA4">
        <w:rPr>
          <w:rFonts w:ascii="Times New Roman" w:hAnsi="Times New Roman" w:cs="Times New Roman"/>
          <w:i/>
          <w:color w:val="000000" w:themeColor="text1"/>
          <w:sz w:val="28"/>
          <w:szCs w:val="28"/>
          <w:shd w:val="clear" w:color="auto" w:fill="FFFFFF"/>
        </w:rPr>
        <w:t>ibidem</w:t>
      </w:r>
      <w:r w:rsidRPr="003A7DA4">
        <w:rPr>
          <w:rFonts w:ascii="Times New Roman" w:hAnsi="Times New Roman" w:cs="Times New Roman"/>
          <w:color w:val="000000" w:themeColor="text1"/>
          <w:sz w:val="28"/>
          <w:szCs w:val="28"/>
          <w:shd w:val="clear" w:color="auto" w:fill="FFFFFF"/>
        </w:rPr>
        <w:t xml:space="preserve"> existe una oficina de Asuntos Internacionales en esa cartera, encargada de las funciones de cooperación judicial y asistencia judicial, además de elaborar proyectos de tratados en la materia</w:t>
      </w:r>
      <w:r w:rsidRPr="003A7DA4">
        <w:rPr>
          <w:rFonts w:ascii="Times New Roman" w:hAnsi="Times New Roman" w:cs="Times New Roman"/>
          <w:color w:val="000000" w:themeColor="text1"/>
          <w:sz w:val="28"/>
          <w:szCs w:val="28"/>
          <w:shd w:val="clear" w:color="auto" w:fill="FFFFFF"/>
        </w:rPr>
        <w:t>. E</w:t>
      </w:r>
      <w:r w:rsidRPr="003A7DA4">
        <w:rPr>
          <w:rFonts w:ascii="Times New Roman" w:hAnsi="Times New Roman" w:cs="Times New Roman"/>
          <w:color w:val="000000" w:themeColor="text1"/>
          <w:sz w:val="28"/>
          <w:szCs w:val="28"/>
          <w:shd w:val="clear" w:color="auto" w:fill="FFFFFF"/>
        </w:rPr>
        <w:t xml:space="preserve">n ese entendido, </w:t>
      </w:r>
      <w:r w:rsidRPr="003A7DA4">
        <w:rPr>
          <w:rFonts w:ascii="Times New Roman" w:hAnsi="Times New Roman" w:cs="Times New Roman"/>
          <w:color w:val="000000" w:themeColor="text1"/>
          <w:sz w:val="28"/>
          <w:szCs w:val="28"/>
          <w:shd w:val="clear" w:color="auto" w:fill="FFFFFF"/>
        </w:rPr>
        <w:t xml:space="preserve">quien </w:t>
      </w:r>
      <w:r w:rsidRPr="003A7DA4">
        <w:rPr>
          <w:rFonts w:ascii="Times New Roman" w:hAnsi="Times New Roman" w:cs="Times New Roman"/>
          <w:color w:val="000000" w:themeColor="text1"/>
          <w:sz w:val="28"/>
          <w:szCs w:val="28"/>
          <w:shd w:val="clear" w:color="auto" w:fill="FFFFFF"/>
        </w:rPr>
        <w:t>determina si se solicita</w:t>
      </w:r>
      <w:r w:rsidRPr="003A7DA4">
        <w:rPr>
          <w:rFonts w:ascii="Times New Roman" w:hAnsi="Times New Roman" w:cs="Times New Roman"/>
          <w:color w:val="000000" w:themeColor="text1"/>
          <w:sz w:val="28"/>
          <w:szCs w:val="28"/>
          <w:shd w:val="clear" w:color="auto" w:fill="FFFFFF"/>
        </w:rPr>
        <w:t xml:space="preserve"> una asistencia</w:t>
      </w:r>
      <w:r w:rsidRPr="003A7DA4">
        <w:rPr>
          <w:rFonts w:ascii="Times New Roman" w:hAnsi="Times New Roman" w:cs="Times New Roman"/>
          <w:color w:val="000000" w:themeColor="text1"/>
          <w:sz w:val="28"/>
          <w:szCs w:val="28"/>
          <w:shd w:val="clear" w:color="auto" w:fill="FFFFFF"/>
        </w:rPr>
        <w:t xml:space="preserve"> judicial</w:t>
      </w:r>
      <w:r w:rsidRPr="003A7DA4">
        <w:rPr>
          <w:rFonts w:ascii="Times New Roman" w:hAnsi="Times New Roman" w:cs="Times New Roman"/>
          <w:color w:val="000000" w:themeColor="text1"/>
          <w:sz w:val="28"/>
          <w:szCs w:val="28"/>
          <w:shd w:val="clear" w:color="auto" w:fill="FFFFFF"/>
        </w:rPr>
        <w:t xml:space="preserve"> y, por tanto, </w:t>
      </w:r>
      <w:r w:rsidRPr="003A7DA4">
        <w:rPr>
          <w:rFonts w:ascii="Times New Roman" w:hAnsi="Times New Roman" w:cs="Times New Roman"/>
          <w:color w:val="000000" w:themeColor="text1"/>
          <w:sz w:val="28"/>
          <w:szCs w:val="28"/>
          <w:shd w:val="clear" w:color="auto" w:fill="FFFFFF"/>
        </w:rPr>
        <w:t xml:space="preserve">si </w:t>
      </w:r>
      <w:r w:rsidRPr="003A7DA4">
        <w:rPr>
          <w:rFonts w:ascii="Times New Roman" w:hAnsi="Times New Roman" w:cs="Times New Roman"/>
          <w:color w:val="000000" w:themeColor="text1"/>
          <w:sz w:val="28"/>
          <w:szCs w:val="28"/>
          <w:shd w:val="clear" w:color="auto" w:fill="FFFFFF"/>
        </w:rPr>
        <w:t xml:space="preserve">se incurre en la condición que genera el gasto es cada una de las entidades que realiza </w:t>
      </w:r>
      <w:r w:rsidRPr="003A7DA4">
        <w:rPr>
          <w:rFonts w:ascii="Times New Roman" w:hAnsi="Times New Roman" w:cs="Times New Roman"/>
          <w:color w:val="000000" w:themeColor="text1"/>
          <w:sz w:val="28"/>
          <w:szCs w:val="28"/>
          <w:shd w:val="clear" w:color="auto" w:fill="FFFFFF"/>
        </w:rPr>
        <w:t xml:space="preserve">tal </w:t>
      </w:r>
      <w:r w:rsidRPr="003A7DA4">
        <w:rPr>
          <w:rFonts w:ascii="Times New Roman" w:hAnsi="Times New Roman" w:cs="Times New Roman"/>
          <w:color w:val="000000" w:themeColor="text1"/>
          <w:sz w:val="28"/>
          <w:szCs w:val="28"/>
          <w:shd w:val="clear" w:color="auto" w:fill="FFFFFF"/>
        </w:rPr>
        <w:t>solicitud.</w:t>
      </w:r>
    </w:p>
    <w:p w:rsidR="00EC4959" w:rsidRPr="003A7DA4" w:rsidRDefault="003A7DA4" w:rsidP="006B7935">
      <w:pPr>
        <w:rPr>
          <w:rFonts w:ascii="Times New Roman" w:hAnsi="Times New Roman" w:cs="Times New Roman"/>
          <w:color w:val="000000" w:themeColor="text1"/>
          <w:sz w:val="28"/>
          <w:shd w:val="clear" w:color="auto" w:fill="FFFFFF"/>
        </w:rPr>
      </w:pPr>
    </w:p>
    <w:p w:rsidR="00D578A2"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Un segundo escenario es que Colombia obre como Parte Requerida y deba asumir los costos de la asistencia judicial pedida por </w:t>
      </w:r>
      <w:r w:rsidRPr="003A7DA4">
        <w:rPr>
          <w:rFonts w:ascii="Times New Roman" w:hAnsi="Times New Roman" w:cs="Times New Roman"/>
          <w:color w:val="000000" w:themeColor="text1"/>
          <w:sz w:val="28"/>
          <w:szCs w:val="28"/>
          <w:shd w:val="clear" w:color="auto" w:fill="FFFFFF"/>
        </w:rPr>
        <w:t>Costa Rica. La Sala considera que los gastos asociados a esos requerimientos no pueden calificarse como gastos nuevos que deban ejecutarse de manera inmediata. Indefectiblemente los gastos derivados de las solicitudes que se cursen ante Colombia, se ejecut</w:t>
      </w:r>
      <w:r w:rsidRPr="003A7DA4">
        <w:rPr>
          <w:rFonts w:ascii="Times New Roman" w:hAnsi="Times New Roman" w:cs="Times New Roman"/>
          <w:color w:val="000000" w:themeColor="text1"/>
          <w:sz w:val="28"/>
          <w:szCs w:val="28"/>
          <w:shd w:val="clear" w:color="auto" w:fill="FFFFFF"/>
        </w:rPr>
        <w:t>an en una determinada vigencia fiscal que está en ejecución. Por lo anterior, han de imputarse a los presupuestos aprobados para la Fiscalía General de la Nación, en materia de cooperación y para el Ministerio de Justicia y del Derecho, que son las Autorid</w:t>
      </w:r>
      <w:r w:rsidRPr="003A7DA4">
        <w:rPr>
          <w:rFonts w:ascii="Times New Roman" w:hAnsi="Times New Roman" w:cs="Times New Roman"/>
          <w:color w:val="000000" w:themeColor="text1"/>
          <w:sz w:val="28"/>
          <w:szCs w:val="28"/>
          <w:shd w:val="clear" w:color="auto" w:fill="FFFFFF"/>
        </w:rPr>
        <w:t>ades Centrales del Estado. Por ende, la Sala considera que desde el punto de vista funcional, el artículo 21 del Convenio tampoco genera gastos que requieran el análisis de impacto fiscal ordenado por la Ley 819 de 2003.</w:t>
      </w:r>
    </w:p>
    <w:p w:rsidR="00D578A2"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i/>
          <w:iCs/>
          <w:color w:val="000000" w:themeColor="text1"/>
          <w:sz w:val="28"/>
          <w:szCs w:val="28"/>
          <w:shd w:val="clear" w:color="auto" w:fill="FFFFFF"/>
        </w:rPr>
        <w:t>Conclusión sobre el análisis mater</w:t>
      </w:r>
      <w:r w:rsidRPr="003A7DA4">
        <w:rPr>
          <w:rFonts w:ascii="Times New Roman" w:hAnsi="Times New Roman" w:cs="Times New Roman"/>
          <w:i/>
          <w:iCs/>
          <w:color w:val="000000" w:themeColor="text1"/>
          <w:sz w:val="28"/>
          <w:szCs w:val="28"/>
          <w:shd w:val="clear" w:color="auto" w:fill="FFFFFF"/>
        </w:rPr>
        <w:t>ial de impacto fiscal respecto de la creación de gastos</w:t>
      </w:r>
      <w:r w:rsidRPr="003A7DA4">
        <w:rPr>
          <w:rFonts w:ascii="Times New Roman" w:hAnsi="Times New Roman" w:cs="Times New Roman"/>
          <w:color w:val="000000" w:themeColor="text1"/>
          <w:sz w:val="28"/>
          <w:szCs w:val="28"/>
          <w:shd w:val="clear" w:color="auto" w:fill="FFFFFF"/>
        </w:rPr>
        <w:t>. De conformidad con lo anterior, la</w:t>
      </w:r>
      <w:r w:rsidRPr="003A7DA4">
        <w:rPr>
          <w:rFonts w:ascii="Times New Roman" w:hAnsi="Times New Roman" w:cs="Times New Roman"/>
          <w:color w:val="000000" w:themeColor="text1"/>
          <w:sz w:val="28"/>
          <w:szCs w:val="28"/>
          <w:lang w:val="es-ES"/>
        </w:rPr>
        <w:t xml:space="preserve"> Sala Plena constata que para el trámite de la ley aprobatoria del tratado </w:t>
      </w:r>
      <w:r w:rsidRPr="003A7DA4">
        <w:rPr>
          <w:rFonts w:ascii="Times New Roman" w:hAnsi="Times New Roman" w:cs="Times New Roman"/>
          <w:i/>
          <w:iCs/>
          <w:color w:val="000000" w:themeColor="text1"/>
          <w:sz w:val="28"/>
          <w:szCs w:val="28"/>
          <w:lang w:val="es-ES"/>
        </w:rPr>
        <w:t>sub examine</w:t>
      </w:r>
      <w:r w:rsidRPr="003A7DA4">
        <w:rPr>
          <w:rFonts w:ascii="Times New Roman" w:hAnsi="Times New Roman" w:cs="Times New Roman"/>
          <w:color w:val="000000" w:themeColor="text1"/>
          <w:sz w:val="28"/>
          <w:szCs w:val="28"/>
          <w:lang w:val="es-ES"/>
        </w:rPr>
        <w:t xml:space="preserve"> no era exigible el análisis de impacto fiscal, por cuanto dicho instrumento no crea gastos, en los términos precisados por la jurisprudencia constitucional. Como se expuso, el artículo 21 del Convenio y sus cláusulas asociadas autorizan un gasto, pero no </w:t>
      </w:r>
      <w:r w:rsidRPr="003A7DA4">
        <w:rPr>
          <w:rFonts w:ascii="Times New Roman" w:hAnsi="Times New Roman" w:cs="Times New Roman"/>
          <w:color w:val="000000" w:themeColor="text1"/>
          <w:sz w:val="28"/>
          <w:szCs w:val="28"/>
          <w:lang w:val="es-ES"/>
        </w:rPr>
        <w:t xml:space="preserve">lo imponen ni establecen su causación inmediata. </w:t>
      </w:r>
    </w:p>
    <w:p w:rsidR="007440B2" w:rsidRPr="003A7DA4" w:rsidRDefault="003A7DA4" w:rsidP="004B477E">
      <w:pPr>
        <w:ind w:left="720"/>
        <w:rPr>
          <w:rFonts w:ascii="Times New Roman" w:hAnsi="Times New Roman" w:cs="Times New Roman"/>
          <w:sz w:val="28"/>
          <w:shd w:val="clear" w:color="auto" w:fill="FFFFFF"/>
        </w:rPr>
      </w:pPr>
    </w:p>
    <w:p w:rsidR="007047D0" w:rsidRPr="003A7DA4" w:rsidRDefault="003A7DA4" w:rsidP="00E97E71">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Con todo, la Sala llama la atención sobre un aspecto adicional: la ejecución de las obligaciones derivadas del artículo 16 del Convenio.</w:t>
      </w:r>
      <w:r w:rsidRPr="003A7DA4">
        <w:rPr>
          <w:rFonts w:ascii="Times New Roman" w:hAnsi="Times New Roman" w:cs="Times New Roman"/>
          <w:color w:val="000000" w:themeColor="text1"/>
          <w:sz w:val="28"/>
          <w:szCs w:val="28"/>
          <w:shd w:val="clear" w:color="auto" w:fill="FFFFFF"/>
        </w:rPr>
        <w:t xml:space="preserve"> Este </w:t>
      </w:r>
      <w:r w:rsidRPr="003A7DA4">
        <w:rPr>
          <w:rFonts w:ascii="Times New Roman" w:hAnsi="Times New Roman" w:cs="Times New Roman"/>
          <w:sz w:val="28"/>
          <w:szCs w:val="28"/>
          <w:shd w:val="clear" w:color="auto" w:fill="FFFFFF"/>
        </w:rPr>
        <w:t>artículo regula</w:t>
      </w:r>
      <w:r w:rsidRPr="003A7DA4">
        <w:rPr>
          <w:rFonts w:ascii="Times New Roman" w:hAnsi="Times New Roman" w:cs="Times New Roman"/>
          <w:sz w:val="28"/>
          <w:szCs w:val="28"/>
          <w:shd w:val="clear" w:color="auto" w:fill="FFFFFF"/>
        </w:rPr>
        <w:t xml:space="preserve"> el traslado provisional de personas detenidas, </w:t>
      </w:r>
      <w:r w:rsidRPr="003A7DA4">
        <w:rPr>
          <w:rFonts w:ascii="Times New Roman" w:hAnsi="Times New Roman" w:cs="Times New Roman"/>
          <w:sz w:val="28"/>
          <w:szCs w:val="28"/>
          <w:shd w:val="clear" w:color="auto" w:fill="FFFFFF"/>
        </w:rPr>
        <w:t>incluso la</w:t>
      </w:r>
      <w:r w:rsidRPr="003A7DA4">
        <w:rPr>
          <w:rFonts w:ascii="Times New Roman" w:hAnsi="Times New Roman" w:cs="Times New Roman"/>
          <w:sz w:val="28"/>
          <w:szCs w:val="28"/>
          <w:shd w:val="clear" w:color="auto" w:fill="FFFFFF"/>
        </w:rPr>
        <w:t>s</w:t>
      </w:r>
      <w:r w:rsidRPr="003A7DA4">
        <w:rPr>
          <w:rFonts w:ascii="Times New Roman" w:hAnsi="Times New Roman" w:cs="Times New Roman"/>
          <w:sz w:val="28"/>
          <w:szCs w:val="28"/>
          <w:shd w:val="clear" w:color="auto" w:fill="FFFFFF"/>
        </w:rPr>
        <w:t xml:space="preserve"> que está</w:t>
      </w:r>
      <w:r w:rsidRPr="003A7DA4">
        <w:rPr>
          <w:rFonts w:ascii="Times New Roman" w:hAnsi="Times New Roman" w:cs="Times New Roman"/>
          <w:sz w:val="28"/>
          <w:szCs w:val="28"/>
          <w:shd w:val="clear" w:color="auto" w:fill="FFFFFF"/>
        </w:rPr>
        <w:t>n</w:t>
      </w:r>
      <w:r w:rsidRPr="003A7DA4">
        <w:rPr>
          <w:rFonts w:ascii="Times New Roman" w:hAnsi="Times New Roman" w:cs="Times New Roman"/>
          <w:sz w:val="28"/>
          <w:szCs w:val="28"/>
          <w:shd w:val="clear" w:color="auto" w:fill="FFFFFF"/>
        </w:rPr>
        <w:t xml:space="preserve"> cumpliendo condena. En general, el artículo establece que, en el marco de la asistencia, se permite el traslado </w:t>
      </w:r>
      <w:r w:rsidRPr="003A7DA4">
        <w:rPr>
          <w:rFonts w:ascii="Times New Roman" w:hAnsi="Times New Roman" w:cs="Times New Roman"/>
          <w:sz w:val="28"/>
          <w:szCs w:val="28"/>
          <w:shd w:val="clear" w:color="auto" w:fill="FFFFFF"/>
        </w:rPr>
        <w:t xml:space="preserve">temporal </w:t>
      </w:r>
      <w:r w:rsidRPr="003A7DA4">
        <w:rPr>
          <w:rFonts w:ascii="Times New Roman" w:hAnsi="Times New Roman" w:cs="Times New Roman"/>
          <w:sz w:val="28"/>
          <w:szCs w:val="28"/>
          <w:shd w:val="clear" w:color="auto" w:fill="FFFFFF"/>
        </w:rPr>
        <w:t xml:space="preserve">de una persona para prestar testimonio como testigo o víctima </w:t>
      </w:r>
      <w:r w:rsidRPr="003A7DA4">
        <w:rPr>
          <w:rFonts w:ascii="Times New Roman" w:hAnsi="Times New Roman" w:cs="Times New Roman"/>
          <w:sz w:val="28"/>
          <w:szCs w:val="28"/>
        </w:rPr>
        <w:t>con el consentimiento de la Autoridad Central de la</w:t>
      </w:r>
      <w:r w:rsidRPr="003A7DA4">
        <w:rPr>
          <w:rFonts w:ascii="Times New Roman" w:hAnsi="Times New Roman" w:cs="Times New Roman"/>
          <w:sz w:val="28"/>
          <w:szCs w:val="28"/>
        </w:rPr>
        <w:t xml:space="preserve"> Parte Requerida. </w:t>
      </w:r>
      <w:r w:rsidRPr="003A7DA4">
        <w:rPr>
          <w:rFonts w:ascii="Times New Roman" w:hAnsi="Times New Roman" w:cs="Times New Roman"/>
          <w:sz w:val="28"/>
          <w:szCs w:val="28"/>
        </w:rPr>
        <w:t xml:space="preserve">Aunque este artículo tampoco genera un gasto, pues </w:t>
      </w:r>
      <w:r w:rsidRPr="003A7DA4">
        <w:rPr>
          <w:rFonts w:ascii="Times New Roman" w:hAnsi="Times New Roman" w:cs="Times New Roman"/>
          <w:color w:val="000000" w:themeColor="text1"/>
          <w:sz w:val="28"/>
          <w:szCs w:val="28"/>
          <w:shd w:val="clear" w:color="auto" w:fill="FFFFFF"/>
        </w:rPr>
        <w:t>los costos de dicho traslado los asume la Parte Requirente y dependen de</w:t>
      </w:r>
      <w:r w:rsidRPr="003A7DA4">
        <w:rPr>
          <w:rFonts w:ascii="Times New Roman" w:hAnsi="Times New Roman" w:cs="Times New Roman"/>
          <w:color w:val="000000" w:themeColor="text1"/>
          <w:sz w:val="28"/>
          <w:szCs w:val="28"/>
          <w:shd w:val="clear" w:color="auto" w:fill="FFFFFF"/>
        </w:rPr>
        <w:t>l consentimiento de la Parte Requerida</w:t>
      </w:r>
      <w:r w:rsidRPr="003A7DA4">
        <w:rPr>
          <w:rFonts w:ascii="Times New Roman" w:hAnsi="Times New Roman" w:cs="Times New Roman"/>
          <w:color w:val="000000" w:themeColor="text1"/>
          <w:sz w:val="28"/>
          <w:szCs w:val="28"/>
          <w:shd w:val="clear" w:color="auto" w:fill="FFFFFF"/>
        </w:rPr>
        <w:t>, que puede negar el traslado</w:t>
      </w:r>
      <w:r w:rsidRPr="003A7DA4">
        <w:rPr>
          <w:rFonts w:ascii="Times New Roman" w:hAnsi="Times New Roman" w:cs="Times New Roman"/>
          <w:sz w:val="28"/>
          <w:szCs w:val="28"/>
          <w:shd w:val="clear" w:color="auto" w:fill="FFFFFF"/>
        </w:rPr>
        <w:t xml:space="preserve">, </w:t>
      </w:r>
      <w:r w:rsidRPr="003A7DA4">
        <w:rPr>
          <w:rFonts w:ascii="Times New Roman" w:hAnsi="Times New Roman" w:cs="Times New Roman"/>
          <w:sz w:val="28"/>
          <w:szCs w:val="28"/>
          <w:shd w:val="clear" w:color="auto" w:fill="FFFFFF"/>
        </w:rPr>
        <w:t xml:space="preserve">resulta </w:t>
      </w:r>
      <w:r w:rsidRPr="003A7DA4">
        <w:rPr>
          <w:rFonts w:ascii="Times New Roman" w:hAnsi="Times New Roman" w:cs="Times New Roman"/>
          <w:sz w:val="28"/>
          <w:szCs w:val="28"/>
          <w:shd w:val="clear" w:color="auto" w:fill="FFFFFF"/>
        </w:rPr>
        <w:t xml:space="preserve">importante </w:t>
      </w:r>
      <w:r w:rsidRPr="003A7DA4">
        <w:rPr>
          <w:rFonts w:ascii="Times New Roman" w:hAnsi="Times New Roman" w:cs="Times New Roman"/>
          <w:sz w:val="28"/>
          <w:szCs w:val="28"/>
          <w:shd w:val="clear" w:color="auto" w:fill="FFFFFF"/>
        </w:rPr>
        <w:t>llamar</w:t>
      </w:r>
      <w:r w:rsidRPr="003A7DA4">
        <w:rPr>
          <w:rFonts w:ascii="Times New Roman" w:hAnsi="Times New Roman" w:cs="Times New Roman"/>
          <w:sz w:val="28"/>
          <w:szCs w:val="28"/>
          <w:shd w:val="clear" w:color="auto" w:fill="FFFFFF"/>
        </w:rPr>
        <w:t xml:space="preserve"> la atención respecto del uso de esta facultad </w:t>
      </w:r>
      <w:r w:rsidRPr="003A7DA4">
        <w:rPr>
          <w:rFonts w:ascii="Times New Roman" w:hAnsi="Times New Roman" w:cs="Times New Roman"/>
          <w:sz w:val="28"/>
          <w:szCs w:val="28"/>
          <w:shd w:val="clear" w:color="auto" w:fill="FFFFFF"/>
        </w:rPr>
        <w:t xml:space="preserve">por parte de Colombia </w:t>
      </w:r>
      <w:r w:rsidRPr="003A7DA4">
        <w:rPr>
          <w:rFonts w:ascii="Times New Roman" w:hAnsi="Times New Roman" w:cs="Times New Roman"/>
          <w:sz w:val="28"/>
          <w:szCs w:val="28"/>
          <w:shd w:val="clear" w:color="auto" w:fill="FFFFFF"/>
        </w:rPr>
        <w:t>y su impacto en los gastos que ya genera el sistema carcelario en nuestro contexto, afectado por un estado de cosas inconstitucionales no superado</w:t>
      </w:r>
      <w:r w:rsidRPr="003A7DA4">
        <w:rPr>
          <w:rFonts w:ascii="Times New Roman" w:hAnsi="Times New Roman" w:cs="Times New Roman"/>
          <w:sz w:val="28"/>
          <w:szCs w:val="28"/>
          <w:lang w:val="es-MX"/>
        </w:rPr>
        <w:t xml:space="preserve"> </w:t>
      </w:r>
      <w:r w:rsidRPr="003A7DA4">
        <w:rPr>
          <w:rFonts w:ascii="Times New Roman" w:hAnsi="Times New Roman" w:cs="Times New Roman"/>
          <w:sz w:val="28"/>
          <w:szCs w:val="28"/>
          <w:lang w:val="es-MX"/>
        </w:rPr>
        <w:t xml:space="preserve">y </w:t>
      </w:r>
      <w:r w:rsidRPr="003A7DA4">
        <w:rPr>
          <w:rFonts w:ascii="Times New Roman" w:hAnsi="Times New Roman" w:cs="Times New Roman"/>
          <w:sz w:val="28"/>
          <w:szCs w:val="28"/>
          <w:lang w:val="es-MX"/>
        </w:rPr>
        <w:t>declarado por primera vez en 1998,</w:t>
      </w:r>
      <w:r w:rsidRPr="003A7DA4">
        <w:rPr>
          <w:rStyle w:val="Refdenotaalpie"/>
          <w:rFonts w:ascii="Times New Roman" w:eastAsiaTheme="majorEastAsia" w:hAnsi="Times New Roman" w:cs="Times New Roman"/>
          <w:sz w:val="28"/>
          <w:szCs w:val="28"/>
          <w:lang w:val="es-MX"/>
        </w:rPr>
        <w:footnoteReference w:id="113"/>
      </w:r>
      <w:r w:rsidRPr="003A7DA4">
        <w:rPr>
          <w:rFonts w:ascii="Times New Roman" w:hAnsi="Times New Roman" w:cs="Times New Roman"/>
          <w:sz w:val="28"/>
          <w:szCs w:val="28"/>
          <w:lang w:val="es-MX"/>
        </w:rPr>
        <w:t xml:space="preserve"> nu</w:t>
      </w:r>
      <w:r w:rsidRPr="003A7DA4">
        <w:rPr>
          <w:rFonts w:ascii="Times New Roman" w:hAnsi="Times New Roman" w:cs="Times New Roman"/>
          <w:sz w:val="28"/>
          <w:szCs w:val="28"/>
          <w:lang w:val="es-MX"/>
        </w:rPr>
        <w:t>evamente en el año 2013,</w:t>
      </w:r>
      <w:r w:rsidRPr="003A7DA4">
        <w:rPr>
          <w:rStyle w:val="Refdenotaalpie"/>
          <w:rFonts w:ascii="Times New Roman" w:eastAsiaTheme="majorEastAsia" w:hAnsi="Times New Roman" w:cs="Times New Roman"/>
          <w:sz w:val="28"/>
          <w:szCs w:val="28"/>
          <w:lang w:val="es-MX"/>
        </w:rPr>
        <w:footnoteReference w:id="114"/>
      </w:r>
      <w:r w:rsidRPr="003A7DA4">
        <w:rPr>
          <w:rFonts w:ascii="Times New Roman" w:hAnsi="Times New Roman" w:cs="Times New Roman"/>
          <w:sz w:val="28"/>
          <w:szCs w:val="28"/>
          <w:lang w:val="es-MX"/>
        </w:rPr>
        <w:t xml:space="preserve"> reiterado en 2015</w:t>
      </w:r>
      <w:r w:rsidRPr="003A7DA4">
        <w:rPr>
          <w:rStyle w:val="Refdenotaalpie"/>
          <w:rFonts w:ascii="Times New Roman" w:eastAsiaTheme="majorEastAsia" w:hAnsi="Times New Roman" w:cs="Times New Roman"/>
          <w:sz w:val="28"/>
          <w:szCs w:val="28"/>
          <w:lang w:val="es-MX"/>
        </w:rPr>
        <w:footnoteReference w:id="115"/>
      </w:r>
      <w:r w:rsidRPr="003A7DA4">
        <w:rPr>
          <w:rFonts w:ascii="Times New Roman" w:hAnsi="Times New Roman" w:cs="Times New Roman"/>
          <w:sz w:val="28"/>
          <w:szCs w:val="28"/>
          <w:lang w:val="es-MX"/>
        </w:rPr>
        <w:t xml:space="preserve"> e incluso, ampliado en el año 2022</w:t>
      </w:r>
      <w:r w:rsidRPr="003A7DA4">
        <w:rPr>
          <w:rStyle w:val="Refdenotaalpie"/>
          <w:rFonts w:ascii="Times New Roman" w:eastAsiaTheme="majorEastAsia" w:hAnsi="Times New Roman" w:cs="Times New Roman"/>
          <w:sz w:val="28"/>
          <w:szCs w:val="28"/>
          <w:lang w:val="es-MX"/>
        </w:rPr>
        <w:footnoteReference w:id="116"/>
      </w:r>
      <w:r w:rsidRPr="003A7DA4">
        <w:rPr>
          <w:rFonts w:ascii="Times New Roman" w:hAnsi="Times New Roman" w:cs="Times New Roman"/>
          <w:sz w:val="28"/>
          <w:szCs w:val="28"/>
          <w:shd w:val="clear" w:color="auto" w:fill="FFFFFF"/>
        </w:rPr>
        <w:t>.</w:t>
      </w:r>
      <w:r w:rsidRPr="003A7DA4">
        <w:rPr>
          <w:rFonts w:ascii="Times New Roman" w:hAnsi="Times New Roman" w:cs="Times New Roman"/>
          <w:sz w:val="28"/>
          <w:szCs w:val="28"/>
          <w:shd w:val="clear" w:color="auto" w:fill="FFFFFF"/>
        </w:rPr>
        <w:t xml:space="preserve"> </w:t>
      </w:r>
    </w:p>
    <w:p w:rsidR="007047D0" w:rsidRPr="003A7DA4" w:rsidRDefault="003A7DA4" w:rsidP="004B477E">
      <w:pPr>
        <w:ind w:left="720"/>
        <w:rPr>
          <w:rFonts w:ascii="Times New Roman" w:hAnsi="Times New Roman" w:cs="Times New Roman"/>
          <w:sz w:val="28"/>
          <w:shd w:val="clear" w:color="auto" w:fill="FFFFFF"/>
        </w:rPr>
      </w:pPr>
    </w:p>
    <w:p w:rsidR="007047D0" w:rsidRPr="003A7DA4" w:rsidRDefault="003A7DA4" w:rsidP="00650300">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rPr>
        <w:t>E</w:t>
      </w:r>
      <w:r w:rsidRPr="003A7DA4">
        <w:rPr>
          <w:rFonts w:ascii="Times New Roman" w:hAnsi="Times New Roman" w:cs="Times New Roman"/>
          <w:color w:val="000000" w:themeColor="text1"/>
          <w:sz w:val="28"/>
          <w:szCs w:val="28"/>
          <w:shd w:val="clear" w:color="auto" w:fill="FFFFFF"/>
        </w:rPr>
        <w:t>l Estado debe garantizar los mínimos constitucionalmente asegurables a toda la población privada de la libertad</w:t>
      </w:r>
      <w:r w:rsidRPr="003A7DA4">
        <w:rPr>
          <w:rFonts w:ascii="Times New Roman" w:hAnsi="Times New Roman" w:cs="Times New Roman"/>
          <w:color w:val="000000" w:themeColor="text1"/>
          <w:sz w:val="28"/>
          <w:szCs w:val="28"/>
          <w:shd w:val="clear" w:color="auto" w:fill="FFFFFF"/>
        </w:rPr>
        <w:t xml:space="preserve">, en caso de que se trate del traslado de una persona privada de la libertad, cuya duración pude superar incluso los noventa días, </w:t>
      </w:r>
      <w:r w:rsidRPr="003A7DA4">
        <w:rPr>
          <w:rFonts w:ascii="Times New Roman" w:hAnsi="Times New Roman" w:cs="Times New Roman"/>
          <w:color w:val="000000" w:themeColor="text1"/>
          <w:sz w:val="28"/>
          <w:szCs w:val="28"/>
          <w:shd w:val="clear" w:color="auto" w:fill="FFFFFF"/>
        </w:rPr>
        <w:t>de acuerdo con el mismo artículo 16 del Tratado</w:t>
      </w:r>
      <w:r w:rsidRPr="003A7DA4">
        <w:rPr>
          <w:rFonts w:ascii="Times New Roman" w:hAnsi="Times New Roman" w:cs="Times New Roman"/>
          <w:color w:val="000000" w:themeColor="text1"/>
          <w:sz w:val="28"/>
          <w:szCs w:val="28"/>
          <w:shd w:val="clear" w:color="auto" w:fill="FFFFFF"/>
        </w:rPr>
        <w:t xml:space="preserve"> en revisión</w:t>
      </w:r>
      <w:r w:rsidRPr="003A7DA4">
        <w:rPr>
          <w:rFonts w:ascii="Times New Roman" w:hAnsi="Times New Roman" w:cs="Times New Roman"/>
          <w:color w:val="000000" w:themeColor="text1"/>
          <w:sz w:val="28"/>
          <w:szCs w:val="28"/>
          <w:shd w:val="clear" w:color="auto" w:fill="FFFFFF"/>
        </w:rPr>
        <w:t xml:space="preserve">. De ahí la necesidad de resaltar el impacto que pueda tener esta </w:t>
      </w:r>
      <w:r w:rsidRPr="003A7DA4">
        <w:rPr>
          <w:rFonts w:ascii="Times New Roman" w:hAnsi="Times New Roman" w:cs="Times New Roman"/>
          <w:color w:val="000000" w:themeColor="text1"/>
          <w:sz w:val="28"/>
          <w:szCs w:val="28"/>
          <w:shd w:val="clear" w:color="auto" w:fill="FFFFFF"/>
        </w:rPr>
        <w:t xml:space="preserve">solicitud en el contexto colombiano y la necesidad de </w:t>
      </w:r>
      <w:r w:rsidRPr="003A7DA4">
        <w:rPr>
          <w:rFonts w:ascii="Times New Roman" w:hAnsi="Times New Roman" w:cs="Times New Roman"/>
          <w:color w:val="000000" w:themeColor="text1"/>
          <w:sz w:val="28"/>
          <w:szCs w:val="28"/>
          <w:shd w:val="clear" w:color="auto" w:fill="FFFFFF"/>
        </w:rPr>
        <w:t>garantiza</w:t>
      </w:r>
      <w:r w:rsidRPr="003A7DA4">
        <w:rPr>
          <w:rFonts w:ascii="Times New Roman" w:hAnsi="Times New Roman" w:cs="Times New Roman"/>
          <w:color w:val="000000" w:themeColor="text1"/>
          <w:sz w:val="28"/>
          <w:szCs w:val="28"/>
          <w:shd w:val="clear" w:color="auto" w:fill="FFFFFF"/>
        </w:rPr>
        <w:t>r</w:t>
      </w:r>
      <w:r w:rsidRPr="003A7DA4">
        <w:rPr>
          <w:rFonts w:ascii="Times New Roman" w:hAnsi="Times New Roman" w:cs="Times New Roman"/>
          <w:color w:val="000000" w:themeColor="text1"/>
          <w:sz w:val="28"/>
          <w:szCs w:val="28"/>
          <w:shd w:val="clear" w:color="auto" w:fill="FFFFFF"/>
        </w:rPr>
        <w:t xml:space="preserve"> las condiciones </w:t>
      </w:r>
      <w:r w:rsidRPr="003A7DA4">
        <w:rPr>
          <w:rFonts w:ascii="Times New Roman" w:hAnsi="Times New Roman" w:cs="Times New Roman"/>
          <w:color w:val="000000" w:themeColor="text1"/>
          <w:sz w:val="28"/>
          <w:szCs w:val="28"/>
          <w:shd w:val="clear" w:color="auto" w:fill="FFFFFF"/>
        </w:rPr>
        <w:t>de</w:t>
      </w:r>
      <w:r w:rsidRPr="003A7DA4">
        <w:rPr>
          <w:rFonts w:ascii="Times New Roman" w:hAnsi="Times New Roman" w:cs="Times New Roman"/>
          <w:color w:val="000000" w:themeColor="text1"/>
          <w:sz w:val="28"/>
          <w:szCs w:val="28"/>
          <w:shd w:val="clear" w:color="auto" w:fill="FFFFFF"/>
        </w:rPr>
        <w:t xml:space="preserve"> reclusión digna. </w:t>
      </w:r>
      <w:r w:rsidRPr="003A7DA4">
        <w:rPr>
          <w:rFonts w:ascii="Times New Roman" w:hAnsi="Times New Roman" w:cs="Times New Roman"/>
          <w:color w:val="000000" w:themeColor="text1"/>
          <w:sz w:val="28"/>
          <w:szCs w:val="28"/>
          <w:shd w:val="clear" w:color="auto" w:fill="FFFFFF"/>
        </w:rPr>
        <w:t>Así</w:t>
      </w:r>
      <w:r w:rsidRPr="003A7DA4">
        <w:rPr>
          <w:rFonts w:ascii="Times New Roman" w:hAnsi="Times New Roman" w:cs="Times New Roman"/>
          <w:color w:val="000000" w:themeColor="text1"/>
          <w:sz w:val="28"/>
          <w:szCs w:val="28"/>
          <w:shd w:val="clear" w:color="auto" w:fill="FFFFFF"/>
        </w:rPr>
        <w:t xml:space="preserve">, el Gobierno </w:t>
      </w:r>
      <w:r w:rsidRPr="003A7DA4">
        <w:rPr>
          <w:rFonts w:ascii="Times New Roman" w:hAnsi="Times New Roman" w:cs="Times New Roman"/>
          <w:color w:val="000000" w:themeColor="text1"/>
          <w:sz w:val="28"/>
          <w:szCs w:val="28"/>
          <w:shd w:val="clear" w:color="auto" w:fill="FFFFFF"/>
        </w:rPr>
        <w:t xml:space="preserve">nacional </w:t>
      </w:r>
      <w:r w:rsidRPr="003A7DA4">
        <w:rPr>
          <w:rFonts w:ascii="Times New Roman" w:hAnsi="Times New Roman" w:cs="Times New Roman"/>
          <w:color w:val="000000" w:themeColor="text1"/>
          <w:sz w:val="28"/>
          <w:szCs w:val="28"/>
          <w:shd w:val="clear" w:color="auto" w:fill="FFFFFF"/>
        </w:rPr>
        <w:t xml:space="preserve">debe </w:t>
      </w:r>
      <w:r w:rsidRPr="003A7DA4">
        <w:rPr>
          <w:rFonts w:ascii="Times New Roman" w:hAnsi="Times New Roman" w:cs="Times New Roman"/>
          <w:sz w:val="28"/>
          <w:szCs w:val="28"/>
          <w:lang w:eastAsia="en-US"/>
        </w:rPr>
        <w:t xml:space="preserve">consultar la realidad del </w:t>
      </w:r>
      <w:r w:rsidRPr="003A7DA4">
        <w:rPr>
          <w:rFonts w:ascii="Times New Roman" w:hAnsi="Times New Roman" w:cs="Times New Roman"/>
          <w:sz w:val="28"/>
          <w:szCs w:val="28"/>
          <w:lang w:eastAsia="en-US"/>
        </w:rPr>
        <w:t xml:space="preserve">sistema penitenciario </w:t>
      </w:r>
      <w:r w:rsidRPr="003A7DA4">
        <w:rPr>
          <w:rFonts w:ascii="Times New Roman" w:hAnsi="Times New Roman" w:cs="Times New Roman"/>
          <w:sz w:val="28"/>
          <w:szCs w:val="28"/>
          <w:lang w:eastAsia="en-US"/>
        </w:rPr>
        <w:t xml:space="preserve">y </w:t>
      </w:r>
      <w:r w:rsidRPr="003A7DA4">
        <w:rPr>
          <w:rFonts w:ascii="Times New Roman" w:hAnsi="Times New Roman" w:cs="Times New Roman"/>
          <w:sz w:val="28"/>
          <w:szCs w:val="28"/>
          <w:lang w:eastAsia="en-US"/>
        </w:rPr>
        <w:t xml:space="preserve">carcelario </w:t>
      </w:r>
      <w:r w:rsidRPr="003A7DA4">
        <w:rPr>
          <w:rFonts w:ascii="Times New Roman" w:hAnsi="Times New Roman" w:cs="Times New Roman"/>
          <w:sz w:val="28"/>
          <w:szCs w:val="28"/>
          <w:lang w:eastAsia="en-US"/>
        </w:rPr>
        <w:t>en Colombia, pues en últimas, en él recae el impacto de tales d</w:t>
      </w:r>
      <w:r w:rsidRPr="003A7DA4">
        <w:rPr>
          <w:rFonts w:ascii="Times New Roman" w:hAnsi="Times New Roman" w:cs="Times New Roman"/>
          <w:sz w:val="28"/>
          <w:szCs w:val="28"/>
          <w:lang w:eastAsia="en-US"/>
        </w:rPr>
        <w:t>eterminaciones</w:t>
      </w:r>
      <w:r w:rsidRPr="003A7DA4">
        <w:rPr>
          <w:rFonts w:ascii="Times New Roman" w:hAnsi="Times New Roman" w:cs="Times New Roman"/>
          <w:sz w:val="28"/>
          <w:szCs w:val="28"/>
          <w:lang w:val="es-MX"/>
        </w:rPr>
        <w:t>.</w:t>
      </w:r>
    </w:p>
    <w:p w:rsidR="007047D0" w:rsidRPr="003A7DA4" w:rsidRDefault="003A7DA4" w:rsidP="004B477E">
      <w:pPr>
        <w:ind w:left="720"/>
        <w:rPr>
          <w:rFonts w:ascii="Times New Roman" w:hAnsi="Times New Roman" w:cs="Times New Roman"/>
          <w:sz w:val="28"/>
        </w:rPr>
      </w:pPr>
    </w:p>
    <w:p w:rsidR="006B7935"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sz w:val="28"/>
          <w:szCs w:val="28"/>
          <w:lang w:val="es-MX"/>
        </w:rPr>
        <w:t xml:space="preserve">En ese sentido, </w:t>
      </w:r>
      <w:r w:rsidRPr="003A7DA4">
        <w:rPr>
          <w:rFonts w:ascii="Times New Roman" w:hAnsi="Times New Roman" w:cs="Times New Roman"/>
          <w:sz w:val="28"/>
          <w:szCs w:val="28"/>
          <w:lang w:val="es-MX"/>
        </w:rPr>
        <w:t xml:space="preserve">el uso de los traslados tiene que tener en cuenta </w:t>
      </w:r>
      <w:r w:rsidRPr="003A7DA4">
        <w:rPr>
          <w:rFonts w:ascii="Times New Roman" w:hAnsi="Times New Roman" w:cs="Times New Roman"/>
          <w:sz w:val="28"/>
          <w:szCs w:val="28"/>
          <w:lang w:val="es-MX"/>
        </w:rPr>
        <w:t>las garantías constitucionales que surgen de</w:t>
      </w:r>
      <w:r w:rsidRPr="003A7DA4">
        <w:rPr>
          <w:rFonts w:ascii="Times New Roman" w:hAnsi="Times New Roman" w:cs="Times New Roman"/>
          <w:sz w:val="28"/>
          <w:szCs w:val="28"/>
          <w:lang w:val="es-MX"/>
        </w:rPr>
        <w:t xml:space="preserve"> </w:t>
      </w:r>
      <w:r w:rsidRPr="003A7DA4">
        <w:rPr>
          <w:rFonts w:ascii="Times New Roman" w:hAnsi="Times New Roman" w:cs="Times New Roman"/>
          <w:sz w:val="28"/>
          <w:szCs w:val="28"/>
          <w:lang w:val="es-MX"/>
        </w:rPr>
        <w:t xml:space="preserve">los derechos fundamentales como la dignidad humana, </w:t>
      </w:r>
      <w:r w:rsidRPr="003A7DA4">
        <w:rPr>
          <w:rFonts w:ascii="Times New Roman" w:hAnsi="Times New Roman" w:cs="Times New Roman"/>
          <w:sz w:val="28"/>
          <w:szCs w:val="28"/>
          <w:lang w:val="es-MX"/>
        </w:rPr>
        <w:t xml:space="preserve">la </w:t>
      </w:r>
      <w:r w:rsidRPr="003A7DA4">
        <w:rPr>
          <w:rFonts w:ascii="Times New Roman" w:hAnsi="Times New Roman" w:cs="Times New Roman"/>
          <w:sz w:val="28"/>
          <w:szCs w:val="28"/>
          <w:lang w:val="es-MX"/>
        </w:rPr>
        <w:t xml:space="preserve">salud, </w:t>
      </w:r>
      <w:r w:rsidRPr="003A7DA4">
        <w:rPr>
          <w:rFonts w:ascii="Times New Roman" w:hAnsi="Times New Roman" w:cs="Times New Roman"/>
          <w:sz w:val="28"/>
          <w:szCs w:val="28"/>
          <w:lang w:val="es-MX"/>
        </w:rPr>
        <w:t xml:space="preserve">la </w:t>
      </w:r>
      <w:r w:rsidRPr="003A7DA4">
        <w:rPr>
          <w:rFonts w:ascii="Times New Roman" w:hAnsi="Times New Roman" w:cs="Times New Roman"/>
          <w:sz w:val="28"/>
          <w:szCs w:val="28"/>
          <w:lang w:val="es-MX"/>
        </w:rPr>
        <w:t xml:space="preserve">alimentación y otros, que comprenden los ejes temáticos que la </w:t>
      </w:r>
      <w:r w:rsidRPr="003A7DA4">
        <w:rPr>
          <w:rFonts w:ascii="Times New Roman" w:hAnsi="Times New Roman" w:cs="Times New Roman"/>
          <w:sz w:val="28"/>
          <w:szCs w:val="28"/>
          <w:lang w:val="es-MX"/>
        </w:rPr>
        <w:t>Corte ha podido constatar</w:t>
      </w:r>
      <w:r w:rsidRPr="003A7DA4">
        <w:rPr>
          <w:rFonts w:ascii="Times New Roman" w:hAnsi="Times New Roman" w:cs="Times New Roman"/>
          <w:sz w:val="28"/>
          <w:szCs w:val="28"/>
          <w:lang w:val="es-MX"/>
        </w:rPr>
        <w:t>, son</w:t>
      </w:r>
      <w:r w:rsidRPr="003A7DA4">
        <w:rPr>
          <w:rFonts w:ascii="Times New Roman" w:hAnsi="Times New Roman" w:cs="Times New Roman"/>
          <w:sz w:val="28"/>
          <w:szCs w:val="28"/>
          <w:lang w:val="es-MX"/>
        </w:rPr>
        <w:t xml:space="preserve"> vulnerados de manera sistemática </w:t>
      </w:r>
      <w:r w:rsidRPr="003A7DA4">
        <w:rPr>
          <w:rFonts w:ascii="Times New Roman" w:hAnsi="Times New Roman" w:cs="Times New Roman"/>
          <w:sz w:val="28"/>
          <w:szCs w:val="28"/>
          <w:lang w:val="es-MX"/>
        </w:rPr>
        <w:t xml:space="preserve">respecto de </w:t>
      </w:r>
      <w:r w:rsidRPr="003A7DA4">
        <w:rPr>
          <w:rFonts w:ascii="Times New Roman" w:hAnsi="Times New Roman" w:cs="Times New Roman"/>
          <w:sz w:val="28"/>
          <w:szCs w:val="28"/>
          <w:lang w:val="es-MX"/>
        </w:rPr>
        <w:t>la población carcelaria</w:t>
      </w:r>
      <w:r w:rsidRPr="003A7DA4">
        <w:rPr>
          <w:rStyle w:val="Refdenotaalpie"/>
          <w:rFonts w:ascii="Times New Roman" w:eastAsiaTheme="majorEastAsia" w:hAnsi="Times New Roman" w:cs="Times New Roman"/>
          <w:sz w:val="28"/>
          <w:szCs w:val="28"/>
          <w:lang w:val="es-MX"/>
        </w:rPr>
        <w:footnoteReference w:id="117"/>
      </w:r>
      <w:r w:rsidRPr="003A7DA4">
        <w:rPr>
          <w:rFonts w:ascii="Times New Roman" w:hAnsi="Times New Roman" w:cs="Times New Roman"/>
          <w:sz w:val="28"/>
          <w:szCs w:val="28"/>
          <w:lang w:val="es-MX"/>
        </w:rPr>
        <w:t>.</w:t>
      </w:r>
      <w:r w:rsidRPr="003A7DA4">
        <w:rPr>
          <w:rFonts w:ascii="Times New Roman" w:hAnsi="Times New Roman" w:cs="Times New Roman"/>
          <w:sz w:val="28"/>
          <w:szCs w:val="28"/>
          <w:lang w:val="es-MX"/>
        </w:rPr>
        <w:t xml:space="preserve"> </w:t>
      </w:r>
      <w:r w:rsidRPr="003A7DA4">
        <w:rPr>
          <w:rFonts w:ascii="Times New Roman" w:hAnsi="Times New Roman" w:cs="Times New Roman"/>
          <w:color w:val="000000" w:themeColor="text1"/>
          <w:sz w:val="28"/>
          <w:szCs w:val="28"/>
          <w:shd w:val="clear" w:color="auto" w:fill="FFFFFF"/>
          <w:lang w:val="es-MX"/>
        </w:rPr>
        <w:t xml:space="preserve"> </w:t>
      </w:r>
    </w:p>
    <w:p w:rsidR="006B7935" w:rsidRPr="003A7DA4" w:rsidRDefault="003A7DA4" w:rsidP="004B477E">
      <w:pPr>
        <w:ind w:left="720"/>
        <w:rPr>
          <w:rFonts w:ascii="Times New Roman" w:hAnsi="Times New Roman" w:cs="Times New Roman"/>
          <w:sz w:val="28"/>
        </w:rPr>
      </w:pPr>
    </w:p>
    <w:p w:rsidR="006B7935"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sz w:val="28"/>
          <w:szCs w:val="28"/>
          <w:lang w:val="es-MX"/>
        </w:rPr>
        <w:t xml:space="preserve">Tal situación y realidad </w:t>
      </w:r>
      <w:r w:rsidRPr="003A7DA4">
        <w:rPr>
          <w:rFonts w:ascii="Times New Roman" w:hAnsi="Times New Roman" w:cs="Times New Roman"/>
          <w:sz w:val="28"/>
          <w:szCs w:val="28"/>
          <w:lang w:val="es-MX"/>
        </w:rPr>
        <w:t xml:space="preserve">por la </w:t>
      </w:r>
      <w:r w:rsidRPr="003A7DA4">
        <w:rPr>
          <w:rFonts w:ascii="Times New Roman" w:hAnsi="Times New Roman" w:cs="Times New Roman"/>
          <w:sz w:val="28"/>
          <w:szCs w:val="28"/>
          <w:lang w:val="es-MX"/>
        </w:rPr>
        <w:t xml:space="preserve">que atraviesa el </w:t>
      </w:r>
      <w:r w:rsidRPr="003A7DA4">
        <w:rPr>
          <w:rFonts w:ascii="Times New Roman" w:hAnsi="Times New Roman" w:cs="Times New Roman"/>
          <w:sz w:val="28"/>
          <w:szCs w:val="28"/>
          <w:lang w:val="es-MX"/>
        </w:rPr>
        <w:t xml:space="preserve">sistema penitenciario </w:t>
      </w:r>
      <w:r w:rsidRPr="003A7DA4">
        <w:rPr>
          <w:rFonts w:ascii="Times New Roman" w:hAnsi="Times New Roman" w:cs="Times New Roman"/>
          <w:sz w:val="28"/>
          <w:szCs w:val="28"/>
          <w:lang w:val="es-MX"/>
        </w:rPr>
        <w:t xml:space="preserve">y </w:t>
      </w:r>
      <w:r w:rsidRPr="003A7DA4">
        <w:rPr>
          <w:rFonts w:ascii="Times New Roman" w:hAnsi="Times New Roman" w:cs="Times New Roman"/>
          <w:sz w:val="28"/>
          <w:szCs w:val="28"/>
          <w:lang w:val="es-MX"/>
        </w:rPr>
        <w:t>carcelario en el país</w:t>
      </w:r>
      <w:r w:rsidRPr="003A7DA4">
        <w:rPr>
          <w:rFonts w:ascii="Times New Roman" w:hAnsi="Times New Roman" w:cs="Times New Roman"/>
          <w:sz w:val="28"/>
          <w:szCs w:val="28"/>
          <w:lang w:val="es-MX"/>
        </w:rPr>
        <w:t>,</w:t>
      </w:r>
      <w:r w:rsidRPr="003A7DA4">
        <w:rPr>
          <w:rFonts w:ascii="Times New Roman" w:hAnsi="Times New Roman" w:cs="Times New Roman"/>
          <w:sz w:val="28"/>
          <w:szCs w:val="28"/>
          <w:lang w:val="es-MX"/>
        </w:rPr>
        <w:t xml:space="preserve"> no puede ser desconocida por el Gobierno </w:t>
      </w:r>
      <w:r w:rsidRPr="003A7DA4">
        <w:rPr>
          <w:rFonts w:ascii="Times New Roman" w:hAnsi="Times New Roman" w:cs="Times New Roman"/>
          <w:sz w:val="28"/>
          <w:szCs w:val="28"/>
          <w:lang w:val="es-MX"/>
        </w:rPr>
        <w:t>nacional frent</w:t>
      </w:r>
      <w:r w:rsidRPr="003A7DA4">
        <w:rPr>
          <w:rFonts w:ascii="Times New Roman" w:hAnsi="Times New Roman" w:cs="Times New Roman"/>
          <w:sz w:val="28"/>
          <w:szCs w:val="28"/>
          <w:lang w:val="es-MX"/>
        </w:rPr>
        <w:t xml:space="preserve">e a </w:t>
      </w:r>
      <w:r w:rsidRPr="003A7DA4">
        <w:rPr>
          <w:rFonts w:ascii="Times New Roman" w:hAnsi="Times New Roman" w:cs="Times New Roman"/>
          <w:sz w:val="28"/>
          <w:szCs w:val="28"/>
          <w:lang w:val="es-MX"/>
        </w:rPr>
        <w:t xml:space="preserve">iniciativas que si bien, superan el analisis </w:t>
      </w:r>
      <w:r w:rsidRPr="003A7DA4">
        <w:rPr>
          <w:rFonts w:ascii="Times New Roman" w:hAnsi="Times New Roman" w:cs="Times New Roman"/>
          <w:sz w:val="28"/>
          <w:szCs w:val="28"/>
          <w:lang w:val="es-MX"/>
        </w:rPr>
        <w:t>de impacto fiscal para</w:t>
      </w:r>
      <w:r w:rsidRPr="003A7DA4">
        <w:rPr>
          <w:rFonts w:ascii="Times New Roman" w:hAnsi="Times New Roman" w:cs="Times New Roman"/>
          <w:sz w:val="28"/>
          <w:szCs w:val="28"/>
          <w:lang w:val="es-MX"/>
        </w:rPr>
        <w:t xml:space="preserve"> su aprobación, generan un efecto negativo en otros ámbitos de protección de derechos fundamentales. Por lo que se hace necesario</w:t>
      </w:r>
      <w:r w:rsidRPr="003A7DA4">
        <w:rPr>
          <w:rFonts w:ascii="Times New Roman" w:hAnsi="Times New Roman" w:cs="Times New Roman"/>
          <w:sz w:val="28"/>
          <w:szCs w:val="28"/>
          <w:lang w:val="es-MX"/>
        </w:rPr>
        <w:t xml:space="preserve"> llamar la atención y requerir de manera vehemente </w:t>
      </w:r>
      <w:r w:rsidRPr="003A7DA4">
        <w:rPr>
          <w:rFonts w:ascii="Times New Roman" w:hAnsi="Times New Roman" w:cs="Times New Roman"/>
          <w:sz w:val="28"/>
          <w:szCs w:val="28"/>
          <w:lang w:val="es-MX"/>
        </w:rPr>
        <w:t>sobre</w:t>
      </w:r>
      <w:r w:rsidRPr="003A7DA4">
        <w:rPr>
          <w:rFonts w:ascii="Times New Roman" w:hAnsi="Times New Roman" w:cs="Times New Roman"/>
          <w:sz w:val="28"/>
          <w:szCs w:val="28"/>
          <w:lang w:val="es-MX"/>
        </w:rPr>
        <w:t xml:space="preserve"> este particular </w:t>
      </w:r>
      <w:r w:rsidRPr="003A7DA4">
        <w:rPr>
          <w:rFonts w:ascii="Times New Roman" w:hAnsi="Times New Roman" w:cs="Times New Roman"/>
          <w:sz w:val="28"/>
          <w:szCs w:val="28"/>
          <w:lang w:val="es-MX"/>
        </w:rPr>
        <w:t xml:space="preserve">a todas las instituciones comprometidas en la política criminal </w:t>
      </w:r>
      <w:r w:rsidRPr="003A7DA4">
        <w:rPr>
          <w:rFonts w:ascii="Times New Roman" w:hAnsi="Times New Roman" w:cs="Times New Roman"/>
          <w:sz w:val="28"/>
          <w:szCs w:val="28"/>
          <w:lang w:val="es-MX"/>
        </w:rPr>
        <w:t xml:space="preserve">y penitenciaria </w:t>
      </w:r>
      <w:r w:rsidRPr="003A7DA4">
        <w:rPr>
          <w:rFonts w:ascii="Times New Roman" w:hAnsi="Times New Roman" w:cs="Times New Roman"/>
          <w:sz w:val="28"/>
          <w:szCs w:val="28"/>
          <w:lang w:val="es-MX"/>
        </w:rPr>
        <w:t>del Estado y, sobre todo, a quienes definen las condiciones de reclusión</w:t>
      </w:r>
      <w:r w:rsidRPr="003A7DA4">
        <w:rPr>
          <w:rFonts w:ascii="Times New Roman" w:hAnsi="Times New Roman" w:cs="Times New Roman"/>
          <w:sz w:val="28"/>
          <w:szCs w:val="28"/>
          <w:lang w:val="es-MX"/>
        </w:rPr>
        <w:t xml:space="preserve">. </w:t>
      </w:r>
      <w:r w:rsidRPr="003A7DA4">
        <w:rPr>
          <w:rFonts w:ascii="Times New Roman" w:hAnsi="Times New Roman" w:cs="Times New Roman"/>
          <w:color w:val="000000" w:themeColor="text1"/>
          <w:sz w:val="28"/>
          <w:szCs w:val="28"/>
          <w:shd w:val="clear" w:color="auto" w:fill="FFFFFF"/>
        </w:rPr>
        <w:t xml:space="preserve"> </w:t>
      </w:r>
    </w:p>
    <w:p w:rsidR="006B7935" w:rsidRPr="003A7DA4" w:rsidRDefault="003A7DA4" w:rsidP="004B477E">
      <w:pPr>
        <w:ind w:left="720"/>
        <w:rPr>
          <w:rFonts w:ascii="Times New Roman" w:hAnsi="Times New Roman" w:cs="Times New Roman"/>
          <w:sz w:val="28"/>
        </w:rPr>
      </w:pPr>
    </w:p>
    <w:p w:rsidR="007047D0"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sz w:val="28"/>
          <w:szCs w:val="28"/>
          <w:lang w:val="es-ES_tradnl"/>
        </w:rPr>
        <w:t xml:space="preserve">Como soporte de lo anterior y a efecto de demostrar la gravedad de la situación por la que atraviesa el </w:t>
      </w:r>
      <w:r w:rsidRPr="003A7DA4">
        <w:rPr>
          <w:rFonts w:ascii="Times New Roman" w:hAnsi="Times New Roman" w:cs="Times New Roman"/>
          <w:sz w:val="28"/>
          <w:szCs w:val="28"/>
          <w:lang w:val="es-ES_tradnl"/>
        </w:rPr>
        <w:t xml:space="preserve">aludido </w:t>
      </w:r>
      <w:r w:rsidRPr="003A7DA4">
        <w:rPr>
          <w:rFonts w:ascii="Times New Roman" w:hAnsi="Times New Roman" w:cs="Times New Roman"/>
          <w:sz w:val="28"/>
          <w:szCs w:val="28"/>
          <w:lang w:val="es-ES_tradnl"/>
        </w:rPr>
        <w:t>sistema</w:t>
      </w:r>
      <w:r w:rsidRPr="003A7DA4">
        <w:rPr>
          <w:rFonts w:ascii="Times New Roman" w:hAnsi="Times New Roman" w:cs="Times New Roman"/>
          <w:sz w:val="28"/>
          <w:szCs w:val="28"/>
          <w:lang w:val="es-ES_tradnl"/>
        </w:rPr>
        <w:t xml:space="preserve">, </w:t>
      </w:r>
      <w:r w:rsidRPr="003A7DA4">
        <w:rPr>
          <w:rFonts w:ascii="Times New Roman" w:hAnsi="Times New Roman" w:cs="Times New Roman"/>
          <w:sz w:val="28"/>
          <w:szCs w:val="28"/>
          <w:lang w:val="es-ES_tradnl"/>
        </w:rPr>
        <w:t>que da cuenta de la imposibilidad de pasar por alto las consideraciones que vienen de exponerse en el estudio de impacto fiscal de la m</w:t>
      </w:r>
      <w:r w:rsidRPr="003A7DA4">
        <w:rPr>
          <w:rFonts w:ascii="Times New Roman" w:hAnsi="Times New Roman" w:cs="Times New Roman"/>
          <w:sz w:val="28"/>
          <w:szCs w:val="28"/>
          <w:lang w:val="es-ES_tradnl"/>
        </w:rPr>
        <w:t>edida, se incluyen datos estadísticos recientes tomados de las gráficas oficiales del Boletín Estadístico a febrero de 2024</w:t>
      </w:r>
      <w:r w:rsidRPr="003A7DA4">
        <w:rPr>
          <w:rStyle w:val="Refdenotaalpie"/>
          <w:rFonts w:ascii="Times New Roman" w:eastAsiaTheme="majorEastAsia" w:hAnsi="Times New Roman" w:cs="Times New Roman"/>
          <w:sz w:val="28"/>
          <w:szCs w:val="28"/>
          <w:lang w:val="es-ES_tradnl"/>
        </w:rPr>
        <w:footnoteReference w:id="118"/>
      </w:r>
      <w:r w:rsidRPr="003A7DA4">
        <w:rPr>
          <w:rFonts w:ascii="Times New Roman" w:hAnsi="Times New Roman" w:cs="Times New Roman"/>
          <w:sz w:val="28"/>
          <w:szCs w:val="28"/>
          <w:lang w:val="es-ES_tradnl"/>
        </w:rPr>
        <w:t xml:space="preserve"> </w:t>
      </w:r>
      <w:r w:rsidRPr="003A7DA4">
        <w:rPr>
          <w:rFonts w:ascii="Times New Roman" w:hAnsi="Times New Roman" w:cs="Times New Roman"/>
          <w:sz w:val="28"/>
          <w:szCs w:val="28"/>
          <w:lang w:val="es-ES_tradnl"/>
        </w:rPr>
        <w:t xml:space="preserve">y que demuestran </w:t>
      </w:r>
      <w:r w:rsidRPr="003A7DA4">
        <w:rPr>
          <w:rFonts w:ascii="Times New Roman" w:hAnsi="Times New Roman" w:cs="Times New Roman"/>
          <w:i/>
          <w:iCs/>
          <w:sz w:val="28"/>
          <w:szCs w:val="28"/>
          <w:lang w:val="es-ES_tradnl"/>
        </w:rPr>
        <w:t xml:space="preserve">(i) </w:t>
      </w:r>
      <w:r w:rsidRPr="003A7DA4">
        <w:rPr>
          <w:rFonts w:ascii="Times New Roman" w:hAnsi="Times New Roman" w:cs="Times New Roman"/>
          <w:sz w:val="28"/>
          <w:szCs w:val="28"/>
          <w:lang w:val="es-ES_tradnl"/>
        </w:rPr>
        <w:t>el número real de población privada de la libertad a cargo del I</w:t>
      </w:r>
      <w:r w:rsidRPr="003A7DA4">
        <w:rPr>
          <w:rFonts w:ascii="Times New Roman" w:hAnsi="Times New Roman" w:cs="Times New Roman"/>
          <w:sz w:val="28"/>
          <w:szCs w:val="28"/>
          <w:lang w:val="es-ES_tradnl"/>
        </w:rPr>
        <w:t>NPEC</w:t>
      </w:r>
      <w:r w:rsidRPr="003A7DA4">
        <w:rPr>
          <w:rFonts w:ascii="Times New Roman" w:hAnsi="Times New Roman" w:cs="Times New Roman"/>
          <w:sz w:val="28"/>
          <w:szCs w:val="28"/>
          <w:lang w:val="es-ES_tradnl"/>
        </w:rPr>
        <w:t>, discriminado por las distintas modalidad</w:t>
      </w:r>
      <w:r w:rsidRPr="003A7DA4">
        <w:rPr>
          <w:rFonts w:ascii="Times New Roman" w:hAnsi="Times New Roman" w:cs="Times New Roman"/>
          <w:sz w:val="28"/>
          <w:szCs w:val="28"/>
          <w:lang w:val="es-ES_tradnl"/>
        </w:rPr>
        <w:t xml:space="preserve">es, la condición o modalidad en la que se esté ejecutando la medida; </w:t>
      </w:r>
      <w:r w:rsidRPr="003A7DA4">
        <w:rPr>
          <w:rFonts w:ascii="Times New Roman" w:hAnsi="Times New Roman" w:cs="Times New Roman"/>
          <w:i/>
          <w:iCs/>
          <w:sz w:val="28"/>
          <w:szCs w:val="28"/>
          <w:lang w:val="es-ES_tradnl"/>
        </w:rPr>
        <w:t>(ii)</w:t>
      </w:r>
      <w:r w:rsidRPr="003A7DA4">
        <w:rPr>
          <w:rFonts w:ascii="Times New Roman" w:hAnsi="Times New Roman" w:cs="Times New Roman"/>
          <w:sz w:val="28"/>
          <w:szCs w:val="28"/>
          <w:lang w:val="es-ES_tradnl"/>
        </w:rPr>
        <w:t xml:space="preserve"> el comportamiento histórico total de la población privada de la libertad, capacidad y hacinamiento (periodo 2013-2024); </w:t>
      </w:r>
      <w:r w:rsidRPr="003A7DA4">
        <w:rPr>
          <w:rFonts w:ascii="Times New Roman" w:hAnsi="Times New Roman" w:cs="Times New Roman"/>
          <w:i/>
          <w:iCs/>
          <w:sz w:val="28"/>
          <w:szCs w:val="28"/>
          <w:lang w:val="es-ES_tradnl"/>
        </w:rPr>
        <w:t xml:space="preserve">(iii) </w:t>
      </w:r>
      <w:r w:rsidRPr="003A7DA4">
        <w:rPr>
          <w:rFonts w:ascii="Times New Roman" w:hAnsi="Times New Roman" w:cs="Times New Roman"/>
          <w:sz w:val="28"/>
          <w:szCs w:val="28"/>
          <w:lang w:val="es-ES_tradnl"/>
        </w:rPr>
        <w:t xml:space="preserve">la población privada de la libertad extranjera según su </w:t>
      </w:r>
      <w:r w:rsidRPr="003A7DA4">
        <w:rPr>
          <w:rFonts w:ascii="Times New Roman" w:hAnsi="Times New Roman" w:cs="Times New Roman"/>
          <w:sz w:val="28"/>
          <w:szCs w:val="28"/>
          <w:lang w:val="es-ES_tradnl"/>
        </w:rPr>
        <w:t>país de origen</w:t>
      </w:r>
      <w:r w:rsidRPr="003A7DA4">
        <w:rPr>
          <w:rStyle w:val="Refdenotaalpie"/>
          <w:rFonts w:ascii="Times New Roman" w:eastAsiaTheme="majorEastAsia" w:hAnsi="Times New Roman" w:cs="Times New Roman"/>
          <w:sz w:val="28"/>
          <w:szCs w:val="28"/>
          <w:lang w:val="es-ES_tradnl"/>
        </w:rPr>
        <w:footnoteReference w:id="119"/>
      </w:r>
      <w:r w:rsidRPr="003A7DA4">
        <w:rPr>
          <w:rFonts w:ascii="Times New Roman" w:hAnsi="Times New Roman" w:cs="Times New Roman"/>
          <w:sz w:val="28"/>
          <w:szCs w:val="28"/>
          <w:lang w:val="es-ES_tradnl"/>
        </w:rPr>
        <w:t>;</w:t>
      </w:r>
      <w:r w:rsidRPr="003A7DA4">
        <w:rPr>
          <w:rFonts w:ascii="Times New Roman" w:hAnsi="Times New Roman" w:cs="Times New Roman"/>
          <w:sz w:val="28"/>
          <w:szCs w:val="28"/>
          <w:lang w:val="es-ES_tradnl"/>
        </w:rPr>
        <w:t xml:space="preserve"> y </w:t>
      </w:r>
      <w:r w:rsidRPr="003A7DA4">
        <w:rPr>
          <w:rFonts w:ascii="Times New Roman" w:hAnsi="Times New Roman" w:cs="Times New Roman"/>
          <w:i/>
          <w:iCs/>
          <w:sz w:val="28"/>
          <w:szCs w:val="28"/>
          <w:lang w:val="es-ES_tradnl"/>
        </w:rPr>
        <w:t>(iv)</w:t>
      </w:r>
      <w:r w:rsidRPr="003A7DA4">
        <w:rPr>
          <w:rFonts w:ascii="Times New Roman" w:hAnsi="Times New Roman" w:cs="Times New Roman"/>
          <w:sz w:val="28"/>
          <w:szCs w:val="28"/>
          <w:lang w:val="es-ES_tradnl"/>
        </w:rPr>
        <w:t xml:space="preserve"> por último, la distribución del presupuesto del INPEC por rubros al mes de febrero de 2024 </w:t>
      </w:r>
      <w:r w:rsidRPr="003A7DA4">
        <w:rPr>
          <w:rFonts w:ascii="Times New Roman" w:hAnsi="Times New Roman" w:cs="Times New Roman"/>
          <w:sz w:val="28"/>
          <w:szCs w:val="28"/>
          <w:lang w:val="es-ES_tradnl"/>
        </w:rPr>
        <w:t xml:space="preserve">en la que </w:t>
      </w:r>
      <w:r w:rsidRPr="003A7DA4">
        <w:rPr>
          <w:rFonts w:ascii="Times New Roman" w:hAnsi="Times New Roman" w:cs="Times New Roman"/>
          <w:sz w:val="28"/>
          <w:szCs w:val="28"/>
          <w:lang w:val="es-ES_tradnl"/>
        </w:rPr>
        <w:t xml:space="preserve">se discrimina el costo promedio diario por persona privada de la libertad ($106.644), mensual ($3’199.327) y anual (38’391.926).  </w:t>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lang w:val="es-ES_tradnl"/>
        </w:rPr>
      </w:pPr>
      <w:r w:rsidRPr="003A7DA4">
        <w:rPr>
          <w:rFonts w:ascii="Times New Roman" w:eastAsia="Aptos" w:hAnsi="Times New Roman" w:cs="Times New Roman"/>
          <w:noProof/>
          <w:kern w:val="2"/>
          <w:sz w:val="28"/>
          <w14:ligatures w14:val="standardContextual"/>
        </w:rPr>
        <w:drawing>
          <wp:inline distT="0" distB="0" distL="0" distR="0" wp14:anchorId="1CA2068D" wp14:editId="0EE21FC6">
            <wp:extent cx="6575083" cy="30003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681444" name=""/>
                    <pic:cNvPicPr/>
                  </pic:nvPicPr>
                  <pic:blipFill>
                    <a:blip r:embed="rId8"/>
                    <a:stretch>
                      <a:fillRect/>
                    </a:stretch>
                  </pic:blipFill>
                  <pic:spPr>
                    <a:xfrm>
                      <a:off x="0" y="0"/>
                      <a:ext cx="6593505" cy="3008781"/>
                    </a:xfrm>
                    <a:prstGeom prst="rect">
                      <a:avLst/>
                    </a:prstGeom>
                  </pic:spPr>
                </pic:pic>
              </a:graphicData>
            </a:graphic>
          </wp:inline>
        </w:drawing>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lang w:val="es-ES_tradnl"/>
        </w:rPr>
      </w:pPr>
      <w:r w:rsidRPr="003A7DA4">
        <w:rPr>
          <w:rFonts w:ascii="Times New Roman" w:eastAsia="Aptos" w:hAnsi="Times New Roman" w:cs="Times New Roman"/>
          <w:noProof/>
          <w:kern w:val="2"/>
          <w:sz w:val="28"/>
          <w14:ligatures w14:val="standardContextual"/>
        </w:rPr>
        <w:drawing>
          <wp:inline distT="0" distB="0" distL="0" distR="0" wp14:anchorId="13E9AC86" wp14:editId="068C4FFF">
            <wp:extent cx="6414557" cy="2488018"/>
            <wp:effectExtent l="0" t="0" r="5715" b="762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17570" name=""/>
                    <pic:cNvPicPr/>
                  </pic:nvPicPr>
                  <pic:blipFill>
                    <a:blip r:embed="rId9"/>
                    <a:stretch>
                      <a:fillRect/>
                    </a:stretch>
                  </pic:blipFill>
                  <pic:spPr>
                    <a:xfrm>
                      <a:off x="0" y="0"/>
                      <a:ext cx="6421987" cy="2490900"/>
                    </a:xfrm>
                    <a:prstGeom prst="rect">
                      <a:avLst/>
                    </a:prstGeom>
                  </pic:spPr>
                </pic:pic>
              </a:graphicData>
            </a:graphic>
          </wp:inline>
        </w:drawing>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lang w:val="es-ES_tradnl"/>
        </w:rPr>
      </w:pPr>
      <w:r w:rsidRPr="003A7DA4">
        <w:rPr>
          <w:rFonts w:ascii="Times New Roman" w:hAnsi="Times New Roman" w:cs="Times New Roman"/>
          <w:noProof/>
          <w:sz w:val="28"/>
        </w:rPr>
        <w:drawing>
          <wp:inline distT="0" distB="0" distL="0" distR="0" wp14:anchorId="4FE5AFC5" wp14:editId="16D13948">
            <wp:extent cx="6479727" cy="2226365"/>
            <wp:effectExtent l="0" t="0" r="0" b="254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34956" name=""/>
                    <pic:cNvPicPr/>
                  </pic:nvPicPr>
                  <pic:blipFill>
                    <a:blip r:embed="rId10"/>
                    <a:stretch>
                      <a:fillRect/>
                    </a:stretch>
                  </pic:blipFill>
                  <pic:spPr>
                    <a:xfrm>
                      <a:off x="0" y="0"/>
                      <a:ext cx="6521816" cy="2240826"/>
                    </a:xfrm>
                    <a:prstGeom prst="rect">
                      <a:avLst/>
                    </a:prstGeom>
                  </pic:spPr>
                </pic:pic>
              </a:graphicData>
            </a:graphic>
          </wp:inline>
        </w:drawing>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lang w:val="es-ES_tradnl"/>
        </w:rPr>
      </w:pPr>
      <w:r w:rsidRPr="003A7DA4">
        <w:rPr>
          <w:rFonts w:ascii="Times New Roman" w:hAnsi="Times New Roman" w:cs="Times New Roman"/>
          <w:noProof/>
          <w:sz w:val="28"/>
        </w:rPr>
        <w:drawing>
          <wp:inline distT="0" distB="0" distL="0" distR="0" wp14:anchorId="223B506C" wp14:editId="07ED8E82">
            <wp:extent cx="6373244" cy="4031312"/>
            <wp:effectExtent l="0" t="0" r="8890" b="762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3773" name=""/>
                    <pic:cNvPicPr/>
                  </pic:nvPicPr>
                  <pic:blipFill>
                    <a:blip r:embed="rId11"/>
                    <a:stretch>
                      <a:fillRect/>
                    </a:stretch>
                  </pic:blipFill>
                  <pic:spPr>
                    <a:xfrm>
                      <a:off x="0" y="0"/>
                      <a:ext cx="6435914" cy="4070953"/>
                    </a:xfrm>
                    <a:prstGeom prst="rect">
                      <a:avLst/>
                    </a:prstGeom>
                  </pic:spPr>
                </pic:pic>
              </a:graphicData>
            </a:graphic>
          </wp:inline>
        </w:drawing>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both"/>
        <w:rPr>
          <w:rFonts w:ascii="Times New Roman" w:hAnsi="Times New Roman" w:cs="Times New Roman"/>
          <w:sz w:val="28"/>
        </w:rPr>
      </w:pPr>
      <w:r w:rsidRPr="003A7DA4">
        <w:rPr>
          <w:rFonts w:ascii="Times New Roman" w:hAnsi="Times New Roman" w:cs="Times New Roman"/>
          <w:noProof/>
          <w:sz w:val="28"/>
        </w:rPr>
        <w:drawing>
          <wp:inline distT="0" distB="0" distL="0" distR="0" wp14:anchorId="1991B942" wp14:editId="067CC88F">
            <wp:extent cx="6352643" cy="31432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9575" cy="3146680"/>
                    </a:xfrm>
                    <a:prstGeom prst="rect">
                      <a:avLst/>
                    </a:prstGeom>
                    <a:noFill/>
                    <a:ln>
                      <a:noFill/>
                    </a:ln>
                  </pic:spPr>
                </pic:pic>
              </a:graphicData>
            </a:graphic>
          </wp:inline>
        </w:drawing>
      </w:r>
    </w:p>
    <w:p w:rsidR="007047D0" w:rsidRPr="003A7DA4" w:rsidRDefault="003A7DA4" w:rsidP="007047D0">
      <w:pPr>
        <w:jc w:val="both"/>
        <w:rPr>
          <w:rFonts w:ascii="Times New Roman" w:hAnsi="Times New Roman" w:cs="Times New Roman"/>
          <w:sz w:val="28"/>
          <w:lang w:val="es-ES_tradnl"/>
        </w:rPr>
      </w:pPr>
    </w:p>
    <w:p w:rsidR="007047D0" w:rsidRPr="003A7DA4" w:rsidRDefault="003A7DA4" w:rsidP="007047D0">
      <w:pPr>
        <w:jc w:val="center"/>
        <w:rPr>
          <w:rFonts w:ascii="Times New Roman" w:hAnsi="Times New Roman" w:cs="Times New Roman"/>
          <w:sz w:val="28"/>
          <w:lang w:val="es-ES_tradnl"/>
        </w:rPr>
      </w:pPr>
      <w:r w:rsidRPr="003A7DA4">
        <w:rPr>
          <w:rFonts w:ascii="Times New Roman" w:hAnsi="Times New Roman" w:cs="Times New Roman"/>
          <w:sz w:val="28"/>
          <w:lang w:val="es-ES_tradnl"/>
        </w:rPr>
        <w:t xml:space="preserve">Fuente: Tomado del Boletín Estadístico, Grupo Estadística, Oficina Asesora de Planeación, </w:t>
      </w:r>
      <w:r w:rsidRPr="003A7DA4">
        <w:rPr>
          <w:rFonts w:ascii="Times New Roman" w:hAnsi="Times New Roman" w:cs="Times New Roman"/>
          <w:b/>
          <w:bCs/>
          <w:sz w:val="28"/>
          <w:lang w:val="es-ES_tradnl"/>
        </w:rPr>
        <w:t>febrero de 2024</w:t>
      </w:r>
      <w:r w:rsidRPr="003A7DA4">
        <w:rPr>
          <w:rFonts w:ascii="Times New Roman" w:hAnsi="Times New Roman" w:cs="Times New Roman"/>
          <w:sz w:val="28"/>
          <w:lang w:val="es-ES_tradnl"/>
        </w:rPr>
        <w:t xml:space="preserve"> y tableros estadísticos.</w:t>
      </w:r>
    </w:p>
    <w:p w:rsidR="007047D0" w:rsidRPr="003A7DA4" w:rsidRDefault="003A7DA4" w:rsidP="007047D0">
      <w:pPr>
        <w:jc w:val="center"/>
        <w:rPr>
          <w:rFonts w:ascii="Times New Roman" w:hAnsi="Times New Roman" w:cs="Times New Roman"/>
          <w:b/>
          <w:bCs/>
          <w:sz w:val="28"/>
          <w:lang w:val="es-ES_tradnl"/>
        </w:rPr>
      </w:pPr>
    </w:p>
    <w:p w:rsidR="007047D0" w:rsidRPr="003A7DA4" w:rsidRDefault="003A7DA4" w:rsidP="007047D0">
      <w:pPr>
        <w:jc w:val="center"/>
        <w:rPr>
          <w:rFonts w:ascii="Times New Roman" w:hAnsi="Times New Roman" w:cs="Times New Roman"/>
          <w:b/>
          <w:bCs/>
          <w:sz w:val="28"/>
        </w:rPr>
      </w:pPr>
      <w:r w:rsidRPr="003A7DA4">
        <w:rPr>
          <w:rFonts w:ascii="Times New Roman" w:hAnsi="Times New Roman" w:cs="Times New Roman"/>
          <w:b/>
          <w:bCs/>
          <w:noProof/>
          <w:sz w:val="28"/>
        </w:rPr>
        <w:drawing>
          <wp:inline distT="0" distB="0" distL="0" distR="0" wp14:anchorId="7C26D689" wp14:editId="790135A2">
            <wp:extent cx="6642100" cy="2755265"/>
            <wp:effectExtent l="0" t="0" r="6350" b="6985"/>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2100" cy="2755265"/>
                    </a:xfrm>
                    <a:prstGeom prst="rect">
                      <a:avLst/>
                    </a:prstGeom>
                    <a:noFill/>
                    <a:ln>
                      <a:noFill/>
                    </a:ln>
                  </pic:spPr>
                </pic:pic>
              </a:graphicData>
            </a:graphic>
          </wp:inline>
        </w:drawing>
      </w:r>
    </w:p>
    <w:p w:rsidR="007047D0" w:rsidRPr="003A7DA4" w:rsidRDefault="003A7DA4" w:rsidP="007047D0">
      <w:pPr>
        <w:jc w:val="center"/>
        <w:rPr>
          <w:rFonts w:ascii="Times New Roman" w:hAnsi="Times New Roman" w:cs="Times New Roman"/>
          <w:b/>
          <w:bCs/>
          <w:sz w:val="28"/>
          <w:lang w:val="es-ES_tradnl"/>
        </w:rPr>
      </w:pPr>
    </w:p>
    <w:p w:rsidR="007047D0" w:rsidRPr="003A7DA4" w:rsidRDefault="003A7DA4" w:rsidP="007047D0">
      <w:pPr>
        <w:jc w:val="center"/>
        <w:rPr>
          <w:rFonts w:ascii="Times New Roman" w:hAnsi="Times New Roman" w:cs="Times New Roman"/>
          <w:sz w:val="28"/>
          <w:lang w:val="es-ES_tradnl"/>
        </w:rPr>
      </w:pPr>
    </w:p>
    <w:p w:rsidR="007047D0" w:rsidRPr="003A7DA4" w:rsidRDefault="003A7DA4" w:rsidP="007047D0">
      <w:pPr>
        <w:jc w:val="center"/>
        <w:rPr>
          <w:rFonts w:ascii="Times New Roman" w:hAnsi="Times New Roman" w:cs="Times New Roman"/>
          <w:sz w:val="28"/>
          <w:lang w:val="es-ES_tradnl"/>
        </w:rPr>
      </w:pPr>
      <w:r w:rsidRPr="003A7DA4">
        <w:rPr>
          <w:rFonts w:ascii="Times New Roman" w:hAnsi="Times New Roman" w:cs="Times New Roman"/>
          <w:sz w:val="28"/>
          <w:lang w:val="es-ES_tradnl"/>
        </w:rPr>
        <w:t xml:space="preserve">Fuente: Tomado del Boletín Estadístico, Grupo Estadística, Oficina Asesora de Planeación, febrero de </w:t>
      </w:r>
      <w:r w:rsidRPr="003A7DA4">
        <w:rPr>
          <w:rFonts w:ascii="Times New Roman" w:hAnsi="Times New Roman" w:cs="Times New Roman"/>
          <w:sz w:val="28"/>
          <w:lang w:val="es-ES_tradnl"/>
        </w:rPr>
        <w:t>2024 y tableros estadísticos.</w:t>
      </w:r>
    </w:p>
    <w:p w:rsidR="007047D0" w:rsidRPr="003A7DA4" w:rsidRDefault="003A7DA4" w:rsidP="007047D0">
      <w:pPr>
        <w:jc w:val="center"/>
        <w:rPr>
          <w:rFonts w:ascii="Times New Roman" w:hAnsi="Times New Roman" w:cs="Times New Roman"/>
          <w:b/>
          <w:bCs/>
          <w:sz w:val="28"/>
          <w:lang w:val="es-ES_tradnl"/>
        </w:rPr>
      </w:pPr>
      <w:r w:rsidRPr="003A7DA4">
        <w:rPr>
          <w:rFonts w:ascii="Times New Roman" w:hAnsi="Times New Roman" w:cs="Times New Roman"/>
          <w:b/>
          <w:bCs/>
          <w:sz w:val="28"/>
          <w:lang w:val="es-ES_tradnl"/>
        </w:rPr>
        <w:t>(Información intramural actualizada al 6 de mayo de 2024).</w:t>
      </w:r>
    </w:p>
    <w:p w:rsidR="007047D0" w:rsidRPr="003A7DA4" w:rsidRDefault="003A7DA4" w:rsidP="007047D0">
      <w:pPr>
        <w:jc w:val="both"/>
        <w:rPr>
          <w:rFonts w:ascii="Times New Roman" w:hAnsi="Times New Roman" w:cs="Times New Roman"/>
          <w:sz w:val="28"/>
          <w:lang w:val="es-ES_tradnl"/>
        </w:rPr>
      </w:pPr>
    </w:p>
    <w:p w:rsidR="00EC4959" w:rsidRPr="003A7DA4" w:rsidRDefault="003A7DA4" w:rsidP="007047D0">
      <w:pPr>
        <w:rPr>
          <w:rFonts w:ascii="Times New Roman" w:hAnsi="Times New Roman" w:cs="Times New Roman"/>
          <w:color w:val="000000" w:themeColor="text1"/>
          <w:sz w:val="28"/>
          <w:lang w:val="es-MX"/>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rPr>
        <w:t xml:space="preserve">Procede ahora el análisis sobre los </w:t>
      </w:r>
      <w:r w:rsidRPr="003A7DA4">
        <w:rPr>
          <w:rFonts w:ascii="Times New Roman" w:hAnsi="Times New Roman" w:cs="Times New Roman"/>
          <w:bCs/>
          <w:color w:val="000000" w:themeColor="text1"/>
          <w:sz w:val="28"/>
          <w:szCs w:val="28"/>
        </w:rPr>
        <w:t>beneficios tributarios</w:t>
      </w:r>
      <w:r w:rsidRPr="003A7DA4">
        <w:rPr>
          <w:rFonts w:ascii="Times New Roman" w:hAnsi="Times New Roman" w:cs="Times New Roman"/>
          <w:color w:val="000000" w:themeColor="text1"/>
          <w:sz w:val="28"/>
          <w:szCs w:val="28"/>
        </w:rPr>
        <w:t xml:space="preserve"> a los que alude el instrumento internacional, para lo cual la Sala se referirá al numeral 5 del artículo 1</w:t>
      </w:r>
      <w:r w:rsidRPr="003A7DA4">
        <w:rPr>
          <w:rFonts w:ascii="Times New Roman" w:hAnsi="Times New Roman" w:cs="Times New Roman"/>
          <w:color w:val="000000" w:themeColor="text1"/>
          <w:sz w:val="28"/>
          <w:szCs w:val="28"/>
        </w:rPr>
        <w:t xml:space="preserve">0 del mismo, cuyo texto es el siguiente: </w:t>
      </w:r>
    </w:p>
    <w:p w:rsidR="00EC4959" w:rsidRPr="003A7DA4" w:rsidRDefault="003A7DA4" w:rsidP="00EC4959">
      <w:pPr>
        <w:ind w:left="1080"/>
        <w:rPr>
          <w:rFonts w:ascii="Times New Roman" w:hAnsi="Times New Roman" w:cs="Times New Roman"/>
          <w:color w:val="000000" w:themeColor="text1"/>
          <w:sz w:val="28"/>
          <w:shd w:val="clear" w:color="auto" w:fill="FFFFFF"/>
        </w:rPr>
      </w:pPr>
    </w:p>
    <w:tbl>
      <w:tblPr>
        <w:tblStyle w:val="Tablaconcuadrcula"/>
        <w:tblW w:w="0" w:type="auto"/>
        <w:tblLook w:val="04A0" w:firstRow="1" w:lastRow="0" w:firstColumn="1" w:lastColumn="0" w:noHBand="0" w:noVBand="1"/>
      </w:tblPr>
      <w:tblGrid>
        <w:gridCol w:w="2263"/>
        <w:gridCol w:w="6565"/>
      </w:tblGrid>
      <w:tr w:rsidR="00EC4959" w:rsidRPr="003A7DA4" w:rsidTr="002C5333">
        <w:tc>
          <w:tcPr>
            <w:tcW w:w="2263"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szCs w:val="24"/>
                <w:lang w:val="es-ES_tradnl" w:eastAsia="es-ES"/>
              </w:rPr>
            </w:pPr>
            <w:r w:rsidRPr="003A7DA4">
              <w:rPr>
                <w:rFonts w:ascii="Times New Roman" w:hAnsi="Times New Roman"/>
                <w:b/>
                <w:color w:val="000000" w:themeColor="text1"/>
                <w:sz w:val="28"/>
                <w:szCs w:val="24"/>
                <w:lang w:val="es-ES_tradnl" w:eastAsia="es-ES"/>
              </w:rPr>
              <w:t>Artículo</w:t>
            </w:r>
          </w:p>
        </w:tc>
        <w:tc>
          <w:tcPr>
            <w:tcW w:w="6565" w:type="dxa"/>
            <w:shd w:val="clear" w:color="auto" w:fill="AEAAAA" w:themeFill="background2" w:themeFillShade="BF"/>
          </w:tcPr>
          <w:p w:rsidR="00EC4959" w:rsidRPr="003A7DA4" w:rsidRDefault="003A7DA4" w:rsidP="002C5333">
            <w:pPr>
              <w:jc w:val="center"/>
              <w:outlineLvl w:val="0"/>
              <w:rPr>
                <w:rFonts w:ascii="Times New Roman" w:hAnsi="Times New Roman"/>
                <w:b/>
                <w:color w:val="000000" w:themeColor="text1"/>
                <w:sz w:val="28"/>
                <w:szCs w:val="24"/>
                <w:lang w:val="es-ES_tradnl" w:eastAsia="es-ES"/>
              </w:rPr>
            </w:pPr>
            <w:r w:rsidRPr="003A7DA4">
              <w:rPr>
                <w:rFonts w:ascii="Times New Roman" w:hAnsi="Times New Roman"/>
                <w:b/>
                <w:color w:val="000000" w:themeColor="text1"/>
                <w:sz w:val="28"/>
                <w:szCs w:val="24"/>
                <w:lang w:val="es-ES_tradnl" w:eastAsia="es-ES"/>
              </w:rPr>
              <w:t>Contenido</w:t>
            </w:r>
          </w:p>
        </w:tc>
      </w:tr>
      <w:tr w:rsidR="00EC4959" w:rsidRPr="003A7DA4" w:rsidTr="002C5333">
        <w:tc>
          <w:tcPr>
            <w:tcW w:w="2263" w:type="dxa"/>
          </w:tcPr>
          <w:p w:rsidR="00EC4959" w:rsidRPr="003A7DA4" w:rsidRDefault="003A7DA4" w:rsidP="002C5333">
            <w:pPr>
              <w:jc w:val="both"/>
              <w:rPr>
                <w:rFonts w:ascii="Times New Roman" w:hAnsi="Times New Roman"/>
                <w:color w:val="000000" w:themeColor="text1"/>
                <w:sz w:val="28"/>
                <w:szCs w:val="24"/>
              </w:rPr>
            </w:pPr>
            <w:r w:rsidRPr="003A7DA4">
              <w:rPr>
                <w:rFonts w:ascii="Times New Roman" w:hAnsi="Times New Roman"/>
                <w:b/>
                <w:bCs/>
                <w:color w:val="000000" w:themeColor="text1"/>
                <w:sz w:val="28"/>
                <w:szCs w:val="24"/>
              </w:rPr>
              <w:t>Artículo 10.5</w:t>
            </w:r>
            <w:r w:rsidRPr="003A7DA4">
              <w:rPr>
                <w:rFonts w:ascii="Times New Roman" w:hAnsi="Times New Roman"/>
                <w:color w:val="000000" w:themeColor="text1"/>
                <w:sz w:val="28"/>
                <w:szCs w:val="24"/>
              </w:rPr>
              <w:t xml:space="preserve"> Recolección de evidencias físicas y elementos materiales probatorios en el Estado requerido.</w:t>
            </w:r>
          </w:p>
        </w:tc>
        <w:tc>
          <w:tcPr>
            <w:tcW w:w="6565" w:type="dxa"/>
          </w:tcPr>
          <w:p w:rsidR="00EC4959" w:rsidRPr="003A7DA4" w:rsidRDefault="003A7DA4" w:rsidP="002C5333">
            <w:pPr>
              <w:pStyle w:val="NormalWeb"/>
              <w:jc w:val="both"/>
              <w:rPr>
                <w:rFonts w:ascii="Times New Roman" w:hAnsi="Times New Roman"/>
                <w:color w:val="000000" w:themeColor="text1"/>
                <w:sz w:val="28"/>
                <w:szCs w:val="24"/>
              </w:rPr>
            </w:pPr>
            <w:r w:rsidRPr="003A7DA4">
              <w:rPr>
                <w:rFonts w:ascii="Times New Roman" w:hAnsi="Times New Roman"/>
                <w:color w:val="000000" w:themeColor="text1"/>
                <w:sz w:val="28"/>
                <w:szCs w:val="24"/>
              </w:rPr>
              <w:t xml:space="preserve">5. A petición de la Parte Requerida, la Parte Requirente devolverá a la brevedad </w:t>
            </w:r>
            <w:r w:rsidRPr="003A7DA4">
              <w:rPr>
                <w:rFonts w:ascii="Times New Roman" w:hAnsi="Times New Roman"/>
                <w:color w:val="000000" w:themeColor="text1"/>
                <w:sz w:val="28"/>
                <w:szCs w:val="24"/>
              </w:rPr>
              <w:t>posible los originales de los documentos y objetos que le hayan sido entregados, de acuerdo con el numeral 1 del presente artículo. La entrega y devolución de los objetos en el marco de la asistencia judicial, se realizará libre de impuestos.</w:t>
            </w:r>
          </w:p>
        </w:tc>
      </w:tr>
    </w:tbl>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El artículo</w:t>
      </w:r>
      <w:r w:rsidRPr="003A7DA4">
        <w:rPr>
          <w:rFonts w:ascii="Times New Roman" w:hAnsi="Times New Roman" w:cs="Times New Roman"/>
          <w:color w:val="000000" w:themeColor="text1"/>
          <w:sz w:val="28"/>
          <w:szCs w:val="28"/>
          <w:shd w:val="clear" w:color="auto" w:fill="FFFFFF"/>
        </w:rPr>
        <w:t xml:space="preserve"> 10 del Convenio regula la </w:t>
      </w:r>
      <w:r w:rsidRPr="003A7DA4">
        <w:rPr>
          <w:rFonts w:ascii="Times New Roman" w:hAnsi="Times New Roman" w:cs="Times New Roman"/>
          <w:color w:val="000000" w:themeColor="text1"/>
          <w:sz w:val="28"/>
          <w:szCs w:val="28"/>
        </w:rPr>
        <w:t>recolección de evidencias físicas y elementos materiales probatorios en el Estado requerido. El enunciado tiene la siguiente estructura: (i) un deber de l</w:t>
      </w:r>
      <w:r w:rsidRPr="003A7DA4">
        <w:rPr>
          <w:rFonts w:ascii="Times New Roman" w:hAnsi="Times New Roman" w:cs="Times New Roman"/>
          <w:color w:val="000000" w:themeColor="text1"/>
          <w:spacing w:val="2"/>
          <w:sz w:val="28"/>
          <w:szCs w:val="28"/>
          <w:shd w:val="clear" w:color="auto" w:fill="FFFFFF"/>
        </w:rPr>
        <w:t>a Parte Requerida de recibir en su territorio, entre otros, “testimonios de</w:t>
      </w:r>
      <w:r w:rsidRPr="003A7DA4">
        <w:rPr>
          <w:rFonts w:ascii="Times New Roman" w:hAnsi="Times New Roman" w:cs="Times New Roman"/>
          <w:color w:val="000000" w:themeColor="text1"/>
          <w:spacing w:val="2"/>
          <w:sz w:val="28"/>
          <w:szCs w:val="28"/>
          <w:shd w:val="clear" w:color="auto" w:fill="FFFFFF"/>
        </w:rPr>
        <w:t xml:space="preserve"> testigos, víctimas y personas investigadas o procesadas, peritajes, documentos, objetos y demás pruebas señaladas en la solicitud, de acuerdo con su legislación y los transmitirá a la Parte Requirente”; (ii) un deber de protección de la Parte Requirente d</w:t>
      </w:r>
      <w:r w:rsidRPr="003A7DA4">
        <w:rPr>
          <w:rFonts w:ascii="Times New Roman" w:hAnsi="Times New Roman" w:cs="Times New Roman"/>
          <w:color w:val="000000" w:themeColor="text1"/>
          <w:spacing w:val="2"/>
          <w:sz w:val="28"/>
          <w:szCs w:val="28"/>
          <w:shd w:val="clear" w:color="auto" w:fill="FFFFFF"/>
        </w:rPr>
        <w:t xml:space="preserve">e los documentos y objetos entregados, el cual incluye la protección de derechos de terceros sobre tales documentos u objetos; y (iii) un deber de la Parte Requirente consistente en devolver a la brevedad posible los originales de los documentos y objetos </w:t>
      </w:r>
      <w:r w:rsidRPr="003A7DA4">
        <w:rPr>
          <w:rFonts w:ascii="Times New Roman" w:hAnsi="Times New Roman" w:cs="Times New Roman"/>
          <w:color w:val="000000" w:themeColor="text1"/>
          <w:spacing w:val="2"/>
          <w:sz w:val="28"/>
          <w:szCs w:val="28"/>
          <w:shd w:val="clear" w:color="auto" w:fill="FFFFFF"/>
        </w:rPr>
        <w:t>que le hayan sido entregados, en el marco de la solicitud de asistencia.</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Style w:val="apple-converted-space"/>
          <w:rFonts w:ascii="Times New Roman" w:eastAsiaTheme="majorEastAsia" w:hAnsi="Times New Roman" w:cs="Times New Roman"/>
          <w:color w:val="000000" w:themeColor="text1"/>
          <w:spacing w:val="2"/>
          <w:sz w:val="28"/>
          <w:szCs w:val="28"/>
          <w:shd w:val="clear" w:color="auto" w:fill="FFFFFF"/>
        </w:rPr>
        <w:t>Sobre este último deber -devolución de los originales de objetos y documentos- se crea una exención tributaria consistente en que cualquier operación respecto de dichos objetos y doc</w:t>
      </w:r>
      <w:r w:rsidRPr="003A7DA4">
        <w:rPr>
          <w:rStyle w:val="apple-converted-space"/>
          <w:rFonts w:ascii="Times New Roman" w:eastAsiaTheme="majorEastAsia" w:hAnsi="Times New Roman" w:cs="Times New Roman"/>
          <w:color w:val="000000" w:themeColor="text1"/>
          <w:spacing w:val="2"/>
          <w:sz w:val="28"/>
          <w:szCs w:val="28"/>
          <w:shd w:val="clear" w:color="auto" w:fill="FFFFFF"/>
        </w:rPr>
        <w:t>umentos está libre de impuestos. Esta regulación comporta un beneficio tributario porque el artículo del tratado deja libre y no permite</w:t>
      </w:r>
      <w:r w:rsidRPr="003A7DA4">
        <w:rPr>
          <w:rFonts w:ascii="Times New Roman" w:hAnsi="Times New Roman" w:cs="Times New Roman"/>
          <w:color w:val="000000" w:themeColor="text1"/>
          <w:sz w:val="28"/>
          <w:szCs w:val="28"/>
          <w:shd w:val="clear" w:color="auto" w:fill="FFFFFF"/>
        </w:rPr>
        <w:t xml:space="preserve"> el pago de impuestos en la ejecución del deber de devolución. </w:t>
      </w:r>
    </w:p>
    <w:p w:rsidR="00EC4959" w:rsidRPr="003A7DA4" w:rsidRDefault="003A7DA4" w:rsidP="00EC4959">
      <w:pPr>
        <w:ind w:left="108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Sin embargo, la ambigüedad de la expresión “libre de </w:t>
      </w:r>
      <w:r w:rsidRPr="003A7DA4">
        <w:rPr>
          <w:rFonts w:ascii="Times New Roman" w:hAnsi="Times New Roman" w:cs="Times New Roman"/>
          <w:color w:val="000000" w:themeColor="text1"/>
          <w:sz w:val="28"/>
          <w:szCs w:val="28"/>
          <w:shd w:val="clear" w:color="auto" w:fill="FFFFFF"/>
        </w:rPr>
        <w:t>impuestos” y la falta de precisión sobre las operaciones que comprende la devolución de los objetos y los documentos, impide determinar los tributos respecto de los cuales opera el beneficio. En concreto, podría tratarse de una exención respecto de objetos</w:t>
      </w:r>
      <w:r w:rsidRPr="003A7DA4">
        <w:rPr>
          <w:rFonts w:ascii="Times New Roman" w:hAnsi="Times New Roman" w:cs="Times New Roman"/>
          <w:color w:val="000000" w:themeColor="text1"/>
          <w:sz w:val="28"/>
          <w:szCs w:val="28"/>
          <w:shd w:val="clear" w:color="auto" w:fill="FFFFFF"/>
        </w:rPr>
        <w:t xml:space="preserve"> que son parte de la ejecución de la asistencia judicial, en los casos en los que Colombia actúa como Parte Requerida y está obligada a la devolución de los mismos. Sobre el particular, el beneficio tributario podría impactar los cobros derivados del pago </w:t>
      </w:r>
      <w:r w:rsidRPr="003A7DA4">
        <w:rPr>
          <w:rFonts w:ascii="Times New Roman" w:hAnsi="Times New Roman" w:cs="Times New Roman"/>
          <w:color w:val="000000" w:themeColor="text1"/>
          <w:sz w:val="28"/>
          <w:szCs w:val="28"/>
          <w:shd w:val="clear" w:color="auto" w:fill="FFFFFF"/>
        </w:rPr>
        <w:t>de derechos de importación de bienes de procedencia extranjera e incluso el cobro del impuesto sobre las ventas</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120"/>
      </w:r>
      <w:r w:rsidRPr="003A7DA4">
        <w:rPr>
          <w:rFonts w:ascii="Times New Roman" w:hAnsi="Times New Roman" w:cs="Times New Roman"/>
          <w:color w:val="000000" w:themeColor="text1"/>
          <w:sz w:val="28"/>
          <w:szCs w:val="28"/>
          <w:shd w:val="clear" w:color="auto" w:fill="FFFFFF"/>
        </w:rPr>
        <w:t>, o podría cobijar también el caso de movilización de objetos como producto de operaciones que impliquen entregas controladas o de estrategias c</w:t>
      </w:r>
      <w:r w:rsidRPr="003A7DA4">
        <w:rPr>
          <w:rFonts w:ascii="Times New Roman" w:hAnsi="Times New Roman" w:cs="Times New Roman"/>
          <w:color w:val="000000" w:themeColor="text1"/>
          <w:sz w:val="28"/>
          <w:szCs w:val="28"/>
          <w:shd w:val="clear" w:color="auto" w:fill="FFFFFF"/>
        </w:rPr>
        <w:t xml:space="preserve">onjuntas de cooperación y capacitación en cuanto a la asistencia penal, previstas también en el Convenio. Tampoco es claro si la exención opera respecto de, por ejemplo, el tránsito de los objetos o de su almacenamiento. </w:t>
      </w:r>
    </w:p>
    <w:p w:rsidR="00EC4959" w:rsidRPr="003A7DA4" w:rsidRDefault="003A7DA4" w:rsidP="00EC4959">
      <w:pPr>
        <w:ind w:left="2124" w:hanging="2124"/>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Frente a los documentos, el artíc</w:t>
      </w:r>
      <w:r w:rsidRPr="003A7DA4">
        <w:rPr>
          <w:rFonts w:ascii="Times New Roman" w:hAnsi="Times New Roman" w:cs="Times New Roman"/>
          <w:color w:val="000000" w:themeColor="text1"/>
          <w:sz w:val="28"/>
          <w:szCs w:val="28"/>
          <w:shd w:val="clear" w:color="auto" w:fill="FFFFFF"/>
        </w:rPr>
        <w:t>ulo 7.1 establece que “t</w:t>
      </w:r>
      <w:r w:rsidRPr="003A7DA4">
        <w:rPr>
          <w:rFonts w:ascii="Times New Roman" w:hAnsi="Times New Roman" w:cs="Times New Roman"/>
          <w:color w:val="000000" w:themeColor="text1"/>
          <w:spacing w:val="2"/>
          <w:sz w:val="28"/>
          <w:szCs w:val="28"/>
          <w:shd w:val="clear" w:color="auto" w:fill="FFFFFF"/>
        </w:rPr>
        <w:t>odos los documentos, registros, declaraciones y cualquier otro material trasmitido de acuerdo a lo estipulado en este Convenio son exentos de cualquier legalización o apostilla, autenticación y otros requisitos formales”. Sobre este</w:t>
      </w:r>
      <w:r w:rsidRPr="003A7DA4">
        <w:rPr>
          <w:rFonts w:ascii="Times New Roman" w:hAnsi="Times New Roman" w:cs="Times New Roman"/>
          <w:color w:val="000000" w:themeColor="text1"/>
          <w:spacing w:val="2"/>
          <w:sz w:val="28"/>
          <w:szCs w:val="28"/>
          <w:shd w:val="clear" w:color="auto" w:fill="FFFFFF"/>
        </w:rPr>
        <w:t xml:space="preserve"> aspecto, tampoco es claro si la apostilla no es necesaria para los documentos objeto de la asistencia judicial o si se prevé un beneficio tributario consistente en que no se debe pagar la tasa correspondiente a la apostilla. En ambas hipótesis, la cláusul</w:t>
      </w:r>
      <w:r w:rsidRPr="003A7DA4">
        <w:rPr>
          <w:rFonts w:ascii="Times New Roman" w:hAnsi="Times New Roman" w:cs="Times New Roman"/>
          <w:color w:val="000000" w:themeColor="text1"/>
          <w:spacing w:val="2"/>
          <w:sz w:val="28"/>
          <w:szCs w:val="28"/>
          <w:shd w:val="clear" w:color="auto" w:fill="FFFFFF"/>
        </w:rPr>
        <w:t xml:space="preserve">a del Convenio tendría como efecto el establecimiento de un beneficio que impide el recaudo asociado a la apostilla. Tampoco es claro si en este caso resulta aplicable la </w:t>
      </w:r>
      <w:r w:rsidRPr="003A7DA4">
        <w:rPr>
          <w:rFonts w:ascii="Times New Roman" w:hAnsi="Times New Roman" w:cs="Times New Roman"/>
          <w:color w:val="000000" w:themeColor="text1"/>
          <w:sz w:val="28"/>
          <w:szCs w:val="28"/>
        </w:rPr>
        <w:t>"Convención sobre la abolición del requisito de legalización para documentos públicos</w:t>
      </w:r>
      <w:r w:rsidRPr="003A7DA4">
        <w:rPr>
          <w:rFonts w:ascii="Times New Roman" w:hAnsi="Times New Roman" w:cs="Times New Roman"/>
          <w:color w:val="000000" w:themeColor="text1"/>
          <w:sz w:val="28"/>
          <w:szCs w:val="28"/>
        </w:rPr>
        <w:t xml:space="preserve"> extranjeros", que en su artículo 1</w:t>
      </w:r>
      <w:r w:rsidRPr="003A7DA4">
        <w:rPr>
          <w:rStyle w:val="Refdenotaalpie"/>
          <w:rFonts w:ascii="Times New Roman" w:eastAsiaTheme="majorEastAsia" w:hAnsi="Times New Roman" w:cs="Times New Roman"/>
          <w:color w:val="000000" w:themeColor="text1"/>
          <w:sz w:val="28"/>
          <w:szCs w:val="28"/>
        </w:rPr>
        <w:footnoteReference w:id="121"/>
      </w:r>
      <w:r w:rsidRPr="003A7DA4">
        <w:rPr>
          <w:rFonts w:ascii="Times New Roman" w:hAnsi="Times New Roman" w:cs="Times New Roman"/>
          <w:color w:val="000000" w:themeColor="text1"/>
          <w:sz w:val="28"/>
          <w:szCs w:val="28"/>
        </w:rPr>
        <w:t xml:space="preserve">  prevé que: “cada estado contratante eximirá de legalización los documentos a los que se aplica la presente Convención y que han de ser presentados en su territorio”. </w:t>
      </w:r>
    </w:p>
    <w:p w:rsidR="00EC4959" w:rsidRPr="003A7DA4" w:rsidRDefault="003A7DA4" w:rsidP="00EC4959">
      <w:pPr>
        <w:ind w:left="1080"/>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hd w:val="clear" w:color="auto" w:fill="FFFFFF"/>
        </w:rPr>
      </w:pPr>
      <w:r w:rsidRPr="003A7DA4">
        <w:rPr>
          <w:rFonts w:ascii="Times New Roman" w:hAnsi="Times New Roman" w:cs="Times New Roman"/>
          <w:color w:val="000000" w:themeColor="text1"/>
          <w:spacing w:val="2"/>
          <w:sz w:val="28"/>
          <w:szCs w:val="28"/>
          <w:shd w:val="clear" w:color="auto" w:fill="FFFFFF"/>
        </w:rPr>
        <w:t>En estos términos, la ambigüedad de la disposición</w:t>
      </w:r>
      <w:r w:rsidRPr="003A7DA4">
        <w:rPr>
          <w:rFonts w:ascii="Times New Roman" w:hAnsi="Times New Roman" w:cs="Times New Roman"/>
          <w:color w:val="000000" w:themeColor="text1"/>
          <w:spacing w:val="2"/>
          <w:sz w:val="28"/>
          <w:szCs w:val="28"/>
          <w:shd w:val="clear" w:color="auto" w:fill="FFFFFF"/>
        </w:rPr>
        <w:t xml:space="preserve"> que consagra un beneficio tributario da cuenta de la necesidad de un análisis sobre su impacto fiscal, que precise estos asuntos y garantice la deliberación racional por parte del legislativo. Como se dijo, esta Corte ha indicado que el deber de analizar </w:t>
      </w:r>
      <w:r w:rsidRPr="003A7DA4">
        <w:rPr>
          <w:rFonts w:ascii="Times New Roman" w:hAnsi="Times New Roman" w:cs="Times New Roman"/>
          <w:color w:val="000000" w:themeColor="text1"/>
          <w:spacing w:val="2"/>
          <w:sz w:val="28"/>
          <w:szCs w:val="28"/>
          <w:shd w:val="clear" w:color="auto" w:fill="FFFFFF"/>
        </w:rPr>
        <w:t xml:space="preserve">dicho impacto fiscal es aplicable sin importar si el costo fiscal de los </w:t>
      </w:r>
      <w:r w:rsidRPr="003A7DA4">
        <w:rPr>
          <w:rFonts w:ascii="Times New Roman" w:hAnsi="Times New Roman" w:cs="Times New Roman"/>
          <w:color w:val="000000" w:themeColor="text1"/>
          <w:sz w:val="28"/>
          <w:szCs w:val="28"/>
          <w:shd w:val="clear" w:color="auto" w:fill="FFFFFF"/>
        </w:rPr>
        <w:t>beneficios tributarios “</w:t>
      </w:r>
      <w:r w:rsidRPr="003A7DA4">
        <w:rPr>
          <w:rFonts w:ascii="Times New Roman" w:hAnsi="Times New Roman" w:cs="Times New Roman"/>
          <w:color w:val="000000" w:themeColor="text1"/>
          <w:sz w:val="28"/>
          <w:szCs w:val="28"/>
        </w:rPr>
        <w:t>(…) podría ser bajo, podría ser alto o incluso podría no presentarse debido a los beneficios derivados de la financiación ofrecida por el Gobierno francés</w:t>
      </w:r>
      <w:r w:rsidRPr="003A7DA4">
        <w:rPr>
          <w:rFonts w:ascii="Times New Roman" w:hAnsi="Times New Roman" w:cs="Times New Roman"/>
          <w:color w:val="000000" w:themeColor="text1"/>
          <w:sz w:val="28"/>
          <w:szCs w:val="28"/>
          <w:shd w:val="clear" w:color="auto" w:fill="FFFFFF"/>
        </w:rPr>
        <w:t>”</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122"/>
      </w:r>
      <w:r w:rsidRPr="003A7DA4">
        <w:rPr>
          <w:rFonts w:ascii="Times New Roman" w:hAnsi="Times New Roman" w:cs="Times New Roman"/>
          <w:color w:val="000000" w:themeColor="text1"/>
          <w:sz w:val="28"/>
          <w:szCs w:val="28"/>
          <w:shd w:val="clear" w:color="auto" w:fill="FFFFFF"/>
        </w:rPr>
        <w:t>.</w:t>
      </w:r>
      <w:r w:rsidRPr="003A7DA4">
        <w:rPr>
          <w:rFonts w:ascii="Times New Roman" w:hAnsi="Times New Roman" w:cs="Times New Roman"/>
          <w:color w:val="000000" w:themeColor="text1"/>
          <w:spacing w:val="2"/>
          <w:sz w:val="28"/>
          <w:szCs w:val="28"/>
          <w:shd w:val="clear" w:color="auto" w:fill="FFFFFF"/>
        </w:rPr>
        <w:t xml:space="preserve"> </w:t>
      </w:r>
    </w:p>
    <w:p w:rsidR="00D578A2" w:rsidRPr="003A7DA4" w:rsidRDefault="003A7DA4" w:rsidP="004B477E">
      <w:pPr>
        <w:ind w:left="720"/>
        <w:rPr>
          <w:rFonts w:ascii="Times New Roman" w:hAnsi="Times New Roman" w:cs="Times New Roman"/>
          <w:sz w:val="28"/>
          <w:shd w:val="clear" w:color="auto" w:fill="FFFFFF"/>
        </w:rPr>
      </w:pPr>
    </w:p>
    <w:p w:rsidR="00D578A2"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Sobre lo anterior, se debe precisar que </w:t>
      </w:r>
      <w:r w:rsidRPr="003A7DA4">
        <w:rPr>
          <w:rFonts w:ascii="Times New Roman" w:hAnsi="Times New Roman" w:cs="Times New Roman"/>
          <w:color w:val="000000" w:themeColor="text1"/>
          <w:sz w:val="28"/>
          <w:szCs w:val="28"/>
          <w:shd w:val="clear" w:color="auto" w:fill="FFFFFF"/>
          <w:lang w:val="es-MX"/>
        </w:rPr>
        <w:t>en los gastos del</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 xml:space="preserve">presupuesto general de la Nación también </w:t>
      </w:r>
      <w:r w:rsidRPr="003A7DA4">
        <w:rPr>
          <w:rFonts w:ascii="Times New Roman" w:hAnsi="Times New Roman" w:cs="Times New Roman"/>
          <w:color w:val="000000" w:themeColor="text1"/>
          <w:sz w:val="28"/>
          <w:szCs w:val="28"/>
          <w:shd w:val="clear" w:color="auto" w:fill="FFFFFF"/>
          <w:lang w:val="es-MX"/>
        </w:rPr>
        <w:t>se encuentran incluidos</w:t>
      </w:r>
      <w:r w:rsidRPr="003A7DA4">
        <w:rPr>
          <w:rFonts w:ascii="Times New Roman" w:hAnsi="Times New Roman" w:cs="Times New Roman"/>
          <w:color w:val="000000" w:themeColor="text1"/>
          <w:sz w:val="28"/>
          <w:szCs w:val="28"/>
          <w:shd w:val="clear" w:color="auto" w:fill="FFFFFF"/>
          <w:lang w:val="es-MX"/>
        </w:rPr>
        <w:t xml:space="preserve"> los gastos</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tributarios. Al respecto, la Sentencia C-424 de 2023</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estableció que el análisis de la carga general de evaluar el impacto</w:t>
      </w:r>
      <w:r w:rsidRPr="003A7DA4">
        <w:rPr>
          <w:rFonts w:ascii="Times New Roman" w:hAnsi="Times New Roman" w:cs="Times New Roman"/>
          <w:color w:val="000000" w:themeColor="text1"/>
          <w:sz w:val="28"/>
          <w:szCs w:val="28"/>
          <w:shd w:val="clear" w:color="auto" w:fill="FFFFFF"/>
          <w:lang w:val="es-MX"/>
        </w:rPr>
        <w:t xml:space="preserve"> fiscal de</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todos los proyectos de ley que instituyan una orden de gasto o un beneficio</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tributario, “debe ser compatible con el Marco Fiscal de Mediano Plazo.</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Este mandato parte de una distinción de la hacienda pública entre dos</w:t>
      </w:r>
      <w:r w:rsidRPr="003A7DA4">
        <w:rPr>
          <w:rFonts w:ascii="Times New Roman"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shd w:val="clear" w:color="auto" w:fill="FFFFFF"/>
          <w:lang w:val="es-MX"/>
        </w:rPr>
        <w:t>formas de gasto público: los</w:t>
      </w:r>
      <w:r w:rsidRPr="003A7DA4">
        <w:rPr>
          <w:rFonts w:ascii="Times New Roman" w:hAnsi="Times New Roman" w:cs="Times New Roman"/>
          <w:color w:val="000000" w:themeColor="text1"/>
          <w:sz w:val="28"/>
          <w:szCs w:val="28"/>
          <w:shd w:val="clear" w:color="auto" w:fill="FFFFFF"/>
          <w:lang w:val="es-MX"/>
        </w:rPr>
        <w:t xml:space="preserve"> gastos presupuestales y los gastos fiscales”</w:t>
      </w:r>
      <w:r w:rsidRPr="003A7DA4">
        <w:rPr>
          <w:rStyle w:val="Refdenotaalpie"/>
          <w:rFonts w:ascii="Times New Roman" w:hAnsi="Times New Roman" w:cs="Times New Roman"/>
          <w:color w:val="000000" w:themeColor="text1"/>
          <w:sz w:val="28"/>
          <w:shd w:val="clear" w:color="auto" w:fill="FFFFFF"/>
          <w:lang w:val="es-MX"/>
        </w:rPr>
        <w:footnoteReference w:id="123"/>
      </w:r>
      <w:r w:rsidRPr="003A7DA4">
        <w:rPr>
          <w:rFonts w:ascii="Times New Roman" w:hAnsi="Times New Roman" w:cs="Times New Roman"/>
          <w:color w:val="000000" w:themeColor="text1"/>
          <w:sz w:val="28"/>
          <w:szCs w:val="28"/>
          <w:shd w:val="clear" w:color="auto" w:fill="FFFFFF"/>
          <w:lang w:val="es-MX"/>
        </w:rPr>
        <w:t xml:space="preserve">. </w:t>
      </w:r>
    </w:p>
    <w:p w:rsidR="00EC4959" w:rsidRPr="003A7DA4" w:rsidRDefault="003A7DA4" w:rsidP="00EC4959">
      <w:pPr>
        <w:tabs>
          <w:tab w:val="left" w:pos="426"/>
        </w:tabs>
        <w:ind w:left="426" w:right="49" w:hanging="426"/>
        <w:jc w:val="both"/>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rPr>
      </w:pPr>
      <w:r w:rsidRPr="003A7DA4">
        <w:rPr>
          <w:rFonts w:ascii="Times New Roman" w:hAnsi="Times New Roman" w:cs="Times New Roman"/>
          <w:i/>
          <w:color w:val="000000" w:themeColor="text1"/>
          <w:sz w:val="28"/>
          <w:szCs w:val="28"/>
        </w:rPr>
        <w:t>Conclusión del análisis material</w:t>
      </w:r>
      <w:r w:rsidRPr="003A7DA4">
        <w:rPr>
          <w:rFonts w:ascii="Times New Roman" w:hAnsi="Times New Roman" w:cs="Times New Roman"/>
          <w:color w:val="000000" w:themeColor="text1"/>
          <w:sz w:val="28"/>
          <w:szCs w:val="28"/>
        </w:rPr>
        <w:t>. De acuerdo con lo anterior, el artículo 10.5 del Convenio establece una exención frente a la entrega y devolución de los objetos y documentos, al establecer que aquellas se</w:t>
      </w:r>
      <w:r w:rsidRPr="003A7DA4">
        <w:rPr>
          <w:rFonts w:ascii="Times New Roman" w:hAnsi="Times New Roman" w:cs="Times New Roman"/>
          <w:color w:val="000000" w:themeColor="text1"/>
          <w:sz w:val="28"/>
          <w:szCs w:val="28"/>
        </w:rPr>
        <w:t xml:space="preserve"> realizarán libres de impuestos como producto de las solicitudes de asistencia.</w:t>
      </w:r>
    </w:p>
    <w:p w:rsidR="00EC4959" w:rsidRPr="003A7DA4" w:rsidRDefault="003A7DA4" w:rsidP="004B477E">
      <w:pPr>
        <w:ind w:left="720"/>
        <w:rPr>
          <w:rFonts w:ascii="Times New Roman" w:hAnsi="Times New Roman" w:cs="Times New Roman"/>
          <w:sz w:val="28"/>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rPr>
      </w:pPr>
      <w:r w:rsidRPr="003A7DA4">
        <w:rPr>
          <w:rFonts w:ascii="Times New Roman" w:hAnsi="Times New Roman" w:cs="Times New Roman"/>
          <w:i/>
          <w:color w:val="000000" w:themeColor="text1"/>
          <w:sz w:val="28"/>
          <w:szCs w:val="28"/>
        </w:rPr>
        <w:t>Conclusiones</w:t>
      </w:r>
      <w:r w:rsidRPr="003A7DA4">
        <w:rPr>
          <w:rFonts w:ascii="Times New Roman" w:hAnsi="Times New Roman" w:cs="Times New Roman"/>
          <w:color w:val="000000" w:themeColor="text1"/>
          <w:sz w:val="28"/>
          <w:szCs w:val="28"/>
        </w:rPr>
        <w:t xml:space="preserve">. Varias consideraciones deben tenerse en cuenta para verificar </w:t>
      </w:r>
      <w:r w:rsidRPr="003A7DA4">
        <w:rPr>
          <w:rFonts w:ascii="Times New Roman" w:hAnsi="Times New Roman" w:cs="Times New Roman"/>
          <w:color w:val="000000" w:themeColor="text1"/>
          <w:sz w:val="28"/>
          <w:szCs w:val="28"/>
          <w:shd w:val="clear" w:color="auto" w:fill="FFFFFF"/>
        </w:rPr>
        <w:t>la aplicación del requisito de análisis de impacto fiscal por parte de esta Corte. De una parte, la</w:t>
      </w:r>
      <w:r w:rsidRPr="003A7DA4">
        <w:rPr>
          <w:rFonts w:ascii="Times New Roman" w:hAnsi="Times New Roman" w:cs="Times New Roman"/>
          <w:color w:val="000000" w:themeColor="text1"/>
          <w:sz w:val="28"/>
          <w:szCs w:val="28"/>
          <w:shd w:val="clear" w:color="auto" w:fill="FFFFFF"/>
        </w:rPr>
        <w:t xml:space="preserve"> construcción progresiva de la jurisprudencia constitucional sobre los criterios orientadores en cuanto a la acreditación aquel, y el alcance específico que le ha venido reconociendo a su aplicación respecto de los tratados internacionales. Como atrás ha q</w:t>
      </w:r>
      <w:r w:rsidRPr="003A7DA4">
        <w:rPr>
          <w:rFonts w:ascii="Times New Roman" w:hAnsi="Times New Roman" w:cs="Times New Roman"/>
          <w:color w:val="000000" w:themeColor="text1"/>
          <w:sz w:val="28"/>
          <w:szCs w:val="28"/>
          <w:shd w:val="clear" w:color="auto" w:fill="FFFFFF"/>
        </w:rPr>
        <w:t>uedado establecido, la Corte Constitucional ha señalado las pautas para hacer efectiva la exigibilidad de esta condición, cuando los tratados internacionales incorporen beneficios tributarios o generen gastos, mediante el señalamiento de criterios, tanto d</w:t>
      </w:r>
      <w:r w:rsidRPr="003A7DA4">
        <w:rPr>
          <w:rFonts w:ascii="Times New Roman" w:hAnsi="Times New Roman" w:cs="Times New Roman"/>
          <w:color w:val="000000" w:themeColor="text1"/>
          <w:sz w:val="28"/>
          <w:szCs w:val="28"/>
          <w:shd w:val="clear" w:color="auto" w:fill="FFFFFF"/>
        </w:rPr>
        <w:t>e alcance temporal como material, entendiendo que se trata de una ruta que debe mantenerse, para que se cumplan propósitos constitucionales relacionados con el principio democrático, la debida deliberación legislativa y la racionalidad estructural en mater</w:t>
      </w:r>
      <w:r w:rsidRPr="003A7DA4">
        <w:rPr>
          <w:rFonts w:ascii="Times New Roman" w:hAnsi="Times New Roman" w:cs="Times New Roman"/>
          <w:color w:val="000000" w:themeColor="text1"/>
          <w:sz w:val="28"/>
          <w:szCs w:val="28"/>
          <w:shd w:val="clear" w:color="auto" w:fill="FFFFFF"/>
        </w:rPr>
        <w:t>ia fiscal y financiera.</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De otro lado, debe partirse del principio según el cual las cláusulas contenidas en los tratados son producto del ejercicio de la facultad del Gobierno nacional de manejar las relaciones internacionales y deben obedecer a criterios técnicos, de racionalida</w:t>
      </w:r>
      <w:r w:rsidRPr="003A7DA4">
        <w:rPr>
          <w:rFonts w:ascii="Times New Roman" w:hAnsi="Times New Roman" w:cs="Times New Roman"/>
          <w:color w:val="000000" w:themeColor="text1"/>
          <w:sz w:val="28"/>
          <w:szCs w:val="28"/>
          <w:shd w:val="clear" w:color="auto" w:fill="FFFFFF"/>
        </w:rPr>
        <w:t>d y conveniencia, que culminan en los textos que se someten a aprobación del Congreso. En este caso, llama la atención de la Sala que una cláusula de exención como la que se analizó, no está contenida en el convenio modelo de asistencia y cooperación de la</w:t>
      </w:r>
      <w:r w:rsidRPr="003A7DA4">
        <w:rPr>
          <w:rFonts w:ascii="Times New Roman" w:hAnsi="Times New Roman" w:cs="Times New Roman"/>
          <w:color w:val="000000" w:themeColor="text1"/>
          <w:sz w:val="28"/>
          <w:szCs w:val="28"/>
          <w:shd w:val="clear" w:color="auto" w:fill="FFFFFF"/>
        </w:rPr>
        <w:t xml:space="preserve">s Naciones Unidas y que ha sido incluida en los convenios de asistencia con la Federación Rusa y con la República de Italia. Esto es, se trata de una cláusula expresa en la que las partes han decidido establecer un beneficio tributario, que está llamado a </w:t>
      </w:r>
      <w:r w:rsidRPr="003A7DA4">
        <w:rPr>
          <w:rFonts w:ascii="Times New Roman" w:hAnsi="Times New Roman" w:cs="Times New Roman"/>
          <w:color w:val="000000" w:themeColor="text1"/>
          <w:sz w:val="28"/>
          <w:szCs w:val="28"/>
          <w:shd w:val="clear" w:color="auto" w:fill="FFFFFF"/>
        </w:rPr>
        <w:t xml:space="preserve">producir efectos y que se entiende no incluido al azar o en forma irreflexiva. </w:t>
      </w:r>
    </w:p>
    <w:p w:rsidR="00EC4959"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pacing w:val="2"/>
          <w:sz w:val="28"/>
          <w:szCs w:val="28"/>
          <w:shd w:val="clear" w:color="auto" w:fill="FFFFFF"/>
        </w:rPr>
        <w:t>Como se dijo, la ausencia de considerar el impacto de una disposición con tal grado de ambigüedad, no permite que se realice un debate democrático informado sobre el alcance d</w:t>
      </w:r>
      <w:r w:rsidRPr="003A7DA4">
        <w:rPr>
          <w:rFonts w:ascii="Times New Roman" w:hAnsi="Times New Roman" w:cs="Times New Roman"/>
          <w:color w:val="000000" w:themeColor="text1"/>
          <w:spacing w:val="2"/>
          <w:sz w:val="28"/>
          <w:szCs w:val="28"/>
          <w:shd w:val="clear" w:color="auto" w:fill="FFFFFF"/>
        </w:rPr>
        <w:t>el tratado, su repercusión en las finanzas públicas y su efecto en la potestad impositiva del Estado. El deber del Gobierno nacional era dar cuenta sobre el alcance del beneficio y su conformidad con el Marco Fiscal de Mediano Plazo. Como se explicó, el an</w:t>
      </w:r>
      <w:r w:rsidRPr="003A7DA4">
        <w:rPr>
          <w:rFonts w:ascii="Times New Roman" w:hAnsi="Times New Roman" w:cs="Times New Roman"/>
          <w:color w:val="000000" w:themeColor="text1"/>
          <w:spacing w:val="2"/>
          <w:sz w:val="28"/>
          <w:szCs w:val="28"/>
          <w:shd w:val="clear" w:color="auto" w:fill="FFFFFF"/>
        </w:rPr>
        <w:t>álisis sobre los beneficios tributarios frente a las entregas y devoluciones de documentos y objetos por razón de este instrumento internacional, sobre el tipo de operaciones amparadas o sobre la magnitud del impacto de la medida en materia tributaria, son</w:t>
      </w:r>
      <w:r w:rsidRPr="003A7DA4">
        <w:rPr>
          <w:rFonts w:ascii="Times New Roman" w:hAnsi="Times New Roman" w:cs="Times New Roman"/>
          <w:color w:val="000000" w:themeColor="text1"/>
          <w:spacing w:val="2"/>
          <w:sz w:val="28"/>
          <w:szCs w:val="28"/>
          <w:shd w:val="clear" w:color="auto" w:fill="FFFFFF"/>
        </w:rPr>
        <w:t xml:space="preserve"> asuntos que debieron ser considerados en el proceso de negociación del Convenio y que han debido exteriorizarse a lo largo del debate legislativo, con la expresión de la opinión correspondiente por parte del Ministerio de Hacienda y Crédito Púbico.</w:t>
      </w:r>
    </w:p>
    <w:p w:rsidR="00EC4959"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hd w:val="clear" w:color="auto" w:fill="FFFFFF"/>
        </w:rPr>
      </w:pPr>
      <w:r w:rsidRPr="003A7DA4">
        <w:rPr>
          <w:rFonts w:ascii="Times New Roman" w:hAnsi="Times New Roman" w:cs="Times New Roman"/>
          <w:color w:val="000000" w:themeColor="text1"/>
          <w:sz w:val="28"/>
          <w:szCs w:val="28"/>
          <w:shd w:val="clear" w:color="auto" w:fill="FFFFFF"/>
        </w:rPr>
        <w:t>La Co</w:t>
      </w:r>
      <w:r w:rsidRPr="003A7DA4">
        <w:rPr>
          <w:rFonts w:ascii="Times New Roman" w:hAnsi="Times New Roman" w:cs="Times New Roman"/>
          <w:color w:val="000000" w:themeColor="text1"/>
          <w:sz w:val="28"/>
          <w:szCs w:val="28"/>
          <w:shd w:val="clear" w:color="auto" w:fill="FFFFFF"/>
        </w:rPr>
        <w:t>rte Constitucional no puede subsanar la inacción del Gobierno y, en particular, del Ministerio de Hacienda y Crédito Público frente a su deber de informar el debate legislativo con los insumos técnicos necesarios para el efecto. En este caso, el artículo l</w:t>
      </w:r>
      <w:r w:rsidRPr="003A7DA4">
        <w:rPr>
          <w:rFonts w:ascii="Times New Roman" w:hAnsi="Times New Roman" w:cs="Times New Roman"/>
          <w:color w:val="000000" w:themeColor="text1"/>
          <w:sz w:val="28"/>
          <w:szCs w:val="28"/>
          <w:shd w:val="clear" w:color="auto" w:fill="FFFFFF"/>
        </w:rPr>
        <w:t>0.5 en su lectura conjunta con el artículo 7 del Convenio, exoneran del pago de impuestos que pueden actualmente o en el futuro recaer en transacciones o movimientos de documentos y objetos como resultado de la asistencia judicial prevista en el tratado, c</w:t>
      </w:r>
      <w:r w:rsidRPr="003A7DA4">
        <w:rPr>
          <w:rFonts w:ascii="Times New Roman" w:hAnsi="Times New Roman" w:cs="Times New Roman"/>
          <w:color w:val="000000" w:themeColor="text1"/>
          <w:sz w:val="28"/>
          <w:szCs w:val="28"/>
          <w:shd w:val="clear" w:color="auto" w:fill="FFFFFF"/>
        </w:rPr>
        <w:t>uyo impacto debió ser analizado durante el trámite legislativo del proyecto que dio lugar a la expedición de la Ley 2274 de 2288 de 2023, de conformidad con el artículo 7° de la Ley 819 de 2003. Ante ello, no le es dable al tribunal constitucional desactiv</w:t>
      </w:r>
      <w:r w:rsidRPr="003A7DA4">
        <w:rPr>
          <w:rFonts w:ascii="Times New Roman" w:hAnsi="Times New Roman" w:cs="Times New Roman"/>
          <w:color w:val="000000" w:themeColor="text1"/>
          <w:sz w:val="28"/>
          <w:szCs w:val="28"/>
          <w:shd w:val="clear" w:color="auto" w:fill="FFFFFF"/>
        </w:rPr>
        <w:t>ar lo que los negociadores internacionales han definido, ni valorar la materialidad del alcance de lo ordenado en el tratado, a efecto de dar aplicación a l</w:t>
      </w:r>
      <w:r w:rsidRPr="003A7DA4">
        <w:rPr>
          <w:rFonts w:ascii="Times New Roman" w:hAnsi="Times New Roman" w:cs="Times New Roman"/>
          <w:color w:val="000000" w:themeColor="text1"/>
          <w:sz w:val="28"/>
          <w:szCs w:val="28"/>
          <w:shd w:val="clear" w:color="auto" w:fill="FFFFFF"/>
        </w:rPr>
        <w:t>o</w:t>
      </w:r>
      <w:r w:rsidRPr="003A7DA4">
        <w:rPr>
          <w:rFonts w:ascii="Times New Roman" w:hAnsi="Times New Roman" w:cs="Times New Roman"/>
          <w:color w:val="000000" w:themeColor="text1"/>
          <w:sz w:val="28"/>
          <w:szCs w:val="28"/>
          <w:shd w:val="clear" w:color="auto" w:fill="FFFFFF"/>
        </w:rPr>
        <w:t xml:space="preserve"> dispuesto por dicha norma orgánica, pues como se ha anotado, esta condición como requisito del trá</w:t>
      </w:r>
      <w:r w:rsidRPr="003A7DA4">
        <w:rPr>
          <w:rFonts w:ascii="Times New Roman" w:hAnsi="Times New Roman" w:cs="Times New Roman"/>
          <w:color w:val="000000" w:themeColor="text1"/>
          <w:sz w:val="28"/>
          <w:szCs w:val="28"/>
          <w:shd w:val="clear" w:color="auto" w:fill="FFFFFF"/>
        </w:rPr>
        <w:t xml:space="preserve">mite legislativo justamente tiene por propósito que el ejecutivo se pronuncie sobre el impacto fiscal del tratado y que el legislativo delibere con la suficiente información sobre el particular. </w:t>
      </w:r>
    </w:p>
    <w:p w:rsidR="00EC4959" w:rsidRPr="003A7DA4" w:rsidRDefault="003A7DA4" w:rsidP="00EC4959">
      <w:pPr>
        <w:tabs>
          <w:tab w:val="left" w:pos="426"/>
        </w:tabs>
        <w:ind w:right="49"/>
        <w:jc w:val="both"/>
        <w:rPr>
          <w:rFonts w:ascii="Times New Roman" w:hAnsi="Times New Roman" w:cs="Times New Roman"/>
          <w:color w:val="000000" w:themeColor="text1"/>
          <w:sz w:val="28"/>
          <w:szCs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Como se advirtió previamente, el estándar de revisión const</w:t>
      </w:r>
      <w:r w:rsidRPr="003A7DA4">
        <w:rPr>
          <w:rFonts w:ascii="Times New Roman" w:hAnsi="Times New Roman" w:cs="Times New Roman"/>
          <w:color w:val="000000" w:themeColor="text1"/>
          <w:sz w:val="28"/>
          <w:szCs w:val="28"/>
          <w:shd w:val="clear" w:color="auto" w:fill="FFFFFF"/>
        </w:rPr>
        <w:t>itucional en estos casos se concreta en advertir la existencia de un beneficio tributario dispuesto por el tratado y verificar si se cumplió o no con la exigencia del análisis de impacto fiscal, en cabeza del Gobierno nacional. Como ello no se cumplió en e</w:t>
      </w:r>
      <w:r w:rsidRPr="003A7DA4">
        <w:rPr>
          <w:rFonts w:ascii="Times New Roman" w:hAnsi="Times New Roman" w:cs="Times New Roman"/>
          <w:color w:val="000000" w:themeColor="text1"/>
          <w:sz w:val="28"/>
          <w:szCs w:val="28"/>
          <w:shd w:val="clear" w:color="auto" w:fill="FFFFFF"/>
        </w:rPr>
        <w:t xml:space="preserve">l trámite de la Ley 2274 de 2023, en consecuencia, se genera un vicio de inconstitucionalidad en el trámite de aquella. </w:t>
      </w:r>
    </w:p>
    <w:p w:rsidR="00EC4959" w:rsidRPr="003A7DA4" w:rsidRDefault="003A7DA4" w:rsidP="00EC4959">
      <w:pPr>
        <w:rPr>
          <w:rFonts w:ascii="Times New Roman" w:hAnsi="Times New Roman" w:cs="Times New Roman"/>
          <w:color w:val="000000" w:themeColor="text1"/>
          <w:sz w:val="28"/>
        </w:rPr>
      </w:pPr>
    </w:p>
    <w:p w:rsidR="00CD62C8"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i/>
          <w:iCs/>
          <w:color w:val="000000" w:themeColor="text1"/>
          <w:sz w:val="28"/>
          <w:szCs w:val="28"/>
          <w:shd w:val="clear" w:color="auto" w:fill="FFFFFF"/>
        </w:rPr>
        <w:t>Alcance del vicio en el presente caso y precisiones finales.</w:t>
      </w:r>
      <w:r w:rsidRPr="003A7DA4">
        <w:rPr>
          <w:rFonts w:ascii="Times New Roman" w:hAnsi="Times New Roman" w:cs="Times New Roman"/>
          <w:color w:val="000000" w:themeColor="text1"/>
          <w:sz w:val="28"/>
          <w:szCs w:val="28"/>
          <w:shd w:val="clear" w:color="auto" w:fill="FFFFFF"/>
        </w:rPr>
        <w:t xml:space="preserve"> Como ha sostenido la Corte Constitucional en otros procesos similares, “l</w:t>
      </w:r>
      <w:r w:rsidRPr="003A7DA4">
        <w:rPr>
          <w:rFonts w:ascii="Times New Roman" w:hAnsi="Times New Roman" w:cs="Times New Roman"/>
          <w:color w:val="000000" w:themeColor="text1"/>
          <w:sz w:val="28"/>
          <w:szCs w:val="28"/>
          <w:shd w:val="clear" w:color="auto" w:fill="FFFFFF"/>
        </w:rPr>
        <w:t>a omisión del análisis del impacto fiscal en los proyectos de ley aprobatoria de tratados internacionales constituye un vicio de inconstitucionalidad de carácter insubsanable porque: (i) estos son de iniciativa gubernamental y en esas circunstancias, el ex</w:t>
      </w:r>
      <w:r w:rsidRPr="003A7DA4">
        <w:rPr>
          <w:rFonts w:ascii="Times New Roman" w:hAnsi="Times New Roman" w:cs="Times New Roman"/>
          <w:color w:val="000000" w:themeColor="text1"/>
          <w:sz w:val="28"/>
          <w:szCs w:val="28"/>
          <w:shd w:val="clear" w:color="auto" w:fill="FFFFFF"/>
        </w:rPr>
        <w:t>amen del cumplimiento de tales cargas y responsabilidades en cabeza del Gobierno nacional es estricto; (ii) la exigencia del análisis es transversal al procedimiento en el Congreso de la República y por consiguiente, su omisión se proyecta frente a la tota</w:t>
      </w:r>
      <w:r w:rsidRPr="003A7DA4">
        <w:rPr>
          <w:rFonts w:ascii="Times New Roman" w:hAnsi="Times New Roman" w:cs="Times New Roman"/>
          <w:color w:val="000000" w:themeColor="text1"/>
          <w:sz w:val="28"/>
          <w:szCs w:val="28"/>
          <w:shd w:val="clear" w:color="auto" w:fill="FFFFFF"/>
        </w:rPr>
        <w:t>lidad del trámite legislativo; y (iii) tiene incidencia en el principio de publicidad en el trámite ante el Congreso de la República”</w:t>
      </w:r>
      <w:r w:rsidRPr="003A7DA4">
        <w:rPr>
          <w:rStyle w:val="Refdenotaalpie"/>
          <w:rFonts w:ascii="Times New Roman" w:eastAsiaTheme="majorEastAsia" w:hAnsi="Times New Roman" w:cs="Times New Roman"/>
          <w:color w:val="000000" w:themeColor="text1"/>
          <w:sz w:val="28"/>
          <w:szCs w:val="28"/>
          <w:shd w:val="clear" w:color="auto" w:fill="FFFFFF"/>
        </w:rPr>
        <w:footnoteReference w:id="124"/>
      </w:r>
      <w:r w:rsidRPr="003A7DA4">
        <w:rPr>
          <w:rFonts w:ascii="Times New Roman" w:hAnsi="Times New Roman" w:cs="Times New Roman"/>
          <w:color w:val="000000" w:themeColor="text1"/>
          <w:sz w:val="28"/>
          <w:szCs w:val="28"/>
          <w:shd w:val="clear" w:color="auto" w:fill="FFFFFF"/>
        </w:rPr>
        <w:t>.</w:t>
      </w:r>
    </w:p>
    <w:p w:rsidR="00CD62C8" w:rsidRPr="003A7DA4" w:rsidRDefault="003A7DA4" w:rsidP="004B477E">
      <w:pPr>
        <w:ind w:left="720"/>
        <w:rPr>
          <w:rFonts w:ascii="Times New Roman" w:hAnsi="Times New Roman" w:cs="Times New Roman"/>
          <w:sz w:val="28"/>
          <w:shd w:val="clear" w:color="auto" w:fill="FFFFFF"/>
        </w:rPr>
      </w:pPr>
    </w:p>
    <w:p w:rsidR="00CD62C8"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En igual sentido, de acuerdo con lo expuesto por </w:t>
      </w:r>
      <w:r w:rsidRPr="003A7DA4">
        <w:rPr>
          <w:rFonts w:ascii="Times New Roman" w:hAnsi="Times New Roman" w:cs="Times New Roman"/>
          <w:color w:val="000000" w:themeColor="text1"/>
          <w:sz w:val="28"/>
          <w:szCs w:val="28"/>
          <w:shd w:val="clear" w:color="auto" w:fill="FFFFFF"/>
        </w:rPr>
        <w:t xml:space="preserve">esta </w:t>
      </w:r>
      <w:r w:rsidRPr="003A7DA4">
        <w:rPr>
          <w:rFonts w:ascii="Times New Roman" w:hAnsi="Times New Roman" w:cs="Times New Roman"/>
          <w:color w:val="000000" w:themeColor="text1"/>
          <w:sz w:val="28"/>
          <w:szCs w:val="28"/>
          <w:shd w:val="clear" w:color="auto" w:fill="FFFFFF"/>
        </w:rPr>
        <w:t xml:space="preserve">Corte en la </w:t>
      </w:r>
      <w:r w:rsidRPr="003A7DA4">
        <w:rPr>
          <w:rFonts w:ascii="Times New Roman" w:hAnsi="Times New Roman" w:cs="Times New Roman"/>
          <w:color w:val="000000" w:themeColor="text1"/>
          <w:sz w:val="28"/>
          <w:szCs w:val="28"/>
          <w:shd w:val="clear" w:color="auto" w:fill="FFFFFF"/>
        </w:rPr>
        <w:t>S</w:t>
      </w:r>
      <w:r w:rsidRPr="003A7DA4">
        <w:rPr>
          <w:rFonts w:ascii="Times New Roman" w:hAnsi="Times New Roman" w:cs="Times New Roman"/>
          <w:color w:val="000000" w:themeColor="text1"/>
          <w:sz w:val="28"/>
          <w:szCs w:val="28"/>
          <w:shd w:val="clear" w:color="auto" w:fill="FFFFFF"/>
        </w:rPr>
        <w:t xml:space="preserve">entencia C-459 de 2023, se impone la declaratoria de inexequibilidad de la </w:t>
      </w:r>
      <w:r w:rsidRPr="003A7DA4">
        <w:rPr>
          <w:rFonts w:ascii="Times New Roman" w:hAnsi="Times New Roman" w:cs="Times New Roman"/>
          <w:color w:val="000000" w:themeColor="text1"/>
          <w:sz w:val="28"/>
          <w:szCs w:val="28"/>
          <w:shd w:val="clear" w:color="auto" w:fill="FFFFFF"/>
        </w:rPr>
        <w:t>l</w:t>
      </w:r>
      <w:r w:rsidRPr="003A7DA4">
        <w:rPr>
          <w:rFonts w:ascii="Times New Roman" w:hAnsi="Times New Roman" w:cs="Times New Roman"/>
          <w:color w:val="000000" w:themeColor="text1"/>
          <w:sz w:val="28"/>
          <w:szCs w:val="28"/>
          <w:shd w:val="clear" w:color="auto" w:fill="FFFFFF"/>
        </w:rPr>
        <w:t xml:space="preserve">ey, comoquiera que la omisión en la que incurrió el Gobierno </w:t>
      </w:r>
      <w:r w:rsidRPr="003A7DA4">
        <w:rPr>
          <w:rFonts w:ascii="Times New Roman" w:hAnsi="Times New Roman" w:cs="Times New Roman"/>
          <w:color w:val="000000" w:themeColor="text1"/>
          <w:sz w:val="28"/>
          <w:szCs w:val="28"/>
          <w:shd w:val="clear" w:color="auto" w:fill="FFFFFF"/>
        </w:rPr>
        <w:t xml:space="preserve">nacional </w:t>
      </w:r>
      <w:r w:rsidRPr="003A7DA4">
        <w:rPr>
          <w:rFonts w:ascii="Times New Roman" w:hAnsi="Times New Roman" w:cs="Times New Roman"/>
          <w:color w:val="000000" w:themeColor="text1"/>
          <w:sz w:val="28"/>
          <w:szCs w:val="28"/>
          <w:shd w:val="clear" w:color="auto" w:fill="FFFFFF"/>
        </w:rPr>
        <w:t>implica la imposibilidad de proferir un fallo con alcance parcial respecto de los artículos que involucra</w:t>
      </w:r>
      <w:r w:rsidRPr="003A7DA4">
        <w:rPr>
          <w:rFonts w:ascii="Times New Roman" w:hAnsi="Times New Roman" w:cs="Times New Roman"/>
          <w:color w:val="000000" w:themeColor="text1"/>
          <w:sz w:val="28"/>
          <w:szCs w:val="28"/>
          <w:shd w:val="clear" w:color="auto" w:fill="FFFFFF"/>
        </w:rPr>
        <w:t>n</w:t>
      </w:r>
      <w:r w:rsidRPr="003A7DA4">
        <w:rPr>
          <w:rFonts w:ascii="Times New Roman" w:hAnsi="Times New Roman" w:cs="Times New Roman"/>
          <w:color w:val="000000" w:themeColor="text1"/>
          <w:sz w:val="28"/>
          <w:szCs w:val="28"/>
          <w:shd w:val="clear" w:color="auto" w:fill="FFFFFF"/>
        </w:rPr>
        <w:t xml:space="preserve"> la </w:t>
      </w:r>
      <w:r w:rsidRPr="003A7DA4">
        <w:rPr>
          <w:rFonts w:ascii="Times New Roman" w:hAnsi="Times New Roman" w:cs="Times New Roman"/>
          <w:color w:val="000000" w:themeColor="text1"/>
          <w:sz w:val="28"/>
          <w:szCs w:val="28"/>
          <w:shd w:val="clear" w:color="auto" w:fill="FFFFFF"/>
        </w:rPr>
        <w:t xml:space="preserve">exigencia del impacto fiscal, en tanto que </w:t>
      </w:r>
      <w:r w:rsidRPr="003A7DA4">
        <w:rPr>
          <w:rFonts w:ascii="Times New Roman" w:hAnsi="Times New Roman" w:cs="Times New Roman"/>
          <w:color w:val="000000" w:themeColor="text1"/>
          <w:sz w:val="28"/>
          <w:szCs w:val="28"/>
          <w:shd w:val="clear" w:color="auto" w:fill="FFFFFF"/>
        </w:rPr>
        <w:t>con la Ley</w:t>
      </w:r>
      <w:r w:rsidRPr="003A7DA4">
        <w:rPr>
          <w:rStyle w:val="apple-converted-space"/>
          <w:rFonts w:ascii="Times New Roman" w:eastAsiaTheme="majorEastAsia"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lang w:val="es-ES_tradnl"/>
        </w:rPr>
        <w:t xml:space="preserve">2288 de 2023 </w:t>
      </w:r>
      <w:r w:rsidRPr="003A7DA4">
        <w:rPr>
          <w:rFonts w:ascii="Times New Roman" w:hAnsi="Times New Roman" w:cs="Times New Roman"/>
          <w:color w:val="000000" w:themeColor="text1"/>
          <w:sz w:val="28"/>
          <w:szCs w:val="28"/>
          <w:shd w:val="clear" w:color="auto" w:fill="FFFFFF"/>
        </w:rPr>
        <w:t>e</w:t>
      </w:r>
      <w:r w:rsidRPr="003A7DA4">
        <w:rPr>
          <w:rFonts w:ascii="Times New Roman" w:hAnsi="Times New Roman" w:cs="Times New Roman"/>
          <w:color w:val="000000" w:themeColor="text1"/>
          <w:sz w:val="28"/>
          <w:szCs w:val="28"/>
          <w:shd w:val="clear" w:color="auto" w:fill="FFFFFF"/>
          <w:lang w:val="es-MX" w:eastAsia="es-ES"/>
        </w:rPr>
        <w:t>l</w:t>
      </w:r>
      <w:r w:rsidRPr="003A7DA4">
        <w:rPr>
          <w:rFonts w:ascii="Times New Roman" w:hAnsi="Times New Roman" w:cs="Times New Roman"/>
          <w:sz w:val="28"/>
          <w:szCs w:val="28"/>
          <w:shd w:val="clear" w:color="auto" w:fill="FFFFFF"/>
          <w:lang w:val="es-MX"/>
        </w:rPr>
        <w:t xml:space="preserve"> Congreso impartió una aprobación global e íntegra del convenio internacional</w:t>
      </w:r>
      <w:r w:rsidRPr="003A7DA4">
        <w:rPr>
          <w:rFonts w:ascii="Times New Roman" w:hAnsi="Times New Roman" w:cs="Times New Roman"/>
          <w:sz w:val="28"/>
          <w:szCs w:val="28"/>
          <w:shd w:val="clear" w:color="auto" w:fill="FFFFFF"/>
          <w:lang w:val="es-MX"/>
        </w:rPr>
        <w:t>, tal y como quedó acreditado en el t</w:t>
      </w:r>
      <w:r w:rsidRPr="003A7DA4">
        <w:rPr>
          <w:rFonts w:ascii="Times New Roman" w:hAnsi="Times New Roman" w:cs="Times New Roman"/>
          <w:sz w:val="28"/>
          <w:szCs w:val="28"/>
          <w:shd w:val="clear" w:color="auto" w:fill="FFFFFF"/>
          <w:lang w:val="es-MX"/>
        </w:rPr>
        <w:t>rámite</w:t>
      </w:r>
      <w:r w:rsidRPr="003A7DA4">
        <w:rPr>
          <w:rFonts w:ascii="Times New Roman" w:hAnsi="Times New Roman" w:cs="Times New Roman"/>
          <w:sz w:val="28"/>
          <w:szCs w:val="28"/>
          <w:shd w:val="clear" w:color="auto" w:fill="FFFFFF"/>
          <w:lang w:val="es-MX"/>
        </w:rPr>
        <w:t xml:space="preserve"> legislativo. </w:t>
      </w:r>
    </w:p>
    <w:p w:rsidR="00CD62C8" w:rsidRPr="003A7DA4" w:rsidRDefault="003A7DA4" w:rsidP="00CD62C8">
      <w:pPr>
        <w:tabs>
          <w:tab w:val="left" w:pos="426"/>
        </w:tabs>
        <w:ind w:right="49"/>
        <w:jc w:val="both"/>
        <w:rPr>
          <w:rFonts w:ascii="Times New Roman" w:hAnsi="Times New Roman" w:cs="Times New Roman"/>
          <w:color w:val="000000" w:themeColor="text1"/>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Por lo anterior, la Corte Constitucional declarará </w:t>
      </w:r>
      <w:r w:rsidRPr="003A7DA4">
        <w:rPr>
          <w:rFonts w:ascii="Times New Roman" w:hAnsi="Times New Roman" w:cs="Times New Roman"/>
          <w:color w:val="000000" w:themeColor="text1"/>
          <w:sz w:val="28"/>
          <w:szCs w:val="28"/>
          <w:shd w:val="clear" w:color="auto" w:fill="FFFFFF"/>
        </w:rPr>
        <w:t>la inexequibilidad de la Ley</w:t>
      </w:r>
      <w:r w:rsidRPr="003A7DA4">
        <w:rPr>
          <w:rStyle w:val="apple-converted-space"/>
          <w:rFonts w:ascii="Times New Roman" w:eastAsiaTheme="majorEastAsia" w:hAnsi="Times New Roman" w:cs="Times New Roman"/>
          <w:color w:val="000000" w:themeColor="text1"/>
          <w:sz w:val="28"/>
          <w:szCs w:val="28"/>
          <w:shd w:val="clear" w:color="auto" w:fill="FFFFFF"/>
        </w:rPr>
        <w:t xml:space="preserve"> </w:t>
      </w:r>
      <w:r w:rsidRPr="003A7DA4">
        <w:rPr>
          <w:rFonts w:ascii="Times New Roman" w:hAnsi="Times New Roman" w:cs="Times New Roman"/>
          <w:color w:val="000000" w:themeColor="text1"/>
          <w:sz w:val="28"/>
          <w:szCs w:val="28"/>
          <w:lang w:val="es-ES_tradnl"/>
        </w:rPr>
        <w:t>2288 de 2023, aprobatoria del</w:t>
      </w:r>
      <w:r w:rsidRPr="003A7DA4">
        <w:rPr>
          <w:rFonts w:ascii="Times New Roman" w:hAnsi="Times New Roman" w:cs="Times New Roman"/>
          <w:color w:val="000000" w:themeColor="text1"/>
          <w:sz w:val="28"/>
          <w:szCs w:val="28"/>
        </w:rPr>
        <w:t xml:space="preserve"> “Convenio entre la República de Colombia y la República de Costa Rica sobre Asistencia Judicial en Materia Penal”, </w:t>
      </w:r>
      <w:r w:rsidRPr="003A7DA4">
        <w:rPr>
          <w:rFonts w:ascii="Times New Roman" w:hAnsi="Times New Roman" w:cs="Times New Roman"/>
          <w:color w:val="000000" w:themeColor="text1"/>
          <w:sz w:val="28"/>
          <w:szCs w:val="28"/>
          <w:lang w:val="es-ES_tradnl"/>
        </w:rPr>
        <w:t>pues en su trámite se incumplió el requisito de análisis de impacto fiscal exigido</w:t>
      </w:r>
      <w:r w:rsidRPr="003A7DA4">
        <w:rPr>
          <w:rFonts w:ascii="Times New Roman" w:hAnsi="Times New Roman" w:cs="Times New Roman"/>
          <w:color w:val="000000" w:themeColor="text1"/>
          <w:sz w:val="28"/>
          <w:szCs w:val="28"/>
          <w:lang w:val="es-ES_tradnl"/>
        </w:rPr>
        <w:t xml:space="preserve"> por el artículo 7° de la Ley 819 de 2003. Por lo anterior, la Corte se abstendrá de continuar con el examen sobre el procedimiento legislativo y de adelantar el control material de la ley aprobatoria y el tratado.</w:t>
      </w:r>
    </w:p>
    <w:p w:rsidR="00EC4959" w:rsidRPr="003A7DA4" w:rsidRDefault="003A7DA4" w:rsidP="004B477E">
      <w:pPr>
        <w:ind w:left="720"/>
        <w:rPr>
          <w:rFonts w:ascii="Times New Roman" w:hAnsi="Times New Roman" w:cs="Times New Roman"/>
          <w:sz w:val="28"/>
          <w:shd w:val="clear" w:color="auto" w:fill="FFFFFF"/>
        </w:rPr>
      </w:pPr>
    </w:p>
    <w:p w:rsidR="00EC4959" w:rsidRPr="003A7DA4" w:rsidRDefault="003A7DA4" w:rsidP="00A34028">
      <w:pPr>
        <w:numPr>
          <w:ilvl w:val="0"/>
          <w:numId w:val="8"/>
        </w:numPr>
        <w:tabs>
          <w:tab w:val="left" w:pos="426"/>
        </w:tabs>
        <w:ind w:left="0" w:right="49" w:firstLine="0"/>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Con todo, la Sala considera importante s</w:t>
      </w:r>
      <w:r w:rsidRPr="003A7DA4">
        <w:rPr>
          <w:rFonts w:ascii="Times New Roman" w:hAnsi="Times New Roman" w:cs="Times New Roman"/>
          <w:color w:val="000000" w:themeColor="text1"/>
          <w:sz w:val="28"/>
          <w:szCs w:val="28"/>
          <w:shd w:val="clear" w:color="auto" w:fill="FFFFFF"/>
        </w:rPr>
        <w:t>eñalar que el Gobierno nacional puede volver a presentar al Congreso de la República el “</w:t>
      </w:r>
      <w:r w:rsidRPr="003A7DA4">
        <w:rPr>
          <w:rFonts w:ascii="Times New Roman" w:hAnsi="Times New Roman" w:cs="Times New Roman"/>
          <w:color w:val="000000" w:themeColor="text1"/>
          <w:sz w:val="28"/>
          <w:szCs w:val="28"/>
        </w:rPr>
        <w:t xml:space="preserve">Convenio entre la República de Colombia y la República de Costa Rica sobre Asistencia Judicial en Materia Penal”, incluyendo el análisis de impacto fiscal, </w:t>
      </w:r>
      <w:r w:rsidRPr="003A7DA4">
        <w:rPr>
          <w:rFonts w:ascii="Times New Roman" w:hAnsi="Times New Roman" w:cs="Times New Roman"/>
          <w:color w:val="000000" w:themeColor="text1"/>
          <w:sz w:val="28"/>
          <w:szCs w:val="28"/>
          <w:shd w:val="clear" w:color="auto" w:fill="FFFFFF"/>
        </w:rPr>
        <w:t>en cumplimi</w:t>
      </w:r>
      <w:r w:rsidRPr="003A7DA4">
        <w:rPr>
          <w:rFonts w:ascii="Times New Roman" w:hAnsi="Times New Roman" w:cs="Times New Roman"/>
          <w:color w:val="000000" w:themeColor="text1"/>
          <w:sz w:val="28"/>
          <w:szCs w:val="28"/>
          <w:shd w:val="clear" w:color="auto" w:fill="FFFFFF"/>
        </w:rPr>
        <w:t>ento del artículo 7 de la Ley 819 de 2003. Ello, teniendo en cuenta la relevancia que para el país significa la cooperación judicial en el marco de la lucha contra la criminalidad y la garantía efectiva de varios derechos, entre ellos, el de acceso a la ad</w:t>
      </w:r>
      <w:r w:rsidRPr="003A7DA4">
        <w:rPr>
          <w:rFonts w:ascii="Times New Roman" w:hAnsi="Times New Roman" w:cs="Times New Roman"/>
          <w:color w:val="000000" w:themeColor="text1"/>
          <w:sz w:val="28"/>
          <w:szCs w:val="28"/>
          <w:shd w:val="clear" w:color="auto" w:fill="FFFFFF"/>
        </w:rPr>
        <w:t>ministración de justicia y los derechos de las víctimas. Además, llama la atención para que se tenga especial cuidado en dar cumplimiento a la norma orgánica referida, especialmente durante el trámite legislativo de iniciativas relativas a tratados interna</w:t>
      </w:r>
      <w:r w:rsidRPr="003A7DA4">
        <w:rPr>
          <w:rFonts w:ascii="Times New Roman" w:hAnsi="Times New Roman" w:cs="Times New Roman"/>
          <w:color w:val="000000" w:themeColor="text1"/>
          <w:sz w:val="28"/>
          <w:szCs w:val="28"/>
          <w:shd w:val="clear" w:color="auto" w:fill="FFFFFF"/>
        </w:rPr>
        <w:t>cionales, pues su desconocimiento no solamente impacta el adecuado cumplimiento de las funciones ejecutivas y legislativas, sino que afecta el logro de cometidos constitucionales que han de materializarse a través de instrumentos internacionales en los que</w:t>
      </w:r>
      <w:r w:rsidRPr="003A7DA4">
        <w:rPr>
          <w:rFonts w:ascii="Times New Roman" w:hAnsi="Times New Roman" w:cs="Times New Roman"/>
          <w:color w:val="000000" w:themeColor="text1"/>
          <w:sz w:val="28"/>
          <w:szCs w:val="28"/>
          <w:shd w:val="clear" w:color="auto" w:fill="FFFFFF"/>
        </w:rPr>
        <w:t xml:space="preserve"> Colombia ha participado.  </w:t>
      </w:r>
    </w:p>
    <w:p w:rsidR="00EC4959" w:rsidRPr="003A7DA4" w:rsidRDefault="003A7DA4" w:rsidP="00EC4959">
      <w:pPr>
        <w:jc w:val="both"/>
        <w:outlineLvl w:val="0"/>
        <w:rPr>
          <w:rFonts w:ascii="Times New Roman" w:hAnsi="Times New Roman" w:cs="Times New Roman"/>
          <w:b/>
          <w:bCs/>
          <w:color w:val="000000" w:themeColor="text1"/>
          <w:sz w:val="28"/>
        </w:rPr>
      </w:pPr>
    </w:p>
    <w:p w:rsidR="00EC4959" w:rsidRPr="003A7DA4" w:rsidRDefault="003A7DA4" w:rsidP="00067E87">
      <w:pPr>
        <w:pStyle w:val="Prrafodelista"/>
        <w:rPr>
          <w:rFonts w:ascii="Times New Roman" w:hAnsi="Times New Roman" w:cs="Times New Roman"/>
        </w:rPr>
      </w:pPr>
      <w:r w:rsidRPr="003A7DA4">
        <w:rPr>
          <w:rFonts w:ascii="Times New Roman" w:hAnsi="Times New Roman" w:cs="Times New Roman"/>
        </w:rPr>
        <w:t>DECISIÓN</w:t>
      </w:r>
    </w:p>
    <w:p w:rsidR="00EC4959" w:rsidRPr="003A7DA4" w:rsidRDefault="003A7DA4" w:rsidP="00EC4959">
      <w:pPr>
        <w:ind w:left="360"/>
        <w:rPr>
          <w:rFonts w:ascii="Times New Roman" w:hAnsi="Times New Roman" w:cs="Times New Roman"/>
          <w:color w:val="000000" w:themeColor="text1"/>
          <w:sz w:val="28"/>
        </w:rPr>
      </w:pPr>
    </w:p>
    <w:p w:rsidR="00EC4959" w:rsidRPr="003A7DA4" w:rsidRDefault="003A7DA4" w:rsidP="00EC4959">
      <w:pPr>
        <w:rPr>
          <w:rFonts w:ascii="Times New Roman" w:hAnsi="Times New Roman" w:cs="Times New Roman"/>
          <w:color w:val="000000" w:themeColor="text1"/>
          <w:sz w:val="28"/>
          <w:szCs w:val="28"/>
        </w:rPr>
      </w:pPr>
      <w:r w:rsidRPr="003A7DA4">
        <w:rPr>
          <w:rFonts w:ascii="Times New Roman" w:hAnsi="Times New Roman" w:cs="Times New Roman"/>
          <w:color w:val="000000" w:themeColor="text1"/>
          <w:sz w:val="28"/>
          <w:szCs w:val="28"/>
        </w:rPr>
        <w:t>En mérito de lo expuesto, la Corte Constitucional de Colombia, en nombre del pueblo y por mandato de la Constitución,</w:t>
      </w:r>
    </w:p>
    <w:p w:rsidR="00E738C7" w:rsidRPr="003A7DA4" w:rsidRDefault="003A7DA4" w:rsidP="00E738C7">
      <w:pPr>
        <w:rPr>
          <w:rFonts w:ascii="Times New Roman" w:hAnsi="Times New Roman" w:cs="Times New Roman"/>
          <w:color w:val="000000" w:themeColor="text1"/>
          <w:sz w:val="28"/>
        </w:rPr>
      </w:pPr>
    </w:p>
    <w:p w:rsidR="00EC4959" w:rsidRPr="003A7DA4" w:rsidRDefault="003A7DA4" w:rsidP="00EC4959">
      <w:pPr>
        <w:ind w:left="1080" w:hanging="720"/>
        <w:jc w:val="center"/>
        <w:rPr>
          <w:rFonts w:ascii="Times New Roman" w:hAnsi="Times New Roman" w:cs="Times New Roman"/>
          <w:b/>
          <w:bCs/>
          <w:color w:val="000000" w:themeColor="text1"/>
          <w:sz w:val="28"/>
          <w:szCs w:val="28"/>
        </w:rPr>
      </w:pPr>
      <w:r w:rsidRPr="003A7DA4">
        <w:rPr>
          <w:rFonts w:ascii="Times New Roman" w:hAnsi="Times New Roman" w:cs="Times New Roman"/>
          <w:b/>
          <w:bCs/>
          <w:color w:val="000000" w:themeColor="text1"/>
          <w:sz w:val="28"/>
          <w:szCs w:val="28"/>
        </w:rPr>
        <w:t>RESUELVE</w:t>
      </w:r>
    </w:p>
    <w:p w:rsidR="00EC4959" w:rsidRPr="003A7DA4" w:rsidRDefault="003A7DA4" w:rsidP="00EC4959">
      <w:pPr>
        <w:ind w:left="1080"/>
        <w:rPr>
          <w:rFonts w:ascii="Times New Roman" w:hAnsi="Times New Roman" w:cs="Times New Roman"/>
          <w:color w:val="000000" w:themeColor="text1"/>
          <w:sz w:val="28"/>
        </w:rPr>
      </w:pPr>
    </w:p>
    <w:p w:rsidR="00EC4959" w:rsidRPr="003A7DA4" w:rsidRDefault="003A7DA4" w:rsidP="00EC4959">
      <w:pPr>
        <w:jc w:val="both"/>
        <w:rPr>
          <w:rFonts w:ascii="Times New Roman" w:hAnsi="Times New Roman" w:cs="Times New Roman"/>
          <w:color w:val="000000" w:themeColor="text1"/>
          <w:sz w:val="28"/>
          <w:szCs w:val="28"/>
        </w:rPr>
      </w:pPr>
      <w:r w:rsidRPr="003A7DA4">
        <w:rPr>
          <w:rFonts w:ascii="Times New Roman" w:hAnsi="Times New Roman" w:cs="Times New Roman"/>
          <w:b/>
          <w:bCs/>
          <w:color w:val="000000" w:themeColor="text1"/>
          <w:sz w:val="28"/>
          <w:szCs w:val="28"/>
        </w:rPr>
        <w:t>ÚNICO</w:t>
      </w:r>
      <w:r w:rsidRPr="003A7DA4">
        <w:rPr>
          <w:rFonts w:ascii="Times New Roman" w:hAnsi="Times New Roman" w:cs="Times New Roman"/>
          <w:color w:val="000000" w:themeColor="text1"/>
          <w:sz w:val="28"/>
          <w:szCs w:val="28"/>
        </w:rPr>
        <w:t xml:space="preserve">. Declarar </w:t>
      </w:r>
      <w:r w:rsidRPr="003A7DA4">
        <w:rPr>
          <w:rFonts w:ascii="Times New Roman" w:hAnsi="Times New Roman" w:cs="Times New Roman"/>
          <w:b/>
          <w:bCs/>
          <w:color w:val="000000" w:themeColor="text1"/>
          <w:sz w:val="28"/>
          <w:szCs w:val="28"/>
        </w:rPr>
        <w:t>INEXEQUIBLE</w:t>
      </w:r>
      <w:r w:rsidRPr="003A7DA4">
        <w:rPr>
          <w:rFonts w:ascii="Times New Roman" w:hAnsi="Times New Roman" w:cs="Times New Roman"/>
          <w:color w:val="000000" w:themeColor="text1"/>
          <w:sz w:val="28"/>
          <w:szCs w:val="28"/>
        </w:rPr>
        <w:t xml:space="preserve"> la Ley 2288 de 2023, “[p]or medio de la cual se aprueba el “</w:t>
      </w:r>
      <w:r w:rsidRPr="003A7DA4">
        <w:rPr>
          <w:rFonts w:ascii="Times New Roman" w:hAnsi="Times New Roman" w:cs="Times New Roman"/>
          <w:color w:val="000000" w:themeColor="text1"/>
          <w:sz w:val="28"/>
          <w:szCs w:val="28"/>
        </w:rPr>
        <w:t xml:space="preserve">Convenio entre la República de Colombia y la República de Costa Rica sobre Asistencia Judicial en Materia Penal”, suscrito en Washington, el 4 de junio de 2018, por vicio de trámite y conforme las razones expuestas en esta providencia. </w:t>
      </w:r>
    </w:p>
    <w:p w:rsidR="00EC4959" w:rsidRPr="003A7DA4" w:rsidRDefault="003A7DA4" w:rsidP="00EC4959">
      <w:pPr>
        <w:jc w:val="both"/>
        <w:rPr>
          <w:rFonts w:ascii="Times New Roman" w:hAnsi="Times New Roman" w:cs="Times New Roman"/>
          <w:color w:val="000000" w:themeColor="text1"/>
          <w:sz w:val="28"/>
          <w:szCs w:val="28"/>
        </w:rPr>
      </w:pPr>
    </w:p>
    <w:p w:rsidR="00A916EB" w:rsidRPr="003A7DA4" w:rsidRDefault="003A7DA4" w:rsidP="00600250">
      <w:pPr>
        <w:tabs>
          <w:tab w:val="left" w:pos="426"/>
        </w:tabs>
        <w:ind w:right="49"/>
        <w:jc w:val="both"/>
        <w:rPr>
          <w:rFonts w:ascii="Times New Roman" w:hAnsi="Times New Roman" w:cs="Times New Roman"/>
          <w:color w:val="000000" w:themeColor="text1"/>
          <w:sz w:val="28"/>
          <w:szCs w:val="28"/>
          <w:shd w:val="clear" w:color="auto" w:fill="FFFFFF"/>
        </w:rPr>
      </w:pPr>
      <w:r w:rsidRPr="003A7DA4">
        <w:rPr>
          <w:rFonts w:ascii="Times New Roman" w:hAnsi="Times New Roman" w:cs="Times New Roman"/>
          <w:color w:val="000000" w:themeColor="text1"/>
          <w:sz w:val="28"/>
          <w:szCs w:val="28"/>
          <w:shd w:val="clear" w:color="auto" w:fill="FFFFFF"/>
        </w:rPr>
        <w:t xml:space="preserve">Notifíquese, </w:t>
      </w:r>
      <w:r w:rsidRPr="003A7DA4">
        <w:rPr>
          <w:rFonts w:ascii="Times New Roman" w:hAnsi="Times New Roman" w:cs="Times New Roman"/>
          <w:color w:val="000000" w:themeColor="text1"/>
          <w:sz w:val="28"/>
          <w:szCs w:val="28"/>
          <w:shd w:val="clear" w:color="auto" w:fill="FFFFFF"/>
        </w:rPr>
        <w:t>comuníquese y cúmplase</w:t>
      </w:r>
    </w:p>
    <w:p w:rsidR="00690353" w:rsidRPr="003A7DA4" w:rsidRDefault="003A7DA4" w:rsidP="00600250">
      <w:pPr>
        <w:tabs>
          <w:tab w:val="left" w:pos="426"/>
        </w:tabs>
        <w:ind w:right="49"/>
        <w:jc w:val="both"/>
        <w:rPr>
          <w:rFonts w:ascii="Times New Roman" w:hAnsi="Times New Roman" w:cs="Times New Roman"/>
          <w:sz w:val="28"/>
          <w:szCs w:val="28"/>
        </w:rPr>
      </w:pPr>
    </w:p>
    <w:p w:rsidR="00690353" w:rsidRPr="003A7DA4" w:rsidRDefault="003A7DA4" w:rsidP="00600250">
      <w:pPr>
        <w:tabs>
          <w:tab w:val="left" w:pos="426"/>
        </w:tabs>
        <w:ind w:right="49"/>
        <w:jc w:val="both"/>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JOSE FERNANDO REYES CUARTAS</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Presidente</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NATALIA ÁNGEL CABO</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Magistrada</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JUAN CARLOS CORTÉS GONZÁLEZ</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Magistrado</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DIANA FAJARDO RIVERA</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Magistrada</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VLADIMIR FERNÁNDEZ ANDRADE</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Magistrado</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Con impedimento aceptado</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 xml:space="preserve">JORGE ENRIQUE IBÁÑEZ NAJAR </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Magistrado</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Con aclaración de voto</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ANTONIO JOSÉ LIZARAZO OCAMPO</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Magistrado</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Con salvamento de voto</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PAOLA ANDREA MENESES MOSQUERA</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Magistrada</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CRISTINA PARDO SCHLESINGER</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Magistrada</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Con aclaración de voto</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ANDREA LILIANA RO</w:t>
      </w:r>
      <w:r w:rsidRPr="003A7DA4">
        <w:rPr>
          <w:rFonts w:ascii="Times New Roman" w:hAnsi="Times New Roman" w:cs="Times New Roman"/>
          <w:sz w:val="28"/>
          <w:szCs w:val="28"/>
        </w:rPr>
        <w:t>MERO LOPEZ</w:t>
      </w:r>
    </w:p>
    <w:p w:rsidR="00690353" w:rsidRPr="003A7DA4" w:rsidRDefault="003A7DA4" w:rsidP="00690353">
      <w:pPr>
        <w:tabs>
          <w:tab w:val="left" w:pos="426"/>
        </w:tabs>
        <w:ind w:right="49"/>
        <w:jc w:val="center"/>
        <w:rPr>
          <w:rFonts w:ascii="Times New Roman" w:hAnsi="Times New Roman" w:cs="Times New Roman"/>
          <w:sz w:val="28"/>
          <w:szCs w:val="28"/>
        </w:rPr>
      </w:pPr>
      <w:r w:rsidRPr="003A7DA4">
        <w:rPr>
          <w:rFonts w:ascii="Times New Roman" w:hAnsi="Times New Roman" w:cs="Times New Roman"/>
          <w:sz w:val="28"/>
          <w:szCs w:val="28"/>
        </w:rPr>
        <w:t>Secretaria General</w:t>
      </w: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p w:rsidR="00690353" w:rsidRPr="003A7DA4" w:rsidRDefault="003A7DA4" w:rsidP="00690353">
      <w:pPr>
        <w:tabs>
          <w:tab w:val="left" w:pos="426"/>
        </w:tabs>
        <w:ind w:right="49"/>
        <w:jc w:val="center"/>
        <w:rPr>
          <w:rFonts w:ascii="Times New Roman" w:hAnsi="Times New Roman" w:cs="Times New Roman"/>
          <w:sz w:val="28"/>
          <w:szCs w:val="28"/>
        </w:rPr>
      </w:pPr>
    </w:p>
    <w:sectPr w:rsidR="00690353" w:rsidRPr="003A7DA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A7DA4">
      <w:pPr>
        <w:spacing w:after="0" w:line="240" w:lineRule="auto"/>
      </w:pPr>
      <w:r>
        <w:separator/>
      </w:r>
    </w:p>
  </w:endnote>
  <w:endnote w:type="continuationSeparator" w:id="0">
    <w:p w:rsidR="00000000" w:rsidRDefault="003A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A7DA4">
      <w:pPr>
        <w:spacing w:after="0" w:line="240" w:lineRule="auto"/>
      </w:pPr>
      <w:r>
        <w:separator/>
      </w:r>
    </w:p>
  </w:footnote>
  <w:footnote w:type="continuationSeparator" w:id="0">
    <w:p w:rsidR="00000000" w:rsidRDefault="003A7DA4">
      <w:pPr>
        <w:spacing w:after="0" w:line="240" w:lineRule="auto"/>
      </w:pPr>
      <w:r>
        <w:continuationSeparator/>
      </w:r>
    </w:p>
  </w:footnote>
  <w:footnote w:id="1">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La Circular 01 de 2017 de la Corte Constitucional establece que los proyectos de providencia a cargo de la Sala Plena incluirán una síntesis de la decisión al final de la parte considerativa. No obstante, en este proyecto se ubica al inicio de la decisión</w:t>
      </w:r>
      <w:r w:rsidRPr="00701677">
        <w:t xml:space="preserve"> para atender la pauta de lenguaje claro en cuanto organizar la información a partir de las necesidades de la ciudadanía y que, en el caso particular, la información más relevante es acerca de cuál fue la decisión adoptada por la Corte.</w:t>
      </w:r>
    </w:p>
  </w:footnote>
  <w:footnote w:id="2">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w:t>
      </w:r>
      <w:r w:rsidRPr="00701677">
        <w:t>l LAT-489, archivo: LAT0000489 -“</w:t>
      </w:r>
      <w:r w:rsidRPr="00701677">
        <w:rPr>
          <w:rFonts w:eastAsiaTheme="majorEastAsia"/>
        </w:rPr>
        <w:t>Control Constitucional Ley Aprobatoria de Tratado</w:t>
      </w:r>
      <w:r w:rsidRPr="00701677">
        <w:t>”.</w:t>
      </w:r>
    </w:p>
  </w:footnote>
  <w:footnote w:id="3">
    <w:p w:rsidR="00EC4959" w:rsidRPr="00701677" w:rsidRDefault="003A7DA4" w:rsidP="00654CB1">
      <w:pPr>
        <w:pStyle w:val="Textonotapie"/>
        <w:jc w:val="both"/>
      </w:pPr>
      <w:r w:rsidRPr="00701677">
        <w:rPr>
          <w:vertAlign w:val="superscript"/>
        </w:rPr>
        <w:footnoteRef/>
      </w:r>
      <w:r w:rsidRPr="00701677">
        <w:t xml:space="preserve"> </w:t>
      </w:r>
      <w:r w:rsidRPr="00701677">
        <w:rPr>
          <w:i/>
        </w:rPr>
        <w:t>“</w:t>
      </w:r>
      <w:r w:rsidRPr="00701677">
        <w:rPr>
          <w:iCs/>
        </w:rPr>
        <w:t xml:space="preserve">A la Corte Constitucional se le confía la guarda de la integridad y supremacía de la Constitución, en los estrictos y precisos términos de este artículo. Con tal fin, </w:t>
      </w:r>
      <w:r w:rsidRPr="00701677">
        <w:rPr>
          <w:iCs/>
        </w:rPr>
        <w:t xml:space="preserve">cumplirá las siguientes funciones: (…) 10. Decidir definitivamente sobre la exequibilidad de los tratados internacionales y de las leyes que los aprueben. Con tal fin, el Gobierno los remitirá a la Corte, dentro de los seis días siguientes a la sanción de </w:t>
      </w:r>
      <w:r w:rsidRPr="00701677">
        <w:rPr>
          <w:iCs/>
        </w:rPr>
        <w:t>la ley. Cualquier ciudadano podrá intervenir para defender o impugnar su constitucionalidad (…)</w:t>
      </w:r>
      <w:r w:rsidRPr="00701677">
        <w:rPr>
          <w:i/>
        </w:rPr>
        <w:t>”.</w:t>
      </w:r>
    </w:p>
  </w:footnote>
  <w:footnote w:id="4">
    <w:p w:rsidR="00EC4959" w:rsidRPr="00701677" w:rsidRDefault="003A7DA4" w:rsidP="00654CB1">
      <w:pPr>
        <w:pStyle w:val="Textonotapie"/>
        <w:jc w:val="both"/>
      </w:pPr>
      <w:r w:rsidRPr="00701677">
        <w:rPr>
          <w:vertAlign w:val="superscript"/>
        </w:rPr>
        <w:footnoteRef/>
      </w:r>
      <w:r w:rsidRPr="00701677">
        <w:t xml:space="preserve"> Expediente digital LAT-489 “ACTA DE REPARTO SESIÓN SALA PLENA DEL 23 DE FEBRERO DE 2023”.</w:t>
      </w:r>
    </w:p>
  </w:footnote>
  <w:footnote w:id="5">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w:t>
      </w:r>
      <w:r w:rsidRPr="00701677">
        <w:rPr>
          <w:rFonts w:eastAsiaTheme="majorEastAsia"/>
        </w:rPr>
        <w:t xml:space="preserve">Auto avoca conocimiento, decreta la </w:t>
      </w:r>
      <w:r w:rsidRPr="00701677">
        <w:rPr>
          <w:rFonts w:eastAsiaTheme="majorEastAsia"/>
        </w:rPr>
        <w:t>práctica de pruebas y otras decisiones</w:t>
      </w:r>
      <w:r w:rsidRPr="00701677">
        <w:t>”. Se invitó a las facultades de Derecho de la Universidad Nacional de Colombia, Universidad del Rosario, Universidad de Antioquia, Universidad Javeriana de Bogotá, Universidad de Manizales y Universidad Francisco de P</w:t>
      </w:r>
      <w:r w:rsidRPr="00701677">
        <w:t>aula Santander, así como a la Corte Suprema de Justicia y a la Fiscalía General de la Nación.</w:t>
      </w:r>
    </w:p>
  </w:footnote>
  <w:footnote w:id="6">
    <w:p w:rsidR="00EC4959" w:rsidRPr="00701677" w:rsidRDefault="003A7DA4" w:rsidP="00654CB1">
      <w:pPr>
        <w:pStyle w:val="Textonotapie"/>
        <w:jc w:val="both"/>
      </w:pPr>
      <w:r w:rsidRPr="00701677">
        <w:rPr>
          <w:vertAlign w:val="superscript"/>
        </w:rPr>
        <w:footnoteRef/>
      </w:r>
      <w:r w:rsidRPr="00701677">
        <w:t xml:space="preserve"> Expediente digital LAT-489. “</w:t>
      </w:r>
      <w:r w:rsidRPr="00701677">
        <w:rPr>
          <w:rFonts w:eastAsiaTheme="majorEastAsia"/>
        </w:rPr>
        <w:t>Auto ordena continuar con el trámite procesal</w:t>
      </w:r>
      <w:r w:rsidRPr="00701677">
        <w:t>”</w:t>
      </w:r>
    </w:p>
  </w:footnote>
  <w:footnote w:id="7">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w:t>
      </w:r>
      <w:r w:rsidRPr="00701677">
        <w:rPr>
          <w:rFonts w:eastAsiaTheme="majorEastAsia"/>
        </w:rPr>
        <w:t xml:space="preserve">Auto de Sala Plena No. 2011 del 24 de agosto de 2023 </w:t>
      </w:r>
      <w:r w:rsidRPr="00701677">
        <w:rPr>
          <w:rFonts w:eastAsiaTheme="majorEastAsia"/>
        </w:rPr>
        <w:t>- Resuelve manifestación de impedimento de la Procuradora General de la Nación</w:t>
      </w:r>
      <w:r w:rsidRPr="00701677">
        <w:t>”. El impedimento se resolvió en el siguiente sentido:</w:t>
      </w:r>
      <w:r w:rsidRPr="00701677">
        <w:rPr>
          <w:i/>
          <w:iCs/>
        </w:rPr>
        <w:t xml:space="preserve">“(...) </w:t>
      </w:r>
      <w:r w:rsidRPr="00701677">
        <w:rPr>
          <w:b/>
          <w:bCs/>
          <w:i/>
          <w:iCs/>
        </w:rPr>
        <w:t xml:space="preserve">Primero.- DECLARAR INFUNDADO, </w:t>
      </w:r>
      <w:r w:rsidRPr="00701677">
        <w:rPr>
          <w:i/>
          <w:iCs/>
        </w:rPr>
        <w:t xml:space="preserve">con base en las razones expresadas en esta providencia, el impedimento manifestado por </w:t>
      </w:r>
      <w:r w:rsidRPr="00701677">
        <w:rPr>
          <w:i/>
          <w:iCs/>
        </w:rPr>
        <w:t>la procuradora general de la Nación, Margarita Cabello Blanco, para emitir concepto dentro del expediente LAT-489.”</w:t>
      </w:r>
    </w:p>
  </w:footnote>
  <w:footnote w:id="8">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w:t>
      </w:r>
      <w:r w:rsidRPr="00701677">
        <w:rPr>
          <w:rFonts w:eastAsiaTheme="majorEastAsia"/>
        </w:rPr>
        <w:t>LAT0000489. Manifestación posible impedimento</w:t>
      </w:r>
      <w:r w:rsidRPr="00701677">
        <w:t>”</w:t>
      </w:r>
    </w:p>
  </w:footnote>
  <w:footnote w:id="9">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w:t>
      </w:r>
      <w:r w:rsidRPr="00701677">
        <w:rPr>
          <w:rFonts w:eastAsiaTheme="majorEastAsia"/>
        </w:rPr>
        <w:t>LAT0000489. Constancia cambio pon</w:t>
      </w:r>
      <w:r w:rsidRPr="00701677">
        <w:rPr>
          <w:rFonts w:eastAsiaTheme="majorEastAsia"/>
        </w:rPr>
        <w:t>ente</w:t>
      </w:r>
      <w:r w:rsidRPr="00701677">
        <w:t>”</w:t>
      </w:r>
    </w:p>
  </w:footnote>
  <w:footnote w:id="10">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“Por medio de la cual se aprueba el ‘Convenio entre la República de Colombia y la República de Costa Rica sobre asistencia judicial en materia penal”.</w:t>
      </w:r>
    </w:p>
  </w:footnote>
  <w:footnote w:id="11">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Escrito de intervención suscrito por el ciudadano Miguel Ángel González Chaves, director de Des</w:t>
      </w:r>
      <w:r w:rsidRPr="00701677">
        <w:t>arrollo del Derecho y del Ordenamiento Jurídico del Ministerio de Justicia y del Derecho. Expediente digital LAT-489, archivo “LAT0000489-Conceptos e Intervenciones-(2023-06-29 13-32-24).pdf”.</w:t>
      </w:r>
    </w:p>
  </w:footnote>
  <w:footnote w:id="12">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Escrito de intervención suscrito por el ciudadano Juan Carlos</w:t>
      </w:r>
      <w:r w:rsidRPr="00701677">
        <w:t xml:space="preserve"> Losada Perdomo, director de Asuntos Jurídicos Internacionales del Ministerio de Relaciones Exteriores. Expediente digital LAT-489, archivo “LAT0000489-Conceptos e Intervenciones-(2023-06-28 12-25-34).pdf.”</w:t>
      </w:r>
    </w:p>
  </w:footnote>
  <w:footnote w:id="13">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archivo “LAT0000489</w:t>
      </w:r>
      <w:r w:rsidRPr="00701677">
        <w:t xml:space="preserve">-Conceptos e Intervenciones-(2023-07-01 05-36-46).pdf”. </w:t>
      </w:r>
    </w:p>
  </w:footnote>
  <w:footnote w:id="14">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archivo “LAT0000489-Conceptos e Intervenciones-(2023-06-24 01-37-49).pdf.”</w:t>
      </w:r>
    </w:p>
  </w:footnote>
  <w:footnote w:id="15">
    <w:p w:rsidR="00EC4959" w:rsidRPr="00701677" w:rsidRDefault="003A7DA4" w:rsidP="00654CB1">
      <w:pPr>
        <w:ind w:right="56"/>
        <w:contextualSpacing/>
        <w:jc w:val="both"/>
        <w:rPr>
          <w:sz w:val="20"/>
          <w:szCs w:val="20"/>
        </w:rPr>
      </w:pPr>
      <w:r w:rsidRPr="00701677">
        <w:rPr>
          <w:rStyle w:val="PrrafodelistaCar"/>
          <w:rFonts w:eastAsiaTheme="majorEastAsia"/>
          <w:sz w:val="20"/>
          <w:szCs w:val="20"/>
          <w:vertAlign w:val="superscript"/>
        </w:rPr>
        <w:footnoteRef/>
      </w:r>
      <w:r w:rsidRPr="00701677">
        <w:rPr>
          <w:sz w:val="20"/>
          <w:szCs w:val="20"/>
        </w:rPr>
        <w:t xml:space="preserve"> Expediente digital LAT-489, archivo “LAT0000489-Concepto del Procurador General de la Nación</w:t>
      </w:r>
      <w:r w:rsidRPr="00701677">
        <w:rPr>
          <w:sz w:val="20"/>
          <w:szCs w:val="20"/>
        </w:rPr>
        <w:t>-(2023-09-05 15-22-12).pdf”.</w:t>
      </w:r>
    </w:p>
  </w:footnote>
  <w:footnote w:id="16">
    <w:p w:rsidR="00EC4959" w:rsidRPr="00701677" w:rsidRDefault="003A7DA4" w:rsidP="00654CB1">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Según este, la Corte Constitucional es competente para decidir definitivamente sobre la constitucionalidad de los tratados internacionales y de sus leyes aprobatorias.</w:t>
      </w:r>
    </w:p>
  </w:footnote>
  <w:footnote w:id="17">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w:t>
      </w:r>
      <w:r w:rsidRPr="00701677">
        <w:rPr>
          <w:iCs/>
        </w:rPr>
        <w:t>Cfr.,</w:t>
      </w:r>
      <w:r w:rsidRPr="00701677">
        <w:t xml:space="preserve"> entre otras, las sentencias C-184 de 2016, C-576 </w:t>
      </w:r>
      <w:r w:rsidRPr="00701677">
        <w:t>de 2006, C-924 de 2000, C-400 de 1998 y C-468 de 1997.</w:t>
      </w:r>
    </w:p>
  </w:footnote>
  <w:footnote w:id="18">
    <w:p w:rsidR="00EC4959" w:rsidRPr="00701677" w:rsidRDefault="003A7DA4" w:rsidP="00654CB1">
      <w:pPr>
        <w:jc w:val="both"/>
        <w:rPr>
          <w:sz w:val="20"/>
          <w:szCs w:val="20"/>
        </w:rPr>
      </w:pPr>
      <w:r w:rsidRPr="00701677">
        <w:rPr>
          <w:rStyle w:val="Refdenotaalpie"/>
          <w:rFonts w:eastAsiaTheme="majorEastAsia"/>
          <w:sz w:val="20"/>
          <w:szCs w:val="20"/>
        </w:rPr>
        <w:footnoteRef/>
      </w:r>
      <w:r w:rsidRPr="00701677">
        <w:rPr>
          <w:sz w:val="20"/>
          <w:szCs w:val="20"/>
        </w:rPr>
        <w:t xml:space="preserve"> </w:t>
      </w:r>
      <w:r w:rsidRPr="00701677">
        <w:rPr>
          <w:sz w:val="20"/>
          <w:szCs w:val="20"/>
          <w:lang w:val="es-MX"/>
        </w:rPr>
        <w:t>Cfr., entre otras, las sentencias C-091 de 2021,</w:t>
      </w:r>
      <w:r w:rsidRPr="00701677">
        <w:rPr>
          <w:sz w:val="20"/>
          <w:szCs w:val="20"/>
          <w:shd w:val="clear" w:color="auto" w:fill="FFFFFF"/>
        </w:rPr>
        <w:t xml:space="preserve"> C-252 de 2019, C-492 de 2019, C-491 de 2019, C-260 de 2014 y C-460 de 2010.</w:t>
      </w:r>
    </w:p>
  </w:footnote>
  <w:footnote w:id="19">
    <w:p w:rsidR="00EC4959" w:rsidRPr="00701677" w:rsidRDefault="003A7DA4" w:rsidP="00654CB1">
      <w:pPr>
        <w:pStyle w:val="Textonotapie"/>
        <w:jc w:val="both"/>
        <w:rPr>
          <w:lang w:val="es-ES"/>
        </w:rPr>
      </w:pPr>
      <w:r w:rsidRPr="00701677">
        <w:rPr>
          <w:rStyle w:val="Refdenotaalpie"/>
          <w:rFonts w:eastAsiaTheme="majorEastAsia"/>
          <w:sz w:val="20"/>
          <w:szCs w:val="20"/>
        </w:rPr>
        <w:footnoteRef/>
      </w:r>
      <w:r w:rsidRPr="00701677">
        <w:t xml:space="preserve"> </w:t>
      </w:r>
      <w:r w:rsidRPr="00701677">
        <w:rPr>
          <w:lang w:val="es-ES"/>
        </w:rPr>
        <w:t>Este apartado se retoma de la Sentencia C-175 de 2023.</w:t>
      </w:r>
    </w:p>
  </w:footnote>
  <w:footnote w:id="20">
    <w:p w:rsidR="00EC4959" w:rsidRPr="00701677" w:rsidRDefault="003A7DA4" w:rsidP="00654CB1">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 xml:space="preserve">Sentencia C-446 de 2009. </w:t>
      </w:r>
      <w:r w:rsidRPr="00701677">
        <w:rPr>
          <w:iCs/>
        </w:rPr>
        <w:t>Cfr.,</w:t>
      </w:r>
      <w:r w:rsidRPr="00701677">
        <w:t xml:space="preserve"> entre otras, las sentencias C-460 de 2010 y C-577 de 2009.</w:t>
      </w:r>
    </w:p>
  </w:footnote>
  <w:footnote w:id="21">
    <w:p w:rsidR="00EC4959" w:rsidRPr="00701677" w:rsidRDefault="003A7DA4" w:rsidP="00654CB1">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 xml:space="preserve">Ver, por ejemplo, la Sentencia C-252 de 2019. </w:t>
      </w:r>
    </w:p>
  </w:footnote>
  <w:footnote w:id="22">
    <w:p w:rsidR="00EC4959" w:rsidRPr="00701677" w:rsidRDefault="003A7DA4" w:rsidP="00654CB1">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 xml:space="preserve">Ibid. </w:t>
      </w:r>
      <w:r w:rsidRPr="00701677">
        <w:rPr>
          <w:lang w:val="es-ES_tradnl"/>
        </w:rPr>
        <w:t>Es importante reiterar que la competencia de la Corte también se extiende a los instrumentos normativos anexo</w:t>
      </w:r>
      <w:r w:rsidRPr="00701677">
        <w:rPr>
          <w:lang w:val="es-ES_tradnl"/>
        </w:rPr>
        <w:t>s y conexos que tengan por objeto dar alcance a lo pactado en el tratado, siempre que constituyan nuevas obligaciones internacionales, tal como lo ha resaltado, entre otras, en las sentencias C-169 de 2012, C-750 de 2008, C-294 de 2002 y C-249 de 1994.</w:t>
      </w:r>
    </w:p>
  </w:footnote>
  <w:footnote w:id="23">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S</w:t>
      </w:r>
      <w:r w:rsidRPr="00701677">
        <w:t>entencia C-150 de 2009.</w:t>
      </w:r>
    </w:p>
  </w:footnote>
  <w:footnote w:id="24">
    <w:p w:rsidR="00EC4959" w:rsidRPr="00701677" w:rsidRDefault="003A7DA4" w:rsidP="00654CB1">
      <w:pPr>
        <w:jc w:val="both"/>
        <w:rPr>
          <w:sz w:val="20"/>
          <w:szCs w:val="20"/>
        </w:rPr>
      </w:pPr>
      <w:r w:rsidRPr="00701677">
        <w:rPr>
          <w:rStyle w:val="Refdenotaalpie"/>
          <w:rFonts w:eastAsiaTheme="majorEastAsia"/>
          <w:sz w:val="20"/>
          <w:szCs w:val="20"/>
        </w:rPr>
        <w:footnoteRef/>
      </w:r>
      <w:r w:rsidRPr="00701677">
        <w:rPr>
          <w:sz w:val="20"/>
          <w:szCs w:val="20"/>
        </w:rPr>
        <w:t xml:space="preserve"> C</w:t>
      </w:r>
      <w:r w:rsidRPr="00701677">
        <w:rPr>
          <w:sz w:val="20"/>
          <w:szCs w:val="20"/>
          <w:lang w:val="es-ES_tradnl"/>
        </w:rPr>
        <w:t xml:space="preserve">fr., los artículos 9, 150.16, 189.2, 224 y 226 de la Constitución. </w:t>
      </w:r>
      <w:r w:rsidRPr="00701677">
        <w:rPr>
          <w:sz w:val="20"/>
          <w:szCs w:val="20"/>
        </w:rPr>
        <w:t>Se pueden consultar, entre otras, las sentencias C-163 de 2015, C-383 de 2008 y C-421 de 1997.</w:t>
      </w:r>
    </w:p>
  </w:footnote>
  <w:footnote w:id="25">
    <w:p w:rsidR="00EC4959" w:rsidRPr="00701677" w:rsidRDefault="003A7DA4" w:rsidP="00654CB1">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Esta Corte ha reiterado que el control de constitucionalidad de l</w:t>
      </w:r>
      <w:r w:rsidRPr="00701677">
        <w:rPr>
          <w:sz w:val="20"/>
          <w:szCs w:val="20"/>
        </w:rPr>
        <w:t xml:space="preserve">os tratados internacionales y de sus leyes aprobatorias incluye el examen de las facultades del representante del Estado colombiano en la negociación, celebración y firma del acuerdo. </w:t>
      </w:r>
      <w:r w:rsidRPr="00701677">
        <w:rPr>
          <w:iCs/>
          <w:sz w:val="20"/>
          <w:szCs w:val="20"/>
        </w:rPr>
        <w:t>Cfr.,</w:t>
      </w:r>
      <w:r w:rsidRPr="00701677">
        <w:rPr>
          <w:sz w:val="20"/>
          <w:szCs w:val="20"/>
        </w:rPr>
        <w:t xml:space="preserve"> las sentencias C-048 de 2018, C-214 de 2017, C-047 de 2017, C-378 </w:t>
      </w:r>
      <w:r w:rsidRPr="00701677">
        <w:rPr>
          <w:sz w:val="20"/>
          <w:szCs w:val="20"/>
        </w:rPr>
        <w:t>de 2009, C-039 de 2009, C-537 de 2008, C-534 de 2008, C-933 de 2006 y C-582 de 2002.</w:t>
      </w:r>
    </w:p>
  </w:footnote>
  <w:footnote w:id="26">
    <w:p w:rsidR="00EC4959" w:rsidRPr="00701677" w:rsidRDefault="003A7DA4" w:rsidP="00654CB1">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Artículos 189.2 y 241.10 de la Constitución.</w:t>
      </w:r>
    </w:p>
  </w:footnote>
  <w:footnote w:id="27">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Incorporada al ordenamiento jurídico colombiano mediante la Ley 32 de 1985. Al respecto, </w:t>
      </w:r>
      <w:r w:rsidRPr="00701677">
        <w:rPr>
          <w:iCs/>
        </w:rPr>
        <w:t>el artículo</w:t>
      </w:r>
      <w:r w:rsidRPr="00701677">
        <w:t xml:space="preserve"> 9 de la Constitución </w:t>
      </w:r>
      <w:r w:rsidRPr="00701677">
        <w:t>dispone: “[l]</w:t>
      </w:r>
      <w:r w:rsidRPr="00701677">
        <w:rPr>
          <w:iCs/>
        </w:rPr>
        <w:t>as relaciones del Estado se fundamentan en […] el reconocimiento de los principios del derecho internacional aceptados por Colombia</w:t>
      </w:r>
      <w:r w:rsidRPr="00701677">
        <w:t>”.</w:t>
      </w:r>
    </w:p>
  </w:footnote>
  <w:footnote w:id="28">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Expediente digital LAT-489, archivo “Control Constitucional Ley Aprobatoria de Tratado”. Folio 28.</w:t>
      </w:r>
    </w:p>
  </w:footnote>
  <w:footnote w:id="29">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El citado artículo dispone lo siguiente: “Artículo 7. Plenos poderes. 1. Para la adopción o la autenticación del texto de un tratado o para manifestar el consentimiento del Estado en obligarse por un tratado, se considerará que una persona representa a un</w:t>
      </w:r>
      <w:r w:rsidRPr="00701677">
        <w:t xml:space="preserve"> Estado: || a) Si presenta los adecuados plenos poderes, o || b) Si se deduce de la práctica o de otras circunstancias que la intención de los Estados y de las organizaciones internacionales de que se trate ha sido considerar a esa persona representante de</w:t>
      </w:r>
      <w:r w:rsidRPr="00701677">
        <w:t>l Estado para esos efectos sin la presentación de plenos poderes”.</w:t>
      </w:r>
    </w:p>
  </w:footnote>
  <w:footnote w:id="30">
    <w:p w:rsidR="00AB4AB2" w:rsidRPr="00671D98" w:rsidRDefault="003A7DA4" w:rsidP="00671D98">
      <w:pPr>
        <w:jc w:val="both"/>
        <w:rPr>
          <w:sz w:val="20"/>
          <w:szCs w:val="20"/>
        </w:rPr>
      </w:pPr>
      <w:r w:rsidRPr="00671D98">
        <w:rPr>
          <w:rStyle w:val="Refdenotaalpie"/>
          <w:rFonts w:eastAsiaTheme="majorEastAsia"/>
          <w:sz w:val="20"/>
          <w:szCs w:val="20"/>
        </w:rPr>
        <w:footnoteRef/>
      </w:r>
      <w:r w:rsidRPr="00671D98">
        <w:rPr>
          <w:rStyle w:val="Refdenotaalpie"/>
          <w:rFonts w:eastAsiaTheme="majorEastAsia"/>
          <w:sz w:val="20"/>
          <w:szCs w:val="20"/>
        </w:rPr>
        <w:t xml:space="preserve"> </w:t>
      </w:r>
      <w:r w:rsidRPr="00671D98">
        <w:rPr>
          <w:i/>
          <w:sz w:val="20"/>
          <w:szCs w:val="20"/>
        </w:rPr>
        <w:t>Cfr</w:t>
      </w:r>
      <w:r w:rsidRPr="00671D98">
        <w:rPr>
          <w:iCs/>
          <w:sz w:val="20"/>
          <w:szCs w:val="20"/>
        </w:rPr>
        <w:t>.</w:t>
      </w:r>
      <w:r w:rsidRPr="00671D98">
        <w:rPr>
          <w:iCs/>
          <w:sz w:val="20"/>
          <w:szCs w:val="20"/>
        </w:rPr>
        <w:t xml:space="preserve"> a</w:t>
      </w:r>
      <w:r w:rsidRPr="00671D98">
        <w:rPr>
          <w:iCs/>
          <w:sz w:val="20"/>
          <w:szCs w:val="20"/>
        </w:rPr>
        <w:t xml:space="preserve">l respecto </w:t>
      </w:r>
      <w:r w:rsidRPr="00671D98">
        <w:rPr>
          <w:sz w:val="20"/>
          <w:szCs w:val="20"/>
        </w:rPr>
        <w:t>las sentencias C-048 de 2018, C-214 de 2017, C-184 de 2016, C-157 de 2016, C-217 de 2015, C-1021 de 2012, C-915 de 2010 y C-750 de 2008.</w:t>
      </w:r>
    </w:p>
  </w:footnote>
  <w:footnote w:id="31">
    <w:p w:rsidR="00AB4AB2" w:rsidRPr="00671D98" w:rsidRDefault="003A7DA4" w:rsidP="00671D98">
      <w:pPr>
        <w:pStyle w:val="Textonotapie"/>
        <w:jc w:val="both"/>
      </w:pPr>
      <w:r w:rsidRPr="00671D98">
        <w:rPr>
          <w:rStyle w:val="Refdenotaalpie"/>
          <w:rFonts w:eastAsiaTheme="majorEastAsia"/>
          <w:sz w:val="20"/>
          <w:szCs w:val="20"/>
        </w:rPr>
        <w:footnoteRef/>
      </w:r>
      <w:r w:rsidRPr="00671D98">
        <w:rPr>
          <w:rStyle w:val="Refdenotaalpie"/>
          <w:rFonts w:eastAsiaTheme="majorEastAsia"/>
          <w:i/>
          <w:sz w:val="20"/>
          <w:szCs w:val="20"/>
        </w:rPr>
        <w:t xml:space="preserve"> </w:t>
      </w:r>
      <w:r w:rsidRPr="00671D98">
        <w:rPr>
          <w:i/>
        </w:rPr>
        <w:t>Cfr</w:t>
      </w:r>
      <w:r w:rsidRPr="00671D98">
        <w:rPr>
          <w:iCs/>
        </w:rPr>
        <w:t>.,</w:t>
      </w:r>
      <w:r w:rsidRPr="00671D98">
        <w:t xml:space="preserve"> las sentencias C-187 de 2</w:t>
      </w:r>
      <w:r w:rsidRPr="00671D98">
        <w:t>011 y C-169 de 2001.</w:t>
      </w:r>
    </w:p>
  </w:footnote>
  <w:footnote w:id="32">
    <w:p w:rsidR="00AB4AB2" w:rsidRPr="00671D98" w:rsidRDefault="003A7DA4" w:rsidP="00671D98">
      <w:pPr>
        <w:pStyle w:val="Textonotapie"/>
        <w:jc w:val="both"/>
      </w:pPr>
      <w:r w:rsidRPr="00671D98">
        <w:rPr>
          <w:rStyle w:val="Refdenotaalpie"/>
          <w:rFonts w:eastAsiaTheme="majorEastAsia"/>
          <w:sz w:val="20"/>
          <w:szCs w:val="20"/>
        </w:rPr>
        <w:footnoteRef/>
      </w:r>
      <w:r w:rsidRPr="00671D98">
        <w:rPr>
          <w:rStyle w:val="Refdenotaalpie"/>
          <w:rFonts w:eastAsiaTheme="majorEastAsia"/>
          <w:sz w:val="20"/>
          <w:szCs w:val="20"/>
        </w:rPr>
        <w:t xml:space="preserve"> </w:t>
      </w:r>
      <w:r w:rsidRPr="00671D98">
        <w:rPr>
          <w:i/>
          <w:iCs/>
        </w:rPr>
        <w:t>Cfr</w:t>
      </w:r>
      <w:r w:rsidRPr="00671D98">
        <w:t>., al respecto, la Sentencia C-767 de 2012.</w:t>
      </w:r>
    </w:p>
  </w:footnote>
  <w:footnote w:id="33">
    <w:p w:rsidR="00AB4AB2" w:rsidRPr="00671D98" w:rsidRDefault="003A7DA4" w:rsidP="00671D98">
      <w:pPr>
        <w:pStyle w:val="Textonotapie"/>
        <w:jc w:val="both"/>
      </w:pPr>
      <w:r w:rsidRPr="00671D98">
        <w:rPr>
          <w:rStyle w:val="Refdenotaalpie"/>
          <w:rFonts w:eastAsiaTheme="majorEastAsia"/>
          <w:sz w:val="20"/>
          <w:szCs w:val="20"/>
        </w:rPr>
        <w:footnoteRef/>
      </w:r>
      <w:r w:rsidRPr="00671D98">
        <w:rPr>
          <w:rStyle w:val="Refdenotaalpie"/>
          <w:rFonts w:eastAsiaTheme="majorEastAsia"/>
          <w:sz w:val="20"/>
          <w:szCs w:val="20"/>
        </w:rPr>
        <w:t xml:space="preserve"> </w:t>
      </w:r>
      <w:r w:rsidRPr="00671D98">
        <w:rPr>
          <w:i/>
        </w:rPr>
        <w:t>Cfr</w:t>
      </w:r>
      <w:r w:rsidRPr="00671D98">
        <w:rPr>
          <w:iCs/>
        </w:rPr>
        <w:t>.,</w:t>
      </w:r>
      <w:r w:rsidRPr="00671D98">
        <w:rPr>
          <w:i/>
        </w:rPr>
        <w:t xml:space="preserve"> </w:t>
      </w:r>
      <w:r w:rsidRPr="00671D98">
        <w:t>las sentencias C-359 de 2013, C-767 de 2012, C-175 de 2009 y C-461 de 2008.</w:t>
      </w:r>
    </w:p>
  </w:footnote>
  <w:footnote w:id="34">
    <w:p w:rsidR="00AB4AB2" w:rsidRPr="00671D98" w:rsidRDefault="003A7DA4" w:rsidP="00671D98">
      <w:pPr>
        <w:pStyle w:val="Textonotapie"/>
        <w:rPr>
          <w:lang w:val="es-ES"/>
        </w:rPr>
      </w:pPr>
      <w:r w:rsidRPr="00671D98">
        <w:rPr>
          <w:rStyle w:val="Refdenotaalpie"/>
          <w:rFonts w:eastAsiaTheme="majorEastAsia"/>
          <w:sz w:val="20"/>
          <w:szCs w:val="20"/>
        </w:rPr>
        <w:footnoteRef/>
      </w:r>
      <w:r w:rsidRPr="00671D98">
        <w:t xml:space="preserve"> Sentencia C-187 de 2022. </w:t>
      </w:r>
    </w:p>
  </w:footnote>
  <w:footnote w:id="35">
    <w:p w:rsidR="00AB4AB2" w:rsidRPr="008318C3" w:rsidRDefault="003A7DA4" w:rsidP="00671D98">
      <w:pPr>
        <w:pStyle w:val="Textonotapie"/>
      </w:pPr>
      <w:r w:rsidRPr="00671D98">
        <w:rPr>
          <w:rStyle w:val="Refdenotaalpie"/>
          <w:rFonts w:eastAsiaTheme="majorEastAsia"/>
          <w:sz w:val="20"/>
          <w:szCs w:val="20"/>
        </w:rPr>
        <w:footnoteRef/>
      </w:r>
      <w:r w:rsidRPr="00671D98">
        <w:t xml:space="preserve"> Ibidem.</w:t>
      </w:r>
      <w:r w:rsidRPr="008318C3">
        <w:t xml:space="preserve"> </w:t>
      </w:r>
    </w:p>
  </w:footnote>
  <w:footnote w:id="36">
    <w:p w:rsidR="00AB4AB2" w:rsidRPr="008318C3" w:rsidRDefault="003A7DA4" w:rsidP="00AB4AB2">
      <w:pPr>
        <w:pStyle w:val="Textonotapie"/>
      </w:pPr>
      <w:r w:rsidRPr="008318C3">
        <w:rPr>
          <w:rStyle w:val="Refdenotaalpie"/>
          <w:rFonts w:eastAsiaTheme="majorEastAsia"/>
        </w:rPr>
        <w:footnoteRef/>
      </w:r>
      <w:r w:rsidRPr="008318C3">
        <w:t xml:space="preserve"> Ibidem.</w:t>
      </w:r>
    </w:p>
  </w:footnote>
  <w:footnote w:id="37">
    <w:p w:rsidR="003F0CBB" w:rsidRPr="00701677" w:rsidRDefault="003A7DA4" w:rsidP="003F0CBB">
      <w:pPr>
        <w:pStyle w:val="Textonotapie"/>
        <w:jc w:val="both"/>
      </w:pPr>
      <w:r w:rsidRPr="00701677">
        <w:rPr>
          <w:rStyle w:val="Refdenotaalpie"/>
          <w:rFonts w:eastAsiaTheme="majorEastAsia"/>
          <w:sz w:val="20"/>
          <w:szCs w:val="20"/>
        </w:rPr>
        <w:footnoteRef/>
      </w:r>
      <w:r w:rsidRPr="00701677">
        <w:t xml:space="preserve"> Expediente digital LAT-489, archivo “</w:t>
      </w:r>
      <w:hyperlink r:id="rId1" w:tgtFrame="blank" w:history="1">
        <w:r w:rsidRPr="00701677">
          <w:t>LAT0000489-Presentación Demanda-(2023-02-22 14-02-20).pdf</w:t>
        </w:r>
      </w:hyperlink>
      <w:r w:rsidRPr="00701677">
        <w:t>”, folio 33.</w:t>
      </w:r>
    </w:p>
  </w:footnote>
  <w:footnote w:id="38">
    <w:p w:rsidR="003F0CBB" w:rsidRPr="00701677" w:rsidRDefault="003A7DA4" w:rsidP="003F0CBB">
      <w:pPr>
        <w:pStyle w:val="Textonotapie"/>
        <w:jc w:val="both"/>
      </w:pPr>
      <w:r w:rsidRPr="00701677">
        <w:rPr>
          <w:rStyle w:val="Refdenotaalpie"/>
          <w:rFonts w:eastAsiaTheme="majorEastAsia"/>
          <w:sz w:val="20"/>
          <w:szCs w:val="20"/>
        </w:rPr>
        <w:footnoteRef/>
      </w:r>
      <w:r w:rsidRPr="00701677">
        <w:t xml:space="preserve"> Expediente digital LAT-489, archivo “Remisión de Pruebas - Respuesta a oficio </w:t>
      </w:r>
      <w:r w:rsidRPr="00701677">
        <w:t>No. OPC-048 de 2023”. Folio 3.</w:t>
      </w:r>
    </w:p>
  </w:footnote>
  <w:footnote w:id="39">
    <w:p w:rsidR="003F0CBB" w:rsidRPr="00701677" w:rsidRDefault="003A7DA4" w:rsidP="003F0CBB">
      <w:pPr>
        <w:pStyle w:val="Textonotapie"/>
        <w:jc w:val="both"/>
        <w:rPr>
          <w:lang w:val="es-ES"/>
        </w:rPr>
      </w:pPr>
      <w:r w:rsidRPr="00701677">
        <w:rPr>
          <w:rStyle w:val="Refdenotaalpie"/>
          <w:rFonts w:eastAsiaTheme="majorEastAsia"/>
          <w:sz w:val="20"/>
          <w:szCs w:val="20"/>
        </w:rPr>
        <w:footnoteRef/>
      </w:r>
      <w:r w:rsidRPr="00701677">
        <w:t xml:space="preserve"> Expediente digital LAT-489, archivo “Remisión de Pruebas - Respuesta a oficio No. OPC-048 de 2023”. Folio 4.</w:t>
      </w:r>
    </w:p>
  </w:footnote>
  <w:footnote w:id="40">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iCs/>
          <w:sz w:val="20"/>
          <w:szCs w:val="20"/>
        </w:rPr>
        <w:t>Cfr., entre muchas otras, las sentencias C-091 de 2021, C-491 de 2019, C-048 de 2018, C-047 de 2017 y C-032 de 2</w:t>
      </w:r>
      <w:r w:rsidRPr="00701677">
        <w:rPr>
          <w:iCs/>
          <w:sz w:val="20"/>
          <w:szCs w:val="20"/>
        </w:rPr>
        <w:t>014.</w:t>
      </w:r>
    </w:p>
  </w:footnote>
  <w:footnote w:id="41">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Corte Constitucional </w:t>
      </w:r>
      <w:r w:rsidRPr="00701677">
        <w:rPr>
          <w:lang w:val="es-ES_tradnl"/>
        </w:rPr>
        <w:t xml:space="preserve">sentencia </w:t>
      </w:r>
      <w:r w:rsidRPr="00701677">
        <w:rPr>
          <w:lang w:val="es-MX"/>
        </w:rPr>
        <w:t xml:space="preserve">C-259 de 2019. </w:t>
      </w:r>
    </w:p>
  </w:footnote>
  <w:footnote w:id="42">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En relación con esta exigencia, en particular, en la Sentencia C-252 de 2019, la Sala precisó lo siguiente: “</w:t>
      </w:r>
      <w:r w:rsidRPr="00701677">
        <w:rPr>
          <w:shd w:val="clear" w:color="auto" w:fill="FFFFFF"/>
        </w:rPr>
        <w:t>En estas sentencias [hace referencia a las siguientes: C-214 de 2017, C-305 de 2010 y C-644</w:t>
      </w:r>
      <w:r w:rsidRPr="00701677">
        <w:rPr>
          <w:shd w:val="clear" w:color="auto" w:fill="FFFFFF"/>
        </w:rPr>
        <w:t xml:space="preserve"> de 2004], la Corte ha desarrollado las siguientes sub-reglas en relación las características del anuncio previo: </w:t>
      </w:r>
      <w:r w:rsidRPr="00701677">
        <w:rPr>
          <w:i/>
          <w:iCs/>
          <w:shd w:val="clear" w:color="auto" w:fill="FFFFFF"/>
        </w:rPr>
        <w:t>(i)</w:t>
      </w:r>
      <w:r w:rsidRPr="00701677">
        <w:rPr>
          <w:shd w:val="clear" w:color="auto" w:fill="FFFFFF"/>
        </w:rPr>
        <w:t> no exige el uso de fórmulas sacramentales; </w:t>
      </w:r>
      <w:r w:rsidRPr="00701677">
        <w:rPr>
          <w:i/>
          <w:iCs/>
          <w:shd w:val="clear" w:color="auto" w:fill="FFFFFF"/>
        </w:rPr>
        <w:t>(ii)</w:t>
      </w:r>
      <w:r w:rsidRPr="00701677">
        <w:rPr>
          <w:shd w:val="clear" w:color="auto" w:fill="FFFFFF"/>
        </w:rPr>
        <w:t> debe determinar la sesión futura en que tendrá lugar la votación del proyecto; </w:t>
      </w:r>
      <w:r w:rsidRPr="00701677">
        <w:rPr>
          <w:i/>
          <w:iCs/>
          <w:shd w:val="clear" w:color="auto" w:fill="FFFFFF"/>
        </w:rPr>
        <w:t>(iii)</w:t>
      </w:r>
      <w:r w:rsidRPr="00701677">
        <w:rPr>
          <w:shd w:val="clear" w:color="auto" w:fill="FFFFFF"/>
        </w:rPr>
        <w:t xml:space="preserve"> la </w:t>
      </w:r>
      <w:r w:rsidRPr="00701677">
        <w:rPr>
          <w:shd w:val="clear" w:color="auto" w:fill="FFFFFF"/>
        </w:rPr>
        <w:t>fecha de esa sesión posterior ha de ser cierta, determinada o, por lo menos, determinable; </w:t>
      </w:r>
      <w:r w:rsidRPr="00701677">
        <w:rPr>
          <w:i/>
          <w:iCs/>
          <w:shd w:val="clear" w:color="auto" w:fill="FFFFFF"/>
        </w:rPr>
        <w:t>(iv)</w:t>
      </w:r>
      <w:r w:rsidRPr="00701677">
        <w:rPr>
          <w:shd w:val="clear" w:color="auto" w:fill="FFFFFF"/>
        </w:rPr>
        <w:t> debe llevarse a cabo una ‘</w:t>
      </w:r>
      <w:r w:rsidRPr="00701677">
        <w:rPr>
          <w:i/>
          <w:iCs/>
          <w:shd w:val="clear" w:color="auto" w:fill="FFFFFF"/>
        </w:rPr>
        <w:t>cadena de anuncios por aplazamiento de la votación</w:t>
      </w:r>
      <w:r w:rsidRPr="00701677">
        <w:rPr>
          <w:shd w:val="clear" w:color="auto" w:fill="FFFFFF"/>
        </w:rPr>
        <w:t>’; y </w:t>
      </w:r>
      <w:r w:rsidRPr="00701677">
        <w:rPr>
          <w:i/>
          <w:iCs/>
          <w:shd w:val="clear" w:color="auto" w:fill="FFFFFF"/>
        </w:rPr>
        <w:t>(v)</w:t>
      </w:r>
      <w:r w:rsidRPr="00701677">
        <w:rPr>
          <w:shd w:val="clear" w:color="auto" w:fill="FFFFFF"/>
        </w:rPr>
        <w:t> se dará por satisfecho el requisito de ‘</w:t>
      </w:r>
      <w:r w:rsidRPr="00701677">
        <w:rPr>
          <w:i/>
          <w:iCs/>
          <w:bdr w:val="none" w:sz="0" w:space="0" w:color="auto" w:frame="1"/>
          <w:shd w:val="clear" w:color="auto" w:fill="FFFFFF"/>
        </w:rPr>
        <w:t xml:space="preserve">anuncio previo del debate cuando a </w:t>
      </w:r>
      <w:r w:rsidRPr="00701677">
        <w:rPr>
          <w:i/>
          <w:iCs/>
          <w:bdr w:val="none" w:sz="0" w:space="0" w:color="auto" w:frame="1"/>
          <w:shd w:val="clear" w:color="auto" w:fill="FFFFFF"/>
        </w:rPr>
        <w:t>pesar de no efectuarse la votación en la fecha prevista, finalmente ésta se realiza en la primera ocasión en que vuelve a sesionarse</w:t>
      </w:r>
      <w:r w:rsidRPr="00701677">
        <w:rPr>
          <w:bdr w:val="none" w:sz="0" w:space="0" w:color="auto" w:frame="1"/>
          <w:shd w:val="clear" w:color="auto" w:fill="FFFFFF"/>
        </w:rPr>
        <w:t>’</w:t>
      </w:r>
      <w:r w:rsidRPr="00701677">
        <w:rPr>
          <w:shd w:val="clear" w:color="auto" w:fill="FFFFFF"/>
        </w:rPr>
        <w:t>.</w:t>
      </w:r>
      <w:r w:rsidRPr="00701677">
        <w:t>”.</w:t>
      </w:r>
    </w:p>
  </w:footnote>
  <w:footnote w:id="43">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Corte Constitucional </w:t>
      </w:r>
      <w:r w:rsidRPr="00701677">
        <w:rPr>
          <w:lang w:val="es-ES_tradnl"/>
        </w:rPr>
        <w:t xml:space="preserve">sentencia </w:t>
      </w:r>
      <w:r w:rsidRPr="00701677">
        <w:rPr>
          <w:lang w:val="es-MX"/>
        </w:rPr>
        <w:t>C-259 de 2019.</w:t>
      </w:r>
    </w:p>
  </w:footnote>
  <w:footnote w:id="44">
    <w:p w:rsidR="001E60EC" w:rsidRPr="00701677" w:rsidRDefault="003A7DA4" w:rsidP="001E60EC">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Folios. 51 – 79 de la Gaceta 1839 de diciembre 13 de 2021 que se encu</w:t>
      </w:r>
      <w:r w:rsidRPr="00701677">
        <w:t>entra desde el folio 59 en el archivo digital Lat 489 denominado: “Remisión de Pruebas - Respuesta a oficio No. OPC-047 de 2023”</w:t>
      </w:r>
    </w:p>
  </w:footnote>
  <w:footnote w:id="45">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1839 de diciembre 13 de 2021 que se encuentra desde el folio 59 en el archivo digital Lat 489 denominado: “Remisión de</w:t>
      </w:r>
      <w:r w:rsidRPr="00701677">
        <w:t xml:space="preserve"> Pruebas - Respuesta a oficio No. OPC-047 de 2023”</w:t>
      </w:r>
    </w:p>
  </w:footnote>
  <w:footnote w:id="46">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Expediente digital LAT-489, archivo “Respuesta a oficio N°-OPC-047/23 - Senado de la República”. Mediante designación efectuada por la Secretaría de la Comisión Segunda del Senado de la República, oficio</w:t>
      </w:r>
      <w:r w:rsidRPr="00701677">
        <w:t xml:space="preserve"> No. CSECS-CV19-0652-2021 </w:t>
      </w:r>
    </w:p>
  </w:footnote>
  <w:footnote w:id="47">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232 de marzo 30 de 2022 que se encuentra desde el folio 101 en el archivo digital Lat 489 denominado: “Remisión de Pruebas - Respuesta a oficio No. OPC-047 de 2023”</w:t>
      </w:r>
    </w:p>
  </w:footnote>
  <w:footnote w:id="48">
    <w:p w:rsidR="001E60EC" w:rsidRPr="00701677" w:rsidRDefault="003A7DA4" w:rsidP="001E60EC">
      <w:pPr>
        <w:pStyle w:val="Textonotapie"/>
        <w:jc w:val="both"/>
      </w:pPr>
      <w:r w:rsidRPr="00701677">
        <w:rPr>
          <w:rStyle w:val="Refdenotaalpie"/>
          <w:rFonts w:eastAsiaTheme="majorEastAsia"/>
          <w:sz w:val="20"/>
          <w:szCs w:val="20"/>
        </w:rPr>
        <w:footnoteRef/>
      </w:r>
      <w:r w:rsidRPr="00701677">
        <w:t>Gaceta 718 del 14 de junio de 2022 que se encuentra de</w:t>
      </w:r>
      <w:r w:rsidRPr="00701677">
        <w:t>sde el folio 4 en el archivo digital Lat 489 denominado: “Respuesta oficio OPC-085/23 - Senado de la República”.</w:t>
      </w:r>
    </w:p>
  </w:footnote>
  <w:footnote w:id="49">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719 del 14 de junio de 2022 que se encuentra desde el folio 31 en el archivo digital Lat 489 denominado: “Respuesta oficio OPC-085/23 </w:t>
      </w:r>
      <w:r w:rsidRPr="00701677">
        <w:t>- Senado de la República”.</w:t>
      </w:r>
    </w:p>
  </w:footnote>
  <w:footnote w:id="50">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Gaceta 408 de mayo 4 de 2022 que se encuentra desde el folio 114 en el archivo digital Lat 489 denominado: “Remisión de Pruebas - Respuesta a oficio No. OPC-047 de 2023”</w:t>
      </w:r>
      <w:r>
        <w:t>.</w:t>
      </w:r>
    </w:p>
  </w:footnote>
  <w:footnote w:id="51">
    <w:p w:rsidR="00D41728" w:rsidRPr="00701677" w:rsidRDefault="003A7DA4" w:rsidP="00D41728">
      <w:pPr>
        <w:jc w:val="both"/>
        <w:rPr>
          <w:sz w:val="20"/>
          <w:szCs w:val="20"/>
          <w:lang w:val="es-MX"/>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La sesión inició con la verificación del quórum deliberatorio, el cual se satisfizo al contar con la presencia de 6 de los 13 senadores de la Comisión Segunda Constitucional Permanente del Senado (fl. 1 de la Gaceta del Congreso 719 de junio 14 de 2022). P</w:t>
      </w:r>
      <w:r w:rsidRPr="00701677">
        <w:rPr>
          <w:sz w:val="20"/>
          <w:szCs w:val="20"/>
        </w:rPr>
        <w:t>osteriormente, el secretario informó que se incorporaron a la sesión los Senadores Lidio García Turbay (Vicepresidente Comisión Segunda del Senado) y John Harold Suárez Vargas (fl. 3 de la Gaceta del Congreso 719 de junio 14 de 2022) para lo cual indicó qu</w:t>
      </w:r>
      <w:r w:rsidRPr="00701677">
        <w:rPr>
          <w:sz w:val="20"/>
          <w:szCs w:val="20"/>
        </w:rPr>
        <w:t xml:space="preserve">e se configuró el quórum para decidir y se puso en consideración el orden del día. </w:t>
      </w:r>
      <w:r w:rsidRPr="00701677">
        <w:rPr>
          <w:b/>
          <w:bCs/>
          <w:sz w:val="20"/>
          <w:szCs w:val="20"/>
          <w:lang w:val="es-MX"/>
        </w:rPr>
        <w:t>Leída la proposición final</w:t>
      </w:r>
      <w:r w:rsidRPr="00701677">
        <w:rPr>
          <w:sz w:val="20"/>
          <w:szCs w:val="20"/>
          <w:lang w:val="es-MX"/>
        </w:rPr>
        <w:t xml:space="preserve"> con que termina el informe de ponencia del proyecto 277 de 2021, el secretario llama a lista, compuesta por los senadores: Agudelo García Ana Paol</w:t>
      </w:r>
      <w:r w:rsidRPr="00701677">
        <w:rPr>
          <w:sz w:val="20"/>
          <w:szCs w:val="20"/>
          <w:lang w:val="es-MX"/>
        </w:rPr>
        <w:t xml:space="preserve">a, Gómez Jiménez Juan Diego, Holguín Moreno Paola Andrea, Macías Tovar Ernesto, Sanguino Páez Antonio Eresmid, Suárez Vargas John Harold y Zambrano Eraso Berner León. Quienes votaron positivamente. </w:t>
      </w:r>
      <w:r w:rsidRPr="00701677">
        <w:rPr>
          <w:sz w:val="20"/>
          <w:szCs w:val="20"/>
        </w:rPr>
        <w:t>No votaron los senadores (1) Lidio García Turbay, (2) Iván</w:t>
      </w:r>
      <w:r w:rsidRPr="00701677">
        <w:rPr>
          <w:sz w:val="20"/>
          <w:szCs w:val="20"/>
        </w:rPr>
        <w:t xml:space="preserve"> Cepeda Castro, (3) Jaime Enrique Durán Barrera, (4) José Luis Pérez Oyuela, (5) Feliciano Valencia Medina. (6) El senador Luis Eduardo Díazgranados Torres contó con excusa. (fl. 6 de la Gaceta del Congreso 719 de junio 14 de 2022)</w:t>
      </w:r>
    </w:p>
  </w:footnote>
  <w:footnote w:id="52">
    <w:p w:rsidR="00D41728" w:rsidRPr="00701677" w:rsidRDefault="003A7DA4" w:rsidP="00D41728">
      <w:pPr>
        <w:jc w:val="both"/>
        <w:rPr>
          <w:sz w:val="20"/>
          <w:szCs w:val="20"/>
          <w:lang w:val="es-MX"/>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b/>
          <w:bCs/>
          <w:sz w:val="20"/>
          <w:szCs w:val="20"/>
          <w:lang w:val="es-MX"/>
        </w:rPr>
        <w:t>Leído el artículado de</w:t>
      </w:r>
      <w:r w:rsidRPr="00701677">
        <w:rPr>
          <w:b/>
          <w:bCs/>
          <w:sz w:val="20"/>
          <w:szCs w:val="20"/>
          <w:lang w:val="es-MX"/>
        </w:rPr>
        <w:t xml:space="preserve">l proyecto de Ley </w:t>
      </w:r>
      <w:r w:rsidRPr="00701677">
        <w:rPr>
          <w:sz w:val="20"/>
          <w:szCs w:val="20"/>
          <w:lang w:val="es-MX"/>
        </w:rPr>
        <w:t>277 de 2021, el secretario llama a lista, compuesta por los senadores: Agudelo García Ana Paola, Gómez Jiménez Juan Diego, Holguín Moreno Paola Andrea, Macías Tovar Ernesto, Sanguino Páez Antonio Eresmid, Suárez Vargas John Harold y Zambr</w:t>
      </w:r>
      <w:r w:rsidRPr="00701677">
        <w:rPr>
          <w:sz w:val="20"/>
          <w:szCs w:val="20"/>
          <w:lang w:val="es-MX"/>
        </w:rPr>
        <w:t xml:space="preserve">ano Eraso Berner León. Quienes votaron positivamente. </w:t>
      </w:r>
      <w:r w:rsidRPr="00701677">
        <w:rPr>
          <w:sz w:val="20"/>
          <w:szCs w:val="20"/>
        </w:rPr>
        <w:t>No votaron los senadores (1) Lidio García Turbay, (2) Iván Cepeda Castro, (3) Jaime Enrique Durán Barrera, (4) José Luis Pérez Oyuela, (5) Feliciano Valencia Medina. (6) El senador Luis Eduardo Díazgran</w:t>
      </w:r>
      <w:r w:rsidRPr="00701677">
        <w:rPr>
          <w:sz w:val="20"/>
          <w:szCs w:val="20"/>
        </w:rPr>
        <w:t>ados Torres contó con excusa. (fl. 6 de la Gaceta del Congreso 719 de junio 14 de 2022)</w:t>
      </w:r>
    </w:p>
  </w:footnote>
  <w:footnote w:id="53">
    <w:p w:rsidR="00D41728" w:rsidRPr="00701677" w:rsidRDefault="003A7DA4" w:rsidP="00D41728">
      <w:pPr>
        <w:pStyle w:val="Textonotapie"/>
        <w:jc w:val="both"/>
      </w:pPr>
      <w:r w:rsidRPr="00701677">
        <w:rPr>
          <w:rStyle w:val="Refdenotaalpie"/>
          <w:rFonts w:eastAsiaTheme="majorEastAsia"/>
          <w:sz w:val="20"/>
          <w:szCs w:val="20"/>
        </w:rPr>
        <w:footnoteRef/>
      </w:r>
      <w:r w:rsidRPr="00701677">
        <w:t xml:space="preserve"> </w:t>
      </w:r>
      <w:r w:rsidRPr="00701677">
        <w:rPr>
          <w:b/>
          <w:bCs/>
          <w:lang w:val="es-MX"/>
        </w:rPr>
        <w:t xml:space="preserve">Votación al título y el querer que tenga segundo debate el proyecto de Ley </w:t>
      </w:r>
      <w:r w:rsidRPr="00701677">
        <w:rPr>
          <w:lang w:val="es-MX"/>
        </w:rPr>
        <w:t>277 de 2021: el secretario llama a lista, compuesta por los senadores: Agudelo García Ana P</w:t>
      </w:r>
      <w:r w:rsidRPr="00701677">
        <w:rPr>
          <w:lang w:val="es-MX"/>
        </w:rPr>
        <w:t xml:space="preserve">aola, García Turbay Lidio Arturo, Gómez Jiménez Juan Diego, Holguín Moreno Paola Andrea, Macías Tovar Ernesto, Sanguino Páez Antonio Eresmid, Suárez Vargas John Harold y Zambrano Eraso Berner León. Quienes votaron positivamente. </w:t>
      </w:r>
      <w:r w:rsidRPr="00701677">
        <w:t>No votaron los senadores (1</w:t>
      </w:r>
      <w:r w:rsidRPr="00701677">
        <w:t>) Iván Cepeda Castro, (2) Jaime Enrique Durán Barrera, (3) José Luis Pérez Oyuela, (4) Feliciano Valencia Medina. (5) El senador Luis Eduardo Díazgranados Torres contó con excusa. (fl. 7 de la Gaceta del Congreso 719 de junio 14 de 2022)</w:t>
      </w:r>
    </w:p>
  </w:footnote>
  <w:footnote w:id="54">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Gaceta 408 de ma</w:t>
      </w:r>
      <w:r w:rsidRPr="00701677">
        <w:t>yo de 2022 que se encuentra desde el folio 114 en el archivo digital Lat 489 denominado: “Remisión de Pruebas - Respuesta a oficio No. OPC-047 de 2023”</w:t>
      </w:r>
    </w:p>
  </w:footnote>
  <w:footnote w:id="55">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Gaceta 538 de mayo de 2022 que se encuentra desde el folio 135 en el archivo digital Lat 489 denominad</w:t>
      </w:r>
      <w:r w:rsidRPr="00701677">
        <w:t>o: “Remisión de Pruebas - Respuesta a oficio No. OPC-047 de 2023”</w:t>
      </w:r>
    </w:p>
  </w:footnote>
  <w:footnote w:id="56">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538 de mayo de 2022 que se encuentra desde el folio 135 en el archivo digital Lat 489 denominado: “Remisión de Pruebas - Respuesta a oficio No. OPC-047 de 2023”. Oficio CSE-CS-CV19-</w:t>
      </w:r>
      <w:r w:rsidRPr="00701677">
        <w:t>0156-2022.</w:t>
      </w:r>
    </w:p>
  </w:footnote>
  <w:footnote w:id="57">
    <w:p w:rsidR="001E60EC" w:rsidRPr="00701677" w:rsidRDefault="003A7DA4" w:rsidP="001E60EC">
      <w:pPr>
        <w:pStyle w:val="Textonotapie"/>
        <w:jc w:val="both"/>
        <w:rPr>
          <w:i/>
          <w:iCs/>
        </w:rPr>
      </w:pPr>
      <w:r w:rsidRPr="00701677">
        <w:rPr>
          <w:rStyle w:val="Refdenotaalpie"/>
          <w:rFonts w:eastAsiaTheme="majorEastAsia"/>
          <w:sz w:val="20"/>
          <w:szCs w:val="20"/>
        </w:rPr>
        <w:footnoteRef/>
      </w:r>
      <w:r w:rsidRPr="00701677">
        <w:t xml:space="preserve"> Gaceta 1103 del 19 de septiembre de 2022 que se encuentra desde el folio 69 en el archivo digital Lat 489 denominado: “Remisión de Pruebas - Respuesta a oficio No. OPC-047 de 2023” </w:t>
      </w:r>
      <w:r w:rsidRPr="00701677">
        <w:rPr>
          <w:lang w:val="es-ES_tradnl"/>
        </w:rPr>
        <w:t xml:space="preserve">En el folio 51 de la Gaceta 1103 de 19 de septiembre de 2022, </w:t>
      </w:r>
      <w:r w:rsidRPr="00701677">
        <w:rPr>
          <w:lang w:val="es-ES_tradnl"/>
        </w:rPr>
        <w:t xml:space="preserve">correspondiente al Acta No. 05 de 11 de agosto de 2022 se indica: </w:t>
      </w:r>
      <w:r w:rsidRPr="00701677">
        <w:rPr>
          <w:i/>
          <w:iCs/>
          <w:lang w:val="es-ES_tradnl"/>
        </w:rPr>
        <w:t>“Siendo las 8:30 p. m., la Presidencia levanta la sesión y se convoca para el martes 16 de agosto de 2022 a las 3:00 p. m”.</w:t>
      </w:r>
      <w:r w:rsidRPr="00701677">
        <w:t xml:space="preserve"> A partir de lo señalado, se tiene que el anuncio se efectuó en una sesión distinta a la que se efectuó la votación, pues el anuncio del proyecto de ley se realizó el 11 de agosto de 2022 y la votación y aprobación del mismo se efectuó el 16 de agosto de 2</w:t>
      </w:r>
      <w:r w:rsidRPr="00701677">
        <w:t>022.</w:t>
      </w:r>
    </w:p>
  </w:footnote>
  <w:footnote w:id="58">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1286 del 20 de octubre de 2022 que se encuentra desde el folio 16 en el archivo digital Lat 489 denominado: “Remisión de Pruebas - Respuesta a oficio No. OPC-047 de 2023”</w:t>
      </w:r>
    </w:p>
  </w:footnote>
  <w:footnote w:id="59">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928 del 18 de agosto de 2022 que se encuentra desde el folio 1</w:t>
      </w:r>
      <w:r w:rsidRPr="00701677">
        <w:t>60 en el archivo digital Lat 489 denominado: “Remisión de Pruebas - Respuesta a oficio No. OPC-047 de 2023”</w:t>
      </w:r>
    </w:p>
  </w:footnote>
  <w:footnote w:id="60">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La sesión inició con la verificación del quórum decisorio, el cual se satisfizo según informó el Secretario General del Senado de la República qui</w:t>
      </w:r>
      <w:r w:rsidRPr="00701677">
        <w:rPr>
          <w:sz w:val="20"/>
          <w:szCs w:val="20"/>
        </w:rPr>
        <w:t xml:space="preserve">en expresó “Por Secretaría se informa que se ha registrado quórum decisorio” (fl. 5 de la Gaceta del Congreso 1286 de octubre 20 de 2022). Dejaron de asistir con excusa los senadores Blanco Álvarez Germán Alcides, Blel Scaff Nadya Georgette y, presentaron </w:t>
      </w:r>
      <w:r w:rsidRPr="00701677">
        <w:rPr>
          <w:sz w:val="20"/>
          <w:szCs w:val="20"/>
        </w:rPr>
        <w:t xml:space="preserve">excusa médica los senadores: Córdoba Ruiz Piedad Esneda, De la Calle Lombana Humberto, Flórez Hernández Alex Xavier (fls. 3-5). </w:t>
      </w:r>
    </w:p>
  </w:footnote>
  <w:footnote w:id="61">
    <w:p w:rsidR="001E60EC" w:rsidRPr="00701677" w:rsidRDefault="003A7DA4" w:rsidP="001E60EC">
      <w:pPr>
        <w:pStyle w:val="Textonotapie"/>
        <w:jc w:val="both"/>
        <w:rPr>
          <w:i/>
          <w:iCs/>
        </w:rPr>
      </w:pPr>
      <w:r w:rsidRPr="00701677">
        <w:rPr>
          <w:rStyle w:val="Refdenotaalpie"/>
          <w:rFonts w:eastAsiaTheme="majorEastAsia"/>
          <w:sz w:val="20"/>
          <w:szCs w:val="20"/>
        </w:rPr>
        <w:footnoteRef/>
      </w:r>
      <w:r w:rsidRPr="00701677">
        <w:t xml:space="preserve"> La Secretaría General del Senado de la República expidió certificación de 30 de abril de 2023 en la que se indica: </w:t>
      </w:r>
      <w:r w:rsidRPr="00701677">
        <w:rPr>
          <w:i/>
          <w:iCs/>
        </w:rPr>
        <w:t xml:space="preserve">“Que,  en </w:t>
      </w:r>
      <w:r w:rsidRPr="00701677">
        <w:rPr>
          <w:i/>
          <w:iCs/>
        </w:rPr>
        <w:t xml:space="preserve"> el  acta  número  06  de  la  sesión  plenaria  del  Senado  de  la  República  del  día  16  de agosto  de  2022,  publicada  en  la  Gaceta  del  Congreso  número  1286  de  2022  fue  discutido y aprobado  con  las  mayorías  requeridas  el  Proyecto  </w:t>
      </w:r>
      <w:r w:rsidRPr="00701677">
        <w:rPr>
          <w:i/>
          <w:iCs/>
        </w:rPr>
        <w:t>de  ley  número  277  de  2021  Senado,  170 de  2022  Cámara:  “Por  medio  de  la  cual  se  aprueba  el  “Convenio  entre  la  República  de Colombia  y  la  República  de  Costa  Rica  sobre  asistencia  judicial  en  materia  penal”,  suscrito en Wash</w:t>
      </w:r>
      <w:r w:rsidRPr="00701677">
        <w:rPr>
          <w:i/>
          <w:iCs/>
        </w:rPr>
        <w:t>ington,  el  4  de  junio  de  2018”.Ley  2288,  mediante  votación  nominal,  cuyo  resultado  fue  el siguiente: Votación  nominal  a  la  omisión  de  la  lectura  del  articulado,  bloque  del  articulado,  título y que  surta  su  trámite  en  la  Cám</w:t>
      </w:r>
      <w:r w:rsidRPr="00701677">
        <w:rPr>
          <w:i/>
          <w:iCs/>
        </w:rPr>
        <w:t xml:space="preserve">ara  de  Representantes  del  Proyecto  de  ley  número  277 de 2021 Senado Por el Sí : 89. Total: 89  El  quórum  decisorio  fue  de  89  Senadores  en  el  momento  de  aprobar  el  proyecto  de  ley  número 277 de 2021 Senado. </w:t>
      </w:r>
      <w:r w:rsidRPr="00701677">
        <w:rPr>
          <w:b/>
          <w:bCs/>
          <w:i/>
          <w:iCs/>
          <w:u w:val="single"/>
        </w:rPr>
        <w:t>El número de los integrant</w:t>
      </w:r>
      <w:r w:rsidRPr="00701677">
        <w:rPr>
          <w:b/>
          <w:bCs/>
          <w:i/>
          <w:iCs/>
          <w:u w:val="single"/>
        </w:rPr>
        <w:t>es para esa fecha, era de 107 honorables Senadores</w:t>
      </w:r>
      <w:r w:rsidRPr="00701677">
        <w:rPr>
          <w:i/>
          <w:iCs/>
        </w:rPr>
        <w:t>”</w:t>
      </w:r>
      <w:r w:rsidRPr="00701677">
        <w:t>(Subraya y negrilla fuera de texto) Ver folios 10 – 11 en el archivo digital Lat 489 denominado: “Remisión de pruebas - Respuesta a los oficios No. OPC-047 y OPC-061 de 2023”</w:t>
      </w:r>
    </w:p>
  </w:footnote>
  <w:footnote w:id="62">
    <w:p w:rsidR="001E60EC" w:rsidRPr="00701677" w:rsidRDefault="003A7DA4" w:rsidP="001E60EC">
      <w:pPr>
        <w:pStyle w:val="Textonotapie"/>
        <w:jc w:val="both"/>
        <w:rPr>
          <w:i/>
          <w:iCs/>
        </w:rPr>
      </w:pPr>
      <w:r w:rsidRPr="00701677">
        <w:rPr>
          <w:rStyle w:val="Refdenotaalpie"/>
          <w:rFonts w:eastAsiaTheme="majorEastAsia"/>
          <w:sz w:val="20"/>
          <w:szCs w:val="20"/>
        </w:rPr>
        <w:footnoteRef/>
      </w:r>
      <w:r w:rsidRPr="00701677">
        <w:t xml:space="preserve"> Según se indica en la Gaceta</w:t>
      </w:r>
      <w:r w:rsidRPr="00701677">
        <w:t xml:space="preserve"> del Congreso 1286 de octubre 20 de 2022, </w:t>
      </w:r>
      <w:r w:rsidRPr="00701677">
        <w:rPr>
          <w:i/>
          <w:iCs/>
        </w:rPr>
        <w:t xml:space="preserve">“La Presidencia somete a consideración de la plenaria la proposición positiva con que termina el informe de ponencia del Proyecto de ley número 277 de 2021 Senado y, cerrada su discusión, abre la votación e indica </w:t>
      </w:r>
      <w:r w:rsidRPr="00701677">
        <w:rPr>
          <w:i/>
          <w:iCs/>
        </w:rPr>
        <w:t>a la Secretaría llamar a lista para proceder en forma nominal. Realizado el llamado a lista, la Presidencia cierra la votación e indica a la Secretaría informar el resultado. Por Secretaría se informa el siguiente resultado: Por el Sí: 88. TOTAL: 88 votos”</w:t>
      </w:r>
      <w:r w:rsidRPr="00701677">
        <w:rPr>
          <w:i/>
          <w:iCs/>
        </w:rPr>
        <w:t xml:space="preserve"> </w:t>
      </w:r>
      <w:r w:rsidRPr="00701677">
        <w:t>(fl. 21).</w:t>
      </w:r>
    </w:p>
  </w:footnote>
  <w:footnote w:id="63">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Se obtiene el siguiente resultado para </w:t>
      </w:r>
      <w:r w:rsidRPr="00701677">
        <w:rPr>
          <w:i/>
          <w:iCs/>
        </w:rPr>
        <w:t>“la votación de omisión de lectura del articulado, bloque del articulado, el título y que haga tránsito a la Honorable Cámara de Representantes”</w:t>
      </w:r>
      <w:r w:rsidRPr="00701677">
        <w:t>: Por el Sí: 89. Total: 89 Votos (fl. 23).</w:t>
      </w:r>
    </w:p>
  </w:footnote>
  <w:footnote w:id="64">
    <w:p w:rsidR="00D41728" w:rsidRPr="00701677" w:rsidRDefault="003A7DA4" w:rsidP="00D41728">
      <w:pPr>
        <w:pStyle w:val="Textonotapie"/>
        <w:jc w:val="both"/>
      </w:pPr>
      <w:r w:rsidRPr="00701677">
        <w:rPr>
          <w:rStyle w:val="Refdenotaalpie"/>
          <w:rFonts w:eastAsiaTheme="majorEastAsia"/>
          <w:sz w:val="20"/>
          <w:szCs w:val="20"/>
        </w:rPr>
        <w:footnoteRef/>
      </w:r>
      <w:r w:rsidRPr="00701677">
        <w:t xml:space="preserve"> Folio 1 de la G</w:t>
      </w:r>
      <w:r w:rsidRPr="00701677">
        <w:t xml:space="preserve">aceta 1246 del 13 de octubre de 2022 que se encuentra a partir del folio 15 en el archivo digital Lat 489 denominado: “Remisión de pruebas - Respuesta a los oficios No. OPC-047 y OPC-061 de 2023” </w:t>
      </w:r>
    </w:p>
  </w:footnote>
  <w:footnote w:id="65">
    <w:p w:rsidR="00D41728" w:rsidRPr="00701677" w:rsidRDefault="003A7DA4" w:rsidP="00D41728">
      <w:pPr>
        <w:pStyle w:val="Textonotapie"/>
        <w:jc w:val="both"/>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t xml:space="preserve">Según consta en el fl. 1 de la Gaceta 1246 de octubre 13 </w:t>
      </w:r>
      <w:r w:rsidRPr="00701677">
        <w:t>de 2022 que se encuentra a partir del folio 15 en el archivo digital Lat 489 denominado: “Remisión de pruebas - Respuesta a los oficios No. OPC-047 y OPC-061 de 2023”</w:t>
      </w:r>
    </w:p>
  </w:footnote>
  <w:footnote w:id="66">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1246 del 13 de octubre de 2022 que se encuentra a partir del folio 15 en el arch</w:t>
      </w:r>
      <w:r w:rsidRPr="00701677">
        <w:t>ivo digital Lat 489 denominado: “Remisión de pruebas - Respuesta a los oficios No. OPC-047 y OPC-061 de 2023”</w:t>
      </w:r>
    </w:p>
  </w:footnote>
  <w:footnote w:id="67">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464 del 11 de mayo de 2023 que se encuentra a partir del folio 13 en el archivo digital Lat 489 denominado: “Remisión de pruebas - Respuesta al oficio No. OPC-061 de 20232023”</w:t>
      </w:r>
      <w:r>
        <w:t>.</w:t>
      </w:r>
    </w:p>
  </w:footnote>
  <w:footnote w:id="68">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469 del 11 de mayo de 2023 que se encuentra a partir del folio</w:t>
      </w:r>
      <w:r w:rsidRPr="00701677">
        <w:t xml:space="preserve"> 62 en el archivo digital Lat 489 denominado: “Remisión de pruebas - Respuesta al oficio No. OPC-061 de 20232023”.</w:t>
      </w:r>
    </w:p>
  </w:footnote>
  <w:footnote w:id="69">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1523 del 28 de noviembre de 2022 que se encuentra a partir del folio 52 en el archivo digital Lat 489 denominado: “Remisión de prueb</w:t>
      </w:r>
      <w:r w:rsidRPr="00701677">
        <w:t>as - Respuesta a los oficios No. OPC-047 y OPC-061 de 2023”</w:t>
      </w:r>
    </w:p>
  </w:footnote>
  <w:footnote w:id="70">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La sesión inició con la verificación del quórum deliberatorio, el cual se satisfizo al contar con la presencia de 15 de los 20 senadores de la Comisión Segunda Constitucional Permanente del Sena</w:t>
      </w:r>
      <w:r w:rsidRPr="00701677">
        <w:rPr>
          <w:sz w:val="20"/>
          <w:szCs w:val="20"/>
        </w:rPr>
        <w:t>do (fl. 1 de la Gaceta del Congreso 469 de mayo 11 de 2023). No votó el representante David Alejandro Toro Ramírez.</w:t>
      </w:r>
    </w:p>
  </w:footnote>
  <w:footnote w:id="71">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 xml:space="preserve">Folio. 5 de la Gaceta del Congreso 469 de mayo 11 de 2023. Corresponde a la votación de la proposición final del Proyecto de ley número </w:t>
      </w:r>
      <w:r w:rsidRPr="00701677">
        <w:rPr>
          <w:sz w:val="20"/>
          <w:szCs w:val="20"/>
        </w:rPr>
        <w:t>170 de 2021 Cámara – 277 de 2022 Senado. No votó el representante David Alejandro Toro Ramírez.</w:t>
      </w:r>
    </w:p>
  </w:footnote>
  <w:footnote w:id="72">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Folios. 6 – 7 de la Gaceta del Congreso 469 de mayo 11 de 2023. Corresponde a la votación relacionada con el articulado, el título y el querer de los senadore</w:t>
      </w:r>
      <w:r w:rsidRPr="00701677">
        <w:rPr>
          <w:sz w:val="20"/>
          <w:szCs w:val="20"/>
        </w:rPr>
        <w:t>s para que este proyecto tenga segundo debate. No votó el representante David Alejandro Toro Ramírez.</w:t>
      </w:r>
    </w:p>
  </w:footnote>
  <w:footnote w:id="73">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El inciso primero del artículo en cita dispone: “Artículo 160. Entre el primero y el segundo debate deberá mediar un lapso no inferior a ocho días, y en</w:t>
      </w:r>
      <w:r w:rsidRPr="00701677">
        <w:t>tre la aprobación del proyecto en una de las cámaras y la iniciación del debate en la otra, deberán transcurrir por lo menos quince días”.</w:t>
      </w:r>
    </w:p>
  </w:footnote>
  <w:footnote w:id="74">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1523 del 28 de noviembre de 2022 que se encuentra a partir del folio 52 en el archivo digital Lat 489 denomi</w:t>
      </w:r>
      <w:r w:rsidRPr="00701677">
        <w:t>nado: “Remisión de pruebas - Respuesta a los oficios No. OPC-047 y OPC-061 de 2023”</w:t>
      </w:r>
    </w:p>
  </w:footnote>
  <w:footnote w:id="75">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352 del 20 de abril de 2023 que se encuentra a partir del folio 74 en el archivo digital Lat 489 en el archivo denominado: “Remisión de pruebas - Respuesta a los o</w:t>
      </w:r>
      <w:r w:rsidRPr="00701677">
        <w:t>ficios No. OPC-047 y OPC-061 de 2023”</w:t>
      </w:r>
    </w:p>
  </w:footnote>
  <w:footnote w:id="76">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Gaceta 298 del 12 de abril de 2023 que se encuentra a partir del folio 136 en el archivo digital Lat 489 denominado: “Remisión de pruebas - Respuesta a los oficios No. OPC-047 y OPC-061 de 2023”</w:t>
      </w:r>
    </w:p>
  </w:footnote>
  <w:footnote w:id="77">
    <w:p w:rsidR="001E60EC" w:rsidRPr="00701677" w:rsidRDefault="003A7DA4" w:rsidP="001E60EC">
      <w:pPr>
        <w:pStyle w:val="Textonotapie"/>
        <w:jc w:val="both"/>
        <w:rPr>
          <w:lang w:val="es-ES"/>
        </w:rPr>
      </w:pPr>
      <w:r w:rsidRPr="00701677">
        <w:rPr>
          <w:rStyle w:val="Refdenotaalpie"/>
          <w:rFonts w:eastAsiaTheme="majorEastAsia"/>
          <w:sz w:val="20"/>
          <w:szCs w:val="20"/>
        </w:rPr>
        <w:footnoteRef/>
      </w:r>
      <w:r w:rsidRPr="00701677">
        <w:t xml:space="preserve"> Gaceta 1736 del 29 </w:t>
      </w:r>
      <w:r w:rsidRPr="00701677">
        <w:t xml:space="preserve">de </w:t>
      </w:r>
      <w:r w:rsidRPr="00701677">
        <w:t>diciembre</w:t>
      </w:r>
      <w:r w:rsidRPr="00701677">
        <w:t xml:space="preserve"> de 2022 que se encuentra a partir del folio 216  en el archivo digital Lat 489 denominado: “Remisión de pruebas - Respuesta a los oficios No. OPC-047 y OPC-061 de 2023”</w:t>
      </w:r>
    </w:p>
  </w:footnote>
  <w:footnote w:id="78">
    <w:p w:rsidR="001E60EC" w:rsidRPr="00701677" w:rsidRDefault="003A7DA4" w:rsidP="001E60EC">
      <w:pPr>
        <w:pStyle w:val="Textonotapie"/>
        <w:jc w:val="both"/>
      </w:pPr>
      <w:r w:rsidRPr="00701677">
        <w:rPr>
          <w:rStyle w:val="Refdenotaalpie"/>
          <w:rFonts w:eastAsiaTheme="majorEastAsia"/>
          <w:sz w:val="20"/>
          <w:szCs w:val="20"/>
        </w:rPr>
        <w:footnoteRef/>
      </w:r>
      <w:bookmarkStart w:id="7" w:name="_Hlk162038873"/>
      <w:r w:rsidRPr="00701677">
        <w:t xml:space="preserve"> </w:t>
      </w:r>
      <w:bookmarkEnd w:id="7"/>
      <w:r w:rsidRPr="00701677">
        <w:t>Según comunicación del 8 de mayo de 2023, SG.2-0642/2023 remitida a la C</w:t>
      </w:r>
      <w:r w:rsidRPr="00701677">
        <w:t xml:space="preserve">orte Constitucional el 18 de mayo de 2023, el secretario General de la Cámara de Representantes señaló que </w:t>
      </w:r>
      <w:r w:rsidRPr="00701677">
        <w:rPr>
          <w:i/>
          <w:iCs/>
        </w:rPr>
        <w:t>“con fundamento en la Certificación de Asistencia a la Sesión Plenaria Ordinaria de diciembre 05 de 2022, expedida por el doctor Raúl Enrique Ávila H</w:t>
      </w:r>
      <w:r w:rsidRPr="00701677">
        <w:rPr>
          <w:i/>
          <w:iCs/>
        </w:rPr>
        <w:t xml:space="preserve">ernández, Subsecretario General de la Cámara de Representantes publicada en Gaceta del Congreso 298 de abril 12 de 2023 (ver páginas 3 a la 9), el número de integrantes que conforman el Quórum Decisorio Ordinario, fue el siguiente: TOTAL REGISTROS: CIENTO </w:t>
      </w:r>
      <w:r w:rsidRPr="00701677">
        <w:rPr>
          <w:i/>
          <w:iCs/>
        </w:rPr>
        <w:t>SETENTA Y TRES (173): CIENTO SETENTA Y DOS (172) ELECTRÓNICOS; UNO (1) MANUAL.”</w:t>
      </w:r>
      <w:r w:rsidRPr="00701677">
        <w:t>.</w:t>
      </w:r>
    </w:p>
  </w:footnote>
  <w:footnote w:id="79">
    <w:p w:rsidR="001E60EC" w:rsidRPr="00701677" w:rsidRDefault="003A7DA4" w:rsidP="001E60EC">
      <w:pPr>
        <w:pStyle w:val="Textonotapie"/>
        <w:jc w:val="both"/>
      </w:pPr>
      <w:r w:rsidRPr="00701677">
        <w:rPr>
          <w:rStyle w:val="Refdenotaalpie"/>
          <w:rFonts w:eastAsiaTheme="majorEastAsia"/>
          <w:sz w:val="20"/>
          <w:szCs w:val="20"/>
        </w:rPr>
        <w:footnoteRef/>
      </w:r>
      <w:r w:rsidRPr="00701677">
        <w:t xml:space="preserve"> En los folios 3 a 9 de la Gaceta 298 de abril 12 de 2023 se indica que se excusaron 13 representantes y un representante que no asistió, sin excusa para ello, por lo que en </w:t>
      </w:r>
      <w:r w:rsidRPr="00701677">
        <w:t xml:space="preserve">total asistieron 159 representantes. </w:t>
      </w:r>
    </w:p>
  </w:footnote>
  <w:footnote w:id="80">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sz w:val="20"/>
          <w:szCs w:val="20"/>
        </w:rPr>
        <w:t xml:space="preserve"> Folio. 37. Gaceta 298 de abril 12 de 2023. Corresponde a la votación nominal de la proposición con la cual termina el informe de ponencia del Proyecto de ley 170 de 2021 Cámara – 277 de 2022 Senado. Ver también comun</w:t>
      </w:r>
      <w:r w:rsidRPr="00701677">
        <w:rPr>
          <w:sz w:val="20"/>
          <w:szCs w:val="20"/>
        </w:rPr>
        <w:t xml:space="preserve">icación SG.2-0642/2023 de 8 de mayo de 2023 remitida a la Corte Constitucional por el Secretario General de la Cámara de Representantes. </w:t>
      </w:r>
    </w:p>
  </w:footnote>
  <w:footnote w:id="81">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Folio. 39. Gaceta 298 de abril 12 de 2023. Corresponde a la votación relacionada con el articulado del Proyecto de l</w:t>
      </w:r>
      <w:r w:rsidRPr="00701677">
        <w:rPr>
          <w:sz w:val="20"/>
          <w:szCs w:val="20"/>
        </w:rPr>
        <w:t>ey 170 de 2021 Cámara – 277 de 2022 Senado. Ver también comunicación SG.2-0642/2023 de 8 de mayo de 2023 remitida a la Corte Constitucional por el Secretario General de la Cámara de Representantes.</w:t>
      </w:r>
    </w:p>
  </w:footnote>
  <w:footnote w:id="82">
    <w:p w:rsidR="001E60EC" w:rsidRPr="00701677" w:rsidRDefault="003A7DA4" w:rsidP="001E60EC">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 xml:space="preserve">Folio. 41. Gaceta 298 de abril 12 de 2023.  Corresponde </w:t>
      </w:r>
      <w:r w:rsidRPr="00701677">
        <w:rPr>
          <w:sz w:val="20"/>
          <w:szCs w:val="20"/>
        </w:rPr>
        <w:t>a la votación relacionada con el título y la siguiente pregunta: “¿Quiere la Plenaria que este proyecto sea ley de la República? || Ha sido leído el título y la pregunta”. del Proyecto de ley 170 de 2021 Cámara – 277 de 2022 Senado. Ver también comunicació</w:t>
      </w:r>
      <w:r w:rsidRPr="00701677">
        <w:rPr>
          <w:sz w:val="20"/>
          <w:szCs w:val="20"/>
        </w:rPr>
        <w:t>n SG.2-0642/2023 de 8 de mayo de 2023 remitida a la Corte Constitucional por el Secretario General de la Cámara de Representantes.</w:t>
      </w:r>
    </w:p>
  </w:footnote>
  <w:footnote w:id="83">
    <w:p w:rsidR="00EC4959" w:rsidRPr="00701677" w:rsidRDefault="003A7DA4" w:rsidP="00654CB1">
      <w:pPr>
        <w:jc w:val="both"/>
        <w:rPr>
          <w:sz w:val="20"/>
          <w:szCs w:val="20"/>
        </w:rPr>
      </w:pPr>
      <w:r w:rsidRPr="00701677">
        <w:rPr>
          <w:rStyle w:val="Refdenotaalpie"/>
          <w:rFonts w:eastAsiaTheme="majorEastAsia"/>
          <w:sz w:val="20"/>
          <w:szCs w:val="20"/>
        </w:rPr>
        <w:footnoteRef/>
      </w:r>
      <w:r w:rsidRPr="00701677">
        <w:rPr>
          <w:rStyle w:val="Refdenotaalpie"/>
          <w:rFonts w:eastAsiaTheme="majorEastAsia"/>
          <w:sz w:val="20"/>
          <w:szCs w:val="20"/>
        </w:rPr>
        <w:t xml:space="preserve"> </w:t>
      </w:r>
      <w:r w:rsidRPr="00701677">
        <w:rPr>
          <w:sz w:val="20"/>
          <w:szCs w:val="20"/>
        </w:rPr>
        <w:t>“Artículo 7. Análisis del impacto fiscal de las normas. En todo momento, el impacto fiscal de cualquier proyecto de ley, or</w:t>
      </w:r>
      <w:r w:rsidRPr="00701677">
        <w:rPr>
          <w:sz w:val="20"/>
          <w:szCs w:val="20"/>
        </w:rPr>
        <w:t>denanza o acuerdo, que ordene gasto o que otorgue beneficios tributarios, deberá hacerse explícito y deberá ser compatible con el Marco Fiscal de Mediano Plazo. Para estos propósitos, deberá incluirse expresamente en la exposición de motivos y en las ponen</w:t>
      </w:r>
      <w:r w:rsidRPr="00701677">
        <w:rPr>
          <w:sz w:val="20"/>
          <w:szCs w:val="20"/>
        </w:rPr>
        <w:t xml:space="preserve">cias de trámite respectivas los costos fiscales de la iniciativa y la fuente de ingreso adicional generada para el financiamiento de dicho costo. El Ministerio de Hacienda y Crédito Público, en cualquier tiempo durante el respectivo trámite en el Congreso </w:t>
      </w:r>
      <w:r w:rsidRPr="00701677">
        <w:rPr>
          <w:sz w:val="20"/>
          <w:szCs w:val="20"/>
        </w:rPr>
        <w:t>de la República, deberá rendir su concepto frente a la consistencia de lo dispuesto en el inciso anterior. En ningún caso este concepto podrá ir en contravía del Marco Fiscal de Mediano Plazo. Este informe será publicado en la Gaceta del Congreso. Los proy</w:t>
      </w:r>
      <w:r w:rsidRPr="00701677">
        <w:rPr>
          <w:sz w:val="20"/>
          <w:szCs w:val="20"/>
        </w:rPr>
        <w:t>ectos de ley de iniciativa gubernamental, que planteen un gasto adicional o una reducción de ingresos, deberá contener la correspondiente fuente sustitutiva por disminución de gasto o aumentos de ingresos, lo cual deberá ser analizado y aprobado por el Min</w:t>
      </w:r>
      <w:r w:rsidRPr="00701677">
        <w:rPr>
          <w:sz w:val="20"/>
          <w:szCs w:val="20"/>
        </w:rPr>
        <w:t>isterio de Hacienda y Crédito Público. En las entidades territoriales, el trámite previsto en el inciso anterior será surtido ante la respectiva Secretaría de Hacienda o quien haga sus veces”.</w:t>
      </w:r>
    </w:p>
  </w:footnote>
  <w:footnote w:id="84">
    <w:p w:rsidR="00EC4959" w:rsidRPr="00701677" w:rsidRDefault="003A7DA4" w:rsidP="00654CB1">
      <w:pPr>
        <w:pBdr>
          <w:top w:val="nil"/>
          <w:left w:val="nil"/>
          <w:bottom w:val="nil"/>
          <w:right w:val="nil"/>
          <w:between w:val="nil"/>
        </w:pBdr>
        <w:spacing w:line="0" w:lineRule="atLeast"/>
        <w:jc w:val="both"/>
        <w:rPr>
          <w:color w:val="000000"/>
          <w:sz w:val="20"/>
          <w:szCs w:val="20"/>
        </w:rPr>
      </w:pPr>
      <w:r w:rsidRPr="00701677">
        <w:rPr>
          <w:sz w:val="20"/>
          <w:szCs w:val="20"/>
          <w:vertAlign w:val="superscript"/>
        </w:rPr>
        <w:footnoteRef/>
      </w:r>
      <w:r w:rsidRPr="00701677">
        <w:rPr>
          <w:color w:val="000000"/>
          <w:sz w:val="20"/>
          <w:szCs w:val="20"/>
        </w:rPr>
        <w:t xml:space="preserve"> Sentencia C-315 de 2008 M. P. Jaime Córdoba Triviño.</w:t>
      </w:r>
    </w:p>
  </w:footnote>
  <w:footnote w:id="85">
    <w:p w:rsidR="00EC4959" w:rsidRPr="00701677" w:rsidRDefault="003A7DA4" w:rsidP="00654CB1">
      <w:pPr>
        <w:pStyle w:val="Textonotapie"/>
        <w:jc w:val="both"/>
        <w:rPr>
          <w:lang w:val="es-ES_tradnl"/>
        </w:rPr>
      </w:pPr>
      <w:r w:rsidRPr="00701677">
        <w:rPr>
          <w:rStyle w:val="Refdenotaalpie"/>
          <w:rFonts w:eastAsiaTheme="majorEastAsia"/>
          <w:sz w:val="20"/>
          <w:szCs w:val="20"/>
        </w:rPr>
        <w:footnoteRef/>
      </w:r>
      <w:r w:rsidRPr="00701677">
        <w:t xml:space="preserve"> Cfr., entre otras la Sentencia C-170 de 2021.</w:t>
      </w:r>
    </w:p>
  </w:footnote>
  <w:footnote w:id="86">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C-110 de 2019.</w:t>
      </w:r>
    </w:p>
  </w:footnote>
  <w:footnote w:id="87">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C-110 de 2019.</w:t>
      </w:r>
    </w:p>
  </w:footnote>
  <w:footnote w:id="88">
    <w:p w:rsidR="00421202" w:rsidRPr="00701677" w:rsidRDefault="003A7DA4" w:rsidP="00421202">
      <w:pPr>
        <w:pStyle w:val="Textonotapie"/>
        <w:jc w:val="both"/>
      </w:pPr>
      <w:r w:rsidRPr="00701677">
        <w:rPr>
          <w:rStyle w:val="Refdenotaalpie"/>
          <w:sz w:val="20"/>
          <w:szCs w:val="20"/>
        </w:rPr>
        <w:footnoteRef/>
      </w:r>
      <w:r w:rsidRPr="00701677">
        <w:t xml:space="preserve"> Incisos 2 y 4 del artículo 7 de la Ley Orgánica 819 de 2003. </w:t>
      </w:r>
    </w:p>
  </w:footnote>
  <w:footnote w:id="89">
    <w:p w:rsidR="00421202" w:rsidRPr="00701677" w:rsidRDefault="003A7DA4" w:rsidP="00421202">
      <w:pPr>
        <w:pStyle w:val="Textonotapie"/>
        <w:jc w:val="both"/>
      </w:pPr>
      <w:r w:rsidRPr="00701677">
        <w:rPr>
          <w:rStyle w:val="Refdenotaalpie"/>
          <w:sz w:val="20"/>
          <w:szCs w:val="20"/>
        </w:rPr>
        <w:footnoteRef/>
      </w:r>
      <w:r w:rsidRPr="00701677">
        <w:t xml:space="preserve"> Inciso 4 de del artículo 7 de la Ley Orgánica 819 de 2003.</w:t>
      </w:r>
    </w:p>
  </w:footnote>
  <w:footnote w:id="90">
    <w:p w:rsidR="00581CF0" w:rsidRPr="00701677" w:rsidRDefault="003A7DA4" w:rsidP="00581CF0">
      <w:pPr>
        <w:pStyle w:val="Textonotapie"/>
        <w:jc w:val="both"/>
      </w:pPr>
      <w:r w:rsidRPr="00701677">
        <w:rPr>
          <w:rStyle w:val="Refdenotaalpie"/>
          <w:sz w:val="20"/>
          <w:szCs w:val="20"/>
        </w:rPr>
        <w:footnoteRef/>
      </w:r>
      <w:r w:rsidRPr="00701677">
        <w:t xml:space="preserve"> </w:t>
      </w:r>
      <w:r w:rsidRPr="00701677">
        <w:t>Al respecto, la sentencia C-116 de 2024 cita la s</w:t>
      </w:r>
      <w:r w:rsidRPr="00701677">
        <w:t>entencia C-373 de 2009.</w:t>
      </w:r>
    </w:p>
  </w:footnote>
  <w:footnote w:id="91">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C-093 de 2024.</w:t>
      </w:r>
    </w:p>
  </w:footnote>
  <w:footnote w:id="92">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C-361 de 2023. </w:t>
      </w:r>
    </w:p>
  </w:footnote>
  <w:footnote w:id="93">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w:t>
      </w:r>
      <w:r w:rsidRPr="00701677">
        <w:rPr>
          <w:i/>
          <w:iCs/>
        </w:rPr>
        <w:t>Ibidem</w:t>
      </w:r>
      <w:r w:rsidRPr="00701677">
        <w:t>.</w:t>
      </w:r>
    </w:p>
  </w:footnote>
  <w:footnote w:id="94">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w:t>
      </w:r>
      <w:r w:rsidRPr="00701677">
        <w:t>titucional, s</w:t>
      </w:r>
      <w:r w:rsidRPr="00701677">
        <w:rPr>
          <w:shd w:val="clear" w:color="auto" w:fill="FFFFFF"/>
        </w:rPr>
        <w:t>entencias C-989 de 2004 y C-175 de 2023.</w:t>
      </w:r>
    </w:p>
  </w:footnote>
  <w:footnote w:id="95">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Ib. </w:t>
      </w:r>
    </w:p>
  </w:footnote>
  <w:footnote w:id="96">
    <w:p w:rsidR="00EC4959" w:rsidRPr="00701677" w:rsidRDefault="003A7DA4" w:rsidP="00654CB1">
      <w:pPr>
        <w:pStyle w:val="Textonotapie"/>
        <w:jc w:val="both"/>
        <w:rPr>
          <w:lang w:val="es-MX"/>
        </w:rPr>
      </w:pPr>
      <w:r w:rsidRPr="00701677">
        <w:rPr>
          <w:rStyle w:val="Refdenotaalpie"/>
          <w:rFonts w:eastAsiaTheme="majorEastAsia"/>
          <w:sz w:val="20"/>
          <w:szCs w:val="20"/>
        </w:rPr>
        <w:footnoteRef/>
      </w:r>
      <w:r w:rsidRPr="00701677">
        <w:t xml:space="preserve"> Corte Constitucional, Sentencia C-091 de 2021.</w:t>
      </w:r>
    </w:p>
  </w:footnote>
  <w:footnote w:id="97">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Ib.</w:t>
      </w:r>
    </w:p>
  </w:footnote>
  <w:footnote w:id="98">
    <w:p w:rsidR="00A961A3" w:rsidRPr="00A961A3" w:rsidRDefault="003A7DA4">
      <w:pPr>
        <w:pStyle w:val="Textonotapie"/>
      </w:pPr>
      <w:r>
        <w:rPr>
          <w:rStyle w:val="Refdenotaalpie"/>
        </w:rPr>
        <w:footnoteRef/>
      </w:r>
      <w:r>
        <w:t xml:space="preserve"> Corte Constitucional, sentencia C-093 de 2024.</w:t>
      </w:r>
    </w:p>
  </w:footnote>
  <w:footnote w:id="99">
    <w:p w:rsidR="00D96995" w:rsidRPr="00701677" w:rsidRDefault="003A7DA4" w:rsidP="00D96995">
      <w:pPr>
        <w:pStyle w:val="Textonotapie"/>
        <w:jc w:val="both"/>
        <w:rPr>
          <w:color w:val="000000" w:themeColor="text1"/>
        </w:rPr>
      </w:pPr>
      <w:r w:rsidRPr="00701677">
        <w:rPr>
          <w:rStyle w:val="Refdenotaalpie"/>
          <w:rFonts w:eastAsiaTheme="majorEastAsia"/>
          <w:color w:val="000000" w:themeColor="text1"/>
          <w:sz w:val="20"/>
          <w:szCs w:val="20"/>
        </w:rPr>
        <w:footnoteRef/>
      </w:r>
      <w:r w:rsidRPr="00701677">
        <w:rPr>
          <w:color w:val="000000" w:themeColor="text1"/>
        </w:rPr>
        <w:t xml:space="preserve"> Según da cuenta la Gaceta 1523 de 2022. </w:t>
      </w:r>
    </w:p>
  </w:footnote>
  <w:footnote w:id="100">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Corte Constitucional, Sentencia C-110 de 2019.</w:t>
      </w:r>
    </w:p>
  </w:footnote>
  <w:footnote w:id="101">
    <w:p w:rsidR="00D96995" w:rsidRPr="00701677" w:rsidRDefault="003A7DA4" w:rsidP="00D96995">
      <w:pPr>
        <w:pStyle w:val="Textonotapie"/>
        <w:jc w:val="both"/>
        <w:rPr>
          <w:lang w:val="es-ES"/>
        </w:rPr>
      </w:pPr>
      <w:r w:rsidRPr="00701677">
        <w:rPr>
          <w:rStyle w:val="Refdenotaalpie"/>
          <w:rFonts w:eastAsiaTheme="majorEastAsia"/>
          <w:color w:val="000000" w:themeColor="text1"/>
          <w:sz w:val="20"/>
          <w:szCs w:val="20"/>
        </w:rPr>
        <w:footnoteRef/>
      </w:r>
      <w:r w:rsidRPr="00701677">
        <w:rPr>
          <w:color w:val="000000" w:themeColor="text1"/>
        </w:rPr>
        <w:t xml:space="preserve"> Según da cuenta la Gaceta 1839 de 2021. </w:t>
      </w:r>
    </w:p>
  </w:footnote>
  <w:footnote w:id="102">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Según da cuenta la Gaceta 232 de 2022. </w:t>
      </w:r>
    </w:p>
  </w:footnote>
  <w:footnote w:id="103">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Según da cuenta la Gaceta 538 de 2022. </w:t>
      </w:r>
    </w:p>
  </w:footnote>
  <w:footnote w:id="104">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Según da cuenta la Gaceta 1246 de 2022.</w:t>
      </w:r>
    </w:p>
  </w:footnote>
  <w:footnote w:id="105">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Según da cuenta la Gaceta 1523 de 2022.</w:t>
      </w:r>
    </w:p>
  </w:footnote>
  <w:footnote w:id="106">
    <w:p w:rsidR="00D96995" w:rsidRPr="00701677" w:rsidRDefault="003A7DA4" w:rsidP="00D96995">
      <w:pPr>
        <w:pStyle w:val="Textonotapie"/>
        <w:jc w:val="both"/>
      </w:pPr>
      <w:r w:rsidRPr="00701677">
        <w:rPr>
          <w:rStyle w:val="Refdenotaalpie"/>
          <w:rFonts w:eastAsiaTheme="majorEastAsia"/>
          <w:sz w:val="20"/>
          <w:szCs w:val="20"/>
        </w:rPr>
        <w:footnoteRef/>
      </w:r>
      <w:r w:rsidRPr="00701677">
        <w:t xml:space="preserve"> Según da cuenta la Gaceta 1246 de 2022. </w:t>
      </w:r>
    </w:p>
  </w:footnote>
  <w:footnote w:id="107">
    <w:p w:rsidR="00EC4959" w:rsidRPr="00701677" w:rsidRDefault="003A7DA4" w:rsidP="00654CB1">
      <w:pPr>
        <w:pStyle w:val="NormalWeb"/>
        <w:shd w:val="clear" w:color="auto" w:fill="FFFFFF"/>
        <w:spacing w:before="0" w:beforeAutospacing="0" w:after="0" w:afterAutospacing="0"/>
        <w:jc w:val="both"/>
        <w:rPr>
          <w:sz w:val="20"/>
          <w:szCs w:val="20"/>
        </w:rPr>
      </w:pPr>
      <w:r w:rsidRPr="00701677">
        <w:rPr>
          <w:rStyle w:val="Refdenotaalpie"/>
          <w:rFonts w:eastAsiaTheme="majorEastAsia"/>
          <w:sz w:val="20"/>
          <w:szCs w:val="20"/>
        </w:rPr>
        <w:footnoteRef/>
      </w:r>
      <w:r w:rsidRPr="00701677">
        <w:rPr>
          <w:sz w:val="20"/>
          <w:szCs w:val="20"/>
        </w:rPr>
        <w:t xml:space="preserve"> </w:t>
      </w:r>
      <w:r w:rsidRPr="00701677">
        <w:rPr>
          <w:spacing w:val="2"/>
          <w:sz w:val="20"/>
          <w:szCs w:val="20"/>
        </w:rPr>
        <w:t>La asistencia judicial comprenderá: 1. Notificación de documentos, incluyendo resoluciones y sentencias; 2. Obtención de pruebas, evidencias o elementos materiales probatorios; 3. Suministro de Información relacionada con movimientos bancarios y financier</w:t>
      </w:r>
      <w:r w:rsidRPr="00701677">
        <w:rPr>
          <w:spacing w:val="2"/>
          <w:sz w:val="20"/>
          <w:szCs w:val="20"/>
        </w:rPr>
        <w:t>os, 4. Localización e identificación de personas y objetos; 5. Citación a testigos, víctimas, personas investigadas o procesadas, y peritos para comparecer voluntariamente ante autoridad competente en la Parte Requirente; 6. Traslado temporal de personas d</w:t>
      </w:r>
      <w:r w:rsidRPr="00701677">
        <w:rPr>
          <w:spacing w:val="2"/>
          <w:sz w:val="20"/>
          <w:szCs w:val="20"/>
        </w:rPr>
        <w:t xml:space="preserve">etenidas, investigadas o procesadas, en virtud del presente convenio Esto se regulará de conformidad con lo establecido en el artículo 16 del presente instrumento, 7. Diligencias por videoconferencias u otros canales. Estas se regularan de conformidad con </w:t>
      </w:r>
      <w:r w:rsidRPr="00701677">
        <w:rPr>
          <w:spacing w:val="2"/>
          <w:sz w:val="20"/>
          <w:szCs w:val="20"/>
        </w:rPr>
        <w:t>lo establecido en el Articulo 11 del presente instrumento; 8. Ejecución de medidas sobre bienes, 9. Entrega de documentos, objetos, y otras pruebas, evidencias o elementos materiales probatorios; 10. Autorización de la presencia durante la ejecución de una</w:t>
      </w:r>
      <w:r w:rsidRPr="00701677">
        <w:rPr>
          <w:spacing w:val="2"/>
          <w:sz w:val="20"/>
          <w:szCs w:val="20"/>
        </w:rPr>
        <w:t xml:space="preserve"> solicitud de representantes de las autoridades competentes de la Parte Requirente; 11. Remisión de información para valoración del ejercicio de la acción penal, en concordancia con el artículo 19 del presente Convenio y de acuerdo a la legislación interna</w:t>
      </w:r>
      <w:r w:rsidRPr="00701677">
        <w:rPr>
          <w:spacing w:val="2"/>
          <w:sz w:val="20"/>
          <w:szCs w:val="20"/>
        </w:rPr>
        <w:t xml:space="preserve"> de cada una de las Partes, 12. La realización y la transmisión de peritajes. 13. La recepción de testimonios, interrogatorios o de otras declaraciones. 14. La ejecución de inspecciones judiciales o el examen de lugares o de cosas. 15. La ejecución de Inve</w:t>
      </w:r>
      <w:r w:rsidRPr="00701677">
        <w:rPr>
          <w:spacing w:val="2"/>
          <w:sz w:val="20"/>
          <w:szCs w:val="20"/>
        </w:rPr>
        <w:t xml:space="preserve">stigaciones, registros, inmovilizaciones de bienes e incautaciones; 16. Interceptaciones de comunicaciones. Cualquier otra forma de asistencia judicial de conformidad con los fines de este Convenio, siempre y cuando no sea incompatible con las leyes de la </w:t>
      </w:r>
      <w:r w:rsidRPr="00701677">
        <w:rPr>
          <w:spacing w:val="2"/>
          <w:sz w:val="20"/>
          <w:szCs w:val="20"/>
        </w:rPr>
        <w:t>Parte Requerida</w:t>
      </w:r>
    </w:p>
  </w:footnote>
  <w:footnote w:id="108">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C-093 de 2024.</w:t>
      </w:r>
    </w:p>
  </w:footnote>
  <w:footnote w:id="109">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Ib.</w:t>
      </w:r>
    </w:p>
  </w:footnote>
  <w:footnote w:id="110">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De acuerdo con la definición suministrada por la RAE, disponible en: </w:t>
      </w:r>
      <w:hyperlink r:id="rId2" w:anchor=":~:text=Signo%20ortográfico%20auxiliar%20(§)%20que," w:history="1">
        <w:r w:rsidRPr="00701677">
          <w:rPr>
            <w:rStyle w:val="Hipervnculo"/>
            <w:color w:val="000000" w:themeColor="text1"/>
          </w:rPr>
          <w:t>https://www.rae.es/dpd/párrafo#:~:text=Signo%20ortográfico%20auxiliar%20(§)%20que,»%20(RAE%20Esbozo%20%5BEsp</w:t>
        </w:r>
      </w:hyperlink>
      <w:r w:rsidRPr="00701677">
        <w:rPr>
          <w:color w:val="000000" w:themeColor="text1"/>
        </w:rPr>
        <w:t xml:space="preserve">. </w:t>
      </w:r>
    </w:p>
  </w:footnote>
  <w:footnote w:id="111">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C-093 de 2023.</w:t>
      </w:r>
    </w:p>
  </w:footnote>
  <w:footnote w:id="112">
    <w:p w:rsidR="00EC4959" w:rsidRPr="00701677" w:rsidRDefault="003A7DA4" w:rsidP="00654CB1">
      <w:pPr>
        <w:pStyle w:val="NormalWeb"/>
        <w:spacing w:before="0" w:beforeAutospacing="0" w:after="0" w:afterAutospacing="0"/>
        <w:jc w:val="both"/>
        <w:rPr>
          <w:sz w:val="20"/>
          <w:szCs w:val="20"/>
        </w:rPr>
      </w:pPr>
      <w:r w:rsidRPr="00701677">
        <w:rPr>
          <w:rStyle w:val="Refdenotaalpie"/>
          <w:rFonts w:eastAsiaTheme="majorEastAsia"/>
          <w:sz w:val="20"/>
          <w:szCs w:val="20"/>
        </w:rPr>
        <w:footnoteRef/>
      </w:r>
      <w:r w:rsidRPr="00701677">
        <w:rPr>
          <w:sz w:val="20"/>
          <w:szCs w:val="20"/>
        </w:rPr>
        <w:t xml:space="preserve"> 4. La solicitud contendrá: a) El nombre de la autoridad competente que solicita la asistencia </w:t>
      </w:r>
      <w:r w:rsidRPr="00701677">
        <w:rPr>
          <w:sz w:val="20"/>
          <w:szCs w:val="20"/>
        </w:rPr>
        <w:t>judicial; b) Propósito de la solicitud y descripción de la asistencia judicial solicitada; c) Descripción de los hechos objeto de investigación o procedimiento penal, en especial las circunstancias de tiempo y lugar, su calificación jurídica. el texto de l</w:t>
      </w:r>
      <w:r w:rsidRPr="00701677">
        <w:rPr>
          <w:sz w:val="20"/>
          <w:szCs w:val="20"/>
        </w:rPr>
        <w:t>as disposiciones legales que tipifican la conducta como hecho punible, y cuando sea necesario, la cuantía del daño causado; d) Fundamentación y descripción de cualquier procedimiento especial que la Parte Requirente desee que se practique al ejecutar la so</w:t>
      </w:r>
      <w:r w:rsidRPr="00701677">
        <w:rPr>
          <w:sz w:val="20"/>
          <w:szCs w:val="20"/>
        </w:rPr>
        <w:t>licitud: e) Identificación de personas sujetas a investigación o proceso judicial, investigados, procesados, testigos o peritos; f) Plazo dentro del cual la Parte Requirente desea que la solicitud sea cumplida, g) Información sobre el nombre completo, el d</w:t>
      </w:r>
      <w:r w:rsidRPr="00701677">
        <w:rPr>
          <w:sz w:val="20"/>
          <w:szCs w:val="20"/>
        </w:rPr>
        <w:t>omicilio y en lo posible el número del teléfono de las personas a ser notificadas y su relación con la investigación o proceso judicial en curso h) Indicación y descripción del lugar a inspeccionar o catear, así como de los objetos por asegurar,</w:t>
      </w:r>
    </w:p>
    <w:p w:rsidR="00EC4959" w:rsidRPr="00701677" w:rsidRDefault="003A7DA4" w:rsidP="00654CB1">
      <w:pPr>
        <w:pStyle w:val="NormalWeb"/>
        <w:spacing w:before="0" w:beforeAutospacing="0" w:after="0" w:afterAutospacing="0"/>
        <w:jc w:val="both"/>
        <w:rPr>
          <w:sz w:val="20"/>
          <w:szCs w:val="20"/>
        </w:rPr>
      </w:pPr>
      <w:r w:rsidRPr="00701677">
        <w:rPr>
          <w:sz w:val="20"/>
          <w:szCs w:val="20"/>
        </w:rPr>
        <w:t>I) El obje</w:t>
      </w:r>
      <w:r w:rsidRPr="00701677">
        <w:rPr>
          <w:sz w:val="20"/>
          <w:szCs w:val="20"/>
        </w:rPr>
        <w:t>to del interrogatorio a ser formulado para la recepción del testimonio en la Parte Requerida, y de ser necesario para la Parte Requirente, el texto del interrogatorio, J) En caso de solicitarse asistencia de representantes de las autoridades competentes de</w:t>
      </w:r>
      <w:r w:rsidRPr="00701677">
        <w:rPr>
          <w:sz w:val="20"/>
          <w:szCs w:val="20"/>
        </w:rPr>
        <w:t xml:space="preserve"> la Parte Requirente para la ejecución de la solicitud, indicación de los nombres completos, cargo y motivo de su presencia; k) Cualquier petición para observar la confidencialidad del hecho de la recepción de la solicitud de asistencia judicial, su conten</w:t>
      </w:r>
      <w:r w:rsidRPr="00701677">
        <w:rPr>
          <w:sz w:val="20"/>
          <w:szCs w:val="20"/>
        </w:rPr>
        <w:t>ido y/o cualquier actuación emprendida conforme a la misma. l) Cualquier otra información que pueda ser de utilidad a la Parte Requerida para el cumplimiento de la solicitud; 5. Si la Parte Requerida considera que la información contenida en la solicitud n</w:t>
      </w:r>
      <w:r w:rsidRPr="00701677">
        <w:rPr>
          <w:sz w:val="20"/>
          <w:szCs w:val="20"/>
        </w:rPr>
        <w:t>o es suficiente para dar trámite a la misma podrá solicitar Información adicional</w:t>
      </w:r>
    </w:p>
    <w:p w:rsidR="00EC4959" w:rsidRPr="00701677" w:rsidRDefault="003A7DA4" w:rsidP="00654CB1">
      <w:pPr>
        <w:pStyle w:val="Textonotapie"/>
        <w:jc w:val="both"/>
      </w:pPr>
    </w:p>
  </w:footnote>
  <w:footnote w:id="113">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Corte Constitucional, Sentencia T-153 de 1998.</w:t>
      </w:r>
    </w:p>
  </w:footnote>
  <w:footnote w:id="114">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Corte Constitucional, Sentencia T-388 de 2013.</w:t>
      </w:r>
    </w:p>
  </w:footnote>
  <w:footnote w:id="115">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Corte Constitucional, Sentencia T-762 de 2015.</w:t>
      </w:r>
    </w:p>
  </w:footnote>
  <w:footnote w:id="116">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Corte Constitucional, Sentencia SU-122 de 2022.</w:t>
      </w:r>
    </w:p>
  </w:footnote>
  <w:footnote w:id="117">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Con la gravedad que implica, que con ocasión de la pandemia generada por el COVID-19 en el año 2020 y sus efectos prolongados, al disponerse el cierre de los establecimientos a efecto de mitigar el riego d</w:t>
      </w:r>
      <w:r w:rsidRPr="00701677">
        <w:t>e propagación, hubo una reducción de más de 20 puntos porcentuales en la tasa de hacinamiento, lo que en su momento, el gobierno celebró como un logro en punto de reducir los niveles de hacinamiento y sobrepoblación, pero que en últimas significó el trasla</w:t>
      </w:r>
      <w:r w:rsidRPr="00701677">
        <w:t xml:space="preserve">do y depósito de personas en lugares que no estaban adecuados para ello, con lo que, se perpetuó y agravó la violación de derechos fundamentales de la población privada de la libertad. </w:t>
      </w:r>
    </w:p>
  </w:footnote>
  <w:footnote w:id="118">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Último boletín oficial aprobado y publicado. </w:t>
      </w:r>
    </w:p>
  </w:footnote>
  <w:footnote w:id="119">
    <w:p w:rsidR="007047D0" w:rsidRPr="00701677" w:rsidRDefault="003A7DA4" w:rsidP="007047D0">
      <w:pPr>
        <w:pStyle w:val="Textonotapie"/>
        <w:jc w:val="both"/>
      </w:pPr>
      <w:r w:rsidRPr="00701677">
        <w:rPr>
          <w:rStyle w:val="Refdenotaalpie"/>
          <w:rFonts w:eastAsiaTheme="majorEastAsia"/>
          <w:sz w:val="20"/>
          <w:szCs w:val="20"/>
        </w:rPr>
        <w:footnoteRef/>
      </w:r>
      <w:r w:rsidRPr="00701677">
        <w:t xml:space="preserve"> Sin contar con los d</w:t>
      </w:r>
      <w:r w:rsidRPr="00701677">
        <w:t xml:space="preserve">atos estadísticos discriminados por extranjeros y nacionalidades en los centros de detención transitoria, URIS y Estaciones de Policía. </w:t>
      </w:r>
    </w:p>
  </w:footnote>
  <w:footnote w:id="120">
    <w:p w:rsidR="00EC4959" w:rsidRPr="00701677" w:rsidRDefault="003A7DA4" w:rsidP="00654CB1">
      <w:pPr>
        <w:tabs>
          <w:tab w:val="left" w:pos="426"/>
        </w:tabs>
        <w:ind w:right="49"/>
        <w:jc w:val="both"/>
        <w:rPr>
          <w:sz w:val="20"/>
          <w:szCs w:val="20"/>
          <w:shd w:val="clear" w:color="auto" w:fill="FFFFFF"/>
        </w:rPr>
      </w:pPr>
      <w:r w:rsidRPr="00701677">
        <w:rPr>
          <w:rStyle w:val="Refdenotaalpie"/>
          <w:rFonts w:eastAsiaTheme="majorEastAsia"/>
          <w:sz w:val="20"/>
          <w:szCs w:val="20"/>
        </w:rPr>
        <w:footnoteRef/>
      </w:r>
      <w:r w:rsidRPr="00701677">
        <w:rPr>
          <w:sz w:val="20"/>
          <w:szCs w:val="20"/>
        </w:rPr>
        <w:t xml:space="preserve"> </w:t>
      </w:r>
      <w:r w:rsidRPr="00701677">
        <w:rPr>
          <w:sz w:val="20"/>
          <w:szCs w:val="20"/>
          <w:shd w:val="clear" w:color="auto" w:fill="FFFFFF"/>
        </w:rPr>
        <w:t>Por ejemplo, en el marco de la negociación del Tratado entre Colombia e Italia sobre asistencia judicial, que contien</w:t>
      </w:r>
      <w:r w:rsidRPr="00701677">
        <w:rPr>
          <w:sz w:val="20"/>
          <w:szCs w:val="20"/>
          <w:shd w:val="clear" w:color="auto" w:fill="FFFFFF"/>
        </w:rPr>
        <w:t>e una cláusula igual a la que se examina (art. 11), la DIAN rindió un concepto sobre el asunto. En el concepto sostuvo que: “</w:t>
      </w:r>
      <w:r w:rsidRPr="00701677">
        <w:rPr>
          <w:bCs/>
          <w:spacing w:val="2"/>
          <w:sz w:val="20"/>
          <w:szCs w:val="20"/>
        </w:rPr>
        <w:t>El artículo </w:t>
      </w:r>
      <w:hyperlink r:id="rId3" w:anchor="1" w:tooltip="Decreto 2685 de 1999 - ESTATUTO ADUANERO (1999) - Decreto 2685 de 1999 - Por el cual se modifica la Legislación Aduanera, 1" w:history="1">
        <w:r w:rsidRPr="00701677">
          <w:rPr>
            <w:bCs/>
            <w:spacing w:val="2"/>
            <w:sz w:val="20"/>
            <w:szCs w:val="20"/>
          </w:rPr>
          <w:t>1o</w:t>
        </w:r>
      </w:hyperlink>
      <w:r w:rsidRPr="00701677">
        <w:rPr>
          <w:bCs/>
          <w:spacing w:val="2"/>
          <w:sz w:val="20"/>
          <w:szCs w:val="20"/>
        </w:rPr>
        <w:t> del Decreto 2685 de 1999 a su vez establece, que tanto la introducción de mercancías de procedencia extranjera al territorio aduanero nacional co</w:t>
      </w:r>
      <w:r w:rsidRPr="00701677">
        <w:rPr>
          <w:bCs/>
          <w:spacing w:val="2"/>
          <w:sz w:val="20"/>
          <w:szCs w:val="20"/>
        </w:rPr>
        <w:t>mo la introducción de mercancías procedentes de Zona Franca Industrial de Bienes y de Servicios, al resto del territorio aduanero nacional en los términos previstos en ese Decreto, son consideradas como importación”. Luego de citar jurisprudencia de la Cor</w:t>
      </w:r>
      <w:r w:rsidRPr="00701677">
        <w:rPr>
          <w:bCs/>
          <w:spacing w:val="2"/>
          <w:sz w:val="20"/>
          <w:szCs w:val="20"/>
        </w:rPr>
        <w:t>te y algunas nomas del ET, concluyó: “</w:t>
      </w:r>
      <w:r w:rsidRPr="00701677">
        <w:rPr>
          <w:spacing w:val="2"/>
          <w:sz w:val="20"/>
          <w:szCs w:val="20"/>
        </w:rPr>
        <w:t>Finalmente, es de anotar que el “Tratado sobre Asistencia Legal Mutua en Asuntos Penales entre la República de Colombia y la Confederación Suiza”, aprobado mediante la Ley 1594 de 2012, y promulgado por medio del Decre</w:t>
      </w:r>
      <w:r w:rsidRPr="00701677">
        <w:rPr>
          <w:spacing w:val="2"/>
          <w:sz w:val="20"/>
          <w:szCs w:val="20"/>
        </w:rPr>
        <w:t>to 346 de 2015, no contiene el beneficio tributario que se solicita incorporar en esta oportunidad en el proyecto sometido a revisión, lo que generaría un trato desigual, frente al mismo tipo de hechos - entrega y devolución de objetos en el marco de la as</w:t>
      </w:r>
      <w:r w:rsidRPr="00701677">
        <w:rPr>
          <w:spacing w:val="2"/>
          <w:sz w:val="20"/>
          <w:szCs w:val="20"/>
        </w:rPr>
        <w:t xml:space="preserve">istencia legal- sin que se justifique esta medida. Concepto disponible en: </w:t>
      </w:r>
      <w:hyperlink r:id="rId4" w:history="1">
        <w:r w:rsidRPr="00701677">
          <w:rPr>
            <w:rStyle w:val="Hipervnculo"/>
            <w:spacing w:val="2"/>
            <w:sz w:val="20"/>
            <w:szCs w:val="20"/>
          </w:rPr>
          <w:t>https://normograma.dian.gov.co/dian/compilacion/docs/oficio_dian_1988_2016.htm</w:t>
        </w:r>
      </w:hyperlink>
      <w:r w:rsidRPr="00701677">
        <w:rPr>
          <w:spacing w:val="2"/>
          <w:sz w:val="20"/>
          <w:szCs w:val="20"/>
        </w:rPr>
        <w:t xml:space="preserve"> </w:t>
      </w:r>
    </w:p>
  </w:footnote>
  <w:footnote w:id="121">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w:t>
      </w:r>
      <w:bookmarkStart w:id="8" w:name="2"/>
      <w:r w:rsidRPr="00701677">
        <w:t>Apro</w:t>
      </w:r>
      <w:r w:rsidRPr="00701677">
        <w:t>bada por la Ley 455 de 1998 y declarada exequible por la Corte en la Sentencia C-164 de 1999.El artículo 2 dispone: “</w:t>
      </w:r>
      <w:r w:rsidRPr="00701677">
        <w:rPr>
          <w:b/>
          <w:bCs/>
        </w:rPr>
        <w:t>ARTICULO 2o.</w:t>
      </w:r>
      <w:bookmarkEnd w:id="8"/>
      <w:r w:rsidRPr="00701677">
        <w:t> Cada estado contratante eximirá de legalización los documentos a los que se aplica la presente Convención y que han de ser pre</w:t>
      </w:r>
      <w:r w:rsidRPr="00701677">
        <w:t xml:space="preserve">sentados en su territorio. A efectos de la presente Convención, la legalización significa únicamente el trámite mediante el </w:t>
      </w:r>
      <w:r w:rsidRPr="009216D2">
        <w:rPr>
          <w:bCs/>
          <w:sz w:val="24"/>
          <w:szCs w:val="24"/>
          <w:lang w:val="es-ES"/>
        </w:rPr>
        <w:t>Se modifica el FJ 90 para aclarar que, si bien el artículo 21 no genera una orden de gasto inmediata, obliga al gasto bajo un condic</w:t>
      </w:r>
      <w:r w:rsidRPr="009216D2">
        <w:rPr>
          <w:bCs/>
          <w:sz w:val="24"/>
          <w:szCs w:val="24"/>
          <w:lang w:val="es-ES"/>
        </w:rPr>
        <w:t>ionamiento, esto es, que se presente la solicitud de cooperación, por lo cual, la fuete de dicha obligación a futuro es el tratado.</w:t>
      </w:r>
      <w:r w:rsidRPr="00701677">
        <w:t xml:space="preserve">cual los agentes diplomáticos o consulares del país en donde el documento ha de ser presentado certifican la autenticidad de </w:t>
      </w:r>
      <w:r w:rsidRPr="00701677">
        <w:t>la firma, a qué título ha actuado la persona que firma el documento y, cuando proceda, la indicación del sello o estampilla que llevare”.</w:t>
      </w:r>
    </w:p>
  </w:footnote>
  <w:footnote w:id="122">
    <w:p w:rsidR="00EC4959" w:rsidRPr="00701677" w:rsidRDefault="003A7DA4" w:rsidP="00654CB1">
      <w:pPr>
        <w:pStyle w:val="Textonotapie"/>
        <w:jc w:val="both"/>
      </w:pPr>
      <w:r w:rsidRPr="00701677">
        <w:rPr>
          <w:rStyle w:val="Refdenotaalpie"/>
          <w:rFonts w:eastAsiaTheme="majorEastAsia"/>
          <w:sz w:val="20"/>
          <w:szCs w:val="20"/>
        </w:rPr>
        <w:footnoteRef/>
      </w:r>
      <w:r w:rsidRPr="00701677">
        <w:t xml:space="preserve"> Corte Constitucional, Sentencia C-170 de 2021.</w:t>
      </w:r>
    </w:p>
  </w:footnote>
  <w:footnote w:id="123">
    <w:p w:rsidR="001B6BCF" w:rsidRPr="001B6BCF" w:rsidRDefault="003A7DA4">
      <w:pPr>
        <w:pStyle w:val="Textonotapie"/>
      </w:pPr>
      <w:r>
        <w:rPr>
          <w:rStyle w:val="Refdenotaalpie"/>
        </w:rPr>
        <w:footnoteRef/>
      </w:r>
      <w:r>
        <w:t xml:space="preserve"> </w:t>
      </w:r>
      <w:r w:rsidRPr="00701677">
        <w:t>Corte Constitucional, Sentencia C-</w:t>
      </w:r>
      <w:r>
        <w:t>424</w:t>
      </w:r>
      <w:r w:rsidRPr="00701677">
        <w:t xml:space="preserve"> de 202</w:t>
      </w:r>
      <w:r>
        <w:t>3</w:t>
      </w:r>
      <w:r w:rsidRPr="00701677">
        <w:t>.</w:t>
      </w:r>
    </w:p>
  </w:footnote>
  <w:footnote w:id="124">
    <w:p w:rsidR="00EC4959" w:rsidRPr="00701677" w:rsidRDefault="003A7DA4" w:rsidP="00654CB1">
      <w:pPr>
        <w:pStyle w:val="Textonotapie"/>
        <w:jc w:val="both"/>
        <w:rPr>
          <w:lang w:val="es-ES"/>
        </w:rPr>
      </w:pPr>
      <w:r w:rsidRPr="00701677">
        <w:rPr>
          <w:rStyle w:val="Refdenotaalpie"/>
          <w:rFonts w:eastAsiaTheme="majorEastAsia"/>
          <w:sz w:val="20"/>
          <w:szCs w:val="20"/>
        </w:rPr>
        <w:footnoteRef/>
      </w:r>
      <w:r w:rsidRPr="00701677">
        <w:t xml:space="preserve"> </w:t>
      </w:r>
      <w:r w:rsidRPr="00701677">
        <w:rPr>
          <w:lang w:val="es-ES"/>
        </w:rPr>
        <w:t xml:space="preserve">Corte </w:t>
      </w:r>
      <w:r w:rsidRPr="00701677">
        <w:rPr>
          <w:lang w:val="es-ES"/>
        </w:rPr>
        <w:t>Constitucional, Sentencia C-459 de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52CBD3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42A4064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E6F7C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13780C25"/>
    <w:multiLevelType w:val="hybridMultilevel"/>
    <w:tmpl w:val="0BB0CA36"/>
    <w:lvl w:ilvl="0" w:tplc="FFB6B3FA">
      <w:start w:val="1"/>
      <w:numFmt w:val="upperRoman"/>
      <w:pStyle w:val="Prrafodelista"/>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8EB32BC"/>
    <w:multiLevelType w:val="hybridMultilevel"/>
    <w:tmpl w:val="B8229630"/>
    <w:lvl w:ilvl="0" w:tplc="FFFFFFFF">
      <w:start w:val="1"/>
      <w:numFmt w:val="decimal"/>
      <w:suff w:val="space"/>
      <w:lvlText w:val="%1."/>
      <w:lvlJc w:val="left"/>
      <w:pPr>
        <w:ind w:left="3054" w:hanging="360"/>
      </w:pPr>
      <w:rPr>
        <w:rFonts w:cs="Times New Roman" w:hint="default"/>
        <w:b w:val="0"/>
        <w:bCs w:val="0"/>
        <w:i w:val="0"/>
        <w:iCs w:val="0"/>
        <w:color w:val="000000" w:themeColor="text1"/>
        <w:sz w:val="28"/>
        <w:szCs w:val="28"/>
      </w:r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5" w15:restartNumberingAfterBreak="0">
    <w:nsid w:val="1A8B763D"/>
    <w:multiLevelType w:val="multilevel"/>
    <w:tmpl w:val="AA560E9E"/>
    <w:styleLink w:val="Listaactual1"/>
    <w:lvl w:ilvl="0">
      <w:start w:val="1"/>
      <w:numFmt w:val="none"/>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220053"/>
    <w:multiLevelType w:val="hybridMultilevel"/>
    <w:tmpl w:val="930A7574"/>
    <w:lvl w:ilvl="0" w:tplc="5CAED74A">
      <w:start w:val="1"/>
      <w:numFmt w:val="decimal"/>
      <w:suff w:val="space"/>
      <w:lvlText w:val="%1."/>
      <w:lvlJc w:val="left"/>
      <w:pPr>
        <w:ind w:left="3054" w:hanging="360"/>
      </w:pPr>
      <w:rPr>
        <w:rFonts w:cs="Times New Roman" w:hint="default"/>
        <w:b w:val="0"/>
        <w:bCs w:val="0"/>
        <w:i w:val="0"/>
        <w:iCs w:val="0"/>
        <w:color w:val="000000" w:themeColor="text1"/>
        <w:sz w:val="28"/>
        <w:szCs w:val="28"/>
      </w:rPr>
    </w:lvl>
    <w:lvl w:ilvl="1" w:tplc="240A0019">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 w15:restartNumberingAfterBreak="0">
    <w:nsid w:val="4BEA0934"/>
    <w:multiLevelType w:val="multilevel"/>
    <w:tmpl w:val="2A521898"/>
    <w:styleLink w:val="Listaactual2"/>
    <w:lvl w:ilvl="0">
      <w:start w:val="1"/>
      <w:numFmt w:val="ordinalText"/>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D823FD8"/>
    <w:multiLevelType w:val="multilevel"/>
    <w:tmpl w:val="FFFFFFFF"/>
    <w:lvl w:ilvl="0">
      <w:start w:val="1"/>
      <w:numFmt w:val="decimal"/>
      <w:pStyle w:val="Estilo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405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3"/>
  </w:num>
  <w:num w:numId="2">
    <w:abstractNumId w:val="8"/>
  </w:num>
  <w:num w:numId="3">
    <w:abstractNumId w:val="5"/>
  </w:num>
  <w:num w:numId="4">
    <w:abstractNumId w:val="7"/>
  </w:num>
  <w:num w:numId="5">
    <w:abstractNumId w:val="2"/>
  </w:num>
  <w:num w:numId="6">
    <w:abstractNumId w:val="1"/>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6AD"/>
    <w:rsid w:val="003A7DA4"/>
    <w:rsid w:val="007E5812"/>
    <w:rsid w:val="00A126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DBB4256-94B4-4DE6-9546-E23EE84C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EC4959"/>
    <w:pPr>
      <w:keepNext/>
      <w:keepLines/>
      <w:spacing w:before="240"/>
      <w:outlineLvl w:val="0"/>
    </w:pPr>
    <w:rPr>
      <w:rFonts w:asciiTheme="majorHAnsi" w:eastAsiaTheme="majorEastAsia" w:hAnsiTheme="majorHAnsi"/>
      <w:color w:val="2E74B5" w:themeColor="accent1" w:themeShade="BF"/>
      <w:sz w:val="32"/>
      <w:szCs w:val="32"/>
    </w:rPr>
  </w:style>
  <w:style w:type="paragraph" w:styleId="Ttulo2">
    <w:name w:val="heading 2"/>
    <w:aliases w:val="FNCER 1"/>
    <w:basedOn w:val="Normal"/>
    <w:next w:val="Normal"/>
    <w:link w:val="Ttulo2Car"/>
    <w:uiPriority w:val="9"/>
    <w:unhideWhenUsed/>
    <w:qFormat/>
    <w:rsid w:val="00EC4959"/>
    <w:pPr>
      <w:keepNext/>
      <w:keepLines/>
      <w:spacing w:before="40"/>
      <w:outlineLvl w:val="1"/>
    </w:pPr>
    <w:rPr>
      <w:rFonts w:asciiTheme="majorHAnsi" w:eastAsiaTheme="majorEastAsia" w:hAnsiTheme="majorHAnsi"/>
      <w:color w:val="2E74B5" w:themeColor="accent1" w:themeShade="BF"/>
      <w:sz w:val="26"/>
      <w:szCs w:val="26"/>
    </w:rPr>
  </w:style>
  <w:style w:type="paragraph" w:styleId="Ttulo3">
    <w:name w:val="heading 3"/>
    <w:basedOn w:val="Normal"/>
    <w:next w:val="Normal"/>
    <w:link w:val="Ttulo3Car"/>
    <w:uiPriority w:val="9"/>
    <w:unhideWhenUsed/>
    <w:qFormat/>
    <w:rsid w:val="00EC4959"/>
    <w:pPr>
      <w:keepNext/>
      <w:keepLines/>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EC495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C4959"/>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C4959"/>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9654C"/>
    <w:pPr>
      <w:jc w:val="both"/>
    </w:pPr>
    <w:rPr>
      <w:vertAlign w:val="superscript"/>
    </w:rPr>
  </w:style>
  <w:style w:type="character" w:customStyle="1" w:styleId="Ttulo1Car">
    <w:name w:val="Título 1 Car"/>
    <w:basedOn w:val="Fuentedeprrafopredeter"/>
    <w:link w:val="Ttulo1"/>
    <w:uiPriority w:val="9"/>
    <w:rsid w:val="00EC4959"/>
    <w:rPr>
      <w:rFonts w:asciiTheme="majorHAnsi" w:eastAsiaTheme="majorEastAsia" w:hAnsiTheme="majorHAnsi" w:cs="Times New Roman"/>
      <w:color w:val="2E74B5" w:themeColor="accent1" w:themeShade="BF"/>
      <w:kern w:val="0"/>
      <w:sz w:val="32"/>
      <w:szCs w:val="32"/>
      <w:lang w:eastAsia="es-MX"/>
    </w:rPr>
  </w:style>
  <w:style w:type="character" w:customStyle="1" w:styleId="Ttulo2Car">
    <w:name w:val="Título 2 Car"/>
    <w:aliases w:val="FNCER 1 Car"/>
    <w:basedOn w:val="Fuentedeprrafopredeter"/>
    <w:link w:val="Ttulo2"/>
    <w:uiPriority w:val="9"/>
    <w:rsid w:val="00EC4959"/>
    <w:rPr>
      <w:rFonts w:asciiTheme="majorHAnsi" w:eastAsiaTheme="majorEastAsia" w:hAnsiTheme="majorHAnsi" w:cs="Times New Roman"/>
      <w:color w:val="2E74B5" w:themeColor="accent1" w:themeShade="BF"/>
      <w:kern w:val="0"/>
      <w:sz w:val="26"/>
      <w:szCs w:val="26"/>
      <w:lang w:eastAsia="es-MX"/>
    </w:rPr>
  </w:style>
  <w:style w:type="character" w:customStyle="1" w:styleId="Ttulo3Car">
    <w:name w:val="Título 3 Car"/>
    <w:basedOn w:val="Fuentedeprrafopredeter"/>
    <w:link w:val="Ttulo3"/>
    <w:uiPriority w:val="9"/>
    <w:rsid w:val="00EC4959"/>
    <w:rPr>
      <w:rFonts w:asciiTheme="majorHAnsi" w:eastAsiaTheme="majorEastAsia" w:hAnsiTheme="majorHAnsi" w:cstheme="majorBidi"/>
      <w:color w:val="1F4D78" w:themeColor="accent1" w:themeShade="7F"/>
      <w:kern w:val="0"/>
    </w:rPr>
  </w:style>
  <w:style w:type="character" w:customStyle="1" w:styleId="Ttulo4Car">
    <w:name w:val="Título 4 Car"/>
    <w:basedOn w:val="Fuentedeprrafopredeter"/>
    <w:link w:val="Ttulo4"/>
    <w:uiPriority w:val="9"/>
    <w:rsid w:val="00EC4959"/>
    <w:rPr>
      <w:rFonts w:asciiTheme="majorHAnsi" w:eastAsiaTheme="majorEastAsia" w:hAnsiTheme="majorHAnsi" w:cstheme="majorBidi"/>
      <w:i/>
      <w:iCs/>
      <w:color w:val="2E74B5" w:themeColor="accent1" w:themeShade="BF"/>
      <w:kern w:val="0"/>
      <w:lang w:eastAsia="es-MX"/>
    </w:rPr>
  </w:style>
  <w:style w:type="character" w:customStyle="1" w:styleId="Ttulo5Car">
    <w:name w:val="Título 5 Car"/>
    <w:basedOn w:val="Fuentedeprrafopredeter"/>
    <w:link w:val="Ttulo5"/>
    <w:uiPriority w:val="9"/>
    <w:rsid w:val="00EC4959"/>
    <w:rPr>
      <w:rFonts w:asciiTheme="majorHAnsi" w:eastAsiaTheme="majorEastAsia" w:hAnsiTheme="majorHAnsi" w:cstheme="majorBidi"/>
      <w:color w:val="2E74B5" w:themeColor="accent1" w:themeShade="BF"/>
      <w:kern w:val="0"/>
      <w:lang w:eastAsia="es-MX"/>
    </w:rPr>
  </w:style>
  <w:style w:type="character" w:customStyle="1" w:styleId="Ttulo6Car">
    <w:name w:val="Título 6 Car"/>
    <w:basedOn w:val="Fuentedeprrafopredeter"/>
    <w:link w:val="Ttulo6"/>
    <w:uiPriority w:val="9"/>
    <w:rsid w:val="00EC4959"/>
    <w:rPr>
      <w:rFonts w:asciiTheme="majorHAnsi" w:eastAsiaTheme="majorEastAsia" w:hAnsiTheme="majorHAnsi" w:cstheme="majorBidi"/>
      <w:color w:val="1F4D78" w:themeColor="accent1" w:themeShade="7F"/>
      <w:kern w:val="0"/>
      <w:lang w:eastAsia="es-MX"/>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B"/>
    <w:basedOn w:val="Normal"/>
    <w:link w:val="PrrafodelistaCar"/>
    <w:autoRedefine/>
    <w:uiPriority w:val="34"/>
    <w:qFormat/>
    <w:rsid w:val="00067E87"/>
    <w:pPr>
      <w:numPr>
        <w:numId w:val="1"/>
      </w:numPr>
      <w:tabs>
        <w:tab w:val="left" w:pos="142"/>
        <w:tab w:val="left" w:pos="567"/>
      </w:tabs>
      <w:ind w:left="0" w:right="49" w:firstLine="0"/>
      <w:contextualSpacing/>
      <w:jc w:val="both"/>
    </w:pPr>
    <w:rPr>
      <w:b/>
      <w:bCs/>
      <w:color w:val="000000" w:themeColor="text1"/>
      <w:sz w:val="28"/>
      <w:szCs w:val="28"/>
      <w:lang w:val="es-ES_tradnl" w:eastAsia="es-ES"/>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067E87"/>
    <w:rPr>
      <w:rFonts w:ascii="Times New Roman" w:eastAsia="Times New Roman" w:hAnsi="Times New Roman" w:cs="Times New Roman"/>
      <w:b/>
      <w:bCs/>
      <w:color w:val="000000" w:themeColor="text1"/>
      <w:kern w:val="0"/>
      <w:sz w:val="28"/>
      <w:szCs w:val="28"/>
      <w:lang w:val="es-ES_tradnl" w:eastAsia="es-ES"/>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r,de nota al p,ft"/>
    <w:basedOn w:val="Normal"/>
    <w:link w:val="TextonotapieCar"/>
    <w:uiPriority w:val="99"/>
    <w:unhideWhenUsed/>
    <w:qFormat/>
    <w:rsid w:val="00EC4959"/>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basedOn w:val="Fuentedeprrafopredeter"/>
    <w:link w:val="Textonotapie"/>
    <w:qFormat/>
    <w:rsid w:val="00EC4959"/>
    <w:rPr>
      <w:rFonts w:ascii="Times New Roman" w:eastAsia="Times New Roman" w:hAnsi="Times New Roman" w:cs="Times New Roman"/>
      <w:kern w:val="0"/>
      <w:sz w:val="20"/>
      <w:szCs w:val="20"/>
      <w:lang w:eastAsia="es-MX"/>
    </w:rPr>
  </w:style>
  <w:style w:type="character" w:styleId="Refdenotaalpie">
    <w:name w:val="footnote reference"/>
    <w:aliases w:val="Texto de nota al pie,Footnotes refss,Appel note de bas de page,Ref. de nota al pie 2,referencia nota al pie,Fago Fußnotenzeichen,Ref,de nota al pie,Ref1,Footnote number,BVI fnr,f,Nota de pie,Texto nota al pie,Nota a pie,4_G,16 Point"/>
    <w:basedOn w:val="Fuentedeprrafopredeter"/>
    <w:link w:val="4GChar"/>
    <w:uiPriority w:val="99"/>
    <w:unhideWhenUsed/>
    <w:qFormat/>
    <w:rsid w:val="00EC4959"/>
    <w:rPr>
      <w:sz w:val="22"/>
      <w:szCs w:val="22"/>
      <w:vertAlign w:val="superscript"/>
    </w:rPr>
  </w:style>
  <w:style w:type="paragraph" w:styleId="Sinespaciado">
    <w:name w:val="No Spacing"/>
    <w:uiPriority w:val="1"/>
    <w:qFormat/>
    <w:rsid w:val="00EC4959"/>
    <w:pPr>
      <w:widowControl w:val="0"/>
    </w:pPr>
    <w:rPr>
      <w:rFonts w:ascii="Calibri" w:eastAsia="Times New Roman" w:hAnsi="Calibri" w:cs="Calibri"/>
      <w:color w:val="000000"/>
      <w:lang w:val="es-ES" w:eastAsia="es-ES"/>
    </w:rPr>
  </w:style>
  <w:style w:type="paragraph" w:customStyle="1" w:styleId="MediumGrid1-Accent21">
    <w:name w:val="Medium Grid 1 - Accent 21"/>
    <w:basedOn w:val="Normal"/>
    <w:uiPriority w:val="34"/>
    <w:qFormat/>
    <w:rsid w:val="00EC4959"/>
    <w:pPr>
      <w:ind w:left="720"/>
      <w:contextualSpacing/>
    </w:pPr>
    <w:rPr>
      <w:rFonts w:ascii="Calibri" w:hAnsi="Calibri"/>
    </w:rPr>
  </w:style>
  <w:style w:type="paragraph" w:styleId="NormalWeb">
    <w:name w:val="Normal (Web)"/>
    <w:basedOn w:val="Normal"/>
    <w:uiPriority w:val="99"/>
    <w:unhideWhenUsed/>
    <w:rsid w:val="00EC4959"/>
    <w:pPr>
      <w:spacing w:before="100" w:beforeAutospacing="1" w:after="100" w:afterAutospacing="1"/>
    </w:pPr>
  </w:style>
  <w:style w:type="character" w:customStyle="1" w:styleId="maintextbold">
    <w:name w:val="maintextbold"/>
    <w:basedOn w:val="Fuentedeprrafopredeter"/>
    <w:rsid w:val="00EC4959"/>
    <w:rPr>
      <w:rFonts w:cs="Times New Roman"/>
    </w:rPr>
  </w:style>
  <w:style w:type="character" w:styleId="Hipervnculo">
    <w:name w:val="Hyperlink"/>
    <w:basedOn w:val="Fuentedeprrafopredeter"/>
    <w:uiPriority w:val="99"/>
    <w:unhideWhenUsed/>
    <w:rsid w:val="00EC4959"/>
    <w:rPr>
      <w:rFonts w:cs="Times New Roman"/>
      <w:color w:val="0000FF"/>
      <w:u w:val="single"/>
    </w:rPr>
  </w:style>
  <w:style w:type="character" w:customStyle="1" w:styleId="Mencinsinresolver1">
    <w:name w:val="Mención sin resolver1"/>
    <w:basedOn w:val="Fuentedeprrafopredeter"/>
    <w:uiPriority w:val="99"/>
    <w:semiHidden/>
    <w:unhideWhenUsed/>
    <w:rsid w:val="00EC4959"/>
    <w:rPr>
      <w:rFonts w:cs="Times New Roman"/>
      <w:color w:val="605E5C"/>
      <w:shd w:val="clear" w:color="auto" w:fill="E1DFDD"/>
    </w:rPr>
  </w:style>
  <w:style w:type="paragraph" w:styleId="Encabezado">
    <w:name w:val="header"/>
    <w:basedOn w:val="Normal"/>
    <w:link w:val="EncabezadoCar"/>
    <w:uiPriority w:val="99"/>
    <w:unhideWhenUsed/>
    <w:rsid w:val="00EC4959"/>
    <w:pPr>
      <w:tabs>
        <w:tab w:val="center" w:pos="4419"/>
        <w:tab w:val="right" w:pos="8838"/>
      </w:tabs>
    </w:pPr>
  </w:style>
  <w:style w:type="character" w:customStyle="1" w:styleId="EncabezadoCar">
    <w:name w:val="Encabezado Car"/>
    <w:basedOn w:val="Fuentedeprrafopredeter"/>
    <w:link w:val="Encabezado"/>
    <w:uiPriority w:val="99"/>
    <w:rsid w:val="00EC4959"/>
    <w:rPr>
      <w:rFonts w:ascii="Times New Roman" w:eastAsia="Times New Roman" w:hAnsi="Times New Roman" w:cs="Times New Roman"/>
      <w:kern w:val="0"/>
      <w:lang w:eastAsia="es-MX"/>
    </w:rPr>
  </w:style>
  <w:style w:type="paragraph" w:styleId="Piedepgina">
    <w:name w:val="footer"/>
    <w:basedOn w:val="Normal"/>
    <w:link w:val="PiedepginaCar"/>
    <w:uiPriority w:val="99"/>
    <w:unhideWhenUsed/>
    <w:rsid w:val="00EC4959"/>
    <w:pPr>
      <w:tabs>
        <w:tab w:val="center" w:pos="4419"/>
        <w:tab w:val="right" w:pos="8838"/>
      </w:tabs>
    </w:pPr>
  </w:style>
  <w:style w:type="character" w:customStyle="1" w:styleId="PiedepginaCar">
    <w:name w:val="Pie de página Car"/>
    <w:basedOn w:val="Fuentedeprrafopredeter"/>
    <w:link w:val="Piedepgina"/>
    <w:uiPriority w:val="99"/>
    <w:rsid w:val="00EC4959"/>
    <w:rPr>
      <w:rFonts w:ascii="Times New Roman" w:eastAsia="Times New Roman" w:hAnsi="Times New Roman" w:cs="Times New Roman"/>
      <w:kern w:val="0"/>
      <w:lang w:eastAsia="es-MX"/>
    </w:rPr>
  </w:style>
  <w:style w:type="character" w:styleId="Refdecomentario">
    <w:name w:val="annotation reference"/>
    <w:basedOn w:val="Fuentedeprrafopredeter"/>
    <w:uiPriority w:val="99"/>
    <w:semiHidden/>
    <w:unhideWhenUsed/>
    <w:rsid w:val="00EC4959"/>
    <w:rPr>
      <w:rFonts w:cs="Times New Roman"/>
      <w:sz w:val="16"/>
      <w:szCs w:val="16"/>
    </w:rPr>
  </w:style>
  <w:style w:type="paragraph" w:styleId="Textocomentario">
    <w:name w:val="annotation text"/>
    <w:basedOn w:val="Normal"/>
    <w:link w:val="TextocomentarioCar"/>
    <w:uiPriority w:val="99"/>
    <w:unhideWhenUsed/>
    <w:rsid w:val="00EC4959"/>
    <w:rPr>
      <w:sz w:val="20"/>
      <w:szCs w:val="20"/>
    </w:rPr>
  </w:style>
  <w:style w:type="character" w:customStyle="1" w:styleId="TextocomentarioCar">
    <w:name w:val="Texto comentario Car"/>
    <w:basedOn w:val="Fuentedeprrafopredeter"/>
    <w:link w:val="Textocomentario"/>
    <w:uiPriority w:val="99"/>
    <w:rsid w:val="00EC4959"/>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EC4959"/>
    <w:rPr>
      <w:b/>
      <w:bCs/>
    </w:rPr>
  </w:style>
  <w:style w:type="character" w:customStyle="1" w:styleId="AsuntodelcomentarioCar">
    <w:name w:val="Asunto del comentario Car"/>
    <w:basedOn w:val="TextocomentarioCar"/>
    <w:link w:val="Asuntodelcomentario"/>
    <w:uiPriority w:val="99"/>
    <w:semiHidden/>
    <w:rsid w:val="00EC4959"/>
    <w:rPr>
      <w:rFonts w:ascii="Times New Roman" w:eastAsia="Times New Roman" w:hAnsi="Times New Roman" w:cs="Times New Roman"/>
      <w:b/>
      <w:bCs/>
      <w:kern w:val="0"/>
      <w:sz w:val="20"/>
      <w:szCs w:val="20"/>
      <w:lang w:eastAsia="es-MX"/>
    </w:rPr>
  </w:style>
  <w:style w:type="paragraph" w:styleId="Textodeglobo">
    <w:name w:val="Balloon Text"/>
    <w:basedOn w:val="Normal"/>
    <w:link w:val="TextodegloboCar"/>
    <w:uiPriority w:val="99"/>
    <w:semiHidden/>
    <w:unhideWhenUsed/>
    <w:rsid w:val="00EC495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959"/>
    <w:rPr>
      <w:rFonts w:ascii="Segoe UI" w:eastAsia="Times New Roman" w:hAnsi="Segoe UI" w:cs="Segoe UI"/>
      <w:kern w:val="0"/>
      <w:sz w:val="18"/>
      <w:szCs w:val="18"/>
      <w:lang w:eastAsia="es-MX"/>
    </w:rPr>
  </w:style>
  <w:style w:type="character" w:styleId="Nmerodepgina">
    <w:name w:val="page number"/>
    <w:basedOn w:val="Fuentedeprrafopredeter"/>
    <w:uiPriority w:val="99"/>
    <w:semiHidden/>
    <w:unhideWhenUsed/>
    <w:rsid w:val="00EC4959"/>
    <w:rPr>
      <w:rFonts w:cs="Times New Roman"/>
    </w:rPr>
  </w:style>
  <w:style w:type="table" w:styleId="Tablaconcuadrcula">
    <w:name w:val="Table Grid"/>
    <w:basedOn w:val="Tablanormal"/>
    <w:uiPriority w:val="39"/>
    <w:qFormat/>
    <w:rsid w:val="00EC4959"/>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rsid w:val="00EC4959"/>
    <w:pPr>
      <w:spacing w:after="120"/>
      <w:ind w:left="283"/>
    </w:pPr>
    <w:rPr>
      <w:sz w:val="20"/>
      <w:szCs w:val="20"/>
      <w:lang w:val="es-ES_tradnl" w:eastAsia="es-ES"/>
    </w:rPr>
  </w:style>
  <w:style w:type="character" w:customStyle="1" w:styleId="SangradetextonormalCar">
    <w:name w:val="Sangría de texto normal Car"/>
    <w:basedOn w:val="Fuentedeprrafopredeter"/>
    <w:link w:val="Sangradetextonormal"/>
    <w:uiPriority w:val="99"/>
    <w:rsid w:val="00EC4959"/>
    <w:rPr>
      <w:rFonts w:ascii="Times New Roman" w:eastAsia="Times New Roman" w:hAnsi="Times New Roman" w:cs="Times New Roman"/>
      <w:kern w:val="0"/>
      <w:sz w:val="20"/>
      <w:szCs w:val="20"/>
      <w:lang w:val="es-ES_tradnl" w:eastAsia="es-ES"/>
    </w:rPr>
  </w:style>
  <w:style w:type="paragraph" w:customStyle="1" w:styleId="centrado">
    <w:name w:val="centrado"/>
    <w:basedOn w:val="Normal"/>
    <w:rsid w:val="00EC4959"/>
    <w:pPr>
      <w:spacing w:before="100" w:beforeAutospacing="1" w:after="100" w:afterAutospacing="1"/>
    </w:pPr>
  </w:style>
  <w:style w:type="character" w:customStyle="1" w:styleId="baj">
    <w:name w:val="b_aj"/>
    <w:basedOn w:val="Fuentedeprrafopredeter"/>
    <w:rsid w:val="00EC4959"/>
    <w:rPr>
      <w:rFonts w:cs="Times New Roman"/>
    </w:rPr>
  </w:style>
  <w:style w:type="paragraph" w:customStyle="1" w:styleId="MediumShading1-Accent11">
    <w:name w:val="Medium Shading 1 - Accent 11"/>
    <w:uiPriority w:val="1"/>
    <w:qFormat/>
    <w:rsid w:val="00EC4959"/>
    <w:pPr>
      <w:widowControl w:val="0"/>
    </w:pPr>
    <w:rPr>
      <w:rFonts w:ascii="Calibri" w:eastAsia="Times New Roman" w:hAnsi="Calibri" w:cs="Calibri"/>
      <w:color w:val="000000"/>
      <w:lang w:val="es-ES" w:eastAsia="es-ES"/>
    </w:rPr>
  </w:style>
  <w:style w:type="character" w:customStyle="1" w:styleId="Mencinsinresolver2">
    <w:name w:val="Mención sin resolver2"/>
    <w:basedOn w:val="Fuentedeprrafopredeter"/>
    <w:uiPriority w:val="99"/>
    <w:semiHidden/>
    <w:unhideWhenUsed/>
    <w:rsid w:val="00EC4959"/>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EC4959"/>
    <w:rPr>
      <w:rFonts w:cs="Times New Roman"/>
      <w:color w:val="605E5C"/>
      <w:shd w:val="clear" w:color="auto" w:fill="E1DFDD"/>
    </w:rPr>
  </w:style>
  <w:style w:type="paragraph" w:styleId="Lista">
    <w:name w:val="List"/>
    <w:basedOn w:val="Normal"/>
    <w:uiPriority w:val="99"/>
    <w:unhideWhenUsed/>
    <w:rsid w:val="00EC4959"/>
    <w:pPr>
      <w:spacing w:after="200" w:line="276" w:lineRule="auto"/>
      <w:ind w:left="283" w:hanging="283"/>
      <w:contextualSpacing/>
    </w:pPr>
    <w:rPr>
      <w:sz w:val="28"/>
      <w:lang w:eastAsia="en-US"/>
    </w:rPr>
  </w:style>
  <w:style w:type="paragraph" w:customStyle="1" w:styleId="Estilo1">
    <w:name w:val="Estilo1"/>
    <w:basedOn w:val="Normal"/>
    <w:qFormat/>
    <w:rsid w:val="00EC4959"/>
    <w:pPr>
      <w:widowControl w:val="0"/>
      <w:numPr>
        <w:numId w:val="2"/>
      </w:numPr>
      <w:jc w:val="both"/>
    </w:pPr>
    <w:rPr>
      <w:sz w:val="28"/>
      <w:szCs w:val="28"/>
    </w:rPr>
  </w:style>
  <w:style w:type="character" w:styleId="nfasis">
    <w:name w:val="Emphasis"/>
    <w:basedOn w:val="Fuentedeprrafopredeter"/>
    <w:uiPriority w:val="20"/>
    <w:qFormat/>
    <w:rsid w:val="00EC4959"/>
    <w:rPr>
      <w:rFonts w:cs="Times New Roman"/>
      <w:i/>
      <w:iCs/>
    </w:rPr>
  </w:style>
  <w:style w:type="character" w:customStyle="1" w:styleId="Mencinsinresolver4">
    <w:name w:val="Mención sin resolver4"/>
    <w:basedOn w:val="Fuentedeprrafopredeter"/>
    <w:uiPriority w:val="99"/>
    <w:semiHidden/>
    <w:unhideWhenUsed/>
    <w:rsid w:val="00EC4959"/>
    <w:rPr>
      <w:rFonts w:cs="Times New Roman"/>
      <w:color w:val="605E5C"/>
      <w:shd w:val="clear" w:color="auto" w:fill="E1DFDD"/>
    </w:rPr>
  </w:style>
  <w:style w:type="paragraph" w:styleId="Revisin">
    <w:name w:val="Revision"/>
    <w:hidden/>
    <w:uiPriority w:val="99"/>
    <w:semiHidden/>
    <w:rsid w:val="00EC4959"/>
    <w:rPr>
      <w:rFonts w:ascii="Times New Roman" w:eastAsia="Times New Roman" w:hAnsi="Times New Roman" w:cs="Times New Roman"/>
      <w:lang w:eastAsia="es-ES_tradnl"/>
    </w:rPr>
  </w:style>
  <w:style w:type="paragraph" w:customStyle="1" w:styleId="Sombreadovistoso-nfasis31">
    <w:name w:val="Sombreado vistoso - Énfasis 31"/>
    <w:basedOn w:val="Normal"/>
    <w:uiPriority w:val="34"/>
    <w:qFormat/>
    <w:rsid w:val="00EC4959"/>
    <w:pPr>
      <w:widowControl w:val="0"/>
      <w:ind w:left="720"/>
      <w:contextualSpacing/>
      <w:jc w:val="both"/>
    </w:pPr>
    <w:rPr>
      <w:color w:val="000000"/>
      <w:sz w:val="28"/>
      <w:szCs w:val="28"/>
      <w:lang w:val="es-ES" w:eastAsia="es-ES"/>
    </w:rPr>
  </w:style>
  <w:style w:type="character" w:customStyle="1" w:styleId="UnresolvedMention">
    <w:name w:val="Unresolved Mention"/>
    <w:basedOn w:val="Fuentedeprrafopredeter"/>
    <w:uiPriority w:val="99"/>
    <w:semiHidden/>
    <w:unhideWhenUsed/>
    <w:rsid w:val="00EC4959"/>
    <w:rPr>
      <w:color w:val="605E5C"/>
      <w:shd w:val="clear" w:color="auto" w:fill="E1DFDD"/>
    </w:rPr>
  </w:style>
  <w:style w:type="paragraph" w:styleId="Textoindependiente2">
    <w:name w:val="Body Text 2"/>
    <w:basedOn w:val="Normal"/>
    <w:link w:val="Textoindependiente2Car"/>
    <w:rsid w:val="00EC4959"/>
    <w:pPr>
      <w:widowControl w:val="0"/>
      <w:autoSpaceDE w:val="0"/>
      <w:autoSpaceDN w:val="0"/>
      <w:spacing w:line="240" w:lineRule="atLeast"/>
      <w:ind w:right="-91"/>
      <w:jc w:val="both"/>
    </w:pPr>
    <w:rPr>
      <w:rFonts w:eastAsia="SimSun"/>
      <w:sz w:val="28"/>
      <w:szCs w:val="28"/>
      <w:lang w:val="es-ES" w:eastAsia="es-ES"/>
    </w:rPr>
  </w:style>
  <w:style w:type="character" w:customStyle="1" w:styleId="Textoindependiente2Car">
    <w:name w:val="Texto independiente 2 Car"/>
    <w:basedOn w:val="Fuentedeprrafopredeter"/>
    <w:link w:val="Textoindependiente2"/>
    <w:rsid w:val="00EC4959"/>
    <w:rPr>
      <w:rFonts w:ascii="Times New Roman" w:eastAsia="SimSun" w:hAnsi="Times New Roman" w:cs="Times New Roman"/>
      <w:kern w:val="0"/>
      <w:sz w:val="28"/>
      <w:szCs w:val="28"/>
      <w:lang w:val="es-ES" w:eastAsia="es-ES"/>
    </w:rPr>
  </w:style>
  <w:style w:type="character" w:customStyle="1" w:styleId="apple-converted-space">
    <w:name w:val="apple-converted-space"/>
    <w:basedOn w:val="Fuentedeprrafopredeter"/>
    <w:rsid w:val="00EC4959"/>
  </w:style>
  <w:style w:type="numbering" w:customStyle="1" w:styleId="Listaactual1">
    <w:name w:val="Lista actual1"/>
    <w:uiPriority w:val="99"/>
    <w:rsid w:val="00EC4959"/>
    <w:pPr>
      <w:numPr>
        <w:numId w:val="3"/>
      </w:numPr>
    </w:pPr>
  </w:style>
  <w:style w:type="numbering" w:customStyle="1" w:styleId="Listaactual2">
    <w:name w:val="Lista actual2"/>
    <w:uiPriority w:val="99"/>
    <w:rsid w:val="00EC4959"/>
    <w:pPr>
      <w:numPr>
        <w:numId w:val="4"/>
      </w:numPr>
    </w:pPr>
  </w:style>
  <w:style w:type="paragraph" w:customStyle="1" w:styleId="Default">
    <w:name w:val="Default"/>
    <w:rsid w:val="00EC4959"/>
    <w:pPr>
      <w:autoSpaceDE w:val="0"/>
      <w:autoSpaceDN w:val="0"/>
      <w:adjustRightInd w:val="0"/>
    </w:pPr>
    <w:rPr>
      <w:rFonts w:ascii="Times New Roman" w:hAnsi="Times New Roman" w:cs="Times New Roman"/>
      <w:color w:val="000000"/>
    </w:rPr>
  </w:style>
  <w:style w:type="paragraph" w:customStyle="1" w:styleId="Refdenotaalpie2">
    <w:name w:val="Ref. de nota al pie2"/>
    <w:aliases w:val="Pie de pagina"/>
    <w:basedOn w:val="Normal"/>
    <w:uiPriority w:val="99"/>
    <w:rsid w:val="00EC4959"/>
    <w:pPr>
      <w:spacing w:line="240" w:lineRule="exact"/>
    </w:pPr>
    <w:rPr>
      <w:rFonts w:eastAsiaTheme="minorHAnsi"/>
      <w:vertAlign w:val="superscript"/>
      <w:lang w:eastAsia="en-US"/>
    </w:rPr>
  </w:style>
  <w:style w:type="paragraph" w:customStyle="1" w:styleId="Prrafonmerosprovidencias">
    <w:name w:val="Párrafo números providencias"/>
    <w:basedOn w:val="Prrafodelista"/>
    <w:link w:val="PrrafonmerosprovidenciasChar"/>
    <w:autoRedefine/>
    <w:qFormat/>
    <w:rsid w:val="00EC4959"/>
    <w:pPr>
      <w:contextualSpacing w:val="0"/>
    </w:pPr>
  </w:style>
  <w:style w:type="character" w:customStyle="1" w:styleId="PrrafonmerosprovidenciasChar">
    <w:name w:val="Párrafo números providencias Char"/>
    <w:basedOn w:val="Fuentedeprrafopredeter"/>
    <w:link w:val="Prrafonmerosprovidencias"/>
    <w:rsid w:val="00EC4959"/>
    <w:rPr>
      <w:rFonts w:ascii="Times New Roman" w:eastAsia="Times New Roman" w:hAnsi="Times New Roman" w:cs="Times New Roman"/>
      <w:b/>
      <w:bCs/>
      <w:kern w:val="0"/>
      <w:sz w:val="28"/>
      <w:szCs w:val="28"/>
      <w:lang w:val="es-ES_tradnl" w:eastAsia="es-ES"/>
    </w:rPr>
  </w:style>
  <w:style w:type="paragraph" w:customStyle="1" w:styleId="Piedepaginabsico">
    <w:name w:val="Pie de pagina básico"/>
    <w:basedOn w:val="Normal"/>
    <w:uiPriority w:val="99"/>
    <w:qFormat/>
    <w:rsid w:val="00EC4959"/>
    <w:pPr>
      <w:jc w:val="both"/>
    </w:pPr>
    <w:rPr>
      <w:rFonts w:eastAsiaTheme="minorHAnsi"/>
      <w:vertAlign w:val="superscript"/>
      <w:lang w:val="es-ES" w:eastAsia="en-US"/>
    </w:rPr>
  </w:style>
  <w:style w:type="character" w:styleId="Hipervnculovisitado">
    <w:name w:val="FollowedHyperlink"/>
    <w:basedOn w:val="Fuentedeprrafopredeter"/>
    <w:uiPriority w:val="99"/>
    <w:semiHidden/>
    <w:unhideWhenUsed/>
    <w:rsid w:val="00EC4959"/>
    <w:rPr>
      <w:color w:val="954F72" w:themeColor="followedHyperlink"/>
      <w:u w:val="single"/>
    </w:rPr>
  </w:style>
  <w:style w:type="numbering" w:customStyle="1" w:styleId="Listaactual11">
    <w:name w:val="Lista actual11"/>
    <w:uiPriority w:val="99"/>
    <w:rsid w:val="00EC4959"/>
  </w:style>
  <w:style w:type="numbering" w:customStyle="1" w:styleId="Listaactual21">
    <w:name w:val="Lista actual21"/>
    <w:uiPriority w:val="99"/>
    <w:rsid w:val="00EC4959"/>
  </w:style>
  <w:style w:type="table" w:customStyle="1" w:styleId="TableGrid">
    <w:name w:val="TableGrid"/>
    <w:rsid w:val="00EC4959"/>
    <w:rPr>
      <w:lang w:eastAsia="es-MX"/>
    </w:rPr>
    <w:tblPr>
      <w:tblCellMar>
        <w:top w:w="0" w:type="dxa"/>
        <w:left w:w="0" w:type="dxa"/>
        <w:bottom w:w="0" w:type="dxa"/>
        <w:right w:w="0" w:type="dxa"/>
      </w:tblCellMar>
    </w:tblPr>
  </w:style>
  <w:style w:type="paragraph" w:styleId="Cita">
    <w:name w:val="Quote"/>
    <w:basedOn w:val="Normal"/>
    <w:next w:val="Normal"/>
    <w:link w:val="CitaCar"/>
    <w:autoRedefine/>
    <w:uiPriority w:val="29"/>
    <w:qFormat/>
    <w:rsid w:val="00EC4959"/>
    <w:pPr>
      <w:spacing w:after="150"/>
      <w:ind w:left="562" w:right="14"/>
      <w:jc w:val="both"/>
    </w:pPr>
    <w:rPr>
      <w:i/>
      <w:iCs/>
    </w:rPr>
  </w:style>
  <w:style w:type="character" w:customStyle="1" w:styleId="CitaCar">
    <w:name w:val="Cita Car"/>
    <w:basedOn w:val="Fuentedeprrafopredeter"/>
    <w:link w:val="Cita"/>
    <w:uiPriority w:val="29"/>
    <w:rsid w:val="00EC4959"/>
    <w:rPr>
      <w:rFonts w:ascii="Times New Roman" w:eastAsia="Times New Roman" w:hAnsi="Times New Roman" w:cs="Times New Roman"/>
      <w:i/>
      <w:iCs/>
      <w:kern w:val="0"/>
      <w:lang w:eastAsia="es-CO"/>
    </w:rPr>
  </w:style>
  <w:style w:type="paragraph" w:customStyle="1" w:styleId="pa8">
    <w:name w:val="pa8"/>
    <w:basedOn w:val="Normal"/>
    <w:rsid w:val="00EC4959"/>
    <w:pPr>
      <w:spacing w:before="100" w:beforeAutospacing="1" w:after="100" w:afterAutospacing="1"/>
    </w:pPr>
  </w:style>
  <w:style w:type="character" w:customStyle="1" w:styleId="a0">
    <w:name w:val="a0"/>
    <w:basedOn w:val="Fuentedeprrafopredeter"/>
    <w:rsid w:val="00EC4959"/>
  </w:style>
  <w:style w:type="paragraph" w:styleId="Lista2">
    <w:name w:val="List 2"/>
    <w:basedOn w:val="Normal"/>
    <w:uiPriority w:val="99"/>
    <w:unhideWhenUsed/>
    <w:rsid w:val="00EC4959"/>
    <w:pPr>
      <w:ind w:left="566" w:hanging="283"/>
      <w:contextualSpacing/>
    </w:pPr>
  </w:style>
  <w:style w:type="paragraph" w:styleId="Lista3">
    <w:name w:val="List 3"/>
    <w:basedOn w:val="Normal"/>
    <w:uiPriority w:val="99"/>
    <w:unhideWhenUsed/>
    <w:rsid w:val="00EC4959"/>
    <w:pPr>
      <w:ind w:left="849" w:hanging="283"/>
      <w:contextualSpacing/>
    </w:pPr>
  </w:style>
  <w:style w:type="paragraph" w:styleId="Listaconvietas2">
    <w:name w:val="List Bullet 2"/>
    <w:basedOn w:val="Normal"/>
    <w:uiPriority w:val="99"/>
    <w:unhideWhenUsed/>
    <w:rsid w:val="00EC4959"/>
    <w:pPr>
      <w:numPr>
        <w:numId w:val="5"/>
      </w:numPr>
      <w:contextualSpacing/>
    </w:pPr>
  </w:style>
  <w:style w:type="paragraph" w:styleId="Listaconvietas3">
    <w:name w:val="List Bullet 3"/>
    <w:basedOn w:val="Normal"/>
    <w:uiPriority w:val="99"/>
    <w:unhideWhenUsed/>
    <w:rsid w:val="00EC4959"/>
    <w:pPr>
      <w:numPr>
        <w:numId w:val="6"/>
      </w:numPr>
      <w:contextualSpacing/>
    </w:pPr>
  </w:style>
  <w:style w:type="paragraph" w:styleId="Listaconvietas4">
    <w:name w:val="List Bullet 4"/>
    <w:basedOn w:val="Normal"/>
    <w:uiPriority w:val="99"/>
    <w:unhideWhenUsed/>
    <w:rsid w:val="00EC4959"/>
    <w:pPr>
      <w:numPr>
        <w:numId w:val="7"/>
      </w:numPr>
      <w:contextualSpacing/>
    </w:pPr>
  </w:style>
  <w:style w:type="paragraph" w:styleId="Continuarlista">
    <w:name w:val="List Continue"/>
    <w:basedOn w:val="Normal"/>
    <w:uiPriority w:val="99"/>
    <w:unhideWhenUsed/>
    <w:rsid w:val="00EC4959"/>
    <w:pPr>
      <w:spacing w:after="120"/>
      <w:ind w:left="283"/>
      <w:contextualSpacing/>
    </w:pPr>
  </w:style>
  <w:style w:type="paragraph" w:styleId="Continuarlista2">
    <w:name w:val="List Continue 2"/>
    <w:basedOn w:val="Normal"/>
    <w:uiPriority w:val="99"/>
    <w:unhideWhenUsed/>
    <w:rsid w:val="00EC4959"/>
    <w:pPr>
      <w:spacing w:after="120"/>
      <w:ind w:left="566"/>
      <w:contextualSpacing/>
    </w:pPr>
  </w:style>
  <w:style w:type="paragraph" w:styleId="Textoindependiente">
    <w:name w:val="Body Text"/>
    <w:basedOn w:val="Normal"/>
    <w:link w:val="TextoindependienteCar"/>
    <w:uiPriority w:val="99"/>
    <w:unhideWhenUsed/>
    <w:rsid w:val="00EC4959"/>
    <w:pPr>
      <w:spacing w:after="120"/>
    </w:pPr>
  </w:style>
  <w:style w:type="character" w:customStyle="1" w:styleId="TextoindependienteCar">
    <w:name w:val="Texto independiente Car"/>
    <w:basedOn w:val="Fuentedeprrafopredeter"/>
    <w:link w:val="Textoindependiente"/>
    <w:uiPriority w:val="99"/>
    <w:rsid w:val="00EC4959"/>
    <w:rPr>
      <w:rFonts w:ascii="Times New Roman" w:eastAsia="Times New Roman" w:hAnsi="Times New Roman" w:cs="Times New Roman"/>
      <w:kern w:val="0"/>
      <w:lang w:eastAsia="es-MX"/>
    </w:rPr>
  </w:style>
  <w:style w:type="paragraph" w:styleId="Textoindependienteprimerasangra2">
    <w:name w:val="Body Text First Indent 2"/>
    <w:basedOn w:val="Sangradetextonormal"/>
    <w:link w:val="Textoindependienteprimerasangra2Car"/>
    <w:uiPriority w:val="99"/>
    <w:unhideWhenUsed/>
    <w:rsid w:val="00EC4959"/>
    <w:pPr>
      <w:spacing w:after="0"/>
      <w:ind w:left="360" w:firstLine="360"/>
    </w:pPr>
    <w:rPr>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uiPriority w:val="99"/>
    <w:rsid w:val="00EC4959"/>
    <w:rPr>
      <w:rFonts w:ascii="Times New Roman" w:eastAsia="Times New Roman" w:hAnsi="Times New Roman" w:cs="Times New Roman"/>
      <w:kern w:val="0"/>
      <w:sz w:val="20"/>
      <w:szCs w:val="20"/>
      <w:lang w:val="es-ES_tradnl" w:eastAsia="es-ES_tradnl"/>
    </w:rPr>
  </w:style>
  <w:style w:type="paragraph" w:customStyle="1" w:styleId="Textoindependiente31">
    <w:name w:val="Texto independiente 31"/>
    <w:basedOn w:val="Normal"/>
    <w:rsid w:val="00EC4959"/>
    <w:pPr>
      <w:jc w:val="both"/>
    </w:pPr>
    <w:rPr>
      <w:b/>
      <w:noProof/>
      <w:sz w:val="28"/>
      <w:szCs w:val="20"/>
      <w:lang w:val="es-ES" w:eastAsia="es-ES"/>
    </w:rPr>
  </w:style>
  <w:style w:type="character" w:customStyle="1" w:styleId="vcitation">
    <w:name w:val="vcitation"/>
    <w:basedOn w:val="Fuentedeprrafopredeter"/>
    <w:rsid w:val="00EC4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13" Type="http://schemas.openxmlformats.org/officeDocument/2006/relationships/image" Target="media/image7.bin"/><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image" Target="media/image6.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bin"/><Relationship Id="rId4" Type="http://schemas.openxmlformats.org/officeDocument/2006/relationships/webSettings" Target="webSettings.xml"/><Relationship Id="rId9" Type="http://schemas.openxmlformats.org/officeDocument/2006/relationships/image" Target="media/image3.bin"/><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normograma.dian.gov.co/dian/compilacion/docs/decreto_2685_1999.htm" TargetMode="External"/><Relationship Id="rId2" Type="http://schemas.openxmlformats.org/officeDocument/2006/relationships/hyperlink" Target="https://www.rae.es/dpd/p&#225;rrafo" TargetMode="External"/><Relationship Id="rId1" Type="http://schemas.openxmlformats.org/officeDocument/2006/relationships/hyperlink" Target="https://siicor.corteconstitucional.gov.co/controldeprocesos/archivo.php?id=52788" TargetMode="External"/><Relationship Id="rId4" Type="http://schemas.openxmlformats.org/officeDocument/2006/relationships/hyperlink" Target="https://normograma.dian.gov.co/dian/compilacion/docs/oficio_dian_1988_2016.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18410</Words>
  <Characters>101260</Characters>
  <Application>Microsoft Office Word</Application>
  <DocSecurity>0</DocSecurity>
  <Lines>843</Lines>
  <Paragraphs>238</Paragraphs>
  <ScaleCrop>false</ScaleCrop>
  <Company/>
  <LinksUpToDate>false</LinksUpToDate>
  <CharactersWithSpaces>119432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2024-10-28T13:53:00Z</dcterms:created>
  <dcterms:modified xsi:type="dcterms:W3CDTF">2024-10-28T13:53:00Z</dcterms:modified>
</cp:coreProperties>
</file>