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6.bin" ContentType="image/jpeg"/>
  <Override PartName="/word/media/image7.bin" ContentType="image/jpeg"/>
  <Override PartName="/word/media/image8.bin" ContentType="image/jpeg"/>
  <Override PartName="/word/media/image9.bin" ContentType="image/jpeg"/>
  <Override PartName="/word/media/image11.bin" ContentType="image/jpeg"/>
  <Override PartName="/word/media/image12.bin" ContentType="image/jpeg"/>
  <Override PartName="/word/media/image13.bin" ContentType="image/jpeg"/>
  <Override PartName="/word/media/image15.bin" ContentType="image/jpeg"/>
  <Override PartName="/word/media/image16.bin" ContentType="image/jpeg"/>
  <Override PartName="/word/media/image18.bin" ContentType="image/jpeg"/>
  <Override PartName="/word/media/image19.bin"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E0D" w:rsidRPr="003E425B" w:rsidRDefault="0036262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3E425B">
        <w:rPr>
          <w:rFonts w:ascii="Times New Roman" w:hAnsi="Times New Roman" w:cs="Times New Roman"/>
          <w:sz w:val="28"/>
          <w:szCs w:val="24"/>
        </w:rPr>
        <w:t xml:space="preserve"> </w:t>
      </w:r>
    </w:p>
    <w:p w:rsidR="00D73E0D" w:rsidRPr="003E425B" w:rsidRDefault="00D73E0D">
      <w:pPr>
        <w:widowControl w:val="0"/>
        <w:autoSpaceDE w:val="0"/>
        <w:autoSpaceDN w:val="0"/>
        <w:adjustRightInd w:val="0"/>
        <w:spacing w:after="0" w:line="240" w:lineRule="auto"/>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center"/>
        <w:rPr>
          <w:rFonts w:ascii="Times New Roman" w:hAnsi="Times New Roman" w:cs="Times New Roman"/>
          <w:b/>
          <w:bCs/>
          <w:sz w:val="28"/>
          <w:szCs w:val="28"/>
        </w:rPr>
      </w:pPr>
      <w:r w:rsidRPr="003E425B">
        <w:rPr>
          <w:rFonts w:ascii="Times New Roman" w:hAnsi="Times New Roman" w:cs="Times New Roman"/>
          <w:b/>
          <w:bCs/>
          <w:sz w:val="28"/>
          <w:szCs w:val="28"/>
        </w:rPr>
        <w:t xml:space="preserve">TEMAS-SUBTEMAS </w:t>
      </w:r>
    </w:p>
    <w:p w:rsidR="00D73E0D" w:rsidRPr="003E425B" w:rsidRDefault="00D73E0D">
      <w:pPr>
        <w:widowControl w:val="0"/>
        <w:autoSpaceDE w:val="0"/>
        <w:autoSpaceDN w:val="0"/>
        <w:adjustRightInd w:val="0"/>
        <w:spacing w:after="0" w:line="240" w:lineRule="auto"/>
        <w:jc w:val="center"/>
        <w:rPr>
          <w:rFonts w:ascii="Times New Roman" w:hAnsi="Times New Roman" w:cs="Times New Roman"/>
          <w:b/>
          <w:bCs/>
          <w:sz w:val="28"/>
          <w:szCs w:val="28"/>
        </w:rPr>
      </w:pPr>
    </w:p>
    <w:p w:rsidR="00D73E0D" w:rsidRPr="003E425B" w:rsidRDefault="00362627">
      <w:pPr>
        <w:widowControl w:val="0"/>
        <w:autoSpaceDE w:val="0"/>
        <w:autoSpaceDN w:val="0"/>
        <w:adjustRightInd w:val="0"/>
        <w:spacing w:after="0" w:line="240" w:lineRule="auto"/>
        <w:jc w:val="center"/>
        <w:rPr>
          <w:rFonts w:ascii="Times New Roman" w:hAnsi="Times New Roman" w:cs="Times New Roman"/>
          <w:sz w:val="28"/>
          <w:szCs w:val="28"/>
        </w:rPr>
      </w:pPr>
      <w:r w:rsidRPr="003E425B">
        <w:rPr>
          <w:rFonts w:ascii="Times New Roman" w:hAnsi="Times New Roman" w:cs="Times New Roman"/>
          <w:b/>
          <w:bCs/>
          <w:sz w:val="28"/>
          <w:szCs w:val="28"/>
        </w:rPr>
        <w:t xml:space="preserve">Sentencia C-161/24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LEY QUE CREA EL MINISTERIO DE IGUALDAD Y EQUIDAD</w:t>
      </w:r>
      <w:r w:rsidRPr="003E425B">
        <w:rPr>
          <w:rFonts w:ascii="Times New Roman" w:hAnsi="Times New Roman" w:cs="Times New Roman"/>
          <w:sz w:val="28"/>
          <w:szCs w:val="28"/>
        </w:rPr>
        <w:t>-Inexequibilidad por incumplimiento del análisis de impacto fiscal</w:t>
      </w:r>
      <w:r w:rsidRPr="003E425B">
        <w:rPr>
          <w:rFonts w:ascii="Times New Roman" w:hAnsi="Times New Roman" w:cs="Times New Roman"/>
          <w:b/>
          <w:bCs/>
          <w:sz w:val="28"/>
          <w:szCs w:val="28"/>
        </w:rPr>
        <w:t>/VICIO INSUBSANABLE EN TRAMITE LEGISLATIVO</w:t>
      </w:r>
      <w:r w:rsidRPr="003E425B">
        <w:rPr>
          <w:rFonts w:ascii="Times New Roman" w:hAnsi="Times New Roman" w:cs="Times New Roman"/>
          <w:sz w:val="28"/>
          <w:szCs w:val="28"/>
        </w:rPr>
        <w:t>-Existencia</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 xml:space="preserve">La aprobación de normas que crean nuevos organismos de la administración pública nacional, sin consideración al impacto fiscal que causan, compromete el criterio de sostenibilidad fiscal previsto en el artículo 334 de la Constitución Política. En este caso, el examen global del trámite de aprobación legislativa de la Ley 2281 de 2023 evidencia que el Gobierno Nacional propuso la creación de un nuevo ministerio, y el Congreso de la República aprobó tal iniciativa, a pesar de que nunca contaron con (i) el concepto del MHCP sobre su viabilidad financiera, conforme a las exigencias previstas en el artículo 7º de la Ley 819 de 2003 y (ii) información mínimamente fundada y coherente sobre el costo fiscal de la iniciativa y la fuente de ingresos sustitutiva para financiarla. Esto desconoce de forma clara y manifiesta el artículo 7º Ley 819 de 2003, así como el artículo 151 de la Constitución Política, y conduce a la inexequibilidad de la Ley 2281 de 2023.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CONCEPTO DE VIOLACION EN DEMANDA DE INCONSTITUCIONALIDAD</w:t>
      </w:r>
      <w:r w:rsidRPr="003E425B">
        <w:rPr>
          <w:rFonts w:ascii="Times New Roman" w:hAnsi="Times New Roman" w:cs="Times New Roman"/>
          <w:sz w:val="28"/>
          <w:szCs w:val="28"/>
        </w:rPr>
        <w:t xml:space="preserve">-Razones claras, ciertas, específicas, pertinentes y suficientes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CONTROL DE CONSTITUCIONALIDAD</w:t>
      </w:r>
      <w:r w:rsidRPr="003E425B">
        <w:rPr>
          <w:rFonts w:ascii="Times New Roman" w:hAnsi="Times New Roman" w:cs="Times New Roman"/>
          <w:sz w:val="28"/>
          <w:szCs w:val="28"/>
        </w:rPr>
        <w:t xml:space="preserve">-Procedencia respecto de normas vigentes o de aquellas que habiendo perdido su vigencia pueden continuar produciendo efectos jurídicos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PRESENTACION DEL INFORME DE PONENCIA DE PROYECTO DE LEY</w:t>
      </w:r>
      <w:r w:rsidRPr="003E425B">
        <w:rPr>
          <w:rFonts w:ascii="Times New Roman" w:hAnsi="Times New Roman" w:cs="Times New Roman"/>
          <w:sz w:val="28"/>
          <w:szCs w:val="28"/>
        </w:rPr>
        <w:t xml:space="preserve">-Obligatoriedad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INFORME DE PONENCIA EN TRAMITE LEGISLATIVO</w:t>
      </w:r>
      <w:r w:rsidRPr="003E425B">
        <w:rPr>
          <w:rFonts w:ascii="Times New Roman" w:hAnsi="Times New Roman" w:cs="Times New Roman"/>
          <w:sz w:val="28"/>
          <w:szCs w:val="28"/>
        </w:rPr>
        <w:t>-Publicidad</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 conforme al artículo 156 de la Ley 5Âª de 1992, el informe de ponencia debe ser publicado antes del debate en las comisiones o plenarias. La finalidad de la publicación de la ponencia "es la de permitir un debate abierto y democrático del proyecto de ley fundado en el conocimiento que garantice una racionalidad mínima en las decisiones. De otro lado, esta expresión exige que las comisiones -en ciertos casos- y las plenarias -en todos los casos- voten la proposición final con que termina la ponencia y manifiesten su aprobación o rechazo a la orientación global del proyecto de ley. La discusión y aprobación de la ponencia permite que las comisiones y las plenarias analicen los propósitos y el sentido básico del articulado y, de esa manera, puedan debatir, en forma general, la conveniencia y la oportunidad de adoptar globalmente ese proyecto.</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DEBATE EN COMISIONES Y PLENARIAS</w:t>
      </w:r>
      <w:r w:rsidRPr="003E425B">
        <w:rPr>
          <w:rFonts w:ascii="Times New Roman" w:hAnsi="Times New Roman" w:cs="Times New Roman"/>
          <w:sz w:val="28"/>
          <w:szCs w:val="28"/>
        </w:rPr>
        <w:t xml:space="preserve">-Previamente debe existir un informe de ponencia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INFORME DE PONENCIA DE PROYECTO DE LEY</w:t>
      </w:r>
      <w:r w:rsidRPr="003E425B">
        <w:rPr>
          <w:rFonts w:ascii="Times New Roman" w:hAnsi="Times New Roman" w:cs="Times New Roman"/>
          <w:sz w:val="28"/>
          <w:szCs w:val="28"/>
        </w:rPr>
        <w:t xml:space="preserve">-Debates en plenarias del Congreso de la República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INFORME DE PONENCIA DE PROYECTO DE LEY</w:t>
      </w:r>
      <w:r w:rsidRPr="003E425B">
        <w:rPr>
          <w:rFonts w:ascii="Times New Roman" w:hAnsi="Times New Roman" w:cs="Times New Roman"/>
          <w:sz w:val="28"/>
          <w:szCs w:val="28"/>
        </w:rPr>
        <w:t xml:space="preserve">-Debate y votación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TRAMITE LEGISLATIVO</w:t>
      </w:r>
      <w:r w:rsidRPr="003E425B">
        <w:rPr>
          <w:rFonts w:ascii="Times New Roman" w:hAnsi="Times New Roman" w:cs="Times New Roman"/>
          <w:sz w:val="28"/>
          <w:szCs w:val="28"/>
        </w:rPr>
        <w:t xml:space="preserve">-Quórum, votación y mayoría absoluta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VOTACION NOMINAL EN TRAMITE LEGISLATIVO</w:t>
      </w:r>
      <w:r w:rsidRPr="003E425B">
        <w:rPr>
          <w:rFonts w:ascii="Times New Roman" w:hAnsi="Times New Roman" w:cs="Times New Roman"/>
          <w:sz w:val="28"/>
          <w:szCs w:val="28"/>
        </w:rPr>
        <w:t>-Concepto</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La votación nominal y pública es el modo de votación que debe emplearse por regla general. En efecto, el artículo 133 de la Constitución Política establece que el voto de los miembros de cuerpos colegiados de elección directa será nominal y público, excepto en los casos que determine la ley. Así mismo, el artículo 130 de la Ley 5Âª de 1992 dispone que como regla general, las votaciones serán nominales y públicas. El constituyente instituyó la votación nominal y pública como regla general con el propósito de profundiza[r] las bases democráticas del procedimiento legislativo.</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VOTACION ORDINARIA EN TRAMITE LEGISLATIVO</w:t>
      </w:r>
      <w:r w:rsidRPr="003E425B">
        <w:rPr>
          <w:rFonts w:ascii="Times New Roman" w:hAnsi="Times New Roman" w:cs="Times New Roman"/>
          <w:sz w:val="28"/>
          <w:szCs w:val="28"/>
        </w:rPr>
        <w:t>-Concepto</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La votación ordinaria, en contraste, es excepcional. El artículo 129 de la Ley 5Âª de 1992 enlista de forma taxativa los asuntos que pueden votarse de forma ordinaria. La Corte Constitucional ha entendido que los supuestos en los que se admite la votación ordinaria deben ser interpretados de manera restrictiva, a fin de evitar que tal mecanismo se torne en la regla y, en aras de la celeridad del procedimiento, termine por relegar la votación nominal al lugar de la excepción. Una de las excepciones a la votación nominal y pública es la unanimidad.</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PROYECTO DE LEY</w:t>
      </w:r>
      <w:r w:rsidRPr="003E425B">
        <w:rPr>
          <w:rFonts w:ascii="Times New Roman" w:hAnsi="Times New Roman" w:cs="Times New Roman"/>
          <w:sz w:val="28"/>
          <w:szCs w:val="28"/>
        </w:rPr>
        <w:t xml:space="preserve">-Unanimidad en la aprobación como excepción a la regla general de votación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QUORUM DECISORIO</w:t>
      </w:r>
      <w:r w:rsidRPr="003E425B">
        <w:rPr>
          <w:rFonts w:ascii="Times New Roman" w:hAnsi="Times New Roman" w:cs="Times New Roman"/>
          <w:sz w:val="28"/>
          <w:szCs w:val="28"/>
        </w:rPr>
        <w:t xml:space="preserve">-Jurisprudencia constitucional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VOTACIÓN ODINARIA EN TRAMITE LEGISLATIVO</w:t>
      </w:r>
      <w:r w:rsidRPr="003E425B">
        <w:rPr>
          <w:rFonts w:ascii="Times New Roman" w:hAnsi="Times New Roman" w:cs="Times New Roman"/>
          <w:sz w:val="28"/>
          <w:szCs w:val="28"/>
        </w:rPr>
        <w:t xml:space="preserve">-Falta de certeza sobre el número de senadores que votaron el informe de ponencia no vicia el procedimiento legislativo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PRINCIPIO PRO LEGISLATORIS</w:t>
      </w:r>
      <w:r w:rsidRPr="003E425B">
        <w:rPr>
          <w:rFonts w:ascii="Times New Roman" w:hAnsi="Times New Roman" w:cs="Times New Roman"/>
          <w:sz w:val="28"/>
          <w:szCs w:val="28"/>
        </w:rPr>
        <w:t xml:space="preserve">-Aplicación cuando existe una duda razonable acerca de la ocurrencia de un vicio de procedimiento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ANÁLISIS DE IMPACTO FISCAL DE LAS NORMAS</w:t>
      </w:r>
      <w:r w:rsidRPr="003E425B">
        <w:rPr>
          <w:rFonts w:ascii="Times New Roman" w:hAnsi="Times New Roman" w:cs="Times New Roman"/>
          <w:sz w:val="28"/>
          <w:szCs w:val="28"/>
        </w:rPr>
        <w:t>-Contenido y alcance</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 el análisis de impacto fiscal constituye un importante instrumento de racionalización de la actividad legislativa. Esto es así, en tanto busca garantizar que exista una adecuada relación entre los fines buscados y los medios financieros disponibles para cumplirlos. El Gobierno Nacional, los congresistas y los ciudadanos deben estar en capacidad de conocer, mediante canales públicos, el tipo de efectos fiscales que suscitan las leyes. Esto es definitivo para valorar sus virtudes y sus defectos, en un contexto que, como el actual y de los años venideros, impone priorizar y racionalizar el uso de recursos y tomar en consideración el marco fiscal.</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ANALISIS DEL IMPACTO FISCAL EN TRAMITE LEGISLATIVO</w:t>
      </w:r>
      <w:r w:rsidRPr="003E425B">
        <w:rPr>
          <w:rFonts w:ascii="Times New Roman" w:hAnsi="Times New Roman" w:cs="Times New Roman"/>
          <w:sz w:val="28"/>
          <w:szCs w:val="28"/>
        </w:rPr>
        <w:t>-Finalidades</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 la jurisprudencia constitucional reiterada y uniforme ha sostenido que el análisis de impacto fiscal, como obligación de naturaleza procesal-deliberativa, persigue cuatro finalidades específicas: (i) salvaguardar la estabilidad macroeconómica, (ii) ordenar las finanzas públicas, (iii) fortalecer la transparencia y control ciudadano en el trámite legislativo y (iv) garantizar la aplicación efectiva de las leyes.</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ANALISIS DEL IMPACTO FISCAL EN TRAMITE LEGISLATIVO</w:t>
      </w:r>
      <w:r w:rsidRPr="003E425B">
        <w:rPr>
          <w:rFonts w:ascii="Times New Roman" w:hAnsi="Times New Roman" w:cs="Times New Roman"/>
          <w:sz w:val="28"/>
          <w:szCs w:val="28"/>
        </w:rPr>
        <w:t xml:space="preserve">-Exigencia respecto de proyectos de ley que ordenen gasto público u otorguen beneficios tributarios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ANÁLISIS DE IMPACTO FISCAL EN TRÁMITE LEGISLATIVO</w:t>
      </w:r>
      <w:r w:rsidRPr="003E425B">
        <w:rPr>
          <w:rFonts w:ascii="Times New Roman" w:hAnsi="Times New Roman" w:cs="Times New Roman"/>
          <w:sz w:val="28"/>
          <w:szCs w:val="28"/>
        </w:rPr>
        <w:t xml:space="preserve">-Reglas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REQUISITO DE ANÁLISIS DE IMPACTO FISCAL EN PROYECTO DE LEY QUE CREA ENTIDADES PÚBLICAS, DEPENDENCIAS O CARGOS PÚBLICOS</w:t>
      </w:r>
      <w:r w:rsidRPr="003E425B">
        <w:rPr>
          <w:rFonts w:ascii="Times New Roman" w:hAnsi="Times New Roman" w:cs="Times New Roman"/>
          <w:sz w:val="28"/>
          <w:szCs w:val="28"/>
        </w:rPr>
        <w:t xml:space="preserve">-Jurisprudencia constitucional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FACULTADES EXTRAORDINARIAS AL PRESIDENTE DE LA REPUBLICA</w:t>
      </w:r>
      <w:r w:rsidRPr="003E425B">
        <w:rPr>
          <w:rFonts w:ascii="Times New Roman" w:hAnsi="Times New Roman" w:cs="Times New Roman"/>
          <w:sz w:val="28"/>
          <w:szCs w:val="28"/>
        </w:rPr>
        <w:t xml:space="preserve">-Presupuestos constitucionales para su otorgamiento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FACULTADES EXTRAORDINARIAS</w:t>
      </w:r>
      <w:r w:rsidRPr="003E425B">
        <w:rPr>
          <w:rFonts w:ascii="Times New Roman" w:hAnsi="Times New Roman" w:cs="Times New Roman"/>
          <w:sz w:val="28"/>
          <w:szCs w:val="28"/>
        </w:rPr>
        <w:t xml:space="preserve">-Carácter excepcional y restrictivo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FACULTADES EXTRAORDINARIAS</w:t>
      </w:r>
      <w:r w:rsidRPr="003E425B">
        <w:rPr>
          <w:rFonts w:ascii="Times New Roman" w:hAnsi="Times New Roman" w:cs="Times New Roman"/>
          <w:sz w:val="28"/>
          <w:szCs w:val="28"/>
        </w:rPr>
        <w:t xml:space="preserve">-Requisitos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LEY HABILITANTE EN FACULTADES EXTRAORDINARIAS</w:t>
      </w:r>
      <w:r w:rsidRPr="003E425B">
        <w:rPr>
          <w:rFonts w:ascii="Times New Roman" w:hAnsi="Times New Roman" w:cs="Times New Roman"/>
          <w:sz w:val="28"/>
          <w:szCs w:val="28"/>
        </w:rPr>
        <w:t xml:space="preserve">-Alcance del requisito de precisión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ESTRUCTURA DE LA ADMINISTRACION NACIONAL</w:t>
      </w:r>
      <w:r w:rsidRPr="003E425B">
        <w:rPr>
          <w:rFonts w:ascii="Times New Roman" w:hAnsi="Times New Roman" w:cs="Times New Roman"/>
          <w:sz w:val="28"/>
          <w:szCs w:val="28"/>
        </w:rPr>
        <w:t>-Competencias concurrentes entre Congreso y Presidente de la República</w:t>
      </w:r>
      <w:r w:rsidRPr="003E425B">
        <w:rPr>
          <w:rFonts w:ascii="Times New Roman" w:hAnsi="Times New Roman" w:cs="Times New Roman"/>
          <w:b/>
          <w:bCs/>
          <w:sz w:val="28"/>
          <w:szCs w:val="28"/>
        </w:rPr>
        <w:t>/ESTRUCTURA DE LA ADMINISTRACION NACIONAL</w:t>
      </w:r>
      <w:r w:rsidRPr="003E425B">
        <w:rPr>
          <w:rFonts w:ascii="Times New Roman" w:hAnsi="Times New Roman" w:cs="Times New Roman"/>
          <w:sz w:val="28"/>
          <w:szCs w:val="28"/>
        </w:rPr>
        <w:t>-Facultades extraordinarias</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i/>
          <w:iCs/>
          <w:sz w:val="28"/>
          <w:szCs w:val="28"/>
        </w:rPr>
        <w:t>El Congreso de la República está facultado para conceder facultades extraordinarias al Presidente de la República para integrar sectores administrativos y definir las entidades que estarán adscritas y vinculadas. La concesión de facultades extraordinarias en esta materia está sujeta al cumplimiento de las condiciones procedimentales y límites materiales previstos en el numeral 10 del artículo 150 de la Constitución. La Constitución impone dos tipos de límites: i) Temporal. Las facultades extraordinarias sólo podrán conferirse hasta por seis meses. ii) Material. La ley habilitante debe ser precisa. El requisito de precisión para la concesión de facultades extraordinarias exige que la ley habilitante defina de forma clara, delimitable y específica el objeto y la finalidad de la habilitación. La jurisprudencia constitucional ha aclarado, sin embargo, que el requisito de precisión de la ley habilitante no implica exhaustividad. Es constitucionalmente admisible que, conforme al principio de colaboración armónica, la ley habilitante otorgue al Presidente de la República la potestad de elegir los medios para desarrollar el objeto y alcanzar las finalidades de la delegación que el Congreso de la República defina.</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NORMA ACUSADA</w:t>
      </w:r>
      <w:r w:rsidRPr="003E425B">
        <w:rPr>
          <w:rFonts w:ascii="Times New Roman" w:hAnsi="Times New Roman" w:cs="Times New Roman"/>
          <w:sz w:val="28"/>
          <w:szCs w:val="28"/>
        </w:rPr>
        <w:t xml:space="preserve">-No excede las facultades extraordinarias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62627">
      <w:pPr>
        <w:widowControl w:val="0"/>
        <w:autoSpaceDE w:val="0"/>
        <w:autoSpaceDN w:val="0"/>
        <w:adjustRightInd w:val="0"/>
        <w:spacing w:after="0" w:line="240" w:lineRule="auto"/>
        <w:jc w:val="both"/>
        <w:rPr>
          <w:rFonts w:ascii="Times New Roman" w:hAnsi="Times New Roman" w:cs="Times New Roman"/>
          <w:sz w:val="28"/>
          <w:szCs w:val="28"/>
        </w:rPr>
      </w:pPr>
      <w:r w:rsidRPr="003E425B">
        <w:rPr>
          <w:rFonts w:ascii="Times New Roman" w:hAnsi="Times New Roman" w:cs="Times New Roman"/>
          <w:b/>
          <w:bCs/>
          <w:sz w:val="28"/>
          <w:szCs w:val="28"/>
        </w:rPr>
        <w:t>SENTENCIA DE INEXEQUIBILIDAD DIFERIDA</w:t>
      </w:r>
      <w:r w:rsidRPr="003E425B">
        <w:rPr>
          <w:rFonts w:ascii="Times New Roman" w:hAnsi="Times New Roman" w:cs="Times New Roman"/>
          <w:sz w:val="28"/>
          <w:szCs w:val="28"/>
        </w:rPr>
        <w:t xml:space="preserve">-Aplicación </w:t>
      </w:r>
    </w:p>
    <w:p w:rsidR="00D73E0D" w:rsidRPr="003E425B" w:rsidRDefault="00D73E0D">
      <w:pPr>
        <w:widowControl w:val="0"/>
        <w:autoSpaceDE w:val="0"/>
        <w:autoSpaceDN w:val="0"/>
        <w:adjustRightInd w:val="0"/>
        <w:spacing w:after="0" w:line="240" w:lineRule="auto"/>
        <w:jc w:val="both"/>
        <w:rPr>
          <w:rFonts w:ascii="Times New Roman" w:hAnsi="Times New Roman" w:cs="Times New Roman"/>
          <w:sz w:val="28"/>
          <w:szCs w:val="28"/>
        </w:rPr>
      </w:pPr>
    </w:p>
    <w:p w:rsidR="00D73E0D" w:rsidRPr="003E425B" w:rsidRDefault="003E425B">
      <w:pPr>
        <w:widowControl w:val="0"/>
        <w:autoSpaceDE w:val="0"/>
        <w:autoSpaceDN w:val="0"/>
        <w:adjustRightInd w:val="0"/>
        <w:spacing w:after="0" w:line="240" w:lineRule="auto"/>
        <w:jc w:val="both"/>
        <w:rPr>
          <w:rFonts w:ascii="Times New Roman" w:hAnsi="Times New Roman" w:cs="Times New Roman"/>
          <w:sz w:val="28"/>
        </w:rPr>
      </w:pPr>
      <w:r w:rsidRPr="003E425B">
        <w:rPr>
          <w:rFonts w:ascii="Times New Roman" w:hAnsi="Times New Roman" w:cs="Times New Roman"/>
          <w:sz w:val="28"/>
          <w:szCs w:val="28"/>
        </w:rPr>
        <w:pict>
          <v:rect id="_x0000_i1025" style="width:0;height:1.5pt" o:hralign="center" o:hrstd="t" o:hr="t" fillcolor="#a0a0a0" stroked="f"/>
        </w:pict>
      </w:r>
    </w:p>
    <w:p w:rsidR="00BA7804" w:rsidRPr="003E425B" w:rsidRDefault="003E425B" w:rsidP="00010108">
      <w:pPr>
        <w:jc w:val="center"/>
        <w:rPr>
          <w:rFonts w:ascii="Times New Roman" w:hAnsi="Times New Roman" w:cs="Times New Roman"/>
          <w:b/>
          <w:bCs/>
          <w:sz w:val="28"/>
        </w:rPr>
      </w:pPr>
      <w:r w:rsidRPr="003E425B">
        <w:rPr>
          <w:rFonts w:ascii="Times New Roman" w:hAnsi="Times New Roman" w:cs="Times New Roman"/>
          <w:b/>
          <w:bCs/>
          <w:sz w:val="28"/>
        </w:rPr>
        <w:t>REPÚBLICA DE COLOMBIA</w:t>
      </w:r>
    </w:p>
    <w:p w:rsidR="00BA7804" w:rsidRPr="003E425B" w:rsidRDefault="003E425B" w:rsidP="00010108">
      <w:pPr>
        <w:widowControl w:val="0"/>
        <w:autoSpaceDE w:val="0"/>
        <w:autoSpaceDN w:val="0"/>
        <w:adjustRightInd w:val="0"/>
        <w:ind w:right="51"/>
        <w:jc w:val="center"/>
        <w:rPr>
          <w:rFonts w:ascii="Times New Roman" w:eastAsia="Calibri" w:hAnsi="Times New Roman" w:cs="Times New Roman"/>
          <w:sz w:val="28"/>
          <w:szCs w:val="28"/>
        </w:rPr>
      </w:pPr>
      <w:r w:rsidRPr="003E425B">
        <w:rPr>
          <w:rFonts w:ascii="Times New Roman" w:hAnsi="Times New Roman" w:cs="Times New Roman"/>
          <w:b/>
          <w:noProof/>
          <w:sz w:val="28"/>
        </w:rPr>
        <w:drawing>
          <wp:inline distT="0" distB="0" distL="0" distR="0" wp14:anchorId="298A15E2" wp14:editId="3176539F">
            <wp:extent cx="1012190" cy="1012190"/>
            <wp:effectExtent l="0" t="0" r="0" b="0"/>
            <wp:docPr id="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2190" cy="1012190"/>
                    </a:xfrm>
                    <a:prstGeom prst="rect">
                      <a:avLst/>
                    </a:prstGeom>
                    <a:noFill/>
                  </pic:spPr>
                </pic:pic>
              </a:graphicData>
            </a:graphic>
          </wp:inline>
        </w:drawing>
      </w:r>
    </w:p>
    <w:p w:rsidR="00BA7804" w:rsidRPr="003E425B" w:rsidRDefault="003E425B" w:rsidP="00010108">
      <w:pPr>
        <w:widowControl w:val="0"/>
        <w:autoSpaceDE w:val="0"/>
        <w:autoSpaceDN w:val="0"/>
        <w:adjustRightInd w:val="0"/>
        <w:ind w:right="51"/>
        <w:jc w:val="center"/>
        <w:rPr>
          <w:rFonts w:ascii="Times New Roman" w:eastAsia="Calibri" w:hAnsi="Times New Roman" w:cs="Times New Roman"/>
          <w:sz w:val="28"/>
          <w:szCs w:val="28"/>
        </w:rPr>
      </w:pPr>
    </w:p>
    <w:p w:rsidR="00BA7804" w:rsidRPr="003E425B" w:rsidRDefault="003E425B" w:rsidP="00010108">
      <w:pPr>
        <w:jc w:val="center"/>
        <w:rPr>
          <w:rFonts w:ascii="Times New Roman" w:hAnsi="Times New Roman" w:cs="Times New Roman"/>
          <w:b/>
          <w:bCs/>
          <w:sz w:val="28"/>
        </w:rPr>
      </w:pPr>
      <w:r w:rsidRPr="003E425B">
        <w:rPr>
          <w:rFonts w:ascii="Times New Roman" w:hAnsi="Times New Roman" w:cs="Times New Roman"/>
          <w:b/>
          <w:bCs/>
          <w:sz w:val="28"/>
        </w:rPr>
        <w:t>CORTE CONSTITUCIONAL</w:t>
      </w:r>
    </w:p>
    <w:p w:rsidR="00E33C77" w:rsidRPr="003E425B" w:rsidRDefault="003E425B" w:rsidP="00010108">
      <w:pPr>
        <w:jc w:val="center"/>
        <w:rPr>
          <w:rFonts w:ascii="Times New Roman" w:hAnsi="Times New Roman" w:cs="Times New Roman"/>
          <w:b/>
          <w:bCs/>
          <w:sz w:val="28"/>
        </w:rPr>
      </w:pPr>
      <w:r w:rsidRPr="003E425B">
        <w:rPr>
          <w:rFonts w:ascii="Times New Roman" w:hAnsi="Times New Roman" w:cs="Times New Roman"/>
          <w:b/>
          <w:bCs/>
          <w:sz w:val="28"/>
        </w:rPr>
        <w:t>Sala Plena</w:t>
      </w:r>
    </w:p>
    <w:p w:rsidR="00E33C77" w:rsidRPr="003E425B" w:rsidRDefault="003E425B" w:rsidP="00010108">
      <w:pPr>
        <w:jc w:val="center"/>
        <w:rPr>
          <w:rFonts w:ascii="Times New Roman" w:hAnsi="Times New Roman" w:cs="Times New Roman"/>
          <w:b/>
          <w:bCs/>
          <w:sz w:val="28"/>
        </w:rPr>
      </w:pPr>
    </w:p>
    <w:p w:rsidR="00BA7804" w:rsidRPr="003E425B" w:rsidRDefault="003E425B" w:rsidP="00010108">
      <w:pPr>
        <w:ind w:right="51"/>
        <w:jc w:val="center"/>
        <w:rPr>
          <w:rFonts w:ascii="Times New Roman" w:eastAsia="Times New Roman" w:hAnsi="Times New Roman" w:cs="Times New Roman"/>
          <w:b/>
          <w:sz w:val="28"/>
          <w:szCs w:val="28"/>
        </w:rPr>
      </w:pPr>
      <w:r w:rsidRPr="003E425B">
        <w:rPr>
          <w:rFonts w:ascii="Times New Roman" w:eastAsia="Times New Roman" w:hAnsi="Times New Roman" w:cs="Times New Roman"/>
          <w:b/>
          <w:sz w:val="28"/>
          <w:szCs w:val="28"/>
        </w:rPr>
        <w:t xml:space="preserve">SENTENCIA </w:t>
      </w:r>
      <w:r w:rsidRPr="003E425B">
        <w:rPr>
          <w:rFonts w:ascii="Times New Roman" w:eastAsia="Times New Roman" w:hAnsi="Times New Roman" w:cs="Times New Roman"/>
          <w:b/>
          <w:sz w:val="28"/>
          <w:szCs w:val="28"/>
        </w:rPr>
        <w:t>C-</w:t>
      </w:r>
      <w:r w:rsidRPr="003E425B">
        <w:rPr>
          <w:rFonts w:ascii="Times New Roman" w:eastAsia="Times New Roman" w:hAnsi="Times New Roman" w:cs="Times New Roman"/>
          <w:b/>
          <w:sz w:val="28"/>
          <w:szCs w:val="28"/>
        </w:rPr>
        <w:t>161</w:t>
      </w:r>
      <w:r w:rsidRPr="003E425B">
        <w:rPr>
          <w:rFonts w:ascii="Times New Roman" w:eastAsia="Times New Roman" w:hAnsi="Times New Roman" w:cs="Times New Roman"/>
          <w:b/>
          <w:sz w:val="28"/>
          <w:szCs w:val="28"/>
        </w:rPr>
        <w:t xml:space="preserve"> DE 202</w:t>
      </w:r>
      <w:r w:rsidRPr="003E425B">
        <w:rPr>
          <w:rFonts w:ascii="Times New Roman" w:eastAsia="Times New Roman" w:hAnsi="Times New Roman" w:cs="Times New Roman"/>
          <w:b/>
          <w:sz w:val="28"/>
          <w:szCs w:val="28"/>
        </w:rPr>
        <w:t>4</w:t>
      </w:r>
    </w:p>
    <w:p w:rsidR="00BA7804" w:rsidRPr="003E425B" w:rsidRDefault="003E425B" w:rsidP="00010108">
      <w:pPr>
        <w:ind w:right="51"/>
        <w:jc w:val="center"/>
        <w:rPr>
          <w:rFonts w:ascii="Times New Roman" w:eastAsia="Times New Roman" w:hAnsi="Times New Roman" w:cs="Times New Roman"/>
          <w:b/>
          <w:sz w:val="28"/>
          <w:szCs w:val="28"/>
        </w:rPr>
      </w:pPr>
    </w:p>
    <w:p w:rsidR="00BA7804" w:rsidRPr="003E425B" w:rsidRDefault="003E425B" w:rsidP="00010108">
      <w:pPr>
        <w:tabs>
          <w:tab w:val="left" w:pos="8789"/>
        </w:tabs>
        <w:ind w:left="3969" w:right="51"/>
        <w:rPr>
          <w:rFonts w:ascii="Times New Roman" w:eastAsia="Times New Roman" w:hAnsi="Times New Roman" w:cs="Times New Roman"/>
          <w:sz w:val="28"/>
          <w:szCs w:val="28"/>
        </w:rPr>
      </w:pPr>
      <w:bookmarkStart w:id="1" w:name="_Hlk51183842"/>
      <w:bookmarkStart w:id="2" w:name="_Hlk64876002"/>
      <w:r w:rsidRPr="003E425B">
        <w:rPr>
          <w:rFonts w:ascii="Times New Roman" w:eastAsia="Times New Roman" w:hAnsi="Times New Roman" w:cs="Times New Roman"/>
          <w:sz w:val="28"/>
          <w:szCs w:val="28"/>
        </w:rPr>
        <w:t xml:space="preserve">Expediente: </w:t>
      </w:r>
      <w:r w:rsidRPr="003E425B">
        <w:rPr>
          <w:rFonts w:ascii="Times New Roman" w:eastAsia="Times New Roman" w:hAnsi="Times New Roman" w:cs="Times New Roman"/>
          <w:sz w:val="28"/>
          <w:szCs w:val="28"/>
        </w:rPr>
        <w:t>D-15</w:t>
      </w:r>
      <w:r w:rsidRPr="003E425B">
        <w:rPr>
          <w:rFonts w:ascii="Times New Roman" w:eastAsia="Times New Roman" w:hAnsi="Times New Roman" w:cs="Times New Roman"/>
          <w:sz w:val="28"/>
          <w:szCs w:val="28"/>
        </w:rPr>
        <w:t>146</w:t>
      </w:r>
    </w:p>
    <w:p w:rsidR="00BA7804" w:rsidRPr="003E425B" w:rsidRDefault="003E425B" w:rsidP="00010108">
      <w:pPr>
        <w:ind w:left="3969" w:right="51"/>
        <w:rPr>
          <w:rFonts w:ascii="Times New Roman" w:eastAsia="Times New Roman" w:hAnsi="Times New Roman" w:cs="Times New Roman"/>
          <w:sz w:val="28"/>
          <w:szCs w:val="28"/>
        </w:rPr>
      </w:pPr>
    </w:p>
    <w:p w:rsidR="00BA7804" w:rsidRPr="003E425B" w:rsidRDefault="003E425B" w:rsidP="00010108">
      <w:pPr>
        <w:ind w:left="3969" w:right="51"/>
        <w:rPr>
          <w:rFonts w:ascii="Times New Roman" w:hAnsi="Times New Roman" w:cs="Times New Roman"/>
          <w:color w:val="000000" w:themeColor="text1"/>
          <w:sz w:val="28"/>
          <w:szCs w:val="28"/>
        </w:rPr>
      </w:pPr>
      <w:r w:rsidRPr="003E425B">
        <w:rPr>
          <w:rFonts w:ascii="Times New Roman" w:hAnsi="Times New Roman" w:cs="Times New Roman"/>
          <w:color w:val="000000" w:themeColor="text1"/>
          <w:sz w:val="28"/>
          <w:szCs w:val="28"/>
        </w:rPr>
        <w:t xml:space="preserve">Demanda de inconstitucionalidad en contra </w:t>
      </w:r>
      <w:r w:rsidRPr="003E425B">
        <w:rPr>
          <w:rFonts w:ascii="Times New Roman" w:hAnsi="Times New Roman" w:cs="Times New Roman"/>
          <w:color w:val="000000" w:themeColor="text1"/>
          <w:sz w:val="28"/>
          <w:szCs w:val="28"/>
        </w:rPr>
        <w:t>de la Ley 2281 de 2023, “</w:t>
      </w:r>
      <w:r w:rsidRPr="003E425B">
        <w:rPr>
          <w:rFonts w:ascii="Times New Roman" w:hAnsi="Times New Roman" w:cs="Times New Roman"/>
          <w:color w:val="000000" w:themeColor="text1"/>
          <w:sz w:val="28"/>
          <w:szCs w:val="28"/>
        </w:rPr>
        <w:t>por medio de la cual se crea el ministerio de igualdad y equidad y se dictan otras disposiciones</w:t>
      </w:r>
      <w:r w:rsidRPr="003E425B">
        <w:rPr>
          <w:rFonts w:ascii="Times New Roman" w:hAnsi="Times New Roman" w:cs="Times New Roman"/>
          <w:color w:val="000000" w:themeColor="text1"/>
          <w:sz w:val="28"/>
          <w:szCs w:val="28"/>
        </w:rPr>
        <w:t>”</w:t>
      </w:r>
    </w:p>
    <w:p w:rsidR="004F1173" w:rsidRPr="003E425B" w:rsidRDefault="003E425B" w:rsidP="00010108">
      <w:pPr>
        <w:ind w:left="3969" w:right="51"/>
        <w:rPr>
          <w:rFonts w:ascii="Times New Roman" w:eastAsia="Times New Roman" w:hAnsi="Times New Roman" w:cs="Times New Roman"/>
          <w:sz w:val="28"/>
          <w:szCs w:val="28"/>
        </w:rPr>
      </w:pPr>
    </w:p>
    <w:p w:rsidR="00BA7804" w:rsidRPr="003E425B" w:rsidRDefault="003E425B" w:rsidP="00010108">
      <w:pPr>
        <w:ind w:left="3969" w:right="51"/>
        <w:rPr>
          <w:rFonts w:ascii="Times New Roman" w:eastAsia="Times New Roman" w:hAnsi="Times New Roman" w:cs="Times New Roman"/>
          <w:bCs/>
          <w:sz w:val="28"/>
          <w:szCs w:val="28"/>
        </w:rPr>
      </w:pPr>
      <w:r w:rsidRPr="003E425B">
        <w:rPr>
          <w:rFonts w:ascii="Times New Roman" w:eastAsia="Times New Roman" w:hAnsi="Times New Roman" w:cs="Times New Roman"/>
          <w:bCs/>
          <w:sz w:val="28"/>
          <w:szCs w:val="28"/>
        </w:rPr>
        <w:t>Magistrada ponente:</w:t>
      </w:r>
    </w:p>
    <w:p w:rsidR="00BA7804" w:rsidRPr="003E425B" w:rsidRDefault="003E425B" w:rsidP="00010108">
      <w:pPr>
        <w:ind w:left="3969" w:right="51"/>
        <w:rPr>
          <w:rFonts w:ascii="Times New Roman" w:eastAsia="Times New Roman" w:hAnsi="Times New Roman" w:cs="Times New Roman"/>
          <w:b/>
          <w:sz w:val="28"/>
          <w:szCs w:val="28"/>
        </w:rPr>
      </w:pPr>
      <w:r w:rsidRPr="003E425B">
        <w:rPr>
          <w:rFonts w:ascii="Times New Roman" w:eastAsia="Times New Roman" w:hAnsi="Times New Roman" w:cs="Times New Roman"/>
          <w:b/>
          <w:sz w:val="28"/>
          <w:szCs w:val="28"/>
        </w:rPr>
        <w:t>PAOLA ANDREA MENESES MOSQUERA</w:t>
      </w:r>
      <w:r w:rsidRPr="003E425B">
        <w:rPr>
          <w:rFonts w:ascii="Times New Roman" w:eastAsia="Times New Roman" w:hAnsi="Times New Roman" w:cs="Times New Roman"/>
          <w:b/>
          <w:sz w:val="28"/>
          <w:szCs w:val="28"/>
        </w:rPr>
        <w:t xml:space="preserve"> </w:t>
      </w:r>
    </w:p>
    <w:bookmarkEnd w:id="1"/>
    <w:p w:rsidR="00BA7804" w:rsidRPr="003E425B" w:rsidRDefault="003E425B" w:rsidP="00010108">
      <w:pPr>
        <w:ind w:right="51"/>
        <w:rPr>
          <w:rFonts w:ascii="Times New Roman" w:eastAsia="Times New Roman" w:hAnsi="Times New Roman" w:cs="Times New Roman"/>
          <w:sz w:val="28"/>
          <w:szCs w:val="28"/>
        </w:rPr>
      </w:pPr>
      <w:r w:rsidRPr="003E425B">
        <w:rPr>
          <w:rFonts w:ascii="Times New Roman" w:eastAsia="Times New Roman" w:hAnsi="Times New Roman" w:cs="Times New Roman"/>
          <w:sz w:val="28"/>
          <w:szCs w:val="28"/>
        </w:rPr>
        <w:t xml:space="preserve"> </w:t>
      </w:r>
    </w:p>
    <w:bookmarkEnd w:id="2"/>
    <w:p w:rsidR="00BA7804" w:rsidRPr="003E425B" w:rsidRDefault="003E425B" w:rsidP="00010108">
      <w:pPr>
        <w:ind w:right="51"/>
        <w:rPr>
          <w:rFonts w:ascii="Times New Roman" w:eastAsia="Times New Roman" w:hAnsi="Times New Roman" w:cs="Times New Roman"/>
          <w:sz w:val="28"/>
          <w:szCs w:val="28"/>
        </w:rPr>
      </w:pPr>
      <w:r w:rsidRPr="003E425B">
        <w:rPr>
          <w:rFonts w:ascii="Times New Roman" w:eastAsia="Times New Roman" w:hAnsi="Times New Roman" w:cs="Times New Roman"/>
          <w:sz w:val="28"/>
          <w:szCs w:val="28"/>
        </w:rPr>
        <w:t xml:space="preserve">Bogotá, D. C., </w:t>
      </w:r>
      <w:r w:rsidRPr="003E425B">
        <w:rPr>
          <w:rFonts w:ascii="Times New Roman" w:eastAsia="Times New Roman" w:hAnsi="Times New Roman" w:cs="Times New Roman"/>
          <w:sz w:val="28"/>
          <w:szCs w:val="28"/>
        </w:rPr>
        <w:t>ocho (</w:t>
      </w:r>
      <w:r w:rsidRPr="003E425B">
        <w:rPr>
          <w:rFonts w:ascii="Times New Roman" w:eastAsia="Times New Roman" w:hAnsi="Times New Roman" w:cs="Times New Roman"/>
          <w:sz w:val="28"/>
          <w:szCs w:val="28"/>
        </w:rPr>
        <w:t>8</w:t>
      </w:r>
      <w:r w:rsidRPr="003E425B">
        <w:rPr>
          <w:rFonts w:ascii="Times New Roman" w:eastAsia="Times New Roman" w:hAnsi="Times New Roman" w:cs="Times New Roman"/>
          <w:sz w:val="28"/>
          <w:szCs w:val="28"/>
        </w:rPr>
        <w:t>)</w:t>
      </w:r>
      <w:r w:rsidRPr="003E425B">
        <w:rPr>
          <w:rFonts w:ascii="Times New Roman" w:eastAsia="Times New Roman" w:hAnsi="Times New Roman" w:cs="Times New Roman"/>
          <w:sz w:val="28"/>
          <w:szCs w:val="28"/>
        </w:rPr>
        <w:t xml:space="preserve"> de </w:t>
      </w:r>
      <w:r w:rsidRPr="003E425B">
        <w:rPr>
          <w:rFonts w:ascii="Times New Roman" w:eastAsia="Times New Roman" w:hAnsi="Times New Roman" w:cs="Times New Roman"/>
          <w:sz w:val="28"/>
          <w:szCs w:val="28"/>
        </w:rPr>
        <w:t xml:space="preserve">mayo </w:t>
      </w:r>
      <w:r w:rsidRPr="003E425B">
        <w:rPr>
          <w:rFonts w:ascii="Times New Roman" w:eastAsia="Times New Roman" w:hAnsi="Times New Roman" w:cs="Times New Roman"/>
          <w:sz w:val="28"/>
          <w:szCs w:val="28"/>
        </w:rPr>
        <w:t xml:space="preserve">de </w:t>
      </w:r>
      <w:r w:rsidRPr="003E425B">
        <w:rPr>
          <w:rFonts w:ascii="Times New Roman" w:eastAsia="Times New Roman" w:hAnsi="Times New Roman" w:cs="Times New Roman"/>
          <w:sz w:val="28"/>
          <w:szCs w:val="28"/>
        </w:rPr>
        <w:t>dos mil veinticuatro (2024)</w:t>
      </w:r>
    </w:p>
    <w:p w:rsidR="0059522E" w:rsidRPr="003E425B" w:rsidRDefault="003E425B" w:rsidP="00010108">
      <w:pPr>
        <w:ind w:right="51"/>
        <w:rPr>
          <w:rFonts w:ascii="Times New Roman" w:eastAsia="Calibri" w:hAnsi="Times New Roman" w:cs="Times New Roman"/>
          <w:sz w:val="28"/>
          <w:szCs w:val="28"/>
        </w:rPr>
      </w:pPr>
    </w:p>
    <w:p w:rsidR="001B019A" w:rsidRPr="003E425B" w:rsidRDefault="003E425B" w:rsidP="00010108">
      <w:pPr>
        <w:ind w:right="51"/>
        <w:rPr>
          <w:rFonts w:ascii="Times New Roman" w:hAnsi="Times New Roman" w:cs="Times New Roman"/>
          <w:sz w:val="28"/>
          <w:szCs w:val="28"/>
        </w:rPr>
      </w:pPr>
      <w:r w:rsidRPr="003E425B">
        <w:rPr>
          <w:rFonts w:ascii="Times New Roman" w:hAnsi="Times New Roman" w:cs="Times New Roman"/>
          <w:sz w:val="28"/>
          <w:szCs w:val="28"/>
        </w:rPr>
        <w:t>La Sala Plena de la Corte Constitucional, en cumplimiento de sus atribuciones constitucionales y de los requisitos y trámites establecidos en el Decreto 2067 de 1991, profiere la siguiente</w:t>
      </w:r>
    </w:p>
    <w:p w:rsidR="001B019A" w:rsidRPr="003E425B" w:rsidRDefault="003E425B" w:rsidP="00010108">
      <w:pPr>
        <w:ind w:right="51"/>
        <w:rPr>
          <w:rFonts w:ascii="Times New Roman" w:hAnsi="Times New Roman" w:cs="Times New Roman"/>
          <w:sz w:val="28"/>
          <w:szCs w:val="28"/>
        </w:rPr>
      </w:pPr>
    </w:p>
    <w:p w:rsidR="00BA7804" w:rsidRPr="003E425B" w:rsidRDefault="003E425B" w:rsidP="00010108">
      <w:pPr>
        <w:ind w:right="51"/>
        <w:jc w:val="center"/>
        <w:rPr>
          <w:rFonts w:ascii="Times New Roman" w:eastAsia="Times New Roman" w:hAnsi="Times New Roman" w:cs="Times New Roman"/>
          <w:b/>
          <w:sz w:val="28"/>
          <w:szCs w:val="28"/>
        </w:rPr>
      </w:pPr>
      <w:r w:rsidRPr="003E425B">
        <w:rPr>
          <w:rFonts w:ascii="Times New Roman" w:eastAsia="Times New Roman" w:hAnsi="Times New Roman" w:cs="Times New Roman"/>
          <w:b/>
          <w:sz w:val="28"/>
          <w:szCs w:val="28"/>
        </w:rPr>
        <w:t>SENTENCIA</w:t>
      </w:r>
    </w:p>
    <w:p w:rsidR="00216116" w:rsidRPr="003E425B" w:rsidRDefault="003E425B" w:rsidP="00010108">
      <w:pPr>
        <w:ind w:right="51"/>
        <w:jc w:val="center"/>
        <w:rPr>
          <w:rFonts w:ascii="Times New Roman" w:eastAsia="Times New Roman" w:hAnsi="Times New Roman" w:cs="Times New Roman"/>
          <w:b/>
          <w:sz w:val="28"/>
          <w:szCs w:val="28"/>
        </w:rPr>
      </w:pPr>
    </w:p>
    <w:p w:rsidR="00216116" w:rsidRPr="003E425B" w:rsidRDefault="003E425B" w:rsidP="00010108">
      <w:pPr>
        <w:ind w:right="51"/>
        <w:jc w:val="center"/>
        <w:rPr>
          <w:rFonts w:ascii="Times New Roman" w:eastAsia="Times New Roman" w:hAnsi="Times New Roman" w:cs="Times New Roman"/>
          <w:b/>
          <w:sz w:val="28"/>
          <w:szCs w:val="28"/>
        </w:rPr>
      </w:pPr>
      <w:r w:rsidRPr="003E425B">
        <w:rPr>
          <w:rFonts w:ascii="Times New Roman" w:eastAsia="Times New Roman" w:hAnsi="Times New Roman" w:cs="Times New Roman"/>
          <w:b/>
          <w:sz w:val="28"/>
          <w:szCs w:val="28"/>
        </w:rPr>
        <w:t>Síntesis de la decisión</w:t>
      </w:r>
    </w:p>
    <w:p w:rsidR="00BA7804" w:rsidRPr="003E425B" w:rsidRDefault="003E425B" w:rsidP="00010108">
      <w:pPr>
        <w:pStyle w:val="Prrafodelista"/>
        <w:spacing w:line="240" w:lineRule="auto"/>
        <w:ind w:left="0"/>
        <w:rPr>
          <w:rFonts w:ascii="Times New Roman" w:hAnsi="Times New Roman"/>
          <w:sz w:val="28"/>
        </w:rPr>
      </w:pPr>
    </w:p>
    <w:p w:rsidR="00DE7A41" w:rsidRPr="003E425B" w:rsidRDefault="003E425B" w:rsidP="00010108">
      <w:pPr>
        <w:rPr>
          <w:rFonts w:ascii="Times New Roman" w:hAnsi="Times New Roman" w:cs="Times New Roman"/>
          <w:sz w:val="28"/>
          <w:szCs w:val="28"/>
          <w:lang w:val="es-ES_tradnl"/>
        </w:rPr>
      </w:pPr>
      <w:r w:rsidRPr="003E425B">
        <w:rPr>
          <w:rFonts w:ascii="Times New Roman" w:hAnsi="Times New Roman" w:cs="Times New Roman"/>
          <w:b/>
          <w:bCs/>
          <w:sz w:val="28"/>
          <w:szCs w:val="28"/>
          <w:lang w:val="es-ES_tradnl"/>
        </w:rPr>
        <w:t>La norma demandada</w:t>
      </w:r>
      <w:r w:rsidRPr="003E425B">
        <w:rPr>
          <w:rFonts w:ascii="Times New Roman" w:hAnsi="Times New Roman" w:cs="Times New Roman"/>
          <w:sz w:val="28"/>
          <w:szCs w:val="28"/>
          <w:lang w:val="es-ES_tradnl"/>
        </w:rPr>
        <w:t>. La Ley 2281 de 2023 dispuso la creación del Ministerio de Igualdad y Equidad. El artículo 12 confirió facultades extraordinarias al Presidente de la República para integrar el Sector Administrativo de Igualdad y Equidad, mediante la ads</w:t>
      </w:r>
      <w:r w:rsidRPr="003E425B">
        <w:rPr>
          <w:rFonts w:ascii="Times New Roman" w:hAnsi="Times New Roman" w:cs="Times New Roman"/>
          <w:sz w:val="28"/>
          <w:szCs w:val="28"/>
          <w:lang w:val="es-ES_tradnl"/>
        </w:rPr>
        <w:t xml:space="preserve">cripción y vinculación de entidades de la administración pública. </w:t>
      </w:r>
    </w:p>
    <w:p w:rsidR="00DE7A41" w:rsidRPr="003E425B" w:rsidRDefault="003E425B" w:rsidP="00010108">
      <w:pPr>
        <w:rPr>
          <w:rFonts w:ascii="Times New Roman" w:hAnsi="Times New Roman" w:cs="Times New Roman"/>
          <w:sz w:val="28"/>
          <w:szCs w:val="28"/>
          <w:lang w:val="es-ES_tradnl"/>
        </w:rPr>
      </w:pPr>
    </w:p>
    <w:p w:rsidR="00DE7A41" w:rsidRPr="003E425B" w:rsidRDefault="003E425B" w:rsidP="00010108">
      <w:pPr>
        <w:rPr>
          <w:rFonts w:ascii="Times New Roman" w:hAnsi="Times New Roman" w:cs="Times New Roman"/>
          <w:sz w:val="28"/>
          <w:szCs w:val="28"/>
        </w:rPr>
      </w:pPr>
      <w:r w:rsidRPr="003E425B">
        <w:rPr>
          <w:rFonts w:ascii="Times New Roman" w:hAnsi="Times New Roman" w:cs="Times New Roman"/>
          <w:b/>
          <w:bCs/>
          <w:sz w:val="28"/>
          <w:szCs w:val="28"/>
          <w:lang w:val="es-ES_tradnl"/>
        </w:rPr>
        <w:t>La demanda</w:t>
      </w:r>
      <w:r w:rsidRPr="003E425B">
        <w:rPr>
          <w:rFonts w:ascii="Times New Roman" w:hAnsi="Times New Roman" w:cs="Times New Roman"/>
          <w:sz w:val="28"/>
          <w:szCs w:val="28"/>
          <w:lang w:val="es-ES_tradnl"/>
        </w:rPr>
        <w:t xml:space="preserve">. </w:t>
      </w:r>
      <w:r w:rsidRPr="003E425B">
        <w:rPr>
          <w:rFonts w:ascii="Times New Roman" w:hAnsi="Times New Roman" w:cs="Times New Roman"/>
          <w:sz w:val="28"/>
          <w:szCs w:val="28"/>
        </w:rPr>
        <w:t>El 25 de enero de 2023, los ciudadanos Paloma Valencia Laserna, Eduar Alexis Triana Rincón, Andrés Felipe Guerra Hoyos, María Fernanda Cabal Molina, José Jaime Uscátegui Pastra</w:t>
      </w:r>
      <w:r w:rsidRPr="003E425B">
        <w:rPr>
          <w:rFonts w:ascii="Times New Roman" w:hAnsi="Times New Roman" w:cs="Times New Roman"/>
          <w:sz w:val="28"/>
          <w:szCs w:val="28"/>
        </w:rPr>
        <w:t>na, Paola Andrea Holguín Moreno, Oscar Leonardo Villamizar Meneses, Ciro Alejandro Ramírez Cortés, Juan Fernando Espinal Ramírez, Yenny Rozo Zambrano y Miguel Uribe Turbay, presentaron demanda de inconstitucionalidad en contra de la totalidad y el artículo</w:t>
      </w:r>
      <w:r w:rsidRPr="003E425B">
        <w:rPr>
          <w:rFonts w:ascii="Times New Roman" w:hAnsi="Times New Roman" w:cs="Times New Roman"/>
          <w:sz w:val="28"/>
          <w:szCs w:val="28"/>
        </w:rPr>
        <w:t xml:space="preserve"> 12 de la Ley 2281 de 2023. Los demandantes formularon tres cargos de inconstitucionalidad: dos en contra de la totalidad de la Ley por vicios de procedimiento en su formación y uno en contra del artículo 12:</w:t>
      </w:r>
    </w:p>
    <w:p w:rsidR="00DE7A41" w:rsidRPr="003E425B" w:rsidRDefault="003E425B" w:rsidP="00010108">
      <w:pPr>
        <w:rPr>
          <w:rFonts w:ascii="Times New Roman" w:hAnsi="Times New Roman" w:cs="Times New Roman"/>
          <w:sz w:val="28"/>
          <w:szCs w:val="28"/>
        </w:rPr>
      </w:pPr>
    </w:p>
    <w:tbl>
      <w:tblPr>
        <w:tblStyle w:val="Tablaconcuadrcula"/>
        <w:tblW w:w="5000" w:type="pct"/>
        <w:tblLook w:val="04A0" w:firstRow="1" w:lastRow="0" w:firstColumn="1" w:lastColumn="0" w:noHBand="0" w:noVBand="1"/>
      </w:tblPr>
      <w:tblGrid>
        <w:gridCol w:w="1697"/>
        <w:gridCol w:w="7133"/>
      </w:tblGrid>
      <w:tr w:rsidR="00DE7A41" w:rsidRPr="003E425B" w:rsidTr="00E4520F">
        <w:tc>
          <w:tcPr>
            <w:tcW w:w="5000" w:type="pct"/>
            <w:gridSpan w:val="2"/>
            <w:shd w:val="clear" w:color="auto" w:fill="D9D9D9" w:themeFill="background1" w:themeFillShade="D9"/>
          </w:tcPr>
          <w:p w:rsidR="00DE7A41" w:rsidRPr="003E425B" w:rsidRDefault="003E425B" w:rsidP="00010108">
            <w:pPr>
              <w:jc w:val="center"/>
              <w:rPr>
                <w:rFonts w:ascii="Times New Roman" w:hAnsi="Times New Roman" w:cs="Times New Roman"/>
                <w:b/>
                <w:bCs/>
                <w:sz w:val="28"/>
              </w:rPr>
            </w:pPr>
            <w:r w:rsidRPr="003E425B">
              <w:rPr>
                <w:rFonts w:ascii="Times New Roman" w:hAnsi="Times New Roman" w:cs="Times New Roman"/>
                <w:b/>
                <w:bCs/>
                <w:sz w:val="28"/>
              </w:rPr>
              <w:t>Cargos de inconstitucionalidad</w:t>
            </w:r>
          </w:p>
        </w:tc>
      </w:tr>
      <w:tr w:rsidR="00DE7A41" w:rsidRPr="003E425B" w:rsidTr="00E4520F">
        <w:tc>
          <w:tcPr>
            <w:tcW w:w="961" w:type="pct"/>
            <w:shd w:val="clear" w:color="auto" w:fill="D9D9D9" w:themeFill="background1" w:themeFillShade="D9"/>
            <w:vAlign w:val="center"/>
          </w:tcPr>
          <w:p w:rsidR="00DE7A41" w:rsidRPr="003E425B" w:rsidRDefault="003E425B" w:rsidP="005803C8">
            <w:pPr>
              <w:jc w:val="center"/>
              <w:rPr>
                <w:rFonts w:ascii="Times New Roman" w:hAnsi="Times New Roman" w:cs="Times New Roman"/>
                <w:b/>
                <w:bCs/>
                <w:sz w:val="28"/>
              </w:rPr>
            </w:pPr>
            <w:r w:rsidRPr="003E425B">
              <w:rPr>
                <w:rFonts w:ascii="Times New Roman" w:hAnsi="Times New Roman" w:cs="Times New Roman"/>
                <w:b/>
                <w:bCs/>
                <w:sz w:val="28"/>
              </w:rPr>
              <w:t>Primer cargo</w:t>
            </w:r>
          </w:p>
        </w:tc>
        <w:tc>
          <w:tcPr>
            <w:tcW w:w="4039" w:type="pct"/>
          </w:tcPr>
          <w:p w:rsidR="00DE7A41" w:rsidRPr="003E425B" w:rsidRDefault="003E425B" w:rsidP="00010108">
            <w:pPr>
              <w:rPr>
                <w:rFonts w:ascii="Times New Roman" w:hAnsi="Times New Roman" w:cs="Times New Roman"/>
                <w:sz w:val="28"/>
              </w:rPr>
            </w:pPr>
            <w:r w:rsidRPr="003E425B">
              <w:rPr>
                <w:rFonts w:ascii="Times New Roman" w:hAnsi="Times New Roman" w:cs="Times New Roman"/>
                <w:sz w:val="28"/>
              </w:rPr>
              <w:t>L</w:t>
            </w:r>
            <w:r w:rsidRPr="003E425B">
              <w:rPr>
                <w:rFonts w:ascii="Times New Roman" w:hAnsi="Times New Roman" w:cs="Times New Roman"/>
                <w:sz w:val="28"/>
              </w:rPr>
              <w:t>a Ley 2281 de 2023 es inexequible, porque el informe de ponencia para primer debate no fue aprobado conforme a las reglas de quórum, modo de votación y mayorías previstas en los artículos 145 de la Constitución y 119 de la Ley 5ª de 1992.</w:t>
            </w:r>
          </w:p>
        </w:tc>
      </w:tr>
      <w:tr w:rsidR="00DE7A41" w:rsidRPr="003E425B" w:rsidTr="00E4520F">
        <w:tc>
          <w:tcPr>
            <w:tcW w:w="961" w:type="pct"/>
            <w:shd w:val="clear" w:color="auto" w:fill="D9D9D9" w:themeFill="background1" w:themeFillShade="D9"/>
            <w:vAlign w:val="center"/>
          </w:tcPr>
          <w:p w:rsidR="00DE7A41" w:rsidRPr="003E425B" w:rsidRDefault="003E425B" w:rsidP="005803C8">
            <w:pPr>
              <w:jc w:val="center"/>
              <w:rPr>
                <w:rFonts w:ascii="Times New Roman" w:hAnsi="Times New Roman" w:cs="Times New Roman"/>
                <w:b/>
                <w:bCs/>
                <w:sz w:val="28"/>
              </w:rPr>
            </w:pPr>
            <w:r w:rsidRPr="003E425B">
              <w:rPr>
                <w:rFonts w:ascii="Times New Roman" w:hAnsi="Times New Roman" w:cs="Times New Roman"/>
                <w:b/>
                <w:bCs/>
                <w:sz w:val="28"/>
              </w:rPr>
              <w:t>Segundo cargo</w:t>
            </w:r>
          </w:p>
        </w:tc>
        <w:tc>
          <w:tcPr>
            <w:tcW w:w="4039" w:type="pct"/>
          </w:tcPr>
          <w:p w:rsidR="00DE7A41" w:rsidRPr="003E425B" w:rsidRDefault="003E425B" w:rsidP="00010108">
            <w:pPr>
              <w:rPr>
                <w:rFonts w:ascii="Times New Roman" w:hAnsi="Times New Roman" w:cs="Times New Roman"/>
                <w:sz w:val="28"/>
              </w:rPr>
            </w:pPr>
            <w:r w:rsidRPr="003E425B">
              <w:rPr>
                <w:rFonts w:ascii="Times New Roman" w:hAnsi="Times New Roman" w:cs="Times New Roman"/>
                <w:sz w:val="28"/>
              </w:rPr>
              <w:t>La</w:t>
            </w:r>
            <w:r w:rsidRPr="003E425B">
              <w:rPr>
                <w:rFonts w:ascii="Times New Roman" w:hAnsi="Times New Roman" w:cs="Times New Roman"/>
                <w:sz w:val="28"/>
              </w:rPr>
              <w:t xml:space="preserve"> Ley 2281 de 2023 es inexequible, porque el Congreso de la República y el Gobierno Nacional no analizaron el impacto fiscal de la iniciativa, conforme a lo previsto en el artículo 7º de la Ley 819 de 2003.</w:t>
            </w:r>
          </w:p>
        </w:tc>
      </w:tr>
      <w:tr w:rsidR="00DE7A41" w:rsidRPr="003E425B" w:rsidTr="00E4520F">
        <w:tc>
          <w:tcPr>
            <w:tcW w:w="961" w:type="pct"/>
            <w:shd w:val="clear" w:color="auto" w:fill="D9D9D9" w:themeFill="background1" w:themeFillShade="D9"/>
            <w:vAlign w:val="center"/>
          </w:tcPr>
          <w:p w:rsidR="00DE7A41" w:rsidRPr="003E425B" w:rsidRDefault="003E425B" w:rsidP="005803C8">
            <w:pPr>
              <w:jc w:val="center"/>
              <w:rPr>
                <w:rFonts w:ascii="Times New Roman" w:hAnsi="Times New Roman" w:cs="Times New Roman"/>
                <w:b/>
                <w:bCs/>
                <w:sz w:val="28"/>
              </w:rPr>
            </w:pPr>
            <w:r w:rsidRPr="003E425B">
              <w:rPr>
                <w:rFonts w:ascii="Times New Roman" w:hAnsi="Times New Roman" w:cs="Times New Roman"/>
                <w:b/>
                <w:bCs/>
                <w:sz w:val="28"/>
              </w:rPr>
              <w:t>Tercer cargo</w:t>
            </w:r>
          </w:p>
        </w:tc>
        <w:tc>
          <w:tcPr>
            <w:tcW w:w="4039" w:type="pct"/>
          </w:tcPr>
          <w:p w:rsidR="00DE7A41" w:rsidRPr="003E425B" w:rsidRDefault="003E425B" w:rsidP="00010108">
            <w:pPr>
              <w:rPr>
                <w:rFonts w:ascii="Times New Roman" w:hAnsi="Times New Roman" w:cs="Times New Roman"/>
                <w:sz w:val="28"/>
              </w:rPr>
            </w:pPr>
            <w:r w:rsidRPr="003E425B">
              <w:rPr>
                <w:rFonts w:ascii="Times New Roman" w:hAnsi="Times New Roman" w:cs="Times New Roman"/>
                <w:sz w:val="28"/>
              </w:rPr>
              <w:t>El artículo 12 de la Ley 2281 de 202</w:t>
            </w:r>
            <w:r w:rsidRPr="003E425B">
              <w:rPr>
                <w:rFonts w:ascii="Times New Roman" w:hAnsi="Times New Roman" w:cs="Times New Roman"/>
                <w:sz w:val="28"/>
              </w:rPr>
              <w:t>3 vulnera el numeral 10 del artículo 150 de la Constitución y, en particular, el requisito de precisión para la concesión de facultades extraordinarias al Presidente de la República. Según los demandantes, el objeto de las facultades extraordinarias no era</w:t>
            </w:r>
            <w:r w:rsidRPr="003E425B">
              <w:rPr>
                <w:rFonts w:ascii="Times New Roman" w:hAnsi="Times New Roman" w:cs="Times New Roman"/>
                <w:sz w:val="28"/>
              </w:rPr>
              <w:t xml:space="preserve"> claro ni preciso, porque el Congreso de la República no estableció criterios para la adscripción y vinculación, lo que implicaba que el Presidente de la República podía efectuar una modificación de la administración pública nacional sin limitación alguna.</w:t>
            </w:r>
            <w:r w:rsidRPr="003E425B">
              <w:rPr>
                <w:rFonts w:ascii="Times New Roman" w:hAnsi="Times New Roman" w:cs="Times New Roman"/>
                <w:sz w:val="28"/>
              </w:rPr>
              <w:t xml:space="preserve"> </w:t>
            </w:r>
          </w:p>
        </w:tc>
      </w:tr>
    </w:tbl>
    <w:p w:rsidR="00DE7A41" w:rsidRPr="003E425B" w:rsidRDefault="003E425B" w:rsidP="00010108">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b/>
          <w:bCs/>
          <w:sz w:val="28"/>
          <w:szCs w:val="28"/>
        </w:rPr>
        <w:t>Examen de la Corte.</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La Corte examinó de forma independiente los cargos que los demandantes formularon</w:t>
      </w:r>
      <w:r w:rsidRPr="003E425B">
        <w:rPr>
          <w:rFonts w:ascii="Times New Roman" w:hAnsi="Times New Roman" w:cs="Times New Roman"/>
          <w:sz w:val="28"/>
          <w:szCs w:val="28"/>
        </w:rPr>
        <w:t>:</w:t>
      </w:r>
    </w:p>
    <w:p w:rsidR="00FC5E7C" w:rsidRPr="003E425B" w:rsidRDefault="003E425B" w:rsidP="00FC5E7C">
      <w:pPr>
        <w:rPr>
          <w:rFonts w:ascii="Times New Roman" w:hAnsi="Times New Roman" w:cs="Times New Roman"/>
          <w:sz w:val="28"/>
          <w:szCs w:val="28"/>
        </w:rPr>
      </w:pPr>
    </w:p>
    <w:p w:rsidR="00FC5E7C" w:rsidRPr="003E425B" w:rsidRDefault="003E425B" w:rsidP="00FC5E7C">
      <w:pPr>
        <w:numPr>
          <w:ilvl w:val="0"/>
          <w:numId w:val="7"/>
        </w:numPr>
        <w:rPr>
          <w:rFonts w:ascii="Times New Roman" w:hAnsi="Times New Roman" w:cs="Times New Roman"/>
          <w:b/>
          <w:bCs/>
          <w:sz w:val="28"/>
          <w:szCs w:val="28"/>
        </w:rPr>
      </w:pPr>
      <w:r w:rsidRPr="003E425B">
        <w:rPr>
          <w:rFonts w:ascii="Times New Roman" w:hAnsi="Times New Roman" w:cs="Times New Roman"/>
          <w:b/>
          <w:bCs/>
          <w:sz w:val="28"/>
          <w:szCs w:val="28"/>
        </w:rPr>
        <w:t>Cargo primero</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 xml:space="preserve">La Sala Plena encontró que el cargo 1 no prosperaba. Esto, por tres razones.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Primero</w:t>
      </w:r>
      <w:r w:rsidRPr="003E425B">
        <w:rPr>
          <w:rFonts w:ascii="Times New Roman" w:hAnsi="Times New Roman" w:cs="Times New Roman"/>
          <w:sz w:val="28"/>
          <w:szCs w:val="28"/>
        </w:rPr>
        <w:t xml:space="preserve">. La Comisión Primera </w:t>
      </w:r>
      <w:r w:rsidRPr="003E425B">
        <w:rPr>
          <w:rFonts w:ascii="Times New Roman" w:hAnsi="Times New Roman" w:cs="Times New Roman"/>
          <w:sz w:val="28"/>
          <w:szCs w:val="28"/>
        </w:rPr>
        <w:t xml:space="preserve">Constitucional </w:t>
      </w:r>
      <w:r w:rsidRPr="003E425B">
        <w:rPr>
          <w:rFonts w:ascii="Times New Roman" w:hAnsi="Times New Roman" w:cs="Times New Roman"/>
          <w:sz w:val="28"/>
          <w:szCs w:val="28"/>
        </w:rPr>
        <w:t xml:space="preserve">del Senado estaba habilitada para votar el informe de ponencia de forma ordinaria. Esto, porque el numeral 16 del artículo 129 de la </w:t>
      </w:r>
      <w:r w:rsidRPr="003E425B">
        <w:rPr>
          <w:rFonts w:ascii="Times New Roman" w:hAnsi="Times New Roman" w:cs="Times New Roman"/>
          <w:sz w:val="28"/>
          <w:szCs w:val="28"/>
        </w:rPr>
        <w:t>L</w:t>
      </w:r>
      <w:r w:rsidRPr="003E425B">
        <w:rPr>
          <w:rFonts w:ascii="Times New Roman" w:hAnsi="Times New Roman" w:cs="Times New Roman"/>
          <w:sz w:val="28"/>
          <w:szCs w:val="28"/>
        </w:rPr>
        <w:t>ey 5ª de 1992 dispone de forma expresa que no se requerirá votación nominal y pública y será procedente la votación ordina</w:t>
      </w:r>
      <w:r w:rsidRPr="003E425B">
        <w:rPr>
          <w:rFonts w:ascii="Times New Roman" w:hAnsi="Times New Roman" w:cs="Times New Roman"/>
          <w:sz w:val="28"/>
          <w:szCs w:val="28"/>
        </w:rPr>
        <w:t xml:space="preserve">ria “cuando en el trámite de un proyecto de ley exista unanimidad por parte de la respectiva comisión o plenaria para aprobar o negar todo o parte del articulado de un proyecto, a menos que esa forma de votación sea solicitada por alguno de sus miembros”. </w:t>
      </w:r>
      <w:r w:rsidRPr="003E425B">
        <w:rPr>
          <w:rFonts w:ascii="Times New Roman" w:hAnsi="Times New Roman" w:cs="Times New Roman"/>
          <w:sz w:val="28"/>
          <w:szCs w:val="28"/>
        </w:rPr>
        <w:t xml:space="preserve">En este caso existía unanimidad, puesto que al momento exacto de la votación ordinaria ninguno de los senadores </w:t>
      </w:r>
      <w:r w:rsidRPr="003E425B">
        <w:rPr>
          <w:rFonts w:ascii="Times New Roman" w:hAnsi="Times New Roman" w:cs="Times New Roman"/>
          <w:i/>
          <w:iCs/>
          <w:sz w:val="28"/>
          <w:szCs w:val="28"/>
        </w:rPr>
        <w:t>presentes</w:t>
      </w:r>
      <w:r w:rsidRPr="003E425B">
        <w:rPr>
          <w:rFonts w:ascii="Times New Roman" w:hAnsi="Times New Roman" w:cs="Times New Roman"/>
          <w:sz w:val="28"/>
          <w:szCs w:val="28"/>
        </w:rPr>
        <w:t xml:space="preserve"> expresó su desacuerdo o solicitó que la votación fuera nominal y pública. </w:t>
      </w:r>
      <w:r w:rsidRPr="003E425B">
        <w:rPr>
          <w:rFonts w:ascii="Times New Roman" w:hAnsi="Times New Roman" w:cs="Times New Roman"/>
          <w:sz w:val="28"/>
          <w:szCs w:val="28"/>
        </w:rPr>
        <w:t>Los</w:t>
      </w:r>
      <w:r w:rsidRPr="003E425B">
        <w:rPr>
          <w:rFonts w:ascii="Times New Roman" w:hAnsi="Times New Roman" w:cs="Times New Roman"/>
          <w:sz w:val="28"/>
          <w:szCs w:val="28"/>
        </w:rPr>
        <w:t xml:space="preserve"> senadores de la oposición sólo solicitaron la votación n</w:t>
      </w:r>
      <w:r w:rsidRPr="003E425B">
        <w:rPr>
          <w:rFonts w:ascii="Times New Roman" w:hAnsi="Times New Roman" w:cs="Times New Roman"/>
          <w:sz w:val="28"/>
          <w:szCs w:val="28"/>
        </w:rPr>
        <w:t xml:space="preserve">ominal pública luego de que la votación ordinaria se llevó a cabo. Por lo demás, durante el debate, ningún senador solicitó de forma clara y expresa que la votación del informe de ponencia se llevara a cabo de forma nominal y pública.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iCs/>
          <w:sz w:val="28"/>
          <w:szCs w:val="28"/>
        </w:rPr>
      </w:pPr>
      <w:r w:rsidRPr="003E425B">
        <w:rPr>
          <w:rFonts w:ascii="Times New Roman" w:hAnsi="Times New Roman" w:cs="Times New Roman"/>
          <w:sz w:val="28"/>
          <w:szCs w:val="28"/>
          <w:u w:val="single"/>
        </w:rPr>
        <w:t>Segundo</w:t>
      </w:r>
      <w:r w:rsidRPr="003E425B">
        <w:rPr>
          <w:rFonts w:ascii="Times New Roman" w:hAnsi="Times New Roman" w:cs="Times New Roman"/>
          <w:sz w:val="28"/>
          <w:szCs w:val="28"/>
        </w:rPr>
        <w:t>. La Sala Pl</w:t>
      </w:r>
      <w:r w:rsidRPr="003E425B">
        <w:rPr>
          <w:rFonts w:ascii="Times New Roman" w:hAnsi="Times New Roman" w:cs="Times New Roman"/>
          <w:sz w:val="28"/>
          <w:szCs w:val="28"/>
        </w:rPr>
        <w:t xml:space="preserve">ena reiteró que, </w:t>
      </w:r>
      <w:r w:rsidRPr="003E425B">
        <w:rPr>
          <w:rFonts w:ascii="Times New Roman" w:hAnsi="Times New Roman" w:cs="Times New Roman"/>
          <w:iCs/>
          <w:sz w:val="28"/>
          <w:szCs w:val="28"/>
          <w:lang w:val="es-ES_tradnl"/>
        </w:rPr>
        <w:t xml:space="preserve">de acuerdo con la Ley 5ª de 1992 y la jurisprudencia constitucional, los principales medios de prueba para demostrar el cumplimiento del quórum y las mayorías de las decisiones legislativas son </w:t>
      </w:r>
      <w:r w:rsidRPr="003E425B">
        <w:rPr>
          <w:rFonts w:ascii="Times New Roman" w:hAnsi="Times New Roman" w:cs="Times New Roman"/>
          <w:i/>
          <w:iCs/>
          <w:sz w:val="28"/>
          <w:szCs w:val="28"/>
          <w:lang w:val="es-ES_tradnl"/>
        </w:rPr>
        <w:t>(i)</w:t>
      </w:r>
      <w:r w:rsidRPr="003E425B">
        <w:rPr>
          <w:rFonts w:ascii="Times New Roman" w:hAnsi="Times New Roman" w:cs="Times New Roman"/>
          <w:iCs/>
          <w:sz w:val="28"/>
          <w:szCs w:val="28"/>
          <w:lang w:val="es-ES_tradnl"/>
        </w:rPr>
        <w:t xml:space="preserve"> el acta de las sesiones que se publica en</w:t>
      </w:r>
      <w:r w:rsidRPr="003E425B">
        <w:rPr>
          <w:rFonts w:ascii="Times New Roman" w:hAnsi="Times New Roman" w:cs="Times New Roman"/>
          <w:iCs/>
          <w:sz w:val="28"/>
          <w:szCs w:val="28"/>
          <w:lang w:val="es-ES_tradnl"/>
        </w:rPr>
        <w:t xml:space="preserve"> la Gaceta del Congreso (arts. 35 y 130 de la Ley 5ª de 1992) y </w:t>
      </w:r>
      <w:r w:rsidRPr="003E425B">
        <w:rPr>
          <w:rFonts w:ascii="Times New Roman" w:hAnsi="Times New Roman" w:cs="Times New Roman"/>
          <w:i/>
          <w:iCs/>
          <w:sz w:val="28"/>
          <w:szCs w:val="28"/>
          <w:lang w:val="es-ES_tradnl"/>
        </w:rPr>
        <w:t>(ii)</w:t>
      </w:r>
      <w:r w:rsidRPr="003E425B">
        <w:rPr>
          <w:rFonts w:ascii="Times New Roman" w:hAnsi="Times New Roman" w:cs="Times New Roman"/>
          <w:iCs/>
          <w:sz w:val="28"/>
          <w:szCs w:val="28"/>
          <w:lang w:val="es-ES_tradnl"/>
        </w:rPr>
        <w:t xml:space="preserve"> los certificados expedidos por la secretaría de cada comisión o plenaria (art. 47 de la Ley 5ª de 1992). Los registros fílmicos y fotográficos </w:t>
      </w:r>
      <w:r w:rsidRPr="003E425B">
        <w:rPr>
          <w:rFonts w:ascii="Times New Roman" w:hAnsi="Times New Roman" w:cs="Times New Roman"/>
          <w:iCs/>
          <w:sz w:val="28"/>
          <w:szCs w:val="28"/>
          <w:lang w:val="es-ES_tradnl"/>
        </w:rPr>
        <w:t>pueden</w:t>
      </w:r>
      <w:r w:rsidRPr="003E425B">
        <w:rPr>
          <w:rFonts w:ascii="Times New Roman" w:hAnsi="Times New Roman" w:cs="Times New Roman"/>
          <w:iCs/>
          <w:sz w:val="28"/>
          <w:szCs w:val="28"/>
          <w:lang w:val="es-ES_tradnl"/>
        </w:rPr>
        <w:t xml:space="preserve"> ser admitidos como prueba </w:t>
      </w:r>
      <w:r w:rsidRPr="003E425B">
        <w:rPr>
          <w:rFonts w:ascii="Times New Roman" w:hAnsi="Times New Roman" w:cs="Times New Roman"/>
          <w:iCs/>
          <w:sz w:val="28"/>
          <w:szCs w:val="28"/>
        </w:rPr>
        <w:t xml:space="preserve">cuando las </w:t>
      </w:r>
      <w:r w:rsidRPr="003E425B">
        <w:rPr>
          <w:rFonts w:ascii="Times New Roman" w:hAnsi="Times New Roman" w:cs="Times New Roman"/>
          <w:iCs/>
          <w:sz w:val="28"/>
          <w:szCs w:val="28"/>
        </w:rPr>
        <w:t xml:space="preserve">actas y certificados no contenían información precisa y verificable. </w:t>
      </w:r>
    </w:p>
    <w:p w:rsidR="00FC5E7C" w:rsidRPr="003E425B" w:rsidRDefault="003E425B" w:rsidP="00FC5E7C">
      <w:pPr>
        <w:rPr>
          <w:rFonts w:ascii="Times New Roman" w:hAnsi="Times New Roman" w:cs="Times New Roman"/>
          <w:iCs/>
          <w:sz w:val="28"/>
          <w:szCs w:val="28"/>
        </w:rPr>
      </w:pPr>
    </w:p>
    <w:p w:rsidR="004F6F4D" w:rsidRPr="003E425B" w:rsidRDefault="003E425B" w:rsidP="004F6F4D">
      <w:pPr>
        <w:rPr>
          <w:rFonts w:ascii="Times New Roman" w:hAnsi="Times New Roman" w:cs="Times New Roman"/>
          <w:sz w:val="28"/>
          <w:szCs w:val="28"/>
          <w:lang w:val="es-ES_tradnl"/>
        </w:rPr>
      </w:pPr>
      <w:r w:rsidRPr="003E425B">
        <w:rPr>
          <w:rFonts w:ascii="Times New Roman" w:hAnsi="Times New Roman" w:cs="Times New Roman"/>
          <w:iCs/>
          <w:sz w:val="28"/>
          <w:szCs w:val="28"/>
        </w:rPr>
        <w:t xml:space="preserve">En este caso, la Corte </w:t>
      </w:r>
      <w:r w:rsidRPr="003E425B">
        <w:rPr>
          <w:rFonts w:ascii="Times New Roman" w:hAnsi="Times New Roman" w:cs="Times New Roman"/>
          <w:iCs/>
          <w:sz w:val="28"/>
          <w:szCs w:val="28"/>
        </w:rPr>
        <w:t xml:space="preserve">encontró </w:t>
      </w:r>
      <w:r w:rsidRPr="003E425B">
        <w:rPr>
          <w:rFonts w:ascii="Times New Roman" w:hAnsi="Times New Roman" w:cs="Times New Roman"/>
          <w:iCs/>
          <w:sz w:val="28"/>
        </w:rPr>
        <w:t>que los</w:t>
      </w:r>
      <w:r w:rsidRPr="003E425B">
        <w:rPr>
          <w:rFonts w:ascii="Times New Roman" w:hAnsi="Times New Roman" w:cs="Times New Roman"/>
          <w:iCs/>
          <w:sz w:val="28"/>
        </w:rPr>
        <w:t xml:space="preserve"> medios de prueba que reposa</w:t>
      </w:r>
      <w:r w:rsidRPr="003E425B">
        <w:rPr>
          <w:rFonts w:ascii="Times New Roman" w:hAnsi="Times New Roman" w:cs="Times New Roman"/>
          <w:iCs/>
          <w:sz w:val="28"/>
        </w:rPr>
        <w:t>ban</w:t>
      </w:r>
      <w:r w:rsidRPr="003E425B">
        <w:rPr>
          <w:rFonts w:ascii="Times New Roman" w:hAnsi="Times New Roman" w:cs="Times New Roman"/>
          <w:iCs/>
          <w:sz w:val="28"/>
        </w:rPr>
        <w:t xml:space="preserve"> en el expediente sólo evidencian, a lo sumo, que no exist</w:t>
      </w:r>
      <w:r w:rsidRPr="003E425B">
        <w:rPr>
          <w:rFonts w:ascii="Times New Roman" w:hAnsi="Times New Roman" w:cs="Times New Roman"/>
          <w:iCs/>
          <w:sz w:val="28"/>
        </w:rPr>
        <w:t>ía</w:t>
      </w:r>
      <w:r w:rsidRPr="003E425B">
        <w:rPr>
          <w:rFonts w:ascii="Times New Roman" w:hAnsi="Times New Roman" w:cs="Times New Roman"/>
          <w:iCs/>
          <w:sz w:val="28"/>
        </w:rPr>
        <w:t xml:space="preserve"> plena certeza sobre el número de senadores de la Comisión </w:t>
      </w:r>
      <w:r w:rsidRPr="003E425B">
        <w:rPr>
          <w:rFonts w:ascii="Times New Roman" w:hAnsi="Times New Roman" w:cs="Times New Roman"/>
          <w:iCs/>
          <w:sz w:val="28"/>
        </w:rPr>
        <w:t xml:space="preserve">Primera </w:t>
      </w:r>
      <w:r w:rsidRPr="003E425B">
        <w:rPr>
          <w:rFonts w:ascii="Times New Roman" w:hAnsi="Times New Roman" w:cs="Times New Roman"/>
          <w:iCs/>
          <w:sz w:val="28"/>
        </w:rPr>
        <w:t xml:space="preserve">Constitucional del Senado que estaban presentes y votaron favorablemente el informe de ponencia. </w:t>
      </w:r>
      <w:r w:rsidRPr="003E425B">
        <w:rPr>
          <w:rFonts w:ascii="Times New Roman" w:hAnsi="Times New Roman" w:cs="Times New Roman"/>
          <w:iCs/>
          <w:sz w:val="28"/>
        </w:rPr>
        <w:t xml:space="preserve">Esto, habida cuenta de </w:t>
      </w:r>
      <w:r w:rsidRPr="003E425B">
        <w:rPr>
          <w:rFonts w:ascii="Times New Roman" w:hAnsi="Times New Roman" w:cs="Times New Roman"/>
          <w:iCs/>
          <w:sz w:val="28"/>
        </w:rPr>
        <w:t xml:space="preserve">que </w:t>
      </w:r>
      <w:r w:rsidRPr="003E425B">
        <w:rPr>
          <w:rFonts w:ascii="Times New Roman" w:hAnsi="Times New Roman" w:cs="Times New Roman"/>
          <w:sz w:val="28"/>
          <w:szCs w:val="28"/>
          <w:lang w:val="es-ES_tradnl"/>
        </w:rPr>
        <w:t>el</w:t>
      </w:r>
      <w:r w:rsidRPr="003E425B">
        <w:rPr>
          <w:rFonts w:ascii="Times New Roman" w:hAnsi="Times New Roman" w:cs="Times New Roman"/>
          <w:i/>
          <w:iCs/>
          <w:sz w:val="28"/>
          <w:szCs w:val="28"/>
          <w:lang w:val="es-ES_tradnl"/>
        </w:rPr>
        <w:t xml:space="preserve"> </w:t>
      </w:r>
      <w:r w:rsidRPr="003E425B">
        <w:rPr>
          <w:rFonts w:ascii="Times New Roman" w:hAnsi="Times New Roman" w:cs="Times New Roman"/>
          <w:sz w:val="28"/>
          <w:szCs w:val="28"/>
          <w:lang w:val="es-ES_tradnl"/>
        </w:rPr>
        <w:t>Acta Conjunta número 3 de 24 de noviembre de 2022</w:t>
      </w:r>
      <w:r w:rsidRPr="003E425B">
        <w:rPr>
          <w:rFonts w:ascii="Times New Roman" w:hAnsi="Times New Roman" w:cs="Times New Roman"/>
          <w:sz w:val="28"/>
          <w:szCs w:val="28"/>
          <w:lang w:val="es-ES_tradnl"/>
        </w:rPr>
        <w:t>, así como la</w:t>
      </w:r>
      <w:r w:rsidRPr="003E425B">
        <w:rPr>
          <w:rFonts w:ascii="Times New Roman" w:hAnsi="Times New Roman" w:cs="Times New Roman"/>
          <w:sz w:val="28"/>
          <w:szCs w:val="28"/>
          <w:lang w:val="es-ES_tradnl"/>
        </w:rPr>
        <w:t xml:space="preserve"> certificación que expidió la secretaría,</w:t>
      </w:r>
      <w:r w:rsidRPr="003E425B">
        <w:rPr>
          <w:rFonts w:ascii="Times New Roman" w:hAnsi="Times New Roman" w:cs="Times New Roman"/>
          <w:sz w:val="28"/>
          <w:szCs w:val="28"/>
          <w:lang w:val="es-ES_tradnl"/>
        </w:rPr>
        <w:t xml:space="preserve"> indicaba</w:t>
      </w:r>
      <w:r w:rsidRPr="003E425B">
        <w:rPr>
          <w:rFonts w:ascii="Times New Roman" w:hAnsi="Times New Roman" w:cs="Times New Roman"/>
          <w:sz w:val="28"/>
          <w:szCs w:val="28"/>
          <w:lang w:val="es-ES_tradnl"/>
        </w:rPr>
        <w:t>n</w:t>
      </w:r>
      <w:r w:rsidRPr="003E425B">
        <w:rPr>
          <w:rFonts w:ascii="Times New Roman" w:hAnsi="Times New Roman" w:cs="Times New Roman"/>
          <w:sz w:val="28"/>
          <w:szCs w:val="28"/>
          <w:lang w:val="es-ES_tradnl"/>
        </w:rPr>
        <w:t xml:space="preserve"> que </w:t>
      </w:r>
      <w:r w:rsidRPr="003E425B">
        <w:rPr>
          <w:rFonts w:ascii="Times New Roman" w:hAnsi="Times New Roman" w:cs="Times New Roman"/>
          <w:sz w:val="28"/>
          <w:szCs w:val="28"/>
          <w:lang w:val="es-ES_tradnl"/>
        </w:rPr>
        <w:t>la Comisión Primera del Senado aprobó el informe</w:t>
      </w:r>
      <w:r w:rsidRPr="003E425B">
        <w:rPr>
          <w:rFonts w:ascii="Times New Roman" w:hAnsi="Times New Roman" w:cs="Times New Roman"/>
          <w:sz w:val="28"/>
          <w:szCs w:val="28"/>
          <w:lang w:val="es-ES_tradnl"/>
        </w:rPr>
        <w:t xml:space="preserve"> de</w:t>
      </w:r>
      <w:r w:rsidRPr="003E425B">
        <w:rPr>
          <w:rFonts w:ascii="Times New Roman" w:hAnsi="Times New Roman" w:cs="Times New Roman"/>
          <w:sz w:val="28"/>
          <w:szCs w:val="28"/>
          <w:lang w:val="es-ES_tradnl"/>
        </w:rPr>
        <w:t xml:space="preserve"> ponencia</w:t>
      </w:r>
      <w:r w:rsidRPr="003E425B">
        <w:rPr>
          <w:rFonts w:ascii="Times New Roman" w:hAnsi="Times New Roman" w:cs="Times New Roman"/>
          <w:sz w:val="28"/>
          <w:szCs w:val="28"/>
          <w:lang w:val="es-ES_tradnl"/>
        </w:rPr>
        <w:t xml:space="preserve"> </w:t>
      </w:r>
      <w:r w:rsidRPr="003E425B">
        <w:rPr>
          <w:rFonts w:ascii="Times New Roman" w:hAnsi="Times New Roman" w:cs="Times New Roman"/>
          <w:sz w:val="28"/>
          <w:szCs w:val="28"/>
          <w:lang w:val="es-ES_tradnl"/>
        </w:rPr>
        <w:t xml:space="preserve">de </w:t>
      </w:r>
      <w:r w:rsidRPr="003E425B">
        <w:rPr>
          <w:rFonts w:ascii="Times New Roman" w:hAnsi="Times New Roman" w:cs="Times New Roman"/>
          <w:sz w:val="28"/>
          <w:szCs w:val="28"/>
          <w:lang w:val="es-ES_tradnl"/>
        </w:rPr>
        <w:t>forma unánime por 11 senadores</w:t>
      </w:r>
      <w:r w:rsidRPr="003E425B">
        <w:rPr>
          <w:rFonts w:ascii="Times New Roman" w:hAnsi="Times New Roman" w:cs="Times New Roman"/>
          <w:sz w:val="28"/>
          <w:szCs w:val="28"/>
          <w:lang w:val="es-ES_tradnl"/>
        </w:rPr>
        <w:t>, de acuerdo con el registro de la última votación nominal y pública que se había llevado a cabo en la mis</w:t>
      </w:r>
      <w:r w:rsidRPr="003E425B">
        <w:rPr>
          <w:rFonts w:ascii="Times New Roman" w:hAnsi="Times New Roman" w:cs="Times New Roman"/>
          <w:sz w:val="28"/>
          <w:szCs w:val="28"/>
          <w:lang w:val="es-ES_tradnl"/>
        </w:rPr>
        <w:t>ma sesión</w:t>
      </w:r>
      <w:r w:rsidRPr="003E425B">
        <w:rPr>
          <w:rFonts w:ascii="Times New Roman" w:hAnsi="Times New Roman" w:cs="Times New Roman"/>
          <w:sz w:val="28"/>
          <w:szCs w:val="28"/>
          <w:lang w:val="es-ES_tradnl"/>
        </w:rPr>
        <w:t xml:space="preserve">. </w:t>
      </w:r>
      <w:r w:rsidRPr="003E425B">
        <w:rPr>
          <w:rFonts w:ascii="Times New Roman" w:hAnsi="Times New Roman" w:cs="Times New Roman"/>
          <w:sz w:val="28"/>
          <w:szCs w:val="28"/>
          <w:lang w:val="es-ES_tradnl"/>
        </w:rPr>
        <w:t xml:space="preserve">En tales términos, no indicaba el número de senadores que estaban presentes y </w:t>
      </w:r>
      <w:r w:rsidRPr="003E425B">
        <w:rPr>
          <w:rFonts w:ascii="Times New Roman" w:hAnsi="Times New Roman" w:cs="Times New Roman"/>
          <w:sz w:val="28"/>
          <w:szCs w:val="28"/>
          <w:lang w:val="es-ES_tradnl"/>
        </w:rPr>
        <w:t>aprobaron</w:t>
      </w:r>
      <w:r w:rsidRPr="003E425B">
        <w:rPr>
          <w:rFonts w:ascii="Times New Roman" w:hAnsi="Times New Roman" w:cs="Times New Roman"/>
          <w:sz w:val="28"/>
          <w:szCs w:val="28"/>
          <w:lang w:val="es-ES_tradnl"/>
        </w:rPr>
        <w:t xml:space="preserve"> el informe de ponencia al momento en que se llevó a cabo la votación ordinaria. </w:t>
      </w:r>
      <w:r w:rsidRPr="003E425B">
        <w:rPr>
          <w:rFonts w:ascii="Times New Roman" w:hAnsi="Times New Roman" w:cs="Times New Roman"/>
          <w:sz w:val="28"/>
          <w:szCs w:val="28"/>
          <w:lang w:val="es-ES_tradnl"/>
        </w:rPr>
        <w:t>La Sala reconoció que</w:t>
      </w:r>
      <w:r w:rsidRPr="003E425B">
        <w:rPr>
          <w:rFonts w:ascii="Times New Roman" w:hAnsi="Times New Roman" w:cs="Times New Roman"/>
          <w:sz w:val="28"/>
          <w:szCs w:val="28"/>
          <w:lang w:val="es-ES_tradnl"/>
        </w:rPr>
        <w:t xml:space="preserve"> los registros fílmicos y fotográficos que los accionant</w:t>
      </w:r>
      <w:r w:rsidRPr="003E425B">
        <w:rPr>
          <w:rFonts w:ascii="Times New Roman" w:hAnsi="Times New Roman" w:cs="Times New Roman"/>
          <w:sz w:val="28"/>
          <w:szCs w:val="28"/>
          <w:lang w:val="es-ES_tradnl"/>
        </w:rPr>
        <w:t>es aportaron</w:t>
      </w:r>
      <w:r w:rsidRPr="003E425B">
        <w:rPr>
          <w:rFonts w:ascii="Times New Roman" w:hAnsi="Times New Roman" w:cs="Times New Roman"/>
          <w:sz w:val="28"/>
          <w:szCs w:val="28"/>
          <w:lang w:val="es-ES_tradnl"/>
        </w:rPr>
        <w:t>, así como el registro de las otras votaciones nominales y públicas, demostraban que el quórum había variado durante la sesión. Sin embargo, no tenían la aptitud probatoria suficiente</w:t>
      </w:r>
      <w:r w:rsidRPr="003E425B">
        <w:rPr>
          <w:rFonts w:ascii="Times New Roman" w:hAnsi="Times New Roman" w:cs="Times New Roman"/>
          <w:sz w:val="28"/>
          <w:szCs w:val="28"/>
          <w:lang w:val="es-ES_tradnl"/>
        </w:rPr>
        <w:t xml:space="preserve"> para concluir, con certeza, que en el momento exacto en que </w:t>
      </w:r>
      <w:r w:rsidRPr="003E425B">
        <w:rPr>
          <w:rFonts w:ascii="Times New Roman" w:hAnsi="Times New Roman" w:cs="Times New Roman"/>
          <w:sz w:val="28"/>
          <w:szCs w:val="28"/>
          <w:lang w:val="es-ES_tradnl"/>
        </w:rPr>
        <w:t>se llevó a cabo la votación ordinaria no había quórum decisorio.</w:t>
      </w:r>
    </w:p>
    <w:p w:rsidR="004F6F4D" w:rsidRPr="003E425B" w:rsidRDefault="003E425B" w:rsidP="004F6F4D">
      <w:pPr>
        <w:rPr>
          <w:rFonts w:ascii="Times New Roman" w:hAnsi="Times New Roman" w:cs="Times New Roman"/>
          <w:sz w:val="28"/>
          <w:szCs w:val="28"/>
          <w:lang w:val="es-ES_tradnl"/>
        </w:rPr>
      </w:pPr>
    </w:p>
    <w:p w:rsidR="00FC5E7C" w:rsidRPr="003E425B" w:rsidRDefault="003E425B" w:rsidP="00FC5E7C">
      <w:pPr>
        <w:rPr>
          <w:rFonts w:ascii="Times New Roman" w:hAnsi="Times New Roman" w:cs="Times New Roman"/>
          <w:iCs/>
          <w:sz w:val="28"/>
        </w:rPr>
      </w:pPr>
      <w:r w:rsidRPr="003E425B">
        <w:rPr>
          <w:rFonts w:ascii="Times New Roman" w:hAnsi="Times New Roman" w:cs="Times New Roman"/>
          <w:sz w:val="28"/>
          <w:szCs w:val="28"/>
          <w:u w:val="single"/>
          <w:lang w:val="es-ES_tradnl"/>
        </w:rPr>
        <w:t>Tercero</w:t>
      </w:r>
      <w:r w:rsidRPr="003E425B">
        <w:rPr>
          <w:rFonts w:ascii="Times New Roman" w:hAnsi="Times New Roman" w:cs="Times New Roman"/>
          <w:sz w:val="28"/>
          <w:szCs w:val="28"/>
          <w:lang w:val="es-ES_tradnl"/>
        </w:rPr>
        <w:t xml:space="preserve">. </w:t>
      </w:r>
      <w:r w:rsidRPr="003E425B">
        <w:rPr>
          <w:rFonts w:ascii="Times New Roman" w:hAnsi="Times New Roman" w:cs="Times New Roman"/>
          <w:bCs/>
          <w:iCs/>
          <w:sz w:val="28"/>
        </w:rPr>
        <w:t>La Sala Plena consider</w:t>
      </w:r>
      <w:r w:rsidRPr="003E425B">
        <w:rPr>
          <w:rFonts w:ascii="Times New Roman" w:hAnsi="Times New Roman" w:cs="Times New Roman"/>
          <w:bCs/>
          <w:iCs/>
          <w:sz w:val="28"/>
        </w:rPr>
        <w:t>ó</w:t>
      </w:r>
      <w:r w:rsidRPr="003E425B">
        <w:rPr>
          <w:rFonts w:ascii="Times New Roman" w:hAnsi="Times New Roman" w:cs="Times New Roman"/>
          <w:bCs/>
          <w:iCs/>
          <w:sz w:val="28"/>
        </w:rPr>
        <w:t xml:space="preserve"> que, en este caso, la duda sobre el número de senadores de la Comisión Primera del Senado que estaban presentes al momento en que se llevó a cabo la votación</w:t>
      </w:r>
      <w:r w:rsidRPr="003E425B">
        <w:rPr>
          <w:rFonts w:ascii="Times New Roman" w:hAnsi="Times New Roman" w:cs="Times New Roman"/>
          <w:bCs/>
          <w:iCs/>
          <w:sz w:val="28"/>
        </w:rPr>
        <w:t xml:space="preserve"> ordinaria del informe de ponencia</w:t>
      </w:r>
      <w:r w:rsidRPr="003E425B">
        <w:rPr>
          <w:rFonts w:ascii="Times New Roman" w:hAnsi="Times New Roman" w:cs="Times New Roman"/>
          <w:bCs/>
          <w:iCs/>
          <w:sz w:val="28"/>
        </w:rPr>
        <w:t>,</w:t>
      </w:r>
      <w:r w:rsidRPr="003E425B">
        <w:rPr>
          <w:rFonts w:ascii="Times New Roman" w:hAnsi="Times New Roman" w:cs="Times New Roman"/>
          <w:bCs/>
          <w:iCs/>
          <w:sz w:val="28"/>
        </w:rPr>
        <w:t xml:space="preserve"> y que votaron favorablemente la proposición positiva</w:t>
      </w:r>
      <w:r w:rsidRPr="003E425B">
        <w:rPr>
          <w:rFonts w:ascii="Times New Roman" w:hAnsi="Times New Roman" w:cs="Times New Roman"/>
          <w:bCs/>
          <w:iCs/>
          <w:sz w:val="28"/>
        </w:rPr>
        <w:t>,</w:t>
      </w:r>
      <w:r w:rsidRPr="003E425B">
        <w:rPr>
          <w:rFonts w:ascii="Times New Roman" w:hAnsi="Times New Roman" w:cs="Times New Roman"/>
          <w:bCs/>
          <w:iCs/>
          <w:sz w:val="28"/>
        </w:rPr>
        <w:t xml:space="preserve"> </w:t>
      </w:r>
      <w:r w:rsidRPr="003E425B">
        <w:rPr>
          <w:rFonts w:ascii="Times New Roman" w:hAnsi="Times New Roman" w:cs="Times New Roman"/>
          <w:bCs/>
          <w:iCs/>
          <w:sz w:val="28"/>
        </w:rPr>
        <w:t xml:space="preserve">no </w:t>
      </w:r>
      <w:r w:rsidRPr="003E425B">
        <w:rPr>
          <w:rFonts w:ascii="Times New Roman" w:hAnsi="Times New Roman" w:cs="Times New Roman"/>
          <w:bCs/>
          <w:iCs/>
          <w:sz w:val="28"/>
        </w:rPr>
        <w:t>constitu</w:t>
      </w:r>
      <w:r w:rsidRPr="003E425B">
        <w:rPr>
          <w:rFonts w:ascii="Times New Roman" w:hAnsi="Times New Roman" w:cs="Times New Roman"/>
          <w:bCs/>
          <w:iCs/>
          <w:sz w:val="28"/>
        </w:rPr>
        <w:t xml:space="preserve">ía </w:t>
      </w:r>
      <w:r w:rsidRPr="003E425B">
        <w:rPr>
          <w:rFonts w:ascii="Times New Roman" w:hAnsi="Times New Roman" w:cs="Times New Roman"/>
          <w:bCs/>
          <w:iCs/>
          <w:sz w:val="28"/>
        </w:rPr>
        <w:t xml:space="preserve">un vicio de procedimiento. Esto, porque, en virtud del principio </w:t>
      </w:r>
      <w:r w:rsidRPr="003E425B">
        <w:rPr>
          <w:rFonts w:ascii="Times New Roman" w:hAnsi="Times New Roman" w:cs="Times New Roman"/>
          <w:bCs/>
          <w:i/>
          <w:iCs/>
          <w:sz w:val="28"/>
        </w:rPr>
        <w:t>in dubio</w:t>
      </w:r>
      <w:r w:rsidRPr="003E425B">
        <w:rPr>
          <w:rFonts w:ascii="Times New Roman" w:hAnsi="Times New Roman" w:cs="Times New Roman"/>
          <w:bCs/>
          <w:iCs/>
          <w:sz w:val="28"/>
        </w:rPr>
        <w:t xml:space="preserve"> </w:t>
      </w:r>
      <w:r w:rsidRPr="003E425B">
        <w:rPr>
          <w:rFonts w:ascii="Times New Roman" w:hAnsi="Times New Roman" w:cs="Times New Roman"/>
          <w:bCs/>
          <w:i/>
          <w:iCs/>
          <w:sz w:val="28"/>
        </w:rPr>
        <w:t>pro legislatoris</w:t>
      </w:r>
      <w:r w:rsidRPr="003E425B">
        <w:rPr>
          <w:rFonts w:ascii="Times New Roman" w:hAnsi="Times New Roman" w:cs="Times New Roman"/>
          <w:bCs/>
          <w:iCs/>
          <w:sz w:val="28"/>
        </w:rPr>
        <w:t xml:space="preserve">, la Corte sólo puede declarar la existencia de un vicio de </w:t>
      </w:r>
      <w:r w:rsidRPr="003E425B">
        <w:rPr>
          <w:rFonts w:ascii="Times New Roman" w:hAnsi="Times New Roman" w:cs="Times New Roman"/>
          <w:bCs/>
          <w:iCs/>
          <w:sz w:val="28"/>
        </w:rPr>
        <w:t>procedimiento si existe plena certeza sobre el incumplimiento de un requisito orgánico de aprobación de las leyes.</w:t>
      </w:r>
      <w:r w:rsidRPr="003E425B">
        <w:rPr>
          <w:rFonts w:ascii="Times New Roman" w:hAnsi="Times New Roman" w:cs="Times New Roman"/>
          <w:bCs/>
          <w:iCs/>
          <w:sz w:val="28"/>
        </w:rPr>
        <w:t xml:space="preserve"> </w:t>
      </w:r>
      <w:r w:rsidRPr="003E425B">
        <w:rPr>
          <w:rFonts w:ascii="Times New Roman" w:hAnsi="Times New Roman" w:cs="Times New Roman"/>
          <w:bCs/>
          <w:iCs/>
          <w:sz w:val="28"/>
        </w:rPr>
        <w:t>La duda en relación con el cumplimiento de los requisitos</w:t>
      </w:r>
      <w:r w:rsidRPr="003E425B">
        <w:rPr>
          <w:rFonts w:ascii="Times New Roman" w:hAnsi="Times New Roman" w:cs="Times New Roman"/>
          <w:bCs/>
          <w:iCs/>
          <w:sz w:val="28"/>
        </w:rPr>
        <w:t xml:space="preserve"> orgánicos</w:t>
      </w:r>
      <w:r w:rsidRPr="003E425B">
        <w:rPr>
          <w:rFonts w:ascii="Times New Roman" w:hAnsi="Times New Roman" w:cs="Times New Roman"/>
          <w:bCs/>
          <w:iCs/>
          <w:sz w:val="28"/>
        </w:rPr>
        <w:t xml:space="preserve"> debe resolverse en favor del legislador. </w:t>
      </w:r>
      <w:r w:rsidRPr="003E425B">
        <w:rPr>
          <w:rFonts w:ascii="Times New Roman" w:hAnsi="Times New Roman" w:cs="Times New Roman"/>
          <w:bCs/>
          <w:iCs/>
          <w:sz w:val="28"/>
        </w:rPr>
        <w:t xml:space="preserve">En cualquier caso, </w:t>
      </w:r>
      <w:r w:rsidRPr="003E425B">
        <w:rPr>
          <w:rFonts w:ascii="Times New Roman" w:hAnsi="Times New Roman" w:cs="Times New Roman"/>
          <w:bCs/>
          <w:iCs/>
          <w:sz w:val="28"/>
        </w:rPr>
        <w:t>la Corte seña</w:t>
      </w:r>
      <w:r w:rsidRPr="003E425B">
        <w:rPr>
          <w:rFonts w:ascii="Times New Roman" w:hAnsi="Times New Roman" w:cs="Times New Roman"/>
          <w:bCs/>
          <w:iCs/>
          <w:sz w:val="28"/>
        </w:rPr>
        <w:t xml:space="preserve">ló que, </w:t>
      </w:r>
      <w:r w:rsidRPr="003E425B">
        <w:rPr>
          <w:rFonts w:ascii="Times New Roman" w:hAnsi="Times New Roman" w:cs="Times New Roman"/>
          <w:bCs/>
          <w:iCs/>
          <w:sz w:val="28"/>
        </w:rPr>
        <w:t xml:space="preserve">aun </w:t>
      </w:r>
      <w:r w:rsidRPr="003E425B">
        <w:rPr>
          <w:rFonts w:ascii="Times New Roman" w:hAnsi="Times New Roman" w:cs="Times New Roman"/>
          <w:bCs/>
          <w:iCs/>
          <w:sz w:val="28"/>
        </w:rPr>
        <w:t>si se</w:t>
      </w:r>
      <w:r w:rsidRPr="003E425B">
        <w:rPr>
          <w:rFonts w:ascii="Times New Roman" w:hAnsi="Times New Roman" w:cs="Times New Roman"/>
          <w:bCs/>
          <w:iCs/>
          <w:sz w:val="28"/>
        </w:rPr>
        <w:t xml:space="preserve"> aceptar</w:t>
      </w:r>
      <w:r w:rsidRPr="003E425B">
        <w:rPr>
          <w:rFonts w:ascii="Times New Roman" w:hAnsi="Times New Roman" w:cs="Times New Roman"/>
          <w:bCs/>
          <w:iCs/>
          <w:sz w:val="28"/>
        </w:rPr>
        <w:t>a</w:t>
      </w:r>
      <w:r w:rsidRPr="003E425B">
        <w:rPr>
          <w:rFonts w:ascii="Times New Roman" w:hAnsi="Times New Roman" w:cs="Times New Roman"/>
          <w:bCs/>
          <w:iCs/>
          <w:sz w:val="28"/>
        </w:rPr>
        <w:t xml:space="preserve"> la tesis de los demandantes, según la cual al momento exacto en que se llevó a cabo la votación ordinaria sólo estaban presentes 9 de los 21 senadores que integran la Comisión Primera Constitucional del Senado, la supuesta falta </w:t>
      </w:r>
      <w:r w:rsidRPr="003E425B">
        <w:rPr>
          <w:rFonts w:ascii="Times New Roman" w:hAnsi="Times New Roman" w:cs="Times New Roman"/>
          <w:bCs/>
          <w:iCs/>
          <w:sz w:val="28"/>
        </w:rPr>
        <w:t>de aprobación del informe de ponencia</w:t>
      </w:r>
      <w:r w:rsidRPr="003E425B">
        <w:rPr>
          <w:rFonts w:ascii="Times New Roman" w:hAnsi="Times New Roman" w:cs="Times New Roman"/>
          <w:bCs/>
          <w:iCs/>
          <w:sz w:val="28"/>
        </w:rPr>
        <w:t xml:space="preserve"> </w:t>
      </w:r>
      <w:r w:rsidRPr="003E425B">
        <w:rPr>
          <w:rFonts w:ascii="Times New Roman" w:hAnsi="Times New Roman" w:cs="Times New Roman"/>
          <w:bCs/>
          <w:iCs/>
          <w:sz w:val="28"/>
        </w:rPr>
        <w:t>conforme a las reglas de quórum y mayorías que de ahí se derivaría sólo constituiría una irregularidad, no un vicio de procedimiento. Lo anterior, porque no habría incidido de forma sustancial y probada en la formación</w:t>
      </w:r>
      <w:r w:rsidRPr="003E425B">
        <w:rPr>
          <w:rFonts w:ascii="Times New Roman" w:hAnsi="Times New Roman" w:cs="Times New Roman"/>
          <w:bCs/>
          <w:iCs/>
          <w:sz w:val="28"/>
        </w:rPr>
        <w:t xml:space="preserve"> de la voluntad democrática. Esto, puesto que: </w:t>
      </w:r>
      <w:r w:rsidRPr="003E425B">
        <w:rPr>
          <w:rFonts w:ascii="Times New Roman" w:hAnsi="Times New Roman" w:cs="Times New Roman"/>
          <w:bCs/>
          <w:i/>
          <w:sz w:val="28"/>
        </w:rPr>
        <w:t>(i)</w:t>
      </w:r>
      <w:r w:rsidRPr="003E425B">
        <w:rPr>
          <w:rFonts w:ascii="Times New Roman" w:hAnsi="Times New Roman" w:cs="Times New Roman"/>
          <w:bCs/>
          <w:iCs/>
          <w:sz w:val="28"/>
        </w:rPr>
        <w:t xml:space="preserve"> </w:t>
      </w:r>
      <w:r w:rsidRPr="003E425B">
        <w:rPr>
          <w:rFonts w:ascii="Times New Roman" w:hAnsi="Times New Roman" w:cs="Times New Roman"/>
          <w:bCs/>
          <w:iCs/>
          <w:sz w:val="28"/>
        </w:rPr>
        <w:t xml:space="preserve">conforme al inciso 4º del artículo 157 la Ley 5 de 1992, </w:t>
      </w:r>
      <w:r w:rsidRPr="003E425B">
        <w:rPr>
          <w:rFonts w:ascii="Times New Roman" w:hAnsi="Times New Roman" w:cs="Times New Roman"/>
          <w:bCs/>
          <w:iCs/>
          <w:sz w:val="28"/>
        </w:rPr>
        <w:t xml:space="preserve">la aprobación del informe de ponencia en las comisiones constitucionales no es obligatoria y </w:t>
      </w:r>
      <w:r w:rsidRPr="003E425B">
        <w:rPr>
          <w:rFonts w:ascii="Times New Roman" w:hAnsi="Times New Roman" w:cs="Times New Roman"/>
          <w:bCs/>
          <w:i/>
          <w:sz w:val="28"/>
        </w:rPr>
        <w:t>(ii)</w:t>
      </w:r>
      <w:r w:rsidRPr="003E425B">
        <w:rPr>
          <w:rFonts w:ascii="Times New Roman" w:hAnsi="Times New Roman" w:cs="Times New Roman"/>
          <w:bCs/>
          <w:iCs/>
          <w:sz w:val="28"/>
        </w:rPr>
        <w:t xml:space="preserve"> las pruebas que obra</w:t>
      </w:r>
      <w:r w:rsidRPr="003E425B">
        <w:rPr>
          <w:rFonts w:ascii="Times New Roman" w:hAnsi="Times New Roman" w:cs="Times New Roman"/>
          <w:bCs/>
          <w:iCs/>
          <w:sz w:val="28"/>
        </w:rPr>
        <w:t>ban</w:t>
      </w:r>
      <w:r w:rsidRPr="003E425B">
        <w:rPr>
          <w:rFonts w:ascii="Times New Roman" w:hAnsi="Times New Roman" w:cs="Times New Roman"/>
          <w:bCs/>
          <w:iCs/>
          <w:sz w:val="28"/>
        </w:rPr>
        <w:t xml:space="preserve"> en el expediente dem</w:t>
      </w:r>
      <w:r w:rsidRPr="003E425B">
        <w:rPr>
          <w:rFonts w:ascii="Times New Roman" w:hAnsi="Times New Roman" w:cs="Times New Roman"/>
          <w:bCs/>
          <w:iCs/>
          <w:sz w:val="28"/>
        </w:rPr>
        <w:t>ostrab</w:t>
      </w:r>
      <w:r w:rsidRPr="003E425B">
        <w:rPr>
          <w:rFonts w:ascii="Times New Roman" w:hAnsi="Times New Roman" w:cs="Times New Roman"/>
          <w:bCs/>
          <w:iCs/>
          <w:sz w:val="28"/>
        </w:rPr>
        <w:t xml:space="preserve">an </w:t>
      </w:r>
      <w:r w:rsidRPr="003E425B">
        <w:rPr>
          <w:rFonts w:ascii="Times New Roman" w:hAnsi="Times New Roman" w:cs="Times New Roman"/>
          <w:bCs/>
          <w:iCs/>
          <w:sz w:val="28"/>
        </w:rPr>
        <w:t>que la Comisión Constitucional Primera del Senado tenía la intención inequívoca de continuar con el trámite de la iniciativa</w:t>
      </w:r>
      <w:r w:rsidRPr="003E425B">
        <w:rPr>
          <w:rFonts w:ascii="Times New Roman" w:hAnsi="Times New Roman" w:cs="Times New Roman"/>
          <w:bCs/>
          <w:iCs/>
          <w:sz w:val="28"/>
        </w:rPr>
        <w:t xml:space="preserve">, no de hundir el proyecto. </w:t>
      </w:r>
    </w:p>
    <w:p w:rsidR="00FC5E7C" w:rsidRPr="003E425B" w:rsidRDefault="003E425B" w:rsidP="00FC5E7C">
      <w:pPr>
        <w:rPr>
          <w:rFonts w:ascii="Times New Roman" w:hAnsi="Times New Roman" w:cs="Times New Roman"/>
          <w:sz w:val="28"/>
          <w:szCs w:val="28"/>
          <w:lang w:val="es-ES_tradnl"/>
        </w:rPr>
      </w:pPr>
    </w:p>
    <w:p w:rsidR="00FC5E7C" w:rsidRPr="003E425B" w:rsidRDefault="003E425B" w:rsidP="00FC5E7C">
      <w:pPr>
        <w:numPr>
          <w:ilvl w:val="0"/>
          <w:numId w:val="7"/>
        </w:numPr>
        <w:rPr>
          <w:rFonts w:ascii="Times New Roman" w:hAnsi="Times New Roman" w:cs="Times New Roman"/>
          <w:b/>
          <w:bCs/>
          <w:sz w:val="28"/>
          <w:szCs w:val="28"/>
        </w:rPr>
      </w:pPr>
      <w:r w:rsidRPr="003E425B">
        <w:rPr>
          <w:rFonts w:ascii="Times New Roman" w:hAnsi="Times New Roman" w:cs="Times New Roman"/>
          <w:b/>
          <w:bCs/>
          <w:sz w:val="28"/>
          <w:szCs w:val="28"/>
        </w:rPr>
        <w:t>Cargo segundo</w:t>
      </w:r>
    </w:p>
    <w:p w:rsidR="00FC5E7C" w:rsidRPr="003E425B" w:rsidRDefault="003E425B" w:rsidP="00FC5E7C">
      <w:pPr>
        <w:rPr>
          <w:rFonts w:ascii="Times New Roman" w:hAnsi="Times New Roman" w:cs="Times New Roman"/>
          <w:b/>
          <w:bCs/>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La Corte constató que, tal y como lo sostuvieron los demandantes, en el trámite de a</w:t>
      </w:r>
      <w:r w:rsidRPr="003E425B">
        <w:rPr>
          <w:rFonts w:ascii="Times New Roman" w:hAnsi="Times New Roman" w:cs="Times New Roman"/>
          <w:sz w:val="28"/>
          <w:szCs w:val="28"/>
        </w:rPr>
        <w:t>probación de la Ley 2281 de 2023 el Congreso de la República incurrió en un vicio de procedimiento insubsanable: no llevó a cabo el análisis de impacto fiscal de la creación del Ministerio de Igualdad y Equidad, conforme a las exigencias previstas en el ar</w:t>
      </w:r>
      <w:r w:rsidRPr="003E425B">
        <w:rPr>
          <w:rFonts w:ascii="Times New Roman" w:hAnsi="Times New Roman" w:cs="Times New Roman"/>
          <w:sz w:val="28"/>
          <w:szCs w:val="28"/>
        </w:rPr>
        <w:t>tículo 7º de la Ley 819 de 2003, “[p]or la cual se dictan normas orgánicas en materia de presupuesto, responsabilidad y transparencia fiscal y se dictan otras disposiciones”.</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El artículo 7º de la Ley 819 de 2003 dispone que el Congreso de la República deb</w:t>
      </w:r>
      <w:r w:rsidRPr="003E425B">
        <w:rPr>
          <w:rFonts w:ascii="Times New Roman" w:hAnsi="Times New Roman" w:cs="Times New Roman"/>
          <w:sz w:val="28"/>
          <w:szCs w:val="28"/>
        </w:rPr>
        <w:t xml:space="preserve">e llevar a cabo un análisis de impacto fiscal de los proyectos de ley que ordenen gasto o concedan beneficios tributarios. Los referentes básicos del análisis de impacto fiscal son: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el costo fiscal de la iniciativa,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la fuente de ingresos sustituti</w:t>
      </w:r>
      <w:r w:rsidRPr="003E425B">
        <w:rPr>
          <w:rFonts w:ascii="Times New Roman" w:hAnsi="Times New Roman" w:cs="Times New Roman"/>
          <w:sz w:val="28"/>
          <w:szCs w:val="28"/>
        </w:rPr>
        <w:t xml:space="preserve">va para financiar dicho costo y </w:t>
      </w:r>
      <w:r w:rsidRPr="003E425B">
        <w:rPr>
          <w:rFonts w:ascii="Times New Roman" w:hAnsi="Times New Roman" w:cs="Times New Roman"/>
          <w:i/>
          <w:iCs/>
          <w:sz w:val="28"/>
          <w:szCs w:val="28"/>
        </w:rPr>
        <w:t>(iii)</w:t>
      </w:r>
      <w:r w:rsidRPr="003E425B">
        <w:rPr>
          <w:rFonts w:ascii="Times New Roman" w:hAnsi="Times New Roman" w:cs="Times New Roman"/>
          <w:sz w:val="28"/>
          <w:szCs w:val="28"/>
        </w:rPr>
        <w:t xml:space="preserve"> la compatibilidad de la iniciativa con el Marco Fiscal de Mediano Plazo. La Constitución y la ley exigen que estos referentes básicos sean identificados, estimados y examinados en el trámite legislativo.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La Sala Plen</w:t>
      </w:r>
      <w:r w:rsidRPr="003E425B">
        <w:rPr>
          <w:rFonts w:ascii="Times New Roman" w:hAnsi="Times New Roman" w:cs="Times New Roman"/>
          <w:sz w:val="28"/>
          <w:szCs w:val="28"/>
        </w:rPr>
        <w:t xml:space="preserve">a reiteró que el análisis de impacto fiscal </w:t>
      </w:r>
      <w:r w:rsidRPr="003E425B">
        <w:rPr>
          <w:rFonts w:ascii="Times New Roman" w:hAnsi="Times New Roman" w:cs="Times New Roman"/>
          <w:sz w:val="28"/>
          <w:szCs w:val="28"/>
        </w:rPr>
        <w:t>e</w:t>
      </w:r>
      <w:r w:rsidRPr="003E425B">
        <w:rPr>
          <w:rFonts w:ascii="Times New Roman" w:hAnsi="Times New Roman" w:cs="Times New Roman"/>
          <w:sz w:val="28"/>
          <w:szCs w:val="28"/>
        </w:rPr>
        <w:t>s</w:t>
      </w:r>
      <w:r w:rsidRPr="003E425B">
        <w:rPr>
          <w:rFonts w:ascii="Times New Roman" w:hAnsi="Times New Roman" w:cs="Times New Roman"/>
          <w:sz w:val="28"/>
          <w:szCs w:val="28"/>
        </w:rPr>
        <w:t xml:space="preserve"> una obligación </w:t>
      </w:r>
      <w:r w:rsidRPr="003E425B">
        <w:rPr>
          <w:rFonts w:ascii="Times New Roman" w:hAnsi="Times New Roman" w:cs="Times New Roman"/>
          <w:sz w:val="28"/>
          <w:szCs w:val="28"/>
        </w:rPr>
        <w:t xml:space="preserve">orgánica </w:t>
      </w:r>
      <w:r w:rsidRPr="003E425B">
        <w:rPr>
          <w:rFonts w:ascii="Times New Roman" w:hAnsi="Times New Roman" w:cs="Times New Roman"/>
          <w:sz w:val="28"/>
          <w:szCs w:val="28"/>
        </w:rPr>
        <w:t>de naturalez</w:t>
      </w:r>
      <w:r w:rsidRPr="003E425B">
        <w:rPr>
          <w:rFonts w:ascii="Times New Roman" w:hAnsi="Times New Roman" w:cs="Times New Roman"/>
          <w:sz w:val="28"/>
          <w:szCs w:val="28"/>
        </w:rPr>
        <w:t>a</w:t>
      </w:r>
      <w:r w:rsidRPr="003E425B">
        <w:rPr>
          <w:rFonts w:ascii="Times New Roman" w:hAnsi="Times New Roman" w:cs="Times New Roman"/>
          <w:sz w:val="28"/>
          <w:szCs w:val="28"/>
        </w:rPr>
        <w:t xml:space="preserve"> procesal-deliberativa</w:t>
      </w:r>
      <w:r w:rsidRPr="003E425B">
        <w:rPr>
          <w:rFonts w:ascii="Times New Roman" w:hAnsi="Times New Roman" w:cs="Times New Roman"/>
          <w:sz w:val="28"/>
          <w:szCs w:val="28"/>
        </w:rPr>
        <w:t xml:space="preserve"> (no sustantiva)</w:t>
      </w:r>
      <w:r w:rsidRPr="003E425B">
        <w:rPr>
          <w:rFonts w:ascii="Times New Roman" w:hAnsi="Times New Roman" w:cs="Times New Roman"/>
          <w:sz w:val="28"/>
          <w:szCs w:val="28"/>
        </w:rPr>
        <w:t xml:space="preserve"> que </w:t>
      </w:r>
      <w:r w:rsidRPr="003E425B">
        <w:rPr>
          <w:rFonts w:ascii="Times New Roman" w:hAnsi="Times New Roman" w:cs="Times New Roman"/>
          <w:sz w:val="28"/>
          <w:szCs w:val="28"/>
        </w:rPr>
        <w:t xml:space="preserve">persigue cuatro finalidades constitucionales: salvaguardar la estabilidad macroeconómica, ordenar las finanzas públicas, </w:t>
      </w:r>
      <w:r w:rsidRPr="003E425B">
        <w:rPr>
          <w:rFonts w:ascii="Times New Roman" w:hAnsi="Times New Roman" w:cs="Times New Roman"/>
          <w:sz w:val="28"/>
          <w:szCs w:val="28"/>
        </w:rPr>
        <w:t>fortalecer la transparencia y control ciudadano en el trámite legislativo y garantizar la aplicación efectiva de las leyes. Para garantizar estas finalidades, el artículo 7º de la Ley 819 de 2003 impone deberes específicos al Gobierno Nacional, el Minister</w:t>
      </w:r>
      <w:r w:rsidRPr="003E425B">
        <w:rPr>
          <w:rFonts w:ascii="Times New Roman" w:hAnsi="Times New Roman" w:cs="Times New Roman"/>
          <w:sz w:val="28"/>
          <w:szCs w:val="28"/>
        </w:rPr>
        <w:t>io de Hacienda y Crédito Público y el Congreso de la República. De acuerdo con la jurisprudencia constitucional, en los casos en los que la iniciativa es gubernamental, el nivel de rigurosidad exigible al análisis de impacto fiscal es estricto y correspond</w:t>
      </w:r>
      <w:r w:rsidRPr="003E425B">
        <w:rPr>
          <w:rFonts w:ascii="Times New Roman" w:hAnsi="Times New Roman" w:cs="Times New Roman"/>
          <w:sz w:val="28"/>
          <w:szCs w:val="28"/>
        </w:rPr>
        <w:t>e a la Corte constatar su cumplimiento. El objeto del escrutinio constitucional que lleva a cabo la Corte no es controlar la calidad del debate o la conveniencia de la iniciativa desde el punto de vista presupuestal o fiscal. El propósito del control const</w:t>
      </w:r>
      <w:r w:rsidRPr="003E425B">
        <w:rPr>
          <w:rFonts w:ascii="Times New Roman" w:hAnsi="Times New Roman" w:cs="Times New Roman"/>
          <w:sz w:val="28"/>
          <w:szCs w:val="28"/>
        </w:rPr>
        <w:t>itucional que efectúa la Corte se circunscribe a verificar</w:t>
      </w:r>
      <w:r w:rsidRPr="003E425B">
        <w:rPr>
          <w:rFonts w:ascii="Times New Roman" w:hAnsi="Times New Roman" w:cs="Times New Roman"/>
          <w:sz w:val="28"/>
          <w:szCs w:val="28"/>
        </w:rPr>
        <w:t>, a partir de una valoración global</w:t>
      </w:r>
      <w:r w:rsidRPr="003E425B">
        <w:rPr>
          <w:rFonts w:ascii="Times New Roman" w:hAnsi="Times New Roman" w:cs="Times New Roman"/>
          <w:sz w:val="28"/>
          <w:szCs w:val="28"/>
        </w:rPr>
        <w:t xml:space="preserve"> de procedimiento legislativo</w:t>
      </w:r>
      <w:r w:rsidRPr="003E425B">
        <w:rPr>
          <w:rFonts w:ascii="Times New Roman" w:hAnsi="Times New Roman" w:cs="Times New Roman"/>
          <w:sz w:val="28"/>
          <w:szCs w:val="28"/>
        </w:rPr>
        <w:t>,</w:t>
      </w:r>
      <w:r w:rsidRPr="003E425B">
        <w:rPr>
          <w:rFonts w:ascii="Times New Roman" w:hAnsi="Times New Roman" w:cs="Times New Roman"/>
          <w:iCs/>
          <w:sz w:val="28"/>
          <w:szCs w:val="28"/>
        </w:rPr>
        <w:t xml:space="preserve"> el cumplimiento del mandato general previsto en el artículo 7º de la Ley 819 de 2003 y las finalidades constitucionales del análisis</w:t>
      </w:r>
      <w:r w:rsidRPr="003E425B">
        <w:rPr>
          <w:rFonts w:ascii="Times New Roman" w:hAnsi="Times New Roman" w:cs="Times New Roman"/>
          <w:iCs/>
          <w:sz w:val="28"/>
          <w:szCs w:val="28"/>
        </w:rPr>
        <w:t xml:space="preserve"> de impacto fiscal.</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En este caso, la Corte Constitucional constató que la Ley 2281 de 2023 ordenaba gasto. Lo anterior, debido a que disponía la creación de un nuevo ministerio: el Ministerio de Igualdad y Equidad. Esto implicaba erogaciones presupuestale</w:t>
      </w:r>
      <w:r w:rsidRPr="003E425B">
        <w:rPr>
          <w:rFonts w:ascii="Times New Roman" w:hAnsi="Times New Roman" w:cs="Times New Roman"/>
          <w:sz w:val="28"/>
          <w:szCs w:val="28"/>
        </w:rPr>
        <w:t>s adicionales para cubrir, cuando menos, sus gastos de funcionamiento general y de personal. Por lo tanto, el análisis de impacto fiscal era exigible. Asimismo, la Corte encontró que en este caso la iniciativa era gubernamental, porque conforme al inciso 2</w:t>
      </w:r>
      <w:r w:rsidRPr="003E425B">
        <w:rPr>
          <w:rFonts w:ascii="Times New Roman" w:hAnsi="Times New Roman" w:cs="Times New Roman"/>
          <w:sz w:val="28"/>
          <w:szCs w:val="28"/>
        </w:rPr>
        <w:t xml:space="preserve">º del artículo 154 de la Constitución, la iniciativa para crear ministerios es privativa y exclusiva del Gobierno Nacional. Por lo tanto, el nivel de rigurosidad aplicable al análisis de impacto fiscal debía ser estricto y riguroso. </w:t>
      </w:r>
    </w:p>
    <w:p w:rsidR="00FC5E7C" w:rsidRPr="003E425B" w:rsidRDefault="003E425B" w:rsidP="00FC5E7C">
      <w:pPr>
        <w:rPr>
          <w:rFonts w:ascii="Times New Roman" w:hAnsi="Times New Roman" w:cs="Times New Roman"/>
          <w:sz w:val="28"/>
          <w:szCs w:val="28"/>
        </w:rPr>
      </w:pPr>
    </w:p>
    <w:p w:rsidR="0013519F" w:rsidRPr="003E425B" w:rsidRDefault="003E425B" w:rsidP="0013519F">
      <w:pPr>
        <w:rPr>
          <w:rFonts w:ascii="Times New Roman" w:hAnsi="Times New Roman" w:cs="Times New Roman"/>
          <w:sz w:val="28"/>
          <w:szCs w:val="28"/>
        </w:rPr>
      </w:pPr>
      <w:r w:rsidRPr="003E425B">
        <w:rPr>
          <w:rFonts w:ascii="Times New Roman" w:hAnsi="Times New Roman" w:cs="Times New Roman"/>
          <w:sz w:val="28"/>
          <w:szCs w:val="28"/>
        </w:rPr>
        <w:t>A partir de una valor</w:t>
      </w:r>
      <w:r w:rsidRPr="003E425B">
        <w:rPr>
          <w:rFonts w:ascii="Times New Roman" w:hAnsi="Times New Roman" w:cs="Times New Roman"/>
          <w:sz w:val="28"/>
          <w:szCs w:val="28"/>
        </w:rPr>
        <w:t>ación global del trámite legislativo, la Sala Plena concluyó que la Ley 2281 de 2023, mediante la cual se dispuso la creación del Ministerio de Igualdad y Equidad, se aprobó sin llevar a cabo el análisis de impacto fiscal de la iniciativa, conforme a las e</w:t>
      </w:r>
      <w:r w:rsidRPr="003E425B">
        <w:rPr>
          <w:rFonts w:ascii="Times New Roman" w:hAnsi="Times New Roman" w:cs="Times New Roman"/>
          <w:sz w:val="28"/>
          <w:szCs w:val="28"/>
        </w:rPr>
        <w:t xml:space="preserve">xigencias previstas en el artículo 7º de la </w:t>
      </w:r>
      <w:r w:rsidRPr="003E425B">
        <w:rPr>
          <w:rFonts w:ascii="Times New Roman" w:hAnsi="Times New Roman" w:cs="Times New Roman"/>
          <w:sz w:val="28"/>
          <w:szCs w:val="28"/>
        </w:rPr>
        <w:t>L</w:t>
      </w:r>
      <w:r w:rsidRPr="003E425B">
        <w:rPr>
          <w:rFonts w:ascii="Times New Roman" w:hAnsi="Times New Roman" w:cs="Times New Roman"/>
          <w:sz w:val="28"/>
          <w:szCs w:val="28"/>
        </w:rPr>
        <w:t xml:space="preserve">ey 819 de 2003. Esto es así, fundamentalmente porque a lo largo del procedimiento no se identificaron, de forma mínimamente clara y fundada, los referentes básicos del análisis de impacto fiscal, a saber: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el</w:t>
      </w:r>
      <w:r w:rsidRPr="003E425B">
        <w:rPr>
          <w:rFonts w:ascii="Times New Roman" w:hAnsi="Times New Roman" w:cs="Times New Roman"/>
          <w:sz w:val="28"/>
          <w:szCs w:val="28"/>
        </w:rPr>
        <w:t xml:space="preserve"> costo fiscal de creación del Ministerio de Hacienda y Crédito Público y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la fuente de ingresos sustitutiva</w:t>
      </w:r>
      <w:r w:rsidRPr="003E425B">
        <w:rPr>
          <w:rFonts w:ascii="Times New Roman" w:hAnsi="Times New Roman" w:cs="Times New Roman"/>
          <w:sz w:val="28"/>
          <w:szCs w:val="28"/>
        </w:rPr>
        <w:t xml:space="preserve">. Esta conclusión estuvo fundada en las siguientes tres premisas: </w:t>
      </w:r>
      <w:r w:rsidRPr="003E425B">
        <w:rPr>
          <w:rFonts w:ascii="Times New Roman" w:hAnsi="Times New Roman" w:cs="Times New Roman"/>
          <w:sz w:val="28"/>
          <w:szCs w:val="28"/>
        </w:rPr>
        <w:t xml:space="preserve">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Primero</w:t>
      </w:r>
      <w:r w:rsidRPr="003E425B">
        <w:rPr>
          <w:rFonts w:ascii="Times New Roman" w:hAnsi="Times New Roman" w:cs="Times New Roman"/>
          <w:sz w:val="28"/>
          <w:szCs w:val="28"/>
        </w:rPr>
        <w:t>. En la exposición de motivos el Gobierno Nacional se limitó a indica</w:t>
      </w:r>
      <w:r w:rsidRPr="003E425B">
        <w:rPr>
          <w:rFonts w:ascii="Times New Roman" w:hAnsi="Times New Roman" w:cs="Times New Roman"/>
          <w:sz w:val="28"/>
          <w:szCs w:val="28"/>
        </w:rPr>
        <w:t>r, de forma general, que “la creación del Ministerio de Igualdad y Equidad se hará en el marco de la política de austeridad del Gobierno Nacional”. Sin embargo, no presentó ninguna consideración sobre los referentes básicos del impacto fiscal de la iniciat</w:t>
      </w:r>
      <w:r w:rsidRPr="003E425B">
        <w:rPr>
          <w:rFonts w:ascii="Times New Roman" w:hAnsi="Times New Roman" w:cs="Times New Roman"/>
          <w:sz w:val="28"/>
          <w:szCs w:val="28"/>
        </w:rPr>
        <w:t>iva.</w:t>
      </w:r>
      <w:r w:rsidRPr="003E425B">
        <w:rPr>
          <w:rFonts w:ascii="Times New Roman" w:hAnsi="Times New Roman" w:cs="Times New Roman"/>
          <w:sz w:val="28"/>
          <w:szCs w:val="28"/>
        </w:rPr>
        <w:t xml:space="preserve"> Esta omisión persistió en los informes de ponencia.</w:t>
      </w:r>
      <w:r w:rsidRPr="003E425B">
        <w:rPr>
          <w:rFonts w:ascii="Times New Roman" w:hAnsi="Times New Roman" w:cs="Times New Roman"/>
          <w:sz w:val="28"/>
          <w:szCs w:val="28"/>
        </w:rPr>
        <w:t xml:space="preserve"> </w:t>
      </w:r>
      <w:r w:rsidRPr="003E425B">
        <w:rPr>
          <w:rFonts w:ascii="Times New Roman" w:hAnsi="Times New Roman" w:cs="Times New Roman"/>
          <w:sz w:val="28"/>
          <w:szCs w:val="28"/>
          <w:lang w:val="es-ES"/>
        </w:rPr>
        <w:t>En criterio de la Sala Plena, la falta de presentación del análisis de impacto fiscal en la exposición de motivos, aunque no conducía a la declaratoria de inexequibilidad de la ley objeto de control,</w:t>
      </w:r>
      <w:r w:rsidRPr="003E425B">
        <w:rPr>
          <w:rFonts w:ascii="Times New Roman" w:hAnsi="Times New Roman" w:cs="Times New Roman"/>
          <w:sz w:val="28"/>
          <w:szCs w:val="28"/>
          <w:lang w:val="es-ES"/>
        </w:rPr>
        <w:t xml:space="preserve"> sí reflejaba un desconocimiento de</w:t>
      </w:r>
      <w:r w:rsidRPr="003E425B">
        <w:rPr>
          <w:rFonts w:ascii="Times New Roman" w:hAnsi="Times New Roman" w:cs="Times New Roman"/>
          <w:sz w:val="28"/>
          <w:szCs w:val="28"/>
          <w:lang w:val="es-ES"/>
        </w:rPr>
        <w:t xml:space="preserve"> la obligación prevista en el inciso 4º del artíc</w:t>
      </w:r>
      <w:r w:rsidRPr="003E425B">
        <w:rPr>
          <w:rFonts w:ascii="Times New Roman" w:hAnsi="Times New Roman" w:cs="Times New Roman"/>
          <w:sz w:val="28"/>
          <w:szCs w:val="28"/>
          <w:lang w:val="es-ES"/>
        </w:rPr>
        <w:t>u</w:t>
      </w:r>
      <w:r w:rsidRPr="003E425B">
        <w:rPr>
          <w:rFonts w:ascii="Times New Roman" w:hAnsi="Times New Roman" w:cs="Times New Roman"/>
          <w:sz w:val="28"/>
          <w:szCs w:val="28"/>
          <w:lang w:val="es-ES"/>
        </w:rPr>
        <w:t>lo 7º de la Ley 819 de 2003, así como un incumplimiento de</w:t>
      </w:r>
      <w:r w:rsidRPr="003E425B">
        <w:rPr>
          <w:rFonts w:ascii="Times New Roman" w:hAnsi="Times New Roman" w:cs="Times New Roman"/>
          <w:sz w:val="28"/>
          <w:szCs w:val="28"/>
          <w:lang w:val="es-ES"/>
        </w:rPr>
        <w:t>l</w:t>
      </w:r>
      <w:r w:rsidRPr="003E425B">
        <w:rPr>
          <w:rFonts w:ascii="Times New Roman" w:hAnsi="Times New Roman" w:cs="Times New Roman"/>
          <w:sz w:val="28"/>
          <w:szCs w:val="28"/>
          <w:lang w:val="es-ES"/>
        </w:rPr>
        <w:t xml:space="preserve"> deber de planeación a cargo del Gobierno Nacional que</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luego se proyectó en todo el trámite legislativo</w:t>
      </w:r>
      <w:r w:rsidRPr="003E425B">
        <w:rPr>
          <w:rFonts w:ascii="Times New Roman" w:hAnsi="Times New Roman" w:cs="Times New Roman"/>
          <w:sz w:val="28"/>
          <w:szCs w:val="28"/>
          <w:lang w:val="es-ES"/>
        </w:rPr>
        <w:t>. Esto úl</w:t>
      </w:r>
      <w:r w:rsidRPr="003E425B">
        <w:rPr>
          <w:rFonts w:ascii="Times New Roman" w:hAnsi="Times New Roman" w:cs="Times New Roman"/>
          <w:sz w:val="28"/>
          <w:szCs w:val="28"/>
          <w:lang w:val="es-ES"/>
        </w:rPr>
        <w:t xml:space="preserve">timo porque </w:t>
      </w:r>
      <w:r w:rsidRPr="003E425B">
        <w:rPr>
          <w:rFonts w:ascii="Times New Roman" w:hAnsi="Times New Roman" w:cs="Times New Roman"/>
          <w:sz w:val="28"/>
          <w:szCs w:val="28"/>
          <w:lang w:val="es-ES"/>
        </w:rPr>
        <w:t>impidió que el Congreso de la República contara con la información mínima necesaria para poder estudiar</w:t>
      </w:r>
      <w:r w:rsidRPr="003E425B">
        <w:rPr>
          <w:rFonts w:ascii="Times New Roman" w:hAnsi="Times New Roman" w:cs="Times New Roman"/>
          <w:sz w:val="28"/>
          <w:szCs w:val="28"/>
          <w:lang w:val="es-ES"/>
        </w:rPr>
        <w:t>, de forma seria y responsable,</w:t>
      </w:r>
      <w:r w:rsidRPr="003E425B">
        <w:rPr>
          <w:rFonts w:ascii="Times New Roman" w:hAnsi="Times New Roman" w:cs="Times New Roman"/>
          <w:sz w:val="28"/>
          <w:szCs w:val="28"/>
          <w:lang w:val="es-ES"/>
        </w:rPr>
        <w:t xml:space="preserve"> el impacto fiscal que tendría la creación del Ministerio de Igualdad y Equidad.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Segundo</w:t>
      </w:r>
      <w:r w:rsidRPr="003E425B">
        <w:rPr>
          <w:rFonts w:ascii="Times New Roman" w:hAnsi="Times New Roman" w:cs="Times New Roman"/>
          <w:sz w:val="28"/>
          <w:szCs w:val="28"/>
        </w:rPr>
        <w:t xml:space="preserve">. El Ministerio de Hacienda y Crédito Público no presentó un concepto sobre el impacto fiscal de la iniciativa, conforme a lo previsto en el inciso 3º del artículo 7º de la Ley 819 de 2003. Por el contrario, radicó un escrito de “comentarios” en el que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se limitó a señalar que el costo fiscal que implicaba la creación del ministerio sólo podía ser estimado una vez se conociera la estructura orgánica final,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presentó una tabla que contenía los costos de referencia de personal de todos los ministerios </w:t>
      </w:r>
      <w:r w:rsidRPr="003E425B">
        <w:rPr>
          <w:rFonts w:ascii="Times New Roman" w:hAnsi="Times New Roman" w:cs="Times New Roman"/>
          <w:sz w:val="28"/>
          <w:szCs w:val="28"/>
        </w:rPr>
        <w:t xml:space="preserve">para la vigencia 2023, sin siquiera precisar el costo estimado del nuevo ministerio, </w:t>
      </w:r>
      <w:r w:rsidRPr="003E425B">
        <w:rPr>
          <w:rFonts w:ascii="Times New Roman" w:hAnsi="Times New Roman" w:cs="Times New Roman"/>
          <w:i/>
          <w:iCs/>
          <w:sz w:val="28"/>
          <w:szCs w:val="28"/>
        </w:rPr>
        <w:t xml:space="preserve">(iii) </w:t>
      </w:r>
      <w:r w:rsidRPr="003E425B">
        <w:rPr>
          <w:rFonts w:ascii="Times New Roman" w:hAnsi="Times New Roman" w:cs="Times New Roman"/>
          <w:sz w:val="28"/>
          <w:szCs w:val="28"/>
        </w:rPr>
        <w:t xml:space="preserve">no identificó la fuente sustitutiva de ingresos, y, por último, </w:t>
      </w:r>
      <w:r w:rsidRPr="003E425B">
        <w:rPr>
          <w:rFonts w:ascii="Times New Roman" w:hAnsi="Times New Roman" w:cs="Times New Roman"/>
          <w:i/>
          <w:iCs/>
          <w:sz w:val="28"/>
          <w:szCs w:val="28"/>
        </w:rPr>
        <w:t>(iv)</w:t>
      </w:r>
      <w:r w:rsidRPr="003E425B">
        <w:rPr>
          <w:rFonts w:ascii="Times New Roman" w:hAnsi="Times New Roman" w:cs="Times New Roman"/>
          <w:sz w:val="28"/>
          <w:szCs w:val="28"/>
        </w:rPr>
        <w:t xml:space="preserve"> no indicó si el concepto era favorable o desfavorable.</w:t>
      </w: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 xml:space="preserve"> </w:t>
      </w: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Tercero</w:t>
      </w:r>
      <w:r w:rsidRPr="003E425B">
        <w:rPr>
          <w:rFonts w:ascii="Times New Roman" w:hAnsi="Times New Roman" w:cs="Times New Roman"/>
          <w:sz w:val="28"/>
          <w:szCs w:val="28"/>
        </w:rPr>
        <w:t>. Los incumplimientos del Gobier</w:t>
      </w:r>
      <w:r w:rsidRPr="003E425B">
        <w:rPr>
          <w:rFonts w:ascii="Times New Roman" w:hAnsi="Times New Roman" w:cs="Times New Roman"/>
          <w:sz w:val="28"/>
          <w:szCs w:val="28"/>
        </w:rPr>
        <w:t>no Nacional impidieron que el Congreso de la República contara con la información mínima necesaria para poder deliberar y estudiar, de forma seria y fundada, el impacto que la creación del Ministerio de Igualdad y Equidad tendría en las finanzas públicas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conforme a los referentes mínimos del impacto fiscal. </w:t>
      </w:r>
      <w:r w:rsidRPr="003E425B">
        <w:rPr>
          <w:rFonts w:ascii="Times New Roman" w:hAnsi="Times New Roman" w:cs="Times New Roman"/>
          <w:sz w:val="28"/>
          <w:szCs w:val="28"/>
        </w:rPr>
        <w:t xml:space="preserve">En efecto,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las estimaciones que se presentaron en algunos debates </w:t>
      </w:r>
      <w:r w:rsidRPr="003E425B">
        <w:rPr>
          <w:rFonts w:ascii="Times New Roman" w:hAnsi="Times New Roman" w:cs="Times New Roman"/>
          <w:sz w:val="28"/>
          <w:szCs w:val="28"/>
        </w:rPr>
        <w:t>carecían de fundamento técnico</w:t>
      </w:r>
      <w:r w:rsidRPr="003E425B">
        <w:rPr>
          <w:rFonts w:ascii="Times New Roman" w:hAnsi="Times New Roman" w:cs="Times New Roman"/>
          <w:sz w:val="28"/>
          <w:szCs w:val="28"/>
        </w:rPr>
        <w:t xml:space="preserve"> y</w:t>
      </w:r>
      <w:r w:rsidRPr="003E425B">
        <w:rPr>
          <w:rFonts w:ascii="Times New Roman" w:hAnsi="Times New Roman" w:cs="Times New Roman"/>
          <w:sz w:val="28"/>
          <w:szCs w:val="28"/>
        </w:rPr>
        <w:t xml:space="preserve"> no</w:t>
      </w:r>
      <w:r w:rsidRPr="003E425B">
        <w:rPr>
          <w:rFonts w:ascii="Times New Roman" w:hAnsi="Times New Roman" w:cs="Times New Roman"/>
          <w:sz w:val="28"/>
          <w:szCs w:val="28"/>
        </w:rPr>
        <w:t xml:space="preserve"> eran claros y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durante todo el procedimiento legislativo existió incertidumbre sobre el verd</w:t>
      </w:r>
      <w:r w:rsidRPr="003E425B">
        <w:rPr>
          <w:rFonts w:ascii="Times New Roman" w:hAnsi="Times New Roman" w:cs="Times New Roman"/>
          <w:sz w:val="28"/>
          <w:szCs w:val="28"/>
        </w:rPr>
        <w:t>adero costo que implicaba la creación del nuevo ministerio. En cualquier caso, aun si se aceptara que las estimaciones que presentaron algunos senadores eran fundadas</w:t>
      </w:r>
      <w:r w:rsidRPr="003E425B">
        <w:rPr>
          <w:rFonts w:ascii="Times New Roman" w:hAnsi="Times New Roman" w:cs="Times New Roman"/>
          <w:sz w:val="28"/>
          <w:szCs w:val="28"/>
        </w:rPr>
        <w:t xml:space="preserve"> y suficientes</w:t>
      </w:r>
      <w:r w:rsidRPr="003E425B">
        <w:rPr>
          <w:rFonts w:ascii="Times New Roman" w:hAnsi="Times New Roman" w:cs="Times New Roman"/>
          <w:sz w:val="28"/>
          <w:szCs w:val="28"/>
        </w:rPr>
        <w:t>, lo cierto es que</w:t>
      </w:r>
      <w:r w:rsidRPr="003E425B">
        <w:rPr>
          <w:rFonts w:ascii="Times New Roman" w:hAnsi="Times New Roman" w:cs="Times New Roman"/>
          <w:i/>
          <w:iCs/>
          <w:sz w:val="28"/>
          <w:szCs w:val="28"/>
        </w:rPr>
        <w:t xml:space="preserve"> </w:t>
      </w:r>
      <w:r w:rsidRPr="003E425B">
        <w:rPr>
          <w:rFonts w:ascii="Times New Roman" w:hAnsi="Times New Roman" w:cs="Times New Roman"/>
          <w:sz w:val="28"/>
          <w:szCs w:val="28"/>
        </w:rPr>
        <w:t>no hubo claridad alguna sobre la fuente de ingresos susti</w:t>
      </w:r>
      <w:r w:rsidRPr="003E425B">
        <w:rPr>
          <w:rFonts w:ascii="Times New Roman" w:hAnsi="Times New Roman" w:cs="Times New Roman"/>
          <w:sz w:val="28"/>
          <w:szCs w:val="28"/>
        </w:rPr>
        <w:t>tutiva con la que el nuevo ministerio sería financiado. Con todo, a pesar de no contar con los referentes básicos para llevar a cabo el análisis de impacto fiscal, el legislador aprobó la Ley 2281 de 2023.  En criterio de la Sala, esto contrarió el artícul</w:t>
      </w:r>
      <w:r w:rsidRPr="003E425B">
        <w:rPr>
          <w:rFonts w:ascii="Times New Roman" w:hAnsi="Times New Roman" w:cs="Times New Roman"/>
          <w:sz w:val="28"/>
          <w:szCs w:val="28"/>
        </w:rPr>
        <w:t xml:space="preserve">o 7º de la Ley 819 de 2003. </w:t>
      </w:r>
    </w:p>
    <w:p w:rsidR="00996C80" w:rsidRPr="003E425B" w:rsidRDefault="003E425B" w:rsidP="00FC5E7C">
      <w:pPr>
        <w:rPr>
          <w:rFonts w:ascii="Times New Roman" w:hAnsi="Times New Roman" w:cs="Times New Roman"/>
          <w:sz w:val="28"/>
          <w:szCs w:val="28"/>
        </w:rPr>
      </w:pPr>
    </w:p>
    <w:p w:rsidR="00996C80" w:rsidRPr="003E425B" w:rsidRDefault="003E425B" w:rsidP="00FC5E7C">
      <w:pPr>
        <w:rPr>
          <w:rFonts w:ascii="Times New Roman" w:hAnsi="Times New Roman" w:cs="Times New Roman"/>
          <w:sz w:val="28"/>
          <w:szCs w:val="28"/>
        </w:rPr>
      </w:pPr>
      <w:r w:rsidRPr="003E425B">
        <w:rPr>
          <w:rFonts w:ascii="Times New Roman" w:hAnsi="Times New Roman" w:cs="Times New Roman"/>
          <w:bCs/>
          <w:sz w:val="28"/>
          <w:szCs w:val="28"/>
        </w:rPr>
        <w:t>Las acciones y omisiones constatadas por la Corte no sólo demostraban un incumplimiento del estándar de rigurosidad estricto, exigible al análisis de impacto fiscal de los proyectos de ley de iniciativa gubernamental que orden</w:t>
      </w:r>
      <w:r w:rsidRPr="003E425B">
        <w:rPr>
          <w:rFonts w:ascii="Times New Roman" w:hAnsi="Times New Roman" w:cs="Times New Roman"/>
          <w:bCs/>
          <w:sz w:val="28"/>
          <w:szCs w:val="28"/>
        </w:rPr>
        <w:t xml:space="preserve">an gasto. También probaban que, aun si en gracia de discusión se aceptara que en este caso la iniciativa fue </w:t>
      </w:r>
      <w:r w:rsidRPr="003E425B">
        <w:rPr>
          <w:rFonts w:ascii="Times New Roman" w:hAnsi="Times New Roman" w:cs="Times New Roman"/>
          <w:bCs/>
          <w:i/>
          <w:iCs/>
          <w:sz w:val="28"/>
          <w:szCs w:val="28"/>
        </w:rPr>
        <w:t>mixta</w:t>
      </w:r>
      <w:r w:rsidRPr="003E425B">
        <w:rPr>
          <w:rFonts w:ascii="Times New Roman" w:hAnsi="Times New Roman" w:cs="Times New Roman"/>
          <w:bCs/>
          <w:sz w:val="28"/>
          <w:szCs w:val="28"/>
        </w:rPr>
        <w:t xml:space="preserve"> y que</w:t>
      </w:r>
      <w:r w:rsidRPr="003E425B">
        <w:rPr>
          <w:rFonts w:ascii="Times New Roman" w:hAnsi="Times New Roman" w:cs="Times New Roman"/>
          <w:bCs/>
          <w:sz w:val="28"/>
          <w:szCs w:val="28"/>
        </w:rPr>
        <w:t>, además, e</w:t>
      </w:r>
      <w:r w:rsidRPr="003E425B">
        <w:rPr>
          <w:rFonts w:ascii="Times New Roman" w:hAnsi="Times New Roman" w:cs="Times New Roman"/>
          <w:bCs/>
          <w:sz w:val="28"/>
          <w:szCs w:val="28"/>
        </w:rPr>
        <w:t>ra aplicable un</w:t>
      </w:r>
      <w:r w:rsidRPr="003E425B">
        <w:rPr>
          <w:rFonts w:ascii="Times New Roman" w:hAnsi="Times New Roman" w:cs="Times New Roman"/>
          <w:bCs/>
          <w:sz w:val="28"/>
          <w:szCs w:val="28"/>
        </w:rPr>
        <w:t xml:space="preserve"> estándar deferente y flexible</w:t>
      </w:r>
      <w:r w:rsidRPr="003E425B">
        <w:rPr>
          <w:rFonts w:ascii="Times New Roman" w:hAnsi="Times New Roman" w:cs="Times New Roman"/>
          <w:bCs/>
          <w:sz w:val="28"/>
          <w:szCs w:val="28"/>
        </w:rPr>
        <w:t xml:space="preserve">, este estándar </w:t>
      </w:r>
      <w:r w:rsidRPr="003E425B">
        <w:rPr>
          <w:rFonts w:ascii="Times New Roman" w:hAnsi="Times New Roman" w:cs="Times New Roman"/>
          <w:bCs/>
          <w:sz w:val="28"/>
          <w:szCs w:val="28"/>
        </w:rPr>
        <w:t xml:space="preserve">tampoco </w:t>
      </w:r>
      <w:r w:rsidRPr="003E425B">
        <w:rPr>
          <w:rFonts w:ascii="Times New Roman" w:hAnsi="Times New Roman" w:cs="Times New Roman"/>
          <w:bCs/>
          <w:sz w:val="28"/>
          <w:szCs w:val="28"/>
        </w:rPr>
        <w:t>había sido satisfecho</w:t>
      </w:r>
      <w:r w:rsidRPr="003E425B">
        <w:rPr>
          <w:rFonts w:ascii="Times New Roman" w:hAnsi="Times New Roman" w:cs="Times New Roman"/>
          <w:bCs/>
          <w:sz w:val="28"/>
          <w:szCs w:val="28"/>
        </w:rPr>
        <w:t xml:space="preserve">. </w:t>
      </w:r>
      <w:r w:rsidRPr="003E425B">
        <w:rPr>
          <w:rFonts w:ascii="Times New Roman" w:hAnsi="Times New Roman" w:cs="Times New Roman"/>
          <w:sz w:val="28"/>
          <w:szCs w:val="28"/>
        </w:rPr>
        <w:t xml:space="preserve"> </w:t>
      </w:r>
    </w:p>
    <w:p w:rsidR="00FC5E7C" w:rsidRPr="003E425B" w:rsidRDefault="003E425B" w:rsidP="00FC5E7C">
      <w:pPr>
        <w:rPr>
          <w:rFonts w:ascii="Times New Roman" w:hAnsi="Times New Roman" w:cs="Times New Roman"/>
          <w:sz w:val="28"/>
          <w:szCs w:val="28"/>
        </w:rPr>
      </w:pPr>
    </w:p>
    <w:p w:rsidR="00FC5E7C" w:rsidRPr="003E425B" w:rsidRDefault="003E425B" w:rsidP="00FC5E7C">
      <w:pPr>
        <w:numPr>
          <w:ilvl w:val="0"/>
          <w:numId w:val="7"/>
        </w:numPr>
        <w:rPr>
          <w:rFonts w:ascii="Times New Roman" w:hAnsi="Times New Roman" w:cs="Times New Roman"/>
          <w:b/>
          <w:bCs/>
          <w:sz w:val="28"/>
          <w:szCs w:val="28"/>
        </w:rPr>
      </w:pPr>
      <w:r w:rsidRPr="003E425B">
        <w:rPr>
          <w:rFonts w:ascii="Times New Roman" w:hAnsi="Times New Roman" w:cs="Times New Roman"/>
          <w:b/>
          <w:bCs/>
          <w:sz w:val="28"/>
          <w:szCs w:val="28"/>
        </w:rPr>
        <w:t>Cargo tercero</w:t>
      </w:r>
      <w:r w:rsidRPr="003E425B">
        <w:rPr>
          <w:rFonts w:ascii="Times New Roman" w:hAnsi="Times New Roman" w:cs="Times New Roman"/>
          <w:b/>
          <w:bCs/>
          <w:sz w:val="28"/>
          <w:szCs w:val="28"/>
          <w:vertAlign w:val="superscript"/>
        </w:rPr>
        <w:footnoteReference w:id="1"/>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La Corte consideró que, a diferencia de lo que argumentaban los demandantes, el artículo 12 de la Ley 2281 de 2023 no vulneraba el numeral 10 del artículo 150 de la Constitución y, en particular, el requisito de precisión de la ley habilitante. Esto, por t</w:t>
      </w:r>
      <w:r w:rsidRPr="003E425B">
        <w:rPr>
          <w:rFonts w:ascii="Times New Roman" w:hAnsi="Times New Roman" w:cs="Times New Roman"/>
          <w:sz w:val="28"/>
          <w:szCs w:val="28"/>
        </w:rPr>
        <w:t xml:space="preserve">res razones: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Primero</w:t>
      </w:r>
      <w:r w:rsidRPr="003E425B">
        <w:rPr>
          <w:rFonts w:ascii="Times New Roman" w:hAnsi="Times New Roman" w:cs="Times New Roman"/>
          <w:sz w:val="28"/>
          <w:szCs w:val="28"/>
        </w:rPr>
        <w:t>. La norma demandada define de forma clara, específica y delimitable la materia objeto de delegación: la integración del sector administrativo mediante las entidades que el Presidente</w:t>
      </w:r>
      <w:r w:rsidRPr="003E425B">
        <w:rPr>
          <w:rFonts w:ascii="Times New Roman" w:hAnsi="Times New Roman" w:cs="Times New Roman"/>
          <w:sz w:val="28"/>
          <w:szCs w:val="28"/>
        </w:rPr>
        <w:t xml:space="preserve"> de la República defina como adscritas y vinculadas. Los conceptos de “sector administrativo”, “vinculación” y “adscripción” están definidos en la Ley 489 de 1998 y han sido delimitados por la jurisprudencia constitucional y contenciosa.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Segundo</w:t>
      </w:r>
      <w:r w:rsidRPr="003E425B">
        <w:rPr>
          <w:rFonts w:ascii="Times New Roman" w:hAnsi="Times New Roman" w:cs="Times New Roman"/>
          <w:sz w:val="28"/>
          <w:szCs w:val="28"/>
        </w:rPr>
        <w:t>. El Cong</w:t>
      </w:r>
      <w:r w:rsidRPr="003E425B">
        <w:rPr>
          <w:rFonts w:ascii="Times New Roman" w:hAnsi="Times New Roman" w:cs="Times New Roman"/>
          <w:sz w:val="28"/>
          <w:szCs w:val="28"/>
        </w:rPr>
        <w:t>reso de la República no estaba obligado a establecer las entidades que debían adscribirse o vincularse al sector, y tampoco a definir los criterios que el Presidente de la República debía tener en cuenta para integrar el sector administrativo de Igualdad y</w:t>
      </w:r>
      <w:r w:rsidRPr="003E425B">
        <w:rPr>
          <w:rFonts w:ascii="Times New Roman" w:hAnsi="Times New Roman" w:cs="Times New Roman"/>
          <w:sz w:val="28"/>
          <w:szCs w:val="28"/>
        </w:rPr>
        <w:t xml:space="preserve"> Equidad. Conforme a la jurisprudencia constitucional, reiterada y uniforme, el requisito de precisión no implica exhaustividad. En criterio de la Sala Plena, es constitucionalmente admisible que, en materias tales como la integración de un determinado sec</w:t>
      </w:r>
      <w:r w:rsidRPr="003E425B">
        <w:rPr>
          <w:rFonts w:ascii="Times New Roman" w:hAnsi="Times New Roman" w:cs="Times New Roman"/>
          <w:sz w:val="28"/>
          <w:szCs w:val="28"/>
        </w:rPr>
        <w:t>tor, el Congreso de la República confiera un margen de acción al Presidente de la República para concretar las entidades que estarán adscritas y vinculadas, conforme a los estudios y diagnósticos sobre gestión administrativa que realice.</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u w:val="single"/>
        </w:rPr>
        <w:t>Tercero</w:t>
      </w:r>
      <w:r w:rsidRPr="003E425B">
        <w:rPr>
          <w:rFonts w:ascii="Times New Roman" w:hAnsi="Times New Roman" w:cs="Times New Roman"/>
          <w:sz w:val="28"/>
          <w:szCs w:val="28"/>
        </w:rPr>
        <w:t>. El artíc</w:t>
      </w:r>
      <w:r w:rsidRPr="003E425B">
        <w:rPr>
          <w:rFonts w:ascii="Times New Roman" w:hAnsi="Times New Roman" w:cs="Times New Roman"/>
          <w:sz w:val="28"/>
          <w:szCs w:val="28"/>
        </w:rPr>
        <w:t>ulo 12 de la Ley 2281 de 2023 no confiere facultades extraordinarias al Presidente de la República para llevar a cabo, sin límite alguno, una modificación de la administración pública nacional mediante la creación, fusión, escisión y liquidación de entidad</w:t>
      </w:r>
      <w:r w:rsidRPr="003E425B">
        <w:rPr>
          <w:rFonts w:ascii="Times New Roman" w:hAnsi="Times New Roman" w:cs="Times New Roman"/>
          <w:sz w:val="28"/>
          <w:szCs w:val="28"/>
        </w:rPr>
        <w:t>es, direcciones y unidades administrativas. La interpretación literal, sistemática e histórica del artículo 12 demandado no permite inferir tal alcance. Por el contrario,</w:t>
      </w:r>
      <w:r w:rsidRPr="003E425B">
        <w:rPr>
          <w:rFonts w:ascii="Times New Roman" w:hAnsi="Times New Roman" w:cs="Times New Roman"/>
          <w:sz w:val="28"/>
          <w:szCs w:val="28"/>
        </w:rPr>
        <w:t xml:space="preserve"> consideró la Corte,</w:t>
      </w:r>
      <w:r w:rsidRPr="003E425B">
        <w:rPr>
          <w:rFonts w:ascii="Times New Roman" w:hAnsi="Times New Roman" w:cs="Times New Roman"/>
          <w:sz w:val="28"/>
          <w:szCs w:val="28"/>
        </w:rPr>
        <w:t xml:space="preserve"> confirma</w:t>
      </w:r>
      <w:r w:rsidRPr="003E425B">
        <w:rPr>
          <w:rFonts w:ascii="Times New Roman" w:hAnsi="Times New Roman" w:cs="Times New Roman"/>
          <w:sz w:val="28"/>
          <w:szCs w:val="28"/>
        </w:rPr>
        <w:t>ba</w:t>
      </w:r>
      <w:r w:rsidRPr="003E425B">
        <w:rPr>
          <w:rFonts w:ascii="Times New Roman" w:hAnsi="Times New Roman" w:cs="Times New Roman"/>
          <w:sz w:val="28"/>
          <w:szCs w:val="28"/>
        </w:rPr>
        <w:t xml:space="preserve"> que el Congreso de la República quiso circunscribir el</w:t>
      </w:r>
      <w:r w:rsidRPr="003E425B">
        <w:rPr>
          <w:rFonts w:ascii="Times New Roman" w:hAnsi="Times New Roman" w:cs="Times New Roman"/>
          <w:sz w:val="28"/>
          <w:szCs w:val="28"/>
        </w:rPr>
        <w:t xml:space="preserve"> objeto de las facultades extraordinarias a la integración del sector administrativo de Igualdad y Equidad y, al mismo tiempo, excluir la posibilidad de que, mediante decretos con fuerza ley, el Presidente de la República llevara a cabo una modificación de</w:t>
      </w:r>
      <w:r w:rsidRPr="003E425B">
        <w:rPr>
          <w:rFonts w:ascii="Times New Roman" w:hAnsi="Times New Roman" w:cs="Times New Roman"/>
          <w:sz w:val="28"/>
          <w:szCs w:val="28"/>
        </w:rPr>
        <w:t xml:space="preserve"> la administración pública nacional de mayor alcance.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b/>
          <w:bCs/>
          <w:sz w:val="28"/>
          <w:szCs w:val="28"/>
        </w:rPr>
      </w:pPr>
      <w:r w:rsidRPr="003E425B">
        <w:rPr>
          <w:rFonts w:ascii="Times New Roman" w:hAnsi="Times New Roman" w:cs="Times New Roman"/>
          <w:b/>
          <w:bCs/>
          <w:sz w:val="28"/>
          <w:szCs w:val="28"/>
        </w:rPr>
        <w:t>Órdenes</w:t>
      </w:r>
      <w:r w:rsidRPr="003E425B">
        <w:rPr>
          <w:rFonts w:ascii="Times New Roman" w:hAnsi="Times New Roman" w:cs="Times New Roman"/>
          <w:b/>
          <w:bCs/>
          <w:sz w:val="28"/>
          <w:szCs w:val="28"/>
        </w:rPr>
        <w:t xml:space="preserve">. </w:t>
      </w:r>
      <w:r w:rsidRPr="003E425B">
        <w:rPr>
          <w:rFonts w:ascii="Times New Roman" w:hAnsi="Times New Roman" w:cs="Times New Roman"/>
          <w:sz w:val="28"/>
          <w:szCs w:val="28"/>
        </w:rPr>
        <w:t>La Corte encontró que el incumplimiento de la obligación de analizar el impacto fiscal de la iniciativa constituía un vicio de procedimiento insubsanable. De acuerdo con el artículo 151 de la</w:t>
      </w:r>
      <w:r w:rsidRPr="003E425B">
        <w:rPr>
          <w:rFonts w:ascii="Times New Roman" w:hAnsi="Times New Roman" w:cs="Times New Roman"/>
          <w:sz w:val="28"/>
          <w:szCs w:val="28"/>
        </w:rPr>
        <w:t xml:space="preserve"> Constitución Política, el análisis de impacto fiscal es un requisito orgánico para la aprobación de las leyes ordinarias que ordenan gasto. Por lo tanto, si el Congreso de la República aprueba un proyecto de ley que ordena gasto sin considerar su impacto </w:t>
      </w:r>
      <w:r w:rsidRPr="003E425B">
        <w:rPr>
          <w:rFonts w:ascii="Times New Roman" w:hAnsi="Times New Roman" w:cs="Times New Roman"/>
          <w:sz w:val="28"/>
          <w:szCs w:val="28"/>
        </w:rPr>
        <w:t xml:space="preserve">fiscal conforme a tales referentes básicos, el proyecto de ley contraría la Constitución. Por esta razón, la Sala Plena declaró la inexequibilidad de la Ley 2281 de 2023.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Con todo, la Sala Plena decidió diferir los efectos de la declaratoria de inexequib</w:t>
      </w:r>
      <w:r w:rsidRPr="003E425B">
        <w:rPr>
          <w:rFonts w:ascii="Times New Roman" w:hAnsi="Times New Roman" w:cs="Times New Roman"/>
          <w:sz w:val="28"/>
          <w:szCs w:val="28"/>
        </w:rPr>
        <w:t>ilidad. La Sala Plena reiteró y reafirmó que el</w:t>
      </w:r>
      <w:r w:rsidRPr="003E425B">
        <w:rPr>
          <w:rFonts w:ascii="Times New Roman" w:hAnsi="Times New Roman" w:cs="Times New Roman"/>
          <w:iCs/>
          <w:sz w:val="28"/>
          <w:szCs w:val="28"/>
        </w:rPr>
        <w:t xml:space="preserve"> artículo 45 de la Ley 270 de 1996 confiere a la Corte Constitucional la competencia para definir los efectos en el tiempo de las sentencias de constitucionalidad. </w:t>
      </w:r>
      <w:r w:rsidRPr="003E425B">
        <w:rPr>
          <w:rFonts w:ascii="Times New Roman" w:hAnsi="Times New Roman" w:cs="Times New Roman"/>
          <w:sz w:val="28"/>
          <w:szCs w:val="28"/>
        </w:rPr>
        <w:t>Con fundamento en esta disposición, la jurisp</w:t>
      </w:r>
      <w:r w:rsidRPr="003E425B">
        <w:rPr>
          <w:rFonts w:ascii="Times New Roman" w:hAnsi="Times New Roman" w:cs="Times New Roman"/>
          <w:sz w:val="28"/>
          <w:szCs w:val="28"/>
        </w:rPr>
        <w:t xml:space="preserve">rudencia constitucional ha señalado que la constatación de un vicio de procedimiento no obliga a la Corte a declarar, indefectiblemente, la inexequibilidad con efectos </w:t>
      </w:r>
      <w:r w:rsidRPr="003E425B">
        <w:rPr>
          <w:rFonts w:ascii="Times New Roman" w:hAnsi="Times New Roman" w:cs="Times New Roman"/>
          <w:i/>
          <w:iCs/>
          <w:sz w:val="28"/>
          <w:szCs w:val="28"/>
        </w:rPr>
        <w:t>inmediatos</w:t>
      </w:r>
      <w:r w:rsidRPr="003E425B">
        <w:rPr>
          <w:rFonts w:ascii="Times New Roman" w:hAnsi="Times New Roman" w:cs="Times New Roman"/>
          <w:sz w:val="28"/>
          <w:szCs w:val="28"/>
        </w:rPr>
        <w:t>. En aquellos casos en los que la expulsión de la ley del ordenamiento jurídic</w:t>
      </w:r>
      <w:r w:rsidRPr="003E425B">
        <w:rPr>
          <w:rFonts w:ascii="Times New Roman" w:hAnsi="Times New Roman" w:cs="Times New Roman"/>
          <w:sz w:val="28"/>
          <w:szCs w:val="28"/>
        </w:rPr>
        <w:t>o puede afectar otros principios transversales de la Constitución o derechos fundamentales, es procedente que la Corte difiera los efectos en el tiempo de la inexequibilidad.</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En este caso, la Corte encontró que declarar la inexequibilidad con efectos inme</w:t>
      </w:r>
      <w:r w:rsidRPr="003E425B">
        <w:rPr>
          <w:rFonts w:ascii="Times New Roman" w:hAnsi="Times New Roman" w:cs="Times New Roman"/>
          <w:sz w:val="28"/>
          <w:szCs w:val="28"/>
        </w:rPr>
        <w:t>diatos de la Ley 2281 de 2023 implicaba la eliminación del sector administrativo de Igualdad y Equidad y, naturalmente, del ministerio que lo encabeza. En criterio de la Sala Plena, esto podría causar una desarticulación institucional que afectaría la impl</w:t>
      </w:r>
      <w:r w:rsidRPr="003E425B">
        <w:rPr>
          <w:rFonts w:ascii="Times New Roman" w:hAnsi="Times New Roman" w:cs="Times New Roman"/>
          <w:sz w:val="28"/>
          <w:szCs w:val="28"/>
        </w:rPr>
        <w:t>ementación de la política pública que ha sido diseñada por el legislador y el ejecutivo para garantizar los derechos de sujetos de especial protección constitucional, tales como las madres cabeza de familia y las personas en situación de discapacidad. Lo a</w:t>
      </w:r>
      <w:r w:rsidRPr="003E425B">
        <w:rPr>
          <w:rFonts w:ascii="Times New Roman" w:hAnsi="Times New Roman" w:cs="Times New Roman"/>
          <w:sz w:val="28"/>
          <w:szCs w:val="28"/>
        </w:rPr>
        <w:t xml:space="preserve">nterior, en criterio de la Corte, podría, a su vez, comprometer la vigencia del principio de igualdad y, en concreto, el mandato previsto en el artículo 13.3 de la Carta Política. </w:t>
      </w:r>
    </w:p>
    <w:p w:rsidR="00FC5E7C" w:rsidRPr="003E425B" w:rsidRDefault="003E425B" w:rsidP="00FC5E7C">
      <w:pPr>
        <w:rPr>
          <w:rFonts w:ascii="Times New Roman" w:hAnsi="Times New Roman" w:cs="Times New Roman"/>
          <w:sz w:val="28"/>
          <w:szCs w:val="28"/>
        </w:rPr>
      </w:pPr>
    </w:p>
    <w:p w:rsidR="00FC5E7C" w:rsidRPr="003E425B" w:rsidRDefault="003E425B" w:rsidP="00FC5E7C">
      <w:pPr>
        <w:rPr>
          <w:rFonts w:ascii="Times New Roman" w:hAnsi="Times New Roman" w:cs="Times New Roman"/>
          <w:sz w:val="28"/>
          <w:szCs w:val="28"/>
        </w:rPr>
      </w:pPr>
      <w:r w:rsidRPr="003E425B">
        <w:rPr>
          <w:rFonts w:ascii="Times New Roman" w:hAnsi="Times New Roman" w:cs="Times New Roman"/>
          <w:sz w:val="28"/>
          <w:szCs w:val="28"/>
        </w:rPr>
        <w:t>En tales términos, con el objeto de conciliar los intereses y principios c</w:t>
      </w:r>
      <w:r w:rsidRPr="003E425B">
        <w:rPr>
          <w:rFonts w:ascii="Times New Roman" w:hAnsi="Times New Roman" w:cs="Times New Roman"/>
          <w:sz w:val="28"/>
          <w:szCs w:val="28"/>
        </w:rPr>
        <w:t>onstitucionales en tensión y, en particular, salvaguardar el principio de igualdad y los derechos de los grupos vulnerables, la Sala Plena resolvió diferir los efectos de la decisión de inexequibilidad de la Ley 2281 de 2023 por el término de dos (2) legis</w:t>
      </w:r>
      <w:r w:rsidRPr="003E425B">
        <w:rPr>
          <w:rFonts w:ascii="Times New Roman" w:hAnsi="Times New Roman" w:cs="Times New Roman"/>
          <w:sz w:val="28"/>
          <w:szCs w:val="28"/>
        </w:rPr>
        <w:t xml:space="preserve">laturas. En criterio de la Sala, este término prudencial reduciría los riesgos advertidos, debido a que permitiría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que el Legislador, por iniciativa legislativa del Gobierno Nacional, si así lo considera, apruebe la creación del Ministerio de Igualdad </w:t>
      </w:r>
      <w:r w:rsidRPr="003E425B">
        <w:rPr>
          <w:rFonts w:ascii="Times New Roman" w:hAnsi="Times New Roman" w:cs="Times New Roman"/>
          <w:sz w:val="28"/>
          <w:szCs w:val="28"/>
        </w:rPr>
        <w:t xml:space="preserve">y Equidad en cumplimiento de las exigencias y requisitos de aprobación de las leyes previstos en la Constitución y la Ley 819 de 2003 o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en su defecto, </w:t>
      </w:r>
      <w:r w:rsidRPr="003E425B">
        <w:rPr>
          <w:rFonts w:ascii="Times New Roman" w:hAnsi="Times New Roman" w:cs="Times New Roman"/>
          <w:sz w:val="28"/>
          <w:szCs w:val="28"/>
        </w:rPr>
        <w:t xml:space="preserve">que </w:t>
      </w:r>
      <w:r w:rsidRPr="003E425B">
        <w:rPr>
          <w:rFonts w:ascii="Times New Roman" w:hAnsi="Times New Roman" w:cs="Times New Roman"/>
          <w:sz w:val="28"/>
          <w:szCs w:val="28"/>
        </w:rPr>
        <w:t>el Gobierno Nacional cuente con un tiempo suficiente para reasignar las funciones que fueron oto</w:t>
      </w:r>
      <w:r w:rsidRPr="003E425B">
        <w:rPr>
          <w:rFonts w:ascii="Times New Roman" w:hAnsi="Times New Roman" w:cs="Times New Roman"/>
          <w:sz w:val="28"/>
          <w:szCs w:val="28"/>
        </w:rPr>
        <w:t>rgadas al Ministerio de Igualdad y Equidad y lleve a cabo las modificaciones en la administración pública nacional que correspondan para evitar afectaciones a los derechos de los sujetos de especial protección constitucional que son beneficiarios de la pol</w:t>
      </w:r>
      <w:r w:rsidRPr="003E425B">
        <w:rPr>
          <w:rFonts w:ascii="Times New Roman" w:hAnsi="Times New Roman" w:cs="Times New Roman"/>
          <w:sz w:val="28"/>
          <w:szCs w:val="28"/>
        </w:rPr>
        <w:t>ítica pública que actualmente dirige dicho ministerio. En todo caso, la Corte señaló que, una vez culmin</w:t>
      </w:r>
      <w:r w:rsidRPr="003E425B">
        <w:rPr>
          <w:rFonts w:ascii="Times New Roman" w:hAnsi="Times New Roman" w:cs="Times New Roman"/>
          <w:sz w:val="28"/>
          <w:szCs w:val="28"/>
        </w:rPr>
        <w:t>ara</w:t>
      </w:r>
      <w:r w:rsidRPr="003E425B">
        <w:rPr>
          <w:rFonts w:ascii="Times New Roman" w:hAnsi="Times New Roman" w:cs="Times New Roman"/>
          <w:sz w:val="28"/>
          <w:szCs w:val="28"/>
        </w:rPr>
        <w:t xml:space="preserve"> la legislatura 2025-2026, la Ley 2281 de 2023 dejará de producir efectos definitivamente y no formará parte del ordenamiento jurídico.</w:t>
      </w:r>
    </w:p>
    <w:p w:rsidR="004458AB" w:rsidRPr="003E425B" w:rsidRDefault="003E425B" w:rsidP="00010108">
      <w:pPr>
        <w:pStyle w:val="Ttulo1"/>
        <w:numPr>
          <w:ilvl w:val="0"/>
          <w:numId w:val="8"/>
        </w:numPr>
        <w:spacing w:before="0"/>
        <w:rPr>
          <w:rStyle w:val="Ttulo1Car"/>
          <w:rFonts w:cs="Times New Roman"/>
          <w:b/>
        </w:rPr>
      </w:pPr>
      <w:r w:rsidRPr="003E425B">
        <w:rPr>
          <w:rStyle w:val="Ttulo1Car"/>
          <w:rFonts w:cs="Times New Roman"/>
          <w:b/>
        </w:rPr>
        <w:t>ANTECEDENTES</w:t>
      </w:r>
    </w:p>
    <w:p w:rsidR="004458AB" w:rsidRPr="003E425B" w:rsidRDefault="003E425B" w:rsidP="00010108">
      <w:pPr>
        <w:pStyle w:val="Cuerpo"/>
        <w:tabs>
          <w:tab w:val="left" w:pos="567"/>
        </w:tabs>
        <w:ind w:right="-93"/>
        <w:contextualSpacing/>
        <w:jc w:val="both"/>
        <w:rPr>
          <w:rFonts w:cs="Times New Roman"/>
        </w:rPr>
      </w:pPr>
    </w:p>
    <w:p w:rsidR="004458AB" w:rsidRPr="003E425B" w:rsidRDefault="003E425B" w:rsidP="00010108">
      <w:pPr>
        <w:pStyle w:val="Ttulo2"/>
        <w:numPr>
          <w:ilvl w:val="0"/>
          <w:numId w:val="9"/>
        </w:numPr>
        <w:ind w:left="851" w:hanging="284"/>
        <w:rPr>
          <w:rFonts w:ascii="Times New Roman" w:hAnsi="Times New Roman" w:cs="Times New Roman"/>
          <w:sz w:val="28"/>
        </w:rPr>
      </w:pPr>
      <w:r w:rsidRPr="003E425B">
        <w:rPr>
          <w:rFonts w:ascii="Times New Roman" w:hAnsi="Times New Roman" w:cs="Times New Roman"/>
          <w:sz w:val="28"/>
        </w:rPr>
        <w:t>Trámite procesal</w:t>
      </w:r>
    </w:p>
    <w:p w:rsidR="004458AB" w:rsidRPr="003E425B" w:rsidRDefault="003E425B" w:rsidP="00010108">
      <w:pPr>
        <w:tabs>
          <w:tab w:val="left" w:pos="567"/>
        </w:tabs>
        <w:rPr>
          <w:rFonts w:ascii="Times New Roman" w:hAnsi="Times New Roman" w:cs="Times New Roman"/>
          <w:bCs/>
          <w:sz w:val="28"/>
          <w:szCs w:val="28"/>
        </w:rPr>
      </w:pPr>
    </w:p>
    <w:p w:rsidR="00216116" w:rsidRPr="003E425B" w:rsidRDefault="003E425B" w:rsidP="00010108">
      <w:pPr>
        <w:numPr>
          <w:ilvl w:val="0"/>
          <w:numId w:val="10"/>
        </w:numPr>
        <w:tabs>
          <w:tab w:val="left" w:pos="567"/>
        </w:tabs>
        <w:ind w:left="0" w:firstLine="0"/>
        <w:rPr>
          <w:rFonts w:ascii="Times New Roman" w:hAnsi="Times New Roman" w:cs="Times New Roman"/>
          <w:bCs/>
          <w:sz w:val="28"/>
          <w:szCs w:val="28"/>
        </w:rPr>
      </w:pPr>
      <w:r w:rsidRPr="003E425B">
        <w:rPr>
          <w:rFonts w:ascii="Times New Roman" w:hAnsi="Times New Roman" w:cs="Times New Roman"/>
          <w:sz w:val="28"/>
        </w:rPr>
        <w:t xml:space="preserve">El </w:t>
      </w:r>
      <w:r w:rsidRPr="003E425B">
        <w:rPr>
          <w:rFonts w:ascii="Times New Roman" w:hAnsi="Times New Roman" w:cs="Times New Roman"/>
          <w:sz w:val="28"/>
        </w:rPr>
        <w:t>25 de enero</w:t>
      </w:r>
      <w:r w:rsidRPr="003E425B">
        <w:rPr>
          <w:rFonts w:ascii="Times New Roman" w:hAnsi="Times New Roman" w:cs="Times New Roman"/>
          <w:sz w:val="28"/>
        </w:rPr>
        <w:t xml:space="preserve"> de 2023</w:t>
      </w:r>
      <w:r w:rsidRPr="003E425B">
        <w:rPr>
          <w:rFonts w:ascii="Times New Roman" w:hAnsi="Times New Roman" w:cs="Times New Roman"/>
          <w:sz w:val="28"/>
        </w:rPr>
        <w:t xml:space="preserve">, </w:t>
      </w:r>
      <w:r w:rsidRPr="003E425B">
        <w:rPr>
          <w:rFonts w:ascii="Times New Roman" w:hAnsi="Times New Roman" w:cs="Times New Roman"/>
          <w:sz w:val="28"/>
          <w:szCs w:val="28"/>
        </w:rPr>
        <w:t xml:space="preserve">los ciudadanos </w:t>
      </w:r>
      <w:r w:rsidRPr="003E425B">
        <w:rPr>
          <w:rFonts w:ascii="Times New Roman" w:hAnsi="Times New Roman" w:cs="Times New Roman"/>
          <w:sz w:val="28"/>
          <w:szCs w:val="28"/>
        </w:rPr>
        <w:t>Paloma Valencia Laserna, Eduar Alexis Triana Rincón, Andrés Felipe Guerra Hoyos, María Fernanda Cabal</w:t>
      </w:r>
      <w:r w:rsidRPr="003E425B">
        <w:rPr>
          <w:rFonts w:ascii="Times New Roman" w:hAnsi="Times New Roman" w:cs="Times New Roman"/>
          <w:sz w:val="28"/>
          <w:szCs w:val="28"/>
        </w:rPr>
        <w:t xml:space="preserve"> Molina</w:t>
      </w:r>
      <w:r w:rsidRPr="003E425B">
        <w:rPr>
          <w:rFonts w:ascii="Times New Roman" w:hAnsi="Times New Roman" w:cs="Times New Roman"/>
          <w:sz w:val="28"/>
          <w:szCs w:val="28"/>
        </w:rPr>
        <w:t xml:space="preserve">, José Jaime Uscátegui Pastrana, Paola Andrea Holguín </w:t>
      </w:r>
      <w:r w:rsidRPr="003E425B">
        <w:rPr>
          <w:rFonts w:ascii="Times New Roman" w:hAnsi="Times New Roman" w:cs="Times New Roman"/>
          <w:sz w:val="28"/>
          <w:szCs w:val="28"/>
        </w:rPr>
        <w:t xml:space="preserve">Moreno, Oscar Leonardo Villamizar </w:t>
      </w:r>
      <w:r w:rsidRPr="003E425B">
        <w:rPr>
          <w:rFonts w:ascii="Times New Roman" w:hAnsi="Times New Roman" w:cs="Times New Roman"/>
          <w:sz w:val="28"/>
          <w:szCs w:val="28"/>
        </w:rPr>
        <w:t>Meneses, Ciro Alejandro Ramírez Cortés, Juan Fernando Espinal Ramírez</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Yenny Rozo Zambrano</w:t>
      </w:r>
      <w:r w:rsidRPr="003E425B">
        <w:rPr>
          <w:rFonts w:ascii="Times New Roman" w:hAnsi="Times New Roman" w:cs="Times New Roman"/>
          <w:sz w:val="28"/>
          <w:szCs w:val="28"/>
        </w:rPr>
        <w:t xml:space="preserve"> y Miguel Uribe Turbay</w:t>
      </w:r>
      <w:r w:rsidRPr="003E425B">
        <w:rPr>
          <w:rFonts w:ascii="Times New Roman" w:hAnsi="Times New Roman" w:cs="Times New Roman"/>
          <w:sz w:val="28"/>
          <w:szCs w:val="28"/>
        </w:rPr>
        <w:t xml:space="preserve"> (“</w:t>
      </w:r>
      <w:r w:rsidRPr="003E425B">
        <w:rPr>
          <w:rFonts w:ascii="Times New Roman" w:hAnsi="Times New Roman" w:cs="Times New Roman"/>
          <w:sz w:val="28"/>
          <w:szCs w:val="28"/>
          <w:u w:val="single"/>
        </w:rPr>
        <w:t>demandantes</w:t>
      </w:r>
      <w:r w:rsidRPr="003E425B">
        <w:rPr>
          <w:rFonts w:ascii="Times New Roman" w:hAnsi="Times New Roman" w:cs="Times New Roman"/>
          <w:sz w:val="28"/>
          <w:szCs w:val="28"/>
        </w:rPr>
        <w:t>”)</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presentaron</w:t>
      </w:r>
      <w:r w:rsidRPr="003E425B">
        <w:rPr>
          <w:rFonts w:ascii="Times New Roman" w:hAnsi="Times New Roman" w:cs="Times New Roman"/>
          <w:sz w:val="28"/>
          <w:szCs w:val="28"/>
        </w:rPr>
        <w:t xml:space="preserve"> demanda de acción pública de inconstitucionalidad </w:t>
      </w:r>
      <w:r w:rsidRPr="003E425B">
        <w:rPr>
          <w:rFonts w:ascii="Times New Roman" w:hAnsi="Times New Roman" w:cs="Times New Roman"/>
          <w:sz w:val="28"/>
          <w:lang w:val="es-ES"/>
        </w:rPr>
        <w:t xml:space="preserve">en contra de </w:t>
      </w:r>
      <w:r w:rsidRPr="003E425B">
        <w:rPr>
          <w:rFonts w:ascii="Times New Roman" w:hAnsi="Times New Roman" w:cs="Times New Roman"/>
          <w:sz w:val="28"/>
          <w:lang w:val="es-ES"/>
        </w:rPr>
        <w:t>la totalidad y el artículo 12 de la Ley</w:t>
      </w:r>
      <w:r w:rsidRPr="003E425B">
        <w:rPr>
          <w:rFonts w:ascii="Times New Roman" w:hAnsi="Times New Roman" w:cs="Times New Roman"/>
          <w:sz w:val="28"/>
          <w:lang w:val="es-ES"/>
        </w:rPr>
        <w:t xml:space="preserve"> </w:t>
      </w:r>
      <w:r w:rsidRPr="003E425B">
        <w:rPr>
          <w:rFonts w:ascii="Times New Roman" w:hAnsi="Times New Roman" w:cs="Times New Roman"/>
          <w:color w:val="000000" w:themeColor="text1"/>
          <w:sz w:val="28"/>
          <w:szCs w:val="28"/>
        </w:rPr>
        <w:t>2281 de 202</w:t>
      </w:r>
      <w:r w:rsidRPr="003E425B">
        <w:rPr>
          <w:rFonts w:ascii="Times New Roman" w:hAnsi="Times New Roman" w:cs="Times New Roman"/>
          <w:color w:val="000000" w:themeColor="text1"/>
          <w:sz w:val="28"/>
          <w:szCs w:val="28"/>
        </w:rPr>
        <w:t>3, “por medio de la cual se crea el ministerio de igualdad y equidad y se dictan otras disposiciones”.</w:t>
      </w:r>
      <w:r w:rsidRPr="003E425B">
        <w:rPr>
          <w:rFonts w:ascii="Times New Roman" w:hAnsi="Times New Roman" w:cs="Times New Roman"/>
          <w:color w:val="000000" w:themeColor="text1"/>
          <w:sz w:val="28"/>
          <w:szCs w:val="28"/>
        </w:rPr>
        <w:t xml:space="preserve"> </w:t>
      </w:r>
    </w:p>
    <w:p w:rsidR="00216116" w:rsidRPr="003E425B" w:rsidRDefault="003E425B" w:rsidP="00010108">
      <w:pPr>
        <w:tabs>
          <w:tab w:val="left" w:pos="567"/>
        </w:tabs>
        <w:rPr>
          <w:rFonts w:ascii="Times New Roman" w:hAnsi="Times New Roman" w:cs="Times New Roman"/>
          <w:bCs/>
          <w:sz w:val="28"/>
          <w:szCs w:val="28"/>
        </w:rPr>
      </w:pPr>
    </w:p>
    <w:p w:rsidR="00153B76" w:rsidRPr="003E425B" w:rsidRDefault="003E425B" w:rsidP="00010108">
      <w:pPr>
        <w:numPr>
          <w:ilvl w:val="0"/>
          <w:numId w:val="10"/>
        </w:numPr>
        <w:tabs>
          <w:tab w:val="left" w:pos="567"/>
        </w:tabs>
        <w:ind w:left="0" w:firstLine="0"/>
        <w:rPr>
          <w:rFonts w:ascii="Times New Roman" w:hAnsi="Times New Roman" w:cs="Times New Roman"/>
          <w:bCs/>
          <w:sz w:val="28"/>
          <w:szCs w:val="28"/>
        </w:rPr>
      </w:pPr>
      <w:r w:rsidRPr="003E425B">
        <w:rPr>
          <w:rFonts w:ascii="Times New Roman" w:hAnsi="Times New Roman" w:cs="Times New Roman"/>
          <w:color w:val="000000" w:themeColor="text1"/>
          <w:sz w:val="28"/>
          <w:szCs w:val="28"/>
        </w:rPr>
        <w:t>Los demandantes</w:t>
      </w:r>
      <w:r w:rsidRPr="003E425B">
        <w:rPr>
          <w:rFonts w:ascii="Times New Roman" w:hAnsi="Times New Roman" w:cs="Times New Roman"/>
          <w:color w:val="000000" w:themeColor="text1"/>
          <w:sz w:val="28"/>
          <w:szCs w:val="28"/>
        </w:rPr>
        <w:t xml:space="preserve"> sostuvieron que </w:t>
      </w:r>
      <w:r w:rsidRPr="003E425B">
        <w:rPr>
          <w:rFonts w:ascii="Times New Roman" w:hAnsi="Times New Roman" w:cs="Times New Roman"/>
          <w:color w:val="000000" w:themeColor="text1"/>
          <w:sz w:val="28"/>
          <w:szCs w:val="28"/>
        </w:rPr>
        <w:t xml:space="preserve">la Ley 2281 de 2023 es inexequible </w:t>
      </w:r>
      <w:r w:rsidRPr="003E425B">
        <w:rPr>
          <w:rFonts w:ascii="Times New Roman" w:hAnsi="Times New Roman" w:cs="Times New Roman"/>
          <w:color w:val="000000" w:themeColor="text1"/>
          <w:sz w:val="28"/>
          <w:szCs w:val="28"/>
        </w:rPr>
        <w:t xml:space="preserve">en su integridad </w:t>
      </w:r>
      <w:r w:rsidRPr="003E425B">
        <w:rPr>
          <w:rFonts w:ascii="Times New Roman" w:hAnsi="Times New Roman" w:cs="Times New Roman"/>
          <w:color w:val="000000" w:themeColor="text1"/>
          <w:sz w:val="28"/>
          <w:szCs w:val="28"/>
        </w:rPr>
        <w:t>por vicios de procedimiento en su formación</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 xml:space="preserve">que </w:t>
      </w:r>
      <w:r w:rsidRPr="003E425B">
        <w:rPr>
          <w:rFonts w:ascii="Times New Roman" w:hAnsi="Times New Roman" w:cs="Times New Roman"/>
          <w:color w:val="000000" w:themeColor="text1"/>
          <w:sz w:val="28"/>
          <w:szCs w:val="28"/>
        </w:rPr>
        <w:t>vulneraban</w:t>
      </w:r>
      <w:r w:rsidRPr="003E425B">
        <w:rPr>
          <w:rFonts w:ascii="Times New Roman" w:hAnsi="Times New Roman" w:cs="Times New Roman"/>
          <w:color w:val="000000" w:themeColor="text1"/>
          <w:sz w:val="28"/>
          <w:szCs w:val="28"/>
        </w:rPr>
        <w:t xml:space="preserve"> los artículos </w:t>
      </w:r>
      <w:r w:rsidRPr="003E425B">
        <w:rPr>
          <w:rFonts w:ascii="Times New Roman" w:hAnsi="Times New Roman" w:cs="Times New Roman"/>
          <w:color w:val="000000" w:themeColor="text1"/>
          <w:sz w:val="28"/>
          <w:szCs w:val="28"/>
        </w:rPr>
        <w:t>1º, 157 y 160 de la Constitución</w:t>
      </w:r>
      <w:r w:rsidRPr="003E425B">
        <w:rPr>
          <w:rFonts w:ascii="Times New Roman" w:hAnsi="Times New Roman" w:cs="Times New Roman"/>
          <w:color w:val="000000" w:themeColor="text1"/>
          <w:sz w:val="28"/>
          <w:szCs w:val="28"/>
        </w:rPr>
        <w:t>,</w:t>
      </w:r>
      <w:r w:rsidRPr="003E425B">
        <w:rPr>
          <w:rFonts w:ascii="Times New Roman" w:hAnsi="Times New Roman" w:cs="Times New Roman"/>
          <w:color w:val="000000" w:themeColor="text1"/>
          <w:sz w:val="28"/>
          <w:szCs w:val="28"/>
        </w:rPr>
        <w:t xml:space="preserve"> así como </w:t>
      </w:r>
      <w:r w:rsidRPr="003E425B">
        <w:rPr>
          <w:rFonts w:ascii="Times New Roman" w:hAnsi="Times New Roman" w:cs="Times New Roman"/>
          <w:color w:val="000000" w:themeColor="text1"/>
          <w:sz w:val="28"/>
          <w:szCs w:val="28"/>
        </w:rPr>
        <w:t>los requisitos orgánicos previstos en el artículo 7º de la Ley 819 de 2006</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 xml:space="preserve">y </w:t>
      </w:r>
      <w:r w:rsidRPr="003E425B">
        <w:rPr>
          <w:rFonts w:ascii="Times New Roman" w:hAnsi="Times New Roman" w:cs="Times New Roman"/>
          <w:color w:val="000000" w:themeColor="text1"/>
          <w:sz w:val="28"/>
          <w:szCs w:val="28"/>
        </w:rPr>
        <w:t xml:space="preserve">119 de la </w:t>
      </w:r>
      <w:r w:rsidRPr="003E425B">
        <w:rPr>
          <w:rFonts w:ascii="Times New Roman" w:hAnsi="Times New Roman" w:cs="Times New Roman"/>
          <w:color w:val="000000" w:themeColor="text1"/>
          <w:sz w:val="28"/>
          <w:szCs w:val="28"/>
        </w:rPr>
        <w:t>L</w:t>
      </w:r>
      <w:r w:rsidRPr="003E425B">
        <w:rPr>
          <w:rFonts w:ascii="Times New Roman" w:hAnsi="Times New Roman" w:cs="Times New Roman"/>
          <w:color w:val="000000" w:themeColor="text1"/>
          <w:sz w:val="28"/>
          <w:szCs w:val="28"/>
        </w:rPr>
        <w:t>ey 5ª de 1992</w:t>
      </w:r>
      <w:r w:rsidRPr="003E425B">
        <w:rPr>
          <w:rFonts w:ascii="Times New Roman" w:hAnsi="Times New Roman" w:cs="Times New Roman"/>
          <w:color w:val="000000" w:themeColor="text1"/>
          <w:sz w:val="28"/>
          <w:szCs w:val="28"/>
        </w:rPr>
        <w:t>. Por otra parte, argumentaron que</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el artículo 1</w:t>
      </w:r>
      <w:r w:rsidRPr="003E425B">
        <w:rPr>
          <w:rFonts w:ascii="Times New Roman" w:hAnsi="Times New Roman" w:cs="Times New Roman"/>
          <w:color w:val="000000" w:themeColor="text1"/>
          <w:sz w:val="28"/>
          <w:szCs w:val="28"/>
        </w:rPr>
        <w:t>2</w:t>
      </w:r>
      <w:r w:rsidRPr="003E425B">
        <w:rPr>
          <w:rFonts w:ascii="Times New Roman" w:hAnsi="Times New Roman" w:cs="Times New Roman"/>
          <w:color w:val="000000" w:themeColor="text1"/>
          <w:sz w:val="28"/>
          <w:szCs w:val="28"/>
        </w:rPr>
        <w:t>, mediante el cual se concedieron facultades ext</w:t>
      </w:r>
      <w:r w:rsidRPr="003E425B">
        <w:rPr>
          <w:rFonts w:ascii="Times New Roman" w:hAnsi="Times New Roman" w:cs="Times New Roman"/>
          <w:color w:val="000000" w:themeColor="text1"/>
          <w:sz w:val="28"/>
          <w:szCs w:val="28"/>
        </w:rPr>
        <w:t>raordinarias al Presidente de la República</w:t>
      </w:r>
      <w:r w:rsidRPr="003E425B">
        <w:rPr>
          <w:rFonts w:ascii="Times New Roman" w:hAnsi="Times New Roman" w:cs="Times New Roman"/>
          <w:color w:val="000000" w:themeColor="text1"/>
          <w:sz w:val="28"/>
          <w:szCs w:val="28"/>
        </w:rPr>
        <w:t xml:space="preserve"> para integra</w:t>
      </w:r>
      <w:r w:rsidRPr="003E425B">
        <w:rPr>
          <w:rFonts w:ascii="Times New Roman" w:hAnsi="Times New Roman" w:cs="Times New Roman"/>
          <w:color w:val="000000" w:themeColor="text1"/>
          <w:sz w:val="28"/>
          <w:szCs w:val="28"/>
        </w:rPr>
        <w:t>r</w:t>
      </w:r>
      <w:r w:rsidRPr="003E425B">
        <w:rPr>
          <w:rFonts w:ascii="Times New Roman" w:hAnsi="Times New Roman" w:cs="Times New Roman"/>
          <w:color w:val="000000" w:themeColor="text1"/>
          <w:sz w:val="28"/>
          <w:szCs w:val="28"/>
        </w:rPr>
        <w:t xml:space="preserve"> el Sector administrativo de Igualdad y Equidad</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desconoce</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 xml:space="preserve">el </w:t>
      </w:r>
      <w:r w:rsidRPr="003E425B">
        <w:rPr>
          <w:rFonts w:ascii="Times New Roman" w:hAnsi="Times New Roman" w:cs="Times New Roman"/>
          <w:color w:val="000000" w:themeColor="text1"/>
          <w:sz w:val="28"/>
          <w:szCs w:val="28"/>
        </w:rPr>
        <w:t xml:space="preserve">numeral 10 del </w:t>
      </w:r>
      <w:r w:rsidRPr="003E425B">
        <w:rPr>
          <w:rFonts w:ascii="Times New Roman" w:hAnsi="Times New Roman" w:cs="Times New Roman"/>
          <w:color w:val="000000" w:themeColor="text1"/>
          <w:sz w:val="28"/>
          <w:szCs w:val="28"/>
        </w:rPr>
        <w:t>artículo 150</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 xml:space="preserve">de la </w:t>
      </w:r>
      <w:r w:rsidRPr="003E425B">
        <w:rPr>
          <w:rFonts w:ascii="Times New Roman" w:hAnsi="Times New Roman" w:cs="Times New Roman"/>
          <w:color w:val="000000" w:themeColor="text1"/>
          <w:sz w:val="28"/>
          <w:szCs w:val="28"/>
        </w:rPr>
        <w:t>Constitución</w:t>
      </w:r>
      <w:r w:rsidRPr="003E425B">
        <w:rPr>
          <w:rFonts w:ascii="Times New Roman" w:hAnsi="Times New Roman" w:cs="Times New Roman"/>
          <w:color w:val="000000" w:themeColor="text1"/>
          <w:sz w:val="28"/>
          <w:szCs w:val="28"/>
        </w:rPr>
        <w:t>.</w:t>
      </w:r>
    </w:p>
    <w:p w:rsidR="00AB7758" w:rsidRPr="003E425B" w:rsidRDefault="003E425B" w:rsidP="00010108">
      <w:pPr>
        <w:tabs>
          <w:tab w:val="left" w:pos="567"/>
        </w:tabs>
        <w:rPr>
          <w:rFonts w:ascii="Times New Roman" w:hAnsi="Times New Roman" w:cs="Times New Roman"/>
          <w:sz w:val="28"/>
          <w:szCs w:val="28"/>
        </w:rPr>
      </w:pPr>
    </w:p>
    <w:p w:rsidR="000C47FC"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r w:rsidRPr="003E425B">
        <w:rPr>
          <w:rFonts w:ascii="Times New Roman" w:hAnsi="Times New Roman" w:cs="Times New Roman"/>
          <w:sz w:val="28"/>
          <w:szCs w:val="28"/>
        </w:rPr>
        <w:t xml:space="preserve">El </w:t>
      </w:r>
      <w:bookmarkStart w:id="3" w:name="_Hlk132223246"/>
      <w:r w:rsidRPr="003E425B">
        <w:rPr>
          <w:rFonts w:ascii="Times New Roman" w:hAnsi="Times New Roman" w:cs="Times New Roman"/>
          <w:bCs/>
          <w:color w:val="000000" w:themeColor="text1"/>
          <w:sz w:val="28"/>
          <w:lang w:val="es-ES"/>
        </w:rPr>
        <w:t>28 de febrero</w:t>
      </w:r>
      <w:r w:rsidRPr="003E425B">
        <w:rPr>
          <w:rFonts w:ascii="Times New Roman" w:hAnsi="Times New Roman" w:cs="Times New Roman"/>
          <w:bCs/>
          <w:color w:val="000000" w:themeColor="text1"/>
          <w:sz w:val="28"/>
          <w:lang w:val="es-ES"/>
        </w:rPr>
        <w:t xml:space="preserve"> de 2023, </w:t>
      </w:r>
      <w:r w:rsidRPr="003E425B">
        <w:rPr>
          <w:rFonts w:ascii="Times New Roman" w:hAnsi="Times New Roman" w:cs="Times New Roman"/>
          <w:bCs/>
          <w:color w:val="000000" w:themeColor="text1"/>
          <w:sz w:val="28"/>
          <w:lang w:val="es-ES"/>
        </w:rPr>
        <w:t>el magistrado</w:t>
      </w:r>
      <w:r w:rsidRPr="003E425B">
        <w:rPr>
          <w:rFonts w:ascii="Times New Roman" w:hAnsi="Times New Roman" w:cs="Times New Roman"/>
          <w:bCs/>
          <w:color w:val="000000" w:themeColor="text1"/>
          <w:sz w:val="28"/>
          <w:lang w:val="es-ES"/>
        </w:rPr>
        <w:t xml:space="preserve"> Alejandro Linares Cantillo admitió </w:t>
      </w:r>
      <w:r w:rsidRPr="003E425B">
        <w:rPr>
          <w:rFonts w:ascii="Times New Roman" w:hAnsi="Times New Roman" w:cs="Times New Roman"/>
          <w:bCs/>
          <w:color w:val="000000" w:themeColor="text1"/>
          <w:sz w:val="28"/>
          <w:lang w:val="es-ES"/>
        </w:rPr>
        <w:t xml:space="preserve">parcialmente la demanda. </w:t>
      </w:r>
      <w:r w:rsidRPr="003E425B">
        <w:rPr>
          <w:rFonts w:ascii="Times New Roman" w:hAnsi="Times New Roman" w:cs="Times New Roman"/>
          <w:bCs/>
          <w:color w:val="000000" w:themeColor="text1"/>
          <w:sz w:val="28"/>
          <w:lang w:val="es-ES"/>
        </w:rPr>
        <w:t xml:space="preserve">De </w:t>
      </w:r>
      <w:r w:rsidRPr="003E425B">
        <w:rPr>
          <w:rFonts w:ascii="Times New Roman" w:hAnsi="Times New Roman" w:cs="Times New Roman"/>
          <w:bCs/>
          <w:color w:val="000000" w:themeColor="text1"/>
          <w:sz w:val="28"/>
          <w:lang w:val="es-ES"/>
        </w:rPr>
        <w:t>un lado</w:t>
      </w:r>
      <w:bookmarkEnd w:id="3"/>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encontró </w:t>
      </w:r>
      <w:r w:rsidRPr="003E425B">
        <w:rPr>
          <w:rFonts w:ascii="Times New Roman" w:hAnsi="Times New Roman" w:cs="Times New Roman"/>
          <w:sz w:val="28"/>
          <w:szCs w:val="28"/>
        </w:rPr>
        <w:t xml:space="preserve">que </w:t>
      </w:r>
      <w:r w:rsidRPr="003E425B">
        <w:rPr>
          <w:rFonts w:ascii="Times New Roman" w:hAnsi="Times New Roman" w:cs="Times New Roman"/>
          <w:sz w:val="28"/>
          <w:szCs w:val="28"/>
        </w:rPr>
        <w:t xml:space="preserve">eran aptos </w:t>
      </w:r>
      <w:r w:rsidRPr="003E425B">
        <w:rPr>
          <w:rFonts w:ascii="Times New Roman" w:hAnsi="Times New Roman" w:cs="Times New Roman"/>
          <w:sz w:val="28"/>
          <w:szCs w:val="28"/>
        </w:rPr>
        <w:t>los pretendidos cargos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por vicios de procedimiento en la formación de la Ley, derivados de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la presunta violación de los artículos 157 </w:t>
      </w:r>
      <w:r w:rsidRPr="003E425B">
        <w:rPr>
          <w:rFonts w:ascii="Times New Roman" w:hAnsi="Times New Roman" w:cs="Times New Roman"/>
          <w:sz w:val="28"/>
          <w:szCs w:val="28"/>
        </w:rPr>
        <w:t xml:space="preserve">de la Constitución </w:t>
      </w:r>
      <w:r w:rsidRPr="003E425B">
        <w:rPr>
          <w:rFonts w:ascii="Times New Roman" w:hAnsi="Times New Roman" w:cs="Times New Roman"/>
          <w:sz w:val="28"/>
          <w:szCs w:val="28"/>
        </w:rPr>
        <w:t xml:space="preserve">y </w:t>
      </w:r>
      <w:r w:rsidRPr="003E425B">
        <w:rPr>
          <w:rFonts w:ascii="Times New Roman" w:hAnsi="Times New Roman" w:cs="Times New Roman"/>
          <w:sz w:val="28"/>
          <w:szCs w:val="28"/>
          <w:lang w:val="es-ES"/>
        </w:rPr>
        <w:t>119 de la Ley 5ª de 1992</w:t>
      </w:r>
      <w:r w:rsidRPr="003E425B">
        <w:rPr>
          <w:rFonts w:ascii="Times New Roman" w:hAnsi="Times New Roman" w:cs="Times New Roman"/>
          <w:sz w:val="28"/>
          <w:szCs w:val="28"/>
        </w:rPr>
        <w:t xml:space="preserve"> y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el s</w:t>
      </w:r>
      <w:r w:rsidRPr="003E425B">
        <w:rPr>
          <w:rFonts w:ascii="Times New Roman" w:hAnsi="Times New Roman" w:cs="Times New Roman"/>
          <w:sz w:val="28"/>
          <w:szCs w:val="28"/>
        </w:rPr>
        <w:t xml:space="preserve">upuesto desconocimiento </w:t>
      </w:r>
      <w:r w:rsidRPr="003E425B">
        <w:rPr>
          <w:rFonts w:ascii="Times New Roman" w:hAnsi="Times New Roman" w:cs="Times New Roman"/>
          <w:sz w:val="28"/>
          <w:szCs w:val="28"/>
        </w:rPr>
        <w:t>de la exigencia prevista en el artículo</w:t>
      </w:r>
      <w:r w:rsidRPr="003E425B">
        <w:rPr>
          <w:rFonts w:ascii="Times New Roman" w:hAnsi="Times New Roman" w:cs="Times New Roman"/>
          <w:sz w:val="28"/>
          <w:szCs w:val="28"/>
        </w:rPr>
        <w:t xml:space="preserve"> 7° de la Ley 819 de 2003. </w:t>
      </w:r>
      <w:r w:rsidRPr="003E425B">
        <w:rPr>
          <w:rFonts w:ascii="Times New Roman" w:hAnsi="Times New Roman" w:cs="Times New Roman"/>
          <w:sz w:val="28"/>
          <w:szCs w:val="28"/>
        </w:rPr>
        <w:t xml:space="preserve">Asimismo, consideró que el cargo formulado en contra del </w:t>
      </w:r>
      <w:r w:rsidRPr="003E425B">
        <w:rPr>
          <w:rFonts w:ascii="Times New Roman" w:hAnsi="Times New Roman" w:cs="Times New Roman"/>
          <w:sz w:val="28"/>
          <w:szCs w:val="28"/>
        </w:rPr>
        <w:t>artículo</w:t>
      </w:r>
      <w:r w:rsidRPr="003E425B">
        <w:rPr>
          <w:rFonts w:ascii="Times New Roman" w:hAnsi="Times New Roman" w:cs="Times New Roman"/>
          <w:sz w:val="28"/>
          <w:szCs w:val="28"/>
        </w:rPr>
        <w:t xml:space="preserve"> 12 de la Ley </w:t>
      </w:r>
      <w:r w:rsidRPr="003E425B">
        <w:rPr>
          <w:rFonts w:ascii="Times New Roman" w:hAnsi="Times New Roman" w:cs="Times New Roman"/>
          <w:sz w:val="28"/>
          <w:szCs w:val="28"/>
        </w:rPr>
        <w:t xml:space="preserve">2281 de 2023 </w:t>
      </w:r>
      <w:r w:rsidRPr="003E425B">
        <w:rPr>
          <w:rFonts w:ascii="Times New Roman" w:hAnsi="Times New Roman" w:cs="Times New Roman"/>
          <w:sz w:val="28"/>
          <w:szCs w:val="28"/>
        </w:rPr>
        <w:t xml:space="preserve">(facultades extraordinarias), </w:t>
      </w:r>
      <w:r w:rsidRPr="003E425B">
        <w:rPr>
          <w:rFonts w:ascii="Times New Roman" w:hAnsi="Times New Roman" w:cs="Times New Roman"/>
          <w:sz w:val="28"/>
          <w:szCs w:val="28"/>
        </w:rPr>
        <w:t xml:space="preserve">satisfacía las exigencias argumentativas </w:t>
      </w:r>
      <w:r w:rsidRPr="003E425B">
        <w:rPr>
          <w:rFonts w:ascii="Times New Roman" w:hAnsi="Times New Roman" w:cs="Times New Roman"/>
          <w:sz w:val="28"/>
          <w:szCs w:val="28"/>
        </w:rPr>
        <w:t>mínimas</w:t>
      </w:r>
      <w:r w:rsidRPr="003E425B">
        <w:rPr>
          <w:rFonts w:ascii="Times New Roman" w:hAnsi="Times New Roman" w:cs="Times New Roman"/>
          <w:sz w:val="28"/>
          <w:szCs w:val="28"/>
        </w:rPr>
        <w:t xml:space="preserve">. En contraste, consideró que los presuntos cargos por violación de los artículos 1 y </w:t>
      </w:r>
      <w:r w:rsidRPr="003E425B">
        <w:rPr>
          <w:rFonts w:ascii="Times New Roman" w:hAnsi="Times New Roman" w:cs="Times New Roman"/>
          <w:sz w:val="28"/>
          <w:szCs w:val="28"/>
        </w:rPr>
        <w:t>1</w:t>
      </w:r>
      <w:r w:rsidRPr="003E425B">
        <w:rPr>
          <w:rFonts w:ascii="Times New Roman" w:hAnsi="Times New Roman" w:cs="Times New Roman"/>
          <w:sz w:val="28"/>
          <w:szCs w:val="28"/>
        </w:rPr>
        <w:t xml:space="preserve">60 de la Constitución </w:t>
      </w:r>
      <w:r w:rsidRPr="003E425B">
        <w:rPr>
          <w:rFonts w:ascii="Times New Roman" w:hAnsi="Times New Roman" w:cs="Times New Roman"/>
          <w:sz w:val="28"/>
          <w:szCs w:val="28"/>
        </w:rPr>
        <w:t>eran ineptos</w:t>
      </w:r>
      <w:r w:rsidRPr="003E425B">
        <w:rPr>
          <w:rFonts w:ascii="Times New Roman" w:hAnsi="Times New Roman" w:cs="Times New Roman"/>
          <w:sz w:val="28"/>
          <w:szCs w:val="28"/>
        </w:rPr>
        <w:t xml:space="preserve">, por lo que los inadmitió y concedió a los demandantes la oportunidad </w:t>
      </w:r>
      <w:r w:rsidRPr="003E425B">
        <w:rPr>
          <w:rFonts w:ascii="Times New Roman" w:hAnsi="Times New Roman" w:cs="Times New Roman"/>
          <w:sz w:val="28"/>
          <w:szCs w:val="28"/>
        </w:rPr>
        <w:t xml:space="preserve">para </w:t>
      </w:r>
      <w:r w:rsidRPr="003E425B">
        <w:rPr>
          <w:rFonts w:ascii="Times New Roman" w:hAnsi="Times New Roman" w:cs="Times New Roman"/>
          <w:sz w:val="28"/>
          <w:szCs w:val="28"/>
        </w:rPr>
        <w:t>subsanarlos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Transcurrido el término de ejecutoria d</w:t>
      </w:r>
      <w:r w:rsidRPr="003E425B">
        <w:rPr>
          <w:rFonts w:ascii="Times New Roman" w:hAnsi="Times New Roman" w:cs="Times New Roman"/>
          <w:sz w:val="28"/>
          <w:szCs w:val="28"/>
        </w:rPr>
        <w:t xml:space="preserve">el auto inadmisorio, los demandantes </w:t>
      </w:r>
      <w:r w:rsidRPr="003E425B">
        <w:rPr>
          <w:rFonts w:ascii="Times New Roman" w:hAnsi="Times New Roman" w:cs="Times New Roman"/>
          <w:sz w:val="28"/>
          <w:szCs w:val="28"/>
        </w:rPr>
        <w:t>no presentaron escrito de subsanación de la demanda.</w:t>
      </w:r>
      <w:r w:rsidRPr="003E425B">
        <w:rPr>
          <w:rFonts w:ascii="Times New Roman" w:hAnsi="Times New Roman" w:cs="Times New Roman"/>
          <w:i/>
          <w:iCs/>
          <w:sz w:val="28"/>
          <w:szCs w:val="28"/>
          <w:shd w:val="clear" w:color="auto" w:fill="FFFFFF" w:themeFill="background1"/>
        </w:rPr>
        <w:t xml:space="preserve"> </w:t>
      </w:r>
      <w:r w:rsidRPr="003E425B">
        <w:rPr>
          <w:rFonts w:ascii="Times New Roman" w:hAnsi="Times New Roman" w:cs="Times New Roman"/>
          <w:sz w:val="28"/>
          <w:szCs w:val="28"/>
          <w:shd w:val="clear" w:color="auto" w:fill="FFFFFF" w:themeFill="background1"/>
        </w:rPr>
        <w:t>Por esto, mediante auto de</w:t>
      </w:r>
      <w:r w:rsidRPr="003E425B">
        <w:rPr>
          <w:rFonts w:ascii="Times New Roman" w:hAnsi="Times New Roman" w:cs="Times New Roman"/>
          <w:sz w:val="28"/>
          <w:szCs w:val="28"/>
          <w:shd w:val="clear" w:color="auto" w:fill="FFFFFF" w:themeFill="background1"/>
        </w:rPr>
        <w:t xml:space="preserve"> 23 de marzo de 2023, el magistrado Linares</w:t>
      </w:r>
      <w:r w:rsidRPr="003E425B">
        <w:rPr>
          <w:rFonts w:ascii="Times New Roman" w:hAnsi="Times New Roman" w:cs="Times New Roman"/>
          <w:sz w:val="28"/>
          <w:szCs w:val="28"/>
          <w:shd w:val="clear" w:color="auto" w:fill="FFFFFF" w:themeFill="background1"/>
        </w:rPr>
        <w:t xml:space="preserve"> Cantillo</w:t>
      </w:r>
      <w:r w:rsidRPr="003E425B">
        <w:rPr>
          <w:rFonts w:ascii="Times New Roman" w:hAnsi="Times New Roman" w:cs="Times New Roman"/>
          <w:sz w:val="28"/>
          <w:szCs w:val="28"/>
          <w:shd w:val="clear" w:color="auto" w:fill="FFFFFF" w:themeFill="background1"/>
        </w:rPr>
        <w:t xml:space="preserve"> resolvió</w:t>
      </w:r>
      <w:r w:rsidRPr="003E425B">
        <w:rPr>
          <w:rFonts w:ascii="Times New Roman" w:hAnsi="Times New Roman" w:cs="Times New Roman"/>
          <w:sz w:val="28"/>
          <w:szCs w:val="28"/>
          <w:shd w:val="clear" w:color="auto" w:fill="FFFFFF" w:themeFill="background1"/>
        </w:rPr>
        <w:t xml:space="preserve"> </w:t>
      </w:r>
      <w:r w:rsidRPr="003E425B">
        <w:rPr>
          <w:rFonts w:ascii="Times New Roman" w:hAnsi="Times New Roman" w:cs="Times New Roman"/>
          <w:sz w:val="28"/>
          <w:szCs w:val="28"/>
          <w:shd w:val="clear" w:color="auto" w:fill="FFFFFF" w:themeFill="background1"/>
        </w:rPr>
        <w:t>rechazar la demanda “</w:t>
      </w:r>
      <w:r w:rsidRPr="003E425B">
        <w:rPr>
          <w:rFonts w:ascii="Times New Roman" w:hAnsi="Times New Roman" w:cs="Times New Roman"/>
          <w:sz w:val="28"/>
          <w:szCs w:val="28"/>
          <w:shd w:val="clear" w:color="auto" w:fill="FFFFFF" w:themeFill="background1"/>
          <w:lang w:val="es-ES"/>
        </w:rPr>
        <w:t>en relación con los cargos por violación de los artículos</w:t>
      </w:r>
      <w:r w:rsidRPr="003E425B">
        <w:rPr>
          <w:rFonts w:ascii="Times New Roman" w:hAnsi="Times New Roman" w:cs="Times New Roman"/>
          <w:sz w:val="28"/>
          <w:szCs w:val="28"/>
          <w:shd w:val="clear" w:color="auto" w:fill="FFFFFF" w:themeFill="background1"/>
          <w:lang w:val="es-ES"/>
        </w:rPr>
        <w:t xml:space="preserve"> 1° y 160 de la Constitución</w:t>
      </w:r>
      <w:r w:rsidRPr="003E425B">
        <w:rPr>
          <w:rFonts w:ascii="Times New Roman" w:hAnsi="Times New Roman" w:cs="Times New Roman"/>
          <w:sz w:val="28"/>
          <w:szCs w:val="28"/>
          <w:shd w:val="clear" w:color="auto" w:fill="FFFFFF" w:themeFill="background1"/>
        </w:rPr>
        <w:t>”</w:t>
      </w:r>
      <w:r w:rsidRPr="003E425B">
        <w:rPr>
          <w:rStyle w:val="Refdenotaalpie"/>
          <w:rFonts w:ascii="Times New Roman" w:hAnsi="Times New Roman" w:cs="Times New Roman"/>
          <w:sz w:val="28"/>
          <w:szCs w:val="28"/>
          <w:shd w:val="clear" w:color="auto" w:fill="FFFFFF" w:themeFill="background1"/>
        </w:rPr>
        <w:footnoteReference w:id="2"/>
      </w:r>
      <w:r w:rsidRPr="003E425B">
        <w:rPr>
          <w:rFonts w:ascii="Times New Roman" w:hAnsi="Times New Roman" w:cs="Times New Roman"/>
          <w:sz w:val="28"/>
          <w:szCs w:val="28"/>
          <w:shd w:val="clear" w:color="auto" w:fill="FFFFFF" w:themeFill="background1"/>
        </w:rPr>
        <w:t xml:space="preserve"> y </w:t>
      </w:r>
      <w:r w:rsidRPr="003E425B">
        <w:rPr>
          <w:rFonts w:ascii="Times New Roman" w:hAnsi="Times New Roman" w:cs="Times New Roman"/>
          <w:sz w:val="28"/>
          <w:szCs w:val="28"/>
          <w:shd w:val="clear" w:color="auto" w:fill="FFFFFF" w:themeFill="background1"/>
        </w:rPr>
        <w:t>continuar con el proceso de constitucionalidad</w:t>
      </w:r>
      <w:r w:rsidRPr="003E425B">
        <w:rPr>
          <w:rFonts w:ascii="Times New Roman" w:hAnsi="Times New Roman" w:cs="Times New Roman"/>
          <w:sz w:val="28"/>
          <w:szCs w:val="28"/>
          <w:shd w:val="clear" w:color="auto" w:fill="FFFFFF" w:themeFill="background1"/>
        </w:rPr>
        <w:t xml:space="preserve"> </w:t>
      </w:r>
      <w:r w:rsidRPr="003E425B">
        <w:rPr>
          <w:rFonts w:ascii="Times New Roman" w:hAnsi="Times New Roman" w:cs="Times New Roman"/>
          <w:sz w:val="28"/>
          <w:szCs w:val="28"/>
          <w:lang w:val="es-ES"/>
        </w:rPr>
        <w:t>en relación con los cargos admitidos</w:t>
      </w:r>
      <w:r w:rsidRPr="003E425B">
        <w:rPr>
          <w:rFonts w:ascii="Times New Roman" w:hAnsi="Times New Roman" w:cs="Times New Roman"/>
          <w:sz w:val="28"/>
          <w:szCs w:val="28"/>
        </w:rPr>
        <w:t>.</w:t>
      </w:r>
    </w:p>
    <w:p w:rsidR="00BF5EB8" w:rsidRPr="003E425B" w:rsidRDefault="003E425B" w:rsidP="00010108">
      <w:pPr>
        <w:tabs>
          <w:tab w:val="left" w:pos="567"/>
        </w:tabs>
        <w:rPr>
          <w:rFonts w:ascii="Times New Roman" w:hAnsi="Times New Roman" w:cs="Times New Roman"/>
          <w:sz w:val="28"/>
          <w:szCs w:val="28"/>
          <w:lang w:val="es-ES"/>
        </w:rPr>
      </w:pPr>
    </w:p>
    <w:p w:rsidR="00BF5EB8"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r w:rsidRPr="003E425B">
        <w:rPr>
          <w:rFonts w:ascii="Times New Roman" w:hAnsi="Times New Roman" w:cs="Times New Roman"/>
          <w:sz w:val="28"/>
          <w:szCs w:val="28"/>
        </w:rPr>
        <w:t>Mediante autos de</w:t>
      </w:r>
      <w:r w:rsidRPr="003E425B">
        <w:rPr>
          <w:rFonts w:ascii="Times New Roman" w:hAnsi="Times New Roman" w:cs="Times New Roman"/>
          <w:sz w:val="28"/>
          <w:szCs w:val="28"/>
        </w:rPr>
        <w:t xml:space="preserve"> 11 de mayo</w:t>
      </w:r>
      <w:r w:rsidRPr="003E425B">
        <w:rPr>
          <w:rFonts w:ascii="Times New Roman" w:hAnsi="Times New Roman" w:cs="Times New Roman"/>
          <w:sz w:val="28"/>
          <w:szCs w:val="28"/>
        </w:rPr>
        <w:t xml:space="preserve"> y 14 de junio</w:t>
      </w:r>
      <w:r w:rsidRPr="003E425B">
        <w:rPr>
          <w:rFonts w:ascii="Times New Roman" w:hAnsi="Times New Roman" w:cs="Times New Roman"/>
          <w:sz w:val="28"/>
          <w:szCs w:val="28"/>
        </w:rPr>
        <w:t xml:space="preserve"> de 2023, el magistrado Linares</w:t>
      </w:r>
      <w:r w:rsidRPr="003E425B">
        <w:rPr>
          <w:rFonts w:ascii="Times New Roman" w:hAnsi="Times New Roman" w:cs="Times New Roman"/>
          <w:sz w:val="28"/>
          <w:szCs w:val="28"/>
        </w:rPr>
        <w:t xml:space="preserve"> decretó la prác</w:t>
      </w:r>
      <w:r w:rsidRPr="003E425B">
        <w:rPr>
          <w:rFonts w:ascii="Times New Roman" w:hAnsi="Times New Roman" w:cs="Times New Roman"/>
          <w:sz w:val="28"/>
          <w:szCs w:val="28"/>
        </w:rPr>
        <w:t>t</w:t>
      </w:r>
      <w:r w:rsidRPr="003E425B">
        <w:rPr>
          <w:rFonts w:ascii="Times New Roman" w:hAnsi="Times New Roman" w:cs="Times New Roman"/>
          <w:sz w:val="28"/>
          <w:szCs w:val="28"/>
        </w:rPr>
        <w:t>ica</w:t>
      </w:r>
      <w:r w:rsidRPr="003E425B">
        <w:rPr>
          <w:rFonts w:ascii="Times New Roman" w:hAnsi="Times New Roman" w:cs="Times New Roman"/>
          <w:sz w:val="28"/>
          <w:szCs w:val="28"/>
        </w:rPr>
        <w:t xml:space="preserve"> de pruebas. En concreto, solicitó</w:t>
      </w:r>
      <w:r w:rsidRPr="003E425B">
        <w:rPr>
          <w:rFonts w:ascii="Times New Roman" w:hAnsi="Times New Roman" w:cs="Times New Roman"/>
          <w:sz w:val="28"/>
          <w:szCs w:val="28"/>
        </w:rPr>
        <w:t xml:space="preserve"> a la</w:t>
      </w:r>
      <w:r w:rsidRPr="003E425B">
        <w:rPr>
          <w:rFonts w:ascii="Times New Roman" w:hAnsi="Times New Roman" w:cs="Times New Roman"/>
          <w:sz w:val="28"/>
          <w:szCs w:val="28"/>
        </w:rPr>
        <w:t xml:space="preserve"> Secr</w:t>
      </w:r>
      <w:r w:rsidRPr="003E425B">
        <w:rPr>
          <w:rFonts w:ascii="Times New Roman" w:hAnsi="Times New Roman" w:cs="Times New Roman"/>
          <w:sz w:val="28"/>
          <w:szCs w:val="28"/>
        </w:rPr>
        <w:t xml:space="preserve">etaría General del Senado de la República y de la Cámara de Representantes que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rindieran</w:t>
      </w:r>
      <w:r w:rsidRPr="003E425B">
        <w:rPr>
          <w:rFonts w:ascii="Times New Roman" w:hAnsi="Times New Roman" w:cs="Times New Roman"/>
          <w:sz w:val="28"/>
          <w:szCs w:val="28"/>
        </w:rPr>
        <w:t xml:space="preserve"> un</w:t>
      </w:r>
      <w:r w:rsidRPr="003E425B">
        <w:rPr>
          <w:rFonts w:ascii="Times New Roman" w:hAnsi="Times New Roman" w:cs="Times New Roman"/>
          <w:sz w:val="28"/>
          <w:szCs w:val="28"/>
        </w:rPr>
        <w:t xml:space="preserve"> informe detallado del trámite legislativo</w:t>
      </w:r>
      <w:r w:rsidRPr="003E425B">
        <w:rPr>
          <w:rFonts w:ascii="Times New Roman" w:hAnsi="Times New Roman" w:cs="Times New Roman"/>
          <w:sz w:val="28"/>
          <w:szCs w:val="28"/>
        </w:rPr>
        <w:t xml:space="preserve"> que culminó con la expedición de la Ley 2281 de 2023 y </w:t>
      </w:r>
      <w:r w:rsidRPr="003E425B">
        <w:rPr>
          <w:rFonts w:ascii="Times New Roman" w:hAnsi="Times New Roman" w:cs="Times New Roman"/>
          <w:i/>
          <w:iCs/>
          <w:sz w:val="28"/>
          <w:szCs w:val="28"/>
        </w:rPr>
        <w:t>(ii)</w:t>
      </w:r>
      <w:r w:rsidRPr="003E425B">
        <w:rPr>
          <w:rFonts w:ascii="Times New Roman" w:hAnsi="Times New Roman" w:cs="Times New Roman"/>
          <w:sz w:val="28"/>
          <w:szCs w:val="28"/>
        </w:rPr>
        <w:t xml:space="preserve"> aportaran copia digital de las Gacetas</w:t>
      </w:r>
      <w:r w:rsidRPr="003E425B">
        <w:rPr>
          <w:rFonts w:ascii="Times New Roman" w:hAnsi="Times New Roman" w:cs="Times New Roman"/>
          <w:sz w:val="28"/>
          <w:szCs w:val="28"/>
        </w:rPr>
        <w:t xml:space="preserve"> del Congreso</w:t>
      </w:r>
      <w:r w:rsidRPr="003E425B">
        <w:rPr>
          <w:rFonts w:ascii="Times New Roman" w:hAnsi="Times New Roman" w:cs="Times New Roman"/>
          <w:sz w:val="28"/>
          <w:szCs w:val="28"/>
        </w:rPr>
        <w:t xml:space="preserve"> del respectivo trámite.</w:t>
      </w:r>
    </w:p>
    <w:p w:rsidR="00630819" w:rsidRPr="003E425B" w:rsidRDefault="003E425B" w:rsidP="00010108">
      <w:pPr>
        <w:tabs>
          <w:tab w:val="left" w:pos="567"/>
        </w:tabs>
        <w:rPr>
          <w:rFonts w:ascii="Times New Roman" w:hAnsi="Times New Roman" w:cs="Times New Roman"/>
          <w:sz w:val="28"/>
          <w:szCs w:val="28"/>
          <w:shd w:val="clear" w:color="auto" w:fill="FFFFFF" w:themeFill="background1"/>
        </w:rPr>
      </w:pPr>
    </w:p>
    <w:p w:rsidR="000C47FC" w:rsidRPr="003E425B" w:rsidRDefault="003E425B" w:rsidP="00010108">
      <w:pPr>
        <w:numPr>
          <w:ilvl w:val="0"/>
          <w:numId w:val="10"/>
        </w:numPr>
        <w:tabs>
          <w:tab w:val="left" w:pos="567"/>
        </w:tabs>
        <w:ind w:left="0" w:firstLine="0"/>
        <w:rPr>
          <w:rFonts w:ascii="Times New Roman" w:hAnsi="Times New Roman" w:cs="Times New Roman"/>
          <w:i/>
          <w:iCs/>
          <w:sz w:val="28"/>
          <w:szCs w:val="28"/>
          <w:shd w:val="clear" w:color="auto" w:fill="FFFFFF" w:themeFill="background1"/>
        </w:rPr>
      </w:pPr>
      <w:r w:rsidRPr="003E425B">
        <w:rPr>
          <w:rFonts w:ascii="Times New Roman" w:hAnsi="Times New Roman" w:cs="Times New Roman"/>
          <w:sz w:val="28"/>
          <w:szCs w:val="28"/>
          <w:shd w:val="clear" w:color="auto" w:fill="FFFFFF" w:themeFill="background1"/>
        </w:rPr>
        <w:t>El 11 de enero de 2024, el magistrado Vladimir Fernández</w:t>
      </w:r>
      <w:r w:rsidRPr="003E425B">
        <w:rPr>
          <w:rFonts w:ascii="Times New Roman" w:hAnsi="Times New Roman" w:cs="Times New Roman"/>
          <w:sz w:val="28"/>
          <w:szCs w:val="28"/>
          <w:shd w:val="clear" w:color="auto" w:fill="FFFFFF" w:themeFill="background1"/>
        </w:rPr>
        <w:t>, que reemplaz</w:t>
      </w:r>
      <w:r w:rsidRPr="003E425B">
        <w:rPr>
          <w:rFonts w:ascii="Times New Roman" w:hAnsi="Times New Roman" w:cs="Times New Roman"/>
          <w:sz w:val="28"/>
          <w:szCs w:val="28"/>
          <w:shd w:val="clear" w:color="auto" w:fill="FFFFFF" w:themeFill="background1"/>
        </w:rPr>
        <w:t>ó</w:t>
      </w:r>
      <w:r w:rsidRPr="003E425B">
        <w:rPr>
          <w:rFonts w:ascii="Times New Roman" w:hAnsi="Times New Roman" w:cs="Times New Roman"/>
          <w:sz w:val="28"/>
          <w:szCs w:val="28"/>
          <w:shd w:val="clear" w:color="auto" w:fill="FFFFFF" w:themeFill="background1"/>
        </w:rPr>
        <w:t xml:space="preserve"> al magistrado Linares Cantillo,</w:t>
      </w:r>
      <w:r w:rsidRPr="003E425B">
        <w:rPr>
          <w:rFonts w:ascii="Times New Roman" w:hAnsi="Times New Roman" w:cs="Times New Roman"/>
          <w:sz w:val="28"/>
          <w:szCs w:val="28"/>
          <w:shd w:val="clear" w:color="auto" w:fill="FFFFFF" w:themeFill="background1"/>
        </w:rPr>
        <w:t xml:space="preserve"> presentó manifestación de impedimento </w:t>
      </w:r>
      <w:r w:rsidRPr="003E425B">
        <w:rPr>
          <w:rFonts w:ascii="Times New Roman" w:hAnsi="Times New Roman" w:cs="Times New Roman"/>
          <w:sz w:val="28"/>
          <w:szCs w:val="28"/>
          <w:shd w:val="clear" w:color="auto" w:fill="FFFFFF" w:themeFill="background1"/>
        </w:rPr>
        <w:t>en</w:t>
      </w:r>
      <w:r w:rsidRPr="003E425B">
        <w:rPr>
          <w:rFonts w:ascii="Times New Roman" w:hAnsi="Times New Roman" w:cs="Times New Roman"/>
          <w:sz w:val="28"/>
          <w:szCs w:val="28"/>
          <w:shd w:val="clear" w:color="auto" w:fill="FFFFFF" w:themeFill="background1"/>
        </w:rPr>
        <w:t xml:space="preserve"> el proceso de la referencia</w:t>
      </w:r>
      <w:r w:rsidRPr="003E425B">
        <w:rPr>
          <w:rStyle w:val="Refdenotaalpie"/>
          <w:rFonts w:ascii="Times New Roman" w:hAnsi="Times New Roman" w:cs="Times New Roman"/>
          <w:sz w:val="28"/>
          <w:szCs w:val="28"/>
          <w:shd w:val="clear" w:color="auto" w:fill="FFFFFF" w:themeFill="background1"/>
        </w:rPr>
        <w:footnoteReference w:id="3"/>
      </w:r>
      <w:r w:rsidRPr="003E425B">
        <w:rPr>
          <w:rFonts w:ascii="Times New Roman" w:hAnsi="Times New Roman" w:cs="Times New Roman"/>
          <w:sz w:val="28"/>
          <w:szCs w:val="28"/>
          <w:shd w:val="clear" w:color="auto" w:fill="FFFFFF" w:themeFill="background1"/>
        </w:rPr>
        <w:t>.</w:t>
      </w:r>
      <w:r w:rsidRPr="003E425B">
        <w:rPr>
          <w:rFonts w:ascii="Times New Roman" w:hAnsi="Times New Roman" w:cs="Times New Roman"/>
          <w:sz w:val="28"/>
          <w:szCs w:val="28"/>
          <w:shd w:val="clear" w:color="auto" w:fill="FFFFFF" w:themeFill="background1"/>
        </w:rPr>
        <w:t xml:space="preserve"> E</w:t>
      </w:r>
      <w:r w:rsidRPr="003E425B">
        <w:rPr>
          <w:rFonts w:ascii="Times New Roman" w:hAnsi="Times New Roman" w:cs="Times New Roman"/>
          <w:sz w:val="28"/>
          <w:szCs w:val="28"/>
          <w:shd w:val="clear" w:color="auto" w:fill="FFFFFF" w:themeFill="background1"/>
        </w:rPr>
        <w:t>l</w:t>
      </w:r>
      <w:r w:rsidRPr="003E425B">
        <w:rPr>
          <w:rFonts w:ascii="Times New Roman" w:hAnsi="Times New Roman" w:cs="Times New Roman"/>
          <w:sz w:val="28"/>
          <w:szCs w:val="28"/>
          <w:shd w:val="clear" w:color="auto" w:fill="FFFFFF" w:themeFill="background1"/>
        </w:rPr>
        <w:t xml:space="preserve"> 14 de enero de 2024, la Sala Plena de la Corte declaró fundado el impedimento</w:t>
      </w:r>
      <w:r w:rsidRPr="003E425B">
        <w:rPr>
          <w:rFonts w:ascii="Times New Roman" w:hAnsi="Times New Roman" w:cs="Times New Roman"/>
          <w:sz w:val="28"/>
          <w:szCs w:val="28"/>
          <w:shd w:val="clear" w:color="auto" w:fill="FFFFFF" w:themeFill="background1"/>
        </w:rPr>
        <w:t xml:space="preserve"> y, </w:t>
      </w:r>
      <w:r w:rsidRPr="003E425B">
        <w:rPr>
          <w:rFonts w:ascii="Times New Roman" w:hAnsi="Times New Roman" w:cs="Times New Roman"/>
          <w:sz w:val="28"/>
          <w:szCs w:val="28"/>
          <w:shd w:val="clear" w:color="auto" w:fill="FFFFFF" w:themeFill="background1"/>
        </w:rPr>
        <w:t xml:space="preserve">en </w:t>
      </w:r>
      <w:r w:rsidRPr="003E425B">
        <w:rPr>
          <w:rFonts w:ascii="Times New Roman" w:hAnsi="Times New Roman" w:cs="Times New Roman"/>
          <w:sz w:val="28"/>
          <w:szCs w:val="28"/>
          <w:shd w:val="clear" w:color="auto" w:fill="FFFFFF" w:themeFill="background1"/>
        </w:rPr>
        <w:t xml:space="preserve">consecuencia, </w:t>
      </w:r>
      <w:r w:rsidRPr="003E425B">
        <w:rPr>
          <w:rFonts w:ascii="Times New Roman" w:hAnsi="Times New Roman" w:cs="Times New Roman"/>
          <w:sz w:val="28"/>
          <w:szCs w:val="28"/>
          <w:shd w:val="clear" w:color="auto" w:fill="FFFFFF" w:themeFill="background1"/>
        </w:rPr>
        <w:t>sorteó el expediente entre los demás magistrados de esta Corporación</w:t>
      </w:r>
      <w:r w:rsidRPr="003E425B">
        <w:rPr>
          <w:rFonts w:ascii="Times New Roman" w:hAnsi="Times New Roman" w:cs="Times New Roman"/>
          <w:sz w:val="28"/>
          <w:szCs w:val="28"/>
          <w:shd w:val="clear" w:color="auto" w:fill="FFFFFF" w:themeFill="background1"/>
        </w:rPr>
        <w:t>. La demanda correspondió</w:t>
      </w:r>
      <w:r w:rsidRPr="003E425B">
        <w:rPr>
          <w:rFonts w:ascii="Times New Roman" w:hAnsi="Times New Roman" w:cs="Times New Roman"/>
          <w:sz w:val="28"/>
          <w:szCs w:val="28"/>
          <w:shd w:val="clear" w:color="auto" w:fill="FFFFFF" w:themeFill="background1"/>
        </w:rPr>
        <w:t xml:space="preserve"> a la magistrada Paola Andrea Meneses Mosquera</w:t>
      </w:r>
      <w:r w:rsidRPr="003E425B">
        <w:rPr>
          <w:rFonts w:ascii="Times New Roman" w:hAnsi="Times New Roman" w:cs="Times New Roman"/>
          <w:sz w:val="28"/>
          <w:szCs w:val="28"/>
          <w:shd w:val="clear" w:color="auto" w:fill="FFFFFF" w:themeFill="background1"/>
        </w:rPr>
        <w:t xml:space="preserve">. </w:t>
      </w:r>
    </w:p>
    <w:p w:rsidR="00495993" w:rsidRPr="003E425B" w:rsidRDefault="003E425B" w:rsidP="00010108">
      <w:pPr>
        <w:rPr>
          <w:rFonts w:ascii="Times New Roman" w:hAnsi="Times New Roman" w:cs="Times New Roman"/>
          <w:sz w:val="28"/>
        </w:rPr>
      </w:pPr>
      <w:bookmarkStart w:id="4" w:name="_Ref144561604"/>
    </w:p>
    <w:p w:rsidR="00495993" w:rsidRPr="003E425B" w:rsidRDefault="003E425B" w:rsidP="00010108">
      <w:pPr>
        <w:pStyle w:val="Ttulo2"/>
        <w:numPr>
          <w:ilvl w:val="0"/>
          <w:numId w:val="9"/>
        </w:numPr>
        <w:ind w:left="851" w:hanging="284"/>
        <w:rPr>
          <w:rFonts w:ascii="Times New Roman" w:hAnsi="Times New Roman" w:cs="Times New Roman"/>
          <w:sz w:val="28"/>
        </w:rPr>
      </w:pPr>
      <w:r w:rsidRPr="003E425B">
        <w:rPr>
          <w:rFonts w:ascii="Times New Roman" w:hAnsi="Times New Roman" w:cs="Times New Roman"/>
          <w:sz w:val="28"/>
        </w:rPr>
        <w:t>Norma demandad</w:t>
      </w:r>
      <w:r w:rsidRPr="003E425B">
        <w:rPr>
          <w:rFonts w:ascii="Times New Roman" w:hAnsi="Times New Roman" w:cs="Times New Roman"/>
          <w:sz w:val="28"/>
        </w:rPr>
        <w:t xml:space="preserve">a </w:t>
      </w:r>
    </w:p>
    <w:p w:rsidR="00495993" w:rsidRPr="003E425B" w:rsidRDefault="003E425B" w:rsidP="00010108">
      <w:pPr>
        <w:rPr>
          <w:rFonts w:ascii="Times New Roman" w:hAnsi="Times New Roman" w:cs="Times New Roman"/>
          <w:sz w:val="28"/>
        </w:rPr>
      </w:pPr>
    </w:p>
    <w:p w:rsidR="00C658CD" w:rsidRPr="003E425B" w:rsidRDefault="003E425B" w:rsidP="00010108">
      <w:pPr>
        <w:numPr>
          <w:ilvl w:val="0"/>
          <w:numId w:val="10"/>
        </w:numPr>
        <w:tabs>
          <w:tab w:val="left" w:pos="567"/>
        </w:tabs>
        <w:ind w:left="0" w:firstLine="0"/>
        <w:rPr>
          <w:rFonts w:ascii="Times New Roman" w:hAnsi="Times New Roman" w:cs="Times New Roman"/>
          <w:sz w:val="28"/>
          <w:szCs w:val="28"/>
        </w:rPr>
      </w:pPr>
      <w:r w:rsidRPr="003E425B">
        <w:rPr>
          <w:rFonts w:ascii="Times New Roman" w:hAnsi="Times New Roman" w:cs="Times New Roman"/>
          <w:color w:val="000000" w:themeColor="text1"/>
          <w:sz w:val="28"/>
        </w:rPr>
        <w:t>A continuación, se transcribe la Ley 2281 de 2023</w:t>
      </w:r>
      <w:r w:rsidRPr="003E425B">
        <w:rPr>
          <w:rFonts w:ascii="Times New Roman" w:hAnsi="Times New Roman" w:cs="Times New Roman"/>
          <w:color w:val="000000" w:themeColor="text1"/>
          <w:sz w:val="28"/>
        </w:rPr>
        <w:t xml:space="preserve"> </w:t>
      </w:r>
      <w:r w:rsidRPr="003E425B">
        <w:rPr>
          <w:rFonts w:ascii="Times New Roman" w:hAnsi="Times New Roman" w:cs="Times New Roman"/>
          <w:color w:val="000000" w:themeColor="text1"/>
          <w:sz w:val="28"/>
        </w:rPr>
        <w:t xml:space="preserve">que fue demandada en su totalidad por vicios de procedimiento en su formación. Asimismo, se </w:t>
      </w:r>
      <w:r w:rsidRPr="003E425B">
        <w:rPr>
          <w:rFonts w:ascii="Times New Roman" w:hAnsi="Times New Roman" w:cs="Times New Roman"/>
          <w:color w:val="000000" w:themeColor="text1"/>
          <w:sz w:val="28"/>
        </w:rPr>
        <w:t xml:space="preserve">resalta </w:t>
      </w:r>
      <w:r w:rsidRPr="003E425B">
        <w:rPr>
          <w:rFonts w:ascii="Times New Roman" w:hAnsi="Times New Roman" w:cs="Times New Roman"/>
          <w:color w:val="000000" w:themeColor="text1"/>
          <w:sz w:val="28"/>
        </w:rPr>
        <w:t xml:space="preserve">el artículo 12 en contra del cual los demandantes dirigieron </w:t>
      </w:r>
      <w:r w:rsidRPr="003E425B">
        <w:rPr>
          <w:rFonts w:ascii="Times New Roman" w:hAnsi="Times New Roman" w:cs="Times New Roman"/>
          <w:color w:val="000000" w:themeColor="text1"/>
          <w:sz w:val="28"/>
        </w:rPr>
        <w:t>uno de los cargos de inconstitucionalidad</w:t>
      </w:r>
      <w:r w:rsidRPr="003E425B">
        <w:rPr>
          <w:rFonts w:ascii="Times New Roman" w:hAnsi="Times New Roman" w:cs="Times New Roman"/>
          <w:color w:val="000000" w:themeColor="text1"/>
          <w:sz w:val="28"/>
        </w:rPr>
        <w:t>:</w:t>
      </w:r>
    </w:p>
    <w:p w:rsidR="00F92A2A" w:rsidRPr="003E425B" w:rsidRDefault="003E425B" w:rsidP="00010108">
      <w:pPr>
        <w:tabs>
          <w:tab w:val="left" w:pos="567"/>
        </w:tabs>
        <w:rPr>
          <w:rFonts w:ascii="Times New Roman" w:hAnsi="Times New Roman" w:cs="Times New Roman"/>
          <w:color w:val="000000" w:themeColor="text1"/>
          <w:sz w:val="28"/>
        </w:rPr>
      </w:pPr>
    </w:p>
    <w:p w:rsidR="00F7591B" w:rsidRPr="003E425B" w:rsidRDefault="003E425B" w:rsidP="00010108">
      <w:pPr>
        <w:pStyle w:val="NormalWeb"/>
        <w:spacing w:before="0" w:beforeAutospacing="0" w:after="0" w:afterAutospacing="0"/>
        <w:ind w:left="567" w:right="618"/>
        <w:contextualSpacing/>
        <w:jc w:val="center"/>
        <w:rPr>
          <w:rFonts w:ascii="Times New Roman" w:hAnsi="Times New Roman"/>
          <w:bCs/>
          <w:sz w:val="28"/>
          <w:szCs w:val="20"/>
        </w:rPr>
      </w:pPr>
      <w:r w:rsidRPr="003E425B">
        <w:rPr>
          <w:rFonts w:ascii="Times New Roman" w:hAnsi="Times New Roman"/>
          <w:bCs/>
          <w:sz w:val="28"/>
          <w:szCs w:val="20"/>
        </w:rPr>
        <w:t>“LEY 2281 DE 2023</w:t>
      </w:r>
    </w:p>
    <w:p w:rsidR="00F7591B" w:rsidRPr="003E425B" w:rsidRDefault="003E425B" w:rsidP="00010108">
      <w:pPr>
        <w:pStyle w:val="NormalWeb"/>
        <w:spacing w:before="0" w:beforeAutospacing="0" w:after="0" w:afterAutospacing="0"/>
        <w:ind w:left="567" w:right="618"/>
        <w:contextualSpacing/>
        <w:jc w:val="center"/>
        <w:rPr>
          <w:rFonts w:ascii="Times New Roman" w:hAnsi="Times New Roman"/>
          <w:bCs/>
          <w:sz w:val="28"/>
          <w:szCs w:val="20"/>
        </w:rPr>
      </w:pPr>
    </w:p>
    <w:p w:rsidR="00F7591B" w:rsidRPr="003E425B" w:rsidRDefault="003E425B" w:rsidP="00010108">
      <w:pPr>
        <w:pStyle w:val="NormalWeb"/>
        <w:spacing w:before="0" w:beforeAutospacing="0" w:after="0" w:afterAutospacing="0"/>
        <w:ind w:left="567" w:right="618"/>
        <w:contextualSpacing/>
        <w:jc w:val="center"/>
        <w:rPr>
          <w:rFonts w:ascii="Times New Roman" w:hAnsi="Times New Roman"/>
          <w:bCs/>
          <w:sz w:val="28"/>
          <w:szCs w:val="20"/>
        </w:rPr>
      </w:pPr>
      <w:r w:rsidRPr="003E425B">
        <w:rPr>
          <w:rFonts w:ascii="Times New Roman" w:hAnsi="Times New Roman"/>
          <w:bCs/>
          <w:sz w:val="28"/>
          <w:szCs w:val="20"/>
        </w:rPr>
        <w:t>(enero 4)</w:t>
      </w:r>
    </w:p>
    <w:p w:rsidR="00F7591B" w:rsidRPr="003E425B" w:rsidRDefault="003E425B" w:rsidP="00010108">
      <w:pPr>
        <w:pStyle w:val="NormalWeb"/>
        <w:spacing w:before="0" w:beforeAutospacing="0" w:after="0" w:afterAutospacing="0"/>
        <w:ind w:left="567" w:right="618"/>
        <w:contextualSpacing/>
        <w:jc w:val="center"/>
        <w:rPr>
          <w:rFonts w:ascii="Times New Roman" w:hAnsi="Times New Roman"/>
          <w:bCs/>
          <w:sz w:val="28"/>
          <w:szCs w:val="20"/>
        </w:rPr>
      </w:pPr>
    </w:p>
    <w:p w:rsidR="00F7591B" w:rsidRPr="003E425B" w:rsidRDefault="003E425B" w:rsidP="00010108">
      <w:pPr>
        <w:pStyle w:val="NormalWeb"/>
        <w:spacing w:before="0" w:beforeAutospacing="0" w:after="0" w:afterAutospacing="0"/>
        <w:ind w:left="567" w:right="618"/>
        <w:contextualSpacing/>
        <w:jc w:val="center"/>
        <w:rPr>
          <w:rFonts w:ascii="Times New Roman" w:hAnsi="Times New Roman"/>
          <w:bCs/>
          <w:sz w:val="28"/>
          <w:szCs w:val="20"/>
        </w:rPr>
      </w:pPr>
      <w:r w:rsidRPr="003E425B">
        <w:rPr>
          <w:rFonts w:ascii="Times New Roman" w:hAnsi="Times New Roman"/>
          <w:bCs/>
          <w:sz w:val="28"/>
          <w:szCs w:val="20"/>
        </w:rPr>
        <w:t>por medio de la cual se crea el Ministerio de Igualdad y Equidad y se dictan otras disposiciones.</w:t>
      </w:r>
    </w:p>
    <w:p w:rsidR="00F7591B" w:rsidRPr="003E425B" w:rsidRDefault="003E425B" w:rsidP="00010108">
      <w:pPr>
        <w:pStyle w:val="NormalWeb"/>
        <w:spacing w:before="0" w:beforeAutospacing="0" w:after="0" w:afterAutospacing="0"/>
        <w:ind w:left="567" w:right="618"/>
        <w:contextualSpacing/>
        <w:jc w:val="center"/>
        <w:rPr>
          <w:rFonts w:ascii="Times New Roman" w:hAnsi="Times New Roman"/>
          <w:sz w:val="28"/>
          <w:szCs w:val="20"/>
          <w:lang w:eastAsia="en-US"/>
        </w:rPr>
      </w:pPr>
    </w:p>
    <w:p w:rsidR="005F6BF3" w:rsidRPr="003E425B" w:rsidRDefault="003E425B" w:rsidP="00010108">
      <w:pPr>
        <w:pStyle w:val="NormalWeb"/>
        <w:ind w:left="567" w:right="618"/>
        <w:contextualSpacing/>
        <w:jc w:val="center"/>
        <w:rPr>
          <w:rFonts w:ascii="Times New Roman" w:hAnsi="Times New Roman"/>
          <w:bCs/>
          <w:sz w:val="28"/>
          <w:szCs w:val="20"/>
        </w:rPr>
      </w:pPr>
      <w:r w:rsidRPr="003E425B">
        <w:rPr>
          <w:rFonts w:ascii="Times New Roman" w:hAnsi="Times New Roman"/>
          <w:bCs/>
          <w:sz w:val="28"/>
          <w:szCs w:val="20"/>
        </w:rPr>
        <w:t xml:space="preserve">El Congreso de </w:t>
      </w:r>
      <w:r w:rsidRPr="003E425B">
        <w:rPr>
          <w:rFonts w:ascii="Times New Roman" w:hAnsi="Times New Roman"/>
          <w:bCs/>
          <w:sz w:val="28"/>
          <w:szCs w:val="20"/>
        </w:rPr>
        <w:t xml:space="preserve">la </w:t>
      </w:r>
      <w:r w:rsidRPr="003E425B">
        <w:rPr>
          <w:rFonts w:ascii="Times New Roman" w:hAnsi="Times New Roman"/>
          <w:bCs/>
          <w:sz w:val="28"/>
          <w:szCs w:val="20"/>
        </w:rPr>
        <w:t>Colombia</w:t>
      </w:r>
      <w:r w:rsidRPr="003E425B">
        <w:rPr>
          <w:rFonts w:ascii="Times New Roman" w:hAnsi="Times New Roman"/>
          <w:bCs/>
          <w:sz w:val="28"/>
          <w:szCs w:val="20"/>
        </w:rPr>
        <w:t xml:space="preserve"> (sic)</w:t>
      </w:r>
    </w:p>
    <w:p w:rsidR="005F6BF3" w:rsidRPr="003E425B" w:rsidRDefault="003E425B" w:rsidP="00010108">
      <w:pPr>
        <w:pStyle w:val="NormalWeb"/>
        <w:ind w:right="618"/>
        <w:contextualSpacing/>
        <w:rPr>
          <w:rFonts w:ascii="Times New Roman" w:hAnsi="Times New Roman"/>
          <w:bCs/>
          <w:sz w:val="28"/>
          <w:szCs w:val="20"/>
        </w:rPr>
      </w:pPr>
    </w:p>
    <w:p w:rsidR="005F6BF3" w:rsidRPr="003E425B" w:rsidRDefault="003E425B" w:rsidP="00010108">
      <w:pPr>
        <w:pStyle w:val="NormalWeb"/>
        <w:spacing w:before="0" w:beforeAutospacing="0" w:after="0" w:afterAutospacing="0"/>
        <w:ind w:left="567" w:right="618"/>
        <w:contextualSpacing/>
        <w:jc w:val="center"/>
        <w:rPr>
          <w:rFonts w:ascii="Times New Roman" w:hAnsi="Times New Roman"/>
          <w:bCs/>
          <w:sz w:val="28"/>
          <w:szCs w:val="20"/>
        </w:rPr>
      </w:pPr>
      <w:r w:rsidRPr="003E425B">
        <w:rPr>
          <w:rFonts w:ascii="Times New Roman" w:hAnsi="Times New Roman"/>
          <w:bCs/>
          <w:sz w:val="28"/>
          <w:szCs w:val="20"/>
        </w:rPr>
        <w:t>DECRETA:</w:t>
      </w:r>
    </w:p>
    <w:p w:rsidR="005F6BF3" w:rsidRPr="003E425B" w:rsidRDefault="003E425B" w:rsidP="00010108">
      <w:pPr>
        <w:pStyle w:val="NormalWeb"/>
        <w:spacing w:before="0" w:beforeAutospacing="0" w:after="0" w:afterAutospacing="0"/>
        <w:ind w:left="284" w:right="618"/>
        <w:contextualSpacing/>
        <w:rPr>
          <w:rFonts w:ascii="Times New Roman" w:hAnsi="Times New Roman"/>
          <w:bCs/>
          <w:sz w:val="28"/>
          <w:szCs w:val="20"/>
        </w:rPr>
      </w:pPr>
    </w:p>
    <w:p w:rsidR="00866085" w:rsidRPr="003E425B" w:rsidRDefault="003E425B" w:rsidP="00010108">
      <w:pPr>
        <w:autoSpaceDE w:val="0"/>
        <w:autoSpaceDN w:val="0"/>
        <w:adjustRightInd w:val="0"/>
        <w:ind w:left="284"/>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1º. Objeto de la ley.</w:t>
      </w:r>
      <w:r w:rsidRPr="003E425B">
        <w:rPr>
          <w:rFonts w:ascii="Times New Roman" w:hAnsi="Times New Roman" w:cs="Times New Roman"/>
          <w:sz w:val="28"/>
          <w:szCs w:val="20"/>
        </w:rPr>
        <w:t xml:space="preserve"> El objeto de la presente ley, en el marco del artículo 150 numeral 7 de la Constitución Política y el artículo 50 de la Ley 489 de 1998, es la creación del Ministerio de Igualdad y Equidad y la adopción de los elementos de su estructura orgánica.</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w:t>
      </w:r>
      <w:r w:rsidRPr="003E425B">
        <w:rPr>
          <w:rFonts w:ascii="Times New Roman" w:hAnsi="Times New Roman" w:cs="Times New Roman"/>
          <w:b/>
          <w:bCs/>
          <w:sz w:val="28"/>
          <w:szCs w:val="20"/>
        </w:rPr>
        <w:t>o 2º. Naturaleza y denominación.</w:t>
      </w:r>
      <w:r w:rsidRPr="003E425B">
        <w:rPr>
          <w:rFonts w:ascii="Times New Roman" w:hAnsi="Times New Roman" w:cs="Times New Roman"/>
          <w:sz w:val="28"/>
          <w:szCs w:val="20"/>
        </w:rPr>
        <w:t xml:space="preserve"> Créase el Ministerio de Igualdad y Equidad, como un organismo principal del sector central de la Rama Ejecutiva en el orden nacional, rector del Sector administrativo de Igualdad y Equidad y de sus entidades adscritas o vin</w:t>
      </w:r>
      <w:r w:rsidRPr="003E425B">
        <w:rPr>
          <w:rFonts w:ascii="Times New Roman" w:hAnsi="Times New Roman" w:cs="Times New Roman"/>
          <w:sz w:val="28"/>
          <w:szCs w:val="20"/>
        </w:rPr>
        <w:t>culadas, los órganos de asesoría, coordinación y articulación señalados legal o reglamentariamente.</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 </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3º. Objeto del Ministerio de Igualdad y Equidad.</w:t>
      </w:r>
      <w:r w:rsidRPr="003E425B">
        <w:rPr>
          <w:rFonts w:ascii="Times New Roman" w:hAnsi="Times New Roman" w:cs="Times New Roman"/>
          <w:sz w:val="28"/>
          <w:szCs w:val="20"/>
        </w:rPr>
        <w:t xml:space="preserve"> El Ministerio de Igualdad y Equidad tiene como objeto, en el marco de los mandatos constituciona</w:t>
      </w:r>
      <w:r w:rsidRPr="003E425B">
        <w:rPr>
          <w:rFonts w:ascii="Times New Roman" w:hAnsi="Times New Roman" w:cs="Times New Roman"/>
          <w:sz w:val="28"/>
          <w:szCs w:val="20"/>
        </w:rPr>
        <w:t>les, de la ley y de sus competencias, diseñar, formular, adoptar, dirigir, coordinar, articular, ejecutar fortalecer y evaluar, las políticas, planes, programas, estrategias, proyectos y medidas para contribuir en la eliminación de las desigualdades económ</w:t>
      </w:r>
      <w:r w:rsidRPr="003E425B">
        <w:rPr>
          <w:rFonts w:ascii="Times New Roman" w:hAnsi="Times New Roman" w:cs="Times New Roman"/>
          <w:sz w:val="28"/>
          <w:szCs w:val="20"/>
        </w:rPr>
        <w:t>icas, políticas y sociales; impulsar el goce del derecho a la igualdad; el cumplimiento de los principios de no discriminación y no regresividad; la defensa de los sujetos de especial protección constitucional, de población vulnerable y de grupos histórica</w:t>
      </w:r>
      <w:r w:rsidRPr="003E425B">
        <w:rPr>
          <w:rFonts w:ascii="Times New Roman" w:hAnsi="Times New Roman" w:cs="Times New Roman"/>
          <w:sz w:val="28"/>
          <w:szCs w:val="20"/>
        </w:rPr>
        <w:t>mente discriminados o marginados, incorporando y adoptando los enfoques de derechos, de género, diferencial, étnico-racial e interseccional.</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4º. Funciones.</w:t>
      </w:r>
      <w:r w:rsidRPr="003E425B">
        <w:rPr>
          <w:rFonts w:ascii="Times New Roman" w:hAnsi="Times New Roman" w:cs="Times New Roman"/>
          <w:sz w:val="28"/>
          <w:szCs w:val="20"/>
        </w:rPr>
        <w:t xml:space="preserve"> Para el cumplimiento de su objeto, el Ministerio de Igualdad y Equidad cumplirá, además de</w:t>
      </w:r>
      <w:r w:rsidRPr="003E425B">
        <w:rPr>
          <w:rFonts w:ascii="Times New Roman" w:hAnsi="Times New Roman" w:cs="Times New Roman"/>
          <w:sz w:val="28"/>
          <w:szCs w:val="20"/>
        </w:rPr>
        <w:t xml:space="preserve"> las señaladas en la Constitución Política y en el artículo 59 de la Ley 489 de 1998, las siguientes funciones:</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 Formular, adoptar, dirigir, coordinar, ejecutar y articular las políticas, planes, programas, estrategias, proyectos y medidas para el cumpl</w:t>
      </w:r>
      <w:r w:rsidRPr="003E425B">
        <w:rPr>
          <w:rFonts w:ascii="Times New Roman" w:hAnsi="Times New Roman" w:cs="Times New Roman"/>
          <w:sz w:val="28"/>
          <w:szCs w:val="20"/>
        </w:rPr>
        <w:t>imiento del objeto del Ministerio y ámbito de competencias.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2. Adoptar y ejecutar planes, programas, estrategias y proyectos para definir, gestionar y focalizar acciones dirigidas a la eliminación de todas las violencias contra las mujeres así como la elim</w:t>
      </w:r>
      <w:r w:rsidRPr="003E425B">
        <w:rPr>
          <w:rFonts w:ascii="Times New Roman" w:hAnsi="Times New Roman" w:cs="Times New Roman"/>
          <w:sz w:val="28"/>
          <w:szCs w:val="20"/>
        </w:rPr>
        <w:t>inación de barreras económicas, sociales y políticas o de discriminación contra ellas.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3. Formular, adoptar y ejecutar planes, programas, estrategias y proyectos para definir, gestionar y focalizar la oferta social de las entidades del Orden Nacional en el</w:t>
      </w:r>
      <w:r w:rsidRPr="003E425B">
        <w:rPr>
          <w:rFonts w:ascii="Times New Roman" w:hAnsi="Times New Roman" w:cs="Times New Roman"/>
          <w:sz w:val="28"/>
          <w:szCs w:val="20"/>
        </w:rPr>
        <w:t xml:space="preserve"> territorio, con criterios de eficiencia y eficacia, priorizando territorios y poblaciones históricamente excluidas.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4. Coordinar, articular e impartir directrices a las entidades del orden nacional, departamental, distrital y municipal sobre la intervenci</w:t>
      </w:r>
      <w:r w:rsidRPr="003E425B">
        <w:rPr>
          <w:rFonts w:ascii="Times New Roman" w:hAnsi="Times New Roman" w:cs="Times New Roman"/>
          <w:sz w:val="28"/>
          <w:szCs w:val="20"/>
        </w:rPr>
        <w:t>ón de grupos y poblaciones en el ámbito de sus competencias.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 Promover herramientas de participación y organización ciudadana para fortalecer la incidencia de los grupos poblacionales, históricamente discriminados o marginados y sujetos de especial prote</w:t>
      </w:r>
      <w:r w:rsidRPr="003E425B">
        <w:rPr>
          <w:rFonts w:ascii="Times New Roman" w:hAnsi="Times New Roman" w:cs="Times New Roman"/>
          <w:sz w:val="28"/>
          <w:szCs w:val="20"/>
        </w:rPr>
        <w:t>cción constitucional en las agendas de política pública, procesos de autogobierno y derechos étnicos territoriales de los pueblos étnicos, en coordinación con las demás entidades competentes.</w:t>
      </w:r>
    </w:p>
    <w:p w:rsidR="00866085"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6. Fomentar la innovación social a través de la identificación e</w:t>
      </w:r>
      <w:r w:rsidRPr="003E425B">
        <w:rPr>
          <w:rFonts w:ascii="Times New Roman" w:hAnsi="Times New Roman" w:cs="Times New Roman"/>
          <w:sz w:val="28"/>
          <w:szCs w:val="20"/>
        </w:rPr>
        <w:t xml:space="preserve"> implementación de iniciativas privadas y locales, entre otras, para poner en funcionamiento las políticas de igualdad y equidad bajo los enfoques de derechos, de género, diferencial, étnico racial e interseccional en el accionar estatal y promover condici</w:t>
      </w:r>
      <w:r w:rsidRPr="003E425B">
        <w:rPr>
          <w:rFonts w:ascii="Times New Roman" w:hAnsi="Times New Roman" w:cs="Times New Roman"/>
          <w:sz w:val="28"/>
          <w:szCs w:val="20"/>
        </w:rPr>
        <w:t>ones de igualdad política, económica y social a todas las poblaciones vulnerables focalizadas.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7. Dirigir y orientar la planeación del Sector Administrativo de Igualdad y Equidad para el cumplimiento de las funciones a su cargo.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8. Gestionar y generar alia</w:t>
      </w:r>
      <w:r w:rsidRPr="003E425B">
        <w:rPr>
          <w:rFonts w:ascii="Times New Roman" w:hAnsi="Times New Roman" w:cs="Times New Roman"/>
          <w:sz w:val="28"/>
          <w:szCs w:val="20"/>
        </w:rPr>
        <w:t>nzas con actores del sector público, privado, organizaciones de la sociedad civil, autoridades y formas organizativas propias de los pueblos étnicos; organismos de carácter internacional y otros gobiernos que faciliten e impulsen las políticas y el logro d</w:t>
      </w:r>
      <w:r w:rsidRPr="003E425B">
        <w:rPr>
          <w:rFonts w:ascii="Times New Roman" w:hAnsi="Times New Roman" w:cs="Times New Roman"/>
          <w:sz w:val="28"/>
          <w:szCs w:val="20"/>
        </w:rPr>
        <w:t>e los objetivos del Sector Administrativo de Igualdad y Equidad y de los compromisos internacionales asumidos por el Estado, en coordinación con las demás entidades estatales competentes. Asimismo, se gestionarán, en coordinación y articulación con el Mini</w:t>
      </w:r>
      <w:r w:rsidRPr="003E425B">
        <w:rPr>
          <w:rFonts w:ascii="Times New Roman" w:hAnsi="Times New Roman" w:cs="Times New Roman"/>
          <w:sz w:val="28"/>
          <w:szCs w:val="20"/>
        </w:rPr>
        <w:t>sterio de Relaciones Exteriores, alianzas con organismos internacionales y otros gobiernos al tiempo de dar seguimiento a los compromisos internacionales asumidos por el Estado.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9. Establecer esquemas de seguimiento, monitoreo y evaluación a la ejecución </w:t>
      </w:r>
      <w:r w:rsidRPr="003E425B">
        <w:rPr>
          <w:rFonts w:ascii="Times New Roman" w:hAnsi="Times New Roman" w:cs="Times New Roman"/>
          <w:sz w:val="28"/>
          <w:szCs w:val="20"/>
        </w:rPr>
        <w:t>de las políticas, planes, proyectos y oferta social de competencia del Sector de Igualdad y Equidad, en coordinación con otras entidades competentes, y rendir cuentas a la ciudadanía. Para este efecto, se promocionarán y adoptarán mecanismos participativos</w:t>
      </w:r>
      <w:r w:rsidRPr="003E425B">
        <w:rPr>
          <w:rFonts w:ascii="Times New Roman" w:hAnsi="Times New Roman" w:cs="Times New Roman"/>
          <w:sz w:val="28"/>
          <w:szCs w:val="20"/>
        </w:rPr>
        <w:t xml:space="preserve"> de control social.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10. Dirigir, coordinar, hacer seguimiento y evaluar los sistemas e instancias de asesoría, coordinación y articulación relacionados con sus competencias creados o que se creen normativamente, y que así lo indiquen.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11. Generar informaci</w:t>
      </w:r>
      <w:r w:rsidRPr="003E425B">
        <w:rPr>
          <w:rFonts w:ascii="Times New Roman" w:hAnsi="Times New Roman" w:cs="Times New Roman"/>
          <w:sz w:val="28"/>
          <w:szCs w:val="20"/>
        </w:rPr>
        <w:t>ón periódica que permita visibilizar las características, contextos y condiciones de vida que impiden a las personas superar las condiciones de inequidad y desigualdad; plantear alternativas para la elaboración de políticas públicas que garanticen el cierr</w:t>
      </w:r>
      <w:r w:rsidRPr="003E425B">
        <w:rPr>
          <w:rFonts w:ascii="Times New Roman" w:hAnsi="Times New Roman" w:cs="Times New Roman"/>
          <w:sz w:val="28"/>
          <w:szCs w:val="20"/>
        </w:rPr>
        <w:t>e de brechas, el avance en la superación de la desigualdad y la inclusión y visibilización de las acciones por la igualdad y equidad en las agendas públicas del orden nacional, departamental, distrital y municipal.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12. Dirigir, coordinar, orientar, hacer s</w:t>
      </w:r>
      <w:r w:rsidRPr="003E425B">
        <w:rPr>
          <w:rFonts w:ascii="Times New Roman" w:hAnsi="Times New Roman" w:cs="Times New Roman"/>
          <w:sz w:val="28"/>
          <w:szCs w:val="20"/>
        </w:rPr>
        <w:t xml:space="preserve">eguimiento y evaluar el Sistema Nacional de Cuidado. Así como formular, implementar y evaluar políticas relacionados con ayudas, generación de ingresos, capacitación y formación, y demás acciones que permitan retribuir las labores de cuidado que desempeña </w:t>
      </w:r>
      <w:r w:rsidRPr="003E425B">
        <w:rPr>
          <w:rFonts w:ascii="Times New Roman" w:hAnsi="Times New Roman" w:cs="Times New Roman"/>
          <w:sz w:val="28"/>
          <w:szCs w:val="20"/>
        </w:rPr>
        <w:t>la población cuidadora.</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13. Formular, dirigir, coordinar, ejecutar y evaluar planes, programas, estrategias y proyectos que promuevan condiciones de igualdad real para las personas y comunidades especialmente afectadas por la crisis climática, de conformid</w:t>
      </w:r>
      <w:r w:rsidRPr="003E425B">
        <w:rPr>
          <w:rFonts w:ascii="Times New Roman" w:hAnsi="Times New Roman" w:cs="Times New Roman"/>
          <w:sz w:val="28"/>
          <w:szCs w:val="20"/>
        </w:rPr>
        <w:t>ad con los compromisos adquiridos por Colombia en materia de adaptación al cambio climático.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14. Adoptar, coordinar y ejecutar en articulación con las demás entidades y organismos del Estado competentes, un programa de seguridad alimentaria que permita com</w:t>
      </w:r>
      <w:r w:rsidRPr="003E425B">
        <w:rPr>
          <w:rFonts w:ascii="Times New Roman" w:hAnsi="Times New Roman" w:cs="Times New Roman"/>
          <w:sz w:val="28"/>
          <w:szCs w:val="20"/>
        </w:rPr>
        <w:t>batir el hambre y la malnutrición en los territorios y poblaciones del ámbito de sus competencias.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15. Crear, fomentar, promover y formular estrategias y políticas en conjunción con las entidades públicas idóneas para estimular cambios culturales y educati</w:t>
      </w:r>
      <w:r w:rsidRPr="003E425B">
        <w:rPr>
          <w:rFonts w:ascii="Times New Roman" w:hAnsi="Times New Roman" w:cs="Times New Roman"/>
          <w:sz w:val="28"/>
          <w:szCs w:val="20"/>
        </w:rPr>
        <w:t>vos profundos en búsqueda de la reducción y eliminación de la discriminación en la sociedad a corto, mediano y largo plazo, teniendo como objetivo la aceptación y reconocimiento de la pluralidad, diversidad y multiculturalidad del Estado Colombiano.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16. Fo</w:t>
      </w:r>
      <w:r w:rsidRPr="003E425B">
        <w:rPr>
          <w:rFonts w:ascii="Times New Roman" w:hAnsi="Times New Roman" w:cs="Times New Roman"/>
          <w:sz w:val="28"/>
          <w:szCs w:val="20"/>
        </w:rPr>
        <w:t>rmular, coordinar y articular políticas, planes, programas y proyectos orientados a reducir las brechas de desigualdad existentes entre zonas urbanas y rurales.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17. Implementar un sistema de indicadores que permita evaluar los impactos de las políticas, pl</w:t>
      </w:r>
      <w:r w:rsidRPr="003E425B">
        <w:rPr>
          <w:rFonts w:ascii="Times New Roman" w:hAnsi="Times New Roman" w:cs="Times New Roman"/>
          <w:sz w:val="28"/>
          <w:szCs w:val="20"/>
        </w:rPr>
        <w:t>anes, programas, proyectos y estrategias que se implementen hada los territorios priorizados, hacia las poblaciones históricamente excluidas y que tengan un enfoque de derechos, de género, diferencial e interseccional.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18. Las demás que le asigne la Ley. </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5º. Ámbito de competencias.</w:t>
      </w:r>
      <w:r w:rsidRPr="003E425B">
        <w:rPr>
          <w:rFonts w:ascii="Times New Roman" w:hAnsi="Times New Roman" w:cs="Times New Roman"/>
          <w:sz w:val="28"/>
          <w:szCs w:val="20"/>
        </w:rPr>
        <w:t xml:space="preserve"> Para desarrollar su objeto, el Ministerio de Igualdad y Equidad, en todo el país con énfasis en los territorios excluidos y marginados, protegerá los derechos, con enfoque de género, transversal, focalizado y de empode</w:t>
      </w:r>
      <w:r w:rsidRPr="003E425B">
        <w:rPr>
          <w:rFonts w:ascii="Times New Roman" w:hAnsi="Times New Roman" w:cs="Times New Roman"/>
          <w:sz w:val="28"/>
          <w:szCs w:val="20"/>
        </w:rPr>
        <w:t>ramiento de las mujeres y las niñas, diferencial e interseccional, de los sujetos de especial protección constitucional, entre otros:</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 Mujeres en todas sus diversidades.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2. Población LGBTIQ+.</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3. Pueblos afrodescendientes, negros, raizales, palanqueros, </w:t>
      </w:r>
      <w:r w:rsidRPr="003E425B">
        <w:rPr>
          <w:rFonts w:ascii="Times New Roman" w:hAnsi="Times New Roman" w:cs="Times New Roman"/>
          <w:sz w:val="28"/>
          <w:szCs w:val="20"/>
        </w:rPr>
        <w:t>indígenas y Rrom.</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4. Campesinos y campesinas,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 Jóvenes.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6. Miembros de hogares en situación de pobreza y pobreza extrema.</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7. Personas con discapacidad.</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8. Habitantes de calle.</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9. Población en territorios excluidos.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10. Mujeres cabeza de familia</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11. Adult</w:t>
      </w:r>
      <w:r w:rsidRPr="003E425B">
        <w:rPr>
          <w:rFonts w:ascii="Times New Roman" w:hAnsi="Times New Roman" w:cs="Times New Roman"/>
          <w:sz w:val="28"/>
          <w:szCs w:val="20"/>
        </w:rPr>
        <w:t>os Mayores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12. Familias.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13. Niñez.</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14. Población migrante regular, irregular, refugiado, en tránsito y retornado.</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 xml:space="preserve">Artículo 6º. Creación del sistema nacional de cuidado. </w:t>
      </w:r>
      <w:r w:rsidRPr="003E425B">
        <w:rPr>
          <w:rFonts w:ascii="Times New Roman" w:hAnsi="Times New Roman" w:cs="Times New Roman"/>
          <w:sz w:val="28"/>
          <w:szCs w:val="20"/>
        </w:rPr>
        <w:t xml:space="preserve">Créase el Sistema Nacional de Cuidado, mediante el cual se articulan servicios, </w:t>
      </w:r>
      <w:r w:rsidRPr="003E425B">
        <w:rPr>
          <w:rFonts w:ascii="Times New Roman" w:hAnsi="Times New Roman" w:cs="Times New Roman"/>
          <w:sz w:val="28"/>
          <w:szCs w:val="20"/>
        </w:rPr>
        <w:t>regulaciones, políticas y acciones técnicas e institucionales existentes y nuevas, con el objeto de dar respuesta a las demandas de cuidado de los hogares de manera corresponsable entre la nación, el sector privado, la sociedad civil, las comunidades y ent</w:t>
      </w:r>
      <w:r w:rsidRPr="003E425B">
        <w:rPr>
          <w:rFonts w:ascii="Times New Roman" w:hAnsi="Times New Roman" w:cs="Times New Roman"/>
          <w:sz w:val="28"/>
          <w:szCs w:val="20"/>
        </w:rPr>
        <w:t>re mujeres y hombres en sus diferencias y diversidad para promover una nueva organización social de los cuidados del país y garantizar los derechos humanos de las personas cuidadoras.</w:t>
      </w:r>
    </w:p>
    <w:p w:rsidR="00CA103F" w:rsidRPr="003E425B" w:rsidRDefault="003E425B" w:rsidP="00010108">
      <w:pPr>
        <w:autoSpaceDE w:val="0"/>
        <w:autoSpaceDN w:val="0"/>
        <w:adjustRightInd w:val="0"/>
        <w:ind w:left="284"/>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El objetivo del sistema es reconocer, reducir, redistribuir, representa</w:t>
      </w:r>
      <w:r w:rsidRPr="003E425B">
        <w:rPr>
          <w:rFonts w:ascii="Times New Roman" w:hAnsi="Times New Roman" w:cs="Times New Roman"/>
          <w:sz w:val="28"/>
          <w:szCs w:val="20"/>
        </w:rPr>
        <w:t>r y recompensar el trabajo de cuidado, remunerado y no remunerado, a través de un modelo corresponsable entre el Estado, el sector privado, la sociedad civil, las familias, las comunidades y entre mujeres y hombres en sus diferencias y diversidad, para com</w:t>
      </w:r>
      <w:r w:rsidRPr="003E425B">
        <w:rPr>
          <w:rFonts w:ascii="Times New Roman" w:hAnsi="Times New Roman" w:cs="Times New Roman"/>
          <w:sz w:val="28"/>
          <w:szCs w:val="20"/>
        </w:rPr>
        <w:t>partir equitativamente las responsabilidades respecto a dichas labores, dar respuesta a las demandas de cuidado de los hogares y las personas que necesitan cuidados, y garantizar los derechos de las personas cuidadoras.</w:t>
      </w:r>
    </w:p>
    <w:p w:rsidR="00CA103F" w:rsidRPr="003E425B" w:rsidRDefault="003E425B" w:rsidP="00010108">
      <w:pPr>
        <w:autoSpaceDE w:val="0"/>
        <w:autoSpaceDN w:val="0"/>
        <w:adjustRightInd w:val="0"/>
        <w:ind w:left="284"/>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7º. Sede y domicilio.</w:t>
      </w:r>
      <w:r w:rsidRPr="003E425B">
        <w:rPr>
          <w:rFonts w:ascii="Times New Roman" w:hAnsi="Times New Roman" w:cs="Times New Roman"/>
          <w:sz w:val="28"/>
          <w:szCs w:val="20"/>
        </w:rPr>
        <w:t xml:space="preserve"> El M</w:t>
      </w:r>
      <w:r w:rsidRPr="003E425B">
        <w:rPr>
          <w:rFonts w:ascii="Times New Roman" w:hAnsi="Times New Roman" w:cs="Times New Roman"/>
          <w:sz w:val="28"/>
          <w:szCs w:val="20"/>
        </w:rPr>
        <w:t>inisterio de Igualdad y Equidad tendrá como sede y domicilio la ciudad de Bogotá, D. C., ejercerá sus funciones a nivel nacional y contará con Direcciones Departamentales a través de las cuales se adaptarán e implementarán las políticas del Sector en el te</w:t>
      </w:r>
      <w:r w:rsidRPr="003E425B">
        <w:rPr>
          <w:rFonts w:ascii="Times New Roman" w:hAnsi="Times New Roman" w:cs="Times New Roman"/>
          <w:sz w:val="28"/>
          <w:szCs w:val="20"/>
        </w:rPr>
        <w:t>rritorio nacional, de acuerdo con lo dispuesto en la presente ley.</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8º. Patrimonio.</w:t>
      </w:r>
      <w:r w:rsidRPr="003E425B">
        <w:rPr>
          <w:rFonts w:ascii="Times New Roman" w:hAnsi="Times New Roman" w:cs="Times New Roman"/>
          <w:sz w:val="28"/>
          <w:szCs w:val="20"/>
        </w:rPr>
        <w:t xml:space="preserve"> El patrimonio del Ministerio de Igualdad y Equidad estará conformado por:</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 Las sumas que se apropien en el Presupuesto General de la Nación.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2. Los bienes muebl</w:t>
      </w:r>
      <w:r w:rsidRPr="003E425B">
        <w:rPr>
          <w:rFonts w:ascii="Times New Roman" w:hAnsi="Times New Roman" w:cs="Times New Roman"/>
          <w:sz w:val="28"/>
          <w:szCs w:val="20"/>
        </w:rPr>
        <w:t>es e inmuebles que adquiera a cualquier título.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3. Las sumas y los bienes muebles e inmuebles que le sean donados o cedidos por entidades públicas o privadas, nacionales o internacionales. </w:t>
      </w:r>
    </w:p>
    <w:p w:rsidR="00CA103F" w:rsidRPr="003E425B" w:rsidRDefault="003E425B" w:rsidP="00010108">
      <w:pPr>
        <w:autoSpaceDE w:val="0"/>
        <w:autoSpaceDN w:val="0"/>
        <w:adjustRightInd w:val="0"/>
        <w:ind w:left="284"/>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9º.</w:t>
      </w:r>
      <w:r w:rsidRPr="003E425B">
        <w:rPr>
          <w:rFonts w:ascii="Times New Roman" w:hAnsi="Times New Roman" w:cs="Times New Roman"/>
          <w:sz w:val="28"/>
          <w:szCs w:val="20"/>
        </w:rPr>
        <w:t xml:space="preserve"> Integración del Sector Administrativo de Igualdad y </w:t>
      </w:r>
      <w:r w:rsidRPr="003E425B">
        <w:rPr>
          <w:rFonts w:ascii="Times New Roman" w:hAnsi="Times New Roman" w:cs="Times New Roman"/>
          <w:sz w:val="28"/>
          <w:szCs w:val="20"/>
        </w:rPr>
        <w:t>Equidad. El Sector Administrativo de Igualdad y Equidad está integrado por el Ministerio de Igualdad y Equidad y las demás entidades que le adscriba o vincule la ley, conforme al artículo 42 de la Ley 489 de 1998.</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Parágrafo Transitorio.</w:t>
      </w:r>
      <w:r w:rsidRPr="003E425B">
        <w:rPr>
          <w:rFonts w:ascii="Times New Roman" w:hAnsi="Times New Roman" w:cs="Times New Roman"/>
          <w:sz w:val="28"/>
          <w:szCs w:val="20"/>
        </w:rPr>
        <w:t xml:space="preserve"> Con el fin de pres</w:t>
      </w:r>
      <w:r w:rsidRPr="003E425B">
        <w:rPr>
          <w:rFonts w:ascii="Times New Roman" w:hAnsi="Times New Roman" w:cs="Times New Roman"/>
          <w:sz w:val="28"/>
          <w:szCs w:val="20"/>
        </w:rPr>
        <w:t xml:space="preserve">ervar y potenciar el impacto positivo generado durante el desarrollo de su misionalidad, el proceso de integración de entidades al Sector Administrativo de la Igualdad y Equidad deberá salvaguardar la memoria institucional y las buenas prácticas generadas </w:t>
      </w:r>
      <w:r w:rsidRPr="003E425B">
        <w:rPr>
          <w:rFonts w:ascii="Times New Roman" w:hAnsi="Times New Roman" w:cs="Times New Roman"/>
          <w:sz w:val="28"/>
          <w:szCs w:val="20"/>
        </w:rPr>
        <w:t>por estas a través del tiempo.</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10. Dirección del Ministerio.</w:t>
      </w:r>
      <w:r w:rsidRPr="003E425B">
        <w:rPr>
          <w:rFonts w:ascii="Times New Roman" w:hAnsi="Times New Roman" w:cs="Times New Roman"/>
          <w:sz w:val="28"/>
          <w:szCs w:val="20"/>
        </w:rPr>
        <w:t xml:space="preserve"> La dirección del Ministerio estará a cargo de la Ministra o Ministro de Igualdad y Equidad.</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11. Estructura Interna.</w:t>
      </w:r>
      <w:r w:rsidRPr="003E425B">
        <w:rPr>
          <w:rFonts w:ascii="Times New Roman" w:hAnsi="Times New Roman" w:cs="Times New Roman"/>
          <w:sz w:val="28"/>
          <w:szCs w:val="20"/>
        </w:rPr>
        <w:t xml:space="preserve"> El Ministerio de Igualdad y Equidad tendrá una estructura i</w:t>
      </w:r>
      <w:r w:rsidRPr="003E425B">
        <w:rPr>
          <w:rFonts w:ascii="Times New Roman" w:hAnsi="Times New Roman" w:cs="Times New Roman"/>
          <w:sz w:val="28"/>
          <w:szCs w:val="20"/>
        </w:rPr>
        <w:t>nterna inicial con las dependencias de dirección, asesoría, coordinación, gestión y apoyo, la cual debe ser armónica con los procesos de planeación y gestión.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 Despacho de la Ministra o el Ministro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1.1. Oficina de Control Interno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1.2. Oficina Asesora de </w:t>
      </w:r>
      <w:r w:rsidRPr="003E425B">
        <w:rPr>
          <w:rFonts w:ascii="Times New Roman" w:hAnsi="Times New Roman" w:cs="Times New Roman"/>
          <w:sz w:val="28"/>
          <w:szCs w:val="20"/>
        </w:rPr>
        <w:t>Planeación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1.3. Oficina Asesora Jurídica</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1.4. Oficina Asesora de Comunicaciones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1.5. Oficina Asesora de Control Interno Disciplinario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1.6. Oficina de Tecnologías y Sistemas de Información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1.7. Direcciones Departamentales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2. Despacho de la Viceministra</w:t>
      </w:r>
      <w:r w:rsidRPr="003E425B">
        <w:rPr>
          <w:rFonts w:ascii="Times New Roman" w:hAnsi="Times New Roman" w:cs="Times New Roman"/>
          <w:sz w:val="28"/>
          <w:szCs w:val="20"/>
        </w:rPr>
        <w:t xml:space="preserve"> o el Viceministro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3. Despacho de la Viceministra o el Viceministro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4. Despacho de la Viceministra o el Viceministro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Direcciones misionales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 Secretaría General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5.1. Subdirección de Talento Humano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5.2. Subdirección Administrativa y Financiera5.3. Subdir</w:t>
      </w:r>
      <w:r w:rsidRPr="003E425B">
        <w:rPr>
          <w:rFonts w:ascii="Times New Roman" w:hAnsi="Times New Roman" w:cs="Times New Roman"/>
          <w:sz w:val="28"/>
          <w:szCs w:val="20"/>
        </w:rPr>
        <w:t>ección de Contratación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6. Órganos de Asesoría y Coordinación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Comité Institucional de Gestión y Desempeño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Comité de Control Interno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Comisión de Personal</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El Presidente de la República, con base en sus facultades permanentes consagradas en el artículo </w:t>
      </w:r>
      <w:r w:rsidRPr="003E425B">
        <w:rPr>
          <w:rFonts w:ascii="Times New Roman" w:hAnsi="Times New Roman" w:cs="Times New Roman"/>
          <w:sz w:val="28"/>
          <w:szCs w:val="20"/>
        </w:rPr>
        <w:t xml:space="preserve">189 numerales 16 y 17 de la Constitución Política, podrá modificar la estructura del Ministerio con sujeción a los principios y reglas generales constitucionales y legales definidos, así como distribuir los negocios de otras entidades según su naturaleza, </w:t>
      </w:r>
      <w:r w:rsidRPr="003E425B">
        <w:rPr>
          <w:rFonts w:ascii="Times New Roman" w:hAnsi="Times New Roman" w:cs="Times New Roman"/>
          <w:sz w:val="28"/>
          <w:szCs w:val="20"/>
        </w:rPr>
        <w:t xml:space="preserve">para lograr los fines de la presente ley, en el marco de austeridad presupuestal. </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En cumplimiento del objeto del Ministerio de Igualdad y Equidad, el Presidente de la República deberá integrar al Ministerio de Igualdad y Equidad todas las áreas, dependen</w:t>
      </w:r>
      <w:r w:rsidRPr="003E425B">
        <w:rPr>
          <w:rFonts w:ascii="Times New Roman" w:hAnsi="Times New Roman" w:cs="Times New Roman"/>
          <w:sz w:val="28"/>
          <w:szCs w:val="20"/>
        </w:rPr>
        <w:t>cias y unidades administrativas, que sean necesarias para diseñar, formular, adoptar, dirigir, coordinar, articular, ejecutar y evaluar, las políticas, planes, programas, estrategias, proyectos y medidas para contribuir en la eliminación de las desigualdad</w:t>
      </w:r>
      <w:r w:rsidRPr="003E425B">
        <w:rPr>
          <w:rFonts w:ascii="Times New Roman" w:hAnsi="Times New Roman" w:cs="Times New Roman"/>
          <w:sz w:val="28"/>
          <w:szCs w:val="20"/>
        </w:rPr>
        <w:t xml:space="preserve">es económicas, políticas y sociales; impulsar el goce del derecho a la igualdad y unificar la política de estado en materia de Igualdad y Equidad. </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u w:val="single"/>
        </w:rPr>
      </w:pPr>
      <w:r w:rsidRPr="003E425B">
        <w:rPr>
          <w:rFonts w:ascii="Times New Roman" w:hAnsi="Times New Roman" w:cs="Times New Roman"/>
          <w:b/>
          <w:bCs/>
          <w:sz w:val="28"/>
          <w:szCs w:val="20"/>
          <w:u w:val="single"/>
        </w:rPr>
        <w:t>Artículo 12. Facultades extraordinarias.</w:t>
      </w:r>
      <w:r w:rsidRPr="003E425B">
        <w:rPr>
          <w:rFonts w:ascii="Times New Roman" w:hAnsi="Times New Roman" w:cs="Times New Roman"/>
          <w:sz w:val="28"/>
          <w:szCs w:val="20"/>
          <w:u w:val="single"/>
        </w:rPr>
        <w:t xml:space="preserve"> Revístase al Presidente de la República de precisas facultades ext</w:t>
      </w:r>
      <w:r w:rsidRPr="003E425B">
        <w:rPr>
          <w:rFonts w:ascii="Times New Roman" w:hAnsi="Times New Roman" w:cs="Times New Roman"/>
          <w:sz w:val="28"/>
          <w:szCs w:val="20"/>
          <w:u w:val="single"/>
        </w:rPr>
        <w:t>raordinarias, por el término de seis (6) meses, contados a partir de la fecha de publicación de la presente ley, para expedir normas con fuerza material de ley dirigidas a integrar al Sector de Igualdad y Equidad con las entidades que defina como adscritas</w:t>
      </w:r>
      <w:r w:rsidRPr="003E425B">
        <w:rPr>
          <w:rFonts w:ascii="Times New Roman" w:hAnsi="Times New Roman" w:cs="Times New Roman"/>
          <w:sz w:val="28"/>
          <w:szCs w:val="20"/>
          <w:u w:val="single"/>
        </w:rPr>
        <w:t xml:space="preserve"> o vinculadas. Lo anterior, de conformidad con lo establecido en el artículo 150 numeral 10 de la Constitución Política.</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13. Derechos laborales y mínimo impacto fiscal.</w:t>
      </w:r>
      <w:r w:rsidRPr="003E425B">
        <w:rPr>
          <w:rFonts w:ascii="Times New Roman" w:hAnsi="Times New Roman" w:cs="Times New Roman"/>
          <w:sz w:val="28"/>
          <w:szCs w:val="20"/>
        </w:rPr>
        <w:t xml:space="preserve"> El Gobierno nacional en ejercicio de sus facultades permanentes garantizará l</w:t>
      </w:r>
      <w:r w:rsidRPr="003E425B">
        <w:rPr>
          <w:rFonts w:ascii="Times New Roman" w:hAnsi="Times New Roman" w:cs="Times New Roman"/>
          <w:sz w:val="28"/>
          <w:szCs w:val="20"/>
        </w:rPr>
        <w:t>os derechos de las servidoras y servidores públicos, en especial de aquellos que estén inscritos en la carrera administrativa, propiciando la paridad de género y la inclusión de personas con discapacidad.</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De conformidad con los estudios que generen sobre </w:t>
      </w:r>
      <w:r w:rsidRPr="003E425B">
        <w:rPr>
          <w:rFonts w:ascii="Times New Roman" w:hAnsi="Times New Roman" w:cs="Times New Roman"/>
          <w:sz w:val="28"/>
          <w:szCs w:val="20"/>
        </w:rPr>
        <w:t>el funcionamiento de la entidad por parte de la Función Pública y de acuerdo a la disponibilidad fiscal del país y la existencia de recursos para tal propósito, se deberá garantizar el mínimo impacto fiscal de esta iniciativa.</w:t>
      </w:r>
    </w:p>
    <w:p w:rsidR="00866085"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 xml:space="preserve">Artículo 14. Comisión de </w:t>
      </w:r>
      <w:r w:rsidRPr="003E425B">
        <w:rPr>
          <w:rFonts w:ascii="Times New Roman" w:hAnsi="Times New Roman" w:cs="Times New Roman"/>
          <w:b/>
          <w:bCs/>
          <w:sz w:val="28"/>
          <w:szCs w:val="20"/>
        </w:rPr>
        <w:t>seguimiento.</w:t>
      </w:r>
      <w:r w:rsidRPr="003E425B">
        <w:rPr>
          <w:rFonts w:ascii="Times New Roman" w:hAnsi="Times New Roman" w:cs="Times New Roman"/>
          <w:sz w:val="28"/>
          <w:szCs w:val="20"/>
        </w:rPr>
        <w:t xml:space="preserve"> Créese una Comisión de Seguimiento integrada por cinco (5) Senadores y nueve (9) Representantes, de diferentes bancadas y con participación de los partidos declarados en oposición e independencia, designados por los presidentes del Senado de l</w:t>
      </w:r>
      <w:r w:rsidRPr="003E425B">
        <w:rPr>
          <w:rFonts w:ascii="Times New Roman" w:hAnsi="Times New Roman" w:cs="Times New Roman"/>
          <w:sz w:val="28"/>
          <w:szCs w:val="20"/>
        </w:rPr>
        <w:t>a República y la Cámara de Representantes para hacer seguimiento permanente a las facultades conferidas en este proyecto, recibir los informes del Gobierno y presentarlos al Congreso.</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Parágrafo. Para todos los efectos, las Comisiones Séptimas Constitucion</w:t>
      </w:r>
      <w:r w:rsidRPr="003E425B">
        <w:rPr>
          <w:rFonts w:ascii="Times New Roman" w:hAnsi="Times New Roman" w:cs="Times New Roman"/>
          <w:sz w:val="28"/>
          <w:szCs w:val="20"/>
        </w:rPr>
        <w:t xml:space="preserve">ales de Cámara y Senado conocerán de las funciones, temas y objeto del Ministerio de Igualdad y Equidad. </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15.</w:t>
      </w:r>
      <w:r w:rsidRPr="003E425B">
        <w:rPr>
          <w:rFonts w:ascii="Times New Roman" w:hAnsi="Times New Roman" w:cs="Times New Roman"/>
          <w:sz w:val="28"/>
          <w:szCs w:val="20"/>
        </w:rPr>
        <w:t xml:space="preserve"> Modifíquese el artículo 17 de la Ley 1444 de 2011, modificado por el artículo 20 de la Ley 2162 de 2021, el cual quedará así:</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Artículo 1</w:t>
      </w:r>
      <w:r w:rsidRPr="003E425B">
        <w:rPr>
          <w:rFonts w:ascii="Times New Roman" w:hAnsi="Times New Roman" w:cs="Times New Roman"/>
          <w:sz w:val="28"/>
          <w:szCs w:val="20"/>
        </w:rPr>
        <w:t>7. Número, denominación, orden y precedencia de los Ministerios. El número de ministerios es diecinueve. La denominación, orden y precedencia de los ministerios es la siguiente:</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 Ministerio del Interior.</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2. Ministerio de Relaciones Exteriores.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3. </w:t>
      </w:r>
      <w:r w:rsidRPr="003E425B">
        <w:rPr>
          <w:rFonts w:ascii="Times New Roman" w:hAnsi="Times New Roman" w:cs="Times New Roman"/>
          <w:sz w:val="28"/>
          <w:szCs w:val="20"/>
        </w:rPr>
        <w:t>Ministerio de Hacienda y Crédito Público.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4. Ministerio de Justicia y del Derecho.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 Ministerio de Defensa Nacional.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6. Ministerio de Agricultura y Desarrollo Rural.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7. Ministerio de Salud y Protección Social.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8. Ministerio de Trabajo.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9. Ministerio de Mi</w:t>
      </w:r>
      <w:r w:rsidRPr="003E425B">
        <w:rPr>
          <w:rFonts w:ascii="Times New Roman" w:hAnsi="Times New Roman" w:cs="Times New Roman"/>
          <w:sz w:val="28"/>
          <w:szCs w:val="20"/>
        </w:rPr>
        <w:t>nas y Energía.</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10. Ministerio de Comercio, Industria y Turismo.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11. Ministerio de Educación Nacional.</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12. Ministerio de Ambiente y Desarrollo Sostenible.</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13. Ministerio de Vivienda, Ciudad y Territorio.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14. Ministerio de Tecnologías de la Información y las</w:t>
      </w:r>
      <w:r w:rsidRPr="003E425B">
        <w:rPr>
          <w:rFonts w:ascii="Times New Roman" w:hAnsi="Times New Roman" w:cs="Times New Roman"/>
          <w:sz w:val="28"/>
          <w:szCs w:val="20"/>
        </w:rPr>
        <w:t xml:space="preserve"> Comunicaciones.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15. Ministerio de Transporte.</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16. Ministerio de Cultura.</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17. Ministerio del Deporte.</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18. Ministerio de Ciencia, Tecnología e Innovación.</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19. Ministerio de Igualdad y Equidad. </w:t>
      </w:r>
    </w:p>
    <w:p w:rsidR="00CA103F" w:rsidRPr="003E425B" w:rsidRDefault="003E425B" w:rsidP="00010108">
      <w:pPr>
        <w:autoSpaceDE w:val="0"/>
        <w:autoSpaceDN w:val="0"/>
        <w:adjustRightInd w:val="0"/>
        <w:rPr>
          <w:rFonts w:ascii="Times New Roman" w:hAnsi="Times New Roman" w:cs="Times New Roman"/>
          <w:sz w:val="28"/>
          <w:szCs w:val="20"/>
        </w:rPr>
      </w:pP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b/>
          <w:bCs/>
          <w:sz w:val="28"/>
          <w:szCs w:val="20"/>
        </w:rPr>
        <w:t>Artículo 16. Modificado por la Ley 2294 de 2023, artículo 213.</w:t>
      </w:r>
      <w:r w:rsidRPr="003E425B">
        <w:rPr>
          <w:rFonts w:ascii="Times New Roman" w:hAnsi="Times New Roman" w:cs="Times New Roman"/>
          <w:sz w:val="28"/>
          <w:szCs w:val="20"/>
        </w:rPr>
        <w:t xml:space="preserve"> Modifíquese el artículo 16 de la Ley 1355 de 2009, el cual quedará así:</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Artículo 16. Integración de la Comisión Intersectorial de Seguridad Alimentaria y Nutricional. La Comisión Intersectorial de Seguridad Alimentaria y Nutricional (CISAN) estará conform</w:t>
      </w:r>
      <w:r w:rsidRPr="003E425B">
        <w:rPr>
          <w:rFonts w:ascii="Times New Roman" w:hAnsi="Times New Roman" w:cs="Times New Roman"/>
          <w:sz w:val="28"/>
          <w:szCs w:val="20"/>
        </w:rPr>
        <w:t>ada por los siguientes funcionarios:</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 El Director del Departamento Administrativo de la Presidencia de la República o su delegado, quien la presidirá.</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2. Ministro de Agricultura y Desarrollo Rural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3. Ministro de Salud y Protección Social o</w:t>
      </w:r>
      <w:r w:rsidRPr="003E425B">
        <w:rPr>
          <w:rFonts w:ascii="Times New Roman" w:hAnsi="Times New Roman" w:cs="Times New Roman"/>
          <w:sz w:val="28"/>
          <w:szCs w:val="20"/>
        </w:rPr>
        <w:t xml:space="preserve">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4. Ministro de Comercio, Industria y Turismo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5. Ministro de Educación Nacional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6. Ministro de Ambiente y Desarrollo Sostenible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7. Ministro de Vivienda, Ciudad y Territorio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 xml:space="preserve">8. </w:t>
      </w:r>
      <w:r w:rsidRPr="003E425B">
        <w:rPr>
          <w:rFonts w:ascii="Times New Roman" w:hAnsi="Times New Roman" w:cs="Times New Roman"/>
          <w:sz w:val="28"/>
          <w:szCs w:val="20"/>
        </w:rPr>
        <w:t>Ministro de Igualdad y Equidad.</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9. Director del Departamento Nacional de Planeación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10. Director del Departamento Administrativo para la Prosperidad Social (DPS)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11. Director del Instituto Colombiano de Bienestar Familiar (ICB</w:t>
      </w:r>
      <w:r w:rsidRPr="003E425B">
        <w:rPr>
          <w:rFonts w:ascii="Times New Roman" w:hAnsi="Times New Roman" w:cs="Times New Roman"/>
          <w:sz w:val="28"/>
          <w:szCs w:val="20"/>
        </w:rPr>
        <w:t>F) o su delegado.</w:t>
      </w:r>
    </w:p>
    <w:p w:rsidR="00CA103F" w:rsidRPr="003E425B" w:rsidRDefault="003E425B" w:rsidP="00010108">
      <w:pPr>
        <w:autoSpaceDE w:val="0"/>
        <w:autoSpaceDN w:val="0"/>
        <w:adjustRightInd w:val="0"/>
        <w:rPr>
          <w:rFonts w:ascii="Times New Roman" w:hAnsi="Times New Roman" w:cs="Times New Roman"/>
          <w:sz w:val="28"/>
          <w:szCs w:val="20"/>
        </w:rPr>
      </w:pPr>
      <w:r w:rsidRPr="003E425B">
        <w:rPr>
          <w:rFonts w:ascii="Times New Roman" w:hAnsi="Times New Roman" w:cs="Times New Roman"/>
          <w:sz w:val="28"/>
          <w:szCs w:val="20"/>
        </w:rPr>
        <w:t>12. Un miembro de la Asociación Colombiana de Facultades de Nutrición, designado por su junta directiva.</w:t>
      </w:r>
    </w:p>
    <w:p w:rsidR="00866085" w:rsidRPr="003E425B" w:rsidRDefault="003E425B" w:rsidP="00010108">
      <w:pPr>
        <w:autoSpaceDE w:val="0"/>
        <w:autoSpaceDN w:val="0"/>
        <w:adjustRightInd w:val="0"/>
        <w:ind w:left="284"/>
        <w:rPr>
          <w:rFonts w:ascii="Times New Roman" w:hAnsi="Times New Roman" w:cs="Times New Roman"/>
          <w:sz w:val="28"/>
          <w:szCs w:val="20"/>
        </w:rPr>
      </w:pPr>
    </w:p>
    <w:p w:rsidR="00866085" w:rsidRPr="003E425B" w:rsidRDefault="003E425B" w:rsidP="00010108">
      <w:pPr>
        <w:autoSpaceDE w:val="0"/>
        <w:autoSpaceDN w:val="0"/>
        <w:adjustRightInd w:val="0"/>
        <w:rPr>
          <w:rFonts w:ascii="Times New Roman" w:hAnsi="Times New Roman" w:cs="Times New Roman"/>
          <w:sz w:val="28"/>
          <w:szCs w:val="24"/>
        </w:rPr>
      </w:pPr>
      <w:r w:rsidRPr="003E425B">
        <w:rPr>
          <w:rFonts w:ascii="Times New Roman" w:hAnsi="Times New Roman" w:cs="Times New Roman"/>
          <w:b/>
          <w:bCs/>
          <w:sz w:val="28"/>
          <w:szCs w:val="20"/>
        </w:rPr>
        <w:t>Artículo 17. Vigencia y derogatorias.</w:t>
      </w:r>
      <w:r w:rsidRPr="003E425B">
        <w:rPr>
          <w:rFonts w:ascii="Times New Roman" w:hAnsi="Times New Roman" w:cs="Times New Roman"/>
          <w:sz w:val="28"/>
          <w:szCs w:val="20"/>
        </w:rPr>
        <w:t xml:space="preserve"> La presente ley rige a partir de la fecha de su publicación y deroga las disposiciones que le </w:t>
      </w:r>
      <w:r w:rsidRPr="003E425B">
        <w:rPr>
          <w:rFonts w:ascii="Times New Roman" w:hAnsi="Times New Roman" w:cs="Times New Roman"/>
          <w:sz w:val="28"/>
          <w:szCs w:val="20"/>
        </w:rPr>
        <w:t>sean contrarias</w:t>
      </w:r>
      <w:r w:rsidRPr="003E425B">
        <w:rPr>
          <w:rFonts w:ascii="Times New Roman" w:hAnsi="Times New Roman" w:cs="Times New Roman"/>
          <w:sz w:val="28"/>
          <w:szCs w:val="24"/>
        </w:rPr>
        <w:t>.</w:t>
      </w:r>
    </w:p>
    <w:p w:rsidR="00866085" w:rsidRPr="003E425B" w:rsidRDefault="003E425B" w:rsidP="00010108">
      <w:pPr>
        <w:tabs>
          <w:tab w:val="left" w:pos="567"/>
        </w:tabs>
        <w:ind w:right="335"/>
        <w:rPr>
          <w:rFonts w:ascii="Times New Roman" w:hAnsi="Times New Roman" w:cs="Times New Roman"/>
          <w:sz w:val="28"/>
          <w:szCs w:val="28"/>
        </w:rPr>
      </w:pPr>
    </w:p>
    <w:p w:rsidR="009015C4" w:rsidRPr="003E425B" w:rsidRDefault="003E425B" w:rsidP="00010108">
      <w:pPr>
        <w:tabs>
          <w:tab w:val="left" w:pos="567"/>
        </w:tabs>
        <w:ind w:right="335"/>
        <w:rPr>
          <w:rFonts w:ascii="Times New Roman" w:hAnsi="Times New Roman" w:cs="Times New Roman"/>
          <w:sz w:val="28"/>
          <w:szCs w:val="28"/>
        </w:rPr>
      </w:pPr>
    </w:p>
    <w:p w:rsidR="009F6FFC" w:rsidRPr="003E425B" w:rsidRDefault="003E425B" w:rsidP="00010108">
      <w:pPr>
        <w:pStyle w:val="Ttulo2"/>
        <w:numPr>
          <w:ilvl w:val="0"/>
          <w:numId w:val="9"/>
        </w:numPr>
        <w:ind w:left="851" w:hanging="284"/>
        <w:rPr>
          <w:rFonts w:ascii="Times New Roman" w:hAnsi="Times New Roman" w:cs="Times New Roman"/>
          <w:sz w:val="28"/>
        </w:rPr>
      </w:pPr>
      <w:r w:rsidRPr="003E425B">
        <w:rPr>
          <w:rFonts w:ascii="Times New Roman" w:hAnsi="Times New Roman" w:cs="Times New Roman"/>
          <w:sz w:val="28"/>
        </w:rPr>
        <w:t>La demanda</w:t>
      </w:r>
    </w:p>
    <w:p w:rsidR="00C658CD" w:rsidRPr="003E425B" w:rsidRDefault="003E425B" w:rsidP="00010108">
      <w:pPr>
        <w:tabs>
          <w:tab w:val="left" w:pos="567"/>
        </w:tabs>
        <w:rPr>
          <w:rFonts w:ascii="Times New Roman" w:hAnsi="Times New Roman" w:cs="Times New Roman"/>
          <w:sz w:val="28"/>
          <w:szCs w:val="28"/>
        </w:rPr>
      </w:pPr>
    </w:p>
    <w:p w:rsidR="00D15CB2" w:rsidRPr="003E425B" w:rsidRDefault="003E425B" w:rsidP="00010108">
      <w:pPr>
        <w:numPr>
          <w:ilvl w:val="0"/>
          <w:numId w:val="10"/>
        </w:numPr>
        <w:tabs>
          <w:tab w:val="left" w:pos="567"/>
        </w:tabs>
        <w:ind w:left="0" w:firstLine="0"/>
        <w:rPr>
          <w:rFonts w:ascii="Times New Roman" w:hAnsi="Times New Roman" w:cs="Times New Roman"/>
          <w:bCs/>
          <w:color w:val="000000" w:themeColor="text1"/>
          <w:sz w:val="28"/>
          <w:lang w:eastAsia="es-ES_tradnl"/>
        </w:rPr>
      </w:pPr>
      <w:r w:rsidRPr="003E425B">
        <w:rPr>
          <w:rFonts w:ascii="Times New Roman" w:hAnsi="Times New Roman" w:cs="Times New Roman"/>
          <w:color w:val="000000" w:themeColor="text1"/>
          <w:sz w:val="28"/>
        </w:rPr>
        <w:t>L</w:t>
      </w:r>
      <w:r w:rsidRPr="003E425B">
        <w:rPr>
          <w:rFonts w:ascii="Times New Roman" w:hAnsi="Times New Roman" w:cs="Times New Roman"/>
          <w:color w:val="000000" w:themeColor="text1"/>
          <w:sz w:val="28"/>
        </w:rPr>
        <w:t xml:space="preserve">os demandantes </w:t>
      </w:r>
      <w:r w:rsidRPr="003E425B">
        <w:rPr>
          <w:rFonts w:ascii="Times New Roman" w:hAnsi="Times New Roman" w:cs="Times New Roman"/>
          <w:color w:val="000000" w:themeColor="text1"/>
          <w:sz w:val="28"/>
        </w:rPr>
        <w:t xml:space="preserve">formulan tres cargos de </w:t>
      </w:r>
      <w:r w:rsidRPr="003E425B">
        <w:rPr>
          <w:rFonts w:ascii="Times New Roman" w:hAnsi="Times New Roman" w:cs="Times New Roman"/>
          <w:color w:val="000000" w:themeColor="text1"/>
          <w:sz w:val="28"/>
        </w:rPr>
        <w:t>in</w:t>
      </w:r>
      <w:r w:rsidRPr="003E425B">
        <w:rPr>
          <w:rFonts w:ascii="Times New Roman" w:hAnsi="Times New Roman" w:cs="Times New Roman"/>
          <w:color w:val="000000" w:themeColor="text1"/>
          <w:sz w:val="28"/>
        </w:rPr>
        <w:t>constitucionalidad</w:t>
      </w:r>
      <w:r w:rsidRPr="003E425B">
        <w:rPr>
          <w:rFonts w:ascii="Times New Roman" w:hAnsi="Times New Roman" w:cs="Times New Roman"/>
          <w:color w:val="000000" w:themeColor="text1"/>
          <w:sz w:val="28"/>
        </w:rPr>
        <w:t xml:space="preserve">: dos en contra de la totalidad </w:t>
      </w:r>
      <w:r w:rsidRPr="003E425B">
        <w:rPr>
          <w:rFonts w:ascii="Times New Roman" w:hAnsi="Times New Roman" w:cs="Times New Roman"/>
          <w:color w:val="000000" w:themeColor="text1"/>
          <w:sz w:val="28"/>
        </w:rPr>
        <w:t xml:space="preserve">de la Ley </w:t>
      </w:r>
      <w:r w:rsidRPr="003E425B">
        <w:rPr>
          <w:rFonts w:ascii="Times New Roman" w:hAnsi="Times New Roman" w:cs="Times New Roman"/>
          <w:color w:val="000000" w:themeColor="text1"/>
          <w:sz w:val="28"/>
        </w:rPr>
        <w:t>por vicios de</w:t>
      </w:r>
      <w:r w:rsidRPr="003E425B">
        <w:rPr>
          <w:rFonts w:ascii="Times New Roman" w:hAnsi="Times New Roman" w:cs="Times New Roman"/>
          <w:color w:val="000000" w:themeColor="text1"/>
          <w:sz w:val="28"/>
        </w:rPr>
        <w:t xml:space="preserve"> procedimiento</w:t>
      </w:r>
      <w:r w:rsidRPr="003E425B">
        <w:rPr>
          <w:rFonts w:ascii="Times New Roman" w:hAnsi="Times New Roman" w:cs="Times New Roman"/>
          <w:color w:val="000000" w:themeColor="text1"/>
          <w:sz w:val="28"/>
        </w:rPr>
        <w:t xml:space="preserve"> en su formación</w:t>
      </w:r>
      <w:r w:rsidRPr="003E425B">
        <w:rPr>
          <w:rFonts w:ascii="Times New Roman" w:hAnsi="Times New Roman" w:cs="Times New Roman"/>
          <w:color w:val="000000" w:themeColor="text1"/>
          <w:sz w:val="28"/>
        </w:rPr>
        <w:t xml:space="preserve"> y</w:t>
      </w:r>
      <w:r w:rsidRPr="003E425B">
        <w:rPr>
          <w:rFonts w:ascii="Times New Roman" w:hAnsi="Times New Roman" w:cs="Times New Roman"/>
          <w:color w:val="000000" w:themeColor="text1"/>
          <w:sz w:val="28"/>
        </w:rPr>
        <w:t xml:space="preserve"> uno, en contra del artíc</w:t>
      </w:r>
      <w:r w:rsidRPr="003E425B">
        <w:rPr>
          <w:rFonts w:ascii="Times New Roman" w:hAnsi="Times New Roman" w:cs="Times New Roman"/>
          <w:color w:val="000000" w:themeColor="text1"/>
          <w:sz w:val="28"/>
        </w:rPr>
        <w:t>u</w:t>
      </w:r>
      <w:r w:rsidRPr="003E425B">
        <w:rPr>
          <w:rFonts w:ascii="Times New Roman" w:hAnsi="Times New Roman" w:cs="Times New Roman"/>
          <w:color w:val="000000" w:themeColor="text1"/>
          <w:sz w:val="28"/>
        </w:rPr>
        <w:t>lo 12</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 xml:space="preserve"> Primero, </w:t>
      </w:r>
      <w:bookmarkStart w:id="5" w:name="_Hlk165127592"/>
      <w:r w:rsidRPr="003E425B">
        <w:rPr>
          <w:rFonts w:ascii="Times New Roman" w:hAnsi="Times New Roman" w:cs="Times New Roman"/>
          <w:color w:val="000000" w:themeColor="text1"/>
          <w:sz w:val="28"/>
        </w:rPr>
        <w:t xml:space="preserve">sostienen que la Ley 2281 de 2023 es inexequible, porque el informe de ponencia para primer debate </w:t>
      </w:r>
      <w:r w:rsidRPr="003E425B">
        <w:rPr>
          <w:rFonts w:ascii="Times New Roman" w:hAnsi="Times New Roman" w:cs="Times New Roman"/>
          <w:color w:val="000000" w:themeColor="text1"/>
          <w:sz w:val="28"/>
        </w:rPr>
        <w:t xml:space="preserve">no </w:t>
      </w:r>
      <w:r w:rsidRPr="003E425B">
        <w:rPr>
          <w:rFonts w:ascii="Times New Roman" w:hAnsi="Times New Roman" w:cs="Times New Roman"/>
          <w:color w:val="000000" w:themeColor="text1"/>
          <w:sz w:val="28"/>
        </w:rPr>
        <w:t>fue aprobad</w:t>
      </w:r>
      <w:r w:rsidRPr="003E425B">
        <w:rPr>
          <w:rFonts w:ascii="Times New Roman" w:hAnsi="Times New Roman" w:cs="Times New Roman"/>
          <w:color w:val="000000" w:themeColor="text1"/>
          <w:sz w:val="28"/>
        </w:rPr>
        <w:t xml:space="preserve">o conforme a las reglas </w:t>
      </w:r>
      <w:r w:rsidRPr="003E425B">
        <w:rPr>
          <w:rFonts w:ascii="Times New Roman" w:hAnsi="Times New Roman" w:cs="Times New Roman"/>
          <w:color w:val="000000" w:themeColor="text1"/>
          <w:sz w:val="28"/>
        </w:rPr>
        <w:t xml:space="preserve">de quórum, </w:t>
      </w:r>
      <w:r w:rsidRPr="003E425B">
        <w:rPr>
          <w:rFonts w:ascii="Times New Roman" w:hAnsi="Times New Roman" w:cs="Times New Roman"/>
          <w:color w:val="000000" w:themeColor="text1"/>
          <w:sz w:val="28"/>
        </w:rPr>
        <w:t xml:space="preserve">modo de </w:t>
      </w:r>
      <w:r w:rsidRPr="003E425B">
        <w:rPr>
          <w:rFonts w:ascii="Times New Roman" w:hAnsi="Times New Roman" w:cs="Times New Roman"/>
          <w:color w:val="000000" w:themeColor="text1"/>
          <w:sz w:val="28"/>
        </w:rPr>
        <w:t>votación y mayorías previstas en los artículos 14</w:t>
      </w:r>
      <w:r w:rsidRPr="003E425B">
        <w:rPr>
          <w:rFonts w:ascii="Times New Roman" w:hAnsi="Times New Roman" w:cs="Times New Roman"/>
          <w:color w:val="000000" w:themeColor="text1"/>
          <w:sz w:val="28"/>
        </w:rPr>
        <w:t xml:space="preserve">5 </w:t>
      </w:r>
      <w:r w:rsidRPr="003E425B">
        <w:rPr>
          <w:rFonts w:ascii="Times New Roman" w:hAnsi="Times New Roman" w:cs="Times New Roman"/>
          <w:color w:val="000000" w:themeColor="text1"/>
          <w:sz w:val="28"/>
        </w:rPr>
        <w:t>de la Constitución y 119 de la Ley 5ª de 1992</w:t>
      </w:r>
      <w:bookmarkEnd w:id="5"/>
      <w:r w:rsidRPr="003E425B">
        <w:rPr>
          <w:rFonts w:ascii="Times New Roman" w:hAnsi="Times New Roman" w:cs="Times New Roman"/>
          <w:color w:val="000000" w:themeColor="text1"/>
          <w:sz w:val="28"/>
        </w:rPr>
        <w:t>. Se</w:t>
      </w:r>
      <w:r w:rsidRPr="003E425B">
        <w:rPr>
          <w:rFonts w:ascii="Times New Roman" w:hAnsi="Times New Roman" w:cs="Times New Roman"/>
          <w:color w:val="000000" w:themeColor="text1"/>
          <w:sz w:val="28"/>
        </w:rPr>
        <w:t xml:space="preserve">gundo, </w:t>
      </w:r>
      <w:r w:rsidRPr="003E425B">
        <w:rPr>
          <w:rFonts w:ascii="Times New Roman" w:hAnsi="Times New Roman" w:cs="Times New Roman"/>
          <w:color w:val="000000" w:themeColor="text1"/>
          <w:sz w:val="28"/>
        </w:rPr>
        <w:t xml:space="preserve">argumentan </w:t>
      </w:r>
      <w:r w:rsidRPr="003E425B">
        <w:rPr>
          <w:rFonts w:ascii="Times New Roman" w:hAnsi="Times New Roman" w:cs="Times New Roman"/>
          <w:color w:val="000000" w:themeColor="text1"/>
          <w:sz w:val="28"/>
        </w:rPr>
        <w:t xml:space="preserve">que </w:t>
      </w:r>
      <w:r w:rsidRPr="003E425B">
        <w:rPr>
          <w:rFonts w:ascii="Times New Roman" w:hAnsi="Times New Roman" w:cs="Times New Roman"/>
          <w:color w:val="000000" w:themeColor="text1"/>
          <w:sz w:val="28"/>
        </w:rPr>
        <w:t xml:space="preserve">la Ley 2281 </w:t>
      </w:r>
      <w:r w:rsidRPr="003E425B">
        <w:rPr>
          <w:rFonts w:ascii="Times New Roman" w:hAnsi="Times New Roman" w:cs="Times New Roman"/>
          <w:color w:val="000000" w:themeColor="text1"/>
          <w:sz w:val="28"/>
        </w:rPr>
        <w:t xml:space="preserve">de 2023 </w:t>
      </w:r>
      <w:r w:rsidRPr="003E425B">
        <w:rPr>
          <w:rFonts w:ascii="Times New Roman" w:hAnsi="Times New Roman" w:cs="Times New Roman"/>
          <w:color w:val="000000" w:themeColor="text1"/>
          <w:sz w:val="28"/>
        </w:rPr>
        <w:t>es inexequible</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 xml:space="preserve"> porque el Congreso de la República </w:t>
      </w:r>
      <w:r w:rsidRPr="003E425B">
        <w:rPr>
          <w:rFonts w:ascii="Times New Roman" w:hAnsi="Times New Roman" w:cs="Times New Roman"/>
          <w:color w:val="000000" w:themeColor="text1"/>
          <w:sz w:val="28"/>
        </w:rPr>
        <w:t>no analizó</w:t>
      </w:r>
      <w:r w:rsidRPr="003E425B">
        <w:rPr>
          <w:rFonts w:ascii="Times New Roman" w:hAnsi="Times New Roman" w:cs="Times New Roman"/>
          <w:color w:val="000000" w:themeColor="text1"/>
          <w:sz w:val="28"/>
        </w:rPr>
        <w:t xml:space="preserve"> el impacto fiscal de la iniciativa, conforme a lo previsto en el artíc</w:t>
      </w:r>
      <w:r w:rsidRPr="003E425B">
        <w:rPr>
          <w:rFonts w:ascii="Times New Roman" w:hAnsi="Times New Roman" w:cs="Times New Roman"/>
          <w:color w:val="000000" w:themeColor="text1"/>
          <w:sz w:val="28"/>
        </w:rPr>
        <w:t>u</w:t>
      </w:r>
      <w:r w:rsidRPr="003E425B">
        <w:rPr>
          <w:rFonts w:ascii="Times New Roman" w:hAnsi="Times New Roman" w:cs="Times New Roman"/>
          <w:color w:val="000000" w:themeColor="text1"/>
          <w:sz w:val="28"/>
        </w:rPr>
        <w:t xml:space="preserve">lo 7º de la Ley 819 de 2003. Tercero, </w:t>
      </w:r>
      <w:bookmarkEnd w:id="4"/>
      <w:r w:rsidRPr="003E425B">
        <w:rPr>
          <w:rFonts w:ascii="Times New Roman" w:hAnsi="Times New Roman" w:cs="Times New Roman"/>
          <w:color w:val="000000" w:themeColor="text1"/>
          <w:sz w:val="28"/>
        </w:rPr>
        <w:t xml:space="preserve">afirman que </w:t>
      </w:r>
      <w:r w:rsidRPr="003E425B">
        <w:rPr>
          <w:rFonts w:ascii="Times New Roman" w:hAnsi="Times New Roman" w:cs="Times New Roman"/>
          <w:color w:val="000000" w:themeColor="text1"/>
          <w:sz w:val="28"/>
        </w:rPr>
        <w:t>el artículo 12 de la Ley 2281 d</w:t>
      </w:r>
      <w:r w:rsidRPr="003E425B">
        <w:rPr>
          <w:rFonts w:ascii="Times New Roman" w:hAnsi="Times New Roman" w:cs="Times New Roman"/>
          <w:color w:val="000000" w:themeColor="text1"/>
          <w:sz w:val="28"/>
        </w:rPr>
        <w:t>e 2023 vulnera el</w:t>
      </w:r>
      <w:r w:rsidRPr="003E425B">
        <w:rPr>
          <w:rFonts w:ascii="Times New Roman" w:hAnsi="Times New Roman" w:cs="Times New Roman"/>
          <w:color w:val="000000" w:themeColor="text1"/>
          <w:sz w:val="28"/>
        </w:rPr>
        <w:t xml:space="preserve"> numeral 10 del</w:t>
      </w:r>
      <w:r w:rsidRPr="003E425B">
        <w:rPr>
          <w:rFonts w:ascii="Times New Roman" w:hAnsi="Times New Roman" w:cs="Times New Roman"/>
          <w:color w:val="000000" w:themeColor="text1"/>
          <w:sz w:val="28"/>
        </w:rPr>
        <w:t xml:space="preserve"> artículo 150 de la Constitución</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 xml:space="preserve"> porque concede facultades extraordinarias al Presidente de la República que no son</w:t>
      </w:r>
      <w:r w:rsidRPr="003E425B">
        <w:rPr>
          <w:rFonts w:ascii="Times New Roman" w:hAnsi="Times New Roman" w:cs="Times New Roman"/>
          <w:color w:val="000000" w:themeColor="text1"/>
          <w:sz w:val="28"/>
        </w:rPr>
        <w:t xml:space="preserve"> claras y precisas</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 xml:space="preserve"> </w:t>
      </w:r>
    </w:p>
    <w:p w:rsidR="00D15CB2" w:rsidRPr="003E425B" w:rsidRDefault="003E425B" w:rsidP="00010108">
      <w:pPr>
        <w:tabs>
          <w:tab w:val="left" w:pos="567"/>
        </w:tabs>
        <w:rPr>
          <w:rFonts w:ascii="Times New Roman" w:hAnsi="Times New Roman" w:cs="Times New Roman"/>
          <w:bCs/>
          <w:color w:val="000000" w:themeColor="text1"/>
          <w:sz w:val="28"/>
          <w:lang w:eastAsia="es-ES_tradnl"/>
        </w:rPr>
      </w:pPr>
    </w:p>
    <w:p w:rsidR="00495993" w:rsidRPr="003E425B" w:rsidRDefault="003E425B" w:rsidP="00010108">
      <w:pPr>
        <w:pStyle w:val="Ttulo3"/>
        <w:numPr>
          <w:ilvl w:val="1"/>
          <w:numId w:val="9"/>
        </w:numPr>
        <w:tabs>
          <w:tab w:val="left" w:pos="567"/>
        </w:tabs>
        <w:ind w:left="567" w:hanging="567"/>
        <w:rPr>
          <w:rFonts w:ascii="Times New Roman" w:hAnsi="Times New Roman" w:cs="Times New Roman"/>
          <w:sz w:val="28"/>
        </w:rPr>
      </w:pPr>
      <w:bookmarkStart w:id="6" w:name="_Ref160376253"/>
      <w:bookmarkStart w:id="7" w:name="_Hlk161770233"/>
      <w:r w:rsidRPr="003E425B">
        <w:rPr>
          <w:rFonts w:ascii="Times New Roman" w:hAnsi="Times New Roman" w:cs="Times New Roman"/>
          <w:sz w:val="28"/>
          <w:u w:val="single"/>
        </w:rPr>
        <w:t>C</w:t>
      </w:r>
      <w:r w:rsidRPr="003E425B">
        <w:rPr>
          <w:rFonts w:ascii="Times New Roman" w:hAnsi="Times New Roman" w:cs="Times New Roman"/>
          <w:sz w:val="28"/>
          <w:u w:val="single"/>
        </w:rPr>
        <w:t>argo</w:t>
      </w:r>
      <w:r w:rsidRPr="003E425B">
        <w:rPr>
          <w:rFonts w:ascii="Times New Roman" w:hAnsi="Times New Roman" w:cs="Times New Roman"/>
          <w:sz w:val="28"/>
          <w:u w:val="single"/>
        </w:rPr>
        <w:t xml:space="preserve"> primero</w:t>
      </w:r>
      <w:r w:rsidRPr="003E425B">
        <w:rPr>
          <w:rFonts w:ascii="Times New Roman" w:hAnsi="Times New Roman" w:cs="Times New Roman"/>
          <w:sz w:val="28"/>
        </w:rPr>
        <w:t xml:space="preserve">: </w:t>
      </w:r>
      <w:bookmarkEnd w:id="6"/>
      <w:r w:rsidRPr="003E425B">
        <w:rPr>
          <w:rFonts w:ascii="Times New Roman" w:hAnsi="Times New Roman" w:cs="Times New Roman"/>
          <w:bCs/>
          <w:sz w:val="28"/>
          <w:lang w:val="es-ES_tradnl"/>
        </w:rPr>
        <w:t xml:space="preserve">el presunto desconocimiento de las reglas de quórum, votación y </w:t>
      </w:r>
      <w:r w:rsidRPr="003E425B">
        <w:rPr>
          <w:rFonts w:ascii="Times New Roman" w:hAnsi="Times New Roman" w:cs="Times New Roman"/>
          <w:bCs/>
          <w:sz w:val="28"/>
          <w:lang w:val="es-ES_tradnl"/>
        </w:rPr>
        <w:t>mayorías en la aprobación del informe de ponencia para primer debate</w:t>
      </w:r>
    </w:p>
    <w:bookmarkEnd w:id="7"/>
    <w:p w:rsidR="00495993" w:rsidRPr="003E425B" w:rsidRDefault="003E425B" w:rsidP="00010108">
      <w:pPr>
        <w:rPr>
          <w:rFonts w:ascii="Times New Roman" w:hAnsi="Times New Roman" w:cs="Times New Roman"/>
          <w:sz w:val="28"/>
        </w:rPr>
      </w:pPr>
    </w:p>
    <w:p w:rsidR="005F0C01"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r w:rsidRPr="003E425B">
        <w:rPr>
          <w:rFonts w:ascii="Times New Roman" w:hAnsi="Times New Roman" w:cs="Times New Roman"/>
          <w:sz w:val="28"/>
          <w:szCs w:val="28"/>
        </w:rPr>
        <w:t xml:space="preserve">Los demandantes sostienen que la Ley 2281 de 2023 es inexequible por vicios de procedimiento en su formación, porque el informe de ponencia para primer debate no fue aprobado conforme a </w:t>
      </w:r>
      <w:r w:rsidRPr="003E425B">
        <w:rPr>
          <w:rFonts w:ascii="Times New Roman" w:hAnsi="Times New Roman" w:cs="Times New Roman"/>
          <w:sz w:val="28"/>
          <w:szCs w:val="28"/>
        </w:rPr>
        <w:t>las reglas de quórum, modo de votación y mayorías previstas en los artículos 145 y 1</w:t>
      </w:r>
      <w:r w:rsidRPr="003E425B">
        <w:rPr>
          <w:rFonts w:ascii="Times New Roman" w:hAnsi="Times New Roman" w:cs="Times New Roman"/>
          <w:sz w:val="28"/>
          <w:szCs w:val="28"/>
        </w:rPr>
        <w:t>4</w:t>
      </w:r>
      <w:r w:rsidRPr="003E425B">
        <w:rPr>
          <w:rFonts w:ascii="Times New Roman" w:hAnsi="Times New Roman" w:cs="Times New Roman"/>
          <w:sz w:val="28"/>
          <w:szCs w:val="28"/>
        </w:rPr>
        <w:t>6 de la Constitución y 119 de la Ley 5ª de 1992</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En concreto, sostienen que:</w:t>
      </w:r>
    </w:p>
    <w:p w:rsidR="005F0C01" w:rsidRPr="003E425B" w:rsidRDefault="003E425B" w:rsidP="00010108">
      <w:pPr>
        <w:tabs>
          <w:tab w:val="left" w:pos="567"/>
        </w:tabs>
        <w:rPr>
          <w:rFonts w:ascii="Times New Roman" w:hAnsi="Times New Roman" w:cs="Times New Roman"/>
          <w:sz w:val="28"/>
          <w:szCs w:val="28"/>
          <w:lang w:val="es-ES"/>
        </w:rPr>
      </w:pPr>
    </w:p>
    <w:p w:rsidR="005F0C01"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r w:rsidRPr="003E425B">
        <w:rPr>
          <w:rFonts w:ascii="Times New Roman" w:hAnsi="Times New Roman" w:cs="Times New Roman"/>
          <w:i/>
          <w:iCs/>
          <w:sz w:val="28"/>
        </w:rPr>
        <w:t>Quórum</w:t>
      </w:r>
      <w:r w:rsidRPr="003E425B">
        <w:rPr>
          <w:rFonts w:ascii="Times New Roman" w:hAnsi="Times New Roman" w:cs="Times New Roman"/>
          <w:sz w:val="28"/>
        </w:rPr>
        <w:t xml:space="preserve">. </w:t>
      </w:r>
      <w:r w:rsidRPr="003E425B">
        <w:rPr>
          <w:rFonts w:ascii="Times New Roman" w:hAnsi="Times New Roman" w:cs="Times New Roman"/>
          <w:sz w:val="28"/>
        </w:rPr>
        <w:t>La</w:t>
      </w:r>
      <w:r w:rsidRPr="003E425B">
        <w:rPr>
          <w:rFonts w:ascii="Times New Roman" w:hAnsi="Times New Roman" w:cs="Times New Roman"/>
          <w:sz w:val="28"/>
        </w:rPr>
        <w:t xml:space="preserve"> Mesa Directiva </w:t>
      </w:r>
      <w:r w:rsidRPr="003E425B">
        <w:rPr>
          <w:rFonts w:ascii="Times New Roman" w:hAnsi="Times New Roman" w:cs="Times New Roman"/>
          <w:sz w:val="28"/>
        </w:rPr>
        <w:t xml:space="preserve">de la Comisión Primera del Senado </w:t>
      </w:r>
      <w:r w:rsidRPr="003E425B">
        <w:rPr>
          <w:rFonts w:ascii="Times New Roman" w:hAnsi="Times New Roman" w:cs="Times New Roman"/>
          <w:sz w:val="28"/>
        </w:rPr>
        <w:t xml:space="preserve">dio por aprobado el </w:t>
      </w:r>
      <w:r w:rsidRPr="003E425B">
        <w:rPr>
          <w:rFonts w:ascii="Times New Roman" w:hAnsi="Times New Roman" w:cs="Times New Roman"/>
          <w:sz w:val="28"/>
        </w:rPr>
        <w:t xml:space="preserve">informe de ponencia </w:t>
      </w:r>
      <w:r w:rsidRPr="003E425B">
        <w:rPr>
          <w:rFonts w:ascii="Times New Roman" w:hAnsi="Times New Roman" w:cs="Times New Roman"/>
          <w:sz w:val="28"/>
        </w:rPr>
        <w:t>a pesar de que no existía</w:t>
      </w:r>
      <w:r w:rsidRPr="003E425B">
        <w:rPr>
          <w:rFonts w:ascii="Times New Roman" w:hAnsi="Times New Roman" w:cs="Times New Roman"/>
          <w:sz w:val="28"/>
        </w:rPr>
        <w:t xml:space="preserve"> quórum decisorio. </w:t>
      </w:r>
      <w:r w:rsidRPr="003E425B">
        <w:rPr>
          <w:rFonts w:ascii="Times New Roman" w:hAnsi="Times New Roman" w:cs="Times New Roman"/>
          <w:sz w:val="28"/>
        </w:rPr>
        <w:t>Aseguran que la</w:t>
      </w:r>
      <w:r w:rsidRPr="003E425B">
        <w:rPr>
          <w:rFonts w:ascii="Times New Roman" w:hAnsi="Times New Roman" w:cs="Times New Roman"/>
          <w:sz w:val="28"/>
        </w:rPr>
        <w:t xml:space="preserve"> Comisión Primera del Senado está integrada por 21 senadores, por lo que conforme al artículo </w:t>
      </w:r>
      <w:r w:rsidRPr="003E425B">
        <w:rPr>
          <w:rFonts w:ascii="Times New Roman" w:hAnsi="Times New Roman" w:cs="Times New Roman"/>
          <w:sz w:val="28"/>
        </w:rPr>
        <w:t>14</w:t>
      </w:r>
      <w:r w:rsidRPr="003E425B">
        <w:rPr>
          <w:rFonts w:ascii="Times New Roman" w:hAnsi="Times New Roman" w:cs="Times New Roman"/>
          <w:sz w:val="28"/>
        </w:rPr>
        <w:t>5</w:t>
      </w:r>
      <w:r w:rsidRPr="003E425B">
        <w:rPr>
          <w:rFonts w:ascii="Times New Roman" w:hAnsi="Times New Roman" w:cs="Times New Roman"/>
          <w:sz w:val="28"/>
        </w:rPr>
        <w:t xml:space="preserve"> de la Constitución Política</w:t>
      </w:r>
      <w:r w:rsidRPr="003E425B">
        <w:rPr>
          <w:rFonts w:ascii="Times New Roman" w:hAnsi="Times New Roman" w:cs="Times New Roman"/>
          <w:sz w:val="28"/>
        </w:rPr>
        <w:t xml:space="preserve"> y la Ley 5ª de 1992</w:t>
      </w:r>
      <w:r w:rsidRPr="003E425B">
        <w:rPr>
          <w:rFonts w:ascii="Times New Roman" w:hAnsi="Times New Roman" w:cs="Times New Roman"/>
          <w:sz w:val="28"/>
        </w:rPr>
        <w:t>, el quórum decisorio es de 11</w:t>
      </w:r>
      <w:r w:rsidRPr="003E425B">
        <w:rPr>
          <w:rFonts w:ascii="Times New Roman" w:hAnsi="Times New Roman" w:cs="Times New Roman"/>
          <w:sz w:val="28"/>
        </w:rPr>
        <w:t xml:space="preserve"> s</w:t>
      </w:r>
      <w:r w:rsidRPr="003E425B">
        <w:rPr>
          <w:rFonts w:ascii="Times New Roman" w:hAnsi="Times New Roman" w:cs="Times New Roman"/>
          <w:sz w:val="28"/>
        </w:rPr>
        <w:t>enadores</w:t>
      </w:r>
      <w:r w:rsidRPr="003E425B">
        <w:rPr>
          <w:rFonts w:ascii="Times New Roman" w:hAnsi="Times New Roman" w:cs="Times New Roman"/>
          <w:sz w:val="28"/>
        </w:rPr>
        <w:t xml:space="preserve">. Según los demandantes, las comisiones conjuntas votaron </w:t>
      </w:r>
      <w:r w:rsidRPr="003E425B">
        <w:rPr>
          <w:rFonts w:ascii="Times New Roman" w:hAnsi="Times New Roman" w:cs="Times New Roman"/>
          <w:sz w:val="28"/>
        </w:rPr>
        <w:t xml:space="preserve">de forma ordinaria </w:t>
      </w:r>
      <w:r w:rsidRPr="003E425B">
        <w:rPr>
          <w:rFonts w:ascii="Times New Roman" w:hAnsi="Times New Roman" w:cs="Times New Roman"/>
          <w:sz w:val="28"/>
        </w:rPr>
        <w:t xml:space="preserve">la proposición positiva del informe de ponencia del Proyecto de Ley </w:t>
      </w:r>
      <w:r w:rsidRPr="003E425B">
        <w:rPr>
          <w:rFonts w:ascii="Times New Roman" w:hAnsi="Times New Roman" w:cs="Times New Roman"/>
          <w:sz w:val="28"/>
        </w:rPr>
        <w:t xml:space="preserve">número 222 de 2022 Senado, 261 de 2022 Cámara, “por medio de la cual se crea el Ministerio de Igualdad </w:t>
      </w:r>
      <w:r w:rsidRPr="003E425B">
        <w:rPr>
          <w:rFonts w:ascii="Times New Roman" w:hAnsi="Times New Roman" w:cs="Times New Roman"/>
          <w:sz w:val="28"/>
        </w:rPr>
        <w:t>y Equidad y se dictan otras disposiciones”</w:t>
      </w:r>
      <w:r w:rsidRPr="003E425B">
        <w:rPr>
          <w:rFonts w:ascii="Times New Roman" w:hAnsi="Times New Roman" w:cs="Times New Roman"/>
          <w:sz w:val="28"/>
        </w:rPr>
        <w:t xml:space="preserve"> de forma</w:t>
      </w:r>
      <w:r w:rsidRPr="003E425B">
        <w:rPr>
          <w:rFonts w:ascii="Times New Roman" w:hAnsi="Times New Roman" w:cs="Times New Roman"/>
          <w:sz w:val="28"/>
        </w:rPr>
        <w:t xml:space="preserve"> ordinaria</w:t>
      </w:r>
      <w:r w:rsidRPr="003E425B">
        <w:rPr>
          <w:rFonts w:ascii="Times New Roman" w:hAnsi="Times New Roman" w:cs="Times New Roman"/>
          <w:sz w:val="28"/>
        </w:rPr>
        <w:t xml:space="preserve">, el </w:t>
      </w:r>
      <w:r w:rsidRPr="003E425B">
        <w:rPr>
          <w:rFonts w:ascii="Times New Roman" w:hAnsi="Times New Roman" w:cs="Times New Roman"/>
          <w:sz w:val="28"/>
        </w:rPr>
        <w:t xml:space="preserve">24 de noviembre de 2022 </w:t>
      </w:r>
      <w:r w:rsidRPr="003E425B">
        <w:rPr>
          <w:rFonts w:ascii="Times New Roman" w:hAnsi="Times New Roman" w:cs="Times New Roman"/>
          <w:sz w:val="28"/>
        </w:rPr>
        <w:t xml:space="preserve">a las </w:t>
      </w:r>
      <w:r w:rsidRPr="003E425B">
        <w:rPr>
          <w:rFonts w:ascii="Times New Roman" w:hAnsi="Times New Roman" w:cs="Times New Roman"/>
          <w:sz w:val="28"/>
        </w:rPr>
        <w:t>12:38:45 p</w:t>
      </w:r>
      <w:r w:rsidRPr="003E425B">
        <w:rPr>
          <w:rFonts w:ascii="Times New Roman" w:hAnsi="Times New Roman" w:cs="Times New Roman"/>
          <w:sz w:val="28"/>
        </w:rPr>
        <w:t>.</w:t>
      </w:r>
      <w:r w:rsidRPr="003E425B">
        <w:rPr>
          <w:rFonts w:ascii="Times New Roman" w:hAnsi="Times New Roman" w:cs="Times New Roman"/>
          <w:sz w:val="28"/>
        </w:rPr>
        <w:t>m</w:t>
      </w:r>
      <w:r w:rsidRPr="003E425B">
        <w:rPr>
          <w:rFonts w:ascii="Times New Roman" w:hAnsi="Times New Roman" w:cs="Times New Roman"/>
          <w:sz w:val="28"/>
        </w:rPr>
        <w:t>. Sin embargo, sostienen</w:t>
      </w:r>
      <w:r w:rsidRPr="003E425B">
        <w:rPr>
          <w:rFonts w:ascii="Times New Roman" w:hAnsi="Times New Roman" w:cs="Times New Roman"/>
          <w:sz w:val="28"/>
        </w:rPr>
        <w:t xml:space="preserve"> que,</w:t>
      </w:r>
      <w:r w:rsidRPr="003E425B">
        <w:rPr>
          <w:rFonts w:ascii="Times New Roman" w:hAnsi="Times New Roman" w:cs="Times New Roman"/>
          <w:sz w:val="28"/>
        </w:rPr>
        <w:t xml:space="preserve"> </w:t>
      </w:r>
      <w:r w:rsidRPr="003E425B">
        <w:rPr>
          <w:rFonts w:ascii="Times New Roman" w:hAnsi="Times New Roman" w:cs="Times New Roman"/>
          <w:sz w:val="28"/>
        </w:rPr>
        <w:t xml:space="preserve">“de acuerdo </w:t>
      </w:r>
      <w:r w:rsidRPr="003E425B">
        <w:rPr>
          <w:rFonts w:ascii="Times New Roman" w:hAnsi="Times New Roman" w:cs="Times New Roman"/>
          <w:sz w:val="28"/>
        </w:rPr>
        <w:t>[con]</w:t>
      </w:r>
      <w:r w:rsidRPr="003E425B">
        <w:rPr>
          <w:rFonts w:ascii="Times New Roman" w:hAnsi="Times New Roman" w:cs="Times New Roman"/>
          <w:sz w:val="28"/>
        </w:rPr>
        <w:t xml:space="preserve"> las grabaciones de seguridad del recinto de la Plenaria del Senado, donde se llevó a cabo la sesión, es posible demostrar que al momento de la votación no existía quórum decisorio”. E</w:t>
      </w:r>
      <w:r w:rsidRPr="003E425B">
        <w:rPr>
          <w:rFonts w:ascii="Times New Roman" w:hAnsi="Times New Roman" w:cs="Times New Roman"/>
          <w:sz w:val="28"/>
        </w:rPr>
        <w:t xml:space="preserve">sto, porque </w:t>
      </w:r>
      <w:r w:rsidRPr="003E425B">
        <w:rPr>
          <w:rFonts w:ascii="Times New Roman" w:hAnsi="Times New Roman" w:cs="Times New Roman"/>
          <w:sz w:val="28"/>
        </w:rPr>
        <w:t>en el recinto solo estaban presentes 9</w:t>
      </w:r>
      <w:r w:rsidRPr="003E425B">
        <w:rPr>
          <w:rFonts w:ascii="Times New Roman" w:hAnsi="Times New Roman" w:cs="Times New Roman"/>
          <w:sz w:val="28"/>
          <w:vertAlign w:val="superscript"/>
        </w:rPr>
        <w:footnoteReference w:id="4"/>
      </w:r>
      <w:r w:rsidRPr="003E425B">
        <w:rPr>
          <w:rFonts w:ascii="Times New Roman" w:hAnsi="Times New Roman" w:cs="Times New Roman"/>
          <w:sz w:val="28"/>
        </w:rPr>
        <w:t xml:space="preserve"> de los 21 senadores </w:t>
      </w:r>
      <w:r w:rsidRPr="003E425B">
        <w:rPr>
          <w:rFonts w:ascii="Times New Roman" w:hAnsi="Times New Roman" w:cs="Times New Roman"/>
          <w:sz w:val="28"/>
        </w:rPr>
        <w:t xml:space="preserve">que conforman la </w:t>
      </w:r>
      <w:r w:rsidRPr="003E425B">
        <w:rPr>
          <w:rFonts w:ascii="Times New Roman" w:hAnsi="Times New Roman" w:cs="Times New Roman"/>
          <w:sz w:val="28"/>
        </w:rPr>
        <w:t>C</w:t>
      </w:r>
      <w:r w:rsidRPr="003E425B">
        <w:rPr>
          <w:rFonts w:ascii="Times New Roman" w:hAnsi="Times New Roman" w:cs="Times New Roman"/>
          <w:sz w:val="28"/>
        </w:rPr>
        <w:t>omisión</w:t>
      </w:r>
      <w:r w:rsidRPr="003E425B">
        <w:rPr>
          <w:rFonts w:ascii="Times New Roman" w:hAnsi="Times New Roman" w:cs="Times New Roman"/>
          <w:sz w:val="28"/>
        </w:rPr>
        <w:t xml:space="preserve"> Primera del Senado</w:t>
      </w:r>
      <w:r w:rsidRPr="003E425B">
        <w:rPr>
          <w:rFonts w:ascii="Times New Roman" w:hAnsi="Times New Roman" w:cs="Times New Roman"/>
          <w:sz w:val="28"/>
          <w:vertAlign w:val="superscript"/>
        </w:rPr>
        <w:footnoteReference w:id="5"/>
      </w:r>
      <w:r w:rsidRPr="003E425B">
        <w:rPr>
          <w:rFonts w:ascii="Times New Roman" w:hAnsi="Times New Roman" w:cs="Times New Roman"/>
          <w:sz w:val="28"/>
        </w:rPr>
        <w:t xml:space="preserve">. En tales términos, faltaban al menos 2 senadores para </w:t>
      </w:r>
      <w:r w:rsidRPr="003E425B">
        <w:rPr>
          <w:rFonts w:ascii="Times New Roman" w:hAnsi="Times New Roman" w:cs="Times New Roman"/>
          <w:sz w:val="28"/>
        </w:rPr>
        <w:t xml:space="preserve">completar el </w:t>
      </w:r>
      <w:r w:rsidRPr="003E425B">
        <w:rPr>
          <w:rFonts w:ascii="Times New Roman" w:hAnsi="Times New Roman" w:cs="Times New Roman"/>
          <w:sz w:val="28"/>
        </w:rPr>
        <w:t>quórum decisorio</w:t>
      </w:r>
      <w:r w:rsidRPr="003E425B">
        <w:rPr>
          <w:rFonts w:ascii="Times New Roman" w:hAnsi="Times New Roman" w:cs="Times New Roman"/>
          <w:sz w:val="28"/>
        </w:rPr>
        <w:t xml:space="preserve">. </w:t>
      </w:r>
    </w:p>
    <w:p w:rsidR="005F0C01" w:rsidRPr="003E425B" w:rsidRDefault="003E425B" w:rsidP="00010108">
      <w:pPr>
        <w:pStyle w:val="Prrafodelista"/>
        <w:spacing w:line="240" w:lineRule="auto"/>
        <w:rPr>
          <w:rFonts w:ascii="Times New Roman" w:hAnsi="Times New Roman"/>
          <w:i/>
          <w:iCs/>
          <w:sz w:val="28"/>
        </w:rPr>
      </w:pPr>
    </w:p>
    <w:p w:rsidR="005F0C01"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r w:rsidRPr="003E425B">
        <w:rPr>
          <w:rFonts w:ascii="Times New Roman" w:hAnsi="Times New Roman" w:cs="Times New Roman"/>
          <w:i/>
          <w:iCs/>
          <w:sz w:val="28"/>
        </w:rPr>
        <w:t>Votación</w:t>
      </w:r>
      <w:r w:rsidRPr="003E425B">
        <w:rPr>
          <w:rFonts w:ascii="Times New Roman" w:hAnsi="Times New Roman" w:cs="Times New Roman"/>
          <w:sz w:val="28"/>
        </w:rPr>
        <w:t xml:space="preserve">. </w:t>
      </w:r>
      <w:r w:rsidRPr="003E425B">
        <w:rPr>
          <w:rFonts w:ascii="Times New Roman" w:hAnsi="Times New Roman" w:cs="Times New Roman"/>
          <w:sz w:val="28"/>
        </w:rPr>
        <w:t>Los demandantes argumentan que</w:t>
      </w:r>
      <w:r w:rsidRPr="003E425B">
        <w:rPr>
          <w:rFonts w:ascii="Times New Roman" w:hAnsi="Times New Roman" w:cs="Times New Roman"/>
          <w:sz w:val="28"/>
        </w:rPr>
        <w:t xml:space="preserve">, </w:t>
      </w:r>
      <w:r w:rsidRPr="003E425B">
        <w:rPr>
          <w:rFonts w:ascii="Times New Roman" w:hAnsi="Times New Roman" w:cs="Times New Roman"/>
          <w:sz w:val="28"/>
        </w:rPr>
        <w:t>conforme a la jurisprudencia constitucional, la votación del informe de ponencia</w:t>
      </w:r>
      <w:r w:rsidRPr="003E425B">
        <w:rPr>
          <w:rFonts w:ascii="Times New Roman" w:hAnsi="Times New Roman" w:cs="Times New Roman"/>
          <w:sz w:val="28"/>
        </w:rPr>
        <w:t xml:space="preserve"> debió ser nominal</w:t>
      </w:r>
      <w:r w:rsidRPr="003E425B">
        <w:rPr>
          <w:rStyle w:val="Refdenotaalpie"/>
          <w:rFonts w:ascii="Times New Roman" w:hAnsi="Times New Roman" w:cs="Times New Roman"/>
          <w:sz w:val="28"/>
        </w:rPr>
        <w:footnoteReference w:id="6"/>
      </w:r>
      <w:r w:rsidRPr="003E425B">
        <w:rPr>
          <w:rFonts w:ascii="Times New Roman" w:hAnsi="Times New Roman" w:cs="Times New Roman"/>
          <w:sz w:val="28"/>
        </w:rPr>
        <w:t xml:space="preserve"> -no ordinaria</w:t>
      </w:r>
      <w:r w:rsidRPr="003E425B">
        <w:rPr>
          <w:rStyle w:val="Refdenotaalpie"/>
          <w:rFonts w:ascii="Times New Roman" w:hAnsi="Times New Roman" w:cs="Times New Roman"/>
          <w:sz w:val="28"/>
        </w:rPr>
        <w:footnoteReference w:id="7"/>
      </w:r>
      <w:r w:rsidRPr="003E425B">
        <w:rPr>
          <w:rFonts w:ascii="Times New Roman" w:hAnsi="Times New Roman" w:cs="Times New Roman"/>
          <w:sz w:val="28"/>
        </w:rPr>
        <w:t>-.</w:t>
      </w:r>
      <w:r w:rsidRPr="003E425B">
        <w:rPr>
          <w:rFonts w:ascii="Times New Roman" w:hAnsi="Times New Roman" w:cs="Times New Roman"/>
          <w:sz w:val="28"/>
        </w:rPr>
        <w:t xml:space="preserve"> Esto, porque </w:t>
      </w:r>
      <w:r w:rsidRPr="003E425B">
        <w:rPr>
          <w:rFonts w:ascii="Times New Roman" w:hAnsi="Times New Roman" w:cs="Times New Roman"/>
          <w:i/>
          <w:iCs/>
          <w:sz w:val="28"/>
        </w:rPr>
        <w:t>(i)</w:t>
      </w:r>
      <w:r w:rsidRPr="003E425B">
        <w:rPr>
          <w:rFonts w:ascii="Times New Roman" w:hAnsi="Times New Roman" w:cs="Times New Roman"/>
          <w:sz w:val="28"/>
        </w:rPr>
        <w:t xml:space="preserve"> la </w:t>
      </w:r>
      <w:r w:rsidRPr="003E425B">
        <w:rPr>
          <w:rFonts w:ascii="Times New Roman" w:hAnsi="Times New Roman" w:cs="Times New Roman"/>
          <w:sz w:val="28"/>
        </w:rPr>
        <w:t>oposición</w:t>
      </w:r>
      <w:r w:rsidRPr="003E425B">
        <w:rPr>
          <w:rFonts w:ascii="Times New Roman" w:hAnsi="Times New Roman" w:cs="Times New Roman"/>
          <w:sz w:val="28"/>
        </w:rPr>
        <w:t>,</w:t>
      </w:r>
      <w:r w:rsidRPr="003E425B">
        <w:rPr>
          <w:rFonts w:ascii="Times New Roman" w:hAnsi="Times New Roman" w:cs="Times New Roman"/>
          <w:sz w:val="28"/>
        </w:rPr>
        <w:t xml:space="preserve"> en cabeza de la senadora Paloma Valencia</w:t>
      </w:r>
      <w:r w:rsidRPr="003E425B">
        <w:rPr>
          <w:rFonts w:ascii="Times New Roman" w:hAnsi="Times New Roman" w:cs="Times New Roman"/>
          <w:sz w:val="28"/>
        </w:rPr>
        <w:t>,</w:t>
      </w:r>
      <w:r w:rsidRPr="003E425B">
        <w:rPr>
          <w:rFonts w:ascii="Times New Roman" w:hAnsi="Times New Roman" w:cs="Times New Roman"/>
          <w:sz w:val="28"/>
        </w:rPr>
        <w:t xml:space="preserve"> “había anunciado que se retiraría del recinto al momento de votar el proyecto, razón por la cual se requería realizar el llamado a lista nominal para certificar que existía el quórum necesario para aprobar el informe de ponencia”</w:t>
      </w:r>
      <w:r w:rsidRPr="003E425B">
        <w:rPr>
          <w:rFonts w:ascii="Times New Roman" w:hAnsi="Times New Roman" w:cs="Times New Roman"/>
          <w:sz w:val="28"/>
          <w:vertAlign w:val="superscript"/>
        </w:rPr>
        <w:footnoteReference w:id="8"/>
      </w:r>
      <w:r w:rsidRPr="003E425B">
        <w:rPr>
          <w:rFonts w:ascii="Times New Roman" w:hAnsi="Times New Roman" w:cs="Times New Roman"/>
          <w:sz w:val="28"/>
        </w:rPr>
        <w:t xml:space="preserve"> y </w:t>
      </w:r>
      <w:r w:rsidRPr="003E425B">
        <w:rPr>
          <w:rFonts w:ascii="Times New Roman" w:hAnsi="Times New Roman" w:cs="Times New Roman"/>
          <w:i/>
          <w:iCs/>
          <w:sz w:val="28"/>
        </w:rPr>
        <w:t>(ii)</w:t>
      </w:r>
      <w:r w:rsidRPr="003E425B">
        <w:rPr>
          <w:rFonts w:ascii="Times New Roman" w:hAnsi="Times New Roman" w:cs="Times New Roman"/>
          <w:sz w:val="28"/>
        </w:rPr>
        <w:t xml:space="preserve"> a diferencia de l</w:t>
      </w:r>
      <w:r w:rsidRPr="003E425B">
        <w:rPr>
          <w:rFonts w:ascii="Times New Roman" w:hAnsi="Times New Roman" w:cs="Times New Roman"/>
          <w:sz w:val="28"/>
        </w:rPr>
        <w:t xml:space="preserve">a votación ordinaria, la votación nominal </w:t>
      </w:r>
      <w:r w:rsidRPr="003E425B">
        <w:rPr>
          <w:rFonts w:ascii="Times New Roman" w:hAnsi="Times New Roman" w:cs="Times New Roman"/>
          <w:sz w:val="28"/>
        </w:rPr>
        <w:t>permitía</w:t>
      </w:r>
      <w:r w:rsidRPr="003E425B">
        <w:rPr>
          <w:rFonts w:ascii="Times New Roman" w:hAnsi="Times New Roman" w:cs="Times New Roman"/>
          <w:sz w:val="28"/>
        </w:rPr>
        <w:t xml:space="preserve"> constatar </w:t>
      </w:r>
      <w:r w:rsidRPr="003E425B">
        <w:rPr>
          <w:rFonts w:ascii="Times New Roman" w:hAnsi="Times New Roman" w:cs="Times New Roman"/>
          <w:sz w:val="28"/>
        </w:rPr>
        <w:t>el quórum y las mayorías requeridas para la aprobación</w:t>
      </w:r>
      <w:r w:rsidRPr="003E425B">
        <w:rPr>
          <w:rFonts w:ascii="Times New Roman" w:hAnsi="Times New Roman" w:cs="Times New Roman"/>
          <w:sz w:val="28"/>
        </w:rPr>
        <w:t xml:space="preserve"> </w:t>
      </w:r>
      <w:r w:rsidRPr="003E425B">
        <w:rPr>
          <w:rFonts w:ascii="Times New Roman" w:hAnsi="Times New Roman" w:cs="Times New Roman"/>
          <w:sz w:val="28"/>
        </w:rPr>
        <w:t>d</w:t>
      </w:r>
      <w:r w:rsidRPr="003E425B">
        <w:rPr>
          <w:rFonts w:ascii="Times New Roman" w:hAnsi="Times New Roman" w:cs="Times New Roman"/>
          <w:sz w:val="28"/>
        </w:rPr>
        <w:t xml:space="preserve">el informe de ponencia. </w:t>
      </w:r>
      <w:r w:rsidRPr="003E425B">
        <w:rPr>
          <w:rFonts w:ascii="Times New Roman" w:hAnsi="Times New Roman" w:cs="Times New Roman"/>
          <w:sz w:val="28"/>
        </w:rPr>
        <w:t xml:space="preserve">En contraste, la votación ordinaria no permitía hacerlo. </w:t>
      </w:r>
    </w:p>
    <w:p w:rsidR="005F0C01" w:rsidRPr="003E425B" w:rsidRDefault="003E425B" w:rsidP="00010108">
      <w:pPr>
        <w:rPr>
          <w:rFonts w:ascii="Times New Roman" w:hAnsi="Times New Roman" w:cs="Times New Roman"/>
          <w:sz w:val="28"/>
        </w:rPr>
      </w:pPr>
    </w:p>
    <w:p w:rsidR="00F0232C"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r w:rsidRPr="003E425B">
        <w:rPr>
          <w:rFonts w:ascii="Times New Roman" w:hAnsi="Times New Roman" w:cs="Times New Roman"/>
          <w:i/>
          <w:iCs/>
          <w:sz w:val="28"/>
        </w:rPr>
        <w:t>Mayoría absoluta</w:t>
      </w:r>
      <w:r w:rsidRPr="003E425B">
        <w:rPr>
          <w:rFonts w:ascii="Times New Roman" w:hAnsi="Times New Roman" w:cs="Times New Roman"/>
          <w:sz w:val="28"/>
        </w:rPr>
        <w:t>. El informe de ponencia</w:t>
      </w:r>
      <w:r w:rsidRPr="003E425B">
        <w:rPr>
          <w:rFonts w:ascii="Times New Roman" w:hAnsi="Times New Roman" w:cs="Times New Roman"/>
          <w:sz w:val="28"/>
        </w:rPr>
        <w:t xml:space="preserve"> no fue aprobado</w:t>
      </w:r>
      <w:r w:rsidRPr="003E425B">
        <w:rPr>
          <w:rFonts w:ascii="Times New Roman" w:hAnsi="Times New Roman" w:cs="Times New Roman"/>
          <w:sz w:val="28"/>
        </w:rPr>
        <w:t xml:space="preserve"> </w:t>
      </w:r>
      <w:r w:rsidRPr="003E425B">
        <w:rPr>
          <w:rFonts w:ascii="Times New Roman" w:hAnsi="Times New Roman" w:cs="Times New Roman"/>
          <w:sz w:val="28"/>
        </w:rPr>
        <w:t>por</w:t>
      </w:r>
      <w:r w:rsidRPr="003E425B">
        <w:rPr>
          <w:rFonts w:ascii="Times New Roman" w:hAnsi="Times New Roman" w:cs="Times New Roman"/>
          <w:sz w:val="28"/>
        </w:rPr>
        <w:t xml:space="preserve"> mayoría </w:t>
      </w:r>
      <w:r w:rsidRPr="003E425B">
        <w:rPr>
          <w:rFonts w:ascii="Times New Roman" w:hAnsi="Times New Roman" w:cs="Times New Roman"/>
          <w:sz w:val="28"/>
        </w:rPr>
        <w:t>absoluta</w:t>
      </w:r>
      <w:r w:rsidRPr="003E425B">
        <w:rPr>
          <w:rFonts w:ascii="Times New Roman" w:hAnsi="Times New Roman" w:cs="Times New Roman"/>
          <w:sz w:val="28"/>
        </w:rPr>
        <w:t xml:space="preserve">. </w:t>
      </w:r>
      <w:r w:rsidRPr="003E425B">
        <w:rPr>
          <w:rFonts w:ascii="Times New Roman" w:hAnsi="Times New Roman" w:cs="Times New Roman"/>
          <w:sz w:val="28"/>
        </w:rPr>
        <w:t xml:space="preserve">Los demandantes señalan </w:t>
      </w:r>
      <w:r w:rsidRPr="003E425B">
        <w:rPr>
          <w:rFonts w:ascii="Times New Roman" w:hAnsi="Times New Roman" w:cs="Times New Roman"/>
          <w:sz w:val="28"/>
        </w:rPr>
        <w:t>que</w:t>
      </w:r>
      <w:r w:rsidRPr="003E425B">
        <w:rPr>
          <w:rFonts w:ascii="Times New Roman" w:hAnsi="Times New Roman" w:cs="Times New Roman"/>
          <w:sz w:val="28"/>
        </w:rPr>
        <w:t>, conforme a</w:t>
      </w:r>
      <w:r w:rsidRPr="003E425B">
        <w:rPr>
          <w:rFonts w:ascii="Times New Roman" w:hAnsi="Times New Roman" w:cs="Times New Roman"/>
          <w:sz w:val="28"/>
        </w:rPr>
        <w:t xml:space="preserve"> los artículos 150.10 de la Constitución y</w:t>
      </w:r>
      <w:r w:rsidRPr="003E425B">
        <w:rPr>
          <w:rFonts w:ascii="Times New Roman" w:hAnsi="Times New Roman" w:cs="Times New Roman"/>
          <w:sz w:val="28"/>
        </w:rPr>
        <w:t xml:space="preserve"> 119 de la Ley 5ª de 1992</w:t>
      </w:r>
      <w:r w:rsidRPr="003E425B">
        <w:rPr>
          <w:rFonts w:ascii="Times New Roman" w:hAnsi="Times New Roman" w:cs="Times New Roman"/>
          <w:sz w:val="28"/>
        </w:rPr>
        <w:t xml:space="preserve">, </w:t>
      </w:r>
      <w:r w:rsidRPr="003E425B">
        <w:rPr>
          <w:rFonts w:ascii="Times New Roman" w:hAnsi="Times New Roman" w:cs="Times New Roman"/>
          <w:sz w:val="28"/>
        </w:rPr>
        <w:t>las leyes que conceden facultades extraordinarias deben aprobarse por mayoría absoluta. Según los demandantes, la Corte Const</w:t>
      </w:r>
      <w:r w:rsidRPr="003E425B">
        <w:rPr>
          <w:rFonts w:ascii="Times New Roman" w:hAnsi="Times New Roman" w:cs="Times New Roman"/>
          <w:sz w:val="28"/>
        </w:rPr>
        <w:t>itucional ha sostenido que “la exigencia de mayoría absoluta (…) cobija el informe a la ponencia”</w:t>
      </w:r>
      <w:r w:rsidRPr="003E425B">
        <w:rPr>
          <w:rStyle w:val="Refdenotaalpie"/>
          <w:rFonts w:ascii="Times New Roman" w:hAnsi="Times New Roman" w:cs="Times New Roman"/>
          <w:sz w:val="28"/>
          <w:szCs w:val="28"/>
        </w:rPr>
        <w:footnoteReference w:id="9"/>
      </w:r>
      <w:r w:rsidRPr="003E425B">
        <w:rPr>
          <w:rFonts w:ascii="Times New Roman" w:hAnsi="Times New Roman" w:cs="Times New Roman"/>
          <w:sz w:val="28"/>
        </w:rPr>
        <w:t>.</w:t>
      </w:r>
      <w:r w:rsidRPr="003E425B">
        <w:rPr>
          <w:rFonts w:ascii="Times New Roman" w:hAnsi="Times New Roman" w:cs="Times New Roman"/>
          <w:b/>
          <w:bCs/>
          <w:i/>
          <w:iCs/>
          <w:sz w:val="28"/>
        </w:rPr>
        <w:t xml:space="preserve"> </w:t>
      </w:r>
      <w:r w:rsidRPr="003E425B">
        <w:rPr>
          <w:rFonts w:ascii="Times New Roman" w:hAnsi="Times New Roman" w:cs="Times New Roman"/>
          <w:sz w:val="28"/>
        </w:rPr>
        <w:t xml:space="preserve">En tales términos, consideran que, en este caso, el informe de ponencia debía ser aprobado por mayoría absoluta debido a que un </w:t>
      </w:r>
      <w:r w:rsidRPr="003E425B">
        <w:rPr>
          <w:rFonts w:ascii="Times New Roman" w:hAnsi="Times New Roman" w:cs="Times New Roman"/>
          <w:sz w:val="28"/>
        </w:rPr>
        <w:t>artículo</w:t>
      </w:r>
      <w:r w:rsidRPr="003E425B">
        <w:rPr>
          <w:rFonts w:ascii="Times New Roman" w:hAnsi="Times New Roman" w:cs="Times New Roman"/>
          <w:sz w:val="28"/>
        </w:rPr>
        <w:t xml:space="preserve"> del proyecto propon</w:t>
      </w:r>
      <w:r w:rsidRPr="003E425B">
        <w:rPr>
          <w:rFonts w:ascii="Times New Roman" w:hAnsi="Times New Roman" w:cs="Times New Roman"/>
          <w:sz w:val="28"/>
        </w:rPr>
        <w:t>ía conceder facultades extraordinarias al Presidente de la República. No obstante,</w:t>
      </w:r>
      <w:r w:rsidRPr="003E425B">
        <w:rPr>
          <w:rFonts w:ascii="Times New Roman" w:hAnsi="Times New Roman" w:cs="Times New Roman"/>
          <w:sz w:val="28"/>
        </w:rPr>
        <w:t xml:space="preserve"> el informe de ponencia fue aprobado por la Comisión Primera del Senado con apenas 9 votos favorables, lo que no constituye mayoría absoluta. </w:t>
      </w:r>
    </w:p>
    <w:p w:rsidR="00F0232C" w:rsidRPr="003E425B" w:rsidRDefault="003E425B" w:rsidP="00010108">
      <w:pPr>
        <w:tabs>
          <w:tab w:val="left" w:pos="567"/>
        </w:tabs>
        <w:rPr>
          <w:rFonts w:ascii="Times New Roman" w:hAnsi="Times New Roman" w:cs="Times New Roman"/>
          <w:sz w:val="28"/>
          <w:szCs w:val="28"/>
        </w:rPr>
      </w:pPr>
    </w:p>
    <w:p w:rsidR="00F0232C" w:rsidRPr="003E425B" w:rsidRDefault="003E425B" w:rsidP="00010108">
      <w:pPr>
        <w:numPr>
          <w:ilvl w:val="0"/>
          <w:numId w:val="10"/>
        </w:numPr>
        <w:tabs>
          <w:tab w:val="left" w:pos="567"/>
        </w:tabs>
        <w:ind w:left="0" w:firstLine="0"/>
        <w:rPr>
          <w:rFonts w:ascii="Times New Roman" w:hAnsi="Times New Roman" w:cs="Times New Roman"/>
          <w:sz w:val="28"/>
          <w:szCs w:val="28"/>
        </w:rPr>
      </w:pPr>
      <w:r w:rsidRPr="003E425B">
        <w:rPr>
          <w:rFonts w:ascii="Times New Roman" w:hAnsi="Times New Roman" w:cs="Times New Roman"/>
          <w:sz w:val="28"/>
          <w:szCs w:val="28"/>
        </w:rPr>
        <w:t>Los demandantes consideran que</w:t>
      </w:r>
      <w:r w:rsidRPr="003E425B">
        <w:rPr>
          <w:rFonts w:ascii="Times New Roman" w:hAnsi="Times New Roman" w:cs="Times New Roman"/>
          <w:sz w:val="28"/>
          <w:szCs w:val="28"/>
        </w:rPr>
        <w:t xml:space="preserve"> la aprobación del informe de ponencia </w:t>
      </w:r>
      <w:r w:rsidRPr="003E425B">
        <w:rPr>
          <w:rFonts w:ascii="Times New Roman" w:hAnsi="Times New Roman" w:cs="Times New Roman"/>
          <w:sz w:val="28"/>
          <w:szCs w:val="28"/>
        </w:rPr>
        <w:t>sin consideración de</w:t>
      </w:r>
      <w:r w:rsidRPr="003E425B">
        <w:rPr>
          <w:rFonts w:ascii="Times New Roman" w:hAnsi="Times New Roman" w:cs="Times New Roman"/>
          <w:sz w:val="28"/>
          <w:szCs w:val="28"/>
        </w:rPr>
        <w:t xml:space="preserve"> las reglas de qu</w:t>
      </w:r>
      <w:r w:rsidRPr="003E425B">
        <w:rPr>
          <w:rFonts w:ascii="Times New Roman" w:hAnsi="Times New Roman" w:cs="Times New Roman"/>
          <w:sz w:val="28"/>
          <w:szCs w:val="28"/>
        </w:rPr>
        <w:t>ó</w:t>
      </w:r>
      <w:r w:rsidRPr="003E425B">
        <w:rPr>
          <w:rFonts w:ascii="Times New Roman" w:hAnsi="Times New Roman" w:cs="Times New Roman"/>
          <w:sz w:val="28"/>
          <w:szCs w:val="28"/>
        </w:rPr>
        <w:t xml:space="preserve">rum, votación y mayorías constituye un vicio de </w:t>
      </w:r>
      <w:r w:rsidRPr="003E425B">
        <w:rPr>
          <w:rFonts w:ascii="Times New Roman" w:hAnsi="Times New Roman" w:cs="Times New Roman"/>
          <w:sz w:val="28"/>
          <w:szCs w:val="28"/>
          <w:lang w:val="es-ES"/>
        </w:rPr>
        <w:t>procedimiento</w:t>
      </w:r>
      <w:r w:rsidRPr="003E425B">
        <w:rPr>
          <w:rFonts w:ascii="Times New Roman" w:hAnsi="Times New Roman" w:cs="Times New Roman"/>
          <w:sz w:val="28"/>
          <w:szCs w:val="28"/>
        </w:rPr>
        <w:t xml:space="preserve"> insubsanable que vulnera los artículos </w:t>
      </w:r>
      <w:r w:rsidRPr="003E425B">
        <w:rPr>
          <w:rFonts w:ascii="Times New Roman" w:hAnsi="Times New Roman" w:cs="Times New Roman"/>
          <w:sz w:val="28"/>
          <w:szCs w:val="28"/>
          <w:lang w:val="es-ES"/>
        </w:rPr>
        <w:t>157 de la Constitución</w:t>
      </w:r>
      <w:r w:rsidRPr="003E425B">
        <w:rPr>
          <w:rFonts w:ascii="Times New Roman" w:hAnsi="Times New Roman" w:cs="Times New Roman"/>
          <w:sz w:val="28"/>
          <w:szCs w:val="28"/>
          <w:vertAlign w:val="superscript"/>
          <w:lang w:val="es-ES"/>
        </w:rPr>
        <w:footnoteReference w:id="10"/>
      </w:r>
      <w:r w:rsidRPr="003E425B">
        <w:rPr>
          <w:rFonts w:ascii="Times New Roman" w:hAnsi="Times New Roman" w:cs="Times New Roman"/>
          <w:sz w:val="28"/>
          <w:szCs w:val="28"/>
          <w:lang w:val="es-ES"/>
        </w:rPr>
        <w:t xml:space="preserve"> y 119 de la </w:t>
      </w:r>
      <w:r w:rsidRPr="003E425B">
        <w:rPr>
          <w:rFonts w:ascii="Times New Roman" w:hAnsi="Times New Roman" w:cs="Times New Roman"/>
          <w:sz w:val="28"/>
          <w:szCs w:val="28"/>
          <w:lang w:val="es-ES"/>
        </w:rPr>
        <w:t>L</w:t>
      </w:r>
      <w:r w:rsidRPr="003E425B">
        <w:rPr>
          <w:rFonts w:ascii="Times New Roman" w:hAnsi="Times New Roman" w:cs="Times New Roman"/>
          <w:sz w:val="28"/>
          <w:szCs w:val="28"/>
          <w:lang w:val="es-ES"/>
        </w:rPr>
        <w:t>ey 5ª de 1992</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Al respecto, resaltan que,</w:t>
      </w:r>
      <w:r w:rsidRPr="003E425B">
        <w:rPr>
          <w:rFonts w:ascii="Times New Roman" w:hAnsi="Times New Roman" w:cs="Times New Roman"/>
          <w:sz w:val="28"/>
          <w:szCs w:val="28"/>
        </w:rPr>
        <w:t xml:space="preserve"> en la sentencia C-816 de 2004, la Corte Constitucional reconoció que “el informe de ponencia no es un simple trámite sin incidencia de fondo, sino que, por el contrario, hace parte integral del proceso de discusión y aprobación de las iniciativas legislat</w:t>
      </w:r>
      <w:r w:rsidRPr="003E425B">
        <w:rPr>
          <w:rFonts w:ascii="Times New Roman" w:hAnsi="Times New Roman" w:cs="Times New Roman"/>
          <w:sz w:val="28"/>
          <w:szCs w:val="28"/>
        </w:rPr>
        <w:t>ivas, por lo que exigió que su votación se realice de acuerdo a las mayorías requeridas para la aprobación”</w:t>
      </w:r>
      <w:r w:rsidRPr="003E425B">
        <w:rPr>
          <w:rStyle w:val="Refdenotaalpie"/>
          <w:rFonts w:ascii="Times New Roman" w:hAnsi="Times New Roman" w:cs="Times New Roman"/>
          <w:sz w:val="28"/>
          <w:szCs w:val="28"/>
        </w:rPr>
        <w:footnoteReference w:id="11"/>
      </w:r>
      <w:r w:rsidRPr="003E425B">
        <w:rPr>
          <w:rFonts w:ascii="Times New Roman" w:hAnsi="Times New Roman" w:cs="Times New Roman"/>
          <w:sz w:val="28"/>
          <w:szCs w:val="28"/>
        </w:rPr>
        <w:t>. En tales términos, concluyen que la no aprobación del informe de ponencia conforme a las reglas de qu</w:t>
      </w:r>
      <w:r w:rsidRPr="003E425B">
        <w:rPr>
          <w:rFonts w:ascii="Times New Roman" w:hAnsi="Times New Roman" w:cs="Times New Roman"/>
          <w:sz w:val="28"/>
          <w:szCs w:val="28"/>
        </w:rPr>
        <w:t>ó</w:t>
      </w:r>
      <w:r w:rsidRPr="003E425B">
        <w:rPr>
          <w:rFonts w:ascii="Times New Roman" w:hAnsi="Times New Roman" w:cs="Times New Roman"/>
          <w:sz w:val="28"/>
          <w:szCs w:val="28"/>
        </w:rPr>
        <w:t>rum y mayorías implica que la Ley 2281 de 20</w:t>
      </w:r>
      <w:r w:rsidRPr="003E425B">
        <w:rPr>
          <w:rFonts w:ascii="Times New Roman" w:hAnsi="Times New Roman" w:cs="Times New Roman"/>
          <w:sz w:val="28"/>
          <w:szCs w:val="28"/>
        </w:rPr>
        <w:t xml:space="preserve">23 </w:t>
      </w:r>
      <w:r w:rsidRPr="003E425B">
        <w:rPr>
          <w:rFonts w:ascii="Times New Roman" w:hAnsi="Times New Roman" w:cs="Times New Roman"/>
          <w:sz w:val="28"/>
          <w:szCs w:val="28"/>
        </w:rPr>
        <w:t>debe ser declarada</w:t>
      </w:r>
      <w:r w:rsidRPr="003E425B">
        <w:rPr>
          <w:rFonts w:ascii="Times New Roman" w:hAnsi="Times New Roman" w:cs="Times New Roman"/>
          <w:sz w:val="28"/>
          <w:szCs w:val="28"/>
        </w:rPr>
        <w:t xml:space="preserve"> inexequible. </w:t>
      </w:r>
    </w:p>
    <w:p w:rsidR="00495993" w:rsidRPr="003E425B" w:rsidRDefault="003E425B" w:rsidP="00010108">
      <w:pPr>
        <w:tabs>
          <w:tab w:val="left" w:pos="567"/>
        </w:tabs>
        <w:rPr>
          <w:rFonts w:ascii="Times New Roman" w:hAnsi="Times New Roman" w:cs="Times New Roman"/>
          <w:sz w:val="28"/>
        </w:rPr>
      </w:pPr>
    </w:p>
    <w:p w:rsidR="00467022" w:rsidRPr="003E425B" w:rsidRDefault="003E425B" w:rsidP="00010108">
      <w:pPr>
        <w:pStyle w:val="Ttulo3"/>
        <w:numPr>
          <w:ilvl w:val="1"/>
          <w:numId w:val="9"/>
        </w:numPr>
        <w:ind w:left="851" w:hanging="709"/>
        <w:rPr>
          <w:rFonts w:ascii="Times New Roman" w:hAnsi="Times New Roman" w:cs="Times New Roman"/>
          <w:sz w:val="28"/>
        </w:rPr>
      </w:pPr>
      <w:r w:rsidRPr="003E425B">
        <w:rPr>
          <w:rFonts w:ascii="Times New Roman" w:hAnsi="Times New Roman" w:cs="Times New Roman"/>
          <w:sz w:val="28"/>
          <w:u w:val="single"/>
        </w:rPr>
        <w:t>C</w:t>
      </w:r>
      <w:r w:rsidRPr="003E425B">
        <w:rPr>
          <w:rFonts w:ascii="Times New Roman" w:hAnsi="Times New Roman" w:cs="Times New Roman"/>
          <w:sz w:val="28"/>
          <w:u w:val="single"/>
        </w:rPr>
        <w:t>argo</w:t>
      </w:r>
      <w:r w:rsidRPr="003E425B">
        <w:rPr>
          <w:rFonts w:ascii="Times New Roman" w:hAnsi="Times New Roman" w:cs="Times New Roman"/>
          <w:sz w:val="28"/>
          <w:u w:val="single"/>
        </w:rPr>
        <w:t xml:space="preserve"> segundo</w:t>
      </w:r>
      <w:r w:rsidRPr="003E425B">
        <w:rPr>
          <w:rFonts w:ascii="Times New Roman" w:hAnsi="Times New Roman" w:cs="Times New Roman"/>
          <w:sz w:val="28"/>
        </w:rPr>
        <w:t xml:space="preserve">: </w:t>
      </w:r>
      <w:r w:rsidRPr="003E425B">
        <w:rPr>
          <w:rFonts w:ascii="Times New Roman" w:hAnsi="Times New Roman" w:cs="Times New Roman"/>
          <w:sz w:val="28"/>
        </w:rPr>
        <w:t xml:space="preserve">el </w:t>
      </w:r>
      <w:r w:rsidRPr="003E425B">
        <w:rPr>
          <w:rFonts w:ascii="Times New Roman" w:hAnsi="Times New Roman" w:cs="Times New Roman"/>
          <w:sz w:val="28"/>
        </w:rPr>
        <w:t xml:space="preserve">presunto </w:t>
      </w:r>
      <w:r w:rsidRPr="003E425B">
        <w:rPr>
          <w:rFonts w:ascii="Times New Roman" w:hAnsi="Times New Roman" w:cs="Times New Roman"/>
          <w:sz w:val="28"/>
        </w:rPr>
        <w:t>desconocimiento de</w:t>
      </w:r>
      <w:r w:rsidRPr="003E425B">
        <w:rPr>
          <w:rFonts w:ascii="Times New Roman" w:hAnsi="Times New Roman" w:cs="Times New Roman"/>
          <w:sz w:val="28"/>
        </w:rPr>
        <w:t xml:space="preserve"> la obligación</w:t>
      </w:r>
      <w:r w:rsidRPr="003E425B">
        <w:rPr>
          <w:rFonts w:ascii="Times New Roman" w:hAnsi="Times New Roman" w:cs="Times New Roman"/>
          <w:sz w:val="28"/>
        </w:rPr>
        <w:t xml:space="preserve"> de evaluar el impacto fiscal de la iniciativa (</w:t>
      </w:r>
      <w:r w:rsidRPr="003E425B">
        <w:rPr>
          <w:rFonts w:ascii="Times New Roman" w:hAnsi="Times New Roman" w:cs="Times New Roman"/>
          <w:sz w:val="28"/>
        </w:rPr>
        <w:t>art. 7° de la Ley 819 de 2003</w:t>
      </w:r>
      <w:r w:rsidRPr="003E425B">
        <w:rPr>
          <w:rFonts w:ascii="Times New Roman" w:hAnsi="Times New Roman" w:cs="Times New Roman"/>
          <w:sz w:val="28"/>
        </w:rPr>
        <w:t>)</w:t>
      </w:r>
    </w:p>
    <w:p w:rsidR="00467022" w:rsidRPr="003E425B" w:rsidRDefault="003E425B" w:rsidP="00010108">
      <w:pPr>
        <w:rPr>
          <w:rFonts w:ascii="Times New Roman" w:hAnsi="Times New Roman" w:cs="Times New Roman"/>
          <w:bCs/>
          <w:color w:val="000000" w:themeColor="text1"/>
          <w:sz w:val="28"/>
          <w:lang w:eastAsia="es-ES_tradnl"/>
        </w:rPr>
      </w:pPr>
    </w:p>
    <w:p w:rsidR="00DE1482" w:rsidRPr="003E425B" w:rsidRDefault="003E425B" w:rsidP="00010108">
      <w:pPr>
        <w:numPr>
          <w:ilvl w:val="0"/>
          <w:numId w:val="10"/>
        </w:numPr>
        <w:tabs>
          <w:tab w:val="left" w:pos="567"/>
        </w:tabs>
        <w:ind w:left="0" w:firstLine="0"/>
        <w:rPr>
          <w:rFonts w:ascii="Times New Roman" w:hAnsi="Times New Roman" w:cs="Times New Roman"/>
          <w:sz w:val="28"/>
          <w:szCs w:val="28"/>
          <w:lang w:val="es-ES"/>
        </w:rPr>
      </w:pPr>
      <w:bookmarkStart w:id="8" w:name="_Hlk165137576"/>
      <w:r w:rsidRPr="003E425B">
        <w:rPr>
          <w:rFonts w:ascii="Times New Roman" w:hAnsi="Times New Roman" w:cs="Times New Roman"/>
          <w:sz w:val="28"/>
          <w:szCs w:val="28"/>
        </w:rPr>
        <w:t xml:space="preserve">Los </w:t>
      </w:r>
      <w:r w:rsidRPr="003E425B">
        <w:rPr>
          <w:rFonts w:ascii="Times New Roman" w:hAnsi="Times New Roman" w:cs="Times New Roman"/>
          <w:sz w:val="28"/>
          <w:szCs w:val="28"/>
        </w:rPr>
        <w:t>demandantes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argumentan</w:t>
      </w:r>
      <w:r w:rsidRPr="003E425B">
        <w:rPr>
          <w:rFonts w:ascii="Times New Roman" w:hAnsi="Times New Roman" w:cs="Times New Roman"/>
          <w:sz w:val="28"/>
          <w:szCs w:val="28"/>
        </w:rPr>
        <w:t xml:space="preserve"> que</w:t>
      </w:r>
      <w:r w:rsidRPr="003E425B">
        <w:rPr>
          <w:rFonts w:ascii="Times New Roman" w:hAnsi="Times New Roman" w:cs="Times New Roman"/>
          <w:sz w:val="28"/>
          <w:szCs w:val="28"/>
        </w:rPr>
        <w:t xml:space="preserve">, en el procedimiento legislativo de aprobación de la </w:t>
      </w:r>
      <w:r w:rsidRPr="003E425B">
        <w:rPr>
          <w:rFonts w:ascii="Times New Roman" w:hAnsi="Times New Roman" w:cs="Times New Roman"/>
          <w:sz w:val="28"/>
          <w:szCs w:val="28"/>
        </w:rPr>
        <w:t>L</w:t>
      </w:r>
      <w:r w:rsidRPr="003E425B">
        <w:rPr>
          <w:rFonts w:ascii="Times New Roman" w:hAnsi="Times New Roman" w:cs="Times New Roman"/>
          <w:sz w:val="28"/>
          <w:szCs w:val="28"/>
        </w:rPr>
        <w:t xml:space="preserve">ey 2281 de 2023, se </w:t>
      </w:r>
      <w:r w:rsidRPr="003E425B">
        <w:rPr>
          <w:rFonts w:ascii="Times New Roman" w:hAnsi="Times New Roman" w:cs="Times New Roman"/>
          <w:sz w:val="28"/>
          <w:szCs w:val="28"/>
        </w:rPr>
        <w:t xml:space="preserve">desconoció la obligación de </w:t>
      </w:r>
      <w:r w:rsidRPr="003E425B">
        <w:rPr>
          <w:rFonts w:ascii="Times New Roman" w:hAnsi="Times New Roman" w:cs="Times New Roman"/>
          <w:sz w:val="28"/>
          <w:szCs w:val="28"/>
        </w:rPr>
        <w:t>analizar</w:t>
      </w:r>
      <w:r w:rsidRPr="003E425B">
        <w:rPr>
          <w:rFonts w:ascii="Times New Roman" w:hAnsi="Times New Roman" w:cs="Times New Roman"/>
          <w:sz w:val="28"/>
          <w:szCs w:val="28"/>
        </w:rPr>
        <w:t xml:space="preserve"> el impacto fiscal </w:t>
      </w:r>
      <w:r w:rsidRPr="003E425B">
        <w:rPr>
          <w:rFonts w:ascii="Times New Roman" w:hAnsi="Times New Roman" w:cs="Times New Roman"/>
          <w:sz w:val="28"/>
          <w:szCs w:val="28"/>
        </w:rPr>
        <w:t>de la iniciativa legislativa</w:t>
      </w:r>
      <w:r w:rsidRPr="003E425B">
        <w:rPr>
          <w:rFonts w:ascii="Times New Roman" w:hAnsi="Times New Roman" w:cs="Times New Roman"/>
          <w:sz w:val="28"/>
          <w:szCs w:val="28"/>
        </w:rPr>
        <w:t xml:space="preserve">, conforme a lo </w:t>
      </w:r>
      <w:r w:rsidRPr="003E425B">
        <w:rPr>
          <w:rFonts w:ascii="Times New Roman" w:hAnsi="Times New Roman" w:cs="Times New Roman"/>
          <w:sz w:val="28"/>
          <w:szCs w:val="28"/>
        </w:rPr>
        <w:t>previst</w:t>
      </w:r>
      <w:r w:rsidRPr="003E425B">
        <w:rPr>
          <w:rFonts w:ascii="Times New Roman" w:hAnsi="Times New Roman" w:cs="Times New Roman"/>
          <w:sz w:val="28"/>
          <w:szCs w:val="28"/>
        </w:rPr>
        <w:t>o</w:t>
      </w:r>
      <w:r w:rsidRPr="003E425B">
        <w:rPr>
          <w:rFonts w:ascii="Times New Roman" w:hAnsi="Times New Roman" w:cs="Times New Roman"/>
          <w:sz w:val="28"/>
          <w:szCs w:val="28"/>
        </w:rPr>
        <w:t xml:space="preserve"> en el artículo 7º de la Ley 819 de 2003</w:t>
      </w:r>
      <w:r w:rsidRPr="003E425B">
        <w:rPr>
          <w:rStyle w:val="Refdenotaalpie"/>
          <w:rFonts w:ascii="Times New Roman" w:hAnsi="Times New Roman" w:cs="Times New Roman"/>
          <w:sz w:val="28"/>
          <w:szCs w:val="28"/>
        </w:rPr>
        <w:footnoteReference w:id="12"/>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Esto, por las razones que se si</w:t>
      </w:r>
      <w:r w:rsidRPr="003E425B">
        <w:rPr>
          <w:rFonts w:ascii="Times New Roman" w:hAnsi="Times New Roman" w:cs="Times New Roman"/>
          <w:sz w:val="28"/>
          <w:szCs w:val="28"/>
        </w:rPr>
        <w:t>ntetizan en la siguiente tabla</w:t>
      </w:r>
      <w:bookmarkEnd w:id="8"/>
      <w:r w:rsidRPr="003E425B">
        <w:rPr>
          <w:rFonts w:ascii="Times New Roman" w:hAnsi="Times New Roman" w:cs="Times New Roman"/>
          <w:sz w:val="28"/>
          <w:szCs w:val="28"/>
        </w:rPr>
        <w:t xml:space="preserve">: </w:t>
      </w:r>
    </w:p>
    <w:p w:rsidR="003E6A18" w:rsidRPr="003E425B" w:rsidRDefault="003E425B" w:rsidP="00010108">
      <w:pPr>
        <w:tabs>
          <w:tab w:val="left" w:pos="567"/>
        </w:tabs>
        <w:rPr>
          <w:rFonts w:ascii="Times New Roman" w:hAnsi="Times New Roman" w:cs="Times New Roman"/>
          <w:sz w:val="28"/>
          <w:szCs w:val="28"/>
        </w:rPr>
      </w:pPr>
    </w:p>
    <w:tbl>
      <w:tblPr>
        <w:tblStyle w:val="Tablaconcuadrcula"/>
        <w:tblW w:w="5000" w:type="pct"/>
        <w:tblLook w:val="04A0" w:firstRow="1" w:lastRow="0" w:firstColumn="1" w:lastColumn="0" w:noHBand="0" w:noVBand="1"/>
      </w:tblPr>
      <w:tblGrid>
        <w:gridCol w:w="8830"/>
      </w:tblGrid>
      <w:tr w:rsidR="003E6A18" w:rsidRPr="003E425B" w:rsidTr="00E4520F">
        <w:tc>
          <w:tcPr>
            <w:tcW w:w="5000" w:type="pct"/>
            <w:shd w:val="clear" w:color="auto" w:fill="D9D9D9" w:themeFill="background1" w:themeFillShade="D9"/>
          </w:tcPr>
          <w:p w:rsidR="003E6A18" w:rsidRPr="003E425B" w:rsidRDefault="003E425B" w:rsidP="00010108">
            <w:pPr>
              <w:tabs>
                <w:tab w:val="left" w:pos="567"/>
              </w:tabs>
              <w:jc w:val="center"/>
              <w:rPr>
                <w:rFonts w:ascii="Times New Roman" w:hAnsi="Times New Roman" w:cs="Times New Roman"/>
                <w:b/>
                <w:bCs/>
                <w:sz w:val="28"/>
                <w:szCs w:val="20"/>
                <w:lang w:val="es-ES"/>
              </w:rPr>
            </w:pPr>
            <w:r w:rsidRPr="003E425B">
              <w:rPr>
                <w:rFonts w:ascii="Times New Roman" w:hAnsi="Times New Roman" w:cs="Times New Roman"/>
                <w:b/>
                <w:bCs/>
                <w:sz w:val="28"/>
                <w:szCs w:val="20"/>
                <w:lang w:val="es-ES"/>
              </w:rPr>
              <w:t xml:space="preserve">Incumplimiento del </w:t>
            </w:r>
            <w:r w:rsidRPr="003E425B">
              <w:rPr>
                <w:rFonts w:ascii="Times New Roman" w:hAnsi="Times New Roman" w:cs="Times New Roman"/>
                <w:b/>
                <w:bCs/>
                <w:sz w:val="28"/>
                <w:szCs w:val="20"/>
                <w:lang w:val="es-ES"/>
              </w:rPr>
              <w:t>artículo</w:t>
            </w:r>
            <w:r w:rsidRPr="003E425B">
              <w:rPr>
                <w:rFonts w:ascii="Times New Roman" w:hAnsi="Times New Roman" w:cs="Times New Roman"/>
                <w:b/>
                <w:bCs/>
                <w:sz w:val="28"/>
                <w:szCs w:val="20"/>
                <w:lang w:val="es-ES"/>
              </w:rPr>
              <w:t xml:space="preserve"> 7º de la Ley 819 de 2003</w:t>
            </w:r>
          </w:p>
        </w:tc>
      </w:tr>
      <w:tr w:rsidR="003E6A18" w:rsidRPr="003E425B" w:rsidTr="00E4520F">
        <w:tc>
          <w:tcPr>
            <w:tcW w:w="5000" w:type="pct"/>
          </w:tcPr>
          <w:p w:rsidR="003E6A18" w:rsidRPr="003E425B" w:rsidRDefault="003E425B" w:rsidP="00010108">
            <w:pPr>
              <w:pStyle w:val="Prrafodelista"/>
              <w:numPr>
                <w:ilvl w:val="0"/>
                <w:numId w:val="11"/>
              </w:numPr>
              <w:tabs>
                <w:tab w:val="left" w:pos="449"/>
              </w:tabs>
              <w:spacing w:line="240" w:lineRule="auto"/>
              <w:ind w:left="449" w:hanging="425"/>
              <w:rPr>
                <w:rFonts w:ascii="Times New Roman" w:hAnsi="Times New Roman"/>
                <w:sz w:val="28"/>
                <w:szCs w:val="20"/>
                <w:lang w:val="es-ES"/>
              </w:rPr>
            </w:pPr>
            <w:r w:rsidRPr="003E425B">
              <w:rPr>
                <w:rFonts w:ascii="Times New Roman" w:hAnsi="Times New Roman"/>
                <w:sz w:val="28"/>
                <w:szCs w:val="20"/>
                <w:lang w:val="es-ES"/>
              </w:rPr>
              <w:t>En la exposición de motivos de la iniciativa legislativa</w:t>
            </w:r>
            <w:r w:rsidRPr="003E425B">
              <w:rPr>
                <w:rFonts w:ascii="Times New Roman" w:hAnsi="Times New Roman"/>
                <w:sz w:val="28"/>
                <w:szCs w:val="20"/>
                <w:lang w:val="es-ES"/>
              </w:rPr>
              <w:t>,</w:t>
            </w:r>
            <w:r w:rsidRPr="003E425B">
              <w:rPr>
                <w:rFonts w:ascii="Times New Roman" w:hAnsi="Times New Roman"/>
                <w:sz w:val="28"/>
                <w:szCs w:val="20"/>
                <w:lang w:val="es-ES"/>
              </w:rPr>
              <w:t xml:space="preserve"> “los autores no indicaron cuánto costaría la creación de la nueva entidad”</w:t>
            </w:r>
            <w:r w:rsidRPr="003E425B">
              <w:rPr>
                <w:rFonts w:ascii="Times New Roman" w:hAnsi="Times New Roman"/>
                <w:sz w:val="28"/>
                <w:szCs w:val="20"/>
                <w:vertAlign w:val="superscript"/>
                <w:lang w:val="es-ES"/>
              </w:rPr>
              <w:footnoteReference w:id="13"/>
            </w:r>
            <w:r w:rsidRPr="003E425B">
              <w:rPr>
                <w:rFonts w:ascii="Times New Roman" w:hAnsi="Times New Roman"/>
                <w:sz w:val="28"/>
                <w:szCs w:val="20"/>
                <w:lang w:val="es-ES"/>
              </w:rPr>
              <w:t xml:space="preserve">. Por el contrario, se limitaron a </w:t>
            </w:r>
            <w:r w:rsidRPr="003E425B">
              <w:rPr>
                <w:rFonts w:ascii="Times New Roman" w:hAnsi="Times New Roman"/>
                <w:sz w:val="28"/>
                <w:szCs w:val="20"/>
                <w:lang w:val="es-ES"/>
              </w:rPr>
              <w:t>afirmar que “la creación del Ministerio de Igualdad y Equidad se hará en el marco de la política de austeridad del Gobierno nacional”</w:t>
            </w:r>
            <w:r w:rsidRPr="003E425B">
              <w:rPr>
                <w:rFonts w:ascii="Times New Roman" w:hAnsi="Times New Roman"/>
                <w:sz w:val="28"/>
                <w:szCs w:val="20"/>
                <w:vertAlign w:val="superscript"/>
                <w:lang w:val="es-ES"/>
              </w:rPr>
              <w:footnoteReference w:id="14"/>
            </w:r>
            <w:r w:rsidRPr="003E425B">
              <w:rPr>
                <w:rFonts w:ascii="Times New Roman" w:hAnsi="Times New Roman"/>
                <w:sz w:val="28"/>
                <w:szCs w:val="20"/>
                <w:lang w:val="es-ES"/>
              </w:rPr>
              <w:t xml:space="preserve">. </w:t>
            </w:r>
          </w:p>
          <w:p w:rsidR="003E6A18" w:rsidRPr="003E425B" w:rsidRDefault="003E425B" w:rsidP="00010108">
            <w:pPr>
              <w:pStyle w:val="Prrafodelista"/>
              <w:numPr>
                <w:ilvl w:val="0"/>
                <w:numId w:val="11"/>
              </w:numPr>
              <w:tabs>
                <w:tab w:val="left" w:pos="449"/>
              </w:tabs>
              <w:spacing w:line="240" w:lineRule="auto"/>
              <w:ind w:left="449" w:hanging="425"/>
              <w:rPr>
                <w:rFonts w:ascii="Times New Roman" w:hAnsi="Times New Roman"/>
                <w:sz w:val="28"/>
                <w:szCs w:val="20"/>
                <w:lang w:val="es-ES"/>
              </w:rPr>
            </w:pPr>
            <w:r w:rsidRPr="003E425B">
              <w:rPr>
                <w:rFonts w:ascii="Times New Roman" w:hAnsi="Times New Roman"/>
                <w:sz w:val="28"/>
                <w:szCs w:val="20"/>
                <w:lang w:val="es-ES"/>
              </w:rPr>
              <w:t>En la ponencia mayoritaria de primer debate en las comisiones constitucionales conjuntas, los ponentes y el Gobierno Na</w:t>
            </w:r>
            <w:r w:rsidRPr="003E425B">
              <w:rPr>
                <w:rFonts w:ascii="Times New Roman" w:hAnsi="Times New Roman"/>
                <w:sz w:val="28"/>
                <w:szCs w:val="20"/>
                <w:lang w:val="es-ES"/>
              </w:rPr>
              <w:t>cional no indicaron “el impacto fiscal del proyecto ni su consistencia con el Marco Fiscal de Mediano Plazo”</w:t>
            </w:r>
            <w:r w:rsidRPr="003E425B">
              <w:rPr>
                <w:rFonts w:ascii="Times New Roman" w:hAnsi="Times New Roman"/>
                <w:sz w:val="28"/>
                <w:szCs w:val="20"/>
                <w:vertAlign w:val="superscript"/>
                <w:lang w:val="es-ES"/>
              </w:rPr>
              <w:footnoteReference w:id="15"/>
            </w:r>
            <w:r w:rsidRPr="003E425B">
              <w:rPr>
                <w:rFonts w:ascii="Times New Roman" w:hAnsi="Times New Roman"/>
                <w:sz w:val="28"/>
                <w:szCs w:val="20"/>
                <w:lang w:val="es-ES"/>
              </w:rPr>
              <w:t>. Sólo estimaron el costo del proyecto de manera “escueta e imprecisa”</w:t>
            </w:r>
            <w:r w:rsidRPr="003E425B">
              <w:rPr>
                <w:rFonts w:ascii="Times New Roman" w:hAnsi="Times New Roman"/>
                <w:sz w:val="28"/>
                <w:szCs w:val="20"/>
                <w:vertAlign w:val="superscript"/>
                <w:lang w:val="es-ES"/>
              </w:rPr>
              <w:footnoteReference w:id="16"/>
            </w:r>
            <w:r w:rsidRPr="003E425B">
              <w:rPr>
                <w:rFonts w:ascii="Times New Roman" w:hAnsi="Times New Roman"/>
                <w:sz w:val="28"/>
                <w:szCs w:val="20"/>
                <w:lang w:val="es-ES"/>
              </w:rPr>
              <w:t xml:space="preserve"> en “$18.239 millones”</w:t>
            </w:r>
            <w:r w:rsidRPr="003E425B">
              <w:rPr>
                <w:rFonts w:ascii="Times New Roman" w:hAnsi="Times New Roman"/>
                <w:sz w:val="28"/>
                <w:szCs w:val="20"/>
                <w:vertAlign w:val="superscript"/>
                <w:lang w:val="es-ES"/>
              </w:rPr>
              <w:footnoteReference w:id="17"/>
            </w:r>
            <w:r w:rsidRPr="003E425B">
              <w:rPr>
                <w:rFonts w:ascii="Times New Roman" w:hAnsi="Times New Roman"/>
                <w:sz w:val="28"/>
                <w:szCs w:val="20"/>
                <w:lang w:val="es-ES"/>
              </w:rPr>
              <w:t>.</w:t>
            </w:r>
          </w:p>
          <w:p w:rsidR="003E6A18" w:rsidRPr="003E425B" w:rsidRDefault="003E425B" w:rsidP="00010108">
            <w:pPr>
              <w:pStyle w:val="Prrafodelista"/>
              <w:numPr>
                <w:ilvl w:val="0"/>
                <w:numId w:val="11"/>
              </w:numPr>
              <w:tabs>
                <w:tab w:val="left" w:pos="449"/>
              </w:tabs>
              <w:spacing w:line="240" w:lineRule="auto"/>
              <w:ind w:left="449" w:hanging="425"/>
              <w:rPr>
                <w:rFonts w:ascii="Times New Roman" w:hAnsi="Times New Roman"/>
                <w:sz w:val="28"/>
                <w:szCs w:val="20"/>
                <w:lang w:val="es-ES"/>
              </w:rPr>
            </w:pPr>
            <w:r w:rsidRPr="003E425B">
              <w:rPr>
                <w:rFonts w:ascii="Times New Roman" w:hAnsi="Times New Roman"/>
                <w:sz w:val="28"/>
                <w:szCs w:val="20"/>
                <w:lang w:val="es-ES"/>
              </w:rPr>
              <w:t>En la ponencia mayoritaria para segundo debate, los</w:t>
            </w:r>
            <w:r w:rsidRPr="003E425B">
              <w:rPr>
                <w:rFonts w:ascii="Times New Roman" w:hAnsi="Times New Roman"/>
                <w:sz w:val="28"/>
                <w:szCs w:val="20"/>
                <w:lang w:val="es-ES"/>
              </w:rPr>
              <w:t xml:space="preserve"> ponentes no sólo no indicaron el costo del proyecto, sino que “re[i]t</w:t>
            </w:r>
            <w:r w:rsidRPr="003E425B">
              <w:rPr>
                <w:rFonts w:ascii="Times New Roman" w:hAnsi="Times New Roman"/>
                <w:sz w:val="28"/>
                <w:szCs w:val="20"/>
                <w:lang w:val="es-ES"/>
              </w:rPr>
              <w:t>e</w:t>
            </w:r>
            <w:r w:rsidRPr="003E425B">
              <w:rPr>
                <w:rFonts w:ascii="Times New Roman" w:hAnsi="Times New Roman"/>
                <w:sz w:val="28"/>
                <w:szCs w:val="20"/>
                <w:lang w:val="es-ES"/>
              </w:rPr>
              <w:t>raron la escueta estimación que habían esbozado en la ponencia de primer debate, lo cual denota que dicha aproximación fiscal no contaba con sustento técnico y era completamente impreci</w:t>
            </w:r>
            <w:r w:rsidRPr="003E425B">
              <w:rPr>
                <w:rFonts w:ascii="Times New Roman" w:hAnsi="Times New Roman"/>
                <w:sz w:val="28"/>
                <w:szCs w:val="20"/>
                <w:lang w:val="es-ES"/>
              </w:rPr>
              <w:t>sa</w:t>
            </w:r>
            <w:r w:rsidRPr="003E425B">
              <w:rPr>
                <w:rFonts w:ascii="Times New Roman" w:hAnsi="Times New Roman"/>
                <w:sz w:val="28"/>
                <w:szCs w:val="20"/>
                <w:lang w:val="es-ES"/>
              </w:rPr>
              <w:t>”</w:t>
            </w:r>
            <w:r w:rsidRPr="003E425B">
              <w:rPr>
                <w:rFonts w:ascii="Times New Roman" w:hAnsi="Times New Roman"/>
                <w:sz w:val="28"/>
                <w:szCs w:val="20"/>
                <w:vertAlign w:val="superscript"/>
                <w:lang w:val="es-ES"/>
              </w:rPr>
              <w:footnoteReference w:id="18"/>
            </w:r>
            <w:r w:rsidRPr="003E425B">
              <w:rPr>
                <w:rFonts w:ascii="Times New Roman" w:hAnsi="Times New Roman"/>
                <w:sz w:val="28"/>
                <w:szCs w:val="20"/>
                <w:lang w:val="es-ES"/>
              </w:rPr>
              <w:t xml:space="preserve">. </w:t>
            </w:r>
          </w:p>
          <w:p w:rsidR="003E6A18" w:rsidRPr="003E425B" w:rsidRDefault="003E425B" w:rsidP="00010108">
            <w:pPr>
              <w:pStyle w:val="Prrafodelista"/>
              <w:numPr>
                <w:ilvl w:val="0"/>
                <w:numId w:val="11"/>
              </w:numPr>
              <w:tabs>
                <w:tab w:val="left" w:pos="449"/>
              </w:tabs>
              <w:spacing w:line="240" w:lineRule="auto"/>
              <w:ind w:left="449" w:hanging="425"/>
              <w:rPr>
                <w:rFonts w:ascii="Times New Roman" w:hAnsi="Times New Roman"/>
                <w:sz w:val="28"/>
                <w:szCs w:val="20"/>
                <w:lang w:val="es-ES"/>
              </w:rPr>
            </w:pPr>
            <w:r w:rsidRPr="003E425B">
              <w:rPr>
                <w:rFonts w:ascii="Times New Roman" w:hAnsi="Times New Roman"/>
                <w:sz w:val="28"/>
                <w:szCs w:val="20"/>
                <w:lang w:val="es-ES"/>
              </w:rPr>
              <w:t>La senadora María Fernanda Cabal presentó ponencia de archivo del proyecto, precisamente por “la indeterminación del impacto fiscal de la iniciativa”. No obstante, esta proposición fue rechazad</w:t>
            </w:r>
            <w:r w:rsidRPr="003E425B">
              <w:rPr>
                <w:rFonts w:ascii="Times New Roman" w:hAnsi="Times New Roman"/>
                <w:sz w:val="28"/>
                <w:szCs w:val="20"/>
                <w:lang w:val="es-ES"/>
              </w:rPr>
              <w:t>a</w:t>
            </w:r>
            <w:r w:rsidRPr="003E425B">
              <w:rPr>
                <w:rFonts w:ascii="Times New Roman" w:hAnsi="Times New Roman"/>
                <w:sz w:val="28"/>
                <w:szCs w:val="20"/>
                <w:lang w:val="es-ES"/>
              </w:rPr>
              <w:t xml:space="preserve"> sin justificación. </w:t>
            </w:r>
          </w:p>
          <w:p w:rsidR="003E6A18" w:rsidRPr="003E425B" w:rsidRDefault="003E425B" w:rsidP="00010108">
            <w:pPr>
              <w:pStyle w:val="Prrafodelista"/>
              <w:numPr>
                <w:ilvl w:val="0"/>
                <w:numId w:val="11"/>
              </w:numPr>
              <w:tabs>
                <w:tab w:val="left" w:pos="449"/>
              </w:tabs>
              <w:spacing w:line="240" w:lineRule="auto"/>
              <w:ind w:left="449" w:hanging="425"/>
              <w:rPr>
                <w:rFonts w:ascii="Times New Roman" w:hAnsi="Times New Roman"/>
                <w:sz w:val="28"/>
                <w:szCs w:val="20"/>
                <w:lang w:val="es-ES"/>
              </w:rPr>
            </w:pPr>
            <w:r w:rsidRPr="003E425B">
              <w:rPr>
                <w:rFonts w:ascii="Times New Roman" w:hAnsi="Times New Roman"/>
                <w:sz w:val="28"/>
                <w:szCs w:val="20"/>
              </w:rPr>
              <w:t>La</w:t>
            </w:r>
            <w:r w:rsidRPr="003E425B">
              <w:rPr>
                <w:rFonts w:ascii="Times New Roman" w:hAnsi="Times New Roman"/>
                <w:sz w:val="28"/>
                <w:szCs w:val="20"/>
              </w:rPr>
              <w:t xml:space="preserve"> jurisprudencia constitucional</w:t>
            </w:r>
            <w:r w:rsidRPr="003E425B">
              <w:rPr>
                <w:rFonts w:ascii="Times New Roman" w:hAnsi="Times New Roman"/>
                <w:sz w:val="28"/>
                <w:szCs w:val="20"/>
                <w:vertAlign w:val="superscript"/>
              </w:rPr>
              <w:footnoteReference w:id="19"/>
            </w:r>
            <w:r w:rsidRPr="003E425B">
              <w:rPr>
                <w:rFonts w:ascii="Times New Roman" w:hAnsi="Times New Roman"/>
                <w:sz w:val="28"/>
                <w:szCs w:val="20"/>
              </w:rPr>
              <w:t xml:space="preserve"> </w:t>
            </w:r>
            <w:r w:rsidRPr="003E425B">
              <w:rPr>
                <w:rFonts w:ascii="Times New Roman" w:hAnsi="Times New Roman"/>
                <w:sz w:val="28"/>
                <w:szCs w:val="20"/>
              </w:rPr>
              <w:t xml:space="preserve">ha precisado que existe </w:t>
            </w:r>
            <w:r w:rsidRPr="003E425B">
              <w:rPr>
                <w:rFonts w:ascii="Times New Roman" w:hAnsi="Times New Roman"/>
                <w:sz w:val="28"/>
                <w:szCs w:val="20"/>
                <w:lang w:val="es-ES"/>
              </w:rPr>
              <w:t>la “obligación deliberativa especial a cargo del Congreso surgida del concepto del [Ministerio de Hacienda y Crédito Público]”</w:t>
            </w:r>
            <w:r w:rsidRPr="003E425B">
              <w:rPr>
                <w:rFonts w:ascii="Times New Roman" w:hAnsi="Times New Roman"/>
                <w:sz w:val="28"/>
                <w:szCs w:val="20"/>
                <w:vertAlign w:val="superscript"/>
                <w:lang w:val="es-ES"/>
              </w:rPr>
              <w:footnoteReference w:id="20"/>
            </w:r>
            <w:r w:rsidRPr="003E425B">
              <w:rPr>
                <w:rFonts w:ascii="Times New Roman" w:hAnsi="Times New Roman"/>
                <w:sz w:val="28"/>
                <w:szCs w:val="20"/>
                <w:lang w:val="es-ES"/>
              </w:rPr>
              <w:t xml:space="preserve"> (“</w:t>
            </w:r>
            <w:r w:rsidRPr="003E425B">
              <w:rPr>
                <w:rFonts w:ascii="Times New Roman" w:hAnsi="Times New Roman"/>
                <w:sz w:val="28"/>
                <w:szCs w:val="20"/>
                <w:u w:val="single"/>
                <w:lang w:val="es-ES"/>
              </w:rPr>
              <w:t>MHCP</w:t>
            </w:r>
            <w:r w:rsidRPr="003E425B">
              <w:rPr>
                <w:rFonts w:ascii="Times New Roman" w:hAnsi="Times New Roman"/>
                <w:sz w:val="28"/>
                <w:szCs w:val="20"/>
                <w:lang w:val="es-ES"/>
              </w:rPr>
              <w:t>”). Afirman que el MHCP presentó concepto sobre la creación del Ministerio de la Igualdad y Equida</w:t>
            </w:r>
            <w:r w:rsidRPr="003E425B">
              <w:rPr>
                <w:rFonts w:ascii="Times New Roman" w:hAnsi="Times New Roman"/>
                <w:sz w:val="28"/>
                <w:szCs w:val="20"/>
                <w:lang w:val="es-ES"/>
              </w:rPr>
              <w:t>d. Sin embargo, este concepto sólo fue puesto en conocimiento de los senadores durante el debate en plenaria, por lo que “no fue estudiado ni debatido en el curso del cuarto debate”</w:t>
            </w:r>
            <w:r w:rsidRPr="003E425B">
              <w:rPr>
                <w:rFonts w:ascii="Times New Roman" w:hAnsi="Times New Roman"/>
                <w:sz w:val="28"/>
                <w:szCs w:val="20"/>
                <w:vertAlign w:val="superscript"/>
                <w:lang w:val="es-ES"/>
              </w:rPr>
              <w:footnoteReference w:id="21"/>
            </w:r>
            <w:r w:rsidRPr="003E425B">
              <w:rPr>
                <w:rFonts w:ascii="Times New Roman" w:hAnsi="Times New Roman"/>
                <w:sz w:val="28"/>
                <w:szCs w:val="20"/>
                <w:lang w:val="es-ES"/>
              </w:rPr>
              <w:t xml:space="preserve"> y, a pesar de esto, tanto “el ponente como la mesa directiva procedieron </w:t>
            </w:r>
            <w:r w:rsidRPr="003E425B">
              <w:rPr>
                <w:rFonts w:ascii="Times New Roman" w:hAnsi="Times New Roman"/>
                <w:sz w:val="28"/>
                <w:szCs w:val="20"/>
                <w:lang w:val="es-ES"/>
              </w:rPr>
              <w:t>a votar la ponencia, el articulado y las proposiciones del proyecto simplemente indicando que existía un concepto favorable del [MHCP]”</w:t>
            </w:r>
            <w:r w:rsidRPr="003E425B">
              <w:rPr>
                <w:rFonts w:ascii="Times New Roman" w:hAnsi="Times New Roman"/>
                <w:sz w:val="28"/>
                <w:szCs w:val="20"/>
                <w:vertAlign w:val="superscript"/>
                <w:lang w:val="es-ES"/>
              </w:rPr>
              <w:footnoteReference w:id="22"/>
            </w:r>
            <w:r w:rsidRPr="003E425B">
              <w:rPr>
                <w:rFonts w:ascii="Times New Roman" w:hAnsi="Times New Roman"/>
                <w:sz w:val="28"/>
                <w:szCs w:val="20"/>
                <w:lang w:val="es-ES"/>
              </w:rPr>
              <w:t>.</w:t>
            </w:r>
          </w:p>
          <w:p w:rsidR="003E6A18" w:rsidRPr="003E425B" w:rsidRDefault="003E425B" w:rsidP="00010108">
            <w:pPr>
              <w:pStyle w:val="Prrafodelista"/>
              <w:numPr>
                <w:ilvl w:val="0"/>
                <w:numId w:val="11"/>
              </w:numPr>
              <w:tabs>
                <w:tab w:val="left" w:pos="449"/>
              </w:tabs>
              <w:spacing w:line="240" w:lineRule="auto"/>
              <w:ind w:left="449" w:hanging="425"/>
              <w:rPr>
                <w:rFonts w:ascii="Times New Roman" w:hAnsi="Times New Roman"/>
                <w:sz w:val="28"/>
                <w:szCs w:val="20"/>
                <w:lang w:val="es-ES"/>
              </w:rPr>
            </w:pPr>
            <w:r w:rsidRPr="003E425B">
              <w:rPr>
                <w:rFonts w:ascii="Times New Roman" w:hAnsi="Times New Roman"/>
                <w:sz w:val="28"/>
                <w:szCs w:val="20"/>
                <w:lang w:val="es-ES"/>
              </w:rPr>
              <w:t xml:space="preserve">En cualquier caso, sostienen que el concepto que el MHCP presentó </w:t>
            </w:r>
            <w:r w:rsidRPr="003E425B">
              <w:rPr>
                <w:rFonts w:ascii="Times New Roman" w:hAnsi="Times New Roman"/>
                <w:sz w:val="28"/>
                <w:szCs w:val="20"/>
                <w:lang w:val="es-ES"/>
              </w:rPr>
              <w:t xml:space="preserve">no </w:t>
            </w:r>
            <w:r w:rsidRPr="003E425B">
              <w:rPr>
                <w:rFonts w:ascii="Times New Roman" w:hAnsi="Times New Roman"/>
                <w:sz w:val="28"/>
                <w:szCs w:val="20"/>
                <w:lang w:val="es-ES"/>
              </w:rPr>
              <w:t xml:space="preserve">cumplía con los requisitos previstos en la </w:t>
            </w:r>
            <w:r w:rsidRPr="003E425B">
              <w:rPr>
                <w:rFonts w:ascii="Times New Roman" w:hAnsi="Times New Roman"/>
                <w:sz w:val="28"/>
                <w:szCs w:val="20"/>
                <w:lang w:val="es-ES"/>
              </w:rPr>
              <w:t>jurisprudencia</w:t>
            </w:r>
            <w:r w:rsidRPr="003E425B">
              <w:rPr>
                <w:rFonts w:ascii="Times New Roman" w:hAnsi="Times New Roman"/>
                <w:sz w:val="28"/>
                <w:szCs w:val="20"/>
                <w:vertAlign w:val="superscript"/>
                <w:lang w:val="es-ES"/>
              </w:rPr>
              <w:footnoteReference w:id="23"/>
            </w:r>
            <w:r w:rsidRPr="003E425B">
              <w:rPr>
                <w:rFonts w:ascii="Times New Roman" w:hAnsi="Times New Roman"/>
                <w:sz w:val="28"/>
                <w:szCs w:val="20"/>
                <w:lang w:val="es-ES"/>
              </w:rPr>
              <w:t xml:space="preserve">. Esto, porque no tenía “un análisis de costos de la iniciativa, no indica cuál va a ser la fuente de financiación de la nueva estructura burocrática propuesta en la iniciativa legislativa y no expone la concordancia de este nuevo gasto con </w:t>
            </w:r>
            <w:r w:rsidRPr="003E425B">
              <w:rPr>
                <w:rFonts w:ascii="Times New Roman" w:hAnsi="Times New Roman"/>
                <w:sz w:val="28"/>
                <w:szCs w:val="20"/>
                <w:lang w:val="es-ES"/>
              </w:rPr>
              <w:t>el Marco Fiscal de Mediano Plazo”</w:t>
            </w:r>
            <w:r w:rsidRPr="003E425B">
              <w:rPr>
                <w:rFonts w:ascii="Times New Roman" w:hAnsi="Times New Roman"/>
                <w:sz w:val="28"/>
                <w:szCs w:val="20"/>
                <w:vertAlign w:val="superscript"/>
                <w:lang w:val="es-ES"/>
              </w:rPr>
              <w:footnoteReference w:id="24"/>
            </w:r>
            <w:r w:rsidRPr="003E425B">
              <w:rPr>
                <w:rFonts w:ascii="Times New Roman" w:hAnsi="Times New Roman"/>
                <w:sz w:val="28"/>
                <w:szCs w:val="20"/>
                <w:lang w:val="es-ES"/>
              </w:rPr>
              <w:t>. En su criterio, el concepto del MHCP “reafirmab[a] la indeterminación del gasto del proyecto que se venía presentando desde su radicación”</w:t>
            </w:r>
            <w:r w:rsidRPr="003E425B">
              <w:rPr>
                <w:rFonts w:ascii="Times New Roman" w:hAnsi="Times New Roman"/>
                <w:sz w:val="28"/>
                <w:szCs w:val="20"/>
                <w:vertAlign w:val="superscript"/>
                <w:lang w:val="es-ES"/>
              </w:rPr>
              <w:footnoteReference w:id="25"/>
            </w:r>
            <w:r w:rsidRPr="003E425B">
              <w:rPr>
                <w:rFonts w:ascii="Times New Roman" w:hAnsi="Times New Roman"/>
                <w:sz w:val="28"/>
                <w:szCs w:val="20"/>
                <w:lang w:val="es-ES"/>
              </w:rPr>
              <w:t>.</w:t>
            </w:r>
          </w:p>
        </w:tc>
      </w:tr>
    </w:tbl>
    <w:p w:rsidR="00DE1482" w:rsidRPr="003E425B" w:rsidRDefault="003E425B" w:rsidP="00010108">
      <w:pPr>
        <w:tabs>
          <w:tab w:val="left" w:pos="567"/>
        </w:tabs>
        <w:rPr>
          <w:rFonts w:ascii="Times New Roman" w:hAnsi="Times New Roman" w:cs="Times New Roman"/>
          <w:sz w:val="28"/>
          <w:szCs w:val="28"/>
          <w:lang w:val="es-ES"/>
        </w:rPr>
      </w:pPr>
    </w:p>
    <w:p w:rsidR="003E6A18"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sz w:val="28"/>
          <w:szCs w:val="28"/>
          <w:lang w:val="es-ES"/>
        </w:rPr>
        <w:t>Con fundamento en estos argumentos, concluyen que en el trámite de aprobación</w:t>
      </w:r>
      <w:r w:rsidRPr="003E425B">
        <w:rPr>
          <w:rFonts w:ascii="Times New Roman" w:hAnsi="Times New Roman" w:cs="Times New Roman"/>
          <w:sz w:val="28"/>
          <w:szCs w:val="28"/>
          <w:lang w:val="es-ES"/>
        </w:rPr>
        <w:t xml:space="preserve"> de la Ley 2281 de 2023 se desconoció el </w:t>
      </w:r>
      <w:r w:rsidRPr="003E425B">
        <w:rPr>
          <w:rFonts w:ascii="Times New Roman" w:hAnsi="Times New Roman" w:cs="Times New Roman"/>
          <w:sz w:val="28"/>
          <w:szCs w:val="28"/>
          <w:lang w:val="es-ES"/>
        </w:rPr>
        <w:t>artículo</w:t>
      </w:r>
      <w:r w:rsidRPr="003E425B">
        <w:rPr>
          <w:rFonts w:ascii="Times New Roman" w:hAnsi="Times New Roman" w:cs="Times New Roman"/>
          <w:sz w:val="28"/>
          <w:szCs w:val="28"/>
          <w:lang w:val="es-ES"/>
        </w:rPr>
        <w:t xml:space="preserve"> 7º de la Ley 819 de 2003 lo que, a su turno, vulnera el </w:t>
      </w:r>
      <w:r w:rsidRPr="003E425B">
        <w:rPr>
          <w:rFonts w:ascii="Times New Roman" w:hAnsi="Times New Roman" w:cs="Times New Roman"/>
          <w:sz w:val="28"/>
          <w:szCs w:val="28"/>
          <w:lang w:val="es-ES"/>
        </w:rPr>
        <w:t>artículo</w:t>
      </w:r>
      <w:r w:rsidRPr="003E425B">
        <w:rPr>
          <w:rFonts w:ascii="Times New Roman" w:hAnsi="Times New Roman" w:cs="Times New Roman"/>
          <w:sz w:val="28"/>
          <w:szCs w:val="28"/>
          <w:lang w:val="es-ES"/>
        </w:rPr>
        <w:t xml:space="preserve"> 151 de la Carta Política. </w:t>
      </w:r>
    </w:p>
    <w:p w:rsidR="003E6A18" w:rsidRPr="003E425B" w:rsidRDefault="003E425B" w:rsidP="00010108">
      <w:pPr>
        <w:tabs>
          <w:tab w:val="left" w:pos="567"/>
        </w:tabs>
        <w:rPr>
          <w:rFonts w:ascii="Times New Roman" w:hAnsi="Times New Roman" w:cs="Times New Roman"/>
          <w:sz w:val="28"/>
        </w:rPr>
      </w:pPr>
    </w:p>
    <w:p w:rsidR="00532749" w:rsidRPr="003E425B" w:rsidRDefault="003E425B" w:rsidP="00010108">
      <w:pPr>
        <w:pStyle w:val="Ttulo3"/>
        <w:numPr>
          <w:ilvl w:val="1"/>
          <w:numId w:val="9"/>
        </w:numPr>
        <w:ind w:left="851" w:hanging="709"/>
        <w:rPr>
          <w:rFonts w:ascii="Times New Roman" w:hAnsi="Times New Roman" w:cs="Times New Roman"/>
          <w:sz w:val="28"/>
        </w:rPr>
      </w:pPr>
      <w:bookmarkStart w:id="9" w:name="_Ref160376307"/>
      <w:r w:rsidRPr="003E425B">
        <w:rPr>
          <w:rFonts w:ascii="Times New Roman" w:hAnsi="Times New Roman" w:cs="Times New Roman"/>
          <w:sz w:val="28"/>
          <w:u w:val="single"/>
        </w:rPr>
        <w:t>C</w:t>
      </w:r>
      <w:r w:rsidRPr="003E425B">
        <w:rPr>
          <w:rFonts w:ascii="Times New Roman" w:hAnsi="Times New Roman" w:cs="Times New Roman"/>
          <w:sz w:val="28"/>
          <w:u w:val="single"/>
        </w:rPr>
        <w:t>argo</w:t>
      </w:r>
      <w:r w:rsidRPr="003E425B">
        <w:rPr>
          <w:rFonts w:ascii="Times New Roman" w:hAnsi="Times New Roman" w:cs="Times New Roman"/>
          <w:sz w:val="28"/>
          <w:u w:val="single"/>
        </w:rPr>
        <w:t xml:space="preserve"> tercero</w:t>
      </w:r>
      <w:r w:rsidRPr="003E425B">
        <w:rPr>
          <w:rFonts w:ascii="Times New Roman" w:hAnsi="Times New Roman" w:cs="Times New Roman"/>
          <w:sz w:val="28"/>
        </w:rPr>
        <w:t>: el</w:t>
      </w:r>
      <w:r w:rsidRPr="003E425B">
        <w:rPr>
          <w:rFonts w:ascii="Times New Roman" w:hAnsi="Times New Roman" w:cs="Times New Roman"/>
          <w:sz w:val="28"/>
        </w:rPr>
        <w:t xml:space="preserve"> artículo 12 de la Ley 2281 de 2023</w:t>
      </w:r>
      <w:r w:rsidRPr="003E425B">
        <w:rPr>
          <w:rFonts w:ascii="Times New Roman" w:hAnsi="Times New Roman" w:cs="Times New Roman"/>
          <w:sz w:val="28"/>
        </w:rPr>
        <w:t xml:space="preserve"> vulnera</w:t>
      </w:r>
      <w:r w:rsidRPr="003E425B">
        <w:rPr>
          <w:rFonts w:ascii="Times New Roman" w:hAnsi="Times New Roman" w:cs="Times New Roman"/>
          <w:sz w:val="28"/>
        </w:rPr>
        <w:t xml:space="preserve"> </w:t>
      </w:r>
      <w:r w:rsidRPr="003E425B">
        <w:rPr>
          <w:rFonts w:ascii="Times New Roman" w:hAnsi="Times New Roman" w:cs="Times New Roman"/>
          <w:sz w:val="28"/>
        </w:rPr>
        <w:t>el</w:t>
      </w:r>
      <w:r w:rsidRPr="003E425B">
        <w:rPr>
          <w:rFonts w:ascii="Times New Roman" w:hAnsi="Times New Roman" w:cs="Times New Roman"/>
          <w:sz w:val="28"/>
        </w:rPr>
        <w:t xml:space="preserve"> artículo 150.10 de la C</w:t>
      </w:r>
      <w:r w:rsidRPr="003E425B">
        <w:rPr>
          <w:rFonts w:ascii="Times New Roman" w:hAnsi="Times New Roman" w:cs="Times New Roman"/>
          <w:sz w:val="28"/>
        </w:rPr>
        <w:t>onstitución</w:t>
      </w:r>
      <w:bookmarkEnd w:id="9"/>
    </w:p>
    <w:p w:rsidR="007A0DDE" w:rsidRPr="003E425B" w:rsidRDefault="003E425B" w:rsidP="00010108">
      <w:pPr>
        <w:rPr>
          <w:rFonts w:ascii="Times New Roman" w:hAnsi="Times New Roman" w:cs="Times New Roman"/>
          <w:sz w:val="28"/>
        </w:rPr>
      </w:pPr>
    </w:p>
    <w:p w:rsidR="007A5473" w:rsidRPr="003E425B" w:rsidRDefault="003E425B" w:rsidP="00010108">
      <w:pPr>
        <w:numPr>
          <w:ilvl w:val="0"/>
          <w:numId w:val="10"/>
        </w:numPr>
        <w:tabs>
          <w:tab w:val="left" w:pos="567"/>
        </w:tabs>
        <w:ind w:left="0" w:firstLine="0"/>
        <w:rPr>
          <w:rFonts w:ascii="Times New Roman" w:hAnsi="Times New Roman" w:cs="Times New Roman"/>
          <w:color w:val="000000" w:themeColor="text1"/>
          <w:sz w:val="28"/>
          <w:lang w:eastAsia="es-ES_tradnl"/>
        </w:rPr>
      </w:pPr>
      <w:r w:rsidRPr="003E425B">
        <w:rPr>
          <w:rFonts w:ascii="Times New Roman" w:hAnsi="Times New Roman" w:cs="Times New Roman"/>
          <w:bCs/>
          <w:color w:val="000000" w:themeColor="text1"/>
          <w:sz w:val="28"/>
          <w:lang w:eastAsia="es-ES_tradnl"/>
        </w:rPr>
        <w:t>A juicio de l</w:t>
      </w:r>
      <w:r w:rsidRPr="003E425B">
        <w:rPr>
          <w:rFonts w:ascii="Times New Roman" w:hAnsi="Times New Roman" w:cs="Times New Roman"/>
          <w:bCs/>
          <w:color w:val="000000" w:themeColor="text1"/>
          <w:sz w:val="28"/>
          <w:lang w:eastAsia="es-ES_tradnl"/>
        </w:rPr>
        <w:t>os demandantes,</w:t>
      </w:r>
      <w:r w:rsidRPr="003E425B">
        <w:rPr>
          <w:rFonts w:ascii="Times New Roman" w:hAnsi="Times New Roman" w:cs="Times New Roman"/>
          <w:bCs/>
          <w:color w:val="000000" w:themeColor="text1"/>
          <w:sz w:val="28"/>
          <w:lang w:eastAsia="es-ES_tradnl"/>
        </w:rPr>
        <w:t xml:space="preserve"> el artículo 12 de la Ley 2281 de 2023 vulnera el </w:t>
      </w:r>
      <w:r w:rsidRPr="003E425B">
        <w:rPr>
          <w:rFonts w:ascii="Times New Roman" w:hAnsi="Times New Roman" w:cs="Times New Roman"/>
          <w:bCs/>
          <w:color w:val="000000" w:themeColor="text1"/>
          <w:sz w:val="28"/>
          <w:lang w:eastAsia="es-ES_tradnl"/>
        </w:rPr>
        <w:t xml:space="preserve">numeral </w:t>
      </w:r>
      <w:r w:rsidRPr="003E425B">
        <w:rPr>
          <w:rFonts w:ascii="Times New Roman" w:hAnsi="Times New Roman" w:cs="Times New Roman"/>
          <w:bCs/>
          <w:color w:val="000000" w:themeColor="text1"/>
          <w:sz w:val="28"/>
          <w:lang w:eastAsia="es-ES_tradnl"/>
        </w:rPr>
        <w:t xml:space="preserve">10 del </w:t>
      </w:r>
      <w:r w:rsidRPr="003E425B">
        <w:rPr>
          <w:rFonts w:ascii="Times New Roman" w:hAnsi="Times New Roman" w:cs="Times New Roman"/>
          <w:bCs/>
          <w:color w:val="000000" w:themeColor="text1"/>
          <w:sz w:val="28"/>
          <w:lang w:eastAsia="es-ES_tradnl"/>
        </w:rPr>
        <w:t xml:space="preserve">artículo 150 de la Constitución, </w:t>
      </w:r>
      <w:r w:rsidRPr="003E425B">
        <w:rPr>
          <w:rFonts w:ascii="Times New Roman" w:hAnsi="Times New Roman" w:cs="Times New Roman"/>
          <w:bCs/>
          <w:color w:val="000000" w:themeColor="text1"/>
          <w:sz w:val="28"/>
          <w:lang w:eastAsia="es-ES_tradnl"/>
        </w:rPr>
        <w:t>el cual prevé que, por medio de ley</w:t>
      </w:r>
      <w:r w:rsidRPr="003E425B">
        <w:rPr>
          <w:rFonts w:ascii="Times New Roman" w:hAnsi="Times New Roman" w:cs="Times New Roman"/>
          <w:bCs/>
          <w:color w:val="000000" w:themeColor="text1"/>
          <w:sz w:val="28"/>
          <w:lang w:eastAsia="es-ES_tradnl"/>
        </w:rPr>
        <w:t xml:space="preserve"> habilitante</w:t>
      </w:r>
      <w:r w:rsidRPr="003E425B">
        <w:rPr>
          <w:rFonts w:ascii="Times New Roman" w:hAnsi="Times New Roman" w:cs="Times New Roman"/>
          <w:bCs/>
          <w:color w:val="000000" w:themeColor="text1"/>
          <w:sz w:val="28"/>
          <w:lang w:eastAsia="es-ES_tradnl"/>
        </w:rPr>
        <w:t>, el Congreso de la República puede “revestir, hasta por seis meses, al Presidente</w:t>
      </w:r>
      <w:r w:rsidRPr="003E425B">
        <w:rPr>
          <w:rFonts w:ascii="Times New Roman" w:hAnsi="Times New Roman" w:cs="Times New Roman"/>
          <w:bCs/>
          <w:color w:val="000000" w:themeColor="text1"/>
          <w:sz w:val="28"/>
          <w:lang w:eastAsia="es-ES_tradnl"/>
        </w:rPr>
        <w:t xml:space="preserve"> de la República de </w:t>
      </w:r>
      <w:r w:rsidRPr="003E425B">
        <w:rPr>
          <w:rFonts w:ascii="Times New Roman" w:hAnsi="Times New Roman" w:cs="Times New Roman"/>
          <w:bCs/>
          <w:i/>
          <w:iCs/>
          <w:color w:val="000000" w:themeColor="text1"/>
          <w:sz w:val="28"/>
          <w:lang w:eastAsia="es-ES_tradnl"/>
        </w:rPr>
        <w:t>precisas</w:t>
      </w:r>
      <w:r w:rsidRPr="003E425B">
        <w:rPr>
          <w:rFonts w:ascii="Times New Roman" w:hAnsi="Times New Roman" w:cs="Times New Roman"/>
          <w:bCs/>
          <w:color w:val="000000" w:themeColor="text1"/>
          <w:sz w:val="28"/>
          <w:lang w:eastAsia="es-ES_tradnl"/>
        </w:rPr>
        <w:t xml:space="preserve"> facultades extraordinarias, para expedir normas con fuerza de ley cuando la necesidad lo exija o la conveniencia pública lo aconseje”. </w:t>
      </w:r>
      <w:r w:rsidRPr="003E425B">
        <w:rPr>
          <w:rFonts w:ascii="Times New Roman" w:hAnsi="Times New Roman" w:cs="Times New Roman"/>
          <w:bCs/>
          <w:color w:val="000000" w:themeColor="text1"/>
          <w:sz w:val="28"/>
          <w:lang w:eastAsia="es-ES_tradnl"/>
        </w:rPr>
        <w:t>Sostienen</w:t>
      </w:r>
      <w:r w:rsidRPr="003E425B">
        <w:rPr>
          <w:rFonts w:ascii="Times New Roman" w:hAnsi="Times New Roman" w:cs="Times New Roman"/>
          <w:bCs/>
          <w:color w:val="000000" w:themeColor="text1"/>
          <w:sz w:val="28"/>
          <w:lang w:eastAsia="es-ES_tradnl"/>
        </w:rPr>
        <w:t xml:space="preserve"> que</w:t>
      </w:r>
      <w:r w:rsidRPr="003E425B">
        <w:rPr>
          <w:rFonts w:ascii="Times New Roman" w:hAnsi="Times New Roman" w:cs="Times New Roman"/>
          <w:bCs/>
          <w:color w:val="000000" w:themeColor="text1"/>
          <w:sz w:val="28"/>
          <w:lang w:eastAsia="es-ES_tradnl"/>
        </w:rPr>
        <w:t xml:space="preserve">, de acuerdo con la jurisprudencia constitucional, </w:t>
      </w:r>
      <w:r w:rsidRPr="003E425B">
        <w:rPr>
          <w:rFonts w:ascii="Times New Roman" w:hAnsi="Times New Roman" w:cs="Times New Roman"/>
          <w:bCs/>
          <w:color w:val="000000" w:themeColor="text1"/>
          <w:sz w:val="28"/>
          <w:lang w:eastAsia="es-ES_tradnl"/>
        </w:rPr>
        <w:t>la ley que habilita al Presi</w:t>
      </w:r>
      <w:r w:rsidRPr="003E425B">
        <w:rPr>
          <w:rFonts w:ascii="Times New Roman" w:hAnsi="Times New Roman" w:cs="Times New Roman"/>
          <w:bCs/>
          <w:color w:val="000000" w:themeColor="text1"/>
          <w:sz w:val="28"/>
          <w:lang w:eastAsia="es-ES_tradnl"/>
        </w:rPr>
        <w:t>dente a expedir normas con fuerza de ley debe ser</w:t>
      </w:r>
      <w:r w:rsidRPr="003E425B">
        <w:rPr>
          <w:rFonts w:ascii="Times New Roman" w:hAnsi="Times New Roman" w:cs="Times New Roman"/>
          <w:bCs/>
          <w:color w:val="000000" w:themeColor="text1"/>
          <w:sz w:val="28"/>
          <w:lang w:eastAsia="es-ES_tradnl"/>
        </w:rPr>
        <w:t xml:space="preserve"> “</w:t>
      </w:r>
      <w:r w:rsidRPr="003E425B">
        <w:rPr>
          <w:rFonts w:ascii="Times New Roman" w:hAnsi="Times New Roman" w:cs="Times New Roman"/>
          <w:bCs/>
          <w:color w:val="000000" w:themeColor="text1"/>
          <w:sz w:val="28"/>
          <w:lang w:eastAsia="es-ES_tradnl"/>
        </w:rPr>
        <w:t>suficientemente detallada en cuanto a las materias o los asuntos que podrán ser legislados mediante decretos leyes, para delimitar adecuadamente la actividad legislativa delegada</w:t>
      </w:r>
      <w:r w:rsidRPr="003E425B">
        <w:rPr>
          <w:rFonts w:ascii="Times New Roman" w:hAnsi="Times New Roman" w:cs="Times New Roman"/>
          <w:bCs/>
          <w:color w:val="000000" w:themeColor="text1"/>
          <w:sz w:val="28"/>
          <w:lang w:eastAsia="es-ES_tradnl"/>
        </w:rPr>
        <w:t>”</w:t>
      </w:r>
      <w:r w:rsidRPr="003E425B">
        <w:rPr>
          <w:rStyle w:val="Refdenotaalpie"/>
          <w:rFonts w:ascii="Times New Roman" w:hAnsi="Times New Roman" w:cs="Times New Roman"/>
          <w:bCs/>
          <w:color w:val="000000" w:themeColor="text1"/>
          <w:sz w:val="28"/>
          <w:lang w:eastAsia="es-ES_tradnl"/>
        </w:rPr>
        <w:footnoteReference w:id="26"/>
      </w:r>
      <w:r w:rsidRPr="003E425B">
        <w:rPr>
          <w:rFonts w:ascii="Times New Roman" w:hAnsi="Times New Roman" w:cs="Times New Roman"/>
          <w:bCs/>
          <w:color w:val="000000" w:themeColor="text1"/>
          <w:sz w:val="28"/>
          <w:lang w:eastAsia="es-ES_tradnl"/>
        </w:rPr>
        <w:t>.</w:t>
      </w:r>
      <w:r w:rsidRPr="003E425B">
        <w:rPr>
          <w:rFonts w:ascii="Times New Roman" w:hAnsi="Times New Roman" w:cs="Times New Roman"/>
          <w:bCs/>
          <w:color w:val="000000" w:themeColor="text1"/>
          <w:sz w:val="28"/>
          <w:lang w:eastAsia="es-ES_tradnl"/>
        </w:rPr>
        <w:t xml:space="preserve"> </w:t>
      </w:r>
      <w:r w:rsidRPr="003E425B">
        <w:rPr>
          <w:rFonts w:ascii="Times New Roman" w:hAnsi="Times New Roman" w:cs="Times New Roman"/>
          <w:color w:val="000000" w:themeColor="text1"/>
          <w:sz w:val="28"/>
          <w:lang w:eastAsia="es-ES_tradnl"/>
        </w:rPr>
        <w:t>Por lo tanto, una</w:t>
      </w:r>
      <w:r w:rsidRPr="003E425B">
        <w:rPr>
          <w:rFonts w:ascii="Times New Roman" w:hAnsi="Times New Roman" w:cs="Times New Roman"/>
          <w:color w:val="000000" w:themeColor="text1"/>
          <w:sz w:val="28"/>
          <w:lang w:eastAsia="es-ES_tradnl"/>
        </w:rPr>
        <w:t xml:space="preserve"> “</w:t>
      </w:r>
      <w:r w:rsidRPr="003E425B">
        <w:rPr>
          <w:rFonts w:ascii="Times New Roman" w:hAnsi="Times New Roman" w:cs="Times New Roman"/>
          <w:color w:val="000000" w:themeColor="text1"/>
          <w:sz w:val="28"/>
          <w:lang w:eastAsia="es-ES_tradnl"/>
        </w:rPr>
        <w:t xml:space="preserve">ley </w:t>
      </w:r>
      <w:r w:rsidRPr="003E425B">
        <w:rPr>
          <w:rFonts w:ascii="Times New Roman" w:hAnsi="Times New Roman" w:cs="Times New Roman"/>
          <w:color w:val="000000" w:themeColor="text1"/>
          <w:sz w:val="28"/>
          <w:lang w:eastAsia="es-ES_tradnl"/>
        </w:rPr>
        <w:t>habilitante demasiado amplia o imprecisa vulnera el carácter excepcional de la facultad legislativa</w:t>
      </w:r>
      <w:r w:rsidRPr="003E425B">
        <w:rPr>
          <w:rFonts w:ascii="Times New Roman" w:hAnsi="Times New Roman" w:cs="Times New Roman"/>
          <w:color w:val="000000" w:themeColor="text1"/>
          <w:sz w:val="28"/>
          <w:lang w:eastAsia="es-ES_tradnl"/>
        </w:rPr>
        <w:t xml:space="preserve"> </w:t>
      </w:r>
      <w:r w:rsidRPr="003E425B">
        <w:rPr>
          <w:rFonts w:ascii="Times New Roman" w:hAnsi="Times New Roman" w:cs="Times New Roman"/>
          <w:color w:val="000000" w:themeColor="text1"/>
          <w:sz w:val="28"/>
          <w:lang w:eastAsia="es-ES_tradnl"/>
        </w:rPr>
        <w:t>presidencial al tratarse de una cesión de la función legislativa, más que de una delegación</w:t>
      </w:r>
      <w:r w:rsidRPr="003E425B">
        <w:rPr>
          <w:rFonts w:ascii="Times New Roman" w:hAnsi="Times New Roman" w:cs="Times New Roman"/>
          <w:color w:val="000000" w:themeColor="text1"/>
          <w:sz w:val="28"/>
          <w:lang w:eastAsia="es-ES_tradnl"/>
        </w:rPr>
        <w:t>”</w:t>
      </w:r>
      <w:r w:rsidRPr="003E425B">
        <w:rPr>
          <w:rStyle w:val="Refdenotaalpie"/>
          <w:rFonts w:ascii="Times New Roman" w:hAnsi="Times New Roman" w:cs="Times New Roman"/>
          <w:color w:val="000000" w:themeColor="text1"/>
          <w:sz w:val="28"/>
          <w:lang w:eastAsia="es-ES_tradnl"/>
        </w:rPr>
        <w:footnoteReference w:id="27"/>
      </w:r>
      <w:r w:rsidRPr="003E425B">
        <w:rPr>
          <w:rFonts w:ascii="Times New Roman" w:hAnsi="Times New Roman" w:cs="Times New Roman"/>
          <w:color w:val="000000" w:themeColor="text1"/>
          <w:sz w:val="28"/>
          <w:lang w:eastAsia="es-ES_tradnl"/>
        </w:rPr>
        <w:t xml:space="preserve">. </w:t>
      </w:r>
    </w:p>
    <w:p w:rsidR="001161CA" w:rsidRPr="003E425B" w:rsidRDefault="003E425B" w:rsidP="00010108">
      <w:pPr>
        <w:tabs>
          <w:tab w:val="left" w:pos="567"/>
        </w:tabs>
        <w:rPr>
          <w:rFonts w:ascii="Times New Roman" w:hAnsi="Times New Roman" w:cs="Times New Roman"/>
          <w:sz w:val="28"/>
          <w:szCs w:val="28"/>
        </w:rPr>
      </w:pPr>
    </w:p>
    <w:p w:rsidR="00655356" w:rsidRPr="003E425B" w:rsidRDefault="003E425B" w:rsidP="00010108">
      <w:pPr>
        <w:numPr>
          <w:ilvl w:val="0"/>
          <w:numId w:val="10"/>
        </w:numPr>
        <w:tabs>
          <w:tab w:val="left" w:pos="567"/>
        </w:tabs>
        <w:ind w:left="0" w:firstLine="0"/>
        <w:rPr>
          <w:rFonts w:ascii="Times New Roman" w:hAnsi="Times New Roman" w:cs="Times New Roman"/>
          <w:sz w:val="28"/>
          <w:szCs w:val="28"/>
        </w:rPr>
      </w:pPr>
      <w:r w:rsidRPr="003E425B">
        <w:rPr>
          <w:rFonts w:ascii="Times New Roman" w:hAnsi="Times New Roman" w:cs="Times New Roman"/>
          <w:sz w:val="28"/>
          <w:szCs w:val="28"/>
        </w:rPr>
        <w:t xml:space="preserve">El artículo 12 de la Ley 2281 de 2023 </w:t>
      </w:r>
      <w:r w:rsidRPr="003E425B">
        <w:rPr>
          <w:rFonts w:ascii="Times New Roman" w:hAnsi="Times New Roman" w:cs="Times New Roman"/>
          <w:sz w:val="28"/>
          <w:szCs w:val="28"/>
        </w:rPr>
        <w:t>revistió al President</w:t>
      </w:r>
      <w:r w:rsidRPr="003E425B">
        <w:rPr>
          <w:rFonts w:ascii="Times New Roman" w:hAnsi="Times New Roman" w:cs="Times New Roman"/>
          <w:sz w:val="28"/>
          <w:szCs w:val="28"/>
        </w:rPr>
        <w:t xml:space="preserve">e de </w:t>
      </w:r>
      <w:r w:rsidRPr="003E425B">
        <w:rPr>
          <w:rFonts w:ascii="Times New Roman" w:hAnsi="Times New Roman" w:cs="Times New Roman"/>
          <w:sz w:val="28"/>
          <w:szCs w:val="28"/>
        </w:rPr>
        <w:t xml:space="preserve">la República </w:t>
      </w:r>
      <w:r w:rsidRPr="003E425B">
        <w:rPr>
          <w:rFonts w:ascii="Times New Roman" w:hAnsi="Times New Roman" w:cs="Times New Roman"/>
          <w:sz w:val="28"/>
          <w:szCs w:val="28"/>
        </w:rPr>
        <w:t xml:space="preserve">de </w:t>
      </w:r>
      <w:r w:rsidRPr="003E425B">
        <w:rPr>
          <w:rFonts w:ascii="Times New Roman" w:hAnsi="Times New Roman" w:cs="Times New Roman"/>
          <w:sz w:val="28"/>
          <w:szCs w:val="28"/>
        </w:rPr>
        <w:t>facultades extraordinarias para “</w:t>
      </w:r>
      <w:r w:rsidRPr="003E425B">
        <w:rPr>
          <w:rFonts w:ascii="Times New Roman" w:hAnsi="Times New Roman" w:cs="Times New Roman"/>
          <w:sz w:val="28"/>
        </w:rPr>
        <w:t>expedir normas con fuerza material de ley dirigidas a integrar al Sector de Igualdad y Equidad con las entidades que defina como adscritas o vinculadas</w:t>
      </w:r>
      <w:r w:rsidRPr="003E425B">
        <w:rPr>
          <w:rFonts w:ascii="Times New Roman" w:hAnsi="Times New Roman" w:cs="Times New Roman"/>
          <w:sz w:val="28"/>
          <w:szCs w:val="28"/>
        </w:rPr>
        <w:t>”</w:t>
      </w:r>
      <w:r w:rsidRPr="003E425B">
        <w:rPr>
          <w:rFonts w:ascii="Times New Roman" w:hAnsi="Times New Roman" w:cs="Times New Roman"/>
          <w:sz w:val="28"/>
          <w:szCs w:val="28"/>
        </w:rPr>
        <w:t>. En criterio</w:t>
      </w:r>
      <w:r w:rsidRPr="003E425B">
        <w:rPr>
          <w:rFonts w:ascii="Times New Roman" w:hAnsi="Times New Roman" w:cs="Times New Roman"/>
          <w:sz w:val="28"/>
          <w:szCs w:val="28"/>
        </w:rPr>
        <w:t xml:space="preserve"> de los demandantes</w:t>
      </w:r>
      <w:r w:rsidRPr="003E425B">
        <w:rPr>
          <w:rFonts w:ascii="Times New Roman" w:hAnsi="Times New Roman" w:cs="Times New Roman"/>
          <w:sz w:val="28"/>
          <w:szCs w:val="28"/>
        </w:rPr>
        <w:t>,</w:t>
      </w:r>
      <w:r w:rsidRPr="003E425B">
        <w:rPr>
          <w:rFonts w:ascii="Times New Roman" w:hAnsi="Times New Roman" w:cs="Times New Roman"/>
          <w:bCs/>
          <w:color w:val="000000" w:themeColor="text1"/>
          <w:sz w:val="28"/>
          <w:lang w:eastAsia="es-ES_tradnl"/>
        </w:rPr>
        <w:t xml:space="preserve"> </w:t>
      </w:r>
      <w:r w:rsidRPr="003E425B">
        <w:rPr>
          <w:rFonts w:ascii="Times New Roman" w:hAnsi="Times New Roman" w:cs="Times New Roman"/>
          <w:bCs/>
          <w:color w:val="000000" w:themeColor="text1"/>
          <w:sz w:val="28"/>
          <w:lang w:eastAsia="es-ES_tradnl"/>
        </w:rPr>
        <w:t xml:space="preserve">el objeto de </w:t>
      </w:r>
      <w:r w:rsidRPr="003E425B">
        <w:rPr>
          <w:rFonts w:ascii="Times New Roman" w:hAnsi="Times New Roman" w:cs="Times New Roman"/>
          <w:bCs/>
          <w:sz w:val="28"/>
          <w:szCs w:val="28"/>
        </w:rPr>
        <w:t>las</w:t>
      </w:r>
      <w:r w:rsidRPr="003E425B">
        <w:rPr>
          <w:rFonts w:ascii="Times New Roman" w:hAnsi="Times New Roman" w:cs="Times New Roman"/>
          <w:bCs/>
          <w:sz w:val="28"/>
          <w:szCs w:val="28"/>
        </w:rPr>
        <w:t xml:space="preserve"> facultades extraordinarias no </w:t>
      </w:r>
      <w:r w:rsidRPr="003E425B">
        <w:rPr>
          <w:rFonts w:ascii="Times New Roman" w:hAnsi="Times New Roman" w:cs="Times New Roman"/>
          <w:bCs/>
          <w:sz w:val="28"/>
          <w:szCs w:val="28"/>
        </w:rPr>
        <w:t>es claro n</w:t>
      </w:r>
      <w:r w:rsidRPr="003E425B">
        <w:rPr>
          <w:rFonts w:ascii="Times New Roman" w:hAnsi="Times New Roman" w:cs="Times New Roman"/>
          <w:bCs/>
          <w:sz w:val="28"/>
          <w:szCs w:val="28"/>
        </w:rPr>
        <w:t>i</w:t>
      </w:r>
      <w:r w:rsidRPr="003E425B">
        <w:rPr>
          <w:rFonts w:ascii="Times New Roman" w:hAnsi="Times New Roman" w:cs="Times New Roman"/>
          <w:bCs/>
          <w:sz w:val="28"/>
          <w:szCs w:val="28"/>
        </w:rPr>
        <w:t xml:space="preserve"> preciso</w:t>
      </w:r>
      <w:r w:rsidRPr="003E425B">
        <w:rPr>
          <w:rFonts w:ascii="Times New Roman" w:hAnsi="Times New Roman" w:cs="Times New Roman"/>
          <w:bCs/>
          <w:sz w:val="28"/>
          <w:szCs w:val="28"/>
        </w:rPr>
        <w:t xml:space="preserve">. </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Esto, porque </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equivale a otorgarle al primer mandatario una competencia ilimitada para reformar sin ningún tipo de límite la estructura de la administración nacional, toda vez </w:t>
      </w:r>
      <w:r w:rsidRPr="003E425B">
        <w:rPr>
          <w:rFonts w:ascii="Times New Roman" w:hAnsi="Times New Roman" w:cs="Times New Roman"/>
          <w:sz w:val="28"/>
          <w:szCs w:val="28"/>
        </w:rPr>
        <w:t>[que]</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la integración de un </w:t>
      </w:r>
      <w:r w:rsidRPr="003E425B">
        <w:rPr>
          <w:rFonts w:ascii="Times New Roman" w:hAnsi="Times New Roman" w:cs="Times New Roman"/>
          <w:sz w:val="28"/>
          <w:szCs w:val="28"/>
        </w:rPr>
        <w:t>nuevo sector administrativo no fue circunscrita por el legislador a unos parámetros materiales claros dentro de los cuales puede actuar el primer mandatario</w:t>
      </w:r>
      <w:r w:rsidRPr="003E425B">
        <w:rPr>
          <w:rFonts w:ascii="Times New Roman" w:hAnsi="Times New Roman" w:cs="Times New Roman"/>
          <w:sz w:val="28"/>
          <w:szCs w:val="28"/>
        </w:rPr>
        <w:t>”</w:t>
      </w:r>
      <w:r w:rsidRPr="003E425B">
        <w:rPr>
          <w:rStyle w:val="Refdenotaalpie"/>
          <w:rFonts w:ascii="Times New Roman" w:hAnsi="Times New Roman" w:cs="Times New Roman"/>
          <w:sz w:val="28"/>
          <w:szCs w:val="28"/>
        </w:rPr>
        <w:footnoteReference w:id="28"/>
      </w:r>
      <w:r w:rsidRPr="003E425B">
        <w:rPr>
          <w:rFonts w:ascii="Times New Roman" w:hAnsi="Times New Roman" w:cs="Times New Roman"/>
          <w:sz w:val="28"/>
          <w:szCs w:val="28"/>
        </w:rPr>
        <w:t>. Esto implica</w:t>
      </w:r>
      <w:r w:rsidRPr="003E425B">
        <w:rPr>
          <w:rFonts w:ascii="Times New Roman" w:hAnsi="Times New Roman" w:cs="Times New Roman"/>
          <w:sz w:val="28"/>
          <w:szCs w:val="28"/>
        </w:rPr>
        <w:t>, según los demandantes,</w:t>
      </w:r>
      <w:r w:rsidRPr="003E425B">
        <w:rPr>
          <w:rFonts w:ascii="Times New Roman" w:hAnsi="Times New Roman" w:cs="Times New Roman"/>
          <w:sz w:val="28"/>
          <w:szCs w:val="28"/>
        </w:rPr>
        <w:t xml:space="preserve"> una </w:t>
      </w:r>
      <w:r w:rsidRPr="003E425B">
        <w:rPr>
          <w:rFonts w:ascii="Times New Roman" w:hAnsi="Times New Roman" w:cs="Times New Roman"/>
          <w:sz w:val="28"/>
          <w:szCs w:val="28"/>
        </w:rPr>
        <w:t>habilita</w:t>
      </w:r>
      <w:r w:rsidRPr="003E425B">
        <w:rPr>
          <w:rFonts w:ascii="Times New Roman" w:hAnsi="Times New Roman" w:cs="Times New Roman"/>
          <w:sz w:val="28"/>
          <w:szCs w:val="28"/>
        </w:rPr>
        <w:t>ción</w:t>
      </w:r>
      <w:r w:rsidRPr="003E425B">
        <w:rPr>
          <w:rFonts w:ascii="Times New Roman" w:hAnsi="Times New Roman" w:cs="Times New Roman"/>
          <w:sz w:val="28"/>
          <w:szCs w:val="28"/>
        </w:rPr>
        <w:t xml:space="preserve"> a </w:t>
      </w:r>
      <w:r w:rsidRPr="003E425B">
        <w:rPr>
          <w:rFonts w:ascii="Times New Roman" w:hAnsi="Times New Roman" w:cs="Times New Roman"/>
          <w:sz w:val="28"/>
          <w:szCs w:val="28"/>
        </w:rPr>
        <w:t>“</w:t>
      </w:r>
      <w:r w:rsidRPr="003E425B">
        <w:rPr>
          <w:rFonts w:ascii="Times New Roman" w:hAnsi="Times New Roman" w:cs="Times New Roman"/>
          <w:sz w:val="28"/>
          <w:szCs w:val="28"/>
        </w:rPr>
        <w:t>crear, suprimir o fusionar cuántas enti</w:t>
      </w:r>
      <w:r w:rsidRPr="003E425B">
        <w:rPr>
          <w:rFonts w:ascii="Times New Roman" w:hAnsi="Times New Roman" w:cs="Times New Roman"/>
          <w:sz w:val="28"/>
          <w:szCs w:val="28"/>
        </w:rPr>
        <w:t>dades quiera”</w:t>
      </w:r>
      <w:r w:rsidRPr="003E425B">
        <w:rPr>
          <w:rStyle w:val="Refdenotaalpie"/>
          <w:rFonts w:ascii="Times New Roman" w:hAnsi="Times New Roman" w:cs="Times New Roman"/>
          <w:sz w:val="28"/>
          <w:szCs w:val="28"/>
        </w:rPr>
        <w:footnoteReference w:id="29"/>
      </w:r>
      <w:r w:rsidRPr="003E425B">
        <w:rPr>
          <w:rFonts w:ascii="Times New Roman" w:hAnsi="Times New Roman" w:cs="Times New Roman"/>
          <w:sz w:val="28"/>
          <w:szCs w:val="28"/>
        </w:rPr>
        <w:t xml:space="preserve"> y </w:t>
      </w:r>
      <w:r w:rsidRPr="003E425B">
        <w:rPr>
          <w:rFonts w:ascii="Times New Roman" w:hAnsi="Times New Roman" w:cs="Times New Roman"/>
          <w:sz w:val="28"/>
          <w:szCs w:val="28"/>
        </w:rPr>
        <w:t>modifica</w:t>
      </w:r>
      <w:r w:rsidRPr="003E425B">
        <w:rPr>
          <w:rFonts w:ascii="Times New Roman" w:hAnsi="Times New Roman" w:cs="Times New Roman"/>
          <w:sz w:val="28"/>
          <w:szCs w:val="28"/>
        </w:rPr>
        <w:t>r</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la estructura de la administración nacional</w:t>
      </w:r>
      <w:r w:rsidRPr="003E425B">
        <w:rPr>
          <w:rFonts w:ascii="Times New Roman" w:hAnsi="Times New Roman" w:cs="Times New Roman"/>
          <w:sz w:val="28"/>
          <w:szCs w:val="28"/>
        </w:rPr>
        <w:t xml:space="preserve"> (…) sin control alguno</w:t>
      </w:r>
      <w:r w:rsidRPr="003E425B">
        <w:rPr>
          <w:rFonts w:ascii="Times New Roman" w:hAnsi="Times New Roman" w:cs="Times New Roman"/>
          <w:sz w:val="28"/>
          <w:szCs w:val="28"/>
        </w:rPr>
        <w:t>”</w:t>
      </w:r>
      <w:r w:rsidRPr="003E425B">
        <w:rPr>
          <w:rStyle w:val="Refdenotaalpie"/>
          <w:rFonts w:ascii="Times New Roman" w:hAnsi="Times New Roman" w:cs="Times New Roman"/>
          <w:sz w:val="28"/>
          <w:szCs w:val="28"/>
        </w:rPr>
        <w:footnoteReference w:id="30"/>
      </w:r>
      <w:r w:rsidRPr="003E425B">
        <w:rPr>
          <w:rFonts w:ascii="Times New Roman" w:hAnsi="Times New Roman" w:cs="Times New Roman"/>
          <w:sz w:val="28"/>
          <w:szCs w:val="28"/>
        </w:rPr>
        <w:t xml:space="preserve">. </w:t>
      </w:r>
    </w:p>
    <w:p w:rsidR="0025570E" w:rsidRPr="003E425B" w:rsidRDefault="003E425B" w:rsidP="00010108">
      <w:pPr>
        <w:tabs>
          <w:tab w:val="left" w:pos="567"/>
        </w:tabs>
        <w:rPr>
          <w:rFonts w:ascii="Times New Roman" w:hAnsi="Times New Roman" w:cs="Times New Roman"/>
          <w:sz w:val="28"/>
          <w:szCs w:val="28"/>
        </w:rPr>
      </w:pPr>
    </w:p>
    <w:p w:rsidR="001161CA" w:rsidRPr="003E425B" w:rsidRDefault="003E425B" w:rsidP="00010108">
      <w:pPr>
        <w:numPr>
          <w:ilvl w:val="0"/>
          <w:numId w:val="10"/>
        </w:numPr>
        <w:tabs>
          <w:tab w:val="left" w:pos="567"/>
        </w:tabs>
        <w:ind w:left="0" w:firstLine="0"/>
        <w:rPr>
          <w:rFonts w:ascii="Times New Roman" w:hAnsi="Times New Roman" w:cs="Times New Roman"/>
          <w:sz w:val="28"/>
          <w:szCs w:val="28"/>
        </w:rPr>
      </w:pPr>
      <w:r w:rsidRPr="003E425B">
        <w:rPr>
          <w:rFonts w:ascii="Times New Roman" w:hAnsi="Times New Roman" w:cs="Times New Roman"/>
          <w:sz w:val="28"/>
          <w:szCs w:val="28"/>
        </w:rPr>
        <w:t>Los demandantes señalan que, pese a las advertencias y reproches</w:t>
      </w:r>
      <w:r w:rsidRPr="003E425B">
        <w:rPr>
          <w:rFonts w:ascii="Times New Roman" w:hAnsi="Times New Roman" w:cs="Times New Roman"/>
          <w:sz w:val="28"/>
          <w:szCs w:val="28"/>
        </w:rPr>
        <w:t xml:space="preserve"> de algunos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senador</w:t>
      </w:r>
      <w:r w:rsidRPr="003E425B">
        <w:rPr>
          <w:rFonts w:ascii="Times New Roman" w:hAnsi="Times New Roman" w:cs="Times New Roman"/>
          <w:sz w:val="28"/>
          <w:szCs w:val="28"/>
        </w:rPr>
        <w:t>e</w:t>
      </w:r>
      <w:r w:rsidRPr="003E425B">
        <w:rPr>
          <w:rFonts w:ascii="Times New Roman" w:hAnsi="Times New Roman" w:cs="Times New Roman"/>
          <w:sz w:val="28"/>
          <w:szCs w:val="28"/>
        </w:rPr>
        <w:t>s</w:t>
      </w:r>
      <w:r w:rsidRPr="003E425B">
        <w:rPr>
          <w:rFonts w:ascii="Times New Roman" w:hAnsi="Times New Roman" w:cs="Times New Roman"/>
          <w:sz w:val="28"/>
          <w:szCs w:val="28"/>
        </w:rPr>
        <w:t xml:space="preserve">, el Congreso de la República aprobó las facultades extraordinarias sin establecer límites concretos y precisos. </w:t>
      </w:r>
      <w:r w:rsidRPr="003E425B">
        <w:rPr>
          <w:rFonts w:ascii="Times New Roman" w:hAnsi="Times New Roman" w:cs="Times New Roman"/>
          <w:sz w:val="28"/>
          <w:szCs w:val="28"/>
        </w:rPr>
        <w:t>En tales términos, concluyen que</w:t>
      </w:r>
      <w:r w:rsidRPr="003E425B">
        <w:rPr>
          <w:rFonts w:ascii="Times New Roman" w:hAnsi="Times New Roman" w:cs="Times New Roman"/>
          <w:sz w:val="28"/>
          <w:szCs w:val="28"/>
        </w:rPr>
        <w:t xml:space="preserve">, al conferir una habilitación amplia e </w:t>
      </w:r>
      <w:r w:rsidRPr="003E425B">
        <w:rPr>
          <w:rFonts w:ascii="Times New Roman" w:hAnsi="Times New Roman" w:cs="Times New Roman"/>
          <w:sz w:val="28"/>
          <w:szCs w:val="28"/>
        </w:rPr>
        <w:t>i</w:t>
      </w:r>
      <w:r w:rsidRPr="003E425B">
        <w:rPr>
          <w:rFonts w:ascii="Times New Roman" w:hAnsi="Times New Roman" w:cs="Times New Roman"/>
          <w:sz w:val="28"/>
          <w:szCs w:val="28"/>
        </w:rPr>
        <w:t>limitad</w:t>
      </w:r>
      <w:r w:rsidRPr="003E425B">
        <w:rPr>
          <w:rFonts w:ascii="Times New Roman" w:hAnsi="Times New Roman" w:cs="Times New Roman"/>
          <w:sz w:val="28"/>
          <w:szCs w:val="28"/>
        </w:rPr>
        <w:t>a</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w:t>
      </w:r>
      <w:r w:rsidRPr="003E425B">
        <w:rPr>
          <w:rFonts w:ascii="Times New Roman" w:hAnsi="Times New Roman" w:cs="Times New Roman"/>
          <w:sz w:val="28"/>
          <w:szCs w:val="28"/>
        </w:rPr>
        <w:t>el legislador se desprend</w:t>
      </w:r>
      <w:r w:rsidRPr="003E425B">
        <w:rPr>
          <w:rFonts w:ascii="Times New Roman" w:hAnsi="Times New Roman" w:cs="Times New Roman"/>
          <w:sz w:val="28"/>
          <w:szCs w:val="28"/>
        </w:rPr>
        <w:t>ió</w:t>
      </w:r>
      <w:r w:rsidRPr="003E425B">
        <w:rPr>
          <w:rFonts w:ascii="Times New Roman" w:hAnsi="Times New Roman" w:cs="Times New Roman"/>
          <w:sz w:val="28"/>
          <w:szCs w:val="28"/>
        </w:rPr>
        <w:t xml:space="preserve"> por completo de su facultad de </w:t>
      </w:r>
      <w:r w:rsidRPr="003E425B">
        <w:rPr>
          <w:rFonts w:ascii="Times New Roman" w:hAnsi="Times New Roman" w:cs="Times New Roman"/>
          <w:sz w:val="28"/>
          <w:szCs w:val="28"/>
        </w:rPr>
        <w:t>determinar la estructura de la administración nacional sin un marco de referencia</w:t>
      </w:r>
      <w:r w:rsidRPr="003E425B">
        <w:rPr>
          <w:rFonts w:ascii="Times New Roman" w:hAnsi="Times New Roman" w:cs="Times New Roman"/>
          <w:sz w:val="28"/>
          <w:szCs w:val="28"/>
        </w:rPr>
        <w:t>”</w:t>
      </w:r>
      <w:r w:rsidRPr="003E425B">
        <w:rPr>
          <w:rStyle w:val="Refdenotaalpie"/>
          <w:rFonts w:ascii="Times New Roman" w:hAnsi="Times New Roman" w:cs="Times New Roman"/>
          <w:sz w:val="28"/>
          <w:szCs w:val="28"/>
        </w:rPr>
        <w:footnoteReference w:id="31"/>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Lo anterior, </w:t>
      </w:r>
      <w:r w:rsidRPr="003E425B">
        <w:rPr>
          <w:rFonts w:ascii="Times New Roman" w:hAnsi="Times New Roman" w:cs="Times New Roman"/>
          <w:sz w:val="28"/>
          <w:szCs w:val="28"/>
        </w:rPr>
        <w:t xml:space="preserve">a juicio de los demandantes, </w:t>
      </w:r>
      <w:r w:rsidRPr="003E425B">
        <w:rPr>
          <w:rFonts w:ascii="Times New Roman" w:hAnsi="Times New Roman" w:cs="Times New Roman"/>
          <w:sz w:val="28"/>
          <w:szCs w:val="28"/>
        </w:rPr>
        <w:t xml:space="preserve">desconoce el numeral 10 del </w:t>
      </w:r>
      <w:r w:rsidRPr="003E425B">
        <w:rPr>
          <w:rFonts w:ascii="Times New Roman" w:hAnsi="Times New Roman" w:cs="Times New Roman"/>
          <w:sz w:val="28"/>
          <w:szCs w:val="28"/>
        </w:rPr>
        <w:t>artículo</w:t>
      </w:r>
      <w:r w:rsidRPr="003E425B">
        <w:rPr>
          <w:rFonts w:ascii="Times New Roman" w:hAnsi="Times New Roman" w:cs="Times New Roman"/>
          <w:sz w:val="28"/>
          <w:szCs w:val="28"/>
        </w:rPr>
        <w:t xml:space="preserve"> 150 de la Constitución. </w:t>
      </w:r>
    </w:p>
    <w:p w:rsidR="009C0907" w:rsidRPr="003E425B" w:rsidRDefault="003E425B" w:rsidP="00010108">
      <w:pPr>
        <w:tabs>
          <w:tab w:val="left" w:pos="567"/>
        </w:tabs>
        <w:rPr>
          <w:rFonts w:ascii="Times New Roman" w:hAnsi="Times New Roman" w:cs="Times New Roman"/>
          <w:bCs/>
          <w:color w:val="000000" w:themeColor="text1"/>
          <w:sz w:val="28"/>
          <w:lang w:eastAsia="es-ES_tradnl"/>
        </w:rPr>
      </w:pPr>
    </w:p>
    <w:p w:rsidR="009746A8" w:rsidRPr="003E425B" w:rsidRDefault="003E425B" w:rsidP="00010108">
      <w:pPr>
        <w:pStyle w:val="Ttulo2"/>
        <w:numPr>
          <w:ilvl w:val="0"/>
          <w:numId w:val="9"/>
        </w:numPr>
        <w:ind w:hanging="76"/>
        <w:rPr>
          <w:rFonts w:ascii="Times New Roman" w:hAnsi="Times New Roman" w:cs="Times New Roman"/>
          <w:sz w:val="28"/>
        </w:rPr>
      </w:pPr>
      <w:r w:rsidRPr="003E425B">
        <w:rPr>
          <w:rFonts w:ascii="Times New Roman" w:hAnsi="Times New Roman" w:cs="Times New Roman"/>
          <w:sz w:val="28"/>
        </w:rPr>
        <w:t>Intervenciones</w:t>
      </w:r>
      <w:r w:rsidRPr="003E425B">
        <w:rPr>
          <w:rFonts w:ascii="Times New Roman" w:hAnsi="Times New Roman" w:cs="Times New Roman"/>
          <w:sz w:val="28"/>
        </w:rPr>
        <w:t xml:space="preserve"> </w:t>
      </w:r>
    </w:p>
    <w:p w:rsidR="009746A8" w:rsidRPr="003E425B" w:rsidRDefault="003E425B" w:rsidP="00010108">
      <w:pPr>
        <w:rPr>
          <w:rFonts w:ascii="Times New Roman" w:hAnsi="Times New Roman" w:cs="Times New Roman"/>
          <w:sz w:val="28"/>
        </w:rPr>
      </w:pPr>
    </w:p>
    <w:p w:rsidR="00BE0720"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color w:val="000000" w:themeColor="text1"/>
          <w:sz w:val="28"/>
        </w:rPr>
        <w:t>La Corte Constitucional recibió 29 intervenciones</w:t>
      </w:r>
      <w:r w:rsidRPr="003E425B">
        <w:rPr>
          <w:rStyle w:val="Refdenotaalpie"/>
          <w:rFonts w:ascii="Times New Roman" w:hAnsi="Times New Roman" w:cs="Times New Roman"/>
          <w:color w:val="000000" w:themeColor="text1"/>
          <w:sz w:val="28"/>
        </w:rPr>
        <w:footnoteReference w:id="32"/>
      </w:r>
      <w:r w:rsidRPr="003E425B">
        <w:rPr>
          <w:rFonts w:ascii="Times New Roman" w:hAnsi="Times New Roman" w:cs="Times New Roman"/>
          <w:color w:val="000000" w:themeColor="text1"/>
          <w:sz w:val="28"/>
        </w:rPr>
        <w:t>, que fueron presentadas por distintas entidades públicas, organizaciones defensoras de derechos humanos, universidades, congresistas y ciudadanos.</w:t>
      </w:r>
      <w:r w:rsidRPr="003E425B">
        <w:rPr>
          <w:rFonts w:ascii="Times New Roman" w:hAnsi="Times New Roman" w:cs="Times New Roman"/>
          <w:color w:val="000000"/>
          <w:sz w:val="28"/>
          <w:szCs w:val="28"/>
          <w:shd w:val="clear" w:color="auto" w:fill="FFFFFF"/>
        </w:rPr>
        <w:t xml:space="preserve"> </w:t>
      </w:r>
      <w:r w:rsidRPr="003E425B">
        <w:rPr>
          <w:rFonts w:ascii="Times New Roman" w:hAnsi="Times New Roman" w:cs="Times New Roman"/>
          <w:color w:val="000000" w:themeColor="text1"/>
          <w:sz w:val="28"/>
        </w:rPr>
        <w:t xml:space="preserve">Las solicitudes de cada una de las intervenciones se resumen en la siguiente tabla. El contenido detallado </w:t>
      </w:r>
      <w:r w:rsidRPr="003E425B">
        <w:rPr>
          <w:rFonts w:ascii="Times New Roman" w:hAnsi="Times New Roman" w:cs="Times New Roman"/>
          <w:color w:val="000000" w:themeColor="text1"/>
          <w:sz w:val="28"/>
        </w:rPr>
        <w:t>de estos escritos será examinado por la Corte en la parte motiva de la presente sentencia</w:t>
      </w:r>
      <w:r w:rsidRPr="003E425B">
        <w:rPr>
          <w:rFonts w:ascii="Times New Roman" w:hAnsi="Times New Roman" w:cs="Times New Roman"/>
          <w:color w:val="000000" w:themeColor="text1"/>
          <w:sz w:val="28"/>
        </w:rPr>
        <w:t xml:space="preserve"> y se sintetiza en el </w:t>
      </w:r>
      <w:r w:rsidRPr="003E425B">
        <w:rPr>
          <w:rFonts w:ascii="Times New Roman" w:hAnsi="Times New Roman" w:cs="Times New Roman"/>
          <w:b/>
          <w:bCs/>
          <w:color w:val="000000" w:themeColor="text1"/>
          <w:sz w:val="28"/>
        </w:rPr>
        <w:t>Anexo I</w:t>
      </w:r>
      <w:r w:rsidRPr="003E425B">
        <w:rPr>
          <w:rFonts w:ascii="Times New Roman" w:hAnsi="Times New Roman" w:cs="Times New Roman"/>
          <w:color w:val="000000" w:themeColor="text1"/>
          <w:sz w:val="28"/>
        </w:rPr>
        <w:t xml:space="preserve"> de esta </w:t>
      </w:r>
      <w:r w:rsidRPr="003E425B">
        <w:rPr>
          <w:rFonts w:ascii="Times New Roman" w:hAnsi="Times New Roman" w:cs="Times New Roman"/>
          <w:color w:val="000000" w:themeColor="text1"/>
          <w:sz w:val="28"/>
        </w:rPr>
        <w:t>decisión</w:t>
      </w:r>
      <w:r w:rsidRPr="003E425B">
        <w:rPr>
          <w:rFonts w:ascii="Times New Roman" w:hAnsi="Times New Roman" w:cs="Times New Roman"/>
          <w:color w:val="000000" w:themeColor="text1"/>
          <w:sz w:val="28"/>
        </w:rPr>
        <w:t xml:space="preserve">. </w:t>
      </w:r>
    </w:p>
    <w:p w:rsidR="00756B42" w:rsidRPr="003E425B" w:rsidRDefault="003E425B" w:rsidP="00010108">
      <w:pPr>
        <w:tabs>
          <w:tab w:val="left" w:pos="567"/>
        </w:tabs>
        <w:rPr>
          <w:rFonts w:ascii="Times New Roman" w:hAnsi="Times New Roman" w:cs="Times New Roman"/>
          <w:color w:val="000000" w:themeColor="text1"/>
          <w:sz w:val="28"/>
        </w:rPr>
      </w:pPr>
    </w:p>
    <w:tbl>
      <w:tblPr>
        <w:tblStyle w:val="Tablaconcuadrcula"/>
        <w:tblW w:w="5000" w:type="pct"/>
        <w:tblLook w:val="04A0" w:firstRow="1" w:lastRow="0" w:firstColumn="1" w:lastColumn="0" w:noHBand="0" w:noVBand="1"/>
      </w:tblPr>
      <w:tblGrid>
        <w:gridCol w:w="987"/>
        <w:gridCol w:w="7843"/>
      </w:tblGrid>
      <w:tr w:rsidR="00756B42" w:rsidRPr="003E425B" w:rsidTr="00E4520F">
        <w:tc>
          <w:tcPr>
            <w:tcW w:w="5000" w:type="pct"/>
            <w:gridSpan w:val="2"/>
            <w:shd w:val="clear" w:color="auto" w:fill="D9D9D9" w:themeFill="background1" w:themeFillShade="D9"/>
          </w:tcPr>
          <w:p w:rsidR="00756B42" w:rsidRPr="003E425B" w:rsidRDefault="003E425B" w:rsidP="00010108">
            <w:pPr>
              <w:tabs>
                <w:tab w:val="left" w:pos="567"/>
              </w:tabs>
              <w:jc w:val="center"/>
              <w:rPr>
                <w:rFonts w:ascii="Times New Roman" w:hAnsi="Times New Roman" w:cs="Times New Roman"/>
                <w:b/>
                <w:bCs/>
                <w:sz w:val="28"/>
                <w:szCs w:val="20"/>
              </w:rPr>
            </w:pPr>
            <w:r w:rsidRPr="003E425B">
              <w:rPr>
                <w:rFonts w:ascii="Times New Roman" w:hAnsi="Times New Roman" w:cs="Times New Roman"/>
                <w:b/>
                <w:bCs/>
                <w:sz w:val="28"/>
                <w:szCs w:val="20"/>
              </w:rPr>
              <w:t>Intervenciones</w:t>
            </w:r>
          </w:p>
        </w:tc>
      </w:tr>
      <w:tr w:rsidR="00F443A6" w:rsidRPr="003E425B" w:rsidTr="00E4520F">
        <w:tc>
          <w:tcPr>
            <w:tcW w:w="559" w:type="pct"/>
            <w:shd w:val="clear" w:color="auto" w:fill="D9D9D9" w:themeFill="background1" w:themeFillShade="D9"/>
            <w:vAlign w:val="center"/>
          </w:tcPr>
          <w:p w:rsidR="00F443A6" w:rsidRPr="003E425B" w:rsidRDefault="003E425B" w:rsidP="004F3AA6">
            <w:pPr>
              <w:tabs>
                <w:tab w:val="left" w:pos="567"/>
              </w:tabs>
              <w:jc w:val="center"/>
              <w:rPr>
                <w:rFonts w:ascii="Times New Roman" w:hAnsi="Times New Roman" w:cs="Times New Roman"/>
                <w:b/>
                <w:bCs/>
                <w:sz w:val="28"/>
                <w:szCs w:val="20"/>
              </w:rPr>
            </w:pPr>
            <w:r w:rsidRPr="003E425B">
              <w:rPr>
                <w:rFonts w:ascii="Times New Roman" w:hAnsi="Times New Roman" w:cs="Times New Roman"/>
                <w:b/>
                <w:bCs/>
                <w:sz w:val="28"/>
                <w:szCs w:val="20"/>
              </w:rPr>
              <w:t>Cargo primero</w:t>
            </w:r>
          </w:p>
        </w:tc>
        <w:tc>
          <w:tcPr>
            <w:tcW w:w="4441" w:type="pct"/>
          </w:tcPr>
          <w:p w:rsidR="00F443A6" w:rsidRPr="003E425B" w:rsidRDefault="003E425B" w:rsidP="00010108">
            <w:pPr>
              <w:tabs>
                <w:tab w:val="left" w:pos="567"/>
              </w:tabs>
              <w:rPr>
                <w:rFonts w:ascii="Times New Roman" w:hAnsi="Times New Roman" w:cs="Times New Roman"/>
                <w:i/>
                <w:iCs/>
                <w:sz w:val="28"/>
                <w:szCs w:val="20"/>
              </w:rPr>
            </w:pPr>
            <w:r w:rsidRPr="003E425B">
              <w:rPr>
                <w:rFonts w:ascii="Times New Roman" w:hAnsi="Times New Roman" w:cs="Times New Roman"/>
                <w:sz w:val="28"/>
                <w:szCs w:val="20"/>
              </w:rPr>
              <w:t>Tres</w:t>
            </w:r>
            <w:r w:rsidRPr="003E425B">
              <w:rPr>
                <w:rFonts w:ascii="Times New Roman" w:hAnsi="Times New Roman" w:cs="Times New Roman"/>
                <w:sz w:val="28"/>
                <w:szCs w:val="20"/>
              </w:rPr>
              <w:t xml:space="preserve"> </w:t>
            </w:r>
            <w:r w:rsidRPr="003E425B">
              <w:rPr>
                <w:rFonts w:ascii="Times New Roman" w:hAnsi="Times New Roman" w:cs="Times New Roman"/>
                <w:sz w:val="28"/>
                <w:szCs w:val="20"/>
              </w:rPr>
              <w:t xml:space="preserve">(3) </w:t>
            </w:r>
            <w:r w:rsidRPr="003E425B">
              <w:rPr>
                <w:rFonts w:ascii="Times New Roman" w:hAnsi="Times New Roman" w:cs="Times New Roman"/>
                <w:sz w:val="28"/>
                <w:szCs w:val="20"/>
              </w:rPr>
              <w:t>intervinientes</w:t>
            </w:r>
            <w:r w:rsidRPr="003E425B">
              <w:rPr>
                <w:rFonts w:ascii="Times New Roman" w:hAnsi="Times New Roman" w:cs="Times New Roman"/>
                <w:sz w:val="28"/>
                <w:szCs w:val="20"/>
              </w:rPr>
              <w:t xml:space="preserve"> solicitaron a la Corte proferir un fallo inhibitorio por inepti</w:t>
            </w:r>
            <w:r w:rsidRPr="003E425B">
              <w:rPr>
                <w:rFonts w:ascii="Times New Roman" w:hAnsi="Times New Roman" w:cs="Times New Roman"/>
                <w:sz w:val="28"/>
                <w:szCs w:val="20"/>
              </w:rPr>
              <w:t>tud sustantiva de la demanda</w:t>
            </w:r>
            <w:r w:rsidRPr="003E425B">
              <w:rPr>
                <w:rFonts w:ascii="Times New Roman" w:hAnsi="Times New Roman" w:cs="Times New Roman"/>
                <w:sz w:val="28"/>
                <w:szCs w:val="20"/>
                <w:vertAlign w:val="superscript"/>
              </w:rPr>
              <w:footnoteReference w:id="33"/>
            </w:r>
            <w:r w:rsidRPr="003E425B">
              <w:rPr>
                <w:rFonts w:ascii="Times New Roman" w:hAnsi="Times New Roman" w:cs="Times New Roman"/>
                <w:sz w:val="28"/>
                <w:szCs w:val="20"/>
              </w:rPr>
              <w:t xml:space="preserve">. Veinticuatro (24) sostienen que el informe de ponencia fue aprobado conforme a las reglas de quórum y mayorías </w:t>
            </w:r>
            <w:r w:rsidRPr="003E425B">
              <w:rPr>
                <w:rFonts w:ascii="Times New Roman" w:hAnsi="Times New Roman" w:cs="Times New Roman"/>
                <w:sz w:val="28"/>
                <w:szCs w:val="20"/>
              </w:rPr>
              <w:t xml:space="preserve">decisorias </w:t>
            </w:r>
            <w:r w:rsidRPr="003E425B">
              <w:rPr>
                <w:rFonts w:ascii="Times New Roman" w:hAnsi="Times New Roman" w:cs="Times New Roman"/>
                <w:sz w:val="28"/>
                <w:szCs w:val="20"/>
              </w:rPr>
              <w:t xml:space="preserve">aplicables. </w:t>
            </w:r>
          </w:p>
        </w:tc>
      </w:tr>
      <w:tr w:rsidR="004D4C21" w:rsidRPr="003E425B" w:rsidTr="00E4520F">
        <w:tc>
          <w:tcPr>
            <w:tcW w:w="559" w:type="pct"/>
            <w:shd w:val="clear" w:color="auto" w:fill="D9D9D9" w:themeFill="background1" w:themeFillShade="D9"/>
            <w:vAlign w:val="center"/>
          </w:tcPr>
          <w:p w:rsidR="004D4C21" w:rsidRPr="003E425B" w:rsidRDefault="003E425B" w:rsidP="00BE0B5F">
            <w:pPr>
              <w:tabs>
                <w:tab w:val="left" w:pos="567"/>
              </w:tabs>
              <w:jc w:val="center"/>
              <w:rPr>
                <w:rFonts w:ascii="Times New Roman" w:hAnsi="Times New Roman" w:cs="Times New Roman"/>
                <w:b/>
                <w:bCs/>
                <w:sz w:val="28"/>
                <w:szCs w:val="20"/>
              </w:rPr>
            </w:pPr>
            <w:r w:rsidRPr="003E425B">
              <w:rPr>
                <w:rFonts w:ascii="Times New Roman" w:hAnsi="Times New Roman" w:cs="Times New Roman"/>
                <w:b/>
                <w:bCs/>
                <w:sz w:val="28"/>
                <w:szCs w:val="20"/>
              </w:rPr>
              <w:t>Cargo segundo</w:t>
            </w:r>
          </w:p>
        </w:tc>
        <w:tc>
          <w:tcPr>
            <w:tcW w:w="4441" w:type="pct"/>
          </w:tcPr>
          <w:p w:rsidR="004D4C21" w:rsidRPr="003E425B" w:rsidRDefault="003E425B" w:rsidP="00010108">
            <w:pPr>
              <w:tabs>
                <w:tab w:val="left" w:pos="567"/>
              </w:tabs>
              <w:rPr>
                <w:rFonts w:ascii="Times New Roman" w:hAnsi="Times New Roman" w:cs="Times New Roman"/>
                <w:sz w:val="28"/>
                <w:szCs w:val="20"/>
              </w:rPr>
            </w:pPr>
            <w:r w:rsidRPr="003E425B">
              <w:rPr>
                <w:rFonts w:ascii="Times New Roman" w:hAnsi="Times New Roman" w:cs="Times New Roman"/>
                <w:sz w:val="28"/>
                <w:szCs w:val="20"/>
              </w:rPr>
              <w:t>Un (1)</w:t>
            </w:r>
            <w:r w:rsidRPr="003E425B">
              <w:rPr>
                <w:rFonts w:ascii="Times New Roman" w:hAnsi="Times New Roman" w:cs="Times New Roman"/>
                <w:sz w:val="28"/>
                <w:szCs w:val="20"/>
              </w:rPr>
              <w:t xml:space="preserve"> interviniente</w:t>
            </w:r>
            <w:r w:rsidRPr="003E425B">
              <w:rPr>
                <w:rFonts w:ascii="Times New Roman" w:hAnsi="Times New Roman" w:cs="Times New Roman"/>
                <w:sz w:val="28"/>
                <w:szCs w:val="20"/>
                <w:vertAlign w:val="superscript"/>
              </w:rPr>
              <w:footnoteReference w:id="34"/>
            </w:r>
            <w:r w:rsidRPr="003E425B">
              <w:rPr>
                <w:rFonts w:ascii="Times New Roman" w:hAnsi="Times New Roman" w:cs="Times New Roman"/>
                <w:sz w:val="28"/>
                <w:szCs w:val="20"/>
              </w:rPr>
              <w:t xml:space="preserve"> solicita a la Corte </w:t>
            </w:r>
            <w:r w:rsidRPr="003E425B">
              <w:rPr>
                <w:rFonts w:ascii="Times New Roman" w:hAnsi="Times New Roman" w:cs="Times New Roman"/>
                <w:sz w:val="28"/>
                <w:szCs w:val="20"/>
              </w:rPr>
              <w:t>proferir un fallo inhibitorio</w:t>
            </w:r>
            <w:r w:rsidRPr="003E425B">
              <w:rPr>
                <w:rFonts w:ascii="Times New Roman" w:hAnsi="Times New Roman" w:cs="Times New Roman"/>
                <w:sz w:val="28"/>
                <w:szCs w:val="20"/>
              </w:rPr>
              <w:t xml:space="preserve">. </w:t>
            </w:r>
            <w:r w:rsidRPr="003E425B">
              <w:rPr>
                <w:rFonts w:ascii="Times New Roman" w:hAnsi="Times New Roman" w:cs="Times New Roman"/>
                <w:sz w:val="28"/>
                <w:szCs w:val="20"/>
              </w:rPr>
              <w:t>Por su parte, veinticuatro (</w:t>
            </w:r>
            <w:r w:rsidRPr="003E425B">
              <w:rPr>
                <w:rFonts w:ascii="Times New Roman" w:hAnsi="Times New Roman" w:cs="Times New Roman"/>
                <w:sz w:val="28"/>
                <w:szCs w:val="20"/>
              </w:rPr>
              <w:t>24</w:t>
            </w:r>
            <w:r w:rsidRPr="003E425B">
              <w:rPr>
                <w:rFonts w:ascii="Times New Roman" w:hAnsi="Times New Roman" w:cs="Times New Roman"/>
                <w:sz w:val="28"/>
                <w:szCs w:val="20"/>
              </w:rPr>
              <w:t>)</w:t>
            </w:r>
            <w:r w:rsidRPr="003E425B">
              <w:rPr>
                <w:rFonts w:ascii="Times New Roman" w:hAnsi="Times New Roman" w:cs="Times New Roman"/>
                <w:sz w:val="28"/>
                <w:szCs w:val="20"/>
              </w:rPr>
              <w:t xml:space="preserve"> intervinientes</w:t>
            </w:r>
            <w:r w:rsidRPr="003E425B">
              <w:rPr>
                <w:rFonts w:ascii="Times New Roman" w:hAnsi="Times New Roman" w:cs="Times New Roman"/>
                <w:sz w:val="28"/>
                <w:szCs w:val="20"/>
                <w:vertAlign w:val="superscript"/>
              </w:rPr>
              <w:footnoteReference w:id="35"/>
            </w:r>
            <w:r w:rsidRPr="003E425B">
              <w:rPr>
                <w:rFonts w:ascii="Times New Roman" w:hAnsi="Times New Roman" w:cs="Times New Roman"/>
                <w:sz w:val="28"/>
                <w:szCs w:val="20"/>
              </w:rPr>
              <w:t xml:space="preserve"> solicitan a la Corte</w:t>
            </w:r>
            <w:r w:rsidRPr="003E425B">
              <w:rPr>
                <w:rFonts w:ascii="Times New Roman" w:hAnsi="Times New Roman" w:cs="Times New Roman"/>
                <w:sz w:val="28"/>
                <w:szCs w:val="20"/>
              </w:rPr>
              <w:t xml:space="preserve"> </w:t>
            </w:r>
            <w:r w:rsidRPr="003E425B">
              <w:rPr>
                <w:rFonts w:ascii="Times New Roman" w:hAnsi="Times New Roman" w:cs="Times New Roman"/>
                <w:sz w:val="28"/>
                <w:szCs w:val="20"/>
              </w:rPr>
              <w:t>declarar la exequibilidad de la norma demandada. En su criterio,</w:t>
            </w:r>
            <w:r w:rsidRPr="003E425B">
              <w:rPr>
                <w:rFonts w:ascii="Times New Roman" w:hAnsi="Times New Roman" w:cs="Times New Roman"/>
                <w:sz w:val="28"/>
                <w:szCs w:val="20"/>
              </w:rPr>
              <w:t xml:space="preserve"> </w:t>
            </w:r>
            <w:r w:rsidRPr="003E425B">
              <w:rPr>
                <w:rFonts w:ascii="Times New Roman" w:hAnsi="Times New Roman" w:cs="Times New Roman"/>
                <w:i/>
                <w:iCs/>
                <w:sz w:val="28"/>
                <w:szCs w:val="20"/>
              </w:rPr>
              <w:t>(i)</w:t>
            </w:r>
            <w:r w:rsidRPr="003E425B">
              <w:rPr>
                <w:rFonts w:ascii="Times New Roman" w:hAnsi="Times New Roman" w:cs="Times New Roman"/>
                <w:sz w:val="28"/>
                <w:szCs w:val="20"/>
              </w:rPr>
              <w:t xml:space="preserve"> el análisis de impacto fiscal no era exigible puesto </w:t>
            </w:r>
            <w:r w:rsidRPr="003E425B">
              <w:rPr>
                <w:rFonts w:ascii="Times New Roman" w:hAnsi="Times New Roman" w:cs="Times New Roman"/>
                <w:sz w:val="28"/>
                <w:szCs w:val="20"/>
              </w:rPr>
              <w:t xml:space="preserve">que </w:t>
            </w:r>
            <w:r w:rsidRPr="003E425B">
              <w:rPr>
                <w:rFonts w:ascii="Times New Roman" w:hAnsi="Times New Roman" w:cs="Times New Roman"/>
                <w:sz w:val="28"/>
                <w:szCs w:val="20"/>
              </w:rPr>
              <w:t xml:space="preserve">la Ley 2281 de 2023 no ordena gasto y </w:t>
            </w:r>
            <w:r w:rsidRPr="003E425B">
              <w:rPr>
                <w:rFonts w:ascii="Times New Roman" w:hAnsi="Times New Roman" w:cs="Times New Roman"/>
                <w:i/>
                <w:iCs/>
                <w:sz w:val="28"/>
                <w:szCs w:val="20"/>
              </w:rPr>
              <w:t>(ii)</w:t>
            </w:r>
            <w:r w:rsidRPr="003E425B">
              <w:rPr>
                <w:rFonts w:ascii="Times New Roman" w:hAnsi="Times New Roman" w:cs="Times New Roman"/>
                <w:sz w:val="28"/>
                <w:szCs w:val="20"/>
              </w:rPr>
              <w:t xml:space="preserve"> en </w:t>
            </w:r>
            <w:r w:rsidRPr="003E425B">
              <w:rPr>
                <w:rFonts w:ascii="Times New Roman" w:hAnsi="Times New Roman" w:cs="Times New Roman"/>
                <w:sz w:val="28"/>
                <w:szCs w:val="20"/>
              </w:rPr>
              <w:t>cualquier</w:t>
            </w:r>
            <w:r w:rsidRPr="003E425B">
              <w:rPr>
                <w:rFonts w:ascii="Times New Roman" w:hAnsi="Times New Roman" w:cs="Times New Roman"/>
                <w:sz w:val="28"/>
                <w:szCs w:val="20"/>
              </w:rPr>
              <w:t xml:space="preserve"> caso,</w:t>
            </w:r>
            <w:r w:rsidRPr="003E425B">
              <w:rPr>
                <w:rFonts w:ascii="Times New Roman" w:hAnsi="Times New Roman" w:cs="Times New Roman"/>
                <w:sz w:val="28"/>
                <w:szCs w:val="20"/>
              </w:rPr>
              <w:t xml:space="preserve"> aun si se considera que la ley ordena gasto, </w:t>
            </w:r>
            <w:r w:rsidRPr="003E425B">
              <w:rPr>
                <w:rFonts w:ascii="Times New Roman" w:hAnsi="Times New Roman" w:cs="Times New Roman"/>
                <w:sz w:val="28"/>
                <w:szCs w:val="20"/>
              </w:rPr>
              <w:t xml:space="preserve">el Congreso </w:t>
            </w:r>
            <w:r w:rsidRPr="003E425B">
              <w:rPr>
                <w:rFonts w:ascii="Times New Roman" w:hAnsi="Times New Roman" w:cs="Times New Roman"/>
                <w:sz w:val="28"/>
                <w:szCs w:val="20"/>
              </w:rPr>
              <w:t xml:space="preserve">de la República </w:t>
            </w:r>
            <w:r w:rsidRPr="003E425B">
              <w:rPr>
                <w:rFonts w:ascii="Times New Roman" w:hAnsi="Times New Roman" w:cs="Times New Roman"/>
                <w:sz w:val="28"/>
                <w:szCs w:val="20"/>
              </w:rPr>
              <w:t xml:space="preserve">y el </w:t>
            </w:r>
            <w:r w:rsidRPr="003E425B">
              <w:rPr>
                <w:rFonts w:ascii="Times New Roman" w:hAnsi="Times New Roman" w:cs="Times New Roman"/>
                <w:sz w:val="28"/>
                <w:szCs w:val="20"/>
              </w:rPr>
              <w:t>G</w:t>
            </w:r>
            <w:r w:rsidRPr="003E425B">
              <w:rPr>
                <w:rFonts w:ascii="Times New Roman" w:hAnsi="Times New Roman" w:cs="Times New Roman"/>
                <w:sz w:val="28"/>
                <w:szCs w:val="20"/>
              </w:rPr>
              <w:t>obierno Nacional cumplieron con los deberes específicos previstos en el</w:t>
            </w:r>
            <w:r w:rsidRPr="003E425B">
              <w:rPr>
                <w:rFonts w:ascii="Times New Roman" w:hAnsi="Times New Roman" w:cs="Times New Roman"/>
                <w:sz w:val="28"/>
                <w:szCs w:val="20"/>
              </w:rPr>
              <w:t xml:space="preserve"> </w:t>
            </w:r>
            <w:r w:rsidRPr="003E425B">
              <w:rPr>
                <w:rFonts w:ascii="Times New Roman" w:hAnsi="Times New Roman" w:cs="Times New Roman"/>
                <w:sz w:val="28"/>
                <w:szCs w:val="20"/>
              </w:rPr>
              <w:t>artículo</w:t>
            </w:r>
            <w:r w:rsidRPr="003E425B">
              <w:rPr>
                <w:rFonts w:ascii="Times New Roman" w:hAnsi="Times New Roman" w:cs="Times New Roman"/>
                <w:sz w:val="28"/>
                <w:szCs w:val="20"/>
              </w:rPr>
              <w:t xml:space="preserve"> 7º de la Ley 819 de 2003. </w:t>
            </w:r>
            <w:r w:rsidRPr="003E425B">
              <w:rPr>
                <w:rFonts w:ascii="Times New Roman" w:hAnsi="Times New Roman" w:cs="Times New Roman"/>
                <w:sz w:val="28"/>
                <w:szCs w:val="20"/>
              </w:rPr>
              <w:t>Un (1) interviniente solicitó a la Corte</w:t>
            </w:r>
            <w:r w:rsidRPr="003E425B">
              <w:rPr>
                <w:rFonts w:ascii="Times New Roman" w:hAnsi="Times New Roman" w:cs="Times New Roman"/>
                <w:sz w:val="28"/>
                <w:szCs w:val="20"/>
              </w:rPr>
              <w:t xml:space="preserve"> declarar la inexequibilidad</w:t>
            </w:r>
            <w:r w:rsidRPr="003E425B">
              <w:rPr>
                <w:rFonts w:ascii="Times New Roman" w:hAnsi="Times New Roman" w:cs="Times New Roman"/>
                <w:sz w:val="28"/>
                <w:szCs w:val="20"/>
              </w:rPr>
              <w:t xml:space="preserve"> de la totalidad de la Ley 2281 de 2023, porque el Congreso no analizó el impacto fiscal de la medida legislativa</w:t>
            </w:r>
            <w:r w:rsidRPr="003E425B">
              <w:rPr>
                <w:rStyle w:val="Refdenotaalpie"/>
                <w:rFonts w:ascii="Times New Roman" w:hAnsi="Times New Roman" w:cs="Times New Roman"/>
                <w:sz w:val="28"/>
                <w:szCs w:val="20"/>
              </w:rPr>
              <w:footnoteReference w:id="36"/>
            </w:r>
            <w:r w:rsidRPr="003E425B">
              <w:rPr>
                <w:rFonts w:ascii="Times New Roman" w:hAnsi="Times New Roman" w:cs="Times New Roman"/>
                <w:sz w:val="28"/>
                <w:szCs w:val="20"/>
              </w:rPr>
              <w:t>.</w:t>
            </w:r>
          </w:p>
        </w:tc>
      </w:tr>
      <w:tr w:rsidR="004D4C21" w:rsidRPr="003E425B" w:rsidTr="00E4520F">
        <w:tc>
          <w:tcPr>
            <w:tcW w:w="559" w:type="pct"/>
            <w:shd w:val="clear" w:color="auto" w:fill="D9D9D9" w:themeFill="background1" w:themeFillShade="D9"/>
            <w:vAlign w:val="center"/>
          </w:tcPr>
          <w:p w:rsidR="004D4C21" w:rsidRPr="003E425B" w:rsidRDefault="003E425B" w:rsidP="00BE0B5F">
            <w:pPr>
              <w:tabs>
                <w:tab w:val="left" w:pos="567"/>
              </w:tabs>
              <w:jc w:val="center"/>
              <w:rPr>
                <w:rFonts w:ascii="Times New Roman" w:hAnsi="Times New Roman" w:cs="Times New Roman"/>
                <w:b/>
                <w:bCs/>
                <w:sz w:val="28"/>
                <w:szCs w:val="20"/>
              </w:rPr>
            </w:pPr>
            <w:r w:rsidRPr="003E425B">
              <w:rPr>
                <w:rFonts w:ascii="Times New Roman" w:hAnsi="Times New Roman" w:cs="Times New Roman"/>
                <w:b/>
                <w:bCs/>
                <w:sz w:val="28"/>
                <w:szCs w:val="20"/>
              </w:rPr>
              <w:t>Cargo tercero</w:t>
            </w:r>
          </w:p>
        </w:tc>
        <w:tc>
          <w:tcPr>
            <w:tcW w:w="4441" w:type="pct"/>
          </w:tcPr>
          <w:p w:rsidR="004D4C21" w:rsidRPr="003E425B" w:rsidRDefault="003E425B" w:rsidP="00010108">
            <w:pPr>
              <w:tabs>
                <w:tab w:val="left" w:pos="567"/>
              </w:tabs>
              <w:rPr>
                <w:rFonts w:ascii="Times New Roman" w:hAnsi="Times New Roman" w:cs="Times New Roman"/>
                <w:sz w:val="28"/>
                <w:szCs w:val="20"/>
              </w:rPr>
            </w:pPr>
            <w:r w:rsidRPr="003E425B">
              <w:rPr>
                <w:rFonts w:ascii="Times New Roman" w:hAnsi="Times New Roman" w:cs="Times New Roman"/>
                <w:sz w:val="28"/>
                <w:szCs w:val="20"/>
              </w:rPr>
              <w:t xml:space="preserve">Cuatro </w:t>
            </w:r>
            <w:r w:rsidRPr="003E425B">
              <w:rPr>
                <w:rFonts w:ascii="Times New Roman" w:hAnsi="Times New Roman" w:cs="Times New Roman"/>
                <w:sz w:val="28"/>
                <w:szCs w:val="20"/>
              </w:rPr>
              <w:t xml:space="preserve">(4) </w:t>
            </w:r>
            <w:r w:rsidRPr="003E425B">
              <w:rPr>
                <w:rFonts w:ascii="Times New Roman" w:hAnsi="Times New Roman" w:cs="Times New Roman"/>
                <w:sz w:val="28"/>
                <w:szCs w:val="20"/>
              </w:rPr>
              <w:t>intervinientes</w:t>
            </w:r>
            <w:r w:rsidRPr="003E425B">
              <w:rPr>
                <w:rFonts w:ascii="Times New Roman" w:hAnsi="Times New Roman" w:cs="Times New Roman"/>
                <w:sz w:val="28"/>
                <w:szCs w:val="20"/>
                <w:vertAlign w:val="superscript"/>
              </w:rPr>
              <w:footnoteReference w:id="37"/>
            </w:r>
            <w:r w:rsidRPr="003E425B">
              <w:rPr>
                <w:rFonts w:ascii="Times New Roman" w:hAnsi="Times New Roman" w:cs="Times New Roman"/>
                <w:sz w:val="28"/>
                <w:szCs w:val="20"/>
              </w:rPr>
              <w:t xml:space="preserve"> solicitan </w:t>
            </w:r>
            <w:r w:rsidRPr="003E425B">
              <w:rPr>
                <w:rFonts w:ascii="Times New Roman" w:hAnsi="Times New Roman" w:cs="Times New Roman"/>
                <w:sz w:val="28"/>
                <w:szCs w:val="20"/>
              </w:rPr>
              <w:t>proferir un fallo inhibitorio</w:t>
            </w:r>
            <w:r w:rsidRPr="003E425B">
              <w:rPr>
                <w:rFonts w:ascii="Times New Roman" w:hAnsi="Times New Roman" w:cs="Times New Roman"/>
                <w:sz w:val="28"/>
                <w:szCs w:val="20"/>
              </w:rPr>
              <w:t xml:space="preserve">, </w:t>
            </w:r>
            <w:r w:rsidRPr="003E425B">
              <w:rPr>
                <w:rFonts w:ascii="Times New Roman" w:hAnsi="Times New Roman" w:cs="Times New Roman"/>
                <w:sz w:val="28"/>
                <w:szCs w:val="20"/>
              </w:rPr>
              <w:t>al</w:t>
            </w:r>
            <w:r w:rsidRPr="003E425B">
              <w:rPr>
                <w:rFonts w:ascii="Times New Roman" w:hAnsi="Times New Roman" w:cs="Times New Roman"/>
                <w:sz w:val="28"/>
                <w:szCs w:val="20"/>
              </w:rPr>
              <w:t xml:space="preserve"> considerar que </w:t>
            </w:r>
            <w:r w:rsidRPr="003E425B">
              <w:rPr>
                <w:rFonts w:ascii="Times New Roman" w:hAnsi="Times New Roman" w:cs="Times New Roman"/>
                <w:sz w:val="28"/>
                <w:szCs w:val="20"/>
              </w:rPr>
              <w:t>el cargo</w:t>
            </w:r>
            <w:r w:rsidRPr="003E425B">
              <w:rPr>
                <w:rFonts w:ascii="Times New Roman" w:hAnsi="Times New Roman" w:cs="Times New Roman"/>
                <w:sz w:val="28"/>
                <w:szCs w:val="20"/>
              </w:rPr>
              <w:t xml:space="preserve"> no cumple con </w:t>
            </w:r>
            <w:r w:rsidRPr="003E425B">
              <w:rPr>
                <w:rFonts w:ascii="Times New Roman" w:hAnsi="Times New Roman" w:cs="Times New Roman"/>
                <w:sz w:val="28"/>
                <w:szCs w:val="20"/>
              </w:rPr>
              <w:t>las exigencias</w:t>
            </w:r>
            <w:r w:rsidRPr="003E425B">
              <w:rPr>
                <w:rFonts w:ascii="Times New Roman" w:hAnsi="Times New Roman" w:cs="Times New Roman"/>
                <w:sz w:val="28"/>
                <w:szCs w:val="20"/>
              </w:rPr>
              <w:t xml:space="preserve"> d</w:t>
            </w:r>
            <w:r w:rsidRPr="003E425B">
              <w:rPr>
                <w:rFonts w:ascii="Times New Roman" w:hAnsi="Times New Roman" w:cs="Times New Roman"/>
                <w:sz w:val="28"/>
                <w:szCs w:val="20"/>
              </w:rPr>
              <w:t xml:space="preserve">e claridad, certeza, especificidad, pertinencia y suficiencia. </w:t>
            </w:r>
            <w:r w:rsidRPr="003E425B">
              <w:rPr>
                <w:rFonts w:ascii="Times New Roman" w:hAnsi="Times New Roman" w:cs="Times New Roman"/>
                <w:sz w:val="28"/>
                <w:szCs w:val="20"/>
              </w:rPr>
              <w:t xml:space="preserve">De otro lado, </w:t>
            </w:r>
            <w:r w:rsidRPr="003E425B">
              <w:rPr>
                <w:rFonts w:ascii="Times New Roman" w:hAnsi="Times New Roman" w:cs="Times New Roman"/>
                <w:sz w:val="28"/>
                <w:szCs w:val="20"/>
              </w:rPr>
              <w:t>diecinueve</w:t>
            </w:r>
            <w:r w:rsidRPr="003E425B">
              <w:rPr>
                <w:rFonts w:ascii="Times New Roman" w:hAnsi="Times New Roman" w:cs="Times New Roman"/>
                <w:sz w:val="28"/>
                <w:szCs w:val="20"/>
              </w:rPr>
              <w:t xml:space="preserve"> (</w:t>
            </w:r>
            <w:r w:rsidRPr="003E425B">
              <w:rPr>
                <w:rFonts w:ascii="Times New Roman" w:hAnsi="Times New Roman" w:cs="Times New Roman"/>
                <w:sz w:val="28"/>
                <w:szCs w:val="20"/>
              </w:rPr>
              <w:t>19</w:t>
            </w:r>
            <w:r w:rsidRPr="003E425B">
              <w:rPr>
                <w:rFonts w:ascii="Times New Roman" w:hAnsi="Times New Roman" w:cs="Times New Roman"/>
                <w:sz w:val="28"/>
                <w:szCs w:val="20"/>
              </w:rPr>
              <w:t>)</w:t>
            </w:r>
            <w:r w:rsidRPr="003E425B">
              <w:rPr>
                <w:rFonts w:ascii="Times New Roman" w:hAnsi="Times New Roman" w:cs="Times New Roman"/>
                <w:sz w:val="28"/>
                <w:szCs w:val="20"/>
              </w:rPr>
              <w:t xml:space="preserve"> intervinientes solicitan a la Corte </w:t>
            </w:r>
            <w:r w:rsidRPr="003E425B">
              <w:rPr>
                <w:rFonts w:ascii="Times New Roman" w:hAnsi="Times New Roman" w:cs="Times New Roman"/>
                <w:sz w:val="28"/>
                <w:szCs w:val="20"/>
              </w:rPr>
              <w:t>declarar</w:t>
            </w:r>
            <w:r w:rsidRPr="003E425B">
              <w:rPr>
                <w:rFonts w:ascii="Times New Roman" w:hAnsi="Times New Roman" w:cs="Times New Roman"/>
                <w:sz w:val="28"/>
                <w:szCs w:val="20"/>
              </w:rPr>
              <w:t xml:space="preserve"> la </w:t>
            </w:r>
            <w:r w:rsidRPr="003E425B">
              <w:rPr>
                <w:rFonts w:ascii="Times New Roman" w:hAnsi="Times New Roman" w:cs="Times New Roman"/>
                <w:sz w:val="28"/>
                <w:szCs w:val="20"/>
              </w:rPr>
              <w:t xml:space="preserve">exequibilidad </w:t>
            </w:r>
            <w:r w:rsidRPr="003E425B">
              <w:rPr>
                <w:rFonts w:ascii="Times New Roman" w:hAnsi="Times New Roman" w:cs="Times New Roman"/>
                <w:sz w:val="28"/>
                <w:szCs w:val="20"/>
              </w:rPr>
              <w:t>del artículo 12 de la Ley 2281 de 2023, porque consideran que las facultades extraordinarias otorgada</w:t>
            </w:r>
            <w:r w:rsidRPr="003E425B">
              <w:rPr>
                <w:rFonts w:ascii="Times New Roman" w:hAnsi="Times New Roman" w:cs="Times New Roman"/>
                <w:sz w:val="28"/>
                <w:szCs w:val="20"/>
              </w:rPr>
              <w:t xml:space="preserve">s al Presidente son claras y precisas. </w:t>
            </w:r>
          </w:p>
        </w:tc>
      </w:tr>
    </w:tbl>
    <w:p w:rsidR="0059012D" w:rsidRPr="003E425B" w:rsidRDefault="003E425B" w:rsidP="00010108">
      <w:pPr>
        <w:rPr>
          <w:rFonts w:ascii="Times New Roman" w:hAnsi="Times New Roman" w:cs="Times New Roman"/>
          <w:sz w:val="28"/>
        </w:rPr>
      </w:pPr>
    </w:p>
    <w:p w:rsidR="0059012D" w:rsidRPr="003E425B" w:rsidRDefault="003E425B" w:rsidP="00010108">
      <w:pPr>
        <w:pStyle w:val="Ttulo2"/>
        <w:numPr>
          <w:ilvl w:val="0"/>
          <w:numId w:val="9"/>
        </w:numPr>
        <w:ind w:left="426" w:hanging="142"/>
        <w:rPr>
          <w:rFonts w:ascii="Times New Roman" w:hAnsi="Times New Roman" w:cs="Times New Roman"/>
          <w:sz w:val="28"/>
        </w:rPr>
      </w:pPr>
      <w:r w:rsidRPr="003E425B">
        <w:rPr>
          <w:rFonts w:ascii="Times New Roman" w:hAnsi="Times New Roman" w:cs="Times New Roman"/>
          <w:sz w:val="28"/>
        </w:rPr>
        <w:t>Concepto de</w:t>
      </w:r>
      <w:r w:rsidRPr="003E425B">
        <w:rPr>
          <w:rFonts w:ascii="Times New Roman" w:hAnsi="Times New Roman" w:cs="Times New Roman"/>
          <w:sz w:val="28"/>
        </w:rPr>
        <w:t>l Ministerio Público</w:t>
      </w:r>
    </w:p>
    <w:p w:rsidR="00532749" w:rsidRPr="003E425B" w:rsidRDefault="003E425B" w:rsidP="00010108">
      <w:pPr>
        <w:tabs>
          <w:tab w:val="left" w:pos="567"/>
        </w:tabs>
        <w:rPr>
          <w:rFonts w:ascii="Times New Roman" w:hAnsi="Times New Roman" w:cs="Times New Roman"/>
          <w:sz w:val="28"/>
          <w:szCs w:val="28"/>
        </w:rPr>
      </w:pPr>
    </w:p>
    <w:p w:rsidR="00ED44A5"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sz w:val="28"/>
        </w:rPr>
        <w:t>El 5 de septiembre de 2023, l</w:t>
      </w:r>
      <w:r w:rsidRPr="003E425B">
        <w:rPr>
          <w:rFonts w:ascii="Times New Roman" w:hAnsi="Times New Roman" w:cs="Times New Roman"/>
          <w:sz w:val="28"/>
        </w:rPr>
        <w:t xml:space="preserve">a Procuradora General de la Nación </w:t>
      </w:r>
      <w:r w:rsidRPr="003E425B">
        <w:rPr>
          <w:rFonts w:ascii="Times New Roman" w:hAnsi="Times New Roman" w:cs="Times New Roman"/>
          <w:sz w:val="28"/>
        </w:rPr>
        <w:t xml:space="preserve">presentó concepto en el que </w:t>
      </w:r>
      <w:r w:rsidRPr="003E425B">
        <w:rPr>
          <w:rFonts w:ascii="Times New Roman" w:hAnsi="Times New Roman" w:cs="Times New Roman"/>
          <w:sz w:val="28"/>
        </w:rPr>
        <w:t>solicit</w:t>
      </w:r>
      <w:r w:rsidRPr="003E425B">
        <w:rPr>
          <w:rFonts w:ascii="Times New Roman" w:hAnsi="Times New Roman" w:cs="Times New Roman"/>
          <w:sz w:val="28"/>
        </w:rPr>
        <w:t>ó</w:t>
      </w:r>
      <w:r w:rsidRPr="003E425B">
        <w:rPr>
          <w:rFonts w:ascii="Times New Roman" w:hAnsi="Times New Roman" w:cs="Times New Roman"/>
          <w:sz w:val="28"/>
        </w:rPr>
        <w:t xml:space="preserve"> a la Corte declarar la exequibilidad de la Ley 2281 de 2023</w:t>
      </w:r>
      <w:r w:rsidRPr="003E425B">
        <w:rPr>
          <w:rFonts w:ascii="Times New Roman" w:hAnsi="Times New Roman" w:cs="Times New Roman"/>
          <w:sz w:val="28"/>
        </w:rPr>
        <w:t>, así como el artíc</w:t>
      </w:r>
      <w:r w:rsidRPr="003E425B">
        <w:rPr>
          <w:rFonts w:ascii="Times New Roman" w:hAnsi="Times New Roman" w:cs="Times New Roman"/>
          <w:sz w:val="28"/>
        </w:rPr>
        <w:t>u</w:t>
      </w:r>
      <w:r w:rsidRPr="003E425B">
        <w:rPr>
          <w:rFonts w:ascii="Times New Roman" w:hAnsi="Times New Roman" w:cs="Times New Roman"/>
          <w:sz w:val="28"/>
        </w:rPr>
        <w:t xml:space="preserve">lo 12 </w:t>
      </w:r>
      <w:r w:rsidRPr="003E425B">
        <w:rPr>
          <w:rFonts w:ascii="Times New Roman" w:hAnsi="Times New Roman" w:cs="Times New Roman"/>
          <w:i/>
          <w:iCs/>
          <w:sz w:val="28"/>
        </w:rPr>
        <w:t>ibidem</w:t>
      </w:r>
      <w:r w:rsidRPr="003E425B">
        <w:rPr>
          <w:rFonts w:ascii="Times New Roman" w:hAnsi="Times New Roman" w:cs="Times New Roman"/>
          <w:sz w:val="28"/>
        </w:rPr>
        <w:t xml:space="preserve">. En relación con cada uno de los cargos, el Ministerio Público sostuvo lo siguiente: </w:t>
      </w:r>
    </w:p>
    <w:p w:rsidR="00ED44A5" w:rsidRPr="003E425B" w:rsidRDefault="003E425B" w:rsidP="00010108">
      <w:pPr>
        <w:tabs>
          <w:tab w:val="left" w:pos="567"/>
        </w:tabs>
        <w:rPr>
          <w:rFonts w:ascii="Times New Roman" w:hAnsi="Times New Roman" w:cs="Times New Roman"/>
          <w:sz w:val="28"/>
        </w:rPr>
      </w:pPr>
    </w:p>
    <w:p w:rsidR="00C223C7" w:rsidRPr="003E425B" w:rsidRDefault="003E425B" w:rsidP="00010108">
      <w:pPr>
        <w:pStyle w:val="Prrafodelista"/>
        <w:numPr>
          <w:ilvl w:val="0"/>
          <w:numId w:val="12"/>
        </w:numPr>
        <w:tabs>
          <w:tab w:val="left" w:pos="284"/>
        </w:tabs>
        <w:spacing w:line="240" w:lineRule="auto"/>
        <w:ind w:left="709" w:hanging="425"/>
        <w:rPr>
          <w:rFonts w:ascii="Times New Roman" w:hAnsi="Times New Roman"/>
          <w:b/>
          <w:bCs/>
          <w:sz w:val="28"/>
        </w:rPr>
      </w:pPr>
      <w:r w:rsidRPr="003E425B">
        <w:rPr>
          <w:rFonts w:ascii="Times New Roman" w:hAnsi="Times New Roman"/>
          <w:b/>
          <w:bCs/>
          <w:sz w:val="28"/>
        </w:rPr>
        <w:t>Primer cargo</w:t>
      </w:r>
      <w:r w:rsidRPr="003E425B">
        <w:rPr>
          <w:rFonts w:ascii="Times New Roman" w:hAnsi="Times New Roman"/>
          <w:b/>
          <w:bCs/>
          <w:sz w:val="28"/>
        </w:rPr>
        <w:t>: e</w:t>
      </w:r>
      <w:r w:rsidRPr="003E425B">
        <w:rPr>
          <w:rFonts w:ascii="Times New Roman" w:hAnsi="Times New Roman"/>
          <w:b/>
          <w:bCs/>
          <w:sz w:val="28"/>
        </w:rPr>
        <w:t xml:space="preserve">l </w:t>
      </w:r>
      <w:r w:rsidRPr="003E425B">
        <w:rPr>
          <w:rFonts w:ascii="Times New Roman" w:hAnsi="Times New Roman"/>
          <w:b/>
          <w:bCs/>
          <w:sz w:val="28"/>
        </w:rPr>
        <w:t>Congreso de la República aprobó</w:t>
      </w:r>
      <w:r w:rsidRPr="003E425B">
        <w:rPr>
          <w:rFonts w:ascii="Times New Roman" w:hAnsi="Times New Roman"/>
          <w:b/>
          <w:bCs/>
          <w:sz w:val="28"/>
        </w:rPr>
        <w:t xml:space="preserve"> por mayoría absoluta</w:t>
      </w:r>
      <w:r w:rsidRPr="003E425B">
        <w:rPr>
          <w:rFonts w:ascii="Times New Roman" w:hAnsi="Times New Roman"/>
          <w:b/>
          <w:bCs/>
          <w:sz w:val="28"/>
        </w:rPr>
        <w:t xml:space="preserve"> el artículo 12 de la Ley 2281 de 20</w:t>
      </w:r>
      <w:r w:rsidRPr="003E425B">
        <w:rPr>
          <w:rFonts w:ascii="Times New Roman" w:hAnsi="Times New Roman"/>
          <w:b/>
          <w:bCs/>
          <w:sz w:val="28"/>
        </w:rPr>
        <w:t>23</w:t>
      </w:r>
    </w:p>
    <w:p w:rsidR="00C223C7" w:rsidRPr="003E425B" w:rsidRDefault="003E425B" w:rsidP="00010108">
      <w:pPr>
        <w:pStyle w:val="Prrafodelista"/>
        <w:spacing w:line="240" w:lineRule="auto"/>
        <w:rPr>
          <w:rFonts w:ascii="Times New Roman" w:hAnsi="Times New Roman"/>
          <w:sz w:val="28"/>
        </w:rPr>
      </w:pPr>
    </w:p>
    <w:p w:rsidR="004E7936"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sz w:val="28"/>
        </w:rPr>
        <w:t>L</w:t>
      </w:r>
      <w:r w:rsidRPr="003E425B">
        <w:rPr>
          <w:rFonts w:ascii="Times New Roman" w:hAnsi="Times New Roman" w:cs="Times New Roman"/>
          <w:sz w:val="28"/>
        </w:rPr>
        <w:t xml:space="preserve">os artículos 150.10 de la Constitución y 134 </w:t>
      </w:r>
      <w:r w:rsidRPr="003E425B">
        <w:rPr>
          <w:rFonts w:ascii="Times New Roman" w:hAnsi="Times New Roman" w:cs="Times New Roman"/>
          <w:sz w:val="28"/>
        </w:rPr>
        <w:t>de la Ley 5</w:t>
      </w:r>
      <w:r w:rsidRPr="003E425B">
        <w:rPr>
          <w:rFonts w:ascii="Times New Roman" w:hAnsi="Times New Roman" w:cs="Times New Roman"/>
          <w:sz w:val="28"/>
        </w:rPr>
        <w:t>ª</w:t>
      </w:r>
      <w:r w:rsidRPr="003E425B">
        <w:rPr>
          <w:rFonts w:ascii="Times New Roman" w:hAnsi="Times New Roman" w:cs="Times New Roman"/>
          <w:sz w:val="28"/>
        </w:rPr>
        <w:t xml:space="preserve"> </w:t>
      </w:r>
      <w:r w:rsidRPr="003E425B">
        <w:rPr>
          <w:rFonts w:ascii="Times New Roman" w:hAnsi="Times New Roman" w:cs="Times New Roman"/>
          <w:sz w:val="28"/>
        </w:rPr>
        <w:t xml:space="preserve">de 1992 </w:t>
      </w:r>
      <w:r w:rsidRPr="003E425B">
        <w:rPr>
          <w:rFonts w:ascii="Times New Roman" w:hAnsi="Times New Roman" w:cs="Times New Roman"/>
          <w:sz w:val="28"/>
        </w:rPr>
        <w:t>exigen que los artículos que otorgan facultades extraordinarias sean aprobados por mayoría absoluta</w:t>
      </w:r>
      <w:r w:rsidRPr="003E425B">
        <w:rPr>
          <w:rStyle w:val="Refdenotaalpie"/>
          <w:rFonts w:ascii="Times New Roman" w:hAnsi="Times New Roman" w:cs="Times New Roman"/>
          <w:sz w:val="28"/>
        </w:rPr>
        <w:footnoteReference w:id="38"/>
      </w:r>
      <w:r w:rsidRPr="003E425B">
        <w:rPr>
          <w:rFonts w:ascii="Times New Roman" w:hAnsi="Times New Roman" w:cs="Times New Roman"/>
          <w:sz w:val="28"/>
        </w:rPr>
        <w:t xml:space="preserve">. </w:t>
      </w:r>
      <w:r w:rsidRPr="003E425B">
        <w:rPr>
          <w:rFonts w:ascii="Times New Roman" w:hAnsi="Times New Roman" w:cs="Times New Roman"/>
          <w:sz w:val="28"/>
        </w:rPr>
        <w:t>Según la Procuradora General de la Nación</w:t>
      </w:r>
      <w:r w:rsidRPr="003E425B">
        <w:rPr>
          <w:rFonts w:ascii="Times New Roman" w:hAnsi="Times New Roman" w:cs="Times New Roman"/>
          <w:sz w:val="28"/>
        </w:rPr>
        <w:t>,</w:t>
      </w:r>
      <w:r w:rsidRPr="003E425B">
        <w:rPr>
          <w:rFonts w:ascii="Times New Roman" w:hAnsi="Times New Roman" w:cs="Times New Roman"/>
          <w:sz w:val="28"/>
        </w:rPr>
        <w:t xml:space="preserve"> el artículo 12 de la Ley 2281 de 2023</w:t>
      </w:r>
      <w:r w:rsidRPr="003E425B">
        <w:rPr>
          <w:rFonts w:ascii="Times New Roman" w:hAnsi="Times New Roman" w:cs="Times New Roman"/>
          <w:sz w:val="28"/>
        </w:rPr>
        <w:t xml:space="preserve">, </w:t>
      </w:r>
      <w:r w:rsidRPr="003E425B">
        <w:rPr>
          <w:rFonts w:ascii="Times New Roman" w:hAnsi="Times New Roman" w:cs="Times New Roman"/>
          <w:sz w:val="28"/>
        </w:rPr>
        <w:t xml:space="preserve">que faculta al Presidente para integrar </w:t>
      </w:r>
      <w:r w:rsidRPr="003E425B">
        <w:rPr>
          <w:rFonts w:ascii="Times New Roman" w:hAnsi="Times New Roman" w:cs="Times New Roman"/>
          <w:sz w:val="28"/>
        </w:rPr>
        <w:t>e</w:t>
      </w:r>
      <w:r w:rsidRPr="003E425B">
        <w:rPr>
          <w:rFonts w:ascii="Times New Roman" w:hAnsi="Times New Roman" w:cs="Times New Roman"/>
          <w:sz w:val="28"/>
        </w:rPr>
        <w:t xml:space="preserve">l Sector de Igualdad y Equidad, fue aprobado por las comisiones y las plenarias de las cámaras por mayoría absoluta. </w:t>
      </w:r>
    </w:p>
    <w:p w:rsidR="004E7936" w:rsidRPr="003E425B" w:rsidRDefault="003E425B" w:rsidP="00010108">
      <w:pPr>
        <w:tabs>
          <w:tab w:val="left" w:pos="567"/>
        </w:tabs>
        <w:rPr>
          <w:rFonts w:ascii="Times New Roman" w:hAnsi="Times New Roman" w:cs="Times New Roman"/>
          <w:sz w:val="28"/>
        </w:rPr>
      </w:pPr>
    </w:p>
    <w:p w:rsidR="00ED44A5"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sz w:val="28"/>
        </w:rPr>
        <w:t>Al respecto, sostiene que</w:t>
      </w:r>
      <w:r w:rsidRPr="003E425B">
        <w:rPr>
          <w:rFonts w:ascii="Times New Roman" w:hAnsi="Times New Roman" w:cs="Times New Roman"/>
          <w:sz w:val="28"/>
        </w:rPr>
        <w:t xml:space="preserve"> </w:t>
      </w:r>
      <w:r w:rsidRPr="003E425B">
        <w:rPr>
          <w:rFonts w:ascii="Times New Roman" w:hAnsi="Times New Roman" w:cs="Times New Roman"/>
          <w:sz w:val="28"/>
        </w:rPr>
        <w:t>los informes, videos y certificaciones allegados por los secretarios del Congreso</w:t>
      </w:r>
      <w:r w:rsidRPr="003E425B">
        <w:rPr>
          <w:rFonts w:ascii="Times New Roman" w:hAnsi="Times New Roman" w:cs="Times New Roman"/>
          <w:sz w:val="28"/>
        </w:rPr>
        <w:t xml:space="preserve"> demuestran que </w:t>
      </w:r>
      <w:r w:rsidRPr="003E425B">
        <w:rPr>
          <w:rFonts w:ascii="Times New Roman" w:hAnsi="Times New Roman" w:cs="Times New Roman"/>
          <w:i/>
          <w:iCs/>
          <w:sz w:val="28"/>
        </w:rPr>
        <w:t>(i)</w:t>
      </w:r>
      <w:r w:rsidRPr="003E425B">
        <w:rPr>
          <w:rFonts w:ascii="Times New Roman" w:hAnsi="Times New Roman" w:cs="Times New Roman"/>
          <w:i/>
          <w:iCs/>
          <w:sz w:val="28"/>
        </w:rPr>
        <w:t xml:space="preserve"> </w:t>
      </w:r>
      <w:r w:rsidRPr="003E425B">
        <w:rPr>
          <w:rFonts w:ascii="Times New Roman" w:hAnsi="Times New Roman" w:cs="Times New Roman"/>
          <w:sz w:val="28"/>
        </w:rPr>
        <w:t>el 28 de n</w:t>
      </w:r>
      <w:r w:rsidRPr="003E425B">
        <w:rPr>
          <w:rFonts w:ascii="Times New Roman" w:hAnsi="Times New Roman" w:cs="Times New Roman"/>
          <w:sz w:val="28"/>
        </w:rPr>
        <w:t xml:space="preserve">oviembre de 2022, en sesión conjunta, la Comisión Primera del Senado aprobó el artículo </w:t>
      </w:r>
      <w:r w:rsidRPr="003E425B">
        <w:rPr>
          <w:rFonts w:ascii="Times New Roman" w:hAnsi="Times New Roman" w:cs="Times New Roman"/>
          <w:sz w:val="28"/>
        </w:rPr>
        <w:t xml:space="preserve">12 </w:t>
      </w:r>
      <w:r w:rsidRPr="003E425B">
        <w:rPr>
          <w:rFonts w:ascii="Times New Roman" w:hAnsi="Times New Roman" w:cs="Times New Roman"/>
          <w:sz w:val="28"/>
        </w:rPr>
        <w:t>con 14 votos afirmativos</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i/>
          <w:iCs/>
          <w:sz w:val="28"/>
        </w:rPr>
        <w:t>(ii)</w:t>
      </w:r>
      <w:r w:rsidRPr="003E425B">
        <w:rPr>
          <w:rFonts w:ascii="Times New Roman" w:hAnsi="Times New Roman" w:cs="Times New Roman"/>
          <w:sz w:val="28"/>
        </w:rPr>
        <w:t xml:space="preserve"> el mismo día, </w:t>
      </w:r>
      <w:r w:rsidRPr="003E425B">
        <w:rPr>
          <w:rFonts w:ascii="Times New Roman" w:hAnsi="Times New Roman" w:cs="Times New Roman"/>
          <w:sz w:val="28"/>
        </w:rPr>
        <w:t>la Comisión Primera de la Cámara de Representantes aprobó el artículo con 23 votos afirmativos,</w:t>
      </w:r>
      <w:r w:rsidRPr="003E425B">
        <w:rPr>
          <w:rFonts w:ascii="Times New Roman" w:hAnsi="Times New Roman" w:cs="Times New Roman"/>
          <w:sz w:val="28"/>
        </w:rPr>
        <w:t xml:space="preserve"> </w:t>
      </w:r>
      <w:r w:rsidRPr="003E425B">
        <w:rPr>
          <w:rFonts w:ascii="Times New Roman" w:hAnsi="Times New Roman" w:cs="Times New Roman"/>
          <w:i/>
          <w:iCs/>
          <w:sz w:val="28"/>
        </w:rPr>
        <w:t>(iii)</w:t>
      </w:r>
      <w:r w:rsidRPr="003E425B">
        <w:rPr>
          <w:rFonts w:ascii="Times New Roman" w:hAnsi="Times New Roman" w:cs="Times New Roman"/>
          <w:sz w:val="28"/>
        </w:rPr>
        <w:t xml:space="preserve"> </w:t>
      </w:r>
      <w:r w:rsidRPr="003E425B">
        <w:rPr>
          <w:rFonts w:ascii="Times New Roman" w:hAnsi="Times New Roman" w:cs="Times New Roman"/>
          <w:sz w:val="28"/>
        </w:rPr>
        <w:t>el 12 de diciembre</w:t>
      </w:r>
      <w:r w:rsidRPr="003E425B">
        <w:rPr>
          <w:rFonts w:ascii="Times New Roman" w:hAnsi="Times New Roman" w:cs="Times New Roman"/>
          <w:sz w:val="28"/>
        </w:rPr>
        <w:t xml:space="preserve"> de 2022, la Plenaria del Senado aprobó el artículo</w:t>
      </w:r>
      <w:r w:rsidRPr="003E425B">
        <w:rPr>
          <w:rFonts w:ascii="Times New Roman" w:hAnsi="Times New Roman" w:cs="Times New Roman"/>
          <w:sz w:val="28"/>
        </w:rPr>
        <w:t xml:space="preserve"> 12</w:t>
      </w:r>
      <w:r w:rsidRPr="003E425B">
        <w:rPr>
          <w:rFonts w:ascii="Times New Roman" w:hAnsi="Times New Roman" w:cs="Times New Roman"/>
          <w:sz w:val="28"/>
        </w:rPr>
        <w:t xml:space="preserve"> con 63 votos afirmativos, es decir, alcanzó la mayoría absoluta que eran 55 voto</w:t>
      </w:r>
      <w:r w:rsidRPr="003E425B">
        <w:rPr>
          <w:rFonts w:ascii="Times New Roman" w:hAnsi="Times New Roman" w:cs="Times New Roman"/>
          <w:sz w:val="28"/>
        </w:rPr>
        <w:t>s</w:t>
      </w:r>
      <w:r w:rsidRPr="003E425B">
        <w:rPr>
          <w:rFonts w:ascii="Times New Roman" w:hAnsi="Times New Roman" w:cs="Times New Roman"/>
          <w:sz w:val="28"/>
        </w:rPr>
        <w:t xml:space="preserve"> y, por último, </w:t>
      </w:r>
      <w:r w:rsidRPr="003E425B">
        <w:rPr>
          <w:rFonts w:ascii="Times New Roman" w:hAnsi="Times New Roman" w:cs="Times New Roman"/>
          <w:i/>
          <w:iCs/>
          <w:sz w:val="28"/>
        </w:rPr>
        <w:t>(iv)</w:t>
      </w:r>
      <w:r w:rsidRPr="003E425B">
        <w:rPr>
          <w:rFonts w:ascii="Times New Roman" w:hAnsi="Times New Roman" w:cs="Times New Roman"/>
          <w:sz w:val="28"/>
        </w:rPr>
        <w:t xml:space="preserve"> </w:t>
      </w:r>
      <w:r w:rsidRPr="003E425B">
        <w:rPr>
          <w:rFonts w:ascii="Times New Roman" w:hAnsi="Times New Roman" w:cs="Times New Roman"/>
          <w:sz w:val="28"/>
        </w:rPr>
        <w:t>el mismo 12 de diciembre, la Plenaria de la Cámara de Representantes aprobó el artículo con 136 vot</w:t>
      </w:r>
      <w:r w:rsidRPr="003E425B">
        <w:rPr>
          <w:rFonts w:ascii="Times New Roman" w:hAnsi="Times New Roman" w:cs="Times New Roman"/>
          <w:sz w:val="28"/>
        </w:rPr>
        <w:t>os afirmativos</w:t>
      </w:r>
      <w:r w:rsidRPr="003E425B">
        <w:rPr>
          <w:rStyle w:val="Refdenotaalpie"/>
          <w:rFonts w:ascii="Times New Roman" w:hAnsi="Times New Roman" w:cs="Times New Roman"/>
          <w:sz w:val="28"/>
        </w:rPr>
        <w:footnoteReference w:id="39"/>
      </w:r>
      <w:r w:rsidRPr="003E425B">
        <w:rPr>
          <w:rFonts w:ascii="Times New Roman" w:hAnsi="Times New Roman" w:cs="Times New Roman"/>
          <w:sz w:val="28"/>
        </w:rPr>
        <w:t>.</w:t>
      </w:r>
    </w:p>
    <w:p w:rsidR="008772B6" w:rsidRPr="003E425B" w:rsidRDefault="003E425B" w:rsidP="00010108">
      <w:pPr>
        <w:tabs>
          <w:tab w:val="left" w:pos="567"/>
        </w:tabs>
        <w:rPr>
          <w:rFonts w:ascii="Times New Roman" w:hAnsi="Times New Roman" w:cs="Times New Roman"/>
          <w:sz w:val="28"/>
        </w:rPr>
      </w:pPr>
    </w:p>
    <w:p w:rsidR="00EA22F4" w:rsidRPr="003E425B" w:rsidRDefault="003E425B" w:rsidP="00010108">
      <w:pPr>
        <w:pStyle w:val="Prrafodelista"/>
        <w:numPr>
          <w:ilvl w:val="0"/>
          <w:numId w:val="12"/>
        </w:numPr>
        <w:tabs>
          <w:tab w:val="left" w:pos="284"/>
        </w:tabs>
        <w:spacing w:line="240" w:lineRule="auto"/>
        <w:ind w:left="709" w:hanging="567"/>
        <w:rPr>
          <w:rFonts w:ascii="Times New Roman" w:hAnsi="Times New Roman"/>
          <w:sz w:val="28"/>
        </w:rPr>
      </w:pPr>
      <w:r w:rsidRPr="003E425B">
        <w:rPr>
          <w:rFonts w:ascii="Times New Roman" w:hAnsi="Times New Roman"/>
          <w:b/>
          <w:bCs/>
          <w:sz w:val="28"/>
        </w:rPr>
        <w:t>Segundo cargo</w:t>
      </w:r>
      <w:r w:rsidRPr="003E425B">
        <w:rPr>
          <w:rFonts w:ascii="Times New Roman" w:hAnsi="Times New Roman"/>
          <w:b/>
          <w:bCs/>
          <w:sz w:val="28"/>
        </w:rPr>
        <w:t xml:space="preserve">: </w:t>
      </w:r>
      <w:r w:rsidRPr="003E425B">
        <w:rPr>
          <w:rFonts w:ascii="Times New Roman" w:hAnsi="Times New Roman"/>
          <w:b/>
          <w:bCs/>
          <w:sz w:val="28"/>
        </w:rPr>
        <w:t>e</w:t>
      </w:r>
      <w:r w:rsidRPr="003E425B">
        <w:rPr>
          <w:rFonts w:ascii="Times New Roman" w:hAnsi="Times New Roman"/>
          <w:b/>
          <w:bCs/>
          <w:sz w:val="28"/>
        </w:rPr>
        <w:t>n el trámite parlamentario de la Ley 2281 de 2023 no se desconocieron las exigencias constitucionales y orgánicas de sostenibilidad fiscal</w:t>
      </w:r>
    </w:p>
    <w:p w:rsidR="00EA22F4" w:rsidRPr="003E425B" w:rsidRDefault="003E425B" w:rsidP="00010108">
      <w:pPr>
        <w:pStyle w:val="Prrafodelista"/>
        <w:tabs>
          <w:tab w:val="left" w:pos="567"/>
        </w:tabs>
        <w:spacing w:line="240" w:lineRule="auto"/>
        <w:ind w:left="788" w:firstLine="284"/>
        <w:rPr>
          <w:rFonts w:ascii="Times New Roman" w:hAnsi="Times New Roman"/>
          <w:sz w:val="28"/>
        </w:rPr>
      </w:pPr>
      <w:r w:rsidRPr="003E425B">
        <w:rPr>
          <w:rFonts w:ascii="Times New Roman" w:hAnsi="Times New Roman"/>
          <w:sz w:val="28"/>
        </w:rPr>
        <w:t xml:space="preserve"> </w:t>
      </w:r>
    </w:p>
    <w:p w:rsidR="00CB3EFC"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sz w:val="28"/>
        </w:rPr>
        <w:t>La</w:t>
      </w:r>
      <w:r w:rsidRPr="003E425B">
        <w:rPr>
          <w:rFonts w:ascii="Times New Roman" w:hAnsi="Times New Roman" w:cs="Times New Roman"/>
          <w:sz w:val="28"/>
        </w:rPr>
        <w:t xml:space="preserve"> </w:t>
      </w:r>
      <w:r w:rsidRPr="003E425B">
        <w:rPr>
          <w:rFonts w:ascii="Times New Roman" w:hAnsi="Times New Roman" w:cs="Times New Roman"/>
          <w:sz w:val="28"/>
        </w:rPr>
        <w:t xml:space="preserve">Procuradora General de la Nación sostuvo que la </w:t>
      </w:r>
      <w:r w:rsidRPr="003E425B">
        <w:rPr>
          <w:rFonts w:ascii="Times New Roman" w:hAnsi="Times New Roman" w:cs="Times New Roman"/>
          <w:sz w:val="28"/>
        </w:rPr>
        <w:t xml:space="preserve">Ley 2281 de 2023 </w:t>
      </w:r>
      <w:r w:rsidRPr="003E425B">
        <w:rPr>
          <w:rFonts w:ascii="Times New Roman" w:hAnsi="Times New Roman" w:cs="Times New Roman"/>
          <w:sz w:val="28"/>
        </w:rPr>
        <w:t xml:space="preserve">contiene una </w:t>
      </w:r>
      <w:r w:rsidRPr="003E425B">
        <w:rPr>
          <w:rFonts w:ascii="Times New Roman" w:hAnsi="Times New Roman" w:cs="Times New Roman"/>
          <w:sz w:val="28"/>
        </w:rPr>
        <w:t>orden</w:t>
      </w:r>
      <w:r w:rsidRPr="003E425B">
        <w:rPr>
          <w:rFonts w:ascii="Times New Roman" w:hAnsi="Times New Roman" w:cs="Times New Roman"/>
          <w:sz w:val="28"/>
        </w:rPr>
        <w:t xml:space="preserve"> de</w:t>
      </w:r>
      <w:r w:rsidRPr="003E425B">
        <w:rPr>
          <w:rFonts w:ascii="Times New Roman" w:hAnsi="Times New Roman" w:cs="Times New Roman"/>
          <w:sz w:val="28"/>
        </w:rPr>
        <w:t xml:space="preserve"> gasto</w:t>
      </w:r>
      <w:r w:rsidRPr="003E425B">
        <w:rPr>
          <w:rFonts w:ascii="Times New Roman" w:hAnsi="Times New Roman" w:cs="Times New Roman"/>
          <w:sz w:val="28"/>
        </w:rPr>
        <w:t>, porque no</w:t>
      </w:r>
      <w:r w:rsidRPr="003E425B">
        <w:rPr>
          <w:rFonts w:ascii="Times New Roman" w:hAnsi="Times New Roman" w:cs="Times New Roman"/>
          <w:sz w:val="28"/>
        </w:rPr>
        <w:t xml:space="preserve"> se limita a autorizar la inclusión de un</w:t>
      </w:r>
      <w:r w:rsidRPr="003E425B">
        <w:rPr>
          <w:rFonts w:ascii="Times New Roman" w:hAnsi="Times New Roman" w:cs="Times New Roman"/>
          <w:sz w:val="28"/>
        </w:rPr>
        <w:t>a</w:t>
      </w:r>
      <w:r w:rsidRPr="003E425B">
        <w:rPr>
          <w:rFonts w:ascii="Times New Roman" w:hAnsi="Times New Roman" w:cs="Times New Roman"/>
          <w:sz w:val="28"/>
        </w:rPr>
        <w:t xml:space="preserve"> </w:t>
      </w:r>
      <w:r w:rsidRPr="003E425B">
        <w:rPr>
          <w:rFonts w:ascii="Times New Roman" w:hAnsi="Times New Roman" w:cs="Times New Roman"/>
          <w:sz w:val="28"/>
        </w:rPr>
        <w:t xml:space="preserve">partida </w:t>
      </w:r>
      <w:r w:rsidRPr="003E425B">
        <w:rPr>
          <w:rFonts w:ascii="Times New Roman" w:hAnsi="Times New Roman" w:cs="Times New Roman"/>
          <w:sz w:val="28"/>
        </w:rPr>
        <w:t>en el Presupuesto General de la Nación, sino que “ordena el mismo para poner en funcionamiento el Ministerio de Igualdad y Equidad”</w:t>
      </w:r>
      <w:r w:rsidRPr="003E425B">
        <w:rPr>
          <w:rStyle w:val="Refdenotaalpie"/>
          <w:rFonts w:ascii="Times New Roman" w:hAnsi="Times New Roman" w:cs="Times New Roman"/>
          <w:sz w:val="28"/>
        </w:rPr>
        <w:footnoteReference w:id="40"/>
      </w:r>
      <w:r w:rsidRPr="003E425B">
        <w:rPr>
          <w:rFonts w:ascii="Times New Roman" w:hAnsi="Times New Roman" w:cs="Times New Roman"/>
          <w:sz w:val="28"/>
        </w:rPr>
        <w:t xml:space="preserve">. Por </w:t>
      </w:r>
      <w:r w:rsidRPr="003E425B">
        <w:rPr>
          <w:rFonts w:ascii="Times New Roman" w:hAnsi="Times New Roman" w:cs="Times New Roman"/>
          <w:sz w:val="28"/>
        </w:rPr>
        <w:t>esta razón</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el trámite legislativo se d</w:t>
      </w:r>
      <w:r w:rsidRPr="003E425B">
        <w:rPr>
          <w:rFonts w:ascii="Times New Roman" w:hAnsi="Times New Roman" w:cs="Times New Roman"/>
          <w:sz w:val="28"/>
        </w:rPr>
        <w:t xml:space="preserve">ebía </w:t>
      </w:r>
      <w:r w:rsidRPr="003E425B">
        <w:rPr>
          <w:rFonts w:ascii="Times New Roman" w:hAnsi="Times New Roman" w:cs="Times New Roman"/>
          <w:sz w:val="28"/>
        </w:rPr>
        <w:t>analizar el impacto fiscal de la iniciativa, conforme a</w:t>
      </w:r>
      <w:r w:rsidRPr="003E425B">
        <w:rPr>
          <w:rFonts w:ascii="Times New Roman" w:hAnsi="Times New Roman" w:cs="Times New Roman"/>
          <w:sz w:val="28"/>
        </w:rPr>
        <w:t xml:space="preserve"> las exigencias previstas en</w:t>
      </w:r>
      <w:r w:rsidRPr="003E425B">
        <w:rPr>
          <w:rFonts w:ascii="Times New Roman" w:hAnsi="Times New Roman" w:cs="Times New Roman"/>
          <w:sz w:val="28"/>
        </w:rPr>
        <w:t xml:space="preserve"> el</w:t>
      </w:r>
      <w:r w:rsidRPr="003E425B">
        <w:rPr>
          <w:rFonts w:ascii="Times New Roman" w:hAnsi="Times New Roman" w:cs="Times New Roman"/>
          <w:sz w:val="28"/>
        </w:rPr>
        <w:t xml:space="preserve"> </w:t>
      </w:r>
      <w:r w:rsidRPr="003E425B">
        <w:rPr>
          <w:rFonts w:ascii="Times New Roman" w:hAnsi="Times New Roman" w:cs="Times New Roman"/>
          <w:sz w:val="28"/>
        </w:rPr>
        <w:t>artículo 7º de la Ley 819 de 2003</w:t>
      </w:r>
      <w:r w:rsidRPr="003E425B">
        <w:rPr>
          <w:rFonts w:ascii="Times New Roman" w:hAnsi="Times New Roman" w:cs="Times New Roman"/>
          <w:sz w:val="28"/>
        </w:rPr>
        <w:t xml:space="preserve">. </w:t>
      </w:r>
    </w:p>
    <w:p w:rsidR="00CB3EFC" w:rsidRPr="003E425B" w:rsidRDefault="003E425B" w:rsidP="00010108">
      <w:pPr>
        <w:tabs>
          <w:tab w:val="left" w:pos="567"/>
        </w:tabs>
        <w:rPr>
          <w:rFonts w:ascii="Times New Roman" w:hAnsi="Times New Roman" w:cs="Times New Roman"/>
          <w:sz w:val="28"/>
        </w:rPr>
      </w:pPr>
    </w:p>
    <w:p w:rsidR="008772B6" w:rsidRPr="003E425B" w:rsidRDefault="003E425B" w:rsidP="00010108">
      <w:pPr>
        <w:numPr>
          <w:ilvl w:val="0"/>
          <w:numId w:val="10"/>
        </w:numPr>
        <w:tabs>
          <w:tab w:val="left" w:pos="567"/>
        </w:tabs>
        <w:ind w:left="0" w:firstLine="0"/>
        <w:rPr>
          <w:rFonts w:ascii="Times New Roman" w:hAnsi="Times New Roman" w:cs="Times New Roman"/>
          <w:sz w:val="28"/>
        </w:rPr>
      </w:pPr>
      <w:r w:rsidRPr="003E425B">
        <w:rPr>
          <w:rFonts w:ascii="Times New Roman" w:hAnsi="Times New Roman" w:cs="Times New Roman"/>
          <w:sz w:val="28"/>
        </w:rPr>
        <w:t xml:space="preserve">Según el </w:t>
      </w:r>
      <w:r w:rsidRPr="003E425B">
        <w:rPr>
          <w:rFonts w:ascii="Times New Roman" w:hAnsi="Times New Roman" w:cs="Times New Roman"/>
          <w:sz w:val="28"/>
        </w:rPr>
        <w:t>Ministerio</w:t>
      </w:r>
      <w:r w:rsidRPr="003E425B">
        <w:rPr>
          <w:rFonts w:ascii="Times New Roman" w:hAnsi="Times New Roman" w:cs="Times New Roman"/>
          <w:sz w:val="28"/>
        </w:rPr>
        <w:t xml:space="preserve"> Público, el </w:t>
      </w:r>
      <w:r w:rsidRPr="003E425B">
        <w:rPr>
          <w:rFonts w:ascii="Times New Roman" w:hAnsi="Times New Roman" w:cs="Times New Roman"/>
          <w:sz w:val="28"/>
        </w:rPr>
        <w:t xml:space="preserve">Gobierno </w:t>
      </w:r>
      <w:r w:rsidRPr="003E425B">
        <w:rPr>
          <w:rFonts w:ascii="Times New Roman" w:hAnsi="Times New Roman" w:cs="Times New Roman"/>
          <w:sz w:val="28"/>
        </w:rPr>
        <w:t>N</w:t>
      </w:r>
      <w:r w:rsidRPr="003E425B">
        <w:rPr>
          <w:rFonts w:ascii="Times New Roman" w:hAnsi="Times New Roman" w:cs="Times New Roman"/>
          <w:sz w:val="28"/>
        </w:rPr>
        <w:t>acional</w:t>
      </w:r>
      <w:r w:rsidRPr="003E425B">
        <w:rPr>
          <w:rFonts w:ascii="Times New Roman" w:hAnsi="Times New Roman" w:cs="Times New Roman"/>
          <w:sz w:val="28"/>
        </w:rPr>
        <w:t>, el MHCP</w:t>
      </w:r>
      <w:r w:rsidRPr="003E425B">
        <w:rPr>
          <w:rFonts w:ascii="Times New Roman" w:hAnsi="Times New Roman" w:cs="Times New Roman"/>
          <w:sz w:val="28"/>
        </w:rPr>
        <w:t xml:space="preserve"> y el </w:t>
      </w:r>
      <w:r w:rsidRPr="003E425B">
        <w:rPr>
          <w:rFonts w:ascii="Times New Roman" w:hAnsi="Times New Roman" w:cs="Times New Roman"/>
          <w:sz w:val="28"/>
        </w:rPr>
        <w:t xml:space="preserve">Congreso </w:t>
      </w:r>
      <w:r w:rsidRPr="003E425B">
        <w:rPr>
          <w:rFonts w:ascii="Times New Roman" w:hAnsi="Times New Roman" w:cs="Times New Roman"/>
          <w:sz w:val="28"/>
        </w:rPr>
        <w:t xml:space="preserve">de la </w:t>
      </w:r>
      <w:r w:rsidRPr="003E425B">
        <w:rPr>
          <w:rFonts w:ascii="Times New Roman" w:hAnsi="Times New Roman" w:cs="Times New Roman"/>
          <w:sz w:val="28"/>
        </w:rPr>
        <w:t>R</w:t>
      </w:r>
      <w:r w:rsidRPr="003E425B">
        <w:rPr>
          <w:rFonts w:ascii="Times New Roman" w:hAnsi="Times New Roman" w:cs="Times New Roman"/>
          <w:sz w:val="28"/>
        </w:rPr>
        <w:t xml:space="preserve">epública </w:t>
      </w:r>
      <w:r w:rsidRPr="003E425B">
        <w:rPr>
          <w:rFonts w:ascii="Times New Roman" w:hAnsi="Times New Roman" w:cs="Times New Roman"/>
          <w:sz w:val="28"/>
        </w:rPr>
        <w:t>cumpli</w:t>
      </w:r>
      <w:r w:rsidRPr="003E425B">
        <w:rPr>
          <w:rFonts w:ascii="Times New Roman" w:hAnsi="Times New Roman" w:cs="Times New Roman"/>
          <w:sz w:val="28"/>
        </w:rPr>
        <w:t>eron con estas exigencias, por l</w:t>
      </w:r>
      <w:r w:rsidRPr="003E425B">
        <w:rPr>
          <w:rFonts w:ascii="Times New Roman" w:hAnsi="Times New Roman" w:cs="Times New Roman"/>
          <w:sz w:val="28"/>
        </w:rPr>
        <w:t>as siguientes razones:</w:t>
      </w:r>
      <w:r w:rsidRPr="003E425B">
        <w:rPr>
          <w:rFonts w:ascii="Times New Roman" w:hAnsi="Times New Roman" w:cs="Times New Roman"/>
          <w:sz w:val="28"/>
        </w:rPr>
        <w:t xml:space="preserve"> </w:t>
      </w:r>
      <w:r w:rsidRPr="003E425B">
        <w:rPr>
          <w:rFonts w:ascii="Times New Roman" w:hAnsi="Times New Roman" w:cs="Times New Roman"/>
          <w:i/>
          <w:iCs/>
          <w:sz w:val="28"/>
        </w:rPr>
        <w:t>(</w:t>
      </w:r>
      <w:r w:rsidRPr="003E425B">
        <w:rPr>
          <w:rFonts w:ascii="Times New Roman" w:hAnsi="Times New Roman" w:cs="Times New Roman"/>
          <w:i/>
          <w:iCs/>
          <w:sz w:val="28"/>
        </w:rPr>
        <w:t xml:space="preserve">i) </w:t>
      </w:r>
      <w:r w:rsidRPr="003E425B">
        <w:rPr>
          <w:rFonts w:ascii="Times New Roman" w:hAnsi="Times New Roman" w:cs="Times New Roman"/>
          <w:sz w:val="28"/>
        </w:rPr>
        <w:t>e</w:t>
      </w:r>
      <w:r w:rsidRPr="003E425B">
        <w:rPr>
          <w:rFonts w:ascii="Times New Roman" w:hAnsi="Times New Roman" w:cs="Times New Roman"/>
          <w:sz w:val="28"/>
        </w:rPr>
        <w:t>n la exposición de motivos de la iniciativa</w:t>
      </w:r>
      <w:r w:rsidRPr="003E425B">
        <w:rPr>
          <w:rFonts w:ascii="Times New Roman" w:hAnsi="Times New Roman" w:cs="Times New Roman"/>
          <w:sz w:val="28"/>
        </w:rPr>
        <w:t>,</w:t>
      </w:r>
      <w:r w:rsidRPr="003E425B">
        <w:rPr>
          <w:rFonts w:ascii="Times New Roman" w:hAnsi="Times New Roman" w:cs="Times New Roman"/>
          <w:sz w:val="28"/>
        </w:rPr>
        <w:t xml:space="preserve"> se indicó que la creación del Ministerio de Igualdad se haría en el marco de la política de austeridad del Gobierno Nacional</w:t>
      </w:r>
      <w:r w:rsidRPr="003E425B">
        <w:rPr>
          <w:rFonts w:ascii="Times New Roman" w:hAnsi="Times New Roman" w:cs="Times New Roman"/>
          <w:sz w:val="28"/>
        </w:rPr>
        <w:t xml:space="preserve">; </w:t>
      </w:r>
      <w:r w:rsidRPr="003E425B">
        <w:rPr>
          <w:rFonts w:ascii="Times New Roman" w:hAnsi="Times New Roman" w:cs="Times New Roman"/>
          <w:i/>
          <w:iCs/>
          <w:sz w:val="28"/>
        </w:rPr>
        <w:t>(ii)</w:t>
      </w:r>
      <w:r w:rsidRPr="003E425B">
        <w:rPr>
          <w:rFonts w:ascii="Times New Roman" w:hAnsi="Times New Roman" w:cs="Times New Roman"/>
          <w:sz w:val="28"/>
        </w:rPr>
        <w:t xml:space="preserve"> en las ponencias para los debates de las Comisiones Primeras </w:t>
      </w:r>
      <w:r w:rsidRPr="003E425B">
        <w:rPr>
          <w:rFonts w:ascii="Times New Roman" w:hAnsi="Times New Roman" w:cs="Times New Roman"/>
          <w:sz w:val="28"/>
        </w:rPr>
        <w:t>Conjuntas</w:t>
      </w:r>
      <w:r w:rsidRPr="003E425B">
        <w:rPr>
          <w:rFonts w:ascii="Times New Roman" w:hAnsi="Times New Roman" w:cs="Times New Roman"/>
          <w:sz w:val="28"/>
        </w:rPr>
        <w:t xml:space="preserve">, </w:t>
      </w:r>
      <w:r w:rsidRPr="003E425B">
        <w:rPr>
          <w:rFonts w:ascii="Times New Roman" w:hAnsi="Times New Roman" w:cs="Times New Roman"/>
          <w:sz w:val="28"/>
        </w:rPr>
        <w:t>se expuso</w:t>
      </w:r>
      <w:r w:rsidRPr="003E425B">
        <w:rPr>
          <w:rFonts w:ascii="Times New Roman" w:hAnsi="Times New Roman" w:cs="Times New Roman"/>
          <w:sz w:val="28"/>
        </w:rPr>
        <w:t xml:space="preserve"> </w:t>
      </w:r>
      <w:r w:rsidRPr="003E425B">
        <w:rPr>
          <w:rFonts w:ascii="Times New Roman" w:hAnsi="Times New Roman" w:cs="Times New Roman"/>
          <w:sz w:val="28"/>
        </w:rPr>
        <w:t>la estimación d</w:t>
      </w:r>
      <w:r w:rsidRPr="003E425B">
        <w:rPr>
          <w:rFonts w:ascii="Times New Roman" w:hAnsi="Times New Roman" w:cs="Times New Roman"/>
          <w:sz w:val="28"/>
        </w:rPr>
        <w:t xml:space="preserve">el </w:t>
      </w:r>
      <w:r w:rsidRPr="003E425B">
        <w:rPr>
          <w:rFonts w:ascii="Times New Roman" w:hAnsi="Times New Roman" w:cs="Times New Roman"/>
          <w:sz w:val="28"/>
        </w:rPr>
        <w:t>presupuesto anual y los costos de referencia</w:t>
      </w:r>
      <w:r w:rsidRPr="003E425B">
        <w:rPr>
          <w:rFonts w:ascii="Times New Roman" w:hAnsi="Times New Roman" w:cs="Times New Roman"/>
          <w:sz w:val="28"/>
        </w:rPr>
        <w:t xml:space="preserve"> del Ministerio</w:t>
      </w:r>
      <w:r w:rsidRPr="003E425B">
        <w:rPr>
          <w:rStyle w:val="Refdenotaalpie"/>
          <w:rFonts w:ascii="Times New Roman" w:hAnsi="Times New Roman" w:cs="Times New Roman"/>
          <w:sz w:val="28"/>
        </w:rPr>
        <w:footnoteReference w:id="41"/>
      </w:r>
      <w:r w:rsidRPr="003E425B">
        <w:rPr>
          <w:rFonts w:ascii="Times New Roman" w:hAnsi="Times New Roman" w:cs="Times New Roman"/>
          <w:sz w:val="28"/>
        </w:rPr>
        <w:t xml:space="preserve">; </w:t>
      </w:r>
      <w:r w:rsidRPr="003E425B">
        <w:rPr>
          <w:rFonts w:ascii="Times New Roman" w:hAnsi="Times New Roman" w:cs="Times New Roman"/>
          <w:i/>
          <w:iCs/>
          <w:sz w:val="28"/>
        </w:rPr>
        <w:t>(iii)</w:t>
      </w:r>
      <w:r w:rsidRPr="003E425B">
        <w:rPr>
          <w:rFonts w:ascii="Times New Roman" w:hAnsi="Times New Roman" w:cs="Times New Roman"/>
          <w:i/>
          <w:iCs/>
          <w:sz w:val="28"/>
        </w:rPr>
        <w:t xml:space="preserve"> </w:t>
      </w:r>
      <w:r w:rsidRPr="003E425B">
        <w:rPr>
          <w:rFonts w:ascii="Times New Roman" w:hAnsi="Times New Roman" w:cs="Times New Roman"/>
          <w:sz w:val="28"/>
        </w:rPr>
        <w:t>el MHCP presentó concepto sobre la viabilidad fiscal del proyecto</w:t>
      </w:r>
      <w:r w:rsidRPr="003E425B">
        <w:rPr>
          <w:rFonts w:ascii="Times New Roman" w:hAnsi="Times New Roman" w:cs="Times New Roman"/>
          <w:sz w:val="28"/>
        </w:rPr>
        <w:t xml:space="preserve"> e incluyó</w:t>
      </w:r>
      <w:r w:rsidRPr="003E425B">
        <w:rPr>
          <w:rFonts w:ascii="Times New Roman" w:hAnsi="Times New Roman" w:cs="Times New Roman"/>
          <w:sz w:val="28"/>
        </w:rPr>
        <w:t xml:space="preserve"> </w:t>
      </w:r>
      <w:r w:rsidRPr="003E425B">
        <w:rPr>
          <w:rFonts w:ascii="Times New Roman" w:hAnsi="Times New Roman" w:cs="Times New Roman"/>
          <w:sz w:val="28"/>
        </w:rPr>
        <w:t xml:space="preserve">un </w:t>
      </w:r>
      <w:r w:rsidRPr="003E425B">
        <w:rPr>
          <w:rFonts w:ascii="Times New Roman" w:hAnsi="Times New Roman" w:cs="Times New Roman"/>
          <w:sz w:val="28"/>
        </w:rPr>
        <w:t>cuadro d</w:t>
      </w:r>
      <w:r w:rsidRPr="003E425B">
        <w:rPr>
          <w:rFonts w:ascii="Times New Roman" w:hAnsi="Times New Roman" w:cs="Times New Roman"/>
          <w:sz w:val="28"/>
        </w:rPr>
        <w:t>e costos de referencia de los actuales ministerios para la vigencia 2022</w:t>
      </w:r>
      <w:r w:rsidRPr="003E425B">
        <w:rPr>
          <w:rFonts w:ascii="Times New Roman" w:hAnsi="Times New Roman" w:cs="Times New Roman"/>
          <w:sz w:val="28"/>
        </w:rPr>
        <w:t>-</w:t>
      </w:r>
      <w:r w:rsidRPr="003E425B">
        <w:rPr>
          <w:rFonts w:ascii="Times New Roman" w:hAnsi="Times New Roman" w:cs="Times New Roman"/>
          <w:sz w:val="28"/>
        </w:rPr>
        <w:t>2023</w:t>
      </w:r>
      <w:r w:rsidRPr="003E425B">
        <w:rPr>
          <w:rStyle w:val="Refdenotaalpie"/>
          <w:rFonts w:ascii="Times New Roman" w:hAnsi="Times New Roman" w:cs="Times New Roman"/>
          <w:sz w:val="28"/>
        </w:rPr>
        <w:footnoteReference w:id="42"/>
      </w:r>
      <w:r w:rsidRPr="003E425B">
        <w:rPr>
          <w:rFonts w:ascii="Times New Roman" w:hAnsi="Times New Roman" w:cs="Times New Roman"/>
          <w:sz w:val="28"/>
        </w:rPr>
        <w:t xml:space="preserve"> y</w:t>
      </w:r>
      <w:r w:rsidRPr="003E425B">
        <w:rPr>
          <w:rFonts w:ascii="Times New Roman" w:hAnsi="Times New Roman" w:cs="Times New Roman"/>
          <w:sz w:val="28"/>
        </w:rPr>
        <w:t>, por último,</w:t>
      </w:r>
      <w:r w:rsidRPr="003E425B">
        <w:rPr>
          <w:rFonts w:ascii="Times New Roman" w:hAnsi="Times New Roman" w:cs="Times New Roman"/>
          <w:sz w:val="28"/>
        </w:rPr>
        <w:t xml:space="preserve"> </w:t>
      </w:r>
      <w:r w:rsidRPr="003E425B">
        <w:rPr>
          <w:rFonts w:ascii="Times New Roman" w:hAnsi="Times New Roman" w:cs="Times New Roman"/>
          <w:i/>
          <w:iCs/>
          <w:sz w:val="28"/>
        </w:rPr>
        <w:t>(</w:t>
      </w:r>
      <w:r w:rsidRPr="003E425B">
        <w:rPr>
          <w:rFonts w:ascii="Times New Roman" w:hAnsi="Times New Roman" w:cs="Times New Roman"/>
          <w:i/>
          <w:iCs/>
          <w:sz w:val="28"/>
        </w:rPr>
        <w:t>iv)</w:t>
      </w:r>
      <w:r w:rsidRPr="003E425B">
        <w:rPr>
          <w:rFonts w:ascii="Times New Roman" w:hAnsi="Times New Roman" w:cs="Times New Roman"/>
          <w:sz w:val="28"/>
        </w:rPr>
        <w:t xml:space="preserve"> </w:t>
      </w:r>
      <w:r w:rsidRPr="003E425B">
        <w:rPr>
          <w:rFonts w:ascii="Times New Roman" w:hAnsi="Times New Roman" w:cs="Times New Roman"/>
          <w:sz w:val="28"/>
        </w:rPr>
        <w:t>e</w:t>
      </w:r>
      <w:r w:rsidRPr="003E425B">
        <w:rPr>
          <w:rFonts w:ascii="Times New Roman" w:hAnsi="Times New Roman" w:cs="Times New Roman"/>
          <w:sz w:val="28"/>
        </w:rPr>
        <w:t xml:space="preserve">n las </w:t>
      </w:r>
      <w:r w:rsidRPr="003E425B">
        <w:rPr>
          <w:rFonts w:ascii="Times New Roman" w:hAnsi="Times New Roman" w:cs="Times New Roman"/>
          <w:sz w:val="28"/>
        </w:rPr>
        <w:t>plenarias</w:t>
      </w:r>
      <w:r w:rsidRPr="003E425B">
        <w:rPr>
          <w:rFonts w:ascii="Times New Roman" w:hAnsi="Times New Roman" w:cs="Times New Roman"/>
          <w:sz w:val="28"/>
        </w:rPr>
        <w:t xml:space="preserve"> se deliberó sobre el impacto fiscal de la creación del ministerio</w:t>
      </w:r>
      <w:r w:rsidRPr="003E425B">
        <w:rPr>
          <w:rStyle w:val="Refdenotaalpie"/>
          <w:rFonts w:ascii="Times New Roman" w:hAnsi="Times New Roman" w:cs="Times New Roman"/>
          <w:sz w:val="28"/>
        </w:rPr>
        <w:footnoteReference w:id="43"/>
      </w:r>
      <w:r w:rsidRPr="003E425B">
        <w:rPr>
          <w:rFonts w:ascii="Times New Roman" w:hAnsi="Times New Roman" w:cs="Times New Roman"/>
          <w:sz w:val="28"/>
        </w:rPr>
        <w:t>.</w:t>
      </w:r>
      <w:r w:rsidRPr="003E425B">
        <w:rPr>
          <w:rFonts w:ascii="Times New Roman" w:hAnsi="Times New Roman" w:cs="Times New Roman"/>
          <w:sz w:val="28"/>
        </w:rPr>
        <w:t xml:space="preserve"> </w:t>
      </w:r>
    </w:p>
    <w:p w:rsidR="00FB14BE" w:rsidRPr="003E425B" w:rsidRDefault="003E425B" w:rsidP="00010108">
      <w:pPr>
        <w:pStyle w:val="Prrafodelista"/>
        <w:spacing w:line="240" w:lineRule="auto"/>
        <w:rPr>
          <w:rFonts w:ascii="Times New Roman" w:hAnsi="Times New Roman"/>
          <w:sz w:val="28"/>
        </w:rPr>
      </w:pPr>
    </w:p>
    <w:p w:rsidR="00E13E73" w:rsidRPr="003E425B" w:rsidRDefault="003E425B" w:rsidP="00010108">
      <w:pPr>
        <w:pStyle w:val="Prrafodelista"/>
        <w:numPr>
          <w:ilvl w:val="0"/>
          <w:numId w:val="12"/>
        </w:numPr>
        <w:tabs>
          <w:tab w:val="left" w:pos="284"/>
          <w:tab w:val="left" w:pos="567"/>
        </w:tabs>
        <w:spacing w:line="240" w:lineRule="auto"/>
        <w:ind w:left="851" w:hanging="709"/>
        <w:rPr>
          <w:rFonts w:ascii="Times New Roman" w:hAnsi="Times New Roman"/>
          <w:sz w:val="28"/>
        </w:rPr>
      </w:pPr>
      <w:r w:rsidRPr="003E425B">
        <w:rPr>
          <w:rFonts w:ascii="Times New Roman" w:hAnsi="Times New Roman"/>
          <w:b/>
          <w:bCs/>
          <w:sz w:val="28"/>
        </w:rPr>
        <w:t>Tercer cargo</w:t>
      </w:r>
      <w:r w:rsidRPr="003E425B">
        <w:rPr>
          <w:rFonts w:ascii="Times New Roman" w:hAnsi="Times New Roman"/>
          <w:b/>
          <w:bCs/>
          <w:sz w:val="28"/>
        </w:rPr>
        <w:t xml:space="preserve">: el artículo 12 de la Ley 2281 de 2023 no desconoce la exigencia de precisión del artículo 150.10 de la Constitución </w:t>
      </w:r>
    </w:p>
    <w:p w:rsidR="00F05DD7" w:rsidRPr="003E425B" w:rsidRDefault="003E425B" w:rsidP="00010108">
      <w:pPr>
        <w:pStyle w:val="Prrafodelista"/>
        <w:tabs>
          <w:tab w:val="left" w:pos="284"/>
          <w:tab w:val="left" w:pos="567"/>
        </w:tabs>
        <w:spacing w:line="240" w:lineRule="auto"/>
        <w:ind w:left="1134"/>
        <w:rPr>
          <w:rFonts w:ascii="Times New Roman" w:hAnsi="Times New Roman"/>
          <w:sz w:val="28"/>
        </w:rPr>
      </w:pPr>
    </w:p>
    <w:p w:rsidR="00A54D15" w:rsidRPr="003E425B" w:rsidRDefault="003E425B" w:rsidP="00010108">
      <w:pPr>
        <w:numPr>
          <w:ilvl w:val="0"/>
          <w:numId w:val="10"/>
        </w:numPr>
        <w:ind w:left="0" w:firstLine="0"/>
        <w:rPr>
          <w:rFonts w:ascii="Times New Roman" w:hAnsi="Times New Roman" w:cs="Times New Roman"/>
          <w:sz w:val="28"/>
        </w:rPr>
      </w:pPr>
      <w:bookmarkStart w:id="10" w:name="_Ref165377293"/>
      <w:r w:rsidRPr="003E425B">
        <w:rPr>
          <w:rFonts w:ascii="Times New Roman" w:hAnsi="Times New Roman" w:cs="Times New Roman"/>
          <w:sz w:val="28"/>
        </w:rPr>
        <w:t xml:space="preserve">La Procuradora General de la Nación sostiene que </w:t>
      </w:r>
      <w:r w:rsidRPr="003E425B">
        <w:rPr>
          <w:rFonts w:ascii="Times New Roman" w:hAnsi="Times New Roman" w:cs="Times New Roman"/>
          <w:sz w:val="28"/>
        </w:rPr>
        <w:t xml:space="preserve">el </w:t>
      </w:r>
      <w:r w:rsidRPr="003E425B">
        <w:rPr>
          <w:rFonts w:ascii="Times New Roman" w:hAnsi="Times New Roman" w:cs="Times New Roman"/>
          <w:sz w:val="28"/>
        </w:rPr>
        <w:t>alcance</w:t>
      </w:r>
      <w:r w:rsidRPr="003E425B">
        <w:rPr>
          <w:rFonts w:ascii="Times New Roman" w:hAnsi="Times New Roman" w:cs="Times New Roman"/>
          <w:sz w:val="28"/>
        </w:rPr>
        <w:t xml:space="preserve"> de </w:t>
      </w:r>
      <w:r w:rsidRPr="003E425B">
        <w:rPr>
          <w:rFonts w:ascii="Times New Roman" w:hAnsi="Times New Roman" w:cs="Times New Roman"/>
          <w:sz w:val="28"/>
        </w:rPr>
        <w:t>las facultades previstas</w:t>
      </w:r>
      <w:r w:rsidRPr="003E425B">
        <w:rPr>
          <w:rFonts w:ascii="Times New Roman" w:hAnsi="Times New Roman" w:cs="Times New Roman"/>
          <w:sz w:val="28"/>
        </w:rPr>
        <w:t xml:space="preserve"> en el artículo 12 de la Ley</w:t>
      </w:r>
      <w:r w:rsidRPr="003E425B">
        <w:rPr>
          <w:rFonts w:ascii="Times New Roman" w:hAnsi="Times New Roman" w:cs="Times New Roman"/>
          <w:sz w:val="28"/>
        </w:rPr>
        <w:t xml:space="preserve"> 2281 de 2023</w:t>
      </w:r>
      <w:r w:rsidRPr="003E425B">
        <w:rPr>
          <w:rFonts w:ascii="Times New Roman" w:hAnsi="Times New Roman" w:cs="Times New Roman"/>
          <w:sz w:val="28"/>
        </w:rPr>
        <w:t xml:space="preserve"> </w:t>
      </w:r>
      <w:r w:rsidRPr="003E425B">
        <w:rPr>
          <w:rFonts w:ascii="Times New Roman" w:hAnsi="Times New Roman" w:cs="Times New Roman"/>
          <w:sz w:val="28"/>
        </w:rPr>
        <w:t xml:space="preserve">es </w:t>
      </w:r>
      <w:r w:rsidRPr="003E425B">
        <w:rPr>
          <w:rFonts w:ascii="Times New Roman" w:hAnsi="Times New Roman" w:cs="Times New Roman"/>
          <w:sz w:val="28"/>
        </w:rPr>
        <w:t xml:space="preserve">preciso. Según el </w:t>
      </w:r>
      <w:r w:rsidRPr="003E425B">
        <w:rPr>
          <w:rFonts w:ascii="Times New Roman" w:hAnsi="Times New Roman" w:cs="Times New Roman"/>
          <w:sz w:val="28"/>
        </w:rPr>
        <w:t>Ministerio</w:t>
      </w:r>
      <w:r w:rsidRPr="003E425B">
        <w:rPr>
          <w:rFonts w:ascii="Times New Roman" w:hAnsi="Times New Roman" w:cs="Times New Roman"/>
          <w:sz w:val="28"/>
        </w:rPr>
        <w:t xml:space="preserve"> </w:t>
      </w:r>
      <w:r w:rsidRPr="003E425B">
        <w:rPr>
          <w:rFonts w:ascii="Times New Roman" w:hAnsi="Times New Roman" w:cs="Times New Roman"/>
          <w:sz w:val="28"/>
        </w:rPr>
        <w:t>P</w:t>
      </w:r>
      <w:r w:rsidRPr="003E425B">
        <w:rPr>
          <w:rFonts w:ascii="Times New Roman" w:hAnsi="Times New Roman" w:cs="Times New Roman"/>
          <w:sz w:val="28"/>
        </w:rPr>
        <w:t>úblico</w:t>
      </w:r>
      <w:r w:rsidRPr="003E425B">
        <w:rPr>
          <w:rFonts w:ascii="Times New Roman" w:hAnsi="Times New Roman" w:cs="Times New Roman"/>
          <w:sz w:val="28"/>
        </w:rPr>
        <w:t>,</w:t>
      </w:r>
      <w:r w:rsidRPr="003E425B">
        <w:rPr>
          <w:rFonts w:ascii="Times New Roman" w:hAnsi="Times New Roman" w:cs="Times New Roman"/>
          <w:sz w:val="28"/>
        </w:rPr>
        <w:t xml:space="preserve"> el objeto de la habilitación</w:t>
      </w:r>
      <w:r w:rsidRPr="003E425B">
        <w:rPr>
          <w:rFonts w:ascii="Times New Roman" w:hAnsi="Times New Roman" w:cs="Times New Roman"/>
          <w:sz w:val="28"/>
        </w:rPr>
        <w:t xml:space="preserve"> puede </w:t>
      </w:r>
      <w:r w:rsidRPr="003E425B">
        <w:rPr>
          <w:rFonts w:ascii="Times New Roman" w:hAnsi="Times New Roman" w:cs="Times New Roman"/>
          <w:sz w:val="28"/>
        </w:rPr>
        <w:t>inferirse y delimitarse</w:t>
      </w:r>
      <w:r w:rsidRPr="003E425B">
        <w:rPr>
          <w:rFonts w:ascii="Times New Roman" w:hAnsi="Times New Roman" w:cs="Times New Roman"/>
          <w:sz w:val="28"/>
        </w:rPr>
        <w:t xml:space="preserve"> con base en </w:t>
      </w:r>
      <w:r w:rsidRPr="003E425B">
        <w:rPr>
          <w:rFonts w:ascii="Times New Roman" w:hAnsi="Times New Roman" w:cs="Times New Roman"/>
          <w:sz w:val="28"/>
        </w:rPr>
        <w:t>“</w:t>
      </w:r>
      <w:r w:rsidRPr="003E425B">
        <w:rPr>
          <w:rFonts w:ascii="Times New Roman" w:hAnsi="Times New Roman" w:cs="Times New Roman"/>
          <w:sz w:val="28"/>
        </w:rPr>
        <w:t>otras disposiciones legales y la jurisprudencia constitucional”</w:t>
      </w:r>
      <w:r w:rsidRPr="003E425B">
        <w:rPr>
          <w:rStyle w:val="Refdenotaalpie"/>
          <w:rFonts w:ascii="Times New Roman" w:hAnsi="Times New Roman" w:cs="Times New Roman"/>
          <w:sz w:val="28"/>
        </w:rPr>
        <w:footnoteReference w:id="44"/>
      </w:r>
      <w:r w:rsidRPr="003E425B">
        <w:rPr>
          <w:rFonts w:ascii="Times New Roman" w:hAnsi="Times New Roman" w:cs="Times New Roman"/>
          <w:sz w:val="28"/>
        </w:rPr>
        <w:t xml:space="preserve">, las cuales definen los </w:t>
      </w:r>
      <w:r w:rsidRPr="003E425B">
        <w:rPr>
          <w:rFonts w:ascii="Times New Roman" w:hAnsi="Times New Roman" w:cs="Times New Roman"/>
          <w:sz w:val="28"/>
        </w:rPr>
        <w:t>conceptos</w:t>
      </w:r>
      <w:r w:rsidRPr="003E425B">
        <w:rPr>
          <w:rFonts w:ascii="Times New Roman" w:hAnsi="Times New Roman" w:cs="Times New Roman"/>
          <w:sz w:val="28"/>
        </w:rPr>
        <w:t xml:space="preserve"> de adscripción y vinculación</w:t>
      </w:r>
      <w:r w:rsidRPr="003E425B">
        <w:rPr>
          <w:rFonts w:ascii="Times New Roman" w:hAnsi="Times New Roman" w:cs="Times New Roman"/>
          <w:sz w:val="28"/>
        </w:rPr>
        <w:t>.</w:t>
      </w:r>
      <w:r w:rsidRPr="003E425B">
        <w:rPr>
          <w:rFonts w:ascii="Times New Roman" w:hAnsi="Times New Roman" w:cs="Times New Roman"/>
          <w:sz w:val="28"/>
        </w:rPr>
        <w:t xml:space="preserve"> En particular</w:t>
      </w:r>
      <w:r w:rsidRPr="003E425B">
        <w:rPr>
          <w:rFonts w:ascii="Times New Roman" w:hAnsi="Times New Roman" w:cs="Times New Roman"/>
          <w:sz w:val="28"/>
        </w:rPr>
        <w:t>, re</w:t>
      </w:r>
      <w:r w:rsidRPr="003E425B">
        <w:rPr>
          <w:rFonts w:ascii="Times New Roman" w:hAnsi="Times New Roman" w:cs="Times New Roman"/>
          <w:sz w:val="28"/>
        </w:rPr>
        <w:t>salta que:</w:t>
      </w:r>
      <w:bookmarkEnd w:id="10"/>
      <w:r w:rsidRPr="003E425B">
        <w:rPr>
          <w:rFonts w:ascii="Times New Roman" w:hAnsi="Times New Roman" w:cs="Times New Roman"/>
          <w:sz w:val="28"/>
        </w:rPr>
        <w:t xml:space="preserve"> </w:t>
      </w:r>
    </w:p>
    <w:p w:rsidR="00A54D15" w:rsidRPr="003E425B" w:rsidRDefault="003E425B" w:rsidP="00010108">
      <w:pPr>
        <w:rPr>
          <w:rFonts w:ascii="Times New Roman" w:hAnsi="Times New Roman" w:cs="Times New Roman"/>
          <w:sz w:val="28"/>
        </w:rPr>
      </w:pPr>
    </w:p>
    <w:p w:rsidR="00A54D15" w:rsidRPr="003E425B" w:rsidRDefault="003E425B" w:rsidP="00010108">
      <w:pPr>
        <w:pStyle w:val="Prrafodelista"/>
        <w:numPr>
          <w:ilvl w:val="0"/>
          <w:numId w:val="13"/>
        </w:numPr>
        <w:spacing w:line="240" w:lineRule="auto"/>
        <w:ind w:left="709" w:hanging="709"/>
        <w:rPr>
          <w:rFonts w:ascii="Times New Roman" w:hAnsi="Times New Roman"/>
          <w:sz w:val="28"/>
        </w:rPr>
      </w:pPr>
      <w:r w:rsidRPr="003E425B">
        <w:rPr>
          <w:rFonts w:ascii="Times New Roman" w:hAnsi="Times New Roman"/>
          <w:sz w:val="28"/>
        </w:rPr>
        <w:t xml:space="preserve">Los artículos 42 y </w:t>
      </w:r>
      <w:r w:rsidRPr="003E425B">
        <w:rPr>
          <w:rFonts w:ascii="Times New Roman" w:hAnsi="Times New Roman"/>
          <w:sz w:val="28"/>
        </w:rPr>
        <w:t>50 de la Ley 489 de 1998</w:t>
      </w:r>
      <w:r w:rsidRPr="003E425B">
        <w:rPr>
          <w:rStyle w:val="Refdenotaalpie"/>
          <w:rFonts w:ascii="Times New Roman" w:hAnsi="Times New Roman"/>
          <w:sz w:val="28"/>
        </w:rPr>
        <w:footnoteReference w:id="45"/>
      </w:r>
      <w:r w:rsidRPr="003E425B">
        <w:rPr>
          <w:rFonts w:ascii="Times New Roman" w:hAnsi="Times New Roman"/>
          <w:sz w:val="28"/>
        </w:rPr>
        <w:t xml:space="preserve"> </w:t>
      </w:r>
      <w:r w:rsidRPr="003E425B">
        <w:rPr>
          <w:rFonts w:ascii="Times New Roman" w:hAnsi="Times New Roman"/>
          <w:sz w:val="28"/>
        </w:rPr>
        <w:t>definen los sectores administrativos de la administración pública nacional</w:t>
      </w:r>
      <w:r w:rsidRPr="003E425B">
        <w:rPr>
          <w:rFonts w:ascii="Times New Roman" w:hAnsi="Times New Roman"/>
          <w:sz w:val="28"/>
        </w:rPr>
        <w:t xml:space="preserve"> y las entidades que los conforman</w:t>
      </w:r>
      <w:r w:rsidRPr="003E425B">
        <w:rPr>
          <w:rFonts w:ascii="Times New Roman" w:hAnsi="Times New Roman"/>
          <w:sz w:val="28"/>
        </w:rPr>
        <w:t xml:space="preserve">. Al respecto, estipulan que los sectores </w:t>
      </w:r>
      <w:r w:rsidRPr="003E425B">
        <w:rPr>
          <w:rFonts w:ascii="Times New Roman" w:hAnsi="Times New Roman"/>
          <w:sz w:val="28"/>
        </w:rPr>
        <w:t>a</w:t>
      </w:r>
      <w:r w:rsidRPr="003E425B">
        <w:rPr>
          <w:rFonts w:ascii="Times New Roman" w:hAnsi="Times New Roman"/>
          <w:sz w:val="28"/>
        </w:rPr>
        <w:t xml:space="preserve">dministrativos están integrados por el </w:t>
      </w:r>
      <w:r w:rsidRPr="003E425B">
        <w:rPr>
          <w:rFonts w:ascii="Times New Roman" w:hAnsi="Times New Roman"/>
          <w:sz w:val="28"/>
        </w:rPr>
        <w:t>Ministerio y las demás entidades que la ley defina como adscritas o vinculadas a aqu</w:t>
      </w:r>
      <w:r w:rsidRPr="003E425B">
        <w:rPr>
          <w:rFonts w:ascii="Times New Roman" w:hAnsi="Times New Roman"/>
          <w:sz w:val="28"/>
        </w:rPr>
        <w:t>e</w:t>
      </w:r>
      <w:r w:rsidRPr="003E425B">
        <w:rPr>
          <w:rFonts w:ascii="Times New Roman" w:hAnsi="Times New Roman"/>
          <w:sz w:val="28"/>
        </w:rPr>
        <w:t>llos. Asimismo, disponen que pueden adscribirse o vincularse, entre otras, las superintendencias, los establecimientos públicos y las unidades administrativas especiales</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 xml:space="preserve">las empresas industriales y comerciales del Estado y las sociedades de economía mixta. </w:t>
      </w:r>
    </w:p>
    <w:p w:rsidR="00A54D15" w:rsidRPr="003E425B" w:rsidRDefault="003E425B" w:rsidP="00010108">
      <w:pPr>
        <w:pStyle w:val="Prrafodelista"/>
        <w:numPr>
          <w:ilvl w:val="0"/>
          <w:numId w:val="13"/>
        </w:numPr>
        <w:spacing w:line="240" w:lineRule="auto"/>
        <w:ind w:left="709" w:hanging="709"/>
        <w:rPr>
          <w:rFonts w:ascii="Times New Roman" w:hAnsi="Times New Roman"/>
          <w:sz w:val="28"/>
        </w:rPr>
      </w:pPr>
      <w:r w:rsidRPr="003E425B">
        <w:rPr>
          <w:rFonts w:ascii="Times New Roman" w:hAnsi="Times New Roman"/>
          <w:sz w:val="28"/>
        </w:rPr>
        <w:t>En</w:t>
      </w:r>
      <w:r w:rsidRPr="003E425B">
        <w:rPr>
          <w:rFonts w:ascii="Times New Roman" w:hAnsi="Times New Roman"/>
          <w:sz w:val="28"/>
        </w:rPr>
        <w:t xml:space="preserve"> las </w:t>
      </w:r>
      <w:r w:rsidRPr="003E425B">
        <w:rPr>
          <w:rFonts w:ascii="Times New Roman" w:hAnsi="Times New Roman"/>
          <w:sz w:val="28"/>
        </w:rPr>
        <w:t>s</w:t>
      </w:r>
      <w:r w:rsidRPr="003E425B">
        <w:rPr>
          <w:rFonts w:ascii="Times New Roman" w:hAnsi="Times New Roman"/>
          <w:sz w:val="28"/>
        </w:rPr>
        <w:t>entencia</w:t>
      </w:r>
      <w:r w:rsidRPr="003E425B">
        <w:rPr>
          <w:rFonts w:ascii="Times New Roman" w:hAnsi="Times New Roman"/>
          <w:sz w:val="28"/>
        </w:rPr>
        <w:t>s</w:t>
      </w:r>
      <w:r w:rsidRPr="003E425B">
        <w:rPr>
          <w:rFonts w:ascii="Times New Roman" w:hAnsi="Times New Roman"/>
          <w:sz w:val="28"/>
        </w:rPr>
        <w:t xml:space="preserve"> C-046 de 2004</w:t>
      </w:r>
      <w:r w:rsidRPr="003E425B">
        <w:rPr>
          <w:rStyle w:val="Refdenotaalpie"/>
          <w:rFonts w:ascii="Times New Roman" w:hAnsi="Times New Roman"/>
          <w:sz w:val="28"/>
        </w:rPr>
        <w:footnoteReference w:id="46"/>
      </w:r>
      <w:r w:rsidRPr="003E425B">
        <w:rPr>
          <w:rFonts w:ascii="Times New Roman" w:hAnsi="Times New Roman"/>
          <w:sz w:val="28"/>
        </w:rPr>
        <w:t xml:space="preserve"> y </w:t>
      </w:r>
      <w:r w:rsidRPr="003E425B">
        <w:rPr>
          <w:rFonts w:ascii="Times New Roman" w:hAnsi="Times New Roman"/>
          <w:sz w:val="28"/>
        </w:rPr>
        <w:t>C-666 de</w:t>
      </w:r>
      <w:r w:rsidRPr="003E425B">
        <w:rPr>
          <w:rFonts w:ascii="Times New Roman" w:hAnsi="Times New Roman"/>
          <w:sz w:val="28"/>
        </w:rPr>
        <w:t>l</w:t>
      </w:r>
      <w:r w:rsidRPr="003E425B">
        <w:rPr>
          <w:rFonts w:ascii="Times New Roman" w:hAnsi="Times New Roman"/>
          <w:sz w:val="28"/>
        </w:rPr>
        <w:t xml:space="preserve"> 2000</w:t>
      </w:r>
      <w:r w:rsidRPr="003E425B">
        <w:rPr>
          <w:rStyle w:val="Refdenotaalpie"/>
          <w:rFonts w:ascii="Times New Roman" w:hAnsi="Times New Roman"/>
          <w:sz w:val="28"/>
        </w:rPr>
        <w:footnoteReference w:id="47"/>
      </w:r>
      <w:r w:rsidRPr="003E425B">
        <w:rPr>
          <w:rFonts w:ascii="Times New Roman" w:hAnsi="Times New Roman"/>
          <w:sz w:val="28"/>
        </w:rPr>
        <w:t xml:space="preserve">, </w:t>
      </w:r>
      <w:r w:rsidRPr="003E425B">
        <w:rPr>
          <w:rFonts w:ascii="Times New Roman" w:hAnsi="Times New Roman"/>
          <w:sz w:val="28"/>
        </w:rPr>
        <w:t xml:space="preserve">la Corte </w:t>
      </w:r>
      <w:r w:rsidRPr="003E425B">
        <w:rPr>
          <w:rFonts w:ascii="Times New Roman" w:hAnsi="Times New Roman"/>
          <w:i/>
          <w:iCs/>
          <w:sz w:val="28"/>
        </w:rPr>
        <w:t>(i)</w:t>
      </w:r>
      <w:r w:rsidRPr="003E425B">
        <w:rPr>
          <w:rFonts w:ascii="Times New Roman" w:hAnsi="Times New Roman"/>
          <w:sz w:val="28"/>
        </w:rPr>
        <w:t xml:space="preserve"> </w:t>
      </w:r>
      <w:r w:rsidRPr="003E425B">
        <w:rPr>
          <w:rFonts w:ascii="Times New Roman" w:hAnsi="Times New Roman"/>
          <w:sz w:val="28"/>
        </w:rPr>
        <w:t xml:space="preserve">explicó que los conceptos </w:t>
      </w:r>
      <w:r w:rsidRPr="003E425B">
        <w:rPr>
          <w:rFonts w:ascii="Times New Roman" w:hAnsi="Times New Roman"/>
          <w:sz w:val="28"/>
        </w:rPr>
        <w:t>de “</w:t>
      </w:r>
      <w:r w:rsidRPr="003E425B">
        <w:rPr>
          <w:rFonts w:ascii="Times New Roman" w:hAnsi="Times New Roman"/>
          <w:sz w:val="28"/>
        </w:rPr>
        <w:t>adscripción</w:t>
      </w:r>
      <w:r w:rsidRPr="003E425B">
        <w:rPr>
          <w:rFonts w:ascii="Times New Roman" w:hAnsi="Times New Roman"/>
          <w:sz w:val="28"/>
        </w:rPr>
        <w:t xml:space="preserve">” </w:t>
      </w:r>
      <w:r w:rsidRPr="003E425B">
        <w:rPr>
          <w:rFonts w:ascii="Times New Roman" w:hAnsi="Times New Roman"/>
          <w:sz w:val="28"/>
        </w:rPr>
        <w:t xml:space="preserve">y </w:t>
      </w:r>
      <w:r w:rsidRPr="003E425B">
        <w:rPr>
          <w:rFonts w:ascii="Times New Roman" w:hAnsi="Times New Roman"/>
          <w:sz w:val="28"/>
        </w:rPr>
        <w:t>“</w:t>
      </w:r>
      <w:r w:rsidRPr="003E425B">
        <w:rPr>
          <w:rFonts w:ascii="Times New Roman" w:hAnsi="Times New Roman"/>
          <w:sz w:val="28"/>
        </w:rPr>
        <w:t>vinculación</w:t>
      </w:r>
      <w:r w:rsidRPr="003E425B">
        <w:rPr>
          <w:rFonts w:ascii="Times New Roman" w:hAnsi="Times New Roman"/>
          <w:sz w:val="28"/>
        </w:rPr>
        <w:t>”</w:t>
      </w:r>
      <w:r w:rsidRPr="003E425B">
        <w:rPr>
          <w:rFonts w:ascii="Times New Roman" w:hAnsi="Times New Roman"/>
          <w:sz w:val="28"/>
        </w:rPr>
        <w:t xml:space="preserve"> hacen referencia al grado de autonomía de qu</w:t>
      </w:r>
      <w:r w:rsidRPr="003E425B">
        <w:rPr>
          <w:rFonts w:ascii="Times New Roman" w:hAnsi="Times New Roman"/>
          <w:sz w:val="28"/>
        </w:rPr>
        <w:t>e gozan los entes descentralizados por servicios</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i/>
          <w:iCs/>
          <w:sz w:val="28"/>
        </w:rPr>
        <w:t>(ii)</w:t>
      </w:r>
      <w:r w:rsidRPr="003E425B">
        <w:rPr>
          <w:rFonts w:ascii="Times New Roman" w:hAnsi="Times New Roman"/>
          <w:sz w:val="28"/>
        </w:rPr>
        <w:t xml:space="preserve"> precisó que l</w:t>
      </w:r>
      <w:r w:rsidRPr="003E425B">
        <w:rPr>
          <w:rFonts w:ascii="Times New Roman" w:hAnsi="Times New Roman"/>
          <w:sz w:val="28"/>
        </w:rPr>
        <w:t>a vinculación supone una mayor independencia respecto de los órganos del sector central de la Administración</w:t>
      </w:r>
      <w:r w:rsidRPr="003E425B">
        <w:rPr>
          <w:rFonts w:ascii="Times New Roman" w:hAnsi="Times New Roman"/>
          <w:sz w:val="28"/>
        </w:rPr>
        <w:t xml:space="preserve"> y </w:t>
      </w:r>
      <w:r w:rsidRPr="003E425B">
        <w:rPr>
          <w:rFonts w:ascii="Times New Roman" w:hAnsi="Times New Roman"/>
          <w:i/>
          <w:iCs/>
          <w:sz w:val="28"/>
        </w:rPr>
        <w:t>(iii)</w:t>
      </w:r>
      <w:r w:rsidRPr="003E425B">
        <w:rPr>
          <w:rFonts w:ascii="Times New Roman" w:hAnsi="Times New Roman"/>
          <w:sz w:val="28"/>
        </w:rPr>
        <w:t xml:space="preserve"> </w:t>
      </w:r>
      <w:r w:rsidRPr="003E425B">
        <w:rPr>
          <w:rFonts w:ascii="Times New Roman" w:hAnsi="Times New Roman"/>
          <w:sz w:val="28"/>
        </w:rPr>
        <w:t>s</w:t>
      </w:r>
      <w:r w:rsidRPr="003E425B">
        <w:rPr>
          <w:rFonts w:ascii="Times New Roman" w:hAnsi="Times New Roman"/>
          <w:sz w:val="28"/>
        </w:rPr>
        <w:t>ostuvo</w:t>
      </w:r>
      <w:r w:rsidRPr="003E425B">
        <w:rPr>
          <w:rFonts w:ascii="Times New Roman" w:hAnsi="Times New Roman"/>
          <w:sz w:val="28"/>
        </w:rPr>
        <w:t xml:space="preserve"> que el legislador est</w:t>
      </w:r>
      <w:r w:rsidRPr="003E425B">
        <w:rPr>
          <w:rFonts w:ascii="Times New Roman" w:hAnsi="Times New Roman"/>
          <w:sz w:val="28"/>
        </w:rPr>
        <w:t>á</w:t>
      </w:r>
      <w:r w:rsidRPr="003E425B">
        <w:rPr>
          <w:rFonts w:ascii="Times New Roman" w:hAnsi="Times New Roman"/>
          <w:sz w:val="28"/>
        </w:rPr>
        <w:t xml:space="preserve"> </w:t>
      </w:r>
      <w:r w:rsidRPr="003E425B">
        <w:rPr>
          <w:rFonts w:ascii="Times New Roman" w:hAnsi="Times New Roman"/>
          <w:sz w:val="28"/>
        </w:rPr>
        <w:t xml:space="preserve">habilitado </w:t>
      </w:r>
      <w:r w:rsidRPr="003E425B">
        <w:rPr>
          <w:rFonts w:ascii="Times New Roman" w:hAnsi="Times New Roman"/>
          <w:sz w:val="28"/>
        </w:rPr>
        <w:t>para conceder facultades extr</w:t>
      </w:r>
      <w:r w:rsidRPr="003E425B">
        <w:rPr>
          <w:rFonts w:ascii="Times New Roman" w:hAnsi="Times New Roman"/>
          <w:sz w:val="28"/>
        </w:rPr>
        <w:t xml:space="preserve">aordinarias para crear entidades de la administración pública nacional, así como para modificar la adscripción y vinculación de las existentes. </w:t>
      </w:r>
    </w:p>
    <w:p w:rsidR="00A54D15" w:rsidRPr="003E425B" w:rsidRDefault="003E425B" w:rsidP="00010108">
      <w:pPr>
        <w:pStyle w:val="Prrafodelista"/>
        <w:numPr>
          <w:ilvl w:val="0"/>
          <w:numId w:val="13"/>
        </w:numPr>
        <w:spacing w:line="240" w:lineRule="auto"/>
        <w:ind w:left="709" w:hanging="709"/>
        <w:rPr>
          <w:rFonts w:ascii="Times New Roman" w:hAnsi="Times New Roman"/>
          <w:sz w:val="28"/>
        </w:rPr>
      </w:pPr>
      <w:r w:rsidRPr="003E425B">
        <w:rPr>
          <w:rFonts w:ascii="Times New Roman" w:hAnsi="Times New Roman"/>
          <w:sz w:val="28"/>
        </w:rPr>
        <w:t>Los artículos 2° y 9° de la Ley 2281 de 2023</w:t>
      </w:r>
      <w:r w:rsidRPr="003E425B">
        <w:rPr>
          <w:rStyle w:val="Refdenotaalpie"/>
          <w:rFonts w:ascii="Times New Roman" w:hAnsi="Times New Roman"/>
          <w:sz w:val="28"/>
        </w:rPr>
        <w:footnoteReference w:id="48"/>
      </w:r>
      <w:r w:rsidRPr="003E425B">
        <w:rPr>
          <w:rFonts w:ascii="Times New Roman" w:hAnsi="Times New Roman"/>
          <w:sz w:val="28"/>
        </w:rPr>
        <w:t xml:space="preserve"> prescriben que el Sector de Igualdad y Equidad estará compuesto p</w:t>
      </w:r>
      <w:r w:rsidRPr="003E425B">
        <w:rPr>
          <w:rFonts w:ascii="Times New Roman" w:hAnsi="Times New Roman"/>
          <w:sz w:val="28"/>
        </w:rPr>
        <w:t xml:space="preserve">or el Ministerio de Igualdad y Equidad, como organismo principal y las demás entidades que le adscriba o vincule la ley, conforme al artículo 42 de la Ley 489 de 1998. </w:t>
      </w:r>
      <w:r w:rsidRPr="003E425B">
        <w:rPr>
          <w:rFonts w:ascii="Times New Roman" w:hAnsi="Times New Roman"/>
          <w:sz w:val="28"/>
        </w:rPr>
        <w:t>El</w:t>
      </w:r>
      <w:r w:rsidRPr="003E425B">
        <w:rPr>
          <w:rFonts w:ascii="Times New Roman" w:hAnsi="Times New Roman"/>
          <w:sz w:val="28"/>
        </w:rPr>
        <w:t xml:space="preserve"> </w:t>
      </w:r>
      <w:r w:rsidRPr="003E425B">
        <w:rPr>
          <w:rFonts w:ascii="Times New Roman" w:hAnsi="Times New Roman"/>
          <w:sz w:val="28"/>
        </w:rPr>
        <w:t>artículo</w:t>
      </w:r>
      <w:r w:rsidRPr="003E425B">
        <w:rPr>
          <w:rFonts w:ascii="Times New Roman" w:hAnsi="Times New Roman"/>
          <w:sz w:val="28"/>
        </w:rPr>
        <w:t xml:space="preserve"> 3º</w:t>
      </w:r>
      <w:r w:rsidRPr="003E425B">
        <w:rPr>
          <w:rFonts w:ascii="Times New Roman" w:hAnsi="Times New Roman"/>
          <w:sz w:val="28"/>
        </w:rPr>
        <w:t xml:space="preserve">, por su parte, </w:t>
      </w:r>
      <w:r w:rsidRPr="003E425B">
        <w:rPr>
          <w:rFonts w:ascii="Times New Roman" w:hAnsi="Times New Roman"/>
          <w:sz w:val="28"/>
        </w:rPr>
        <w:t>delimita el objeto del Ministerio de Igualdad y Equidad y,</w:t>
      </w:r>
      <w:r w:rsidRPr="003E425B">
        <w:rPr>
          <w:rFonts w:ascii="Times New Roman" w:hAnsi="Times New Roman"/>
          <w:sz w:val="28"/>
        </w:rPr>
        <w:t xml:space="preserve"> por consiguiente, el área del sector administrativo que preside. Según la Procuradora General de la Nación, el objeto del ministerio es un criterio orientador suficiente para determinar las entidades que pueden adscribirse y vincularse al sector. </w:t>
      </w:r>
    </w:p>
    <w:p w:rsidR="002F727A" w:rsidRPr="003E425B" w:rsidRDefault="003E425B" w:rsidP="00010108">
      <w:pPr>
        <w:pStyle w:val="Prrafodelista"/>
        <w:spacing w:line="240" w:lineRule="auto"/>
        <w:ind w:left="426"/>
        <w:rPr>
          <w:rFonts w:ascii="Times New Roman" w:hAnsi="Times New Roman"/>
          <w:sz w:val="28"/>
        </w:rPr>
      </w:pPr>
    </w:p>
    <w:p w:rsidR="0059012D"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Con </w:t>
      </w:r>
      <w:r w:rsidRPr="003E425B">
        <w:rPr>
          <w:rFonts w:ascii="Times New Roman" w:hAnsi="Times New Roman" w:cs="Times New Roman"/>
          <w:sz w:val="28"/>
        </w:rPr>
        <w:t>fundamento en tales consideraciones</w:t>
      </w:r>
      <w:r w:rsidRPr="003E425B">
        <w:rPr>
          <w:rFonts w:ascii="Times New Roman" w:hAnsi="Times New Roman" w:cs="Times New Roman"/>
          <w:sz w:val="28"/>
        </w:rPr>
        <w:t>, el</w:t>
      </w:r>
      <w:r w:rsidRPr="003E425B">
        <w:rPr>
          <w:rFonts w:ascii="Times New Roman" w:hAnsi="Times New Roman" w:cs="Times New Roman"/>
          <w:sz w:val="28"/>
        </w:rPr>
        <w:t xml:space="preserve"> Ministerio Público aduce que “resulta razonable inferir que el Congreso de la República facultó al Jefe de Estado para que: (a) examine las competencias de las entidades existentes de la Administración Pública, y (b)</w:t>
      </w:r>
      <w:r w:rsidRPr="003E425B">
        <w:rPr>
          <w:rFonts w:ascii="Times New Roman" w:hAnsi="Times New Roman" w:cs="Times New Roman"/>
          <w:sz w:val="28"/>
        </w:rPr>
        <w:t xml:space="preserve"> determine las que,</w:t>
      </w:r>
      <w:r w:rsidRPr="003E425B">
        <w:rPr>
          <w:rFonts w:ascii="Times New Roman" w:hAnsi="Times New Roman" w:cs="Times New Roman"/>
          <w:sz w:val="28"/>
        </w:rPr>
        <w:t xml:space="preserve"> por afinidad, deben integrar, ya sea de forma adscrita o vinculada, el nuevo Sector de Igualdad y Equidad junto con el Ministerio de Igualdad y Equidad”</w:t>
      </w:r>
      <w:r w:rsidRPr="003E425B">
        <w:rPr>
          <w:rStyle w:val="Refdenotaalpie"/>
          <w:rFonts w:ascii="Times New Roman" w:hAnsi="Times New Roman" w:cs="Times New Roman"/>
          <w:sz w:val="28"/>
        </w:rPr>
        <w:footnoteReference w:id="49"/>
      </w:r>
      <w:r w:rsidRPr="003E425B">
        <w:rPr>
          <w:rFonts w:ascii="Times New Roman" w:hAnsi="Times New Roman" w:cs="Times New Roman"/>
          <w:sz w:val="28"/>
        </w:rPr>
        <w:t>. Por lo tanto,</w:t>
      </w:r>
      <w:r w:rsidRPr="003E425B">
        <w:rPr>
          <w:rFonts w:ascii="Times New Roman" w:hAnsi="Times New Roman" w:cs="Times New Roman"/>
          <w:sz w:val="28"/>
        </w:rPr>
        <w:t xml:space="preserve"> a diferencia de lo que afirman los demandantes, </w:t>
      </w:r>
      <w:r w:rsidRPr="003E425B">
        <w:rPr>
          <w:rFonts w:ascii="Times New Roman" w:hAnsi="Times New Roman" w:cs="Times New Roman"/>
          <w:sz w:val="28"/>
        </w:rPr>
        <w:t xml:space="preserve">concluye que </w:t>
      </w:r>
      <w:r w:rsidRPr="003E425B">
        <w:rPr>
          <w:rFonts w:ascii="Times New Roman" w:hAnsi="Times New Roman" w:cs="Times New Roman"/>
          <w:sz w:val="28"/>
        </w:rPr>
        <w:t xml:space="preserve">no es </w:t>
      </w:r>
      <w:r w:rsidRPr="003E425B">
        <w:rPr>
          <w:rFonts w:ascii="Times New Roman" w:hAnsi="Times New Roman" w:cs="Times New Roman"/>
          <w:sz w:val="28"/>
        </w:rPr>
        <w:t>cierto que</w:t>
      </w:r>
      <w:r w:rsidRPr="003E425B">
        <w:rPr>
          <w:rFonts w:ascii="Times New Roman" w:hAnsi="Times New Roman" w:cs="Times New Roman"/>
          <w:sz w:val="28"/>
        </w:rPr>
        <w:t xml:space="preserve"> </w:t>
      </w:r>
      <w:r w:rsidRPr="003E425B">
        <w:rPr>
          <w:rFonts w:ascii="Times New Roman" w:hAnsi="Times New Roman" w:cs="Times New Roman"/>
          <w:sz w:val="28"/>
        </w:rPr>
        <w:t xml:space="preserve">el legislador le </w:t>
      </w:r>
      <w:r w:rsidRPr="003E425B">
        <w:rPr>
          <w:rFonts w:ascii="Times New Roman" w:hAnsi="Times New Roman" w:cs="Times New Roman"/>
          <w:sz w:val="28"/>
        </w:rPr>
        <w:t>h</w:t>
      </w:r>
      <w:r w:rsidRPr="003E425B">
        <w:rPr>
          <w:rFonts w:ascii="Times New Roman" w:hAnsi="Times New Roman" w:cs="Times New Roman"/>
          <w:sz w:val="28"/>
        </w:rPr>
        <w:t>ubiera</w:t>
      </w:r>
      <w:r w:rsidRPr="003E425B">
        <w:rPr>
          <w:rFonts w:ascii="Times New Roman" w:hAnsi="Times New Roman" w:cs="Times New Roman"/>
          <w:sz w:val="28"/>
        </w:rPr>
        <w:t xml:space="preserve"> </w:t>
      </w:r>
      <w:r w:rsidRPr="003E425B">
        <w:rPr>
          <w:rFonts w:ascii="Times New Roman" w:hAnsi="Times New Roman" w:cs="Times New Roman"/>
          <w:sz w:val="28"/>
        </w:rPr>
        <w:t>otorg</w:t>
      </w:r>
      <w:r w:rsidRPr="003E425B">
        <w:rPr>
          <w:rFonts w:ascii="Times New Roman" w:hAnsi="Times New Roman" w:cs="Times New Roman"/>
          <w:sz w:val="28"/>
        </w:rPr>
        <w:t>ado</w:t>
      </w:r>
      <w:r w:rsidRPr="003E425B">
        <w:rPr>
          <w:rFonts w:ascii="Times New Roman" w:hAnsi="Times New Roman" w:cs="Times New Roman"/>
          <w:sz w:val="28"/>
        </w:rPr>
        <w:t xml:space="preserve"> al </w:t>
      </w:r>
      <w:r w:rsidRPr="003E425B">
        <w:rPr>
          <w:rFonts w:ascii="Times New Roman" w:hAnsi="Times New Roman" w:cs="Times New Roman"/>
          <w:sz w:val="28"/>
        </w:rPr>
        <w:t>Presidente de la República</w:t>
      </w:r>
      <w:r w:rsidRPr="003E425B">
        <w:rPr>
          <w:rFonts w:ascii="Times New Roman" w:hAnsi="Times New Roman" w:cs="Times New Roman"/>
          <w:sz w:val="28"/>
        </w:rPr>
        <w:t xml:space="preserve"> una competencia </w:t>
      </w:r>
      <w:r w:rsidRPr="003E425B">
        <w:rPr>
          <w:rFonts w:ascii="Times New Roman" w:hAnsi="Times New Roman" w:cs="Times New Roman"/>
          <w:sz w:val="28"/>
        </w:rPr>
        <w:t>indeterminada</w:t>
      </w:r>
      <w:r w:rsidRPr="003E425B">
        <w:rPr>
          <w:rFonts w:ascii="Times New Roman" w:hAnsi="Times New Roman" w:cs="Times New Roman"/>
          <w:sz w:val="28"/>
        </w:rPr>
        <w:t xml:space="preserve"> para modificar la estructura del Estado. </w:t>
      </w:r>
    </w:p>
    <w:p w:rsidR="00A3058E" w:rsidRPr="003E425B" w:rsidRDefault="003E425B" w:rsidP="00010108">
      <w:pPr>
        <w:rPr>
          <w:rFonts w:ascii="Times New Roman" w:hAnsi="Times New Roman" w:cs="Times New Roman"/>
          <w:sz w:val="28"/>
        </w:rPr>
      </w:pPr>
    </w:p>
    <w:p w:rsidR="001E3493" w:rsidRPr="003E425B" w:rsidRDefault="003E425B" w:rsidP="00010108">
      <w:pPr>
        <w:pStyle w:val="Ttulo1"/>
        <w:numPr>
          <w:ilvl w:val="0"/>
          <w:numId w:val="8"/>
        </w:numPr>
        <w:spacing w:before="0"/>
        <w:ind w:hanging="578"/>
        <w:rPr>
          <w:rFonts w:ascii="Times New Roman" w:hAnsi="Times New Roman" w:cs="Times New Roman"/>
          <w:sz w:val="28"/>
        </w:rPr>
      </w:pPr>
      <w:bookmarkStart w:id="11" w:name="_Ref165375426"/>
      <w:r w:rsidRPr="003E425B">
        <w:rPr>
          <w:rFonts w:ascii="Times New Roman" w:hAnsi="Times New Roman" w:cs="Times New Roman"/>
          <w:sz w:val="28"/>
        </w:rPr>
        <w:t>CONSIDERACIONES</w:t>
      </w:r>
      <w:bookmarkEnd w:id="11"/>
    </w:p>
    <w:p w:rsidR="00576EBE" w:rsidRPr="003E425B" w:rsidRDefault="003E425B" w:rsidP="00010108">
      <w:pPr>
        <w:rPr>
          <w:rFonts w:ascii="Times New Roman" w:hAnsi="Times New Roman" w:cs="Times New Roman"/>
          <w:sz w:val="28"/>
        </w:rPr>
      </w:pPr>
    </w:p>
    <w:p w:rsidR="00576EBE" w:rsidRPr="003E425B" w:rsidRDefault="003E425B" w:rsidP="00010108">
      <w:pPr>
        <w:pStyle w:val="Ttulo2"/>
        <w:numPr>
          <w:ilvl w:val="0"/>
          <w:numId w:val="14"/>
        </w:numPr>
        <w:ind w:left="1134"/>
        <w:rPr>
          <w:rFonts w:ascii="Times New Roman" w:hAnsi="Times New Roman" w:cs="Times New Roman"/>
          <w:sz w:val="28"/>
        </w:rPr>
      </w:pPr>
      <w:r w:rsidRPr="003E425B">
        <w:rPr>
          <w:rFonts w:ascii="Times New Roman" w:hAnsi="Times New Roman" w:cs="Times New Roman"/>
          <w:sz w:val="28"/>
        </w:rPr>
        <w:t>Competencia</w:t>
      </w:r>
    </w:p>
    <w:p w:rsidR="00576EBE" w:rsidRPr="003E425B" w:rsidRDefault="003E425B" w:rsidP="00010108">
      <w:pPr>
        <w:rPr>
          <w:rFonts w:ascii="Times New Roman" w:hAnsi="Times New Roman" w:cs="Times New Roman"/>
          <w:sz w:val="28"/>
        </w:rPr>
      </w:pPr>
    </w:p>
    <w:p w:rsidR="00C92C51"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La Corte Constitucional es competente para adelantar el control de constitucio</w:t>
      </w:r>
      <w:r w:rsidRPr="003E425B">
        <w:rPr>
          <w:rFonts w:ascii="Times New Roman" w:hAnsi="Times New Roman" w:cs="Times New Roman"/>
          <w:sz w:val="28"/>
        </w:rPr>
        <w:t>nalidad de la presente demanda, de conformidad con lo dispuesto por el numeral 4 del artículo 241 de la Constitución Política.</w:t>
      </w:r>
      <w:r w:rsidRPr="003E425B">
        <w:rPr>
          <w:rFonts w:ascii="Times New Roman" w:hAnsi="Times New Roman" w:cs="Times New Roman"/>
          <w:sz w:val="28"/>
        </w:rPr>
        <w:t xml:space="preserve"> </w:t>
      </w:r>
      <w:r w:rsidRPr="003E425B">
        <w:rPr>
          <w:rFonts w:ascii="Times New Roman" w:hAnsi="Times New Roman" w:cs="Times New Roman"/>
          <w:sz w:val="28"/>
        </w:rPr>
        <w:t>L</w:t>
      </w:r>
      <w:r w:rsidRPr="003E425B">
        <w:rPr>
          <w:rFonts w:ascii="Times New Roman" w:hAnsi="Times New Roman" w:cs="Times New Roman"/>
          <w:sz w:val="28"/>
        </w:rPr>
        <w:t xml:space="preserve">a Sala </w:t>
      </w:r>
      <w:r w:rsidRPr="003E425B">
        <w:rPr>
          <w:rFonts w:ascii="Times New Roman" w:hAnsi="Times New Roman" w:cs="Times New Roman"/>
          <w:sz w:val="28"/>
        </w:rPr>
        <w:t xml:space="preserve">Plena </w:t>
      </w:r>
      <w:r w:rsidRPr="003E425B">
        <w:rPr>
          <w:rFonts w:ascii="Times New Roman" w:hAnsi="Times New Roman" w:cs="Times New Roman"/>
          <w:sz w:val="28"/>
        </w:rPr>
        <w:t xml:space="preserve">advierte que </w:t>
      </w:r>
      <w:r w:rsidRPr="003E425B">
        <w:rPr>
          <w:rFonts w:ascii="Times New Roman" w:hAnsi="Times New Roman" w:cs="Times New Roman"/>
          <w:sz w:val="28"/>
        </w:rPr>
        <w:t xml:space="preserve">los demandantes </w:t>
      </w:r>
      <w:r w:rsidRPr="003E425B">
        <w:rPr>
          <w:rFonts w:ascii="Times New Roman" w:hAnsi="Times New Roman" w:cs="Times New Roman"/>
          <w:sz w:val="28"/>
        </w:rPr>
        <w:t>alega</w:t>
      </w:r>
      <w:r w:rsidRPr="003E425B">
        <w:rPr>
          <w:rFonts w:ascii="Times New Roman" w:hAnsi="Times New Roman" w:cs="Times New Roman"/>
          <w:sz w:val="28"/>
        </w:rPr>
        <w:t>n dos</w:t>
      </w:r>
      <w:r w:rsidRPr="003E425B">
        <w:rPr>
          <w:rFonts w:ascii="Times New Roman" w:hAnsi="Times New Roman" w:cs="Times New Roman"/>
          <w:sz w:val="28"/>
        </w:rPr>
        <w:t xml:space="preserve"> vicio</w:t>
      </w:r>
      <w:r w:rsidRPr="003E425B">
        <w:rPr>
          <w:rFonts w:ascii="Times New Roman" w:hAnsi="Times New Roman" w:cs="Times New Roman"/>
          <w:sz w:val="28"/>
        </w:rPr>
        <w:t>s</w:t>
      </w:r>
      <w:r w:rsidRPr="003E425B">
        <w:rPr>
          <w:rFonts w:ascii="Times New Roman" w:hAnsi="Times New Roman" w:cs="Times New Roman"/>
          <w:sz w:val="28"/>
        </w:rPr>
        <w:t xml:space="preserve"> de</w:t>
      </w:r>
      <w:r w:rsidRPr="003E425B">
        <w:rPr>
          <w:rFonts w:ascii="Times New Roman" w:hAnsi="Times New Roman" w:cs="Times New Roman"/>
          <w:sz w:val="28"/>
          <w:szCs w:val="28"/>
        </w:rPr>
        <w:t xml:space="preserve"> procedimiento en la formación de la Ley 2281 de 2023: </w:t>
      </w:r>
      <w:r w:rsidRPr="003E425B">
        <w:rPr>
          <w:rFonts w:ascii="Times New Roman" w:hAnsi="Times New Roman" w:cs="Times New Roman"/>
          <w:i/>
          <w:iCs/>
          <w:sz w:val="28"/>
          <w:szCs w:val="28"/>
        </w:rPr>
        <w:t>(i)</w:t>
      </w:r>
      <w:r w:rsidRPr="003E425B">
        <w:rPr>
          <w:rFonts w:ascii="Times New Roman" w:hAnsi="Times New Roman" w:cs="Times New Roman"/>
          <w:sz w:val="28"/>
          <w:szCs w:val="28"/>
        </w:rPr>
        <w:t xml:space="preserve"> el presunto desconocimiento de las reglas de quórum, votación y mayorías en la aprobación del informe de ponencia para primer debate y </w:t>
      </w:r>
      <w:r w:rsidRPr="003E425B">
        <w:rPr>
          <w:rFonts w:ascii="Times New Roman" w:hAnsi="Times New Roman" w:cs="Times New Roman"/>
          <w:i/>
          <w:iCs/>
          <w:sz w:val="28"/>
          <w:szCs w:val="28"/>
        </w:rPr>
        <w:t xml:space="preserve">(ii) </w:t>
      </w:r>
      <w:r w:rsidRPr="003E425B">
        <w:rPr>
          <w:rFonts w:ascii="Times New Roman" w:hAnsi="Times New Roman" w:cs="Times New Roman"/>
          <w:sz w:val="28"/>
          <w:szCs w:val="28"/>
        </w:rPr>
        <w:t>el supuesto incumplimiento de la obligación de evaluar el impacto fiscal de la iniciativa legislativa</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w:t>
      </w:r>
      <w:r w:rsidRPr="003E425B">
        <w:rPr>
          <w:rFonts w:ascii="Times New Roman" w:hAnsi="Times New Roman" w:cs="Times New Roman"/>
          <w:sz w:val="28"/>
        </w:rPr>
        <w:t xml:space="preserve">l artículo </w:t>
      </w:r>
      <w:r w:rsidRPr="003E425B">
        <w:rPr>
          <w:rFonts w:ascii="Times New Roman" w:hAnsi="Times New Roman" w:cs="Times New Roman"/>
          <w:sz w:val="28"/>
        </w:rPr>
        <w:t>242</w:t>
      </w:r>
      <w:r w:rsidRPr="003E425B">
        <w:rPr>
          <w:rFonts w:ascii="Times New Roman" w:hAnsi="Times New Roman" w:cs="Times New Roman"/>
          <w:sz w:val="28"/>
        </w:rPr>
        <w:t>.3 de la Constitución Política dispone que “[l]as acciones por vicios de forma caducan en el término de un año, contado desde la publicación del respectivo acto”</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 xml:space="preserve">Al respecto, la Sala encuentra que la Ley 2281 fue publicada el 4 de enero de 2023, en el </w:t>
      </w:r>
      <w:r w:rsidRPr="003E425B">
        <w:rPr>
          <w:rFonts w:ascii="Times New Roman" w:hAnsi="Times New Roman" w:cs="Times New Roman"/>
          <w:sz w:val="28"/>
        </w:rPr>
        <w:t>Diario Oficial No. 52.267</w:t>
      </w:r>
      <w:r w:rsidRPr="003E425B">
        <w:rPr>
          <w:rFonts w:ascii="Times New Roman" w:hAnsi="Times New Roman" w:cs="Times New Roman"/>
          <w:sz w:val="28"/>
        </w:rPr>
        <w:t xml:space="preserve">, y la demanda fue presentada el 25 de enero de 2023, esto es, </w:t>
      </w:r>
      <w:r w:rsidRPr="003E425B">
        <w:rPr>
          <w:rFonts w:ascii="Times New Roman" w:hAnsi="Times New Roman" w:cs="Times New Roman"/>
          <w:sz w:val="28"/>
        </w:rPr>
        <w:t xml:space="preserve">21 días después de la publicación de la norma demandada. En consecuencia, la Sala constata que la </w:t>
      </w:r>
      <w:r w:rsidRPr="003E425B">
        <w:rPr>
          <w:rFonts w:ascii="Times New Roman" w:hAnsi="Times New Roman" w:cs="Times New Roman"/>
          <w:sz w:val="28"/>
        </w:rPr>
        <w:t xml:space="preserve">acción </w:t>
      </w:r>
      <w:r w:rsidRPr="003E425B">
        <w:rPr>
          <w:rFonts w:ascii="Times New Roman" w:hAnsi="Times New Roman" w:cs="Times New Roman"/>
          <w:i/>
          <w:iCs/>
          <w:sz w:val="28"/>
        </w:rPr>
        <w:t>sub examine</w:t>
      </w:r>
      <w:r w:rsidRPr="003E425B">
        <w:rPr>
          <w:rFonts w:ascii="Times New Roman" w:hAnsi="Times New Roman" w:cs="Times New Roman"/>
          <w:sz w:val="28"/>
        </w:rPr>
        <w:t xml:space="preserve"> fue interpuesta con anteriorida</w:t>
      </w:r>
      <w:r w:rsidRPr="003E425B">
        <w:rPr>
          <w:rFonts w:ascii="Times New Roman" w:hAnsi="Times New Roman" w:cs="Times New Roman"/>
          <w:sz w:val="28"/>
        </w:rPr>
        <w:t>d al vencimiento del</w:t>
      </w:r>
      <w:r w:rsidRPr="003E425B">
        <w:rPr>
          <w:rFonts w:ascii="Times New Roman" w:hAnsi="Times New Roman" w:cs="Times New Roman"/>
          <w:sz w:val="28"/>
        </w:rPr>
        <w:t xml:space="preserve"> plazo de caducidad previsto en el artículo 242.3 de la Constitución Política.</w:t>
      </w:r>
      <w:r w:rsidRPr="003E425B">
        <w:rPr>
          <w:rFonts w:ascii="Times New Roman" w:hAnsi="Times New Roman" w:cs="Times New Roman"/>
          <w:sz w:val="28"/>
        </w:rPr>
        <w:t xml:space="preserve"> </w:t>
      </w:r>
    </w:p>
    <w:p w:rsidR="00C579BE" w:rsidRPr="003E425B" w:rsidRDefault="003E425B" w:rsidP="00010108">
      <w:pPr>
        <w:rPr>
          <w:rFonts w:ascii="Times New Roman" w:hAnsi="Times New Roman" w:cs="Times New Roman"/>
          <w:sz w:val="28"/>
        </w:rPr>
      </w:pPr>
    </w:p>
    <w:p w:rsidR="00C92C51" w:rsidRPr="003E425B" w:rsidRDefault="003E425B" w:rsidP="00010108">
      <w:pPr>
        <w:pStyle w:val="Ttulo2"/>
        <w:numPr>
          <w:ilvl w:val="0"/>
          <w:numId w:val="14"/>
        </w:numPr>
        <w:ind w:left="1134"/>
        <w:rPr>
          <w:rFonts w:ascii="Times New Roman" w:hAnsi="Times New Roman" w:cs="Times New Roman"/>
          <w:sz w:val="28"/>
        </w:rPr>
      </w:pPr>
      <w:r w:rsidRPr="003E425B">
        <w:rPr>
          <w:rFonts w:ascii="Times New Roman" w:hAnsi="Times New Roman" w:cs="Times New Roman"/>
          <w:sz w:val="28"/>
        </w:rPr>
        <w:t>E</w:t>
      </w:r>
      <w:r w:rsidRPr="003E425B">
        <w:rPr>
          <w:rFonts w:ascii="Times New Roman" w:hAnsi="Times New Roman" w:cs="Times New Roman"/>
          <w:sz w:val="28"/>
        </w:rPr>
        <w:t xml:space="preserve">structura de la decisión </w:t>
      </w:r>
    </w:p>
    <w:p w:rsidR="00C92C51" w:rsidRPr="003E425B" w:rsidRDefault="003E425B" w:rsidP="00010108">
      <w:pPr>
        <w:rPr>
          <w:rFonts w:ascii="Times New Roman" w:hAnsi="Times New Roman" w:cs="Times New Roman"/>
          <w:sz w:val="28"/>
        </w:rPr>
      </w:pPr>
    </w:p>
    <w:p w:rsidR="00B83BE7"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La </w:t>
      </w:r>
      <w:r w:rsidRPr="003E425B">
        <w:rPr>
          <w:rFonts w:ascii="Times New Roman" w:hAnsi="Times New Roman" w:cs="Times New Roman"/>
          <w:sz w:val="28"/>
        </w:rPr>
        <w:t>presente sentencia tendrá la siguiente estructura</w:t>
      </w:r>
      <w:r w:rsidRPr="003E425B">
        <w:rPr>
          <w:rFonts w:ascii="Times New Roman" w:hAnsi="Times New Roman" w:cs="Times New Roman"/>
          <w:sz w:val="28"/>
        </w:rPr>
        <w:t xml:space="preserve">. </w:t>
      </w:r>
      <w:r w:rsidRPr="003E425B">
        <w:rPr>
          <w:rFonts w:ascii="Times New Roman" w:hAnsi="Times New Roman" w:cs="Times New Roman"/>
          <w:sz w:val="28"/>
        </w:rPr>
        <w:t>En primer lugar,</w:t>
      </w:r>
      <w:r w:rsidRPr="003E425B">
        <w:rPr>
          <w:rFonts w:ascii="Times New Roman" w:hAnsi="Times New Roman" w:cs="Times New Roman"/>
          <w:sz w:val="28"/>
        </w:rPr>
        <w:t xml:space="preserve"> como cuestiones previas</w:t>
      </w:r>
      <w:r w:rsidRPr="003E425B">
        <w:rPr>
          <w:rFonts w:ascii="Times New Roman" w:hAnsi="Times New Roman" w:cs="Times New Roman"/>
          <w:sz w:val="28"/>
        </w:rPr>
        <w:t xml:space="preserve">, </w:t>
      </w:r>
      <w:r w:rsidRPr="003E425B">
        <w:rPr>
          <w:rFonts w:ascii="Times New Roman" w:hAnsi="Times New Roman" w:cs="Times New Roman"/>
          <w:sz w:val="28"/>
        </w:rPr>
        <w:t xml:space="preserve">la Corte </w:t>
      </w:r>
      <w:r w:rsidRPr="003E425B">
        <w:rPr>
          <w:rFonts w:ascii="Times New Roman" w:hAnsi="Times New Roman" w:cs="Times New Roman"/>
          <w:sz w:val="28"/>
        </w:rPr>
        <w:t xml:space="preserve">examinará </w:t>
      </w:r>
      <w:r w:rsidRPr="003E425B">
        <w:rPr>
          <w:rFonts w:ascii="Times New Roman" w:hAnsi="Times New Roman" w:cs="Times New Roman"/>
          <w:i/>
          <w:iCs/>
          <w:sz w:val="28"/>
        </w:rPr>
        <w:t xml:space="preserve">(i) </w:t>
      </w:r>
      <w:r w:rsidRPr="003E425B">
        <w:rPr>
          <w:rFonts w:ascii="Times New Roman" w:hAnsi="Times New Roman" w:cs="Times New Roman"/>
          <w:sz w:val="28"/>
        </w:rPr>
        <w:t>la aptitud de</w:t>
      </w:r>
      <w:r w:rsidRPr="003E425B">
        <w:rPr>
          <w:rFonts w:ascii="Times New Roman" w:hAnsi="Times New Roman" w:cs="Times New Roman"/>
          <w:sz w:val="28"/>
        </w:rPr>
        <w:t xml:space="preserve"> los cargos formulados por los demandantes </w:t>
      </w:r>
      <w:r w:rsidRPr="003E425B">
        <w:rPr>
          <w:rFonts w:ascii="Times New Roman" w:hAnsi="Times New Roman" w:cs="Times New Roman"/>
          <w:sz w:val="28"/>
        </w:rPr>
        <w:t xml:space="preserve">y </w:t>
      </w:r>
      <w:r w:rsidRPr="003E425B">
        <w:rPr>
          <w:rFonts w:ascii="Times New Roman" w:hAnsi="Times New Roman" w:cs="Times New Roman"/>
          <w:i/>
          <w:iCs/>
          <w:sz w:val="28"/>
        </w:rPr>
        <w:t>(ii)</w:t>
      </w:r>
      <w:r w:rsidRPr="003E425B">
        <w:rPr>
          <w:rFonts w:ascii="Times New Roman" w:hAnsi="Times New Roman" w:cs="Times New Roman"/>
          <w:sz w:val="28"/>
        </w:rPr>
        <w:t xml:space="preserve"> la vigencia del artículo 12 de la Ley 2281 de 2023</w:t>
      </w:r>
      <w:r w:rsidRPr="003E425B">
        <w:rPr>
          <w:rFonts w:ascii="Times New Roman" w:hAnsi="Times New Roman" w:cs="Times New Roman"/>
          <w:sz w:val="28"/>
        </w:rPr>
        <w:t xml:space="preserve"> (</w:t>
      </w:r>
      <w:r w:rsidRPr="003E425B">
        <w:rPr>
          <w:rFonts w:ascii="Times New Roman" w:hAnsi="Times New Roman" w:cs="Times New Roman"/>
          <w:b/>
          <w:bCs/>
          <w:sz w:val="28"/>
        </w:rPr>
        <w:t>sección II.3</w:t>
      </w:r>
      <w:r w:rsidRPr="003E425B">
        <w:rPr>
          <w:rFonts w:ascii="Times New Roman" w:hAnsi="Times New Roman" w:cs="Times New Roman"/>
          <w:b/>
          <w:bCs/>
          <w:sz w:val="28"/>
        </w:rPr>
        <w:t xml:space="preserve"> </w:t>
      </w:r>
      <w:r w:rsidRPr="003E425B">
        <w:rPr>
          <w:rFonts w:ascii="Times New Roman" w:hAnsi="Times New Roman" w:cs="Times New Roman"/>
          <w:b/>
          <w:bCs/>
          <w:i/>
          <w:iCs/>
          <w:sz w:val="28"/>
        </w:rPr>
        <w:t>infra</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segundo lugar</w:t>
      </w:r>
      <w:r w:rsidRPr="003E425B">
        <w:rPr>
          <w:rFonts w:ascii="Times New Roman" w:hAnsi="Times New Roman" w:cs="Times New Roman"/>
          <w:sz w:val="28"/>
        </w:rPr>
        <w:t xml:space="preserve">, </w:t>
      </w:r>
      <w:r w:rsidRPr="003E425B">
        <w:rPr>
          <w:rFonts w:ascii="Times New Roman" w:hAnsi="Times New Roman" w:cs="Times New Roman"/>
          <w:sz w:val="28"/>
        </w:rPr>
        <w:t xml:space="preserve">de ser procedente, la Corte </w:t>
      </w:r>
      <w:r w:rsidRPr="003E425B">
        <w:rPr>
          <w:rFonts w:ascii="Times New Roman" w:hAnsi="Times New Roman" w:cs="Times New Roman"/>
          <w:sz w:val="28"/>
        </w:rPr>
        <w:t xml:space="preserve">llevará a cabo el estudio de </w:t>
      </w:r>
      <w:r w:rsidRPr="003E425B">
        <w:rPr>
          <w:rFonts w:ascii="Times New Roman" w:hAnsi="Times New Roman" w:cs="Times New Roman"/>
          <w:sz w:val="28"/>
        </w:rPr>
        <w:t xml:space="preserve">fondo </w:t>
      </w:r>
      <w:r w:rsidRPr="003E425B">
        <w:rPr>
          <w:rFonts w:ascii="Times New Roman" w:hAnsi="Times New Roman" w:cs="Times New Roman"/>
          <w:sz w:val="28"/>
        </w:rPr>
        <w:t xml:space="preserve">de </w:t>
      </w:r>
      <w:r w:rsidRPr="003E425B">
        <w:rPr>
          <w:rFonts w:ascii="Times New Roman" w:hAnsi="Times New Roman" w:cs="Times New Roman"/>
          <w:sz w:val="28"/>
        </w:rPr>
        <w:t>los</w:t>
      </w:r>
      <w:r w:rsidRPr="003E425B">
        <w:rPr>
          <w:rFonts w:ascii="Times New Roman" w:hAnsi="Times New Roman" w:cs="Times New Roman"/>
          <w:sz w:val="28"/>
        </w:rPr>
        <w:t xml:space="preserve"> tres</w:t>
      </w:r>
      <w:r w:rsidRPr="003E425B">
        <w:rPr>
          <w:rFonts w:ascii="Times New Roman" w:hAnsi="Times New Roman" w:cs="Times New Roman"/>
          <w:sz w:val="28"/>
        </w:rPr>
        <w:t xml:space="preserve"> cargos formulados </w:t>
      </w:r>
      <w:r w:rsidRPr="003E425B">
        <w:rPr>
          <w:rFonts w:ascii="Times New Roman" w:hAnsi="Times New Roman" w:cs="Times New Roman"/>
          <w:sz w:val="28"/>
        </w:rPr>
        <w:t xml:space="preserve">por los demandantes </w:t>
      </w:r>
      <w:r w:rsidRPr="003E425B">
        <w:rPr>
          <w:rFonts w:ascii="Times New Roman" w:hAnsi="Times New Roman" w:cs="Times New Roman"/>
          <w:sz w:val="28"/>
        </w:rPr>
        <w:t>(</w:t>
      </w:r>
      <w:r w:rsidRPr="003E425B">
        <w:rPr>
          <w:rFonts w:ascii="Times New Roman" w:hAnsi="Times New Roman" w:cs="Times New Roman"/>
          <w:b/>
          <w:bCs/>
          <w:sz w:val="28"/>
        </w:rPr>
        <w:t>s</w:t>
      </w:r>
      <w:r w:rsidRPr="003E425B">
        <w:rPr>
          <w:rFonts w:ascii="Times New Roman" w:hAnsi="Times New Roman" w:cs="Times New Roman"/>
          <w:b/>
          <w:bCs/>
          <w:sz w:val="28"/>
        </w:rPr>
        <w:t xml:space="preserve">ección II.4 </w:t>
      </w:r>
      <w:r w:rsidRPr="003E425B">
        <w:rPr>
          <w:rFonts w:ascii="Times New Roman" w:hAnsi="Times New Roman" w:cs="Times New Roman"/>
          <w:b/>
          <w:bCs/>
          <w:i/>
          <w:iCs/>
          <w:sz w:val="28"/>
        </w:rPr>
        <w:t>infra</w:t>
      </w:r>
      <w:r w:rsidRPr="003E425B">
        <w:rPr>
          <w:rFonts w:ascii="Times New Roman" w:hAnsi="Times New Roman" w:cs="Times New Roman"/>
          <w:sz w:val="28"/>
        </w:rPr>
        <w:t>)</w:t>
      </w:r>
      <w:r w:rsidRPr="003E425B">
        <w:rPr>
          <w:rFonts w:ascii="Times New Roman" w:hAnsi="Times New Roman" w:cs="Times New Roman"/>
          <w:sz w:val="28"/>
        </w:rPr>
        <w:t xml:space="preserve">. Por último, </w:t>
      </w:r>
      <w:r w:rsidRPr="003E425B">
        <w:rPr>
          <w:rFonts w:ascii="Times New Roman" w:hAnsi="Times New Roman" w:cs="Times New Roman"/>
          <w:sz w:val="28"/>
        </w:rPr>
        <w:t>en caso de</w:t>
      </w:r>
      <w:r w:rsidRPr="003E425B">
        <w:rPr>
          <w:rFonts w:ascii="Times New Roman" w:hAnsi="Times New Roman" w:cs="Times New Roman"/>
          <w:sz w:val="28"/>
        </w:rPr>
        <w:t xml:space="preserve"> que</w:t>
      </w:r>
      <w:r w:rsidRPr="003E425B">
        <w:rPr>
          <w:rFonts w:ascii="Times New Roman" w:hAnsi="Times New Roman" w:cs="Times New Roman"/>
          <w:sz w:val="28"/>
        </w:rPr>
        <w:t xml:space="preserve"> los cargos prosperen, la Corte adoptará las órdenes </w:t>
      </w:r>
      <w:r w:rsidRPr="003E425B">
        <w:rPr>
          <w:rFonts w:ascii="Times New Roman" w:hAnsi="Times New Roman" w:cs="Times New Roman"/>
          <w:sz w:val="28"/>
        </w:rPr>
        <w:t xml:space="preserve">y remedios </w:t>
      </w:r>
      <w:r w:rsidRPr="003E425B">
        <w:rPr>
          <w:rFonts w:ascii="Times New Roman" w:hAnsi="Times New Roman" w:cs="Times New Roman"/>
          <w:sz w:val="28"/>
        </w:rPr>
        <w:t>que correspondan (</w:t>
      </w:r>
      <w:r w:rsidRPr="003E425B">
        <w:rPr>
          <w:rFonts w:ascii="Times New Roman" w:hAnsi="Times New Roman" w:cs="Times New Roman"/>
          <w:b/>
          <w:bCs/>
          <w:sz w:val="28"/>
        </w:rPr>
        <w:t xml:space="preserve">sección II.5 </w:t>
      </w:r>
      <w:r w:rsidRPr="003E425B">
        <w:rPr>
          <w:rFonts w:ascii="Times New Roman" w:hAnsi="Times New Roman" w:cs="Times New Roman"/>
          <w:b/>
          <w:bCs/>
          <w:i/>
          <w:iCs/>
          <w:sz w:val="28"/>
        </w:rPr>
        <w:t>infra</w:t>
      </w:r>
      <w:r w:rsidRPr="003E425B">
        <w:rPr>
          <w:rFonts w:ascii="Times New Roman" w:hAnsi="Times New Roman" w:cs="Times New Roman"/>
          <w:sz w:val="28"/>
        </w:rPr>
        <w:t xml:space="preserve">). </w:t>
      </w:r>
    </w:p>
    <w:p w:rsidR="00B73796" w:rsidRPr="003E425B" w:rsidRDefault="003E425B" w:rsidP="00010108">
      <w:pPr>
        <w:rPr>
          <w:rFonts w:ascii="Times New Roman" w:hAnsi="Times New Roman" w:cs="Times New Roman"/>
          <w:sz w:val="28"/>
        </w:rPr>
      </w:pPr>
    </w:p>
    <w:p w:rsidR="00095454" w:rsidRPr="003E425B" w:rsidRDefault="003E425B" w:rsidP="00010108">
      <w:pPr>
        <w:pStyle w:val="Ttulo2"/>
        <w:numPr>
          <w:ilvl w:val="0"/>
          <w:numId w:val="14"/>
        </w:numPr>
        <w:ind w:left="709" w:hanging="567"/>
        <w:rPr>
          <w:rFonts w:ascii="Times New Roman" w:hAnsi="Times New Roman" w:cs="Times New Roman"/>
          <w:sz w:val="28"/>
        </w:rPr>
      </w:pPr>
      <w:r w:rsidRPr="003E425B">
        <w:rPr>
          <w:rFonts w:ascii="Times New Roman" w:hAnsi="Times New Roman" w:cs="Times New Roman"/>
          <w:sz w:val="28"/>
        </w:rPr>
        <w:t xml:space="preserve">Cuestiones previas </w:t>
      </w:r>
    </w:p>
    <w:p w:rsidR="00095454" w:rsidRPr="003E425B" w:rsidRDefault="003E425B" w:rsidP="00010108">
      <w:pPr>
        <w:rPr>
          <w:rFonts w:ascii="Times New Roman" w:hAnsi="Times New Roman" w:cs="Times New Roman"/>
          <w:sz w:val="28"/>
        </w:rPr>
      </w:pPr>
    </w:p>
    <w:p w:rsidR="00445AB6" w:rsidRPr="003E425B" w:rsidRDefault="003E425B" w:rsidP="009C0842">
      <w:pPr>
        <w:pStyle w:val="Ttulo2"/>
        <w:numPr>
          <w:ilvl w:val="1"/>
          <w:numId w:val="14"/>
        </w:numPr>
        <w:ind w:left="709" w:hanging="567"/>
        <w:rPr>
          <w:rFonts w:ascii="Times New Roman" w:hAnsi="Times New Roman" w:cs="Times New Roman"/>
          <w:sz w:val="28"/>
        </w:rPr>
      </w:pPr>
      <w:r w:rsidRPr="003E425B">
        <w:rPr>
          <w:rFonts w:ascii="Times New Roman" w:hAnsi="Times New Roman" w:cs="Times New Roman"/>
          <w:sz w:val="28"/>
        </w:rPr>
        <w:t>Aptitud de la demanda</w:t>
      </w:r>
      <w:r w:rsidRPr="003E425B">
        <w:rPr>
          <w:rFonts w:ascii="Times New Roman" w:hAnsi="Times New Roman" w:cs="Times New Roman"/>
          <w:sz w:val="28"/>
        </w:rPr>
        <w:t xml:space="preserve"> </w:t>
      </w:r>
    </w:p>
    <w:p w:rsidR="00445AB6" w:rsidRPr="003E425B" w:rsidRDefault="003E425B" w:rsidP="00010108">
      <w:pPr>
        <w:rPr>
          <w:rFonts w:ascii="Times New Roman" w:hAnsi="Times New Roman" w:cs="Times New Roman"/>
          <w:sz w:val="28"/>
        </w:rPr>
      </w:pPr>
    </w:p>
    <w:p w:rsidR="00445AB6"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La Sala debe examinar </w:t>
      </w:r>
      <w:r w:rsidRPr="003E425B">
        <w:rPr>
          <w:rFonts w:ascii="Times New Roman" w:hAnsi="Times New Roman" w:cs="Times New Roman"/>
          <w:sz w:val="28"/>
        </w:rPr>
        <w:t>la aptitud de la demanda</w:t>
      </w:r>
      <w:r w:rsidRPr="003E425B">
        <w:rPr>
          <w:rFonts w:ascii="Times New Roman" w:hAnsi="Times New Roman" w:cs="Times New Roman"/>
          <w:sz w:val="28"/>
        </w:rPr>
        <w:t xml:space="preserve">. Lo anterior, dado que varios intervinientes argumentaron que la demanda es inepta, porque los cargos </w:t>
      </w:r>
      <w:r w:rsidRPr="003E425B">
        <w:rPr>
          <w:rFonts w:ascii="Times New Roman" w:hAnsi="Times New Roman" w:cs="Times New Roman"/>
          <w:sz w:val="28"/>
        </w:rPr>
        <w:t xml:space="preserve">que los demandantes formularon </w:t>
      </w:r>
      <w:r w:rsidRPr="003E425B">
        <w:rPr>
          <w:rFonts w:ascii="Times New Roman" w:hAnsi="Times New Roman" w:cs="Times New Roman"/>
          <w:sz w:val="28"/>
        </w:rPr>
        <w:t xml:space="preserve">no satisfacen las exigencias </w:t>
      </w:r>
      <w:r w:rsidRPr="003E425B">
        <w:rPr>
          <w:rFonts w:ascii="Times New Roman" w:hAnsi="Times New Roman" w:cs="Times New Roman"/>
          <w:sz w:val="28"/>
        </w:rPr>
        <w:t xml:space="preserve">argumentativas mínimas </w:t>
      </w:r>
      <w:r w:rsidRPr="003E425B">
        <w:rPr>
          <w:rFonts w:ascii="Times New Roman" w:hAnsi="Times New Roman" w:cs="Times New Roman"/>
          <w:sz w:val="28"/>
        </w:rPr>
        <w:t xml:space="preserve">de certeza, especificidad, pertinencia y suficiencia. </w:t>
      </w:r>
    </w:p>
    <w:p w:rsidR="00445AB6" w:rsidRPr="003E425B" w:rsidRDefault="003E425B" w:rsidP="00010108">
      <w:pPr>
        <w:rPr>
          <w:rFonts w:ascii="Times New Roman" w:hAnsi="Times New Roman" w:cs="Times New Roman"/>
          <w:b/>
          <w:bCs/>
          <w:sz w:val="28"/>
        </w:rPr>
      </w:pPr>
    </w:p>
    <w:p w:rsidR="00445AB6" w:rsidRPr="003E425B" w:rsidRDefault="003E425B" w:rsidP="009C0842">
      <w:pPr>
        <w:pStyle w:val="Ttulo3"/>
        <w:numPr>
          <w:ilvl w:val="2"/>
          <w:numId w:val="14"/>
        </w:numPr>
        <w:ind w:left="851" w:hanging="851"/>
        <w:rPr>
          <w:rFonts w:ascii="Times New Roman" w:hAnsi="Times New Roman" w:cs="Times New Roman"/>
          <w:sz w:val="28"/>
        </w:rPr>
      </w:pPr>
      <w:r w:rsidRPr="003E425B">
        <w:rPr>
          <w:rFonts w:ascii="Times New Roman" w:hAnsi="Times New Roman" w:cs="Times New Roman"/>
          <w:sz w:val="28"/>
        </w:rPr>
        <w:t xml:space="preserve">Requisitos </w:t>
      </w:r>
      <w:r w:rsidRPr="003E425B">
        <w:rPr>
          <w:rFonts w:ascii="Times New Roman" w:hAnsi="Times New Roman" w:cs="Times New Roman"/>
          <w:sz w:val="28"/>
        </w:rPr>
        <w:t>generales de las demandas de inconstitucionalidad y exigencias argumentativas</w:t>
      </w:r>
      <w:r w:rsidRPr="003E425B">
        <w:rPr>
          <w:rFonts w:ascii="Times New Roman" w:hAnsi="Times New Roman" w:cs="Times New Roman"/>
          <w:sz w:val="28"/>
        </w:rPr>
        <w:t xml:space="preserve">. Reiteración de jurisprudencia </w:t>
      </w:r>
    </w:p>
    <w:p w:rsidR="00445AB6" w:rsidRPr="003E425B" w:rsidRDefault="003E425B" w:rsidP="00010108">
      <w:pPr>
        <w:rPr>
          <w:rFonts w:ascii="Times New Roman" w:hAnsi="Times New Roman" w:cs="Times New Roman"/>
          <w:sz w:val="28"/>
        </w:rPr>
      </w:pPr>
    </w:p>
    <w:p w:rsidR="00445AB6"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shd w:val="clear" w:color="auto" w:fill="FFFFFF"/>
        </w:rPr>
        <w:t xml:space="preserve">El artículo 2º del Decreto 2067 de 1991 prevé que uno de los requisitos de las demandas de inconstitucionalidad es la formulación del </w:t>
      </w:r>
      <w:r w:rsidRPr="003E425B">
        <w:rPr>
          <w:rFonts w:ascii="Times New Roman" w:hAnsi="Times New Roman" w:cs="Times New Roman"/>
          <w:sz w:val="28"/>
          <w:shd w:val="clear" w:color="auto" w:fill="FFFFFF"/>
        </w:rPr>
        <w:t>“</w:t>
      </w:r>
      <w:r w:rsidRPr="003E425B">
        <w:rPr>
          <w:rFonts w:ascii="Times New Roman" w:hAnsi="Times New Roman" w:cs="Times New Roman"/>
          <w:sz w:val="28"/>
          <w:shd w:val="clear" w:color="auto" w:fill="FFFFFF"/>
        </w:rPr>
        <w:t>concepto d</w:t>
      </w:r>
      <w:r w:rsidRPr="003E425B">
        <w:rPr>
          <w:rFonts w:ascii="Times New Roman" w:hAnsi="Times New Roman" w:cs="Times New Roman"/>
          <w:sz w:val="28"/>
          <w:shd w:val="clear" w:color="auto" w:fill="FFFFFF"/>
        </w:rPr>
        <w:t>e la violación</w:t>
      </w:r>
      <w:r w:rsidRPr="003E425B">
        <w:rPr>
          <w:rFonts w:ascii="Times New Roman" w:hAnsi="Times New Roman" w:cs="Times New Roman"/>
          <w:sz w:val="28"/>
          <w:shd w:val="clear" w:color="auto" w:fill="FFFFFF"/>
        </w:rPr>
        <w:t>”</w:t>
      </w:r>
      <w:r w:rsidRPr="003E425B">
        <w:rPr>
          <w:rFonts w:ascii="Times New Roman" w:hAnsi="Times New Roman" w:cs="Times New Roman"/>
          <w:sz w:val="28"/>
          <w:shd w:val="clear" w:color="auto" w:fill="FFFFFF"/>
        </w:rPr>
        <w:t xml:space="preserve">. </w:t>
      </w:r>
      <w:r w:rsidRPr="003E425B">
        <w:rPr>
          <w:rFonts w:ascii="Times New Roman" w:hAnsi="Times New Roman" w:cs="Times New Roman"/>
          <w:sz w:val="28"/>
          <w:shd w:val="clear" w:color="auto" w:fill="FFFFFF"/>
        </w:rPr>
        <w:t xml:space="preserve"> </w:t>
      </w:r>
      <w:r w:rsidRPr="003E425B">
        <w:rPr>
          <w:rFonts w:ascii="Times New Roman" w:hAnsi="Times New Roman" w:cs="Times New Roman"/>
          <w:sz w:val="28"/>
          <w:shd w:val="clear" w:color="auto" w:fill="FFFFFF"/>
        </w:rPr>
        <w:t>P</w:t>
      </w:r>
      <w:r w:rsidRPr="003E425B">
        <w:rPr>
          <w:rFonts w:ascii="Times New Roman" w:hAnsi="Times New Roman" w:cs="Times New Roman"/>
          <w:sz w:val="28"/>
          <w:shd w:val="clear" w:color="auto" w:fill="FFFFFF"/>
        </w:rPr>
        <w:t xml:space="preserve">ara la formulación del concepto de la violación, </w:t>
      </w:r>
      <w:r w:rsidRPr="003E425B">
        <w:rPr>
          <w:rFonts w:ascii="Times New Roman" w:hAnsi="Times New Roman" w:cs="Times New Roman"/>
          <w:sz w:val="28"/>
          <w:shd w:val="clear" w:color="auto" w:fill="FFFFFF"/>
        </w:rPr>
        <w:t xml:space="preserve">el demandante debe </w:t>
      </w:r>
      <w:r w:rsidRPr="003E425B">
        <w:rPr>
          <w:rFonts w:ascii="Times New Roman" w:hAnsi="Times New Roman" w:cs="Times New Roman"/>
          <w:i/>
          <w:sz w:val="28"/>
          <w:shd w:val="clear" w:color="auto" w:fill="FFFFFF"/>
        </w:rPr>
        <w:t>(i)</w:t>
      </w:r>
      <w:r w:rsidRPr="003E425B">
        <w:rPr>
          <w:rFonts w:ascii="Times New Roman" w:hAnsi="Times New Roman" w:cs="Times New Roman"/>
          <w:sz w:val="28"/>
          <w:shd w:val="clear" w:color="auto" w:fill="FFFFFF"/>
        </w:rPr>
        <w:t xml:space="preserve"> identificar las normas constitucionales vulneradas, </w:t>
      </w:r>
      <w:r w:rsidRPr="003E425B">
        <w:rPr>
          <w:rFonts w:ascii="Times New Roman" w:hAnsi="Times New Roman" w:cs="Times New Roman"/>
          <w:i/>
          <w:sz w:val="28"/>
          <w:shd w:val="clear" w:color="auto" w:fill="FFFFFF"/>
        </w:rPr>
        <w:t>(ii)</w:t>
      </w:r>
      <w:r w:rsidRPr="003E425B">
        <w:rPr>
          <w:rFonts w:ascii="Times New Roman" w:hAnsi="Times New Roman" w:cs="Times New Roman"/>
          <w:sz w:val="28"/>
          <w:shd w:val="clear" w:color="auto" w:fill="FFFFFF"/>
        </w:rPr>
        <w:t xml:space="preserve"> exponer el contenido normativo de las disposiciones acusadas</w:t>
      </w:r>
      <w:r w:rsidRPr="003E425B">
        <w:rPr>
          <w:rFonts w:ascii="Times New Roman" w:hAnsi="Times New Roman" w:cs="Times New Roman"/>
          <w:sz w:val="28"/>
          <w:shd w:val="clear" w:color="auto" w:fill="FFFFFF"/>
          <w:vertAlign w:val="superscript"/>
        </w:rPr>
        <w:footnoteReference w:id="50"/>
      </w:r>
      <w:r w:rsidRPr="003E425B">
        <w:rPr>
          <w:rFonts w:ascii="Times New Roman" w:hAnsi="Times New Roman" w:cs="Times New Roman"/>
          <w:sz w:val="28"/>
          <w:shd w:val="clear" w:color="auto" w:fill="FFFFFF"/>
        </w:rPr>
        <w:t xml:space="preserve"> y </w:t>
      </w:r>
      <w:r w:rsidRPr="003E425B">
        <w:rPr>
          <w:rFonts w:ascii="Times New Roman" w:hAnsi="Times New Roman" w:cs="Times New Roman"/>
          <w:i/>
          <w:sz w:val="28"/>
          <w:shd w:val="clear" w:color="auto" w:fill="FFFFFF"/>
        </w:rPr>
        <w:t>(iii)</w:t>
      </w:r>
      <w:r w:rsidRPr="003E425B">
        <w:rPr>
          <w:rFonts w:ascii="Times New Roman" w:hAnsi="Times New Roman" w:cs="Times New Roman"/>
          <w:sz w:val="28"/>
          <w:shd w:val="clear" w:color="auto" w:fill="FFFFFF"/>
        </w:rPr>
        <w:t xml:space="preserve"> expresar las razones por las cuales lo</w:t>
      </w:r>
      <w:r w:rsidRPr="003E425B">
        <w:rPr>
          <w:rFonts w:ascii="Times New Roman" w:hAnsi="Times New Roman" w:cs="Times New Roman"/>
          <w:sz w:val="28"/>
          <w:shd w:val="clear" w:color="auto" w:fill="FFFFFF"/>
        </w:rPr>
        <w:t xml:space="preserve">s textos demandados violan la Constitución. A partir de la sentencia C-1052 de 2001, la jurisprudencia constitucional ha sostenido que las razones que fundamentan el concepto de la violación deben satisfacer cinco </w:t>
      </w:r>
      <w:r w:rsidRPr="003E425B">
        <w:rPr>
          <w:rFonts w:ascii="Times New Roman" w:hAnsi="Times New Roman" w:cs="Times New Roman"/>
          <w:iCs/>
          <w:sz w:val="28"/>
          <w:shd w:val="clear" w:color="auto" w:fill="FFFFFF"/>
        </w:rPr>
        <w:t>exigencias mínimas de argumentación:</w:t>
      </w:r>
      <w:r w:rsidRPr="003E425B">
        <w:rPr>
          <w:rFonts w:ascii="Times New Roman" w:hAnsi="Times New Roman" w:cs="Times New Roman"/>
          <w:sz w:val="28"/>
          <w:shd w:val="clear" w:color="auto" w:fill="FFFFFF"/>
        </w:rPr>
        <w:t xml:space="preserve"> certe</w:t>
      </w:r>
      <w:r w:rsidRPr="003E425B">
        <w:rPr>
          <w:rFonts w:ascii="Times New Roman" w:hAnsi="Times New Roman" w:cs="Times New Roman"/>
          <w:sz w:val="28"/>
          <w:shd w:val="clear" w:color="auto" w:fill="FFFFFF"/>
        </w:rPr>
        <w:t>za, claridad, especificidad, pertinencia y suficiencia</w:t>
      </w:r>
      <w:r w:rsidRPr="003E425B">
        <w:rPr>
          <w:rFonts w:ascii="Times New Roman" w:hAnsi="Times New Roman" w:cs="Times New Roman"/>
          <w:sz w:val="28"/>
          <w:shd w:val="clear" w:color="auto" w:fill="FFFFFF"/>
          <w:vertAlign w:val="superscript"/>
        </w:rPr>
        <w:footnoteReference w:id="51"/>
      </w:r>
      <w:r w:rsidRPr="003E425B">
        <w:rPr>
          <w:rFonts w:ascii="Times New Roman" w:hAnsi="Times New Roman" w:cs="Times New Roman"/>
          <w:sz w:val="28"/>
          <w:shd w:val="clear" w:color="auto" w:fill="FFFFFF"/>
        </w:rPr>
        <w:t xml:space="preserve">. </w:t>
      </w:r>
    </w:p>
    <w:p w:rsidR="00445AB6" w:rsidRPr="003E425B" w:rsidRDefault="003E425B" w:rsidP="00010108">
      <w:pPr>
        <w:rPr>
          <w:rFonts w:ascii="Times New Roman" w:hAnsi="Times New Roman" w:cs="Times New Roman"/>
          <w:sz w:val="28"/>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7135"/>
      </w:tblGrid>
      <w:tr w:rsidR="00445AB6" w:rsidRPr="003E425B" w:rsidTr="00E4520F">
        <w:tc>
          <w:tcPr>
            <w:tcW w:w="960" w:type="pct"/>
            <w:shd w:val="clear" w:color="auto" w:fill="D9D9D9" w:themeFill="background1" w:themeFillShade="D9"/>
          </w:tcPr>
          <w:p w:rsidR="00445AB6" w:rsidRPr="003E425B" w:rsidRDefault="003E425B" w:rsidP="00010108">
            <w:pPr>
              <w:widowControl w:val="0"/>
              <w:jc w:val="center"/>
              <w:rPr>
                <w:rFonts w:ascii="Times New Roman" w:hAnsi="Times New Roman" w:cs="Times New Roman"/>
                <w:b/>
                <w:sz w:val="28"/>
                <w:szCs w:val="20"/>
              </w:rPr>
            </w:pPr>
            <w:r w:rsidRPr="003E425B">
              <w:rPr>
                <w:rFonts w:ascii="Times New Roman" w:hAnsi="Times New Roman" w:cs="Times New Roman"/>
                <w:b/>
                <w:sz w:val="28"/>
                <w:szCs w:val="20"/>
              </w:rPr>
              <w:t>Carga</w:t>
            </w:r>
          </w:p>
        </w:tc>
        <w:tc>
          <w:tcPr>
            <w:tcW w:w="4040" w:type="pct"/>
            <w:shd w:val="clear" w:color="auto" w:fill="D9D9D9" w:themeFill="background1" w:themeFillShade="D9"/>
          </w:tcPr>
          <w:p w:rsidR="00445AB6" w:rsidRPr="003E425B" w:rsidRDefault="003E425B" w:rsidP="00010108">
            <w:pPr>
              <w:widowControl w:val="0"/>
              <w:jc w:val="center"/>
              <w:rPr>
                <w:rFonts w:ascii="Times New Roman" w:hAnsi="Times New Roman" w:cs="Times New Roman"/>
                <w:b/>
                <w:sz w:val="28"/>
                <w:szCs w:val="20"/>
              </w:rPr>
            </w:pPr>
            <w:r w:rsidRPr="003E425B">
              <w:rPr>
                <w:rFonts w:ascii="Times New Roman" w:hAnsi="Times New Roman" w:cs="Times New Roman"/>
                <w:b/>
                <w:sz w:val="28"/>
                <w:szCs w:val="20"/>
              </w:rPr>
              <w:t>Contenido</w:t>
            </w:r>
          </w:p>
        </w:tc>
      </w:tr>
      <w:tr w:rsidR="000733B3" w:rsidRPr="003E425B" w:rsidTr="00E4520F">
        <w:tc>
          <w:tcPr>
            <w:tcW w:w="960" w:type="pct"/>
            <w:shd w:val="clear" w:color="auto" w:fill="D9D9D9" w:themeFill="background1" w:themeFillShade="D9"/>
            <w:vAlign w:val="center"/>
          </w:tcPr>
          <w:p w:rsidR="000733B3" w:rsidRPr="003E425B" w:rsidRDefault="003E425B" w:rsidP="00010108">
            <w:pPr>
              <w:widowControl w:val="0"/>
              <w:jc w:val="center"/>
              <w:rPr>
                <w:rFonts w:ascii="Times New Roman" w:hAnsi="Times New Roman" w:cs="Times New Roman"/>
                <w:b/>
                <w:bCs/>
                <w:sz w:val="28"/>
                <w:szCs w:val="20"/>
              </w:rPr>
            </w:pPr>
            <w:r w:rsidRPr="003E425B">
              <w:rPr>
                <w:rFonts w:ascii="Times New Roman" w:hAnsi="Times New Roman" w:cs="Times New Roman"/>
                <w:b/>
                <w:bCs/>
                <w:sz w:val="28"/>
                <w:szCs w:val="20"/>
              </w:rPr>
              <w:t>Claridad</w:t>
            </w:r>
          </w:p>
        </w:tc>
        <w:tc>
          <w:tcPr>
            <w:tcW w:w="4040" w:type="pct"/>
            <w:shd w:val="clear" w:color="auto" w:fill="auto"/>
          </w:tcPr>
          <w:p w:rsidR="000733B3" w:rsidRPr="003E425B" w:rsidRDefault="003E425B" w:rsidP="00010108">
            <w:pPr>
              <w:widowControl w:val="0"/>
              <w:rPr>
                <w:rFonts w:ascii="Times New Roman" w:hAnsi="Times New Roman" w:cs="Times New Roman"/>
                <w:bCs/>
                <w:sz w:val="28"/>
                <w:szCs w:val="20"/>
              </w:rPr>
            </w:pPr>
            <w:r w:rsidRPr="003E425B">
              <w:rPr>
                <w:rFonts w:ascii="Times New Roman" w:hAnsi="Times New Roman" w:cs="Times New Roman"/>
                <w:bCs/>
                <w:sz w:val="28"/>
                <w:szCs w:val="20"/>
              </w:rPr>
              <w:t xml:space="preserve">Los </w:t>
            </w:r>
            <w:r w:rsidRPr="003E425B">
              <w:rPr>
                <w:rFonts w:ascii="Times New Roman" w:hAnsi="Times New Roman" w:cs="Times New Roman"/>
                <w:bCs/>
                <w:sz w:val="28"/>
                <w:szCs w:val="20"/>
              </w:rPr>
              <w:t>argumentos deben ser inteligibles o comprensibles</w:t>
            </w:r>
            <w:r w:rsidRPr="003E425B">
              <w:rPr>
                <w:rFonts w:ascii="Times New Roman" w:hAnsi="Times New Roman" w:cs="Times New Roman"/>
                <w:bCs/>
                <w:sz w:val="28"/>
                <w:szCs w:val="20"/>
                <w:vertAlign w:val="superscript"/>
              </w:rPr>
              <w:footnoteReference w:id="52"/>
            </w:r>
            <w:r w:rsidRPr="003E425B">
              <w:rPr>
                <w:rFonts w:ascii="Times New Roman" w:hAnsi="Times New Roman" w:cs="Times New Roman"/>
                <w:bCs/>
                <w:sz w:val="28"/>
                <w:szCs w:val="20"/>
              </w:rPr>
              <w:t>. Además, la exposición argumentativa debe seguir un hilo conductor lógico</w:t>
            </w:r>
            <w:r w:rsidRPr="003E425B">
              <w:rPr>
                <w:rFonts w:ascii="Times New Roman" w:hAnsi="Times New Roman" w:cs="Times New Roman"/>
                <w:bCs/>
                <w:sz w:val="28"/>
                <w:szCs w:val="20"/>
                <w:vertAlign w:val="superscript"/>
              </w:rPr>
              <w:footnoteReference w:id="53"/>
            </w:r>
            <w:r w:rsidRPr="003E425B">
              <w:rPr>
                <w:rFonts w:ascii="Times New Roman" w:hAnsi="Times New Roman" w:cs="Times New Roman"/>
                <w:bCs/>
                <w:sz w:val="28"/>
                <w:szCs w:val="20"/>
              </w:rPr>
              <w:t xml:space="preserve"> que “permita al lector comprender el contenido de su demanda y las justificaciones en las que se basa”</w:t>
            </w:r>
            <w:r w:rsidRPr="003E425B">
              <w:rPr>
                <w:rFonts w:ascii="Times New Roman" w:hAnsi="Times New Roman" w:cs="Times New Roman"/>
                <w:bCs/>
                <w:sz w:val="28"/>
                <w:szCs w:val="20"/>
                <w:vertAlign w:val="superscript"/>
              </w:rPr>
              <w:footnoteReference w:id="54"/>
            </w:r>
            <w:r w:rsidRPr="003E425B">
              <w:rPr>
                <w:rFonts w:ascii="Times New Roman" w:hAnsi="Times New Roman" w:cs="Times New Roman"/>
                <w:bCs/>
                <w:sz w:val="28"/>
                <w:szCs w:val="20"/>
              </w:rPr>
              <w:t>.</w:t>
            </w:r>
          </w:p>
        </w:tc>
      </w:tr>
      <w:tr w:rsidR="00445AB6" w:rsidRPr="003E425B" w:rsidTr="00E4520F">
        <w:tc>
          <w:tcPr>
            <w:tcW w:w="960" w:type="pct"/>
            <w:shd w:val="clear" w:color="auto" w:fill="D9D9D9" w:themeFill="background1" w:themeFillShade="D9"/>
            <w:vAlign w:val="center"/>
          </w:tcPr>
          <w:p w:rsidR="00445AB6" w:rsidRPr="003E425B" w:rsidRDefault="003E425B" w:rsidP="00010108">
            <w:pPr>
              <w:widowControl w:val="0"/>
              <w:jc w:val="center"/>
              <w:rPr>
                <w:rFonts w:ascii="Times New Roman" w:hAnsi="Times New Roman" w:cs="Times New Roman"/>
                <w:b/>
                <w:bCs/>
                <w:sz w:val="28"/>
                <w:szCs w:val="20"/>
              </w:rPr>
            </w:pPr>
            <w:r w:rsidRPr="003E425B">
              <w:rPr>
                <w:rFonts w:ascii="Times New Roman" w:hAnsi="Times New Roman" w:cs="Times New Roman"/>
                <w:b/>
                <w:bCs/>
                <w:sz w:val="28"/>
                <w:szCs w:val="20"/>
              </w:rPr>
              <w:t>Certeza</w:t>
            </w:r>
          </w:p>
        </w:tc>
        <w:tc>
          <w:tcPr>
            <w:tcW w:w="4040" w:type="pct"/>
            <w:shd w:val="clear" w:color="auto" w:fill="auto"/>
          </w:tcPr>
          <w:p w:rsidR="00445AB6" w:rsidRPr="003E425B" w:rsidRDefault="003E425B" w:rsidP="00010108">
            <w:pPr>
              <w:widowControl w:val="0"/>
              <w:rPr>
                <w:rFonts w:ascii="Times New Roman" w:hAnsi="Times New Roman" w:cs="Times New Roman"/>
                <w:sz w:val="28"/>
                <w:szCs w:val="20"/>
              </w:rPr>
            </w:pPr>
            <w:r w:rsidRPr="003E425B">
              <w:rPr>
                <w:rFonts w:ascii="Times New Roman" w:hAnsi="Times New Roman" w:cs="Times New Roman"/>
                <w:bCs/>
                <w:sz w:val="28"/>
                <w:szCs w:val="20"/>
              </w:rPr>
              <w:t>La</w:t>
            </w:r>
            <w:r w:rsidRPr="003E425B">
              <w:rPr>
                <w:rFonts w:ascii="Times New Roman" w:hAnsi="Times New Roman" w:cs="Times New Roman"/>
                <w:bCs/>
                <w:sz w:val="28"/>
                <w:szCs w:val="20"/>
              </w:rPr>
              <w:t xml:space="preserve"> acusación </w:t>
            </w:r>
            <w:r w:rsidRPr="003E425B">
              <w:rPr>
                <w:rFonts w:ascii="Times New Roman" w:hAnsi="Times New Roman" w:cs="Times New Roman"/>
                <w:bCs/>
                <w:sz w:val="28"/>
                <w:szCs w:val="20"/>
              </w:rPr>
              <w:t>debe recaer</w:t>
            </w:r>
            <w:r w:rsidRPr="003E425B">
              <w:rPr>
                <w:rFonts w:ascii="Times New Roman" w:hAnsi="Times New Roman" w:cs="Times New Roman"/>
                <w:bCs/>
                <w:sz w:val="28"/>
                <w:szCs w:val="20"/>
              </w:rPr>
              <w:t xml:space="preserve"> sobre una “</w:t>
            </w:r>
            <w:r w:rsidRPr="003E425B">
              <w:rPr>
                <w:rFonts w:ascii="Times New Roman" w:hAnsi="Times New Roman" w:cs="Times New Roman"/>
                <w:bCs/>
                <w:iCs/>
                <w:sz w:val="28"/>
                <w:szCs w:val="20"/>
              </w:rPr>
              <w:t>proposición jurídica real y existente</w:t>
            </w:r>
            <w:r w:rsidRPr="003E425B">
              <w:rPr>
                <w:rFonts w:ascii="Times New Roman" w:hAnsi="Times New Roman" w:cs="Times New Roman"/>
                <w:bCs/>
                <w:sz w:val="28"/>
                <w:szCs w:val="20"/>
              </w:rPr>
              <w:t>”</w:t>
            </w:r>
            <w:r w:rsidRPr="003E425B">
              <w:rPr>
                <w:rFonts w:ascii="Times New Roman" w:hAnsi="Times New Roman" w:cs="Times New Roman"/>
                <w:bCs/>
                <w:sz w:val="28"/>
                <w:szCs w:val="20"/>
                <w:vertAlign w:val="superscript"/>
              </w:rPr>
              <w:footnoteReference w:id="55"/>
            </w:r>
            <w:r w:rsidRPr="003E425B">
              <w:rPr>
                <w:rFonts w:ascii="Times New Roman" w:hAnsi="Times New Roman" w:cs="Times New Roman"/>
                <w:bCs/>
                <w:sz w:val="28"/>
                <w:szCs w:val="20"/>
              </w:rPr>
              <w:t xml:space="preserve"> y no est</w:t>
            </w:r>
            <w:r w:rsidRPr="003E425B">
              <w:rPr>
                <w:rFonts w:ascii="Times New Roman" w:hAnsi="Times New Roman" w:cs="Times New Roman"/>
                <w:bCs/>
                <w:sz w:val="28"/>
                <w:szCs w:val="20"/>
              </w:rPr>
              <w:t xml:space="preserve">ar </w:t>
            </w:r>
            <w:r w:rsidRPr="003E425B">
              <w:rPr>
                <w:rFonts w:ascii="Times New Roman" w:hAnsi="Times New Roman" w:cs="Times New Roman"/>
                <w:bCs/>
                <w:sz w:val="28"/>
                <w:szCs w:val="20"/>
              </w:rPr>
              <w:t>basada en “interpretaciones puramente subjetivas, capr</w:t>
            </w:r>
            <w:r w:rsidRPr="003E425B">
              <w:rPr>
                <w:rFonts w:ascii="Times New Roman" w:hAnsi="Times New Roman" w:cs="Times New Roman"/>
                <w:bCs/>
                <w:sz w:val="28"/>
                <w:szCs w:val="20"/>
              </w:rPr>
              <w:t>ichosas o irrazonables de los textos demandados”</w:t>
            </w:r>
            <w:r w:rsidRPr="003E425B">
              <w:rPr>
                <w:rFonts w:ascii="Times New Roman" w:hAnsi="Times New Roman" w:cs="Times New Roman"/>
                <w:bCs/>
                <w:sz w:val="28"/>
                <w:szCs w:val="20"/>
                <w:vertAlign w:val="superscript"/>
              </w:rPr>
              <w:footnoteReference w:id="56"/>
            </w:r>
            <w:r w:rsidRPr="003E425B">
              <w:rPr>
                <w:rFonts w:ascii="Times New Roman" w:hAnsi="Times New Roman" w:cs="Times New Roman"/>
                <w:bCs/>
                <w:sz w:val="28"/>
                <w:szCs w:val="20"/>
              </w:rPr>
              <w:t>.</w:t>
            </w:r>
          </w:p>
        </w:tc>
      </w:tr>
      <w:tr w:rsidR="00445AB6" w:rsidRPr="003E425B" w:rsidTr="00E4520F">
        <w:tc>
          <w:tcPr>
            <w:tcW w:w="960" w:type="pct"/>
            <w:shd w:val="clear" w:color="auto" w:fill="D9D9D9" w:themeFill="background1" w:themeFillShade="D9"/>
            <w:vAlign w:val="center"/>
          </w:tcPr>
          <w:p w:rsidR="00445AB6" w:rsidRPr="003E425B" w:rsidRDefault="003E425B" w:rsidP="00010108">
            <w:pPr>
              <w:widowControl w:val="0"/>
              <w:jc w:val="center"/>
              <w:rPr>
                <w:rFonts w:ascii="Times New Roman" w:hAnsi="Times New Roman" w:cs="Times New Roman"/>
                <w:b/>
                <w:bCs/>
                <w:sz w:val="28"/>
                <w:szCs w:val="20"/>
              </w:rPr>
            </w:pPr>
            <w:r w:rsidRPr="003E425B">
              <w:rPr>
                <w:rFonts w:ascii="Times New Roman" w:hAnsi="Times New Roman" w:cs="Times New Roman"/>
                <w:b/>
                <w:bCs/>
                <w:sz w:val="28"/>
                <w:szCs w:val="20"/>
              </w:rPr>
              <w:t xml:space="preserve">Especificidad </w:t>
            </w:r>
          </w:p>
        </w:tc>
        <w:tc>
          <w:tcPr>
            <w:tcW w:w="4040" w:type="pct"/>
            <w:shd w:val="clear" w:color="auto" w:fill="auto"/>
          </w:tcPr>
          <w:p w:rsidR="00445AB6" w:rsidRPr="003E425B" w:rsidRDefault="003E425B" w:rsidP="00010108">
            <w:pPr>
              <w:widowControl w:val="0"/>
              <w:rPr>
                <w:rFonts w:ascii="Times New Roman" w:hAnsi="Times New Roman" w:cs="Times New Roman"/>
                <w:bCs/>
                <w:sz w:val="28"/>
                <w:szCs w:val="20"/>
              </w:rPr>
            </w:pPr>
            <w:r w:rsidRPr="003E425B">
              <w:rPr>
                <w:rFonts w:ascii="Times New Roman" w:hAnsi="Times New Roman" w:cs="Times New Roman"/>
                <w:bCs/>
                <w:iCs/>
                <w:sz w:val="28"/>
                <w:szCs w:val="20"/>
              </w:rPr>
              <w:t>El</w:t>
            </w:r>
            <w:r w:rsidRPr="003E425B">
              <w:rPr>
                <w:rFonts w:ascii="Times New Roman" w:hAnsi="Times New Roman" w:cs="Times New Roman"/>
                <w:bCs/>
                <w:iCs/>
                <w:sz w:val="28"/>
                <w:szCs w:val="20"/>
              </w:rPr>
              <w:t xml:space="preserve"> demandante </w:t>
            </w:r>
            <w:r w:rsidRPr="003E425B">
              <w:rPr>
                <w:rFonts w:ascii="Times New Roman" w:hAnsi="Times New Roman" w:cs="Times New Roman"/>
                <w:bCs/>
                <w:iCs/>
                <w:sz w:val="28"/>
                <w:szCs w:val="20"/>
              </w:rPr>
              <w:t xml:space="preserve">tiene </w:t>
            </w:r>
            <w:r w:rsidRPr="003E425B">
              <w:rPr>
                <w:rFonts w:ascii="Times New Roman" w:hAnsi="Times New Roman" w:cs="Times New Roman"/>
                <w:bCs/>
                <w:iCs/>
                <w:sz w:val="28"/>
                <w:szCs w:val="20"/>
              </w:rPr>
              <w:t>la carga de exponer argumentos concretos y precisos que sustent</w:t>
            </w:r>
            <w:r w:rsidRPr="003E425B">
              <w:rPr>
                <w:rFonts w:ascii="Times New Roman" w:hAnsi="Times New Roman" w:cs="Times New Roman"/>
                <w:bCs/>
                <w:iCs/>
                <w:sz w:val="28"/>
                <w:szCs w:val="20"/>
              </w:rPr>
              <w:t>e</w:t>
            </w:r>
            <w:r w:rsidRPr="003E425B">
              <w:rPr>
                <w:rFonts w:ascii="Times New Roman" w:hAnsi="Times New Roman" w:cs="Times New Roman"/>
                <w:bCs/>
                <w:iCs/>
                <w:sz w:val="28"/>
                <w:szCs w:val="20"/>
              </w:rPr>
              <w:t>n la solicitud de inconstitucionalidad, no</w:t>
            </w:r>
            <w:r w:rsidRPr="003E425B">
              <w:rPr>
                <w:rFonts w:ascii="Times New Roman" w:hAnsi="Times New Roman" w:cs="Times New Roman"/>
                <w:bCs/>
                <w:i/>
                <w:iCs/>
                <w:sz w:val="28"/>
                <w:szCs w:val="20"/>
              </w:rPr>
              <w:t xml:space="preserve"> </w:t>
            </w:r>
            <w:r w:rsidRPr="003E425B">
              <w:rPr>
                <w:rFonts w:ascii="Times New Roman" w:hAnsi="Times New Roman" w:cs="Times New Roman"/>
                <w:bCs/>
                <w:sz w:val="28"/>
                <w:szCs w:val="20"/>
              </w:rPr>
              <w:t>“genéricos o excesivamente vagos</w:t>
            </w:r>
            <w:r w:rsidRPr="003E425B">
              <w:rPr>
                <w:rFonts w:ascii="Times New Roman" w:hAnsi="Times New Roman" w:cs="Times New Roman"/>
                <w:bCs/>
                <w:iCs/>
                <w:sz w:val="28"/>
                <w:szCs w:val="20"/>
              </w:rPr>
              <w:t>”</w:t>
            </w:r>
            <w:r w:rsidRPr="003E425B">
              <w:rPr>
                <w:rFonts w:ascii="Times New Roman" w:hAnsi="Times New Roman" w:cs="Times New Roman"/>
                <w:bCs/>
                <w:sz w:val="28"/>
                <w:szCs w:val="20"/>
                <w:vertAlign w:val="superscript"/>
              </w:rPr>
              <w:footnoteReference w:id="57"/>
            </w:r>
            <w:r w:rsidRPr="003E425B">
              <w:rPr>
                <w:rFonts w:ascii="Times New Roman" w:hAnsi="Times New Roman" w:cs="Times New Roman"/>
                <w:bCs/>
                <w:sz w:val="28"/>
                <w:szCs w:val="20"/>
              </w:rPr>
              <w:t>.</w:t>
            </w:r>
          </w:p>
        </w:tc>
      </w:tr>
      <w:tr w:rsidR="00445AB6" w:rsidRPr="003E425B" w:rsidTr="00E4520F">
        <w:tc>
          <w:tcPr>
            <w:tcW w:w="960" w:type="pct"/>
            <w:shd w:val="clear" w:color="auto" w:fill="D9D9D9" w:themeFill="background1" w:themeFillShade="D9"/>
            <w:vAlign w:val="center"/>
          </w:tcPr>
          <w:p w:rsidR="00445AB6" w:rsidRPr="003E425B" w:rsidRDefault="003E425B" w:rsidP="00010108">
            <w:pPr>
              <w:widowControl w:val="0"/>
              <w:jc w:val="center"/>
              <w:rPr>
                <w:rFonts w:ascii="Times New Roman" w:hAnsi="Times New Roman" w:cs="Times New Roman"/>
                <w:b/>
                <w:bCs/>
                <w:sz w:val="28"/>
                <w:szCs w:val="20"/>
              </w:rPr>
            </w:pPr>
            <w:r w:rsidRPr="003E425B">
              <w:rPr>
                <w:rFonts w:ascii="Times New Roman" w:hAnsi="Times New Roman" w:cs="Times New Roman"/>
                <w:b/>
                <w:bCs/>
                <w:sz w:val="28"/>
                <w:szCs w:val="20"/>
              </w:rPr>
              <w:t xml:space="preserve">Pertinencia </w:t>
            </w:r>
          </w:p>
        </w:tc>
        <w:tc>
          <w:tcPr>
            <w:tcW w:w="4040" w:type="pct"/>
            <w:shd w:val="clear" w:color="auto" w:fill="auto"/>
          </w:tcPr>
          <w:p w:rsidR="00445AB6" w:rsidRPr="003E425B" w:rsidRDefault="003E425B" w:rsidP="00010108">
            <w:pPr>
              <w:widowControl w:val="0"/>
              <w:rPr>
                <w:rFonts w:ascii="Times New Roman" w:hAnsi="Times New Roman" w:cs="Times New Roman"/>
                <w:sz w:val="28"/>
                <w:szCs w:val="20"/>
              </w:rPr>
            </w:pPr>
            <w:r w:rsidRPr="003E425B">
              <w:rPr>
                <w:rFonts w:ascii="Times New Roman" w:hAnsi="Times New Roman" w:cs="Times New Roman"/>
                <w:bCs/>
                <w:sz w:val="28"/>
                <w:szCs w:val="20"/>
              </w:rPr>
              <w:t>La acusación</w:t>
            </w:r>
            <w:r w:rsidRPr="003E425B">
              <w:rPr>
                <w:rFonts w:ascii="Times New Roman" w:hAnsi="Times New Roman" w:cs="Times New Roman"/>
                <w:bCs/>
                <w:sz w:val="28"/>
                <w:szCs w:val="20"/>
              </w:rPr>
              <w:t xml:space="preserve"> debe estar fundada en la transgresión de una disposición constitucional</w:t>
            </w:r>
            <w:r w:rsidRPr="003E425B">
              <w:rPr>
                <w:rFonts w:ascii="Times New Roman" w:hAnsi="Times New Roman" w:cs="Times New Roman"/>
                <w:bCs/>
                <w:sz w:val="28"/>
                <w:szCs w:val="20"/>
                <w:vertAlign w:val="superscript"/>
              </w:rPr>
              <w:footnoteReference w:id="58"/>
            </w:r>
            <w:r w:rsidRPr="003E425B">
              <w:rPr>
                <w:rFonts w:ascii="Times New Roman" w:hAnsi="Times New Roman" w:cs="Times New Roman"/>
                <w:bCs/>
                <w:sz w:val="28"/>
                <w:szCs w:val="20"/>
              </w:rPr>
              <w:t>. El demandante debe plantear argumentos de “</w:t>
            </w:r>
            <w:r w:rsidRPr="003E425B">
              <w:rPr>
                <w:rFonts w:ascii="Times New Roman" w:hAnsi="Times New Roman" w:cs="Times New Roman"/>
                <w:bCs/>
                <w:iCs/>
                <w:sz w:val="28"/>
                <w:szCs w:val="20"/>
              </w:rPr>
              <w:t>naturaleza estrictamente constitucional</w:t>
            </w:r>
            <w:r w:rsidRPr="003E425B">
              <w:rPr>
                <w:rFonts w:ascii="Times New Roman" w:hAnsi="Times New Roman" w:cs="Times New Roman"/>
                <w:bCs/>
                <w:sz w:val="28"/>
                <w:szCs w:val="20"/>
              </w:rPr>
              <w:t>”</w:t>
            </w:r>
            <w:r w:rsidRPr="003E425B">
              <w:rPr>
                <w:rFonts w:ascii="Times New Roman" w:hAnsi="Times New Roman" w:cs="Times New Roman"/>
                <w:bCs/>
                <w:sz w:val="28"/>
                <w:szCs w:val="20"/>
                <w:vertAlign w:val="superscript"/>
              </w:rPr>
              <w:footnoteReference w:id="59"/>
            </w:r>
            <w:r w:rsidRPr="003E425B">
              <w:rPr>
                <w:rFonts w:ascii="Times New Roman" w:hAnsi="Times New Roman" w:cs="Times New Roman"/>
                <w:bCs/>
                <w:sz w:val="28"/>
                <w:szCs w:val="20"/>
              </w:rPr>
              <w:t xml:space="preserve"> </w:t>
            </w:r>
            <w:r w:rsidRPr="003E425B">
              <w:rPr>
                <w:rFonts w:ascii="Times New Roman" w:hAnsi="Times New Roman" w:cs="Times New Roman"/>
                <w:bCs/>
                <w:iCs/>
                <w:sz w:val="28"/>
                <w:szCs w:val="20"/>
              </w:rPr>
              <w:t>y no de legalidad</w:t>
            </w:r>
            <w:r w:rsidRPr="003E425B">
              <w:rPr>
                <w:rFonts w:ascii="Times New Roman" w:hAnsi="Times New Roman" w:cs="Times New Roman"/>
                <w:bCs/>
                <w:sz w:val="28"/>
                <w:szCs w:val="20"/>
              </w:rPr>
              <w:t>,</w:t>
            </w:r>
            <w:r w:rsidRPr="003E425B">
              <w:rPr>
                <w:rFonts w:ascii="Times New Roman" w:hAnsi="Times New Roman" w:cs="Times New Roman"/>
                <w:bCs/>
                <w:i/>
                <w:iCs/>
                <w:sz w:val="28"/>
                <w:szCs w:val="20"/>
              </w:rPr>
              <w:t xml:space="preserve"> </w:t>
            </w:r>
            <w:r w:rsidRPr="003E425B">
              <w:rPr>
                <w:rFonts w:ascii="Times New Roman" w:hAnsi="Times New Roman" w:cs="Times New Roman"/>
                <w:bCs/>
                <w:iCs/>
                <w:sz w:val="28"/>
                <w:szCs w:val="20"/>
              </w:rPr>
              <w:t>“</w:t>
            </w:r>
            <w:r w:rsidRPr="003E425B">
              <w:rPr>
                <w:rFonts w:ascii="Times New Roman" w:hAnsi="Times New Roman" w:cs="Times New Roman"/>
                <w:bCs/>
                <w:sz w:val="28"/>
                <w:szCs w:val="20"/>
              </w:rPr>
              <w:t>conveniencia o corrección de las decisiones legislativas”</w:t>
            </w:r>
            <w:r w:rsidRPr="003E425B">
              <w:rPr>
                <w:rFonts w:ascii="Times New Roman" w:hAnsi="Times New Roman" w:cs="Times New Roman"/>
                <w:bCs/>
                <w:sz w:val="28"/>
                <w:szCs w:val="20"/>
                <w:vertAlign w:val="superscript"/>
              </w:rPr>
              <w:footnoteReference w:id="60"/>
            </w:r>
            <w:r w:rsidRPr="003E425B">
              <w:rPr>
                <w:rFonts w:ascii="Times New Roman" w:hAnsi="Times New Roman" w:cs="Times New Roman"/>
                <w:bCs/>
                <w:sz w:val="28"/>
                <w:szCs w:val="20"/>
              </w:rPr>
              <w:t>.</w:t>
            </w:r>
          </w:p>
        </w:tc>
      </w:tr>
      <w:tr w:rsidR="00445AB6" w:rsidRPr="003E425B" w:rsidTr="00E4520F">
        <w:tc>
          <w:tcPr>
            <w:tcW w:w="960" w:type="pct"/>
            <w:shd w:val="clear" w:color="auto" w:fill="D9D9D9" w:themeFill="background1" w:themeFillShade="D9"/>
            <w:vAlign w:val="center"/>
          </w:tcPr>
          <w:p w:rsidR="00445AB6" w:rsidRPr="003E425B" w:rsidRDefault="003E425B" w:rsidP="00010108">
            <w:pPr>
              <w:widowControl w:val="0"/>
              <w:jc w:val="center"/>
              <w:rPr>
                <w:rFonts w:ascii="Times New Roman" w:hAnsi="Times New Roman" w:cs="Times New Roman"/>
                <w:b/>
                <w:bCs/>
                <w:sz w:val="28"/>
                <w:szCs w:val="20"/>
              </w:rPr>
            </w:pPr>
            <w:r w:rsidRPr="003E425B">
              <w:rPr>
                <w:rFonts w:ascii="Times New Roman" w:hAnsi="Times New Roman" w:cs="Times New Roman"/>
                <w:b/>
                <w:bCs/>
                <w:sz w:val="28"/>
                <w:szCs w:val="20"/>
              </w:rPr>
              <w:t>Suficiencia</w:t>
            </w:r>
          </w:p>
        </w:tc>
        <w:tc>
          <w:tcPr>
            <w:tcW w:w="4040" w:type="pct"/>
            <w:shd w:val="clear" w:color="auto" w:fill="auto"/>
          </w:tcPr>
          <w:p w:rsidR="00445AB6" w:rsidRPr="003E425B" w:rsidRDefault="003E425B" w:rsidP="00010108">
            <w:pPr>
              <w:widowControl w:val="0"/>
              <w:rPr>
                <w:rFonts w:ascii="Times New Roman" w:hAnsi="Times New Roman" w:cs="Times New Roman"/>
                <w:sz w:val="28"/>
                <w:szCs w:val="20"/>
              </w:rPr>
            </w:pPr>
            <w:r w:rsidRPr="003E425B">
              <w:rPr>
                <w:rFonts w:ascii="Times New Roman" w:hAnsi="Times New Roman" w:cs="Times New Roman"/>
                <w:bCs/>
                <w:sz w:val="28"/>
                <w:szCs w:val="20"/>
              </w:rPr>
              <w:t>Los</w:t>
            </w:r>
            <w:r w:rsidRPr="003E425B">
              <w:rPr>
                <w:rFonts w:ascii="Times New Roman" w:hAnsi="Times New Roman" w:cs="Times New Roman"/>
                <w:bCs/>
                <w:sz w:val="28"/>
                <w:szCs w:val="20"/>
              </w:rPr>
              <w:t xml:space="preserve"> argumentos formulados </w:t>
            </w:r>
            <w:r w:rsidRPr="003E425B">
              <w:rPr>
                <w:rFonts w:ascii="Times New Roman" w:hAnsi="Times New Roman" w:cs="Times New Roman"/>
                <w:bCs/>
                <w:sz w:val="28"/>
                <w:szCs w:val="20"/>
              </w:rPr>
              <w:t xml:space="preserve">deben generar </w:t>
            </w:r>
            <w:r w:rsidRPr="003E425B">
              <w:rPr>
                <w:rFonts w:ascii="Times New Roman" w:hAnsi="Times New Roman" w:cs="Times New Roman"/>
                <w:bCs/>
                <w:sz w:val="28"/>
                <w:szCs w:val="20"/>
              </w:rPr>
              <w:t>“una duda inicial sobre la constitucionalidad de la disposición demandada”</w:t>
            </w:r>
            <w:r w:rsidRPr="003E425B">
              <w:rPr>
                <w:rFonts w:ascii="Times New Roman" w:hAnsi="Times New Roman" w:cs="Times New Roman"/>
                <w:bCs/>
                <w:sz w:val="28"/>
                <w:szCs w:val="20"/>
                <w:vertAlign w:val="superscript"/>
              </w:rPr>
              <w:footnoteReference w:id="61"/>
            </w:r>
            <w:r w:rsidRPr="003E425B">
              <w:rPr>
                <w:rFonts w:ascii="Times New Roman" w:hAnsi="Times New Roman" w:cs="Times New Roman"/>
                <w:bCs/>
                <w:sz w:val="28"/>
                <w:szCs w:val="20"/>
              </w:rPr>
              <w:t>. La carga de suficiencia es un “criterio de cierre para definir la aptitud del cargo”</w:t>
            </w:r>
            <w:r w:rsidRPr="003E425B">
              <w:rPr>
                <w:rFonts w:ascii="Times New Roman" w:hAnsi="Times New Roman" w:cs="Times New Roman"/>
                <w:bCs/>
                <w:sz w:val="28"/>
                <w:szCs w:val="20"/>
                <w:vertAlign w:val="superscript"/>
              </w:rPr>
              <w:footnoteReference w:id="62"/>
            </w:r>
            <w:r w:rsidRPr="003E425B">
              <w:rPr>
                <w:rFonts w:ascii="Times New Roman" w:hAnsi="Times New Roman" w:cs="Times New Roman"/>
                <w:bCs/>
                <w:sz w:val="28"/>
                <w:szCs w:val="20"/>
              </w:rPr>
              <w:t>.</w:t>
            </w:r>
          </w:p>
        </w:tc>
      </w:tr>
    </w:tbl>
    <w:p w:rsidR="00445AB6" w:rsidRPr="003E425B" w:rsidRDefault="003E425B" w:rsidP="00010108">
      <w:pPr>
        <w:rPr>
          <w:rFonts w:ascii="Times New Roman" w:hAnsi="Times New Roman" w:cs="Times New Roman"/>
          <w:sz w:val="28"/>
        </w:rPr>
      </w:pPr>
    </w:p>
    <w:p w:rsidR="00CA7869"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shd w:val="clear" w:color="auto" w:fill="FFFFFF"/>
        </w:rPr>
        <w:t xml:space="preserve">El </w:t>
      </w:r>
      <w:r w:rsidRPr="003E425B">
        <w:rPr>
          <w:rFonts w:ascii="Times New Roman" w:hAnsi="Times New Roman" w:cs="Times New Roman"/>
          <w:sz w:val="28"/>
        </w:rPr>
        <w:t>cumplimiento de estas exigencias argumentativas de</w:t>
      </w:r>
      <w:r w:rsidRPr="003E425B">
        <w:rPr>
          <w:rFonts w:ascii="Times New Roman" w:hAnsi="Times New Roman" w:cs="Times New Roman"/>
          <w:sz w:val="28"/>
        </w:rPr>
        <w:t>be ser constatado por la Corte a partir de un examen que articule la naturaleza pública e informal de la acción de inconstitucionalidad</w:t>
      </w:r>
      <w:r w:rsidRPr="003E425B">
        <w:rPr>
          <w:rFonts w:ascii="Times New Roman" w:hAnsi="Times New Roman" w:cs="Times New Roman"/>
          <w:sz w:val="28"/>
          <w:vertAlign w:val="superscript"/>
        </w:rPr>
        <w:footnoteReference w:id="63"/>
      </w:r>
      <w:r w:rsidRPr="003E425B">
        <w:rPr>
          <w:rFonts w:ascii="Times New Roman" w:hAnsi="Times New Roman" w:cs="Times New Roman"/>
          <w:sz w:val="28"/>
        </w:rPr>
        <w:t>, de un lado, y el carácter rogado de la misma</w:t>
      </w:r>
      <w:r w:rsidRPr="003E425B">
        <w:rPr>
          <w:rFonts w:ascii="Times New Roman" w:hAnsi="Times New Roman" w:cs="Times New Roman"/>
          <w:sz w:val="28"/>
          <w:vertAlign w:val="superscript"/>
        </w:rPr>
        <w:footnoteReference w:id="64"/>
      </w:r>
      <w:r w:rsidRPr="003E425B">
        <w:rPr>
          <w:rFonts w:ascii="Times New Roman" w:hAnsi="Times New Roman" w:cs="Times New Roman"/>
          <w:sz w:val="28"/>
        </w:rPr>
        <w:t xml:space="preserve">, de otro. La constatación de falencias argumentativas en la formulación </w:t>
      </w:r>
      <w:r w:rsidRPr="003E425B">
        <w:rPr>
          <w:rFonts w:ascii="Times New Roman" w:hAnsi="Times New Roman" w:cs="Times New Roman"/>
          <w:sz w:val="28"/>
        </w:rPr>
        <w:t>del concepto de violación impide que la Corte adelante un estudio de fondo y, en consecuencia, conduce a un fallo inhibitorio.</w:t>
      </w:r>
    </w:p>
    <w:p w:rsidR="00FB4130" w:rsidRPr="003E425B" w:rsidRDefault="003E425B" w:rsidP="00010108">
      <w:pPr>
        <w:rPr>
          <w:rFonts w:ascii="Times New Roman" w:hAnsi="Times New Roman" w:cs="Times New Roman"/>
          <w:sz w:val="28"/>
        </w:rPr>
      </w:pPr>
    </w:p>
    <w:p w:rsidR="00445AB6" w:rsidRPr="003E425B" w:rsidRDefault="003E425B" w:rsidP="00010108">
      <w:pPr>
        <w:pStyle w:val="Ttulo3"/>
        <w:numPr>
          <w:ilvl w:val="2"/>
          <w:numId w:val="14"/>
        </w:numPr>
        <w:ind w:hanging="940"/>
        <w:rPr>
          <w:rFonts w:ascii="Times New Roman" w:hAnsi="Times New Roman" w:cs="Times New Roman"/>
          <w:sz w:val="28"/>
        </w:rPr>
      </w:pPr>
      <w:r w:rsidRPr="003E425B">
        <w:rPr>
          <w:rFonts w:ascii="Times New Roman" w:hAnsi="Times New Roman" w:cs="Times New Roman"/>
          <w:sz w:val="28"/>
        </w:rPr>
        <w:t xml:space="preserve">La aptitud de los cargos formulados por los demandantes </w:t>
      </w:r>
    </w:p>
    <w:p w:rsidR="00445AB6" w:rsidRPr="003E425B" w:rsidRDefault="003E425B" w:rsidP="00010108">
      <w:pPr>
        <w:rPr>
          <w:rFonts w:ascii="Times New Roman" w:hAnsi="Times New Roman" w:cs="Times New Roman"/>
          <w:sz w:val="28"/>
        </w:rPr>
      </w:pPr>
    </w:p>
    <w:p w:rsidR="00661E42"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La Sala Plena </w:t>
      </w:r>
      <w:r w:rsidRPr="003E425B">
        <w:rPr>
          <w:rFonts w:ascii="Times New Roman" w:hAnsi="Times New Roman" w:cs="Times New Roman"/>
          <w:sz w:val="28"/>
        </w:rPr>
        <w:t xml:space="preserve">considera </w:t>
      </w:r>
      <w:r w:rsidRPr="003E425B">
        <w:rPr>
          <w:rFonts w:ascii="Times New Roman" w:hAnsi="Times New Roman" w:cs="Times New Roman"/>
          <w:sz w:val="28"/>
        </w:rPr>
        <w:t>que los cargos de la demanda son aptos,</w:t>
      </w:r>
      <w:r w:rsidRPr="003E425B">
        <w:rPr>
          <w:rFonts w:ascii="Times New Roman" w:hAnsi="Times New Roman" w:cs="Times New Roman"/>
          <w:bCs/>
          <w:sz w:val="28"/>
        </w:rPr>
        <w:t xml:space="preserve"> porque satisfacen las exigencias generales de argumentación desarrolladas por la Corte Constitucional</w:t>
      </w:r>
      <w:r w:rsidRPr="003E425B">
        <w:rPr>
          <w:rFonts w:ascii="Times New Roman" w:hAnsi="Times New Roman" w:cs="Times New Roman"/>
          <w:bCs/>
          <w:sz w:val="28"/>
        </w:rPr>
        <w:t xml:space="preserve">. </w:t>
      </w:r>
    </w:p>
    <w:p w:rsidR="00661E42" w:rsidRPr="003E425B" w:rsidRDefault="003E425B" w:rsidP="00010108">
      <w:pPr>
        <w:rPr>
          <w:rFonts w:ascii="Times New Roman" w:hAnsi="Times New Roman" w:cs="Times New Roman"/>
          <w:sz w:val="28"/>
        </w:rPr>
      </w:pPr>
    </w:p>
    <w:p w:rsidR="00661E42" w:rsidRPr="003E425B" w:rsidRDefault="003E425B" w:rsidP="000C6CC6">
      <w:pPr>
        <w:pStyle w:val="Ttulo4"/>
        <w:numPr>
          <w:ilvl w:val="0"/>
          <w:numId w:val="15"/>
        </w:numPr>
        <w:ind w:hanging="436"/>
        <w:rPr>
          <w:rFonts w:ascii="Times New Roman" w:hAnsi="Times New Roman" w:cs="Times New Roman"/>
          <w:sz w:val="28"/>
        </w:rPr>
      </w:pPr>
      <w:r w:rsidRPr="003E425B">
        <w:rPr>
          <w:rFonts w:ascii="Times New Roman" w:hAnsi="Times New Roman" w:cs="Times New Roman"/>
          <w:sz w:val="28"/>
        </w:rPr>
        <w:t xml:space="preserve">Aptitud del cargo primero </w:t>
      </w:r>
      <w:r w:rsidRPr="003E425B">
        <w:rPr>
          <w:rFonts w:ascii="Times New Roman" w:hAnsi="Times New Roman" w:cs="Times New Roman"/>
          <w:sz w:val="28"/>
        </w:rPr>
        <w:t xml:space="preserve">por violación de los artículos 157 de la Constitución y 119 de la Ley 5ª de 1992 </w:t>
      </w:r>
    </w:p>
    <w:p w:rsidR="00661E42" w:rsidRPr="003E425B" w:rsidRDefault="003E425B" w:rsidP="00010108">
      <w:pPr>
        <w:pStyle w:val="Prrafodelista"/>
        <w:spacing w:line="240" w:lineRule="auto"/>
        <w:rPr>
          <w:rFonts w:ascii="Times New Roman" w:hAnsi="Times New Roman"/>
          <w:sz w:val="28"/>
        </w:rPr>
      </w:pPr>
    </w:p>
    <w:p w:rsidR="00661E42"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i/>
          <w:iCs/>
          <w:sz w:val="28"/>
        </w:rPr>
        <w:t>Cuestionamientos de aptitud</w:t>
      </w:r>
      <w:r w:rsidRPr="003E425B">
        <w:rPr>
          <w:rFonts w:ascii="Times New Roman" w:hAnsi="Times New Roman" w:cs="Times New Roman"/>
          <w:sz w:val="28"/>
        </w:rPr>
        <w:t xml:space="preserve">. </w:t>
      </w:r>
      <w:r w:rsidRPr="003E425B">
        <w:rPr>
          <w:rFonts w:ascii="Times New Roman" w:eastAsia="Times New Roman" w:hAnsi="Times New Roman" w:cs="Times New Roman"/>
          <w:sz w:val="28"/>
          <w:szCs w:val="20"/>
        </w:rPr>
        <w:t>El Departame</w:t>
      </w:r>
      <w:r w:rsidRPr="003E425B">
        <w:rPr>
          <w:rFonts w:ascii="Times New Roman" w:eastAsia="Times New Roman" w:hAnsi="Times New Roman" w:cs="Times New Roman"/>
          <w:sz w:val="28"/>
          <w:szCs w:val="20"/>
        </w:rPr>
        <w:t>nto Administrativo de Prosperidad Social (“</w:t>
      </w:r>
      <w:r w:rsidRPr="003E425B">
        <w:rPr>
          <w:rFonts w:ascii="Times New Roman" w:eastAsia="Times New Roman" w:hAnsi="Times New Roman" w:cs="Times New Roman"/>
          <w:sz w:val="28"/>
          <w:szCs w:val="20"/>
          <w:u w:val="single"/>
        </w:rPr>
        <w:t>DAPS</w:t>
      </w:r>
      <w:r w:rsidRPr="003E425B">
        <w:rPr>
          <w:rFonts w:ascii="Times New Roman" w:eastAsia="Times New Roman" w:hAnsi="Times New Roman" w:cs="Times New Roman"/>
          <w:sz w:val="28"/>
          <w:szCs w:val="20"/>
        </w:rPr>
        <w:t>”)</w:t>
      </w:r>
      <w:r w:rsidRPr="003E425B">
        <w:rPr>
          <w:rFonts w:ascii="Times New Roman" w:eastAsia="Times New Roman" w:hAnsi="Times New Roman" w:cs="Times New Roman"/>
          <w:sz w:val="28"/>
          <w:szCs w:val="20"/>
        </w:rPr>
        <w:t xml:space="preserve">, el Ministerio de Justicia y del Derecho e Ilex Acción Jurídica consideran que el cargo primero no satisface </w:t>
      </w:r>
      <w:r w:rsidRPr="003E425B">
        <w:rPr>
          <w:rFonts w:ascii="Times New Roman" w:eastAsia="Times New Roman" w:hAnsi="Times New Roman" w:cs="Times New Roman"/>
          <w:sz w:val="28"/>
          <w:szCs w:val="20"/>
        </w:rPr>
        <w:t>las cargas</w:t>
      </w:r>
      <w:r w:rsidRPr="003E425B">
        <w:rPr>
          <w:rFonts w:ascii="Times New Roman" w:eastAsia="Times New Roman" w:hAnsi="Times New Roman" w:cs="Times New Roman"/>
          <w:sz w:val="28"/>
          <w:szCs w:val="20"/>
        </w:rPr>
        <w:t xml:space="preserve"> de </w:t>
      </w:r>
      <w:r w:rsidRPr="003E425B">
        <w:rPr>
          <w:rFonts w:ascii="Times New Roman" w:eastAsia="Times New Roman" w:hAnsi="Times New Roman" w:cs="Times New Roman"/>
          <w:sz w:val="28"/>
          <w:szCs w:val="20"/>
        </w:rPr>
        <w:t xml:space="preserve">argumentación de </w:t>
      </w:r>
      <w:r w:rsidRPr="003E425B">
        <w:rPr>
          <w:rFonts w:ascii="Times New Roman" w:eastAsia="Times New Roman" w:hAnsi="Times New Roman" w:cs="Times New Roman"/>
          <w:sz w:val="28"/>
          <w:szCs w:val="20"/>
        </w:rPr>
        <w:t xml:space="preserve">certeza, especificidad y suficiencia. Primero, carece de certeza, </w:t>
      </w:r>
      <w:r w:rsidRPr="003E425B">
        <w:rPr>
          <w:rFonts w:ascii="Times New Roman" w:eastAsia="Times New Roman" w:hAnsi="Times New Roman" w:cs="Times New Roman"/>
          <w:sz w:val="28"/>
          <w:szCs w:val="20"/>
        </w:rPr>
        <w:t>porque las irregularidades que denuncian no ocurrieron. Por el contrario, aseguran que tanto el informe de ponencia como el articulado fueron aprobados con el quórum y las mayorías decisorias que la Constitución y</w:t>
      </w:r>
      <w:r w:rsidRPr="003E425B">
        <w:rPr>
          <w:rFonts w:ascii="Times New Roman" w:eastAsia="Times New Roman" w:hAnsi="Times New Roman" w:cs="Times New Roman"/>
          <w:sz w:val="28"/>
          <w:szCs w:val="20"/>
        </w:rPr>
        <w:t xml:space="preserve"> la</w:t>
      </w:r>
      <w:r w:rsidRPr="003E425B">
        <w:rPr>
          <w:rFonts w:ascii="Times New Roman" w:eastAsia="Times New Roman" w:hAnsi="Times New Roman" w:cs="Times New Roman"/>
          <w:sz w:val="28"/>
          <w:szCs w:val="20"/>
        </w:rPr>
        <w:t xml:space="preserve"> Ley 5ª de 1992 exigen. Segundo, sostien</w:t>
      </w:r>
      <w:r w:rsidRPr="003E425B">
        <w:rPr>
          <w:rFonts w:ascii="Times New Roman" w:eastAsia="Times New Roman" w:hAnsi="Times New Roman" w:cs="Times New Roman"/>
          <w:sz w:val="28"/>
          <w:szCs w:val="20"/>
        </w:rPr>
        <w:t xml:space="preserve">en que el cargo no es específico, porque los </w:t>
      </w:r>
      <w:r w:rsidRPr="003E425B">
        <w:rPr>
          <w:rFonts w:ascii="Times New Roman" w:hAnsi="Times New Roman" w:cs="Times New Roman"/>
          <w:sz w:val="28"/>
        </w:rPr>
        <w:t>demandantes</w:t>
      </w:r>
      <w:r w:rsidRPr="003E425B">
        <w:rPr>
          <w:rFonts w:ascii="Times New Roman" w:eastAsia="Times New Roman" w:hAnsi="Times New Roman" w:cs="Times New Roman"/>
          <w:sz w:val="28"/>
          <w:szCs w:val="20"/>
        </w:rPr>
        <w:t xml:space="preserve"> parten de una interpretación subjetiva de los artículos </w:t>
      </w:r>
      <w:r w:rsidRPr="003E425B">
        <w:rPr>
          <w:rFonts w:ascii="Times New Roman" w:hAnsi="Times New Roman" w:cs="Times New Roman"/>
          <w:color w:val="000000" w:themeColor="text1"/>
          <w:sz w:val="28"/>
        </w:rPr>
        <w:t>119.2 de la Ley 5 de 1992 y 150 de la Constitución</w:t>
      </w:r>
      <w:r w:rsidRPr="003E425B">
        <w:rPr>
          <w:rFonts w:ascii="Times New Roman" w:eastAsia="Times New Roman" w:hAnsi="Times New Roman" w:cs="Times New Roman"/>
          <w:sz w:val="28"/>
          <w:szCs w:val="20"/>
        </w:rPr>
        <w:t>, al concluir que estas disposiciones exigen que todos los artículos de un proyecto de ley en</w:t>
      </w:r>
      <w:r w:rsidRPr="003E425B">
        <w:rPr>
          <w:rFonts w:ascii="Times New Roman" w:eastAsia="Times New Roman" w:hAnsi="Times New Roman" w:cs="Times New Roman"/>
          <w:sz w:val="28"/>
          <w:szCs w:val="20"/>
        </w:rPr>
        <w:t xml:space="preserve"> el que se confieren facultades extraordinarias deben ser aprobados con mayoría absoluta. En su criterio esta interpretación es irrazonable, en tanto la Constitución y la ley sólo exigen mayoría absoluta para </w:t>
      </w:r>
      <w:r w:rsidRPr="003E425B">
        <w:rPr>
          <w:rFonts w:ascii="Times New Roman" w:eastAsia="Times New Roman" w:hAnsi="Times New Roman" w:cs="Times New Roman"/>
          <w:sz w:val="28"/>
          <w:szCs w:val="20"/>
        </w:rPr>
        <w:t xml:space="preserve">que </w:t>
      </w:r>
      <w:r w:rsidRPr="003E425B">
        <w:rPr>
          <w:rFonts w:ascii="Times New Roman" w:eastAsia="Times New Roman" w:hAnsi="Times New Roman" w:cs="Times New Roman"/>
          <w:sz w:val="28"/>
          <w:szCs w:val="20"/>
        </w:rPr>
        <w:t xml:space="preserve">el </w:t>
      </w:r>
      <w:r w:rsidRPr="003E425B">
        <w:rPr>
          <w:rFonts w:ascii="Times New Roman" w:eastAsia="Times New Roman" w:hAnsi="Times New Roman" w:cs="Times New Roman"/>
          <w:sz w:val="28"/>
          <w:szCs w:val="20"/>
        </w:rPr>
        <w:t>artículo</w:t>
      </w:r>
      <w:r w:rsidRPr="003E425B">
        <w:rPr>
          <w:rFonts w:ascii="Times New Roman" w:eastAsia="Times New Roman" w:hAnsi="Times New Roman" w:cs="Times New Roman"/>
          <w:sz w:val="28"/>
          <w:szCs w:val="20"/>
        </w:rPr>
        <w:t xml:space="preserve"> que confiere las facultades sea</w:t>
      </w:r>
      <w:r w:rsidRPr="003E425B">
        <w:rPr>
          <w:rFonts w:ascii="Times New Roman" w:eastAsia="Times New Roman" w:hAnsi="Times New Roman" w:cs="Times New Roman"/>
          <w:sz w:val="28"/>
          <w:szCs w:val="20"/>
        </w:rPr>
        <w:t xml:space="preserve"> aprobado. Por estas razones, concluyen</w:t>
      </w:r>
      <w:r w:rsidRPr="003E425B">
        <w:rPr>
          <w:rFonts w:ascii="Times New Roman" w:eastAsia="Times New Roman" w:hAnsi="Times New Roman" w:cs="Times New Roman"/>
          <w:sz w:val="28"/>
          <w:szCs w:val="20"/>
        </w:rPr>
        <w:t xml:space="preserve"> que</w:t>
      </w:r>
      <w:r w:rsidRPr="003E425B">
        <w:rPr>
          <w:rFonts w:ascii="Times New Roman" w:eastAsia="Times New Roman" w:hAnsi="Times New Roman" w:cs="Times New Roman"/>
          <w:sz w:val="28"/>
          <w:szCs w:val="20"/>
        </w:rPr>
        <w:t xml:space="preserve"> el cargo no genera una duda mínima de la constitucionalidad, lo</w:t>
      </w:r>
      <w:r w:rsidRPr="003E425B">
        <w:rPr>
          <w:rFonts w:ascii="Times New Roman" w:eastAsia="Times New Roman" w:hAnsi="Times New Roman" w:cs="Times New Roman"/>
          <w:sz w:val="28"/>
          <w:szCs w:val="20"/>
        </w:rPr>
        <w:t xml:space="preserve"> </w:t>
      </w:r>
      <w:r w:rsidRPr="003E425B">
        <w:rPr>
          <w:rFonts w:ascii="Times New Roman" w:eastAsia="Times New Roman" w:hAnsi="Times New Roman" w:cs="Times New Roman"/>
          <w:sz w:val="28"/>
          <w:szCs w:val="20"/>
        </w:rPr>
        <w:t xml:space="preserve">que implica que no satisface la carga de suficiencia. </w:t>
      </w:r>
    </w:p>
    <w:p w:rsidR="00661E42" w:rsidRPr="003E425B" w:rsidRDefault="003E425B" w:rsidP="00010108">
      <w:pPr>
        <w:rPr>
          <w:rFonts w:ascii="Times New Roman" w:hAnsi="Times New Roman" w:cs="Times New Roman"/>
          <w:sz w:val="28"/>
        </w:rPr>
      </w:pPr>
    </w:p>
    <w:p w:rsidR="00661E42"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i/>
          <w:iCs/>
          <w:sz w:val="28"/>
        </w:rPr>
        <w:t>Análisis de la Sala</w:t>
      </w:r>
      <w:r w:rsidRPr="003E425B">
        <w:rPr>
          <w:rFonts w:ascii="Times New Roman" w:hAnsi="Times New Roman" w:cs="Times New Roman"/>
          <w:sz w:val="28"/>
        </w:rPr>
        <w:t xml:space="preserve">. </w:t>
      </w:r>
      <w:r w:rsidRPr="003E425B">
        <w:rPr>
          <w:rFonts w:ascii="Times New Roman" w:hAnsi="Times New Roman" w:cs="Times New Roman"/>
          <w:sz w:val="28"/>
        </w:rPr>
        <w:t xml:space="preserve">La Sala Plena </w:t>
      </w:r>
      <w:r w:rsidRPr="003E425B">
        <w:rPr>
          <w:rFonts w:ascii="Times New Roman" w:hAnsi="Times New Roman" w:cs="Times New Roman"/>
          <w:sz w:val="28"/>
        </w:rPr>
        <w:t xml:space="preserve">considera que el cargo primero </w:t>
      </w:r>
      <w:r w:rsidRPr="003E425B">
        <w:rPr>
          <w:rFonts w:ascii="Times New Roman" w:hAnsi="Times New Roman" w:cs="Times New Roman"/>
          <w:sz w:val="28"/>
        </w:rPr>
        <w:t>satisface las exigencias m</w:t>
      </w:r>
      <w:r w:rsidRPr="003E425B">
        <w:rPr>
          <w:rFonts w:ascii="Times New Roman" w:hAnsi="Times New Roman" w:cs="Times New Roman"/>
          <w:sz w:val="28"/>
        </w:rPr>
        <w:t>ínimas de argumentación</w:t>
      </w:r>
      <w:r w:rsidRPr="003E425B">
        <w:rPr>
          <w:rFonts w:ascii="Times New Roman" w:hAnsi="Times New Roman" w:cs="Times New Roman"/>
          <w:sz w:val="28"/>
        </w:rPr>
        <w:t xml:space="preserve">, </w:t>
      </w:r>
      <w:r w:rsidRPr="003E425B">
        <w:rPr>
          <w:rFonts w:ascii="Times New Roman" w:hAnsi="Times New Roman" w:cs="Times New Roman"/>
          <w:sz w:val="28"/>
        </w:rPr>
        <w:t xml:space="preserve">por las siguientes razones: </w:t>
      </w:r>
    </w:p>
    <w:p w:rsidR="00661E42" w:rsidRPr="003E425B" w:rsidRDefault="003E425B" w:rsidP="00010108">
      <w:pPr>
        <w:rPr>
          <w:rFonts w:ascii="Times New Roman" w:hAnsi="Times New Roman" w:cs="Times New Roman"/>
          <w:sz w:val="28"/>
        </w:rPr>
      </w:pPr>
    </w:p>
    <w:p w:rsidR="008F2F5B" w:rsidRPr="003E425B" w:rsidRDefault="003E425B" w:rsidP="00010108">
      <w:pPr>
        <w:numPr>
          <w:ilvl w:val="1"/>
          <w:numId w:val="10"/>
        </w:numPr>
        <w:ind w:left="851" w:hanging="851"/>
        <w:rPr>
          <w:rFonts w:ascii="Times New Roman" w:hAnsi="Times New Roman" w:cs="Times New Roman"/>
          <w:sz w:val="28"/>
        </w:rPr>
      </w:pPr>
      <w:r w:rsidRPr="003E425B">
        <w:rPr>
          <w:rFonts w:ascii="Times New Roman" w:hAnsi="Times New Roman" w:cs="Times New Roman"/>
          <w:sz w:val="28"/>
          <w:u w:val="single"/>
        </w:rPr>
        <w:t>Claridad</w:t>
      </w:r>
      <w:r w:rsidRPr="003E425B">
        <w:rPr>
          <w:rFonts w:ascii="Times New Roman" w:hAnsi="Times New Roman" w:cs="Times New Roman"/>
          <w:i/>
          <w:iCs/>
          <w:sz w:val="28"/>
        </w:rPr>
        <w:t xml:space="preserve">. </w:t>
      </w:r>
      <w:r w:rsidRPr="003E425B">
        <w:rPr>
          <w:rFonts w:ascii="Times New Roman" w:hAnsi="Times New Roman" w:cs="Times New Roman"/>
          <w:sz w:val="28"/>
        </w:rPr>
        <w:t>El cargo es claro,</w:t>
      </w:r>
      <w:r w:rsidRPr="003E425B">
        <w:rPr>
          <w:rFonts w:ascii="Times New Roman" w:hAnsi="Times New Roman" w:cs="Times New Roman"/>
          <w:i/>
          <w:iCs/>
          <w:sz w:val="28"/>
        </w:rPr>
        <w:t xml:space="preserve"> </w:t>
      </w:r>
      <w:r w:rsidRPr="003E425B">
        <w:rPr>
          <w:rFonts w:ascii="Times New Roman" w:hAnsi="Times New Roman" w:cs="Times New Roman"/>
          <w:sz w:val="28"/>
        </w:rPr>
        <w:t>porque sigue un hilo de argumentación lógico. En efecto, los demandantes exponen de forma inteligible los motivos por los cuales</w:t>
      </w:r>
      <w:r w:rsidRPr="003E425B">
        <w:rPr>
          <w:rFonts w:ascii="Times New Roman" w:hAnsi="Times New Roman" w:cs="Times New Roman"/>
          <w:sz w:val="28"/>
        </w:rPr>
        <w:t xml:space="preserve"> consideran </w:t>
      </w:r>
      <w:r w:rsidRPr="003E425B">
        <w:rPr>
          <w:rFonts w:ascii="Times New Roman" w:hAnsi="Times New Roman" w:cs="Times New Roman"/>
          <w:sz w:val="28"/>
        </w:rPr>
        <w:t xml:space="preserve">que </w:t>
      </w:r>
      <w:r w:rsidRPr="003E425B">
        <w:rPr>
          <w:rFonts w:ascii="Times New Roman" w:hAnsi="Times New Roman" w:cs="Times New Roman"/>
          <w:sz w:val="28"/>
        </w:rPr>
        <w:t>la Comisión Primera Constitu</w:t>
      </w:r>
      <w:r w:rsidRPr="003E425B">
        <w:rPr>
          <w:rFonts w:ascii="Times New Roman" w:hAnsi="Times New Roman" w:cs="Times New Roman"/>
          <w:sz w:val="28"/>
        </w:rPr>
        <w:t>cional del Senado</w:t>
      </w:r>
      <w:r w:rsidRPr="003E425B">
        <w:rPr>
          <w:rFonts w:ascii="Times New Roman" w:hAnsi="Times New Roman" w:cs="Times New Roman"/>
          <w:sz w:val="28"/>
        </w:rPr>
        <w:t xml:space="preserve"> </w:t>
      </w:r>
      <w:r w:rsidRPr="003E425B">
        <w:rPr>
          <w:rFonts w:ascii="Times New Roman" w:hAnsi="Times New Roman" w:cs="Times New Roman"/>
          <w:sz w:val="28"/>
        </w:rPr>
        <w:t>dio po</w:t>
      </w:r>
      <w:r w:rsidRPr="003E425B">
        <w:rPr>
          <w:rFonts w:ascii="Times New Roman" w:hAnsi="Times New Roman" w:cs="Times New Roman"/>
          <w:sz w:val="28"/>
        </w:rPr>
        <w:t>r</w:t>
      </w:r>
      <w:r w:rsidRPr="003E425B">
        <w:rPr>
          <w:rFonts w:ascii="Times New Roman" w:hAnsi="Times New Roman" w:cs="Times New Roman"/>
          <w:sz w:val="28"/>
        </w:rPr>
        <w:t xml:space="preserve"> aprobado el informe de ponencia para debate</w:t>
      </w:r>
      <w:r w:rsidRPr="003E425B">
        <w:rPr>
          <w:rFonts w:ascii="Times New Roman" w:hAnsi="Times New Roman" w:cs="Times New Roman"/>
          <w:sz w:val="28"/>
        </w:rPr>
        <w:t xml:space="preserve"> sin el quórum decisorio, la votación y las mayorías previstas en la Ley</w:t>
      </w:r>
      <w:r w:rsidRPr="003E425B">
        <w:rPr>
          <w:rFonts w:ascii="Times New Roman" w:hAnsi="Times New Roman" w:cs="Times New Roman"/>
          <w:sz w:val="28"/>
        </w:rPr>
        <w:t>. Asimismo, exponen</w:t>
      </w:r>
      <w:r w:rsidRPr="003E425B">
        <w:rPr>
          <w:rFonts w:ascii="Times New Roman" w:hAnsi="Times New Roman" w:cs="Times New Roman"/>
          <w:sz w:val="28"/>
        </w:rPr>
        <w:t xml:space="preserve"> </w:t>
      </w:r>
      <w:r w:rsidRPr="003E425B">
        <w:rPr>
          <w:rFonts w:ascii="Times New Roman" w:hAnsi="Times New Roman" w:cs="Times New Roman"/>
          <w:sz w:val="28"/>
        </w:rPr>
        <w:t>las razones po</w:t>
      </w:r>
      <w:r w:rsidRPr="003E425B">
        <w:rPr>
          <w:rFonts w:ascii="Times New Roman" w:hAnsi="Times New Roman" w:cs="Times New Roman"/>
          <w:sz w:val="28"/>
        </w:rPr>
        <w:t>r</w:t>
      </w:r>
      <w:r w:rsidRPr="003E425B">
        <w:rPr>
          <w:rFonts w:ascii="Times New Roman" w:hAnsi="Times New Roman" w:cs="Times New Roman"/>
          <w:sz w:val="28"/>
        </w:rPr>
        <w:t xml:space="preserve"> </w:t>
      </w:r>
      <w:r w:rsidRPr="003E425B">
        <w:rPr>
          <w:rFonts w:ascii="Times New Roman" w:hAnsi="Times New Roman" w:cs="Times New Roman"/>
          <w:sz w:val="28"/>
        </w:rPr>
        <w:t xml:space="preserve">las </w:t>
      </w:r>
      <w:r w:rsidRPr="003E425B">
        <w:rPr>
          <w:rFonts w:ascii="Times New Roman" w:hAnsi="Times New Roman" w:cs="Times New Roman"/>
          <w:sz w:val="28"/>
        </w:rPr>
        <w:t xml:space="preserve">cuales este defecto </w:t>
      </w:r>
      <w:r w:rsidRPr="003E425B">
        <w:rPr>
          <w:rFonts w:ascii="Times New Roman" w:hAnsi="Times New Roman" w:cs="Times New Roman"/>
          <w:sz w:val="28"/>
        </w:rPr>
        <w:t>constituiría un vicio de procedimiento</w:t>
      </w:r>
      <w:r w:rsidRPr="003E425B">
        <w:rPr>
          <w:rFonts w:ascii="Times New Roman" w:hAnsi="Times New Roman" w:cs="Times New Roman"/>
          <w:sz w:val="28"/>
        </w:rPr>
        <w:t xml:space="preserve"> insubsanable. </w:t>
      </w:r>
      <w:r w:rsidRPr="003E425B">
        <w:rPr>
          <w:rFonts w:ascii="Times New Roman" w:hAnsi="Times New Roman" w:cs="Times New Roman"/>
          <w:sz w:val="28"/>
        </w:rPr>
        <w:t xml:space="preserve"> </w:t>
      </w:r>
    </w:p>
    <w:p w:rsidR="008F2F5B" w:rsidRPr="003E425B" w:rsidRDefault="003E425B" w:rsidP="00010108">
      <w:pPr>
        <w:numPr>
          <w:ilvl w:val="1"/>
          <w:numId w:val="10"/>
        </w:numPr>
        <w:ind w:left="851" w:hanging="851"/>
        <w:rPr>
          <w:rFonts w:ascii="Times New Roman" w:hAnsi="Times New Roman" w:cs="Times New Roman"/>
          <w:sz w:val="28"/>
        </w:rPr>
      </w:pPr>
      <w:r w:rsidRPr="003E425B">
        <w:rPr>
          <w:rFonts w:ascii="Times New Roman" w:hAnsi="Times New Roman" w:cs="Times New Roman"/>
          <w:sz w:val="28"/>
          <w:u w:val="single"/>
        </w:rPr>
        <w:t>Certeza</w:t>
      </w:r>
      <w:r w:rsidRPr="003E425B">
        <w:rPr>
          <w:rFonts w:ascii="Times New Roman" w:hAnsi="Times New Roman" w:cs="Times New Roman"/>
          <w:sz w:val="28"/>
        </w:rPr>
        <w:t xml:space="preserve">. El cargo satisface la carga de certeza, porque </w:t>
      </w:r>
      <w:r w:rsidRPr="003E425B">
        <w:rPr>
          <w:rFonts w:ascii="Times New Roman" w:hAnsi="Times New Roman" w:cs="Times New Roman"/>
          <w:sz w:val="28"/>
        </w:rPr>
        <w:t>los demandantes presentaron registros fílmicos y fotográficos que, en su criterio, demuestran que</w:t>
      </w:r>
      <w:r w:rsidRPr="003E425B">
        <w:rPr>
          <w:rFonts w:ascii="Times New Roman" w:hAnsi="Times New Roman" w:cs="Times New Roman"/>
          <w:sz w:val="28"/>
        </w:rPr>
        <w:t xml:space="preserve">, </w:t>
      </w:r>
      <w:r w:rsidRPr="003E425B">
        <w:rPr>
          <w:rFonts w:ascii="Times New Roman" w:hAnsi="Times New Roman" w:cs="Times New Roman"/>
          <w:sz w:val="28"/>
        </w:rPr>
        <w:t>en la sesión de 2</w:t>
      </w:r>
      <w:r w:rsidRPr="003E425B">
        <w:rPr>
          <w:rFonts w:ascii="Times New Roman" w:hAnsi="Times New Roman" w:cs="Times New Roman"/>
          <w:sz w:val="28"/>
        </w:rPr>
        <w:t>4</w:t>
      </w:r>
      <w:r w:rsidRPr="003E425B">
        <w:rPr>
          <w:rFonts w:ascii="Times New Roman" w:hAnsi="Times New Roman" w:cs="Times New Roman"/>
          <w:sz w:val="28"/>
        </w:rPr>
        <w:t xml:space="preserve"> de noviembre de 2022, al momento en que se llevó a cabo la votación ordinaria del </w:t>
      </w:r>
      <w:r w:rsidRPr="003E425B">
        <w:rPr>
          <w:rFonts w:ascii="Times New Roman" w:hAnsi="Times New Roman" w:cs="Times New Roman"/>
          <w:sz w:val="28"/>
        </w:rPr>
        <w:t>informe de ponencia en la Comisión Primera del Senado, no existía quórum decisorio</w:t>
      </w:r>
      <w:r w:rsidRPr="003E425B">
        <w:rPr>
          <w:rFonts w:ascii="Times New Roman" w:hAnsi="Times New Roman" w:cs="Times New Roman"/>
          <w:sz w:val="28"/>
        </w:rPr>
        <w:t xml:space="preserve"> y, por lo tanto, tampoco podía haberse aprobado por mayoría absoluta</w:t>
      </w:r>
      <w:r w:rsidRPr="003E425B">
        <w:rPr>
          <w:rFonts w:ascii="Times New Roman" w:hAnsi="Times New Roman" w:cs="Times New Roman"/>
          <w:sz w:val="28"/>
        </w:rPr>
        <w:t xml:space="preserve">. Ahora bien, la Sala reconoce </w:t>
      </w:r>
      <w:r w:rsidRPr="003E425B">
        <w:rPr>
          <w:rFonts w:ascii="Times New Roman" w:hAnsi="Times New Roman" w:cs="Times New Roman"/>
          <w:color w:val="000000" w:themeColor="text1"/>
          <w:sz w:val="28"/>
        </w:rPr>
        <w:t xml:space="preserve">que, tal y como lo afirman los intervinientes, estos registros fílmicos y </w:t>
      </w:r>
      <w:r w:rsidRPr="003E425B">
        <w:rPr>
          <w:rFonts w:ascii="Times New Roman" w:hAnsi="Times New Roman" w:cs="Times New Roman"/>
          <w:color w:val="000000" w:themeColor="text1"/>
          <w:sz w:val="28"/>
        </w:rPr>
        <w:t>fotográficos parecerían contradecir la información consignada en el acta de la sesión</w:t>
      </w:r>
      <w:r w:rsidRPr="003E425B">
        <w:rPr>
          <w:rFonts w:ascii="Times New Roman" w:hAnsi="Times New Roman" w:cs="Times New Roman"/>
          <w:color w:val="000000" w:themeColor="text1"/>
          <w:sz w:val="28"/>
        </w:rPr>
        <w:t xml:space="preserve"> que está publicada en la Gaceta del Congreso</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 xml:space="preserve"> Sin embargo, esto no implica que el cargo carezca de certeza. La valoración probatoria de estos medios de prueba es un asunt</w:t>
      </w:r>
      <w:r w:rsidRPr="003E425B">
        <w:rPr>
          <w:rFonts w:ascii="Times New Roman" w:hAnsi="Times New Roman" w:cs="Times New Roman"/>
          <w:color w:val="000000" w:themeColor="text1"/>
          <w:sz w:val="28"/>
        </w:rPr>
        <w:t xml:space="preserve">o que la Sala debe llevar a cabo en el fondo. </w:t>
      </w:r>
    </w:p>
    <w:p w:rsidR="008F2F5B" w:rsidRPr="003E425B" w:rsidRDefault="003E425B" w:rsidP="00010108">
      <w:pPr>
        <w:numPr>
          <w:ilvl w:val="1"/>
          <w:numId w:val="10"/>
        </w:numPr>
        <w:ind w:left="851" w:hanging="851"/>
        <w:rPr>
          <w:rFonts w:ascii="Times New Roman" w:hAnsi="Times New Roman" w:cs="Times New Roman"/>
          <w:sz w:val="28"/>
        </w:rPr>
      </w:pPr>
      <w:r w:rsidRPr="003E425B">
        <w:rPr>
          <w:rFonts w:ascii="Times New Roman" w:hAnsi="Times New Roman" w:cs="Times New Roman"/>
          <w:sz w:val="28"/>
          <w:u w:val="single"/>
        </w:rPr>
        <w:t>Especificidad</w:t>
      </w:r>
      <w:r w:rsidRPr="003E425B">
        <w:rPr>
          <w:rFonts w:ascii="Times New Roman" w:hAnsi="Times New Roman" w:cs="Times New Roman"/>
          <w:i/>
          <w:iCs/>
          <w:sz w:val="28"/>
        </w:rPr>
        <w:t>.</w:t>
      </w:r>
      <w:r w:rsidRPr="003E425B">
        <w:rPr>
          <w:rFonts w:ascii="Times New Roman" w:hAnsi="Times New Roman" w:cs="Times New Roman"/>
          <w:sz w:val="28"/>
        </w:rPr>
        <w:t xml:space="preserve"> El cargo es específico porque está fundado en argumentos precisos</w:t>
      </w:r>
      <w:r w:rsidRPr="003E425B">
        <w:rPr>
          <w:rFonts w:ascii="Times New Roman" w:hAnsi="Times New Roman" w:cs="Times New Roman"/>
          <w:sz w:val="28"/>
        </w:rPr>
        <w:t xml:space="preserve"> y concretos</w:t>
      </w:r>
      <w:r w:rsidRPr="003E425B">
        <w:rPr>
          <w:rFonts w:ascii="Times New Roman" w:hAnsi="Times New Roman" w:cs="Times New Roman"/>
          <w:sz w:val="28"/>
        </w:rPr>
        <w:t xml:space="preserve">. Contrario a lo sostenido por los intervinientes, los actores no se limitaron a afirmar de manera genérica que toda </w:t>
      </w:r>
      <w:r w:rsidRPr="003E425B">
        <w:rPr>
          <w:rFonts w:ascii="Times New Roman" w:hAnsi="Times New Roman" w:cs="Times New Roman"/>
          <w:sz w:val="28"/>
        </w:rPr>
        <w:t>la ley era inconstitucional porque debía ser aprobada por mayoría absoluta. Por el contrario, presentaron de forma específica las razones por las cuales</w:t>
      </w:r>
      <w:r w:rsidRPr="003E425B">
        <w:rPr>
          <w:rFonts w:ascii="Times New Roman" w:hAnsi="Times New Roman" w:cs="Times New Roman"/>
          <w:sz w:val="28"/>
        </w:rPr>
        <w:t xml:space="preserve"> consideran que</w:t>
      </w:r>
      <w:r w:rsidRPr="003E425B">
        <w:rPr>
          <w:rFonts w:ascii="Times New Roman" w:hAnsi="Times New Roman" w:cs="Times New Roman"/>
          <w:sz w:val="28"/>
        </w:rPr>
        <w:t xml:space="preserve"> la supuesta falta de aprobación del informe de ponencia del primer debate en comisiones </w:t>
      </w:r>
      <w:r w:rsidRPr="003E425B">
        <w:rPr>
          <w:rFonts w:ascii="Times New Roman" w:hAnsi="Times New Roman" w:cs="Times New Roman"/>
          <w:sz w:val="28"/>
        </w:rPr>
        <w:t xml:space="preserve">conjuntas -dentro del cual se encontraba el artículo 12- sin el cumplimiento de los requisitos </w:t>
      </w:r>
      <w:r w:rsidRPr="003E425B">
        <w:rPr>
          <w:rFonts w:ascii="Times New Roman" w:hAnsi="Times New Roman" w:cs="Times New Roman"/>
          <w:sz w:val="28"/>
        </w:rPr>
        <w:t xml:space="preserve">de quórum, forma de votación y mayorías decisorias, </w:t>
      </w:r>
      <w:r w:rsidRPr="003E425B">
        <w:rPr>
          <w:rFonts w:ascii="Times New Roman" w:hAnsi="Times New Roman" w:cs="Times New Roman"/>
          <w:sz w:val="28"/>
        </w:rPr>
        <w:t>configuraría un vicio de procedimiento.</w:t>
      </w:r>
    </w:p>
    <w:p w:rsidR="008F2F5B" w:rsidRPr="003E425B" w:rsidRDefault="003E425B" w:rsidP="00010108">
      <w:pPr>
        <w:numPr>
          <w:ilvl w:val="1"/>
          <w:numId w:val="10"/>
        </w:numPr>
        <w:ind w:left="851" w:hanging="851"/>
        <w:rPr>
          <w:rFonts w:ascii="Times New Roman" w:hAnsi="Times New Roman" w:cs="Times New Roman"/>
          <w:sz w:val="28"/>
        </w:rPr>
      </w:pPr>
      <w:r w:rsidRPr="003E425B">
        <w:rPr>
          <w:rFonts w:ascii="Times New Roman" w:hAnsi="Times New Roman" w:cs="Times New Roman"/>
          <w:sz w:val="28"/>
          <w:u w:val="single"/>
        </w:rPr>
        <w:t>Pertinencia</w:t>
      </w:r>
      <w:r w:rsidRPr="003E425B">
        <w:rPr>
          <w:rFonts w:ascii="Times New Roman" w:hAnsi="Times New Roman" w:cs="Times New Roman"/>
          <w:sz w:val="28"/>
        </w:rPr>
        <w:t>. El cargo es pertinente, porque los demandantes fundament</w:t>
      </w:r>
      <w:r w:rsidRPr="003E425B">
        <w:rPr>
          <w:rFonts w:ascii="Times New Roman" w:hAnsi="Times New Roman" w:cs="Times New Roman"/>
          <w:sz w:val="28"/>
        </w:rPr>
        <w:t xml:space="preserve">an su </w:t>
      </w:r>
      <w:r w:rsidRPr="003E425B">
        <w:rPr>
          <w:rFonts w:ascii="Times New Roman" w:hAnsi="Times New Roman" w:cs="Times New Roman"/>
          <w:sz w:val="28"/>
        </w:rPr>
        <w:t>acusación</w:t>
      </w:r>
      <w:r w:rsidRPr="003E425B">
        <w:rPr>
          <w:rFonts w:ascii="Times New Roman" w:hAnsi="Times New Roman" w:cs="Times New Roman"/>
          <w:sz w:val="28"/>
        </w:rPr>
        <w:t xml:space="preserve"> en argumentos de naturaleza constitucional. En efecto, </w:t>
      </w:r>
      <w:r w:rsidRPr="003E425B">
        <w:rPr>
          <w:rFonts w:ascii="Times New Roman" w:hAnsi="Times New Roman" w:cs="Times New Roman"/>
          <w:sz w:val="28"/>
        </w:rPr>
        <w:t>sustentan</w:t>
      </w:r>
      <w:r w:rsidRPr="003E425B">
        <w:rPr>
          <w:rFonts w:ascii="Times New Roman" w:hAnsi="Times New Roman" w:cs="Times New Roman"/>
          <w:sz w:val="28"/>
        </w:rPr>
        <w:t xml:space="preserve"> su reproche en el presunto desconocimiento </w:t>
      </w:r>
      <w:r w:rsidRPr="003E425B">
        <w:rPr>
          <w:rFonts w:ascii="Times New Roman" w:hAnsi="Times New Roman" w:cs="Times New Roman"/>
          <w:sz w:val="28"/>
        </w:rPr>
        <w:t>de los artículos</w:t>
      </w:r>
      <w:r w:rsidRPr="003E425B">
        <w:rPr>
          <w:rFonts w:ascii="Times New Roman" w:hAnsi="Times New Roman" w:cs="Times New Roman"/>
          <w:sz w:val="28"/>
        </w:rPr>
        <w:t xml:space="preserve"> 145 </w:t>
      </w:r>
      <w:r w:rsidRPr="003E425B">
        <w:rPr>
          <w:rFonts w:ascii="Times New Roman" w:hAnsi="Times New Roman" w:cs="Times New Roman"/>
          <w:sz w:val="28"/>
        </w:rPr>
        <w:t xml:space="preserve">y 150 </w:t>
      </w:r>
      <w:r w:rsidRPr="003E425B">
        <w:rPr>
          <w:rFonts w:ascii="Times New Roman" w:hAnsi="Times New Roman" w:cs="Times New Roman"/>
          <w:sz w:val="28"/>
        </w:rPr>
        <w:t xml:space="preserve">de la Constitución, así como en las reglas </w:t>
      </w:r>
      <w:r w:rsidRPr="003E425B">
        <w:rPr>
          <w:rFonts w:ascii="Times New Roman" w:hAnsi="Times New Roman" w:cs="Times New Roman"/>
          <w:sz w:val="28"/>
        </w:rPr>
        <w:t xml:space="preserve">orgánicas </w:t>
      </w:r>
      <w:r w:rsidRPr="003E425B">
        <w:rPr>
          <w:rFonts w:ascii="Times New Roman" w:hAnsi="Times New Roman" w:cs="Times New Roman"/>
          <w:sz w:val="28"/>
        </w:rPr>
        <w:t>de quórum y mayorías previstas en La ley 5ª de 1992.</w:t>
      </w:r>
      <w:r w:rsidRPr="003E425B">
        <w:rPr>
          <w:rFonts w:ascii="Times New Roman" w:hAnsi="Times New Roman" w:cs="Times New Roman"/>
          <w:sz w:val="28"/>
        </w:rPr>
        <w:t xml:space="preserve"> </w:t>
      </w:r>
    </w:p>
    <w:p w:rsidR="00661E42" w:rsidRPr="003E425B" w:rsidRDefault="003E425B" w:rsidP="00010108">
      <w:pPr>
        <w:numPr>
          <w:ilvl w:val="1"/>
          <w:numId w:val="10"/>
        </w:numPr>
        <w:ind w:left="851" w:hanging="851"/>
        <w:rPr>
          <w:rFonts w:ascii="Times New Roman" w:hAnsi="Times New Roman" w:cs="Times New Roman"/>
          <w:sz w:val="28"/>
        </w:rPr>
      </w:pPr>
      <w:r w:rsidRPr="003E425B">
        <w:rPr>
          <w:rFonts w:ascii="Times New Roman" w:hAnsi="Times New Roman" w:cs="Times New Roman"/>
          <w:sz w:val="28"/>
          <w:u w:val="single"/>
        </w:rPr>
        <w:t>Suficiencia</w:t>
      </w:r>
      <w:r w:rsidRPr="003E425B">
        <w:rPr>
          <w:rFonts w:ascii="Times New Roman" w:hAnsi="Times New Roman" w:cs="Times New Roman"/>
          <w:sz w:val="28"/>
        </w:rPr>
        <w:t xml:space="preserve">. </w:t>
      </w:r>
      <w:r w:rsidRPr="003E425B">
        <w:rPr>
          <w:rFonts w:ascii="Times New Roman" w:hAnsi="Times New Roman" w:cs="Times New Roman"/>
          <w:sz w:val="28"/>
        </w:rPr>
        <w:t>Con fundamento en las anteriores consideraciones,</w:t>
      </w:r>
      <w:r w:rsidRPr="003E425B">
        <w:rPr>
          <w:rFonts w:ascii="Times New Roman" w:hAnsi="Times New Roman" w:cs="Times New Roman"/>
          <w:sz w:val="28"/>
        </w:rPr>
        <w:t xml:space="preserve"> </w:t>
      </w:r>
      <w:r w:rsidRPr="003E425B">
        <w:rPr>
          <w:rFonts w:ascii="Times New Roman" w:hAnsi="Times New Roman" w:cs="Times New Roman"/>
          <w:sz w:val="28"/>
        </w:rPr>
        <w:t xml:space="preserve">la </w:t>
      </w:r>
      <w:r w:rsidRPr="003E425B">
        <w:rPr>
          <w:rFonts w:ascii="Times New Roman" w:hAnsi="Times New Roman" w:cs="Times New Roman"/>
          <w:sz w:val="28"/>
        </w:rPr>
        <w:t xml:space="preserve">Sala Plena encuentra que el cargo satisface la carga de suficiencia, porque genera una duda mínima de constitucionalidad de la ley demandada. Esto, porque exige a la Corte estudiar si </w:t>
      </w:r>
      <w:r w:rsidRPr="003E425B">
        <w:rPr>
          <w:rFonts w:ascii="Times New Roman" w:hAnsi="Times New Roman" w:cs="Times New Roman"/>
          <w:sz w:val="28"/>
        </w:rPr>
        <w:t xml:space="preserve">la Comisión Primera del Senado </w:t>
      </w:r>
      <w:r w:rsidRPr="003E425B">
        <w:rPr>
          <w:rFonts w:ascii="Times New Roman" w:hAnsi="Times New Roman" w:cs="Times New Roman"/>
          <w:sz w:val="28"/>
        </w:rPr>
        <w:t xml:space="preserve">efectivamente aprobó </w:t>
      </w:r>
      <w:r w:rsidRPr="003E425B">
        <w:rPr>
          <w:rFonts w:ascii="Times New Roman" w:hAnsi="Times New Roman" w:cs="Times New Roman"/>
          <w:sz w:val="28"/>
        </w:rPr>
        <w:t xml:space="preserve">el informe de ponencia </w:t>
      </w:r>
      <w:r w:rsidRPr="003E425B">
        <w:rPr>
          <w:rFonts w:ascii="Times New Roman" w:hAnsi="Times New Roman" w:cs="Times New Roman"/>
          <w:sz w:val="28"/>
        </w:rPr>
        <w:t xml:space="preserve">presentado a las </w:t>
      </w:r>
      <w:r w:rsidRPr="003E425B">
        <w:rPr>
          <w:rFonts w:ascii="Times New Roman" w:hAnsi="Times New Roman" w:cs="Times New Roman"/>
          <w:sz w:val="28"/>
        </w:rPr>
        <w:t>comisiones constitucionales conjuntas con el quórum, la votación y las mayorías exigidas en la Constitución y la Ley.</w:t>
      </w:r>
    </w:p>
    <w:p w:rsidR="0044748D" w:rsidRPr="003E425B" w:rsidRDefault="003E425B" w:rsidP="00010108">
      <w:pPr>
        <w:rPr>
          <w:rFonts w:ascii="Times New Roman" w:hAnsi="Times New Roman" w:cs="Times New Roman"/>
          <w:sz w:val="28"/>
        </w:rPr>
      </w:pPr>
    </w:p>
    <w:p w:rsidR="00661E42" w:rsidRPr="003E425B" w:rsidRDefault="003E425B" w:rsidP="000C6CC6">
      <w:pPr>
        <w:pStyle w:val="Ttulo4"/>
        <w:numPr>
          <w:ilvl w:val="0"/>
          <w:numId w:val="16"/>
        </w:numPr>
        <w:ind w:hanging="436"/>
        <w:rPr>
          <w:rFonts w:ascii="Times New Roman" w:hAnsi="Times New Roman" w:cs="Times New Roman"/>
          <w:sz w:val="28"/>
        </w:rPr>
      </w:pPr>
      <w:r w:rsidRPr="003E425B">
        <w:rPr>
          <w:rFonts w:ascii="Times New Roman" w:hAnsi="Times New Roman" w:cs="Times New Roman"/>
          <w:sz w:val="28"/>
        </w:rPr>
        <w:t>Aptitud del cargo segundo</w:t>
      </w:r>
      <w:r w:rsidRPr="003E425B">
        <w:rPr>
          <w:rFonts w:ascii="Times New Roman" w:hAnsi="Times New Roman" w:cs="Times New Roman"/>
          <w:sz w:val="28"/>
        </w:rPr>
        <w:t xml:space="preserve"> por violación del a</w:t>
      </w:r>
      <w:r w:rsidRPr="003E425B">
        <w:rPr>
          <w:rFonts w:ascii="Times New Roman" w:hAnsi="Times New Roman" w:cs="Times New Roman"/>
          <w:sz w:val="28"/>
        </w:rPr>
        <w:t xml:space="preserve">rtículo 7º de la Ley 819 de 2003 y 151 de la Constitución Política </w:t>
      </w:r>
    </w:p>
    <w:p w:rsidR="008F2F5B" w:rsidRPr="003E425B" w:rsidRDefault="003E425B" w:rsidP="00010108">
      <w:pPr>
        <w:pStyle w:val="Prrafodelista"/>
        <w:spacing w:line="240" w:lineRule="auto"/>
        <w:rPr>
          <w:rFonts w:ascii="Times New Roman" w:hAnsi="Times New Roman"/>
          <w:sz w:val="28"/>
        </w:rPr>
      </w:pPr>
    </w:p>
    <w:p w:rsidR="00445AB6"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i/>
          <w:iCs/>
          <w:sz w:val="28"/>
        </w:rPr>
        <w:t>Cuestionamiento de aptitud</w:t>
      </w:r>
      <w:r w:rsidRPr="003E425B">
        <w:rPr>
          <w:rFonts w:ascii="Times New Roman" w:hAnsi="Times New Roman" w:cs="Times New Roman"/>
          <w:sz w:val="28"/>
        </w:rPr>
        <w:t xml:space="preserve">. </w:t>
      </w:r>
      <w:r w:rsidRPr="003E425B">
        <w:rPr>
          <w:rFonts w:ascii="Times New Roman" w:hAnsi="Times New Roman" w:cs="Times New Roman"/>
          <w:sz w:val="28"/>
        </w:rPr>
        <w:t>E</w:t>
      </w:r>
      <w:r w:rsidRPr="003E425B">
        <w:rPr>
          <w:rFonts w:ascii="Times New Roman" w:hAnsi="Times New Roman" w:cs="Times New Roman"/>
          <w:sz w:val="28"/>
        </w:rPr>
        <w:t xml:space="preserve">l DAPS </w:t>
      </w:r>
      <w:r w:rsidRPr="003E425B">
        <w:rPr>
          <w:rFonts w:ascii="Times New Roman" w:eastAsia="Times New Roman" w:hAnsi="Times New Roman" w:cs="Times New Roman"/>
          <w:sz w:val="28"/>
          <w:szCs w:val="20"/>
        </w:rPr>
        <w:t>sostiene</w:t>
      </w:r>
      <w:r w:rsidRPr="003E425B">
        <w:rPr>
          <w:rFonts w:ascii="Times New Roman" w:eastAsia="Times New Roman" w:hAnsi="Times New Roman" w:cs="Times New Roman"/>
          <w:sz w:val="28"/>
          <w:szCs w:val="20"/>
        </w:rPr>
        <w:t xml:space="preserve"> que el cargo </w:t>
      </w:r>
      <w:r w:rsidRPr="003E425B">
        <w:rPr>
          <w:rFonts w:ascii="Times New Roman" w:eastAsia="Times New Roman" w:hAnsi="Times New Roman" w:cs="Times New Roman"/>
          <w:sz w:val="28"/>
          <w:szCs w:val="20"/>
        </w:rPr>
        <w:t>segundo</w:t>
      </w:r>
      <w:r w:rsidRPr="003E425B">
        <w:rPr>
          <w:rFonts w:ascii="Times New Roman" w:eastAsia="Times New Roman" w:hAnsi="Times New Roman" w:cs="Times New Roman"/>
          <w:sz w:val="28"/>
          <w:szCs w:val="20"/>
        </w:rPr>
        <w:t xml:space="preserve"> es inepto, porque no satisface </w:t>
      </w:r>
      <w:r w:rsidRPr="003E425B">
        <w:rPr>
          <w:rFonts w:ascii="Times New Roman" w:eastAsia="Times New Roman" w:hAnsi="Times New Roman" w:cs="Times New Roman"/>
          <w:sz w:val="28"/>
          <w:szCs w:val="20"/>
        </w:rPr>
        <w:t>las cargas argumentativas</w:t>
      </w:r>
      <w:r w:rsidRPr="003E425B">
        <w:rPr>
          <w:rFonts w:ascii="Times New Roman" w:eastAsia="Times New Roman" w:hAnsi="Times New Roman" w:cs="Times New Roman"/>
          <w:sz w:val="28"/>
          <w:szCs w:val="20"/>
        </w:rPr>
        <w:t xml:space="preserve"> de pertinencia y suficiencia. </w:t>
      </w:r>
      <w:r w:rsidRPr="003E425B">
        <w:rPr>
          <w:rFonts w:ascii="Times New Roman" w:eastAsia="Times New Roman" w:hAnsi="Times New Roman" w:cs="Times New Roman"/>
          <w:sz w:val="28"/>
          <w:szCs w:val="20"/>
        </w:rPr>
        <w:t xml:space="preserve">En su criterio, el cargo </w:t>
      </w:r>
      <w:r w:rsidRPr="003E425B">
        <w:rPr>
          <w:rFonts w:ascii="Times New Roman" w:eastAsia="Times New Roman" w:hAnsi="Times New Roman" w:cs="Times New Roman"/>
          <w:sz w:val="28"/>
          <w:szCs w:val="20"/>
        </w:rPr>
        <w:t xml:space="preserve">se funda </w:t>
      </w:r>
      <w:r w:rsidRPr="003E425B">
        <w:rPr>
          <w:rFonts w:ascii="Times New Roman" w:eastAsia="Times New Roman" w:hAnsi="Times New Roman" w:cs="Times New Roman"/>
          <w:sz w:val="28"/>
          <w:szCs w:val="20"/>
        </w:rPr>
        <w:t xml:space="preserve">en una especulación: que la Ley </w:t>
      </w:r>
      <w:r w:rsidRPr="003E425B">
        <w:rPr>
          <w:rFonts w:ascii="Times New Roman" w:eastAsia="Times New Roman" w:hAnsi="Times New Roman" w:cs="Times New Roman"/>
          <w:sz w:val="28"/>
          <w:szCs w:val="20"/>
        </w:rPr>
        <w:t xml:space="preserve">2281 de 2023 es incompatible con el </w:t>
      </w:r>
      <w:r w:rsidRPr="003E425B">
        <w:rPr>
          <w:rFonts w:ascii="Times New Roman" w:eastAsia="Times New Roman" w:hAnsi="Times New Roman" w:cs="Times New Roman"/>
          <w:sz w:val="28"/>
          <w:szCs w:val="20"/>
        </w:rPr>
        <w:t>M</w:t>
      </w:r>
      <w:r w:rsidRPr="003E425B">
        <w:rPr>
          <w:rFonts w:ascii="Times New Roman" w:eastAsia="Times New Roman" w:hAnsi="Times New Roman" w:cs="Times New Roman"/>
          <w:sz w:val="28"/>
          <w:szCs w:val="20"/>
        </w:rPr>
        <w:t>arco Fiscal de Mediano Plazo</w:t>
      </w:r>
      <w:r w:rsidRPr="003E425B">
        <w:rPr>
          <w:rFonts w:ascii="Times New Roman" w:eastAsia="Times New Roman" w:hAnsi="Times New Roman" w:cs="Times New Roman"/>
          <w:sz w:val="28"/>
          <w:szCs w:val="20"/>
        </w:rPr>
        <w:t xml:space="preserve">, lo que </w:t>
      </w:r>
      <w:r w:rsidRPr="003E425B">
        <w:rPr>
          <w:rFonts w:ascii="Times New Roman" w:eastAsia="Times New Roman" w:hAnsi="Times New Roman" w:cs="Times New Roman"/>
          <w:sz w:val="28"/>
          <w:szCs w:val="20"/>
        </w:rPr>
        <w:t>es insuficiente para formular un verdadero cargo de inconstitucionalidad</w:t>
      </w:r>
      <w:r w:rsidRPr="003E425B">
        <w:rPr>
          <w:rFonts w:ascii="Times New Roman" w:eastAsia="Times New Roman" w:hAnsi="Times New Roman" w:cs="Times New Roman"/>
          <w:sz w:val="28"/>
          <w:szCs w:val="20"/>
        </w:rPr>
        <w:t>. Esto, habida cuenta de</w:t>
      </w:r>
      <w:r w:rsidRPr="003E425B">
        <w:rPr>
          <w:rFonts w:ascii="Times New Roman" w:eastAsia="Times New Roman" w:hAnsi="Times New Roman" w:cs="Times New Roman"/>
          <w:sz w:val="28"/>
          <w:szCs w:val="20"/>
        </w:rPr>
        <w:t xml:space="preserve"> la existencia de estudios técnicos que</w:t>
      </w:r>
      <w:r w:rsidRPr="003E425B">
        <w:rPr>
          <w:rFonts w:ascii="Times New Roman" w:eastAsia="Times New Roman" w:hAnsi="Times New Roman" w:cs="Times New Roman"/>
          <w:sz w:val="28"/>
          <w:szCs w:val="20"/>
        </w:rPr>
        <w:t>, en su momento</w:t>
      </w:r>
      <w:r w:rsidRPr="003E425B">
        <w:rPr>
          <w:rFonts w:ascii="Times New Roman" w:eastAsia="Times New Roman" w:hAnsi="Times New Roman" w:cs="Times New Roman"/>
          <w:sz w:val="28"/>
          <w:szCs w:val="20"/>
        </w:rPr>
        <w:t>,</w:t>
      </w:r>
      <w:r w:rsidRPr="003E425B">
        <w:rPr>
          <w:rFonts w:ascii="Times New Roman" w:eastAsia="Times New Roman" w:hAnsi="Times New Roman" w:cs="Times New Roman"/>
          <w:sz w:val="28"/>
          <w:szCs w:val="20"/>
        </w:rPr>
        <w:t xml:space="preserve"> soporta</w:t>
      </w:r>
      <w:r w:rsidRPr="003E425B">
        <w:rPr>
          <w:rFonts w:ascii="Times New Roman" w:eastAsia="Times New Roman" w:hAnsi="Times New Roman" w:cs="Times New Roman"/>
          <w:sz w:val="28"/>
          <w:szCs w:val="20"/>
        </w:rPr>
        <w:t>ron</w:t>
      </w:r>
      <w:r w:rsidRPr="003E425B">
        <w:rPr>
          <w:rFonts w:ascii="Times New Roman" w:eastAsia="Times New Roman" w:hAnsi="Times New Roman" w:cs="Times New Roman"/>
          <w:sz w:val="28"/>
          <w:szCs w:val="20"/>
        </w:rPr>
        <w:t xml:space="preserve"> la factibilidad económica de la creación del Ministerio de Igualdad y Equidad. </w:t>
      </w:r>
    </w:p>
    <w:p w:rsidR="00445AB6" w:rsidRPr="003E425B" w:rsidRDefault="003E425B" w:rsidP="00010108">
      <w:pPr>
        <w:rPr>
          <w:rFonts w:ascii="Times New Roman" w:hAnsi="Times New Roman" w:cs="Times New Roman"/>
          <w:sz w:val="28"/>
        </w:rPr>
      </w:pPr>
    </w:p>
    <w:p w:rsidR="00493458"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i/>
          <w:iCs/>
          <w:sz w:val="28"/>
        </w:rPr>
        <w:t>Análisis de la Sala</w:t>
      </w:r>
      <w:r w:rsidRPr="003E425B">
        <w:rPr>
          <w:rFonts w:ascii="Times New Roman" w:hAnsi="Times New Roman" w:cs="Times New Roman"/>
          <w:sz w:val="28"/>
        </w:rPr>
        <w:t xml:space="preserve">. </w:t>
      </w:r>
      <w:r w:rsidRPr="003E425B">
        <w:rPr>
          <w:rFonts w:ascii="Times New Roman" w:hAnsi="Times New Roman" w:cs="Times New Roman"/>
          <w:sz w:val="28"/>
        </w:rPr>
        <w:t xml:space="preserve">La Sala Plena considera que el cargo </w:t>
      </w:r>
      <w:r w:rsidRPr="003E425B">
        <w:rPr>
          <w:rFonts w:ascii="Times New Roman" w:hAnsi="Times New Roman" w:cs="Times New Roman"/>
          <w:sz w:val="28"/>
        </w:rPr>
        <w:t xml:space="preserve">segundo es apto, puesto que </w:t>
      </w:r>
      <w:r w:rsidRPr="003E425B">
        <w:rPr>
          <w:rFonts w:ascii="Times New Roman" w:hAnsi="Times New Roman" w:cs="Times New Roman"/>
          <w:sz w:val="28"/>
        </w:rPr>
        <w:t>satisface las exigencias mínimas de argumentación</w:t>
      </w:r>
      <w:r w:rsidRPr="003E425B">
        <w:rPr>
          <w:rFonts w:ascii="Times New Roman" w:hAnsi="Times New Roman" w:cs="Times New Roman"/>
          <w:sz w:val="28"/>
        </w:rPr>
        <w:t xml:space="preserve">. </w:t>
      </w:r>
      <w:r w:rsidRPr="003E425B">
        <w:rPr>
          <w:rFonts w:ascii="Times New Roman" w:hAnsi="Times New Roman" w:cs="Times New Roman"/>
          <w:sz w:val="28"/>
        </w:rPr>
        <w:t>El cargo es claro,</w:t>
      </w:r>
      <w:r w:rsidRPr="003E425B">
        <w:rPr>
          <w:rFonts w:ascii="Times New Roman" w:hAnsi="Times New Roman" w:cs="Times New Roman"/>
          <w:i/>
          <w:iCs/>
          <w:sz w:val="28"/>
        </w:rPr>
        <w:t xml:space="preserve"> </w:t>
      </w:r>
      <w:r w:rsidRPr="003E425B">
        <w:rPr>
          <w:rFonts w:ascii="Times New Roman" w:hAnsi="Times New Roman" w:cs="Times New Roman"/>
          <w:sz w:val="28"/>
        </w:rPr>
        <w:t xml:space="preserve">porque sigue un hilo de argumentación lógico. En efecto, los demandantes </w:t>
      </w:r>
      <w:r w:rsidRPr="003E425B">
        <w:rPr>
          <w:rFonts w:ascii="Times New Roman" w:hAnsi="Times New Roman" w:cs="Times New Roman"/>
          <w:i/>
          <w:iCs/>
          <w:sz w:val="28"/>
        </w:rPr>
        <w:t>(i)</w:t>
      </w:r>
      <w:r w:rsidRPr="003E425B">
        <w:rPr>
          <w:rFonts w:ascii="Times New Roman" w:hAnsi="Times New Roman" w:cs="Times New Roman"/>
          <w:sz w:val="28"/>
        </w:rPr>
        <w:t xml:space="preserve"> refieren la jurisprudencia constitucional que ha definido el alcance de</w:t>
      </w:r>
      <w:r w:rsidRPr="003E425B">
        <w:rPr>
          <w:rFonts w:ascii="Times New Roman" w:hAnsi="Times New Roman" w:cs="Times New Roman"/>
          <w:sz w:val="28"/>
        </w:rPr>
        <w:t xml:space="preserve"> </w:t>
      </w:r>
      <w:r w:rsidRPr="003E425B">
        <w:rPr>
          <w:rFonts w:ascii="Times New Roman" w:hAnsi="Times New Roman" w:cs="Times New Roman"/>
          <w:sz w:val="28"/>
        </w:rPr>
        <w:t>l</w:t>
      </w:r>
      <w:r w:rsidRPr="003E425B">
        <w:rPr>
          <w:rFonts w:ascii="Times New Roman" w:hAnsi="Times New Roman" w:cs="Times New Roman"/>
          <w:sz w:val="28"/>
        </w:rPr>
        <w:t>a</w:t>
      </w:r>
      <w:r w:rsidRPr="003E425B">
        <w:rPr>
          <w:rFonts w:ascii="Times New Roman" w:hAnsi="Times New Roman" w:cs="Times New Roman"/>
          <w:sz w:val="28"/>
        </w:rPr>
        <w:t xml:space="preserve"> </w:t>
      </w:r>
      <w:r w:rsidRPr="003E425B">
        <w:rPr>
          <w:rFonts w:ascii="Times New Roman" w:hAnsi="Times New Roman" w:cs="Times New Roman"/>
          <w:sz w:val="28"/>
        </w:rPr>
        <w:t xml:space="preserve">obligación de llevar a cabo el </w:t>
      </w:r>
      <w:r w:rsidRPr="003E425B">
        <w:rPr>
          <w:rFonts w:ascii="Times New Roman" w:hAnsi="Times New Roman" w:cs="Times New Roman"/>
          <w:sz w:val="28"/>
        </w:rPr>
        <w:t xml:space="preserve">análisis de impacto fiscal y </w:t>
      </w:r>
      <w:r w:rsidRPr="003E425B">
        <w:rPr>
          <w:rFonts w:ascii="Times New Roman" w:hAnsi="Times New Roman" w:cs="Times New Roman"/>
          <w:i/>
          <w:iCs/>
          <w:sz w:val="28"/>
        </w:rPr>
        <w:t>(ii)</w:t>
      </w:r>
      <w:r w:rsidRPr="003E425B">
        <w:rPr>
          <w:rFonts w:ascii="Times New Roman" w:hAnsi="Times New Roman" w:cs="Times New Roman"/>
          <w:sz w:val="28"/>
        </w:rPr>
        <w:t xml:space="preserve"> </w:t>
      </w:r>
      <w:r w:rsidRPr="003E425B">
        <w:rPr>
          <w:rFonts w:ascii="Times New Roman" w:hAnsi="Times New Roman" w:cs="Times New Roman"/>
          <w:sz w:val="28"/>
        </w:rPr>
        <w:t>exponen de forma comprensible las razon</w:t>
      </w:r>
      <w:r w:rsidRPr="003E425B">
        <w:rPr>
          <w:rFonts w:ascii="Times New Roman" w:hAnsi="Times New Roman" w:cs="Times New Roman"/>
          <w:sz w:val="28"/>
        </w:rPr>
        <w:t>es por las cuales consideran qu</w:t>
      </w:r>
      <w:r w:rsidRPr="003E425B">
        <w:rPr>
          <w:rFonts w:ascii="Times New Roman" w:hAnsi="Times New Roman" w:cs="Times New Roman"/>
          <w:sz w:val="28"/>
        </w:rPr>
        <w:t>e este requisito orgánic</w:t>
      </w:r>
      <w:r w:rsidRPr="003E425B">
        <w:rPr>
          <w:rFonts w:ascii="Times New Roman" w:hAnsi="Times New Roman" w:cs="Times New Roman"/>
          <w:sz w:val="28"/>
        </w:rPr>
        <w:t>o</w:t>
      </w:r>
      <w:r w:rsidRPr="003E425B">
        <w:rPr>
          <w:rFonts w:ascii="Times New Roman" w:hAnsi="Times New Roman" w:cs="Times New Roman"/>
          <w:sz w:val="28"/>
        </w:rPr>
        <w:t xml:space="preserve"> de aprobación de las leyes era aplicable y se desconoció</w:t>
      </w:r>
      <w:r w:rsidRPr="003E425B">
        <w:rPr>
          <w:rFonts w:ascii="Times New Roman" w:hAnsi="Times New Roman" w:cs="Times New Roman"/>
          <w:sz w:val="28"/>
        </w:rPr>
        <w:t xml:space="preserve">. </w:t>
      </w:r>
      <w:r w:rsidRPr="003E425B">
        <w:rPr>
          <w:rFonts w:ascii="Times New Roman" w:hAnsi="Times New Roman" w:cs="Times New Roman"/>
          <w:sz w:val="28"/>
        </w:rPr>
        <w:t>De otro lado, el</w:t>
      </w:r>
      <w:r w:rsidRPr="003E425B">
        <w:rPr>
          <w:rFonts w:ascii="Times New Roman" w:hAnsi="Times New Roman" w:cs="Times New Roman"/>
          <w:sz w:val="28"/>
        </w:rPr>
        <w:t xml:space="preserve"> cargo satisface la carga de certeza, porque</w:t>
      </w:r>
      <w:r w:rsidRPr="003E425B">
        <w:rPr>
          <w:rFonts w:ascii="Times New Roman" w:hAnsi="Times New Roman" w:cs="Times New Roman"/>
          <w:sz w:val="28"/>
        </w:rPr>
        <w:t xml:space="preserve"> no está fundad</w:t>
      </w:r>
      <w:r w:rsidRPr="003E425B">
        <w:rPr>
          <w:rFonts w:ascii="Times New Roman" w:hAnsi="Times New Roman" w:cs="Times New Roman"/>
          <w:sz w:val="28"/>
        </w:rPr>
        <w:t>o</w:t>
      </w:r>
      <w:r w:rsidRPr="003E425B">
        <w:rPr>
          <w:rFonts w:ascii="Times New Roman" w:hAnsi="Times New Roman" w:cs="Times New Roman"/>
          <w:sz w:val="28"/>
        </w:rPr>
        <w:t xml:space="preserve"> en la hipotética incompatibilidad de la </w:t>
      </w:r>
      <w:r w:rsidRPr="003E425B">
        <w:rPr>
          <w:rFonts w:ascii="Times New Roman" w:hAnsi="Times New Roman" w:cs="Times New Roman"/>
          <w:sz w:val="28"/>
        </w:rPr>
        <w:t>L</w:t>
      </w:r>
      <w:r w:rsidRPr="003E425B">
        <w:rPr>
          <w:rFonts w:ascii="Times New Roman" w:hAnsi="Times New Roman" w:cs="Times New Roman"/>
          <w:sz w:val="28"/>
        </w:rPr>
        <w:t xml:space="preserve">ey 2281 de 2023 con el </w:t>
      </w:r>
      <w:r w:rsidRPr="003E425B">
        <w:rPr>
          <w:rFonts w:ascii="Times New Roman" w:hAnsi="Times New Roman" w:cs="Times New Roman"/>
          <w:sz w:val="28"/>
        </w:rPr>
        <w:t xml:space="preserve">Marco Fiscal de Mediano </w:t>
      </w:r>
      <w:r w:rsidRPr="003E425B">
        <w:rPr>
          <w:rFonts w:ascii="Times New Roman" w:hAnsi="Times New Roman" w:cs="Times New Roman"/>
          <w:sz w:val="28"/>
        </w:rPr>
        <w:t>P</w:t>
      </w:r>
      <w:r w:rsidRPr="003E425B">
        <w:rPr>
          <w:rFonts w:ascii="Times New Roman" w:hAnsi="Times New Roman" w:cs="Times New Roman"/>
          <w:sz w:val="28"/>
        </w:rPr>
        <w:t xml:space="preserve">lazo. Por el contrario, </w:t>
      </w:r>
      <w:r w:rsidRPr="003E425B">
        <w:rPr>
          <w:rFonts w:ascii="Times New Roman" w:hAnsi="Times New Roman" w:cs="Times New Roman"/>
          <w:sz w:val="28"/>
        </w:rPr>
        <w:t>se sustenta</w:t>
      </w:r>
      <w:r w:rsidRPr="003E425B">
        <w:rPr>
          <w:rFonts w:ascii="Times New Roman" w:hAnsi="Times New Roman" w:cs="Times New Roman"/>
          <w:sz w:val="28"/>
        </w:rPr>
        <w:t xml:space="preserve"> en el presunto incumplimiento de las exigencias previstas en el </w:t>
      </w:r>
      <w:r w:rsidRPr="003E425B">
        <w:rPr>
          <w:rFonts w:ascii="Times New Roman" w:hAnsi="Times New Roman" w:cs="Times New Roman"/>
          <w:sz w:val="28"/>
        </w:rPr>
        <w:t>artículo</w:t>
      </w:r>
      <w:r w:rsidRPr="003E425B">
        <w:rPr>
          <w:rFonts w:ascii="Times New Roman" w:hAnsi="Times New Roman" w:cs="Times New Roman"/>
          <w:sz w:val="28"/>
        </w:rPr>
        <w:t xml:space="preserve"> 7º de la </w:t>
      </w:r>
      <w:r w:rsidRPr="003E425B">
        <w:rPr>
          <w:rFonts w:ascii="Times New Roman" w:hAnsi="Times New Roman" w:cs="Times New Roman"/>
          <w:sz w:val="28"/>
        </w:rPr>
        <w:t>L</w:t>
      </w:r>
      <w:r w:rsidRPr="003E425B">
        <w:rPr>
          <w:rFonts w:ascii="Times New Roman" w:hAnsi="Times New Roman" w:cs="Times New Roman"/>
          <w:sz w:val="28"/>
        </w:rPr>
        <w:t>ey 819 de 2003, para lo cual aportan pruebas</w:t>
      </w:r>
      <w:r w:rsidRPr="003E425B">
        <w:rPr>
          <w:rFonts w:ascii="Times New Roman" w:hAnsi="Times New Roman" w:cs="Times New Roman"/>
          <w:sz w:val="28"/>
        </w:rPr>
        <w:t xml:space="preserve"> </w:t>
      </w:r>
      <w:r w:rsidRPr="003E425B">
        <w:rPr>
          <w:rFonts w:ascii="Times New Roman" w:hAnsi="Times New Roman" w:cs="Times New Roman"/>
          <w:i/>
          <w:iCs/>
          <w:sz w:val="28"/>
        </w:rPr>
        <w:t>prima facie</w:t>
      </w:r>
      <w:r w:rsidRPr="003E425B">
        <w:rPr>
          <w:rFonts w:ascii="Times New Roman" w:hAnsi="Times New Roman" w:cs="Times New Roman"/>
          <w:sz w:val="28"/>
        </w:rPr>
        <w:t xml:space="preserve"> pertinentes (</w:t>
      </w:r>
      <w:r w:rsidRPr="003E425B">
        <w:rPr>
          <w:rFonts w:ascii="Times New Roman" w:hAnsi="Times New Roman" w:cs="Times New Roman"/>
          <w:sz w:val="28"/>
        </w:rPr>
        <w:t xml:space="preserve">exposición de motivos, </w:t>
      </w:r>
      <w:r w:rsidRPr="003E425B">
        <w:rPr>
          <w:rFonts w:ascii="Times New Roman" w:hAnsi="Times New Roman" w:cs="Times New Roman"/>
          <w:sz w:val="28"/>
        </w:rPr>
        <w:t>informe de ponencia</w:t>
      </w:r>
      <w:r w:rsidRPr="003E425B">
        <w:rPr>
          <w:rFonts w:ascii="Times New Roman" w:hAnsi="Times New Roman" w:cs="Times New Roman"/>
          <w:sz w:val="28"/>
        </w:rPr>
        <w:t xml:space="preserve">, actas </w:t>
      </w:r>
      <w:r w:rsidRPr="003E425B">
        <w:rPr>
          <w:rFonts w:ascii="Times New Roman" w:hAnsi="Times New Roman" w:cs="Times New Roman"/>
          <w:sz w:val="28"/>
        </w:rPr>
        <w:t xml:space="preserve">de las sesiones </w:t>
      </w:r>
      <w:r w:rsidRPr="003E425B">
        <w:rPr>
          <w:rFonts w:ascii="Times New Roman" w:hAnsi="Times New Roman" w:cs="Times New Roman"/>
          <w:sz w:val="28"/>
        </w:rPr>
        <w:t>y el concepto del MHCP). Asimismo, la Corte encuentra que el cargo satisface las exigencias de pert</w:t>
      </w:r>
      <w:r w:rsidRPr="003E425B">
        <w:rPr>
          <w:rFonts w:ascii="Times New Roman" w:hAnsi="Times New Roman" w:cs="Times New Roman"/>
          <w:sz w:val="28"/>
        </w:rPr>
        <w:t>i</w:t>
      </w:r>
      <w:r w:rsidRPr="003E425B">
        <w:rPr>
          <w:rFonts w:ascii="Times New Roman" w:hAnsi="Times New Roman" w:cs="Times New Roman"/>
          <w:sz w:val="28"/>
        </w:rPr>
        <w:t>nencia y especificidad, debido a que los demandantes exponen las razones concretas por las cuales consideran que el incumplimiento d</w:t>
      </w:r>
      <w:r w:rsidRPr="003E425B">
        <w:rPr>
          <w:rFonts w:ascii="Times New Roman" w:hAnsi="Times New Roman" w:cs="Times New Roman"/>
          <w:sz w:val="28"/>
        </w:rPr>
        <w:t>e l</w:t>
      </w:r>
      <w:r w:rsidRPr="003E425B">
        <w:rPr>
          <w:rFonts w:ascii="Times New Roman" w:hAnsi="Times New Roman" w:cs="Times New Roman"/>
          <w:sz w:val="28"/>
        </w:rPr>
        <w:t>o</w:t>
      </w:r>
      <w:r w:rsidRPr="003E425B">
        <w:rPr>
          <w:rFonts w:ascii="Times New Roman" w:hAnsi="Times New Roman" w:cs="Times New Roman"/>
          <w:sz w:val="28"/>
        </w:rPr>
        <w:t xml:space="preserve">s deberes previstos en el </w:t>
      </w:r>
      <w:r w:rsidRPr="003E425B">
        <w:rPr>
          <w:rFonts w:ascii="Times New Roman" w:hAnsi="Times New Roman" w:cs="Times New Roman"/>
          <w:sz w:val="28"/>
        </w:rPr>
        <w:t>artículo</w:t>
      </w:r>
      <w:r w:rsidRPr="003E425B">
        <w:rPr>
          <w:rFonts w:ascii="Times New Roman" w:hAnsi="Times New Roman" w:cs="Times New Roman"/>
          <w:sz w:val="28"/>
        </w:rPr>
        <w:t xml:space="preserve"> 7º de la Ley 819 de 2003 configura</w:t>
      </w:r>
      <w:r w:rsidRPr="003E425B">
        <w:rPr>
          <w:rFonts w:ascii="Times New Roman" w:hAnsi="Times New Roman" w:cs="Times New Roman"/>
          <w:sz w:val="28"/>
        </w:rPr>
        <w:t>n</w:t>
      </w:r>
      <w:r w:rsidRPr="003E425B">
        <w:rPr>
          <w:rFonts w:ascii="Times New Roman" w:hAnsi="Times New Roman" w:cs="Times New Roman"/>
          <w:sz w:val="28"/>
        </w:rPr>
        <w:t xml:space="preserve"> un vicio </w:t>
      </w:r>
      <w:r w:rsidRPr="003E425B">
        <w:rPr>
          <w:rFonts w:ascii="Times New Roman" w:hAnsi="Times New Roman" w:cs="Times New Roman"/>
          <w:sz w:val="28"/>
        </w:rPr>
        <w:t xml:space="preserve">de procedimiento </w:t>
      </w:r>
      <w:r w:rsidRPr="003E425B">
        <w:rPr>
          <w:rFonts w:ascii="Times New Roman" w:hAnsi="Times New Roman" w:cs="Times New Roman"/>
          <w:sz w:val="28"/>
        </w:rPr>
        <w:t xml:space="preserve">insubsanable. </w:t>
      </w:r>
      <w:r w:rsidRPr="003E425B">
        <w:rPr>
          <w:rFonts w:ascii="Times New Roman" w:hAnsi="Times New Roman" w:cs="Times New Roman"/>
          <w:sz w:val="28"/>
        </w:rPr>
        <w:t>Por último, el cargo satisface la exigencia de suficiencia</w:t>
      </w:r>
      <w:r w:rsidRPr="003E425B">
        <w:rPr>
          <w:rFonts w:ascii="Times New Roman" w:hAnsi="Times New Roman" w:cs="Times New Roman"/>
          <w:sz w:val="28"/>
        </w:rPr>
        <w:t>,</w:t>
      </w:r>
      <w:r w:rsidRPr="003E425B">
        <w:rPr>
          <w:rFonts w:ascii="Times New Roman" w:hAnsi="Times New Roman" w:cs="Times New Roman"/>
          <w:sz w:val="28"/>
        </w:rPr>
        <w:t xml:space="preserve"> porque, por las razones expuestas</w:t>
      </w:r>
      <w:r w:rsidRPr="003E425B">
        <w:rPr>
          <w:rFonts w:ascii="Times New Roman" w:hAnsi="Times New Roman" w:cs="Times New Roman"/>
          <w:sz w:val="28"/>
        </w:rPr>
        <w:t>,</w:t>
      </w:r>
      <w:r w:rsidRPr="003E425B">
        <w:rPr>
          <w:rFonts w:ascii="Times New Roman" w:hAnsi="Times New Roman" w:cs="Times New Roman"/>
          <w:sz w:val="28"/>
        </w:rPr>
        <w:t xml:space="preserve"> genera una duda mínima de constitucionalidad. </w:t>
      </w:r>
    </w:p>
    <w:p w:rsidR="00445AB6" w:rsidRPr="003E425B" w:rsidRDefault="003E425B" w:rsidP="00010108">
      <w:pPr>
        <w:rPr>
          <w:rFonts w:ascii="Times New Roman" w:hAnsi="Times New Roman" w:cs="Times New Roman"/>
          <w:sz w:val="28"/>
        </w:rPr>
      </w:pPr>
    </w:p>
    <w:p w:rsidR="0044748D" w:rsidRPr="003E425B" w:rsidRDefault="003E425B" w:rsidP="000C6CC6">
      <w:pPr>
        <w:pStyle w:val="Ttulo4"/>
        <w:numPr>
          <w:ilvl w:val="0"/>
          <w:numId w:val="16"/>
        </w:numPr>
        <w:ind w:left="993" w:hanging="633"/>
        <w:rPr>
          <w:rFonts w:ascii="Times New Roman" w:hAnsi="Times New Roman" w:cs="Times New Roman"/>
          <w:sz w:val="28"/>
        </w:rPr>
      </w:pPr>
      <w:r w:rsidRPr="003E425B">
        <w:rPr>
          <w:rFonts w:ascii="Times New Roman" w:hAnsi="Times New Roman" w:cs="Times New Roman"/>
          <w:sz w:val="28"/>
        </w:rPr>
        <w:t xml:space="preserve">Aptitud del cargo tercero por la presunta violación del numeral 10 del </w:t>
      </w:r>
      <w:r w:rsidRPr="003E425B">
        <w:rPr>
          <w:rFonts w:ascii="Times New Roman" w:hAnsi="Times New Roman" w:cs="Times New Roman"/>
          <w:sz w:val="28"/>
        </w:rPr>
        <w:t>artículo</w:t>
      </w:r>
      <w:r w:rsidRPr="003E425B">
        <w:rPr>
          <w:rFonts w:ascii="Times New Roman" w:hAnsi="Times New Roman" w:cs="Times New Roman"/>
          <w:sz w:val="28"/>
        </w:rPr>
        <w:t xml:space="preserve"> 150 de la Constitución </w:t>
      </w:r>
    </w:p>
    <w:p w:rsidR="0044748D" w:rsidRPr="003E425B" w:rsidRDefault="003E425B" w:rsidP="00010108">
      <w:pPr>
        <w:rPr>
          <w:rFonts w:ascii="Times New Roman" w:hAnsi="Times New Roman" w:cs="Times New Roman"/>
          <w:sz w:val="28"/>
        </w:rPr>
      </w:pPr>
    </w:p>
    <w:p w:rsidR="00445AB6"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i/>
          <w:iCs/>
          <w:sz w:val="28"/>
        </w:rPr>
        <w:t>Cuestionamiento de aptitud</w:t>
      </w:r>
      <w:r w:rsidRPr="003E425B">
        <w:rPr>
          <w:rFonts w:ascii="Times New Roman" w:hAnsi="Times New Roman" w:cs="Times New Roman"/>
          <w:sz w:val="28"/>
        </w:rPr>
        <w:t xml:space="preserve">. El </w:t>
      </w:r>
      <w:r w:rsidRPr="003E425B">
        <w:rPr>
          <w:rFonts w:ascii="Times New Roman" w:eastAsia="Times New Roman" w:hAnsi="Times New Roman" w:cs="Times New Roman"/>
          <w:sz w:val="28"/>
          <w:szCs w:val="20"/>
        </w:rPr>
        <w:t xml:space="preserve">Departamento Administrativo de la Presidencia de la República, </w:t>
      </w:r>
      <w:r w:rsidRPr="003E425B">
        <w:rPr>
          <w:rFonts w:ascii="Times New Roman" w:eastAsia="Times New Roman" w:hAnsi="Times New Roman" w:cs="Times New Roman"/>
          <w:sz w:val="28"/>
          <w:szCs w:val="20"/>
        </w:rPr>
        <w:t xml:space="preserve">el </w:t>
      </w:r>
      <w:r w:rsidRPr="003E425B">
        <w:rPr>
          <w:rFonts w:ascii="Times New Roman" w:eastAsia="Times New Roman" w:hAnsi="Times New Roman" w:cs="Times New Roman"/>
          <w:sz w:val="28"/>
          <w:szCs w:val="20"/>
        </w:rPr>
        <w:t xml:space="preserve">Departamento Administrativo de la Función Pública, </w:t>
      </w:r>
      <w:r w:rsidRPr="003E425B">
        <w:rPr>
          <w:rFonts w:ascii="Times New Roman" w:eastAsia="Times New Roman" w:hAnsi="Times New Roman" w:cs="Times New Roman"/>
          <w:sz w:val="28"/>
          <w:szCs w:val="20"/>
        </w:rPr>
        <w:t>e</w:t>
      </w:r>
      <w:r w:rsidRPr="003E425B">
        <w:rPr>
          <w:rFonts w:ascii="Times New Roman" w:eastAsia="Times New Roman" w:hAnsi="Times New Roman" w:cs="Times New Roman"/>
          <w:sz w:val="28"/>
          <w:szCs w:val="20"/>
        </w:rPr>
        <w:t xml:space="preserve">l </w:t>
      </w:r>
      <w:r w:rsidRPr="003E425B">
        <w:rPr>
          <w:rFonts w:ascii="Times New Roman" w:eastAsia="Times New Roman" w:hAnsi="Times New Roman" w:cs="Times New Roman"/>
          <w:sz w:val="28"/>
          <w:szCs w:val="20"/>
        </w:rPr>
        <w:t xml:space="preserve">DAPS y el Ministerio del Interior consideran que el cargo tercero no cumple con </w:t>
      </w:r>
      <w:r w:rsidRPr="003E425B">
        <w:rPr>
          <w:rFonts w:ascii="Times New Roman" w:eastAsia="Times New Roman" w:hAnsi="Times New Roman" w:cs="Times New Roman"/>
          <w:sz w:val="28"/>
          <w:szCs w:val="20"/>
        </w:rPr>
        <w:t>las cargas argumentativas</w:t>
      </w:r>
      <w:r w:rsidRPr="003E425B">
        <w:rPr>
          <w:rFonts w:ascii="Times New Roman" w:eastAsia="Times New Roman" w:hAnsi="Times New Roman" w:cs="Times New Roman"/>
          <w:sz w:val="28"/>
          <w:szCs w:val="20"/>
        </w:rPr>
        <w:t xml:space="preserve"> de </w:t>
      </w:r>
      <w:r w:rsidRPr="003E425B">
        <w:rPr>
          <w:rFonts w:ascii="Times New Roman" w:hAnsi="Times New Roman" w:cs="Times New Roman"/>
          <w:color w:val="000000" w:themeColor="text1"/>
          <w:sz w:val="28"/>
        </w:rPr>
        <w:t xml:space="preserve">claridad, especificidad, certeza, pertinencia y suficiencia. </w:t>
      </w:r>
      <w:r w:rsidRPr="003E425B">
        <w:rPr>
          <w:rFonts w:ascii="Times New Roman" w:hAnsi="Times New Roman" w:cs="Times New Roman"/>
          <w:color w:val="000000" w:themeColor="text1"/>
          <w:sz w:val="28"/>
        </w:rPr>
        <w:t xml:space="preserve">Sostienen </w:t>
      </w:r>
      <w:r w:rsidRPr="003E425B">
        <w:rPr>
          <w:rFonts w:ascii="Times New Roman" w:hAnsi="Times New Roman" w:cs="Times New Roman"/>
          <w:color w:val="000000" w:themeColor="text1"/>
          <w:sz w:val="28"/>
        </w:rPr>
        <w:t xml:space="preserve">que el cargo no es cierto, porque </w:t>
      </w:r>
      <w:r w:rsidRPr="003E425B">
        <w:rPr>
          <w:rFonts w:ascii="Times New Roman" w:hAnsi="Times New Roman" w:cs="Times New Roman"/>
          <w:color w:val="000000" w:themeColor="text1"/>
          <w:sz w:val="28"/>
        </w:rPr>
        <w:t>se funda en</w:t>
      </w:r>
      <w:r w:rsidRPr="003E425B">
        <w:rPr>
          <w:rFonts w:ascii="Times New Roman" w:hAnsi="Times New Roman" w:cs="Times New Roman"/>
          <w:color w:val="000000" w:themeColor="text1"/>
          <w:sz w:val="28"/>
        </w:rPr>
        <w:t xml:space="preserve"> una interpretación subjetiva</w:t>
      </w:r>
      <w:r w:rsidRPr="003E425B">
        <w:rPr>
          <w:rFonts w:ascii="Times New Roman" w:hAnsi="Times New Roman" w:cs="Times New Roman"/>
          <w:color w:val="000000" w:themeColor="text1"/>
          <w:sz w:val="28"/>
        </w:rPr>
        <w:t xml:space="preserve">, personal e hipotética </w:t>
      </w:r>
      <w:r w:rsidRPr="003E425B">
        <w:rPr>
          <w:rFonts w:ascii="Times New Roman" w:hAnsi="Times New Roman" w:cs="Times New Roman"/>
          <w:color w:val="000000" w:themeColor="text1"/>
          <w:sz w:val="28"/>
        </w:rPr>
        <w:t xml:space="preserve">del artículo 12 de la </w:t>
      </w:r>
      <w:r w:rsidRPr="003E425B">
        <w:rPr>
          <w:rFonts w:ascii="Times New Roman" w:hAnsi="Times New Roman" w:cs="Times New Roman"/>
          <w:color w:val="000000" w:themeColor="text1"/>
          <w:sz w:val="28"/>
        </w:rPr>
        <w:t>L</w:t>
      </w:r>
      <w:r w:rsidRPr="003E425B">
        <w:rPr>
          <w:rFonts w:ascii="Times New Roman" w:hAnsi="Times New Roman" w:cs="Times New Roman"/>
          <w:color w:val="000000" w:themeColor="text1"/>
          <w:sz w:val="28"/>
        </w:rPr>
        <w:t>ey 2281 de 2023, conforme a la cual</w:t>
      </w:r>
      <w:r w:rsidRPr="003E425B">
        <w:rPr>
          <w:rFonts w:ascii="Times New Roman" w:hAnsi="Times New Roman" w:cs="Times New Roman"/>
          <w:color w:val="000000" w:themeColor="text1"/>
          <w:sz w:val="28"/>
        </w:rPr>
        <w:t xml:space="preserve"> </w:t>
      </w:r>
      <w:r w:rsidRPr="003E425B">
        <w:rPr>
          <w:rFonts w:ascii="Times New Roman" w:hAnsi="Times New Roman" w:cs="Times New Roman"/>
          <w:color w:val="000000" w:themeColor="text1"/>
          <w:sz w:val="28"/>
        </w:rPr>
        <w:t>el legislador</w:t>
      </w:r>
      <w:r w:rsidRPr="003E425B">
        <w:rPr>
          <w:rFonts w:ascii="Times New Roman" w:hAnsi="Times New Roman" w:cs="Times New Roman"/>
          <w:color w:val="000000" w:themeColor="text1"/>
          <w:sz w:val="28"/>
        </w:rPr>
        <w:t xml:space="preserve"> otorgó facultades </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ilimitadas</w:t>
      </w:r>
      <w:r w:rsidRPr="003E425B">
        <w:rPr>
          <w:rFonts w:ascii="Times New Roman" w:hAnsi="Times New Roman" w:cs="Times New Roman"/>
          <w:color w:val="000000" w:themeColor="text1"/>
          <w:sz w:val="28"/>
        </w:rPr>
        <w:t>”</w:t>
      </w:r>
      <w:r w:rsidRPr="003E425B">
        <w:rPr>
          <w:rFonts w:ascii="Times New Roman" w:hAnsi="Times New Roman" w:cs="Times New Roman"/>
          <w:color w:val="000000" w:themeColor="text1"/>
          <w:sz w:val="28"/>
        </w:rPr>
        <w:t xml:space="preserve"> al Presidente de la República</w:t>
      </w:r>
      <w:r w:rsidRPr="003E425B">
        <w:rPr>
          <w:rFonts w:ascii="Times New Roman" w:hAnsi="Times New Roman" w:cs="Times New Roman"/>
          <w:color w:val="000000" w:themeColor="text1"/>
          <w:sz w:val="28"/>
        </w:rPr>
        <w:t xml:space="preserve"> para modificar la administración pública.</w:t>
      </w:r>
      <w:r w:rsidRPr="003E425B">
        <w:rPr>
          <w:rFonts w:ascii="Times New Roman" w:hAnsi="Times New Roman" w:cs="Times New Roman"/>
          <w:color w:val="000000" w:themeColor="text1"/>
          <w:sz w:val="28"/>
        </w:rPr>
        <w:t xml:space="preserve"> </w:t>
      </w:r>
      <w:r w:rsidRPr="003E425B">
        <w:rPr>
          <w:rFonts w:ascii="Times New Roman" w:hAnsi="Times New Roman" w:cs="Times New Roman"/>
          <w:color w:val="000000" w:themeColor="text1"/>
          <w:sz w:val="28"/>
        </w:rPr>
        <w:t>Asimismo, señalan que la solicitud de inexequibilidad pa</w:t>
      </w:r>
      <w:r w:rsidRPr="003E425B">
        <w:rPr>
          <w:rFonts w:ascii="Times New Roman" w:hAnsi="Times New Roman" w:cs="Times New Roman"/>
          <w:color w:val="000000" w:themeColor="text1"/>
          <w:sz w:val="28"/>
        </w:rPr>
        <w:t xml:space="preserve">recería estar </w:t>
      </w:r>
      <w:r w:rsidRPr="003E425B">
        <w:rPr>
          <w:rFonts w:ascii="Times New Roman" w:hAnsi="Times New Roman" w:cs="Times New Roman"/>
          <w:color w:val="000000" w:themeColor="text1"/>
          <w:sz w:val="28"/>
        </w:rPr>
        <w:t>soportada</w:t>
      </w:r>
      <w:r w:rsidRPr="003E425B">
        <w:rPr>
          <w:rFonts w:ascii="Times New Roman" w:hAnsi="Times New Roman" w:cs="Times New Roman"/>
          <w:color w:val="000000" w:themeColor="text1"/>
          <w:sz w:val="28"/>
        </w:rPr>
        <w:t xml:space="preserve"> en la eventual “mala fe de la potestad reglamentaria en cabeza del Ejecutivo al momento de expedir los respectivos decretos que deriven de dicha competencia”</w:t>
      </w:r>
      <w:r w:rsidRPr="003E425B">
        <w:rPr>
          <w:rFonts w:ascii="Times New Roman" w:hAnsi="Times New Roman" w:cs="Times New Roman"/>
          <w:color w:val="000000" w:themeColor="text1"/>
          <w:sz w:val="28"/>
          <w:vertAlign w:val="superscript"/>
        </w:rPr>
        <w:footnoteReference w:id="65"/>
      </w:r>
      <w:r w:rsidRPr="003E425B">
        <w:rPr>
          <w:rFonts w:ascii="Times New Roman" w:hAnsi="Times New Roman" w:cs="Times New Roman"/>
          <w:color w:val="000000" w:themeColor="text1"/>
          <w:sz w:val="28"/>
        </w:rPr>
        <w:t xml:space="preserve">. </w:t>
      </w:r>
      <w:r w:rsidRPr="003E425B">
        <w:rPr>
          <w:rFonts w:ascii="Times New Roman" w:hAnsi="Times New Roman" w:cs="Times New Roman"/>
          <w:color w:val="000000" w:themeColor="text1"/>
          <w:sz w:val="28"/>
        </w:rPr>
        <w:t>Por otro lado,</w:t>
      </w:r>
      <w:r w:rsidRPr="003E425B">
        <w:rPr>
          <w:rFonts w:ascii="Times New Roman" w:hAnsi="Times New Roman" w:cs="Times New Roman"/>
          <w:color w:val="000000" w:themeColor="text1"/>
          <w:sz w:val="28"/>
        </w:rPr>
        <w:t xml:space="preserve"> consideran que el cargo no es pertinente, porque los dema</w:t>
      </w:r>
      <w:r w:rsidRPr="003E425B">
        <w:rPr>
          <w:rFonts w:ascii="Times New Roman" w:hAnsi="Times New Roman" w:cs="Times New Roman"/>
          <w:color w:val="000000" w:themeColor="text1"/>
          <w:sz w:val="28"/>
        </w:rPr>
        <w:t>ndantes parecen</w:t>
      </w:r>
      <w:r w:rsidRPr="003E425B">
        <w:rPr>
          <w:rFonts w:ascii="Times New Roman" w:hAnsi="Times New Roman" w:cs="Times New Roman"/>
          <w:color w:val="000000" w:themeColor="text1"/>
          <w:sz w:val="28"/>
        </w:rPr>
        <w:t xml:space="preserve"> dirigir el cargo en contra de las</w:t>
      </w:r>
      <w:r w:rsidRPr="003E425B">
        <w:rPr>
          <w:rFonts w:ascii="Times New Roman" w:hAnsi="Times New Roman" w:cs="Times New Roman"/>
          <w:color w:val="000000" w:themeColor="text1"/>
          <w:sz w:val="28"/>
        </w:rPr>
        <w:t xml:space="preserve"> normas que</w:t>
      </w:r>
      <w:r w:rsidRPr="003E425B">
        <w:rPr>
          <w:rFonts w:ascii="Times New Roman" w:hAnsi="Times New Roman" w:cs="Times New Roman"/>
          <w:color w:val="000000" w:themeColor="text1"/>
          <w:sz w:val="28"/>
        </w:rPr>
        <w:t xml:space="preserve">, eventualmente, </w:t>
      </w:r>
      <w:r w:rsidRPr="003E425B">
        <w:rPr>
          <w:rFonts w:ascii="Times New Roman" w:hAnsi="Times New Roman" w:cs="Times New Roman"/>
          <w:color w:val="000000" w:themeColor="text1"/>
          <w:sz w:val="28"/>
        </w:rPr>
        <w:t>serían expedidas con ocasión de las facultades concedidas al Presidente.</w:t>
      </w:r>
      <w:r w:rsidRPr="003E425B">
        <w:rPr>
          <w:rFonts w:ascii="Times New Roman" w:hAnsi="Times New Roman" w:cs="Times New Roman"/>
          <w:color w:val="000000" w:themeColor="text1"/>
          <w:sz w:val="28"/>
        </w:rPr>
        <w:t xml:space="preserve"> Por último, sostienen que los demandantes no explicaron de manera clara y específica las razones por las cuales el artículo 12 de la Ley 2281 transgrede la Constitución Política. </w:t>
      </w:r>
    </w:p>
    <w:p w:rsidR="00445AB6" w:rsidRPr="003E425B" w:rsidRDefault="003E425B" w:rsidP="00010108">
      <w:pPr>
        <w:rPr>
          <w:rFonts w:ascii="Times New Roman" w:hAnsi="Times New Roman" w:cs="Times New Roman"/>
          <w:sz w:val="28"/>
        </w:rPr>
      </w:pPr>
    </w:p>
    <w:p w:rsidR="00445AB6"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i/>
          <w:iCs/>
          <w:sz w:val="28"/>
        </w:rPr>
        <w:t xml:space="preserve">Análisis de la Sala. </w:t>
      </w:r>
      <w:r w:rsidRPr="003E425B">
        <w:rPr>
          <w:rFonts w:ascii="Times New Roman" w:hAnsi="Times New Roman" w:cs="Times New Roman"/>
          <w:sz w:val="28"/>
        </w:rPr>
        <w:t xml:space="preserve">La Sala Plena considera que el cargo </w:t>
      </w:r>
      <w:r w:rsidRPr="003E425B">
        <w:rPr>
          <w:rFonts w:ascii="Times New Roman" w:hAnsi="Times New Roman" w:cs="Times New Roman"/>
          <w:sz w:val="28"/>
        </w:rPr>
        <w:t xml:space="preserve">tercero </w:t>
      </w:r>
      <w:r w:rsidRPr="003E425B">
        <w:rPr>
          <w:rFonts w:ascii="Times New Roman" w:hAnsi="Times New Roman" w:cs="Times New Roman"/>
          <w:sz w:val="28"/>
        </w:rPr>
        <w:t>satisfac</w:t>
      </w:r>
      <w:r w:rsidRPr="003E425B">
        <w:rPr>
          <w:rFonts w:ascii="Times New Roman" w:hAnsi="Times New Roman" w:cs="Times New Roman"/>
          <w:sz w:val="28"/>
        </w:rPr>
        <w:t>e las exigencias mínimas de argumentación</w:t>
      </w:r>
      <w:r w:rsidRPr="003E425B">
        <w:rPr>
          <w:rFonts w:ascii="Times New Roman" w:hAnsi="Times New Roman" w:cs="Times New Roman"/>
          <w:sz w:val="28"/>
        </w:rPr>
        <w:t>:</w:t>
      </w:r>
      <w:r w:rsidRPr="003E425B">
        <w:rPr>
          <w:rFonts w:ascii="Times New Roman" w:hAnsi="Times New Roman" w:cs="Times New Roman"/>
          <w:sz w:val="28"/>
        </w:rPr>
        <w:t xml:space="preserve"> </w:t>
      </w:r>
    </w:p>
    <w:p w:rsidR="00445AB6" w:rsidRPr="003E425B" w:rsidRDefault="003E425B" w:rsidP="00010108">
      <w:pPr>
        <w:rPr>
          <w:rFonts w:ascii="Times New Roman" w:hAnsi="Times New Roman" w:cs="Times New Roman"/>
          <w:sz w:val="28"/>
        </w:rPr>
      </w:pPr>
    </w:p>
    <w:p w:rsidR="00445AB6" w:rsidRPr="003E425B" w:rsidRDefault="003E425B" w:rsidP="00010108">
      <w:pPr>
        <w:numPr>
          <w:ilvl w:val="1"/>
          <w:numId w:val="10"/>
        </w:numPr>
        <w:ind w:left="709" w:hanging="709"/>
        <w:rPr>
          <w:rFonts w:ascii="Times New Roman" w:hAnsi="Times New Roman" w:cs="Times New Roman"/>
          <w:sz w:val="28"/>
        </w:rPr>
      </w:pPr>
      <w:r w:rsidRPr="003E425B">
        <w:rPr>
          <w:rFonts w:ascii="Times New Roman" w:hAnsi="Times New Roman" w:cs="Times New Roman"/>
          <w:sz w:val="28"/>
          <w:u w:val="single"/>
        </w:rPr>
        <w:t>Claridad</w:t>
      </w:r>
      <w:r w:rsidRPr="003E425B">
        <w:rPr>
          <w:rFonts w:ascii="Times New Roman" w:hAnsi="Times New Roman" w:cs="Times New Roman"/>
          <w:i/>
          <w:iCs/>
          <w:sz w:val="28"/>
        </w:rPr>
        <w:t xml:space="preserve">. </w:t>
      </w:r>
      <w:r w:rsidRPr="003E425B">
        <w:rPr>
          <w:rFonts w:ascii="Times New Roman" w:hAnsi="Times New Roman" w:cs="Times New Roman"/>
          <w:sz w:val="28"/>
        </w:rPr>
        <w:t>El cargo es claro,</w:t>
      </w:r>
      <w:r w:rsidRPr="003E425B">
        <w:rPr>
          <w:rFonts w:ascii="Times New Roman" w:hAnsi="Times New Roman" w:cs="Times New Roman"/>
          <w:i/>
          <w:iCs/>
          <w:sz w:val="28"/>
        </w:rPr>
        <w:t xml:space="preserve"> </w:t>
      </w:r>
      <w:r w:rsidRPr="003E425B">
        <w:rPr>
          <w:rFonts w:ascii="Times New Roman" w:hAnsi="Times New Roman" w:cs="Times New Roman"/>
          <w:sz w:val="28"/>
        </w:rPr>
        <w:t xml:space="preserve">porque sigue un hilo de argumentación lógico. </w:t>
      </w:r>
      <w:r w:rsidRPr="003E425B">
        <w:rPr>
          <w:rFonts w:ascii="Times New Roman" w:hAnsi="Times New Roman" w:cs="Times New Roman"/>
          <w:sz w:val="28"/>
        </w:rPr>
        <w:t>La</w:t>
      </w:r>
      <w:r w:rsidRPr="003E425B">
        <w:rPr>
          <w:rFonts w:ascii="Times New Roman" w:hAnsi="Times New Roman" w:cs="Times New Roman"/>
          <w:sz w:val="28"/>
        </w:rPr>
        <w:t xml:space="preserve"> Sala </w:t>
      </w:r>
      <w:r w:rsidRPr="003E425B">
        <w:rPr>
          <w:rFonts w:ascii="Times New Roman" w:hAnsi="Times New Roman" w:cs="Times New Roman"/>
          <w:sz w:val="28"/>
        </w:rPr>
        <w:t>Plena constata</w:t>
      </w:r>
      <w:r w:rsidRPr="003E425B">
        <w:rPr>
          <w:rFonts w:ascii="Times New Roman" w:hAnsi="Times New Roman" w:cs="Times New Roman"/>
          <w:sz w:val="28"/>
        </w:rPr>
        <w:t xml:space="preserve"> </w:t>
      </w:r>
      <w:r w:rsidRPr="003E425B">
        <w:rPr>
          <w:rFonts w:ascii="Times New Roman" w:hAnsi="Times New Roman" w:cs="Times New Roman"/>
          <w:sz w:val="28"/>
        </w:rPr>
        <w:t xml:space="preserve">que </w:t>
      </w:r>
      <w:r w:rsidRPr="003E425B">
        <w:rPr>
          <w:rFonts w:ascii="Times New Roman" w:hAnsi="Times New Roman" w:cs="Times New Roman"/>
          <w:sz w:val="28"/>
        </w:rPr>
        <w:t xml:space="preserve">los demandantes </w:t>
      </w:r>
      <w:r w:rsidRPr="003E425B">
        <w:rPr>
          <w:rFonts w:ascii="Times New Roman" w:hAnsi="Times New Roman" w:cs="Times New Roman"/>
          <w:sz w:val="28"/>
        </w:rPr>
        <w:t>exp</w:t>
      </w:r>
      <w:r w:rsidRPr="003E425B">
        <w:rPr>
          <w:rFonts w:ascii="Times New Roman" w:hAnsi="Times New Roman" w:cs="Times New Roman"/>
          <w:sz w:val="28"/>
        </w:rPr>
        <w:t>usieron</w:t>
      </w:r>
      <w:r w:rsidRPr="003E425B">
        <w:rPr>
          <w:rFonts w:ascii="Times New Roman" w:hAnsi="Times New Roman" w:cs="Times New Roman"/>
          <w:sz w:val="28"/>
        </w:rPr>
        <w:t xml:space="preserve"> con nitidez las razones por las cuales </w:t>
      </w:r>
      <w:r w:rsidRPr="003E425B">
        <w:rPr>
          <w:rFonts w:ascii="Times New Roman" w:hAnsi="Times New Roman" w:cs="Times New Roman"/>
          <w:sz w:val="28"/>
        </w:rPr>
        <w:t xml:space="preserve">consideran que </w:t>
      </w:r>
      <w:r w:rsidRPr="003E425B">
        <w:rPr>
          <w:rFonts w:ascii="Times New Roman" w:hAnsi="Times New Roman" w:cs="Times New Roman"/>
          <w:sz w:val="28"/>
        </w:rPr>
        <w:t>el artículo 12 de la Ley 228</w:t>
      </w:r>
      <w:r w:rsidRPr="003E425B">
        <w:rPr>
          <w:rFonts w:ascii="Times New Roman" w:hAnsi="Times New Roman" w:cs="Times New Roman"/>
          <w:sz w:val="28"/>
        </w:rPr>
        <w:t xml:space="preserve">1 de 2023 </w:t>
      </w:r>
      <w:r w:rsidRPr="003E425B">
        <w:rPr>
          <w:rFonts w:ascii="Times New Roman" w:hAnsi="Times New Roman" w:cs="Times New Roman"/>
          <w:bCs/>
          <w:color w:val="000000" w:themeColor="text1"/>
          <w:sz w:val="28"/>
          <w:lang w:eastAsia="es-ES_tradnl"/>
        </w:rPr>
        <w:t>vulnera el artículo 150.10 de la Constitución.</w:t>
      </w:r>
      <w:r w:rsidRPr="003E425B">
        <w:rPr>
          <w:rFonts w:ascii="Times New Roman" w:hAnsi="Times New Roman" w:cs="Times New Roman"/>
          <w:bCs/>
          <w:color w:val="000000" w:themeColor="text1"/>
          <w:sz w:val="28"/>
          <w:lang w:eastAsia="es-ES_tradnl"/>
        </w:rPr>
        <w:t xml:space="preserve"> </w:t>
      </w:r>
      <w:r w:rsidRPr="003E425B">
        <w:rPr>
          <w:rFonts w:ascii="Times New Roman" w:hAnsi="Times New Roman" w:cs="Times New Roman"/>
          <w:bCs/>
          <w:color w:val="000000" w:themeColor="text1"/>
          <w:sz w:val="28"/>
          <w:lang w:eastAsia="es-ES_tradnl"/>
        </w:rPr>
        <w:t>En concreto, indica</w:t>
      </w:r>
      <w:r w:rsidRPr="003E425B">
        <w:rPr>
          <w:rFonts w:ascii="Times New Roman" w:hAnsi="Times New Roman" w:cs="Times New Roman"/>
          <w:bCs/>
          <w:color w:val="000000" w:themeColor="text1"/>
          <w:sz w:val="28"/>
          <w:lang w:eastAsia="es-ES_tradnl"/>
        </w:rPr>
        <w:t>ron</w:t>
      </w:r>
      <w:r w:rsidRPr="003E425B">
        <w:rPr>
          <w:rFonts w:ascii="Times New Roman" w:hAnsi="Times New Roman" w:cs="Times New Roman"/>
          <w:bCs/>
          <w:color w:val="000000" w:themeColor="text1"/>
          <w:sz w:val="28"/>
          <w:lang w:eastAsia="es-ES_tradnl"/>
        </w:rPr>
        <w:t xml:space="preserve"> que</w:t>
      </w:r>
      <w:r w:rsidRPr="003E425B">
        <w:rPr>
          <w:rFonts w:ascii="Times New Roman" w:hAnsi="Times New Roman" w:cs="Times New Roman"/>
          <w:bCs/>
          <w:color w:val="000000" w:themeColor="text1"/>
          <w:sz w:val="28"/>
          <w:lang w:eastAsia="es-ES_tradnl"/>
        </w:rPr>
        <w:t xml:space="preserve"> el legislador concedió</w:t>
      </w:r>
      <w:r w:rsidRPr="003E425B">
        <w:rPr>
          <w:rFonts w:ascii="Times New Roman" w:hAnsi="Times New Roman" w:cs="Times New Roman"/>
          <w:bCs/>
          <w:color w:val="000000" w:themeColor="text1"/>
          <w:sz w:val="28"/>
          <w:lang w:eastAsia="es-ES_tradnl"/>
        </w:rPr>
        <w:t xml:space="preserve"> facultades extraordinarias </w:t>
      </w:r>
      <w:r w:rsidRPr="003E425B">
        <w:rPr>
          <w:rFonts w:ascii="Times New Roman" w:hAnsi="Times New Roman" w:cs="Times New Roman"/>
          <w:bCs/>
          <w:color w:val="000000" w:themeColor="text1"/>
          <w:sz w:val="28"/>
          <w:lang w:eastAsia="es-ES_tradnl"/>
        </w:rPr>
        <w:t>a</w:t>
      </w:r>
      <w:r w:rsidRPr="003E425B">
        <w:rPr>
          <w:rFonts w:ascii="Times New Roman" w:hAnsi="Times New Roman" w:cs="Times New Roman"/>
          <w:bCs/>
          <w:color w:val="000000" w:themeColor="text1"/>
          <w:sz w:val="28"/>
          <w:lang w:eastAsia="es-ES_tradnl"/>
        </w:rPr>
        <w:t xml:space="preserve">l Presidente de la República para </w:t>
      </w:r>
      <w:r w:rsidRPr="003E425B">
        <w:rPr>
          <w:rFonts w:ascii="Times New Roman" w:hAnsi="Times New Roman" w:cs="Times New Roman"/>
          <w:bCs/>
          <w:color w:val="000000" w:themeColor="text1"/>
          <w:sz w:val="28"/>
          <w:lang w:eastAsia="es-ES_tradnl"/>
        </w:rPr>
        <w:t>integr</w:t>
      </w:r>
      <w:r w:rsidRPr="003E425B">
        <w:rPr>
          <w:rFonts w:ascii="Times New Roman" w:hAnsi="Times New Roman" w:cs="Times New Roman"/>
          <w:bCs/>
          <w:color w:val="000000" w:themeColor="text1"/>
          <w:sz w:val="28"/>
          <w:lang w:eastAsia="es-ES_tradnl"/>
        </w:rPr>
        <w:t>ar</w:t>
      </w:r>
      <w:r w:rsidRPr="003E425B">
        <w:rPr>
          <w:rFonts w:ascii="Times New Roman" w:hAnsi="Times New Roman" w:cs="Times New Roman"/>
          <w:bCs/>
          <w:color w:val="000000" w:themeColor="text1"/>
          <w:sz w:val="28"/>
          <w:lang w:eastAsia="es-ES_tradnl"/>
        </w:rPr>
        <w:t xml:space="preserve"> </w:t>
      </w:r>
      <w:r w:rsidRPr="003E425B">
        <w:rPr>
          <w:rFonts w:ascii="Times New Roman" w:hAnsi="Times New Roman" w:cs="Times New Roman"/>
          <w:bCs/>
          <w:color w:val="000000" w:themeColor="text1"/>
          <w:sz w:val="28"/>
          <w:lang w:eastAsia="es-ES_tradnl"/>
        </w:rPr>
        <w:t>el</w:t>
      </w:r>
      <w:r w:rsidRPr="003E425B">
        <w:rPr>
          <w:rFonts w:ascii="Times New Roman" w:hAnsi="Times New Roman" w:cs="Times New Roman"/>
          <w:bCs/>
          <w:color w:val="000000" w:themeColor="text1"/>
          <w:sz w:val="28"/>
          <w:lang w:eastAsia="es-ES_tradnl"/>
        </w:rPr>
        <w:t xml:space="preserve"> sector administrativo</w:t>
      </w:r>
      <w:r w:rsidRPr="003E425B">
        <w:rPr>
          <w:rFonts w:ascii="Times New Roman" w:hAnsi="Times New Roman" w:cs="Times New Roman"/>
          <w:bCs/>
          <w:color w:val="000000" w:themeColor="text1"/>
          <w:sz w:val="28"/>
          <w:lang w:eastAsia="es-ES_tradnl"/>
        </w:rPr>
        <w:t xml:space="preserve"> de Igualdad y Equidad</w:t>
      </w:r>
      <w:r w:rsidRPr="003E425B">
        <w:rPr>
          <w:rFonts w:ascii="Times New Roman" w:hAnsi="Times New Roman" w:cs="Times New Roman"/>
          <w:bCs/>
          <w:color w:val="000000" w:themeColor="text1"/>
          <w:sz w:val="28"/>
          <w:lang w:eastAsia="es-ES_tradnl"/>
        </w:rPr>
        <w:t xml:space="preserve">, </w:t>
      </w:r>
      <w:r w:rsidRPr="003E425B">
        <w:rPr>
          <w:rFonts w:ascii="Times New Roman" w:hAnsi="Times New Roman" w:cs="Times New Roman"/>
          <w:bCs/>
          <w:color w:val="000000" w:themeColor="text1"/>
          <w:sz w:val="28"/>
          <w:lang w:eastAsia="es-ES_tradnl"/>
        </w:rPr>
        <w:t>mediante la adscripción y vinc</w:t>
      </w:r>
      <w:r w:rsidRPr="003E425B">
        <w:rPr>
          <w:rFonts w:ascii="Times New Roman" w:hAnsi="Times New Roman" w:cs="Times New Roman"/>
          <w:bCs/>
          <w:color w:val="000000" w:themeColor="text1"/>
          <w:sz w:val="28"/>
          <w:lang w:eastAsia="es-ES_tradnl"/>
        </w:rPr>
        <w:t>ulación de las entidades. Sin embargo,</w:t>
      </w:r>
      <w:r w:rsidRPr="003E425B">
        <w:rPr>
          <w:rFonts w:ascii="Times New Roman" w:hAnsi="Times New Roman" w:cs="Times New Roman"/>
          <w:bCs/>
          <w:color w:val="000000" w:themeColor="text1"/>
          <w:sz w:val="28"/>
          <w:lang w:eastAsia="es-ES_tradnl"/>
        </w:rPr>
        <w:t xml:space="preserve"> sostienen que</w:t>
      </w:r>
      <w:r w:rsidRPr="003E425B">
        <w:rPr>
          <w:rFonts w:ascii="Times New Roman" w:hAnsi="Times New Roman" w:cs="Times New Roman"/>
          <w:bCs/>
          <w:color w:val="000000" w:themeColor="text1"/>
          <w:sz w:val="28"/>
          <w:lang w:eastAsia="es-ES_tradnl"/>
        </w:rPr>
        <w:t xml:space="preserve"> no se impusieron límites expresos al ejercicio de esta facultad lo que, en su criterio, implicaría que el primer mandatario está facultado para</w:t>
      </w:r>
      <w:r w:rsidRPr="003E425B">
        <w:rPr>
          <w:rFonts w:ascii="Times New Roman" w:hAnsi="Times New Roman" w:cs="Times New Roman"/>
          <w:bCs/>
          <w:color w:val="000000" w:themeColor="text1"/>
          <w:sz w:val="28"/>
          <w:lang w:eastAsia="es-ES_tradnl"/>
        </w:rPr>
        <w:t xml:space="preserve"> modificar la estructura de la administración pública nacional e</w:t>
      </w:r>
      <w:r w:rsidRPr="003E425B">
        <w:rPr>
          <w:rFonts w:ascii="Times New Roman" w:hAnsi="Times New Roman" w:cs="Times New Roman"/>
          <w:bCs/>
          <w:color w:val="000000" w:themeColor="text1"/>
          <w:sz w:val="28"/>
          <w:lang w:eastAsia="es-ES_tradnl"/>
        </w:rPr>
        <w:t xml:space="preserve"> integrar al Ministerio de Igualdad y Equidad </w:t>
      </w:r>
      <w:r w:rsidRPr="003E425B">
        <w:rPr>
          <w:rFonts w:ascii="Times New Roman" w:hAnsi="Times New Roman" w:cs="Times New Roman"/>
          <w:bCs/>
          <w:color w:val="000000" w:themeColor="text1"/>
          <w:sz w:val="28"/>
          <w:lang w:eastAsia="es-ES_tradnl"/>
        </w:rPr>
        <w:t>cualquier</w:t>
      </w:r>
      <w:r w:rsidRPr="003E425B">
        <w:rPr>
          <w:rFonts w:ascii="Times New Roman" w:hAnsi="Times New Roman" w:cs="Times New Roman"/>
          <w:bCs/>
          <w:color w:val="000000" w:themeColor="text1"/>
          <w:sz w:val="28"/>
          <w:lang w:eastAsia="es-ES_tradnl"/>
        </w:rPr>
        <w:t xml:space="preserve"> entidad. </w:t>
      </w:r>
    </w:p>
    <w:p w:rsidR="00126CA9" w:rsidRPr="003E425B" w:rsidRDefault="003E425B" w:rsidP="00010108">
      <w:pPr>
        <w:numPr>
          <w:ilvl w:val="1"/>
          <w:numId w:val="10"/>
        </w:numPr>
        <w:ind w:left="709" w:hanging="709"/>
        <w:rPr>
          <w:rFonts w:ascii="Times New Roman" w:hAnsi="Times New Roman" w:cs="Times New Roman"/>
          <w:sz w:val="28"/>
        </w:rPr>
      </w:pPr>
      <w:r w:rsidRPr="003E425B">
        <w:rPr>
          <w:rFonts w:ascii="Times New Roman" w:hAnsi="Times New Roman" w:cs="Times New Roman"/>
          <w:sz w:val="28"/>
          <w:u w:val="single"/>
        </w:rPr>
        <w:t>Certeza</w:t>
      </w:r>
      <w:r w:rsidRPr="003E425B">
        <w:rPr>
          <w:rFonts w:ascii="Times New Roman" w:hAnsi="Times New Roman" w:cs="Times New Roman"/>
          <w:sz w:val="28"/>
        </w:rPr>
        <w:t>. El cargo satisface la carga de certeza, porque las acusaciones recaen sobre proposiciones jurídicas reales y existent</w:t>
      </w:r>
      <w:r w:rsidRPr="003E425B">
        <w:rPr>
          <w:rFonts w:ascii="Times New Roman" w:hAnsi="Times New Roman" w:cs="Times New Roman"/>
          <w:sz w:val="28"/>
        </w:rPr>
        <w:t xml:space="preserve">es. </w:t>
      </w:r>
      <w:r w:rsidRPr="003E425B">
        <w:rPr>
          <w:rFonts w:ascii="Times New Roman" w:hAnsi="Times New Roman" w:cs="Times New Roman"/>
          <w:sz w:val="28"/>
        </w:rPr>
        <w:t>En efecto, el artículo 12 dispone de forma expresa que se conceden facultades extraordinarias para integrar el sector administrativo de Igualdad y Equidad. Asimismo, la Sala advierte que, por lo menos de forma expresa, la norma no establece ningún crit</w:t>
      </w:r>
      <w:r w:rsidRPr="003E425B">
        <w:rPr>
          <w:rFonts w:ascii="Times New Roman" w:hAnsi="Times New Roman" w:cs="Times New Roman"/>
          <w:sz w:val="28"/>
        </w:rPr>
        <w:t xml:space="preserve">erio que </w:t>
      </w:r>
      <w:r w:rsidRPr="003E425B">
        <w:rPr>
          <w:rFonts w:ascii="Times New Roman" w:hAnsi="Times New Roman" w:cs="Times New Roman"/>
          <w:i/>
          <w:iCs/>
          <w:sz w:val="28"/>
        </w:rPr>
        <w:t>(i)</w:t>
      </w:r>
      <w:r w:rsidRPr="003E425B">
        <w:rPr>
          <w:rFonts w:ascii="Times New Roman" w:hAnsi="Times New Roman" w:cs="Times New Roman"/>
          <w:sz w:val="28"/>
        </w:rPr>
        <w:t xml:space="preserve"> </w:t>
      </w:r>
      <w:r w:rsidRPr="003E425B">
        <w:rPr>
          <w:rFonts w:ascii="Times New Roman" w:hAnsi="Times New Roman" w:cs="Times New Roman"/>
          <w:sz w:val="28"/>
        </w:rPr>
        <w:t>delimite el ejercicio de esta competencia</w:t>
      </w:r>
      <w:r w:rsidRPr="003E425B">
        <w:rPr>
          <w:rFonts w:ascii="Times New Roman" w:hAnsi="Times New Roman" w:cs="Times New Roman"/>
          <w:sz w:val="28"/>
        </w:rPr>
        <w:t xml:space="preserve"> o </w:t>
      </w:r>
      <w:r w:rsidRPr="003E425B">
        <w:rPr>
          <w:rFonts w:ascii="Times New Roman" w:hAnsi="Times New Roman" w:cs="Times New Roman"/>
          <w:i/>
          <w:iCs/>
          <w:sz w:val="28"/>
        </w:rPr>
        <w:t>(ii)</w:t>
      </w:r>
      <w:r w:rsidRPr="003E425B">
        <w:rPr>
          <w:rFonts w:ascii="Times New Roman" w:hAnsi="Times New Roman" w:cs="Times New Roman"/>
          <w:sz w:val="28"/>
        </w:rPr>
        <w:t xml:space="preserve"> impida </w:t>
      </w:r>
      <w:r w:rsidRPr="003E425B">
        <w:rPr>
          <w:rFonts w:ascii="Times New Roman" w:hAnsi="Times New Roman" w:cs="Times New Roman"/>
          <w:bCs/>
          <w:color w:val="000000" w:themeColor="text1"/>
          <w:sz w:val="28"/>
          <w:lang w:eastAsia="es-ES_tradnl"/>
        </w:rPr>
        <w:t xml:space="preserve">modificar la </w:t>
      </w:r>
      <w:r w:rsidRPr="003E425B">
        <w:rPr>
          <w:rFonts w:ascii="Times New Roman" w:hAnsi="Times New Roman" w:cs="Times New Roman"/>
          <w:bCs/>
          <w:color w:val="000000" w:themeColor="text1"/>
          <w:sz w:val="28"/>
          <w:lang w:eastAsia="es-ES_tradnl"/>
        </w:rPr>
        <w:t>adscripción o vinculación de entidades que, a la fecha de expedición de la ley, formaban parte de otros sectores</w:t>
      </w:r>
      <w:r w:rsidRPr="003E425B">
        <w:rPr>
          <w:rFonts w:ascii="Times New Roman" w:hAnsi="Times New Roman" w:cs="Times New Roman"/>
          <w:bCs/>
          <w:color w:val="000000" w:themeColor="text1"/>
          <w:sz w:val="28"/>
          <w:lang w:eastAsia="es-ES_tradnl"/>
        </w:rPr>
        <w:t>.</w:t>
      </w:r>
      <w:r w:rsidRPr="003E425B">
        <w:rPr>
          <w:rFonts w:ascii="Times New Roman" w:hAnsi="Times New Roman" w:cs="Times New Roman"/>
          <w:bCs/>
          <w:color w:val="000000" w:themeColor="text1"/>
          <w:sz w:val="28"/>
          <w:lang w:eastAsia="es-ES_tradnl"/>
        </w:rPr>
        <w:t xml:space="preserve"> Ahora bien, la Corte reconoce que, a diferencia de lo que al</w:t>
      </w:r>
      <w:r w:rsidRPr="003E425B">
        <w:rPr>
          <w:rFonts w:ascii="Times New Roman" w:hAnsi="Times New Roman" w:cs="Times New Roman"/>
          <w:bCs/>
          <w:color w:val="000000" w:themeColor="text1"/>
          <w:sz w:val="28"/>
          <w:lang w:eastAsia="es-ES_tradnl"/>
        </w:rPr>
        <w:t xml:space="preserve">egan los demandantes, la norma no otorga facultades extraordinarias para </w:t>
      </w:r>
      <w:r w:rsidRPr="003E425B">
        <w:rPr>
          <w:rFonts w:ascii="Times New Roman" w:hAnsi="Times New Roman" w:cs="Times New Roman"/>
          <w:bCs/>
          <w:color w:val="000000" w:themeColor="text1"/>
          <w:sz w:val="28"/>
          <w:lang w:eastAsia="es-ES_tradnl"/>
        </w:rPr>
        <w:t xml:space="preserve">“liquidar”, </w:t>
      </w:r>
      <w:r w:rsidRPr="003E425B">
        <w:rPr>
          <w:rFonts w:ascii="Times New Roman" w:hAnsi="Times New Roman" w:cs="Times New Roman"/>
          <w:bCs/>
          <w:color w:val="000000" w:themeColor="text1"/>
          <w:sz w:val="28"/>
          <w:lang w:eastAsia="es-ES_tradnl"/>
        </w:rPr>
        <w:t>“suprimir” o “fusionar” otras entidades. Sin embargo, la Sala advierte que los demandantes explicaron que el trámite legislativo sugería que esta interpretación del alcanc</w:t>
      </w:r>
      <w:r w:rsidRPr="003E425B">
        <w:rPr>
          <w:rFonts w:ascii="Times New Roman" w:hAnsi="Times New Roman" w:cs="Times New Roman"/>
          <w:bCs/>
          <w:color w:val="000000" w:themeColor="text1"/>
          <w:sz w:val="28"/>
          <w:lang w:eastAsia="es-ES_tradnl"/>
        </w:rPr>
        <w:t xml:space="preserve">e de la habilitación era plausible. Lo anterior, habida cuenta de que, en múltiples ocasiones, los ponentes y el Gobierno Nacional manifestaron que el Ministerio de Igualdad y Equidad se crearía a partir de dependencias y direcciones de otros sectores que </w:t>
      </w:r>
      <w:r w:rsidRPr="003E425B">
        <w:rPr>
          <w:rFonts w:ascii="Times New Roman" w:hAnsi="Times New Roman" w:cs="Times New Roman"/>
          <w:bCs/>
          <w:color w:val="000000" w:themeColor="text1"/>
          <w:sz w:val="28"/>
          <w:lang w:eastAsia="es-ES_tradnl"/>
        </w:rPr>
        <w:t xml:space="preserve">ya existían. </w:t>
      </w:r>
    </w:p>
    <w:p w:rsidR="00445AB6" w:rsidRPr="003E425B" w:rsidRDefault="003E425B" w:rsidP="00010108">
      <w:pPr>
        <w:numPr>
          <w:ilvl w:val="1"/>
          <w:numId w:val="10"/>
        </w:numPr>
        <w:ind w:left="709" w:hanging="709"/>
        <w:rPr>
          <w:rFonts w:ascii="Times New Roman" w:hAnsi="Times New Roman" w:cs="Times New Roman"/>
          <w:sz w:val="28"/>
        </w:rPr>
      </w:pPr>
      <w:r w:rsidRPr="003E425B">
        <w:rPr>
          <w:rFonts w:ascii="Times New Roman" w:hAnsi="Times New Roman" w:cs="Times New Roman"/>
          <w:sz w:val="28"/>
          <w:u w:val="single"/>
        </w:rPr>
        <w:t>Especificidad</w:t>
      </w:r>
      <w:r w:rsidRPr="003E425B">
        <w:rPr>
          <w:rFonts w:ascii="Times New Roman" w:hAnsi="Times New Roman" w:cs="Times New Roman"/>
          <w:sz w:val="28"/>
          <w:u w:val="single"/>
        </w:rPr>
        <w:t xml:space="preserve"> y pert</w:t>
      </w:r>
      <w:r w:rsidRPr="003E425B">
        <w:rPr>
          <w:rFonts w:ascii="Times New Roman" w:hAnsi="Times New Roman" w:cs="Times New Roman"/>
          <w:sz w:val="28"/>
          <w:u w:val="single"/>
        </w:rPr>
        <w:t>i</w:t>
      </w:r>
      <w:r w:rsidRPr="003E425B">
        <w:rPr>
          <w:rFonts w:ascii="Times New Roman" w:hAnsi="Times New Roman" w:cs="Times New Roman"/>
          <w:sz w:val="28"/>
          <w:u w:val="single"/>
        </w:rPr>
        <w:t>nencia</w:t>
      </w:r>
      <w:r w:rsidRPr="003E425B">
        <w:rPr>
          <w:rFonts w:ascii="Times New Roman" w:hAnsi="Times New Roman" w:cs="Times New Roman"/>
          <w:i/>
          <w:iCs/>
          <w:sz w:val="28"/>
        </w:rPr>
        <w:t>.</w:t>
      </w:r>
      <w:r w:rsidRPr="003E425B">
        <w:rPr>
          <w:rFonts w:ascii="Times New Roman" w:hAnsi="Times New Roman" w:cs="Times New Roman"/>
          <w:sz w:val="28"/>
        </w:rPr>
        <w:t xml:space="preserve"> El cargo es específico</w:t>
      </w:r>
      <w:r w:rsidRPr="003E425B">
        <w:rPr>
          <w:rFonts w:ascii="Times New Roman" w:hAnsi="Times New Roman" w:cs="Times New Roman"/>
          <w:sz w:val="28"/>
        </w:rPr>
        <w:t xml:space="preserve"> y pertinente, </w:t>
      </w:r>
      <w:r w:rsidRPr="003E425B">
        <w:rPr>
          <w:rFonts w:ascii="Times New Roman" w:hAnsi="Times New Roman" w:cs="Times New Roman"/>
          <w:sz w:val="28"/>
        </w:rPr>
        <w:t xml:space="preserve">porque </w:t>
      </w:r>
      <w:r w:rsidRPr="003E425B">
        <w:rPr>
          <w:rFonts w:ascii="Times New Roman" w:hAnsi="Times New Roman" w:cs="Times New Roman"/>
          <w:sz w:val="28"/>
        </w:rPr>
        <w:t>los demandantes expusieron argumentos concretos de naturaleza constitucional -no vagos y generales- para sustentar su acusación. En efecto, se reitera, los demandantes f</w:t>
      </w:r>
      <w:r w:rsidRPr="003E425B">
        <w:rPr>
          <w:rFonts w:ascii="Times New Roman" w:hAnsi="Times New Roman" w:cs="Times New Roman"/>
          <w:sz w:val="28"/>
        </w:rPr>
        <w:t xml:space="preserve">undamentaron su solicitud de inexequibilidad en el desconocimiento del </w:t>
      </w:r>
      <w:r w:rsidRPr="003E425B">
        <w:rPr>
          <w:rFonts w:ascii="Times New Roman" w:hAnsi="Times New Roman" w:cs="Times New Roman"/>
          <w:sz w:val="28"/>
        </w:rPr>
        <w:t>artículo</w:t>
      </w:r>
      <w:r w:rsidRPr="003E425B">
        <w:rPr>
          <w:rFonts w:ascii="Times New Roman" w:hAnsi="Times New Roman" w:cs="Times New Roman"/>
          <w:sz w:val="28"/>
        </w:rPr>
        <w:t xml:space="preserve"> 10 del artículo 150 de la Constitución y el requisito de precisión de las facultades extraordinarias desarrollado por la jurisprudencia constitucional. </w:t>
      </w:r>
      <w:r w:rsidRPr="003E425B">
        <w:rPr>
          <w:rFonts w:ascii="Times New Roman" w:hAnsi="Times New Roman" w:cs="Times New Roman"/>
          <w:sz w:val="28"/>
        </w:rPr>
        <w:t xml:space="preserve"> </w:t>
      </w:r>
    </w:p>
    <w:p w:rsidR="00445AB6" w:rsidRPr="003E425B" w:rsidRDefault="003E425B" w:rsidP="00010108">
      <w:pPr>
        <w:numPr>
          <w:ilvl w:val="1"/>
          <w:numId w:val="10"/>
        </w:numPr>
        <w:ind w:left="709" w:hanging="709"/>
        <w:rPr>
          <w:rFonts w:ascii="Times New Roman" w:hAnsi="Times New Roman" w:cs="Times New Roman"/>
          <w:sz w:val="28"/>
        </w:rPr>
      </w:pPr>
      <w:r w:rsidRPr="003E425B">
        <w:rPr>
          <w:rFonts w:ascii="Times New Roman" w:hAnsi="Times New Roman" w:cs="Times New Roman"/>
          <w:sz w:val="28"/>
          <w:u w:val="single"/>
        </w:rPr>
        <w:t>Suficiencia</w:t>
      </w:r>
      <w:r w:rsidRPr="003E425B">
        <w:rPr>
          <w:rFonts w:ascii="Times New Roman" w:hAnsi="Times New Roman" w:cs="Times New Roman"/>
          <w:sz w:val="28"/>
        </w:rPr>
        <w:t xml:space="preserve">. Por </w:t>
      </w:r>
      <w:r w:rsidRPr="003E425B">
        <w:rPr>
          <w:rFonts w:ascii="Times New Roman" w:hAnsi="Times New Roman" w:cs="Times New Roman"/>
          <w:sz w:val="28"/>
        </w:rPr>
        <w:t>último, la Sala Plena encuentra que el cargo satisface la carga de suficiencia, puesto que, por las razones expuestas, logra generar una duda mínima de constitucionalidad de la expresión demandada. En efecto, el cargo exige a la Corte estudiar si</w:t>
      </w:r>
      <w:r w:rsidRPr="003E425B">
        <w:rPr>
          <w:rFonts w:ascii="Times New Roman" w:hAnsi="Times New Roman" w:cs="Times New Roman"/>
          <w:sz w:val="28"/>
        </w:rPr>
        <w:t xml:space="preserve"> </w:t>
      </w:r>
      <w:r w:rsidRPr="003E425B">
        <w:rPr>
          <w:rFonts w:ascii="Times New Roman" w:hAnsi="Times New Roman" w:cs="Times New Roman"/>
          <w:sz w:val="28"/>
        </w:rPr>
        <w:t>el artícu</w:t>
      </w:r>
      <w:r w:rsidRPr="003E425B">
        <w:rPr>
          <w:rFonts w:ascii="Times New Roman" w:hAnsi="Times New Roman" w:cs="Times New Roman"/>
          <w:sz w:val="28"/>
        </w:rPr>
        <w:t xml:space="preserve">lo 12 de la Ley 2281 de 2023 </w:t>
      </w:r>
      <w:r w:rsidRPr="003E425B">
        <w:rPr>
          <w:rFonts w:ascii="Times New Roman" w:hAnsi="Times New Roman" w:cs="Times New Roman"/>
          <w:sz w:val="28"/>
        </w:rPr>
        <w:t xml:space="preserve">satisface las exigencias de claridad y precisión de las leyes habilitantes. </w:t>
      </w:r>
    </w:p>
    <w:p w:rsidR="00445AB6" w:rsidRPr="003E425B" w:rsidRDefault="003E425B" w:rsidP="00010108">
      <w:pPr>
        <w:ind w:left="792"/>
        <w:rPr>
          <w:rFonts w:ascii="Times New Roman" w:hAnsi="Times New Roman" w:cs="Times New Roman"/>
          <w:sz w:val="28"/>
        </w:rPr>
      </w:pPr>
    </w:p>
    <w:p w:rsidR="00445AB6"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Con fundamento en las anteriores consideraciones, la Sala concluye que la demanda es apta. </w:t>
      </w:r>
    </w:p>
    <w:p w:rsidR="00445AB6" w:rsidRPr="003E425B" w:rsidRDefault="003E425B" w:rsidP="00010108">
      <w:pPr>
        <w:rPr>
          <w:rFonts w:ascii="Times New Roman" w:hAnsi="Times New Roman" w:cs="Times New Roman"/>
          <w:sz w:val="28"/>
        </w:rPr>
      </w:pPr>
    </w:p>
    <w:p w:rsidR="00445AB6" w:rsidRPr="003E425B" w:rsidRDefault="003E425B" w:rsidP="00010108">
      <w:pPr>
        <w:pStyle w:val="Ttulo2"/>
        <w:numPr>
          <w:ilvl w:val="1"/>
          <w:numId w:val="14"/>
        </w:numPr>
        <w:tabs>
          <w:tab w:val="left" w:pos="1134"/>
        </w:tabs>
        <w:ind w:left="1560" w:hanging="1134"/>
        <w:rPr>
          <w:rFonts w:ascii="Times New Roman" w:hAnsi="Times New Roman" w:cs="Times New Roman"/>
          <w:sz w:val="28"/>
        </w:rPr>
      </w:pPr>
      <w:r w:rsidRPr="003E425B">
        <w:rPr>
          <w:rFonts w:ascii="Times New Roman" w:hAnsi="Times New Roman" w:cs="Times New Roman"/>
          <w:sz w:val="28"/>
        </w:rPr>
        <w:t>Vigencia del artículo 12 de la Ley 2281 de 2023</w:t>
      </w:r>
    </w:p>
    <w:p w:rsidR="00445AB6" w:rsidRPr="003E425B" w:rsidRDefault="003E425B" w:rsidP="00010108">
      <w:pPr>
        <w:rPr>
          <w:rFonts w:ascii="Times New Roman" w:hAnsi="Times New Roman" w:cs="Times New Roman"/>
          <w:sz w:val="28"/>
        </w:rPr>
      </w:pPr>
    </w:p>
    <w:p w:rsidR="003D65B3"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Conform</w:t>
      </w:r>
      <w:r w:rsidRPr="003E425B">
        <w:rPr>
          <w:rFonts w:ascii="Times New Roman" w:hAnsi="Times New Roman" w:cs="Times New Roman"/>
          <w:sz w:val="28"/>
        </w:rPr>
        <w:t>e al artíc</w:t>
      </w:r>
      <w:r w:rsidRPr="003E425B">
        <w:rPr>
          <w:rFonts w:ascii="Times New Roman" w:hAnsi="Times New Roman" w:cs="Times New Roman"/>
          <w:sz w:val="28"/>
        </w:rPr>
        <w:t>u</w:t>
      </w:r>
      <w:r w:rsidRPr="003E425B">
        <w:rPr>
          <w:rFonts w:ascii="Times New Roman" w:hAnsi="Times New Roman" w:cs="Times New Roman"/>
          <w:sz w:val="28"/>
        </w:rPr>
        <w:t xml:space="preserve">lo 241 de la Constitución, la vigencia de las normas </w:t>
      </w:r>
      <w:r w:rsidRPr="003E425B">
        <w:rPr>
          <w:rFonts w:ascii="Times New Roman" w:hAnsi="Times New Roman" w:cs="Times New Roman"/>
          <w:sz w:val="28"/>
        </w:rPr>
        <w:t xml:space="preserve">que los ciudadanos </w:t>
      </w:r>
      <w:r w:rsidRPr="003E425B">
        <w:rPr>
          <w:rFonts w:ascii="Times New Roman" w:hAnsi="Times New Roman" w:cs="Times New Roman"/>
          <w:sz w:val="28"/>
        </w:rPr>
        <w:t>demanda</w:t>
      </w:r>
      <w:r w:rsidRPr="003E425B">
        <w:rPr>
          <w:rFonts w:ascii="Times New Roman" w:hAnsi="Times New Roman" w:cs="Times New Roman"/>
          <w:sz w:val="28"/>
        </w:rPr>
        <w:t>n</w:t>
      </w:r>
      <w:r w:rsidRPr="003E425B">
        <w:rPr>
          <w:rFonts w:ascii="Times New Roman" w:hAnsi="Times New Roman" w:cs="Times New Roman"/>
          <w:sz w:val="28"/>
        </w:rPr>
        <w:t xml:space="preserve"> mediante acción pública de </w:t>
      </w:r>
      <w:r w:rsidRPr="003E425B">
        <w:rPr>
          <w:rFonts w:ascii="Times New Roman" w:hAnsi="Times New Roman" w:cs="Times New Roman"/>
          <w:sz w:val="28"/>
        </w:rPr>
        <w:t>in</w:t>
      </w:r>
      <w:r w:rsidRPr="003E425B">
        <w:rPr>
          <w:rFonts w:ascii="Times New Roman" w:hAnsi="Times New Roman" w:cs="Times New Roman"/>
          <w:sz w:val="28"/>
        </w:rPr>
        <w:t>constitucionalidad</w:t>
      </w:r>
      <w:r w:rsidRPr="003E425B">
        <w:rPr>
          <w:rFonts w:ascii="Times New Roman" w:hAnsi="Times New Roman" w:cs="Times New Roman"/>
          <w:sz w:val="28"/>
        </w:rPr>
        <w:t xml:space="preserve"> es un presupuesto </w:t>
      </w:r>
      <w:r w:rsidRPr="003E425B">
        <w:rPr>
          <w:rFonts w:ascii="Times New Roman" w:hAnsi="Times New Roman" w:cs="Times New Roman"/>
          <w:i/>
          <w:iCs/>
          <w:sz w:val="28"/>
        </w:rPr>
        <w:t>sine qua non</w:t>
      </w:r>
      <w:r w:rsidRPr="003E425B">
        <w:rPr>
          <w:rFonts w:ascii="Times New Roman" w:hAnsi="Times New Roman" w:cs="Times New Roman"/>
          <w:sz w:val="28"/>
        </w:rPr>
        <w:t xml:space="preserve"> </w:t>
      </w:r>
      <w:r w:rsidRPr="003E425B">
        <w:rPr>
          <w:rFonts w:ascii="Times New Roman" w:hAnsi="Times New Roman" w:cs="Times New Roman"/>
          <w:sz w:val="28"/>
        </w:rPr>
        <w:t>de</w:t>
      </w:r>
      <w:r w:rsidRPr="003E425B">
        <w:rPr>
          <w:rFonts w:ascii="Times New Roman" w:hAnsi="Times New Roman" w:cs="Times New Roman"/>
          <w:sz w:val="28"/>
        </w:rPr>
        <w:t xml:space="preserve"> la competencia de la </w:t>
      </w:r>
      <w:r w:rsidRPr="003E425B">
        <w:rPr>
          <w:rFonts w:ascii="Times New Roman" w:hAnsi="Times New Roman" w:cs="Times New Roman"/>
          <w:sz w:val="28"/>
        </w:rPr>
        <w:t xml:space="preserve">Corte </w:t>
      </w:r>
      <w:r w:rsidRPr="003E425B">
        <w:rPr>
          <w:rFonts w:ascii="Times New Roman" w:hAnsi="Times New Roman" w:cs="Times New Roman"/>
          <w:sz w:val="28"/>
        </w:rPr>
        <w:t>Constitucional</w:t>
      </w:r>
      <w:r w:rsidRPr="003E425B">
        <w:rPr>
          <w:rFonts w:ascii="Times New Roman" w:hAnsi="Times New Roman" w:cs="Times New Roman"/>
          <w:sz w:val="28"/>
        </w:rPr>
        <w:t xml:space="preserve">. </w:t>
      </w:r>
      <w:r w:rsidRPr="003E425B">
        <w:rPr>
          <w:rFonts w:ascii="Times New Roman" w:hAnsi="Times New Roman" w:cs="Times New Roman"/>
          <w:sz w:val="28"/>
        </w:rPr>
        <w:t xml:space="preserve"> </w:t>
      </w:r>
      <w:r w:rsidRPr="003E425B">
        <w:rPr>
          <w:rFonts w:ascii="Times New Roman" w:hAnsi="Times New Roman" w:cs="Times New Roman"/>
          <w:sz w:val="28"/>
        </w:rPr>
        <w:t>L</w:t>
      </w:r>
      <w:r w:rsidRPr="003E425B">
        <w:rPr>
          <w:rFonts w:ascii="Times New Roman" w:hAnsi="Times New Roman" w:cs="Times New Roman"/>
          <w:sz w:val="28"/>
        </w:rPr>
        <w:t>a Corte</w:t>
      </w:r>
      <w:r w:rsidRPr="003E425B">
        <w:rPr>
          <w:rFonts w:ascii="Times New Roman" w:hAnsi="Times New Roman" w:cs="Times New Roman"/>
          <w:sz w:val="28"/>
        </w:rPr>
        <w:t xml:space="preserve"> </w:t>
      </w:r>
      <w:r w:rsidRPr="003E425B">
        <w:rPr>
          <w:rFonts w:ascii="Times New Roman" w:hAnsi="Times New Roman" w:cs="Times New Roman"/>
          <w:sz w:val="28"/>
        </w:rPr>
        <w:t xml:space="preserve">Constitucional </w:t>
      </w:r>
      <w:r w:rsidRPr="003E425B">
        <w:rPr>
          <w:rFonts w:ascii="Times New Roman" w:hAnsi="Times New Roman" w:cs="Times New Roman"/>
          <w:sz w:val="28"/>
        </w:rPr>
        <w:t>no es competen</w:t>
      </w:r>
      <w:r w:rsidRPr="003E425B">
        <w:rPr>
          <w:rFonts w:ascii="Times New Roman" w:hAnsi="Times New Roman" w:cs="Times New Roman"/>
          <w:sz w:val="28"/>
        </w:rPr>
        <w:t xml:space="preserve">te para conocer acciones públicas de inconstitucionalidad dirigidas contra normas que </w:t>
      </w:r>
      <w:r w:rsidRPr="003E425B">
        <w:rPr>
          <w:rFonts w:ascii="Times New Roman" w:hAnsi="Times New Roman" w:cs="Times New Roman"/>
          <w:sz w:val="28"/>
        </w:rPr>
        <w:t xml:space="preserve">no están vigentes, o </w:t>
      </w:r>
      <w:r w:rsidRPr="003E425B">
        <w:rPr>
          <w:rFonts w:ascii="Times New Roman" w:hAnsi="Times New Roman" w:cs="Times New Roman"/>
          <w:sz w:val="28"/>
        </w:rPr>
        <w:t>“no siguen produciendo efectos”</w:t>
      </w:r>
      <w:r w:rsidRPr="003E425B">
        <w:rPr>
          <w:rStyle w:val="Refdenotaalpie"/>
          <w:rFonts w:ascii="Times New Roman" w:hAnsi="Times New Roman" w:cs="Times New Roman"/>
          <w:sz w:val="28"/>
        </w:rPr>
        <w:footnoteReference w:id="66"/>
      </w:r>
      <w:r w:rsidRPr="003E425B">
        <w:rPr>
          <w:rFonts w:ascii="Times New Roman" w:hAnsi="Times New Roman" w:cs="Times New Roman"/>
          <w:sz w:val="28"/>
        </w:rPr>
        <w:t xml:space="preserve"> </w:t>
      </w:r>
      <w:r w:rsidRPr="003E425B">
        <w:rPr>
          <w:rFonts w:ascii="Times New Roman" w:hAnsi="Times New Roman" w:cs="Times New Roman"/>
          <w:sz w:val="28"/>
          <w:szCs w:val="28"/>
          <w:shd w:val="clear" w:color="auto" w:fill="FFFFFF"/>
        </w:rPr>
        <w:t xml:space="preserve">al haberse cumplido </w:t>
      </w:r>
      <w:r w:rsidRPr="003E425B">
        <w:rPr>
          <w:rFonts w:ascii="Times New Roman" w:hAnsi="Times New Roman" w:cs="Times New Roman"/>
          <w:sz w:val="28"/>
          <w:szCs w:val="28"/>
          <w:shd w:val="clear" w:color="auto" w:fill="FFFFFF"/>
        </w:rPr>
        <w:t xml:space="preserve">la </w:t>
      </w:r>
      <w:r w:rsidRPr="003E425B">
        <w:rPr>
          <w:rFonts w:ascii="Times New Roman" w:hAnsi="Times New Roman" w:cs="Times New Roman"/>
          <w:sz w:val="28"/>
          <w:szCs w:val="28"/>
          <w:shd w:val="clear" w:color="auto" w:fill="FFFFFF"/>
        </w:rPr>
        <w:t>“</w:t>
      </w:r>
      <w:r w:rsidRPr="003E425B">
        <w:rPr>
          <w:rFonts w:ascii="Times New Roman" w:hAnsi="Times New Roman" w:cs="Times New Roman"/>
          <w:i/>
          <w:iCs/>
          <w:sz w:val="28"/>
          <w:szCs w:val="28"/>
          <w:shd w:val="clear" w:color="auto" w:fill="FFFFFF"/>
        </w:rPr>
        <w:t>hipótesis prescriptiva</w:t>
      </w:r>
      <w:r w:rsidRPr="003E425B">
        <w:rPr>
          <w:rFonts w:ascii="Times New Roman" w:hAnsi="Times New Roman" w:cs="Times New Roman"/>
          <w:sz w:val="28"/>
          <w:szCs w:val="28"/>
          <w:shd w:val="clear" w:color="auto" w:fill="FFFFFF"/>
        </w:rPr>
        <w:t xml:space="preserve"> que contienen”</w:t>
      </w:r>
      <w:r w:rsidRPr="003E425B">
        <w:rPr>
          <w:rStyle w:val="Refdenotaalpie"/>
          <w:rFonts w:ascii="Times New Roman" w:hAnsi="Times New Roman" w:cs="Times New Roman"/>
          <w:sz w:val="28"/>
          <w:szCs w:val="28"/>
          <w:shd w:val="clear" w:color="auto" w:fill="FFFFFF"/>
        </w:rPr>
        <w:footnoteReference w:id="67"/>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 xml:space="preserve">De acuerdo con la jurisprudencia </w:t>
      </w:r>
      <w:r w:rsidRPr="003E425B">
        <w:rPr>
          <w:rFonts w:ascii="Times New Roman" w:hAnsi="Times New Roman" w:cs="Times New Roman"/>
          <w:sz w:val="28"/>
        </w:rPr>
        <w:t>constitucional</w:t>
      </w:r>
      <w:r w:rsidRPr="003E425B">
        <w:rPr>
          <w:rFonts w:ascii="Times New Roman" w:hAnsi="Times New Roman" w:cs="Times New Roman"/>
          <w:sz w:val="28"/>
        </w:rPr>
        <w:t>,</w:t>
      </w:r>
      <w:r w:rsidRPr="003E425B">
        <w:rPr>
          <w:rFonts w:ascii="Times New Roman" w:hAnsi="Times New Roman" w:cs="Times New Roman"/>
          <w:sz w:val="28"/>
        </w:rPr>
        <w:t xml:space="preserve"> e</w:t>
      </w:r>
      <w:r w:rsidRPr="003E425B">
        <w:rPr>
          <w:rFonts w:ascii="Times New Roman" w:hAnsi="Times New Roman" w:cs="Times New Roman"/>
          <w:sz w:val="28"/>
        </w:rPr>
        <w:t xml:space="preserve">l </w:t>
      </w:r>
      <w:r w:rsidRPr="003E425B">
        <w:rPr>
          <w:rFonts w:ascii="Times New Roman" w:hAnsi="Times New Roman" w:cs="Times New Roman"/>
          <w:sz w:val="28"/>
        </w:rPr>
        <w:t>agotamiento de la hipótesis prescriptiva ocurre</w:t>
      </w:r>
      <w:r w:rsidRPr="003E425B">
        <w:rPr>
          <w:rFonts w:ascii="Times New Roman" w:hAnsi="Times New Roman" w:cs="Times New Roman"/>
          <w:sz w:val="28"/>
        </w:rPr>
        <w:t>, entre otras,</w:t>
      </w:r>
      <w:r w:rsidRPr="003E425B">
        <w:rPr>
          <w:rFonts w:ascii="Times New Roman" w:hAnsi="Times New Roman" w:cs="Times New Roman"/>
          <w:sz w:val="28"/>
        </w:rPr>
        <w:t xml:space="preserve"> cuando</w:t>
      </w:r>
      <w:r w:rsidRPr="003E425B">
        <w:rPr>
          <w:rFonts w:ascii="Times New Roman" w:hAnsi="Times New Roman" w:cs="Times New Roman"/>
          <w:sz w:val="28"/>
        </w:rPr>
        <w:t xml:space="preserve"> </w:t>
      </w:r>
      <w:r w:rsidRPr="003E425B">
        <w:rPr>
          <w:rFonts w:ascii="Times New Roman" w:hAnsi="Times New Roman" w:cs="Times New Roman"/>
          <w:sz w:val="28"/>
          <w:szCs w:val="28"/>
          <w:shd w:val="clear" w:color="auto" w:fill="FFFFFF"/>
        </w:rPr>
        <w:t xml:space="preserve">las normas prevén </w:t>
      </w:r>
      <w:r w:rsidRPr="003E425B">
        <w:rPr>
          <w:rFonts w:ascii="Times New Roman" w:hAnsi="Times New Roman" w:cs="Times New Roman"/>
          <w:sz w:val="28"/>
          <w:szCs w:val="28"/>
          <w:shd w:val="clear" w:color="auto" w:fill="FFFFFF"/>
        </w:rPr>
        <w:t>“habilitaciones temporales que, por lo tanto, una vez expirado el plazo para su ejercicio, independientemente de que el comportamiento se haya o no cumplido, pierden, en</w:t>
      </w:r>
      <w:r w:rsidRPr="003E425B">
        <w:rPr>
          <w:rFonts w:ascii="Times New Roman" w:hAnsi="Times New Roman" w:cs="Times New Roman"/>
          <w:sz w:val="28"/>
          <w:szCs w:val="28"/>
          <w:shd w:val="clear" w:color="auto" w:fill="FFFFFF"/>
        </w:rPr>
        <w:t xml:space="preserve"> principio, eficacia”</w:t>
      </w:r>
      <w:r w:rsidRPr="003E425B">
        <w:rPr>
          <w:rStyle w:val="Refdenotaalpie"/>
          <w:rFonts w:ascii="Times New Roman" w:hAnsi="Times New Roman" w:cs="Times New Roman"/>
          <w:sz w:val="28"/>
          <w:szCs w:val="28"/>
          <w:shd w:val="clear" w:color="auto" w:fill="FFFFFF"/>
        </w:rPr>
        <w:footnoteReference w:id="68"/>
      </w:r>
      <w:r w:rsidRPr="003E425B">
        <w:rPr>
          <w:rFonts w:ascii="Times New Roman" w:hAnsi="Times New Roman" w:cs="Times New Roman"/>
          <w:sz w:val="28"/>
          <w:szCs w:val="28"/>
          <w:shd w:val="clear" w:color="auto" w:fill="FFFFFF"/>
        </w:rPr>
        <w:t xml:space="preserve">. </w:t>
      </w:r>
    </w:p>
    <w:p w:rsidR="003D65B3" w:rsidRPr="003E425B" w:rsidRDefault="003E425B" w:rsidP="00010108">
      <w:pPr>
        <w:rPr>
          <w:rFonts w:ascii="Times New Roman" w:hAnsi="Times New Roman" w:cs="Times New Roman"/>
          <w:sz w:val="28"/>
        </w:rPr>
      </w:pPr>
    </w:p>
    <w:p w:rsidR="00C22B62"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szCs w:val="28"/>
          <w:shd w:val="clear" w:color="auto" w:fill="FFFFFF"/>
        </w:rPr>
        <w:t>Con todo</w:t>
      </w:r>
      <w:r w:rsidRPr="003E425B">
        <w:rPr>
          <w:rFonts w:ascii="Times New Roman" w:hAnsi="Times New Roman" w:cs="Times New Roman"/>
          <w:sz w:val="28"/>
          <w:szCs w:val="28"/>
          <w:shd w:val="clear" w:color="auto" w:fill="FFFFFF"/>
        </w:rPr>
        <w:t xml:space="preserve">, </w:t>
      </w:r>
      <w:r w:rsidRPr="003E425B">
        <w:rPr>
          <w:rFonts w:ascii="Times New Roman" w:hAnsi="Times New Roman" w:cs="Times New Roman"/>
          <w:sz w:val="28"/>
          <w:szCs w:val="28"/>
          <w:shd w:val="clear" w:color="auto" w:fill="FFFFFF"/>
        </w:rPr>
        <w:t>la Corte Constitucional</w:t>
      </w:r>
      <w:r w:rsidRPr="003E425B">
        <w:rPr>
          <w:rFonts w:ascii="Times New Roman" w:hAnsi="Times New Roman" w:cs="Times New Roman"/>
          <w:sz w:val="28"/>
          <w:szCs w:val="28"/>
          <w:shd w:val="clear" w:color="auto" w:fill="FFFFFF"/>
        </w:rPr>
        <w:t xml:space="preserve"> ha determinado dos eventos</w:t>
      </w:r>
      <w:r w:rsidRPr="003E425B">
        <w:rPr>
          <w:rFonts w:ascii="Times New Roman" w:hAnsi="Times New Roman" w:cs="Times New Roman"/>
          <w:sz w:val="28"/>
          <w:szCs w:val="28"/>
          <w:shd w:val="clear" w:color="auto" w:fill="FFFFFF"/>
        </w:rPr>
        <w:t xml:space="preserve"> </w:t>
      </w:r>
      <w:r w:rsidRPr="003E425B">
        <w:rPr>
          <w:rFonts w:ascii="Times New Roman" w:hAnsi="Times New Roman" w:cs="Times New Roman"/>
          <w:sz w:val="28"/>
          <w:szCs w:val="28"/>
          <w:shd w:val="clear" w:color="auto" w:fill="FFFFFF"/>
        </w:rPr>
        <w:t xml:space="preserve">en los que </w:t>
      </w:r>
      <w:r w:rsidRPr="003E425B">
        <w:rPr>
          <w:rFonts w:ascii="Times New Roman" w:hAnsi="Times New Roman" w:cs="Times New Roman"/>
          <w:sz w:val="28"/>
          <w:szCs w:val="28"/>
          <w:shd w:val="clear" w:color="auto" w:fill="FFFFFF"/>
        </w:rPr>
        <w:t>conserva su competencia</w:t>
      </w:r>
      <w:r w:rsidRPr="003E425B">
        <w:rPr>
          <w:rFonts w:ascii="Times New Roman" w:hAnsi="Times New Roman" w:cs="Times New Roman"/>
          <w:sz w:val="28"/>
          <w:szCs w:val="28"/>
          <w:shd w:val="clear" w:color="auto" w:fill="FFFFFF"/>
        </w:rPr>
        <w:t xml:space="preserve"> </w:t>
      </w:r>
      <w:r w:rsidRPr="003E425B">
        <w:rPr>
          <w:rFonts w:ascii="Times New Roman" w:hAnsi="Times New Roman" w:cs="Times New Roman"/>
          <w:sz w:val="28"/>
          <w:szCs w:val="28"/>
          <w:shd w:val="clear" w:color="auto" w:fill="FFFFFF"/>
        </w:rPr>
        <w:t>cuando el</w:t>
      </w:r>
      <w:r w:rsidRPr="003E425B">
        <w:rPr>
          <w:rFonts w:ascii="Times New Roman" w:hAnsi="Times New Roman" w:cs="Times New Roman"/>
          <w:sz w:val="28"/>
          <w:szCs w:val="28"/>
          <w:shd w:val="clear" w:color="auto" w:fill="FFFFFF"/>
        </w:rPr>
        <w:t xml:space="preserve"> supuesto de hecho</w:t>
      </w:r>
      <w:r w:rsidRPr="003E425B">
        <w:rPr>
          <w:rFonts w:ascii="Times New Roman" w:hAnsi="Times New Roman" w:cs="Times New Roman"/>
          <w:sz w:val="28"/>
          <w:szCs w:val="28"/>
          <w:shd w:val="clear" w:color="auto" w:fill="FFFFFF"/>
        </w:rPr>
        <w:t xml:space="preserve"> de la norma objeto de control</w:t>
      </w:r>
      <w:r w:rsidRPr="003E425B">
        <w:rPr>
          <w:rFonts w:ascii="Times New Roman" w:hAnsi="Times New Roman" w:cs="Times New Roman"/>
          <w:sz w:val="28"/>
          <w:szCs w:val="28"/>
          <w:shd w:val="clear" w:color="auto" w:fill="FFFFFF"/>
        </w:rPr>
        <w:t xml:space="preserve"> se realizó completamente</w:t>
      </w:r>
      <w:r w:rsidRPr="003E425B">
        <w:rPr>
          <w:rFonts w:ascii="Times New Roman" w:hAnsi="Times New Roman" w:cs="Times New Roman"/>
          <w:sz w:val="28"/>
          <w:szCs w:val="28"/>
          <w:shd w:val="clear" w:color="auto" w:fill="FFFFFF"/>
        </w:rPr>
        <w:t>. Primero, en aquellos casos en los que</w:t>
      </w:r>
      <w:r w:rsidRPr="003E425B">
        <w:rPr>
          <w:rFonts w:ascii="Times New Roman" w:hAnsi="Times New Roman" w:cs="Times New Roman"/>
          <w:sz w:val="28"/>
          <w:szCs w:val="28"/>
          <w:shd w:val="clear" w:color="auto" w:fill="FFFFFF"/>
        </w:rPr>
        <w:t xml:space="preserve"> la demanda f</w:t>
      </w:r>
      <w:r w:rsidRPr="003E425B">
        <w:rPr>
          <w:rFonts w:ascii="Times New Roman" w:hAnsi="Times New Roman" w:cs="Times New Roman"/>
          <w:sz w:val="28"/>
          <w:szCs w:val="28"/>
          <w:shd w:val="clear" w:color="auto" w:fill="FFFFFF"/>
        </w:rPr>
        <w:t xml:space="preserve">ue presentada mientras </w:t>
      </w:r>
      <w:r w:rsidRPr="003E425B">
        <w:rPr>
          <w:rFonts w:ascii="Times New Roman" w:hAnsi="Times New Roman" w:cs="Times New Roman"/>
          <w:sz w:val="28"/>
          <w:szCs w:val="28"/>
          <w:shd w:val="clear" w:color="auto" w:fill="FFFFFF"/>
        </w:rPr>
        <w:t xml:space="preserve">la norma </w:t>
      </w:r>
      <w:r w:rsidRPr="003E425B">
        <w:rPr>
          <w:rFonts w:ascii="Times New Roman" w:hAnsi="Times New Roman" w:cs="Times New Roman"/>
          <w:sz w:val="28"/>
          <w:szCs w:val="28"/>
          <w:shd w:val="clear" w:color="auto" w:fill="FFFFFF"/>
        </w:rPr>
        <w:t>todavía se encontraba surtiendo efectos</w:t>
      </w:r>
      <w:r w:rsidRPr="003E425B">
        <w:rPr>
          <w:rFonts w:ascii="Times New Roman" w:hAnsi="Times New Roman" w:cs="Times New Roman"/>
          <w:sz w:val="28"/>
          <w:szCs w:val="28"/>
          <w:shd w:val="clear" w:color="auto" w:fill="FFFFFF"/>
        </w:rPr>
        <w:t xml:space="preserve">. En estos casos, conforme al principio de </w:t>
      </w:r>
      <w:r w:rsidRPr="003E425B">
        <w:rPr>
          <w:rFonts w:ascii="Times New Roman" w:hAnsi="Times New Roman" w:cs="Times New Roman"/>
          <w:i/>
          <w:iCs/>
          <w:sz w:val="28"/>
          <w:szCs w:val="28"/>
          <w:shd w:val="clear" w:color="auto" w:fill="FFFFFF"/>
        </w:rPr>
        <w:t>perpetuatio jurisdictionis</w:t>
      </w:r>
      <w:r w:rsidRPr="003E425B">
        <w:rPr>
          <w:rFonts w:ascii="Times New Roman" w:hAnsi="Times New Roman" w:cs="Times New Roman"/>
          <w:sz w:val="28"/>
          <w:szCs w:val="28"/>
          <w:shd w:val="clear" w:color="auto" w:fill="FFFFFF"/>
        </w:rPr>
        <w:t xml:space="preserve">, </w:t>
      </w:r>
      <w:r w:rsidRPr="003E425B">
        <w:rPr>
          <w:rFonts w:ascii="Times New Roman" w:hAnsi="Times New Roman" w:cs="Times New Roman"/>
          <w:sz w:val="28"/>
          <w:szCs w:val="28"/>
          <w:shd w:val="clear" w:color="auto" w:fill="FFFFFF"/>
        </w:rPr>
        <w:t>“</w:t>
      </w:r>
      <w:r w:rsidRPr="003E425B">
        <w:rPr>
          <w:rFonts w:ascii="Times New Roman" w:hAnsi="Times New Roman" w:cs="Times New Roman"/>
          <w:sz w:val="28"/>
          <w:szCs w:val="28"/>
          <w:shd w:val="clear" w:color="auto" w:fill="FFFFFF"/>
        </w:rPr>
        <w:t xml:space="preserve">con la presentación de la demanda, se traba la litis y, por lo tanto, se fija la competencia de </w:t>
      </w:r>
      <w:r w:rsidRPr="003E425B">
        <w:rPr>
          <w:rFonts w:ascii="Times New Roman" w:hAnsi="Times New Roman" w:cs="Times New Roman"/>
          <w:sz w:val="28"/>
          <w:szCs w:val="28"/>
          <w:shd w:val="clear" w:color="auto" w:fill="FFFFFF"/>
        </w:rPr>
        <w:t>la Corte</w:t>
      </w:r>
      <w:r w:rsidRPr="003E425B">
        <w:rPr>
          <w:rFonts w:ascii="Times New Roman" w:hAnsi="Times New Roman" w:cs="Times New Roman"/>
          <w:sz w:val="28"/>
          <w:szCs w:val="28"/>
          <w:shd w:val="clear" w:color="auto" w:fill="FFFFFF"/>
        </w:rPr>
        <w:t>”</w:t>
      </w:r>
      <w:r w:rsidRPr="003E425B">
        <w:rPr>
          <w:rStyle w:val="Refdenotaalpie"/>
          <w:rFonts w:ascii="Times New Roman" w:hAnsi="Times New Roman" w:cs="Times New Roman"/>
          <w:sz w:val="28"/>
          <w:szCs w:val="28"/>
          <w:shd w:val="clear" w:color="auto" w:fill="FFFFFF"/>
        </w:rPr>
        <w:footnoteReference w:id="69"/>
      </w:r>
      <w:r w:rsidRPr="003E425B">
        <w:rPr>
          <w:rFonts w:ascii="Times New Roman" w:hAnsi="Times New Roman" w:cs="Times New Roman"/>
          <w:sz w:val="28"/>
          <w:szCs w:val="28"/>
          <w:shd w:val="clear" w:color="auto" w:fill="FFFFFF"/>
        </w:rPr>
        <w:t>.</w:t>
      </w:r>
      <w:r w:rsidRPr="003E425B">
        <w:rPr>
          <w:rFonts w:ascii="Times New Roman" w:hAnsi="Times New Roman" w:cs="Times New Roman"/>
          <w:sz w:val="28"/>
          <w:szCs w:val="28"/>
          <w:shd w:val="clear" w:color="auto" w:fill="FFFFFF"/>
        </w:rPr>
        <w:t xml:space="preserve"> </w:t>
      </w:r>
      <w:r w:rsidRPr="003E425B">
        <w:rPr>
          <w:rFonts w:ascii="Times New Roman" w:hAnsi="Times New Roman" w:cs="Times New Roman"/>
          <w:sz w:val="28"/>
          <w:szCs w:val="28"/>
          <w:shd w:val="clear" w:color="auto" w:fill="FFFFFF"/>
        </w:rPr>
        <w:t>S</w:t>
      </w:r>
      <w:r w:rsidRPr="003E425B">
        <w:rPr>
          <w:rFonts w:ascii="Times New Roman" w:hAnsi="Times New Roman" w:cs="Times New Roman"/>
          <w:sz w:val="28"/>
          <w:szCs w:val="28"/>
          <w:shd w:val="clear" w:color="auto" w:fill="FFFFFF"/>
        </w:rPr>
        <w:t xml:space="preserve">egundo, cuando, </w:t>
      </w:r>
      <w:r w:rsidRPr="003E425B">
        <w:rPr>
          <w:rFonts w:ascii="Times New Roman" w:hAnsi="Times New Roman" w:cs="Times New Roman"/>
          <w:sz w:val="28"/>
          <w:szCs w:val="28"/>
          <w:shd w:val="clear" w:color="auto" w:fill="FFFFFF"/>
        </w:rPr>
        <w:t>“</w:t>
      </w:r>
      <w:r w:rsidRPr="003E425B">
        <w:rPr>
          <w:rFonts w:ascii="Times New Roman" w:hAnsi="Times New Roman" w:cs="Times New Roman"/>
          <w:sz w:val="28"/>
          <w:szCs w:val="28"/>
          <w:shd w:val="clear" w:color="auto" w:fill="FFFFFF"/>
        </w:rPr>
        <w:t>a pesar de que la demanda no se presentó durante la vigencia de la norma, la misma continúa surtiendo efectos y, en tal sentido, existe aún materia para el control</w:t>
      </w:r>
      <w:r w:rsidRPr="003E425B">
        <w:rPr>
          <w:rFonts w:ascii="Times New Roman" w:hAnsi="Times New Roman" w:cs="Times New Roman"/>
          <w:sz w:val="28"/>
          <w:szCs w:val="28"/>
          <w:shd w:val="clear" w:color="auto" w:fill="FFFFFF"/>
        </w:rPr>
        <w:t>”</w:t>
      </w:r>
      <w:r w:rsidRPr="003E425B">
        <w:rPr>
          <w:rStyle w:val="Refdenotaalpie"/>
          <w:rFonts w:ascii="Times New Roman" w:hAnsi="Times New Roman" w:cs="Times New Roman"/>
          <w:sz w:val="28"/>
          <w:szCs w:val="28"/>
          <w:shd w:val="clear" w:color="auto" w:fill="FFFFFF"/>
        </w:rPr>
        <w:footnoteReference w:id="70"/>
      </w:r>
      <w:r w:rsidRPr="003E425B">
        <w:rPr>
          <w:rFonts w:ascii="Times New Roman" w:hAnsi="Times New Roman" w:cs="Times New Roman"/>
          <w:sz w:val="28"/>
          <w:szCs w:val="28"/>
          <w:shd w:val="clear" w:color="auto" w:fill="FFFFFF"/>
        </w:rPr>
        <w:t>.</w:t>
      </w:r>
    </w:p>
    <w:p w:rsidR="002F3DA3" w:rsidRPr="003E425B" w:rsidRDefault="003E425B" w:rsidP="00010108">
      <w:pPr>
        <w:rPr>
          <w:rFonts w:ascii="Times New Roman" w:hAnsi="Times New Roman" w:cs="Times New Roman"/>
          <w:sz w:val="28"/>
        </w:rPr>
      </w:pPr>
    </w:p>
    <w:p w:rsidR="00285EEC"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En el asunto bajo examen, la Sala advierte que el artículo 12 de la Ley 2281 de 2023 </w:t>
      </w:r>
      <w:r w:rsidRPr="003E425B">
        <w:rPr>
          <w:rFonts w:ascii="Times New Roman" w:hAnsi="Times New Roman" w:cs="Times New Roman"/>
          <w:sz w:val="28"/>
        </w:rPr>
        <w:t>otorgó facultades extraordinarias</w:t>
      </w:r>
      <w:r w:rsidRPr="003E425B">
        <w:rPr>
          <w:rFonts w:ascii="Times New Roman" w:hAnsi="Times New Roman" w:cs="Times New Roman"/>
          <w:sz w:val="28"/>
        </w:rPr>
        <w:t xml:space="preserve"> al Presidente de la República, </w:t>
      </w:r>
      <w:r w:rsidRPr="003E425B">
        <w:rPr>
          <w:rFonts w:ascii="Times New Roman" w:hAnsi="Times New Roman" w:cs="Times New Roman"/>
          <w:sz w:val="28"/>
        </w:rPr>
        <w:t>“</w:t>
      </w:r>
      <w:r w:rsidRPr="003E425B">
        <w:rPr>
          <w:rFonts w:ascii="Times New Roman" w:hAnsi="Times New Roman" w:cs="Times New Roman"/>
          <w:sz w:val="28"/>
        </w:rPr>
        <w:t>por el término de</w:t>
      </w:r>
      <w:r w:rsidRPr="003E425B">
        <w:rPr>
          <w:rFonts w:ascii="Times New Roman" w:hAnsi="Times New Roman" w:cs="Times New Roman"/>
          <w:sz w:val="28"/>
        </w:rPr>
        <w:t xml:space="preserve"> 6 meses,</w:t>
      </w:r>
      <w:r w:rsidRPr="003E425B">
        <w:rPr>
          <w:rFonts w:ascii="Times New Roman" w:hAnsi="Times New Roman" w:cs="Times New Roman"/>
          <w:sz w:val="28"/>
        </w:rPr>
        <w:t xml:space="preserve"> contados a partir de la fecha de publicación de la presente ley</w:t>
      </w:r>
      <w:r w:rsidRPr="003E425B">
        <w:rPr>
          <w:rFonts w:ascii="Times New Roman" w:hAnsi="Times New Roman" w:cs="Times New Roman"/>
          <w:sz w:val="28"/>
        </w:rPr>
        <w:t xml:space="preserve"> para expedir normas con fuerza material de ley dirigidas a integrar al Sector de Igualdad y Equidad con las entidades que defina como adscritas o vinculadas</w:t>
      </w:r>
      <w:r w:rsidRPr="003E425B">
        <w:rPr>
          <w:rFonts w:ascii="Times New Roman" w:hAnsi="Times New Roman" w:cs="Times New Roman"/>
          <w:sz w:val="28"/>
        </w:rPr>
        <w:t>”</w:t>
      </w:r>
      <w:r w:rsidRPr="003E425B">
        <w:rPr>
          <w:rFonts w:ascii="Times New Roman" w:hAnsi="Times New Roman" w:cs="Times New Roman"/>
          <w:sz w:val="28"/>
        </w:rPr>
        <w:t>. El término previsto para que el Presidente pudiera hacer uso de estas facultades finalizó el</w:t>
      </w:r>
      <w:r w:rsidRPr="003E425B">
        <w:rPr>
          <w:rFonts w:ascii="Times New Roman" w:hAnsi="Times New Roman" w:cs="Times New Roman"/>
          <w:sz w:val="28"/>
        </w:rPr>
        <w:t xml:space="preserve"> 4 d</w:t>
      </w:r>
      <w:r w:rsidRPr="003E425B">
        <w:rPr>
          <w:rFonts w:ascii="Times New Roman" w:hAnsi="Times New Roman" w:cs="Times New Roman"/>
          <w:sz w:val="28"/>
        </w:rPr>
        <w:t>e julio de 2023</w:t>
      </w:r>
      <w:r w:rsidRPr="003E425B">
        <w:rPr>
          <w:rStyle w:val="Refdenotaalpie"/>
          <w:rFonts w:ascii="Times New Roman" w:hAnsi="Times New Roman" w:cs="Times New Roman"/>
          <w:sz w:val="28"/>
        </w:rPr>
        <w:footnoteReference w:id="71"/>
      </w:r>
      <w:r w:rsidRPr="003E425B">
        <w:rPr>
          <w:rFonts w:ascii="Times New Roman" w:hAnsi="Times New Roman" w:cs="Times New Roman"/>
          <w:sz w:val="28"/>
        </w:rPr>
        <w:t>.</w:t>
      </w:r>
    </w:p>
    <w:p w:rsidR="008A2B5C" w:rsidRPr="003E425B" w:rsidRDefault="003E425B" w:rsidP="00010108">
      <w:pPr>
        <w:rPr>
          <w:rFonts w:ascii="Times New Roman" w:hAnsi="Times New Roman" w:cs="Times New Roman"/>
          <w:sz w:val="28"/>
        </w:rPr>
      </w:pPr>
    </w:p>
    <w:p w:rsidR="003D65B3"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No obstante, la</w:t>
      </w:r>
      <w:r w:rsidRPr="003E425B">
        <w:rPr>
          <w:rFonts w:ascii="Times New Roman" w:hAnsi="Times New Roman" w:cs="Times New Roman"/>
          <w:sz w:val="28"/>
        </w:rPr>
        <w:t xml:space="preserve"> Sala Plena considera que es competente para llevar a cabo el análisis de constitucionalidad del artículo 12 de la Ley 2281 de 2023,</w:t>
      </w:r>
      <w:r w:rsidRPr="003E425B">
        <w:rPr>
          <w:rFonts w:ascii="Times New Roman" w:hAnsi="Times New Roman" w:cs="Times New Roman"/>
          <w:sz w:val="28"/>
        </w:rPr>
        <w:t xml:space="preserve"> a pesar de que expiró el plazo previsto en dicha norma</w:t>
      </w:r>
      <w:r w:rsidRPr="003E425B">
        <w:rPr>
          <w:rFonts w:ascii="Times New Roman" w:hAnsi="Times New Roman" w:cs="Times New Roman"/>
          <w:sz w:val="28"/>
        </w:rPr>
        <w:t>. Esto, porque:</w:t>
      </w:r>
    </w:p>
    <w:p w:rsidR="003D65B3" w:rsidRPr="003E425B" w:rsidRDefault="003E425B" w:rsidP="00010108">
      <w:pPr>
        <w:pStyle w:val="Prrafodelista"/>
        <w:spacing w:line="240" w:lineRule="auto"/>
        <w:rPr>
          <w:rFonts w:ascii="Times New Roman" w:hAnsi="Times New Roman"/>
          <w:sz w:val="28"/>
        </w:rPr>
      </w:pPr>
    </w:p>
    <w:p w:rsidR="003D65B3" w:rsidRPr="003E425B" w:rsidRDefault="003E425B" w:rsidP="00010108">
      <w:pPr>
        <w:pStyle w:val="Prrafodelista"/>
        <w:numPr>
          <w:ilvl w:val="1"/>
          <w:numId w:val="10"/>
        </w:numPr>
        <w:spacing w:line="240" w:lineRule="auto"/>
        <w:ind w:left="709" w:hanging="709"/>
        <w:rPr>
          <w:rFonts w:ascii="Times New Roman" w:hAnsi="Times New Roman"/>
          <w:sz w:val="28"/>
        </w:rPr>
      </w:pPr>
      <w:r w:rsidRPr="003E425B">
        <w:rPr>
          <w:rFonts w:ascii="Times New Roman" w:hAnsi="Times New Roman"/>
          <w:sz w:val="28"/>
        </w:rPr>
        <w:t xml:space="preserve">La </w:t>
      </w:r>
      <w:r w:rsidRPr="003E425B">
        <w:rPr>
          <w:rFonts w:ascii="Times New Roman" w:hAnsi="Times New Roman"/>
          <w:sz w:val="28"/>
        </w:rPr>
        <w:t xml:space="preserve">demanda </w:t>
      </w:r>
      <w:r w:rsidRPr="003E425B">
        <w:rPr>
          <w:rFonts w:ascii="Times New Roman" w:hAnsi="Times New Roman"/>
          <w:sz w:val="28"/>
        </w:rPr>
        <w:t>fue pre</w:t>
      </w:r>
      <w:r w:rsidRPr="003E425B">
        <w:rPr>
          <w:rFonts w:ascii="Times New Roman" w:hAnsi="Times New Roman"/>
          <w:sz w:val="28"/>
        </w:rPr>
        <w:t>sentada</w:t>
      </w:r>
      <w:r w:rsidRPr="003E425B">
        <w:rPr>
          <w:rFonts w:ascii="Times New Roman" w:hAnsi="Times New Roman"/>
          <w:sz w:val="28"/>
        </w:rPr>
        <w:t xml:space="preserve"> cuando esta norma todavía se encontraba produciendo efectos. </w:t>
      </w:r>
      <w:r w:rsidRPr="003E425B">
        <w:rPr>
          <w:rFonts w:ascii="Times New Roman" w:hAnsi="Times New Roman"/>
          <w:sz w:val="28"/>
        </w:rPr>
        <w:t xml:space="preserve">Esto es así, porque fue </w:t>
      </w:r>
      <w:r w:rsidRPr="003E425B">
        <w:rPr>
          <w:rFonts w:ascii="Times New Roman" w:hAnsi="Times New Roman"/>
          <w:sz w:val="28"/>
        </w:rPr>
        <w:t>radicad</w:t>
      </w:r>
      <w:r w:rsidRPr="003E425B">
        <w:rPr>
          <w:rFonts w:ascii="Times New Roman" w:hAnsi="Times New Roman"/>
          <w:sz w:val="28"/>
        </w:rPr>
        <w:t>a</w:t>
      </w:r>
      <w:r w:rsidRPr="003E425B">
        <w:rPr>
          <w:rFonts w:ascii="Times New Roman" w:hAnsi="Times New Roman"/>
          <w:sz w:val="28"/>
        </w:rPr>
        <w:t xml:space="preserve"> el 25 de enero de 2023, es decir, </w:t>
      </w:r>
      <w:r w:rsidRPr="003E425B">
        <w:rPr>
          <w:rFonts w:ascii="Times New Roman" w:hAnsi="Times New Roman"/>
          <w:sz w:val="28"/>
        </w:rPr>
        <w:t xml:space="preserve">meses antes </w:t>
      </w:r>
      <w:r w:rsidRPr="003E425B">
        <w:rPr>
          <w:rFonts w:ascii="Times New Roman" w:hAnsi="Times New Roman"/>
          <w:sz w:val="28"/>
        </w:rPr>
        <w:t>de la expiración de</w:t>
      </w:r>
      <w:r w:rsidRPr="003E425B">
        <w:rPr>
          <w:rFonts w:ascii="Times New Roman" w:hAnsi="Times New Roman"/>
          <w:sz w:val="28"/>
        </w:rPr>
        <w:t xml:space="preserve"> término previsto en el artículo 12 para que </w:t>
      </w:r>
      <w:r w:rsidRPr="003E425B">
        <w:rPr>
          <w:rFonts w:ascii="Times New Roman" w:hAnsi="Times New Roman"/>
          <w:sz w:val="28"/>
        </w:rPr>
        <w:t xml:space="preserve">el Presidente hiciera uso de las facultades </w:t>
      </w:r>
      <w:r w:rsidRPr="003E425B">
        <w:rPr>
          <w:rFonts w:ascii="Times New Roman" w:hAnsi="Times New Roman"/>
          <w:sz w:val="28"/>
        </w:rPr>
        <w:t xml:space="preserve">extraordinarias. De este modo, </w:t>
      </w:r>
      <w:r w:rsidRPr="003E425B">
        <w:rPr>
          <w:rFonts w:ascii="Times New Roman" w:hAnsi="Times New Roman"/>
          <w:sz w:val="28"/>
        </w:rPr>
        <w:t xml:space="preserve">la Corte es competente para emitir un pronunciamiento de fondo conforme al principio de </w:t>
      </w:r>
      <w:r w:rsidRPr="003E425B">
        <w:rPr>
          <w:rFonts w:ascii="Times New Roman" w:hAnsi="Times New Roman"/>
          <w:i/>
          <w:iCs/>
          <w:sz w:val="28"/>
        </w:rPr>
        <w:t>perpetuatio jurisdictionis</w:t>
      </w:r>
      <w:r w:rsidRPr="003E425B">
        <w:rPr>
          <w:rFonts w:ascii="Times New Roman" w:hAnsi="Times New Roman"/>
          <w:sz w:val="28"/>
        </w:rPr>
        <w:t xml:space="preserve">. </w:t>
      </w:r>
    </w:p>
    <w:p w:rsidR="009A4888" w:rsidRPr="003E425B" w:rsidRDefault="003E425B" w:rsidP="00010108">
      <w:pPr>
        <w:pStyle w:val="Prrafodelista"/>
        <w:numPr>
          <w:ilvl w:val="1"/>
          <w:numId w:val="10"/>
        </w:numPr>
        <w:spacing w:line="240" w:lineRule="auto"/>
        <w:ind w:left="709" w:hanging="709"/>
        <w:rPr>
          <w:rFonts w:ascii="Times New Roman" w:hAnsi="Times New Roman"/>
          <w:sz w:val="28"/>
        </w:rPr>
      </w:pPr>
      <w:r w:rsidRPr="003E425B">
        <w:rPr>
          <w:rFonts w:ascii="Times New Roman" w:hAnsi="Times New Roman"/>
          <w:sz w:val="28"/>
        </w:rPr>
        <w:t xml:space="preserve">En </w:t>
      </w:r>
      <w:r w:rsidRPr="003E425B">
        <w:rPr>
          <w:rFonts w:ascii="Times New Roman" w:hAnsi="Times New Roman"/>
          <w:sz w:val="28"/>
        </w:rPr>
        <w:t xml:space="preserve">cualquier caso, </w:t>
      </w:r>
      <w:r w:rsidRPr="003E425B">
        <w:rPr>
          <w:rFonts w:ascii="Times New Roman" w:hAnsi="Times New Roman"/>
          <w:sz w:val="28"/>
        </w:rPr>
        <w:t xml:space="preserve">el </w:t>
      </w:r>
      <w:r w:rsidRPr="003E425B">
        <w:rPr>
          <w:rFonts w:ascii="Times New Roman" w:hAnsi="Times New Roman"/>
          <w:sz w:val="28"/>
        </w:rPr>
        <w:t>artículo</w:t>
      </w:r>
      <w:r w:rsidRPr="003E425B">
        <w:rPr>
          <w:rFonts w:ascii="Times New Roman" w:hAnsi="Times New Roman"/>
          <w:sz w:val="28"/>
        </w:rPr>
        <w:t xml:space="preserve"> 12 de la Ley 2281 de 2023</w:t>
      </w:r>
      <w:r w:rsidRPr="003E425B">
        <w:rPr>
          <w:rFonts w:ascii="Times New Roman" w:hAnsi="Times New Roman"/>
          <w:sz w:val="28"/>
        </w:rPr>
        <w:t xml:space="preserve"> todavía </w:t>
      </w:r>
      <w:r w:rsidRPr="003E425B">
        <w:rPr>
          <w:rFonts w:ascii="Times New Roman" w:hAnsi="Times New Roman"/>
          <w:sz w:val="28"/>
        </w:rPr>
        <w:t xml:space="preserve">está surtiendo </w:t>
      </w:r>
      <w:r w:rsidRPr="003E425B">
        <w:rPr>
          <w:rFonts w:ascii="Times New Roman" w:hAnsi="Times New Roman"/>
          <w:sz w:val="28"/>
        </w:rPr>
        <w:t xml:space="preserve">efectos jurídicos. </w:t>
      </w:r>
      <w:r w:rsidRPr="003E425B">
        <w:rPr>
          <w:rFonts w:ascii="Times New Roman" w:hAnsi="Times New Roman"/>
          <w:sz w:val="28"/>
        </w:rPr>
        <w:t>Lo anteri</w:t>
      </w:r>
      <w:r w:rsidRPr="003E425B">
        <w:rPr>
          <w:rFonts w:ascii="Times New Roman" w:hAnsi="Times New Roman"/>
          <w:sz w:val="28"/>
        </w:rPr>
        <w:t>or, debido a que</w:t>
      </w:r>
      <w:r w:rsidRPr="003E425B">
        <w:rPr>
          <w:rFonts w:ascii="Times New Roman" w:hAnsi="Times New Roman"/>
          <w:sz w:val="28"/>
        </w:rPr>
        <w:t xml:space="preserve"> e</w:t>
      </w:r>
      <w:r w:rsidRPr="003E425B">
        <w:rPr>
          <w:rFonts w:ascii="Times New Roman" w:hAnsi="Times New Roman"/>
          <w:sz w:val="28"/>
        </w:rPr>
        <w:t>l 29 de junio de 2023,</w:t>
      </w:r>
      <w:r w:rsidRPr="003E425B">
        <w:rPr>
          <w:rFonts w:ascii="Times New Roman" w:hAnsi="Times New Roman"/>
          <w:sz w:val="28"/>
        </w:rPr>
        <w:t xml:space="preserve"> </w:t>
      </w:r>
      <w:r w:rsidRPr="003E425B">
        <w:rPr>
          <w:rFonts w:ascii="Times New Roman" w:hAnsi="Times New Roman"/>
          <w:sz w:val="28"/>
        </w:rPr>
        <w:t xml:space="preserve">precisamente </w:t>
      </w:r>
      <w:r w:rsidRPr="003E425B">
        <w:rPr>
          <w:rFonts w:ascii="Times New Roman" w:hAnsi="Times New Roman"/>
          <w:sz w:val="28"/>
        </w:rPr>
        <w:t>en ejercicio de las facultades extraordinarias previstas en el artículo 12 de la Ley 2281 de 2023,</w:t>
      </w:r>
      <w:r w:rsidRPr="003E425B">
        <w:rPr>
          <w:rFonts w:ascii="Times New Roman" w:hAnsi="Times New Roman"/>
          <w:sz w:val="28"/>
        </w:rPr>
        <w:t xml:space="preserve"> </w:t>
      </w:r>
      <w:r w:rsidRPr="003E425B">
        <w:rPr>
          <w:rFonts w:ascii="Times New Roman" w:hAnsi="Times New Roman"/>
          <w:sz w:val="28"/>
        </w:rPr>
        <w:t xml:space="preserve">el Presidente de la </w:t>
      </w:r>
      <w:r w:rsidRPr="003E425B">
        <w:rPr>
          <w:rFonts w:ascii="Times New Roman" w:hAnsi="Times New Roman"/>
          <w:sz w:val="28"/>
        </w:rPr>
        <w:t>R</w:t>
      </w:r>
      <w:r w:rsidRPr="003E425B">
        <w:rPr>
          <w:rFonts w:ascii="Times New Roman" w:hAnsi="Times New Roman"/>
          <w:sz w:val="28"/>
        </w:rPr>
        <w:t xml:space="preserve">epública </w:t>
      </w:r>
      <w:r w:rsidRPr="003E425B">
        <w:rPr>
          <w:rFonts w:ascii="Times New Roman" w:hAnsi="Times New Roman"/>
          <w:sz w:val="28"/>
        </w:rPr>
        <w:t xml:space="preserve">expidió el Decreto 1074 de 2023 </w:t>
      </w:r>
      <w:r w:rsidRPr="003E425B">
        <w:rPr>
          <w:rFonts w:ascii="Times New Roman" w:hAnsi="Times New Roman"/>
          <w:sz w:val="28"/>
        </w:rPr>
        <w:t xml:space="preserve">“por el cual se integra el Sector </w:t>
      </w:r>
      <w:r w:rsidRPr="003E425B">
        <w:rPr>
          <w:rFonts w:ascii="Times New Roman" w:hAnsi="Times New Roman"/>
          <w:sz w:val="28"/>
        </w:rPr>
        <w:t>Administrativo de Igualdad y Equidad y se dictan otras disposiciones”</w:t>
      </w:r>
      <w:bookmarkStart w:id="12" w:name="_Hlk165193994"/>
      <w:r w:rsidRPr="003E425B">
        <w:rPr>
          <w:rStyle w:val="Refdenotaalpie"/>
          <w:rFonts w:ascii="Times New Roman" w:hAnsi="Times New Roman"/>
          <w:sz w:val="28"/>
        </w:rPr>
        <w:footnoteReference w:id="72"/>
      </w:r>
      <w:r w:rsidRPr="003E425B">
        <w:rPr>
          <w:rFonts w:ascii="Times New Roman" w:hAnsi="Times New Roman"/>
          <w:sz w:val="28"/>
        </w:rPr>
        <w:t>.</w:t>
      </w:r>
      <w:r w:rsidRPr="003E425B">
        <w:rPr>
          <w:rFonts w:ascii="Times New Roman" w:hAnsi="Times New Roman"/>
          <w:sz w:val="28"/>
        </w:rPr>
        <w:t xml:space="preserve"> </w:t>
      </w:r>
      <w:bookmarkEnd w:id="12"/>
      <w:r w:rsidRPr="003E425B">
        <w:rPr>
          <w:rFonts w:ascii="Times New Roman" w:hAnsi="Times New Roman"/>
          <w:sz w:val="28"/>
        </w:rPr>
        <w:t xml:space="preserve">Este decreto ley está vigente. </w:t>
      </w:r>
      <w:r w:rsidRPr="003E425B">
        <w:rPr>
          <w:rFonts w:ascii="Times New Roman" w:hAnsi="Times New Roman"/>
          <w:sz w:val="28"/>
        </w:rPr>
        <w:t xml:space="preserve"> </w:t>
      </w:r>
    </w:p>
    <w:p w:rsidR="003D65B3" w:rsidRPr="003E425B" w:rsidRDefault="003E425B" w:rsidP="00010108">
      <w:pPr>
        <w:pStyle w:val="Prrafodelista"/>
        <w:spacing w:line="240" w:lineRule="auto"/>
        <w:ind w:left="794"/>
        <w:rPr>
          <w:rFonts w:ascii="Times New Roman" w:hAnsi="Times New Roman"/>
          <w:sz w:val="28"/>
        </w:rPr>
      </w:pPr>
    </w:p>
    <w:p w:rsidR="00FB4130"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 xml:space="preserve">Con fundamento en las anteriores consideraciones, la Sala </w:t>
      </w:r>
      <w:r w:rsidRPr="003E425B">
        <w:rPr>
          <w:rFonts w:ascii="Times New Roman" w:hAnsi="Times New Roman" w:cs="Times New Roman"/>
          <w:sz w:val="28"/>
        </w:rPr>
        <w:t xml:space="preserve">Plena </w:t>
      </w:r>
      <w:r w:rsidRPr="003E425B">
        <w:rPr>
          <w:rFonts w:ascii="Times New Roman" w:hAnsi="Times New Roman" w:cs="Times New Roman"/>
          <w:sz w:val="28"/>
        </w:rPr>
        <w:t xml:space="preserve">concluye que es competente para </w:t>
      </w:r>
      <w:r w:rsidRPr="003E425B">
        <w:rPr>
          <w:rFonts w:ascii="Times New Roman" w:hAnsi="Times New Roman" w:cs="Times New Roman"/>
          <w:sz w:val="28"/>
        </w:rPr>
        <w:t>examinar el cargo de constitucionalidad formulado en c</w:t>
      </w:r>
      <w:r w:rsidRPr="003E425B">
        <w:rPr>
          <w:rFonts w:ascii="Times New Roman" w:hAnsi="Times New Roman" w:cs="Times New Roman"/>
          <w:sz w:val="28"/>
        </w:rPr>
        <w:t>ontra d</w:t>
      </w:r>
      <w:r w:rsidRPr="003E425B">
        <w:rPr>
          <w:rFonts w:ascii="Times New Roman" w:hAnsi="Times New Roman" w:cs="Times New Roman"/>
          <w:sz w:val="28"/>
        </w:rPr>
        <w:t>el artículo12 de la Ley 2281 de 2023.</w:t>
      </w:r>
    </w:p>
    <w:p w:rsidR="00FB4130" w:rsidRPr="003E425B" w:rsidRDefault="003E425B" w:rsidP="00010108">
      <w:pPr>
        <w:rPr>
          <w:rFonts w:ascii="Times New Roman" w:hAnsi="Times New Roman" w:cs="Times New Roman"/>
          <w:sz w:val="28"/>
        </w:rPr>
      </w:pPr>
    </w:p>
    <w:p w:rsidR="00FB4130" w:rsidRPr="003E425B" w:rsidRDefault="003E425B" w:rsidP="00010108">
      <w:pPr>
        <w:pStyle w:val="Ttulo2"/>
        <w:numPr>
          <w:ilvl w:val="0"/>
          <w:numId w:val="14"/>
        </w:numPr>
        <w:ind w:left="1134" w:hanging="708"/>
        <w:rPr>
          <w:rFonts w:ascii="Times New Roman" w:hAnsi="Times New Roman" w:cs="Times New Roman"/>
          <w:sz w:val="28"/>
        </w:rPr>
      </w:pPr>
      <w:bookmarkStart w:id="13" w:name="_Toc67069286"/>
      <w:r w:rsidRPr="003E425B">
        <w:rPr>
          <w:rFonts w:ascii="Times New Roman" w:hAnsi="Times New Roman" w:cs="Times New Roman"/>
          <w:sz w:val="28"/>
        </w:rPr>
        <w:t xml:space="preserve">Examen de fondo </w:t>
      </w:r>
      <w:bookmarkEnd w:id="13"/>
    </w:p>
    <w:p w:rsidR="00367D39" w:rsidRPr="003E425B" w:rsidRDefault="003E425B" w:rsidP="00010108">
      <w:pPr>
        <w:rPr>
          <w:rFonts w:ascii="Times New Roman" w:hAnsi="Times New Roman" w:cs="Times New Roman"/>
          <w:sz w:val="28"/>
        </w:rPr>
      </w:pPr>
    </w:p>
    <w:p w:rsidR="00367D39" w:rsidRPr="003E425B" w:rsidRDefault="003E425B" w:rsidP="00010108">
      <w:pPr>
        <w:numPr>
          <w:ilvl w:val="0"/>
          <w:numId w:val="10"/>
        </w:numPr>
        <w:ind w:left="0" w:firstLine="0"/>
        <w:rPr>
          <w:rFonts w:ascii="Times New Roman" w:hAnsi="Times New Roman" w:cs="Times New Roman"/>
          <w:sz w:val="28"/>
        </w:rPr>
      </w:pPr>
      <w:r w:rsidRPr="003E425B">
        <w:rPr>
          <w:rFonts w:ascii="Times New Roman" w:hAnsi="Times New Roman" w:cs="Times New Roman"/>
          <w:sz w:val="28"/>
        </w:rPr>
        <w:t>En el presente acápite, la Corte Constitucional llevará a cabo el estudio de fondo de los cargos formulados por los demandantes de forma independiente. En primer lugar, examinará si la Comisió</w:t>
      </w:r>
      <w:r w:rsidRPr="003E425B">
        <w:rPr>
          <w:rFonts w:ascii="Times New Roman" w:hAnsi="Times New Roman" w:cs="Times New Roman"/>
          <w:sz w:val="28"/>
        </w:rPr>
        <w:t>n Primera del Senado aprobó el informe de ponencia conforme a las reglas sobre quorum, modo de votación y mayorías decisorias, previstas en la Constitución y en la Ley 5ª de 1992 (</w:t>
      </w:r>
      <w:r w:rsidRPr="003E425B">
        <w:rPr>
          <w:rFonts w:ascii="Times New Roman" w:hAnsi="Times New Roman" w:cs="Times New Roman"/>
          <w:b/>
          <w:bCs/>
          <w:sz w:val="28"/>
        </w:rPr>
        <w:t xml:space="preserve">sección 4.1 </w:t>
      </w:r>
      <w:r w:rsidRPr="003E425B">
        <w:rPr>
          <w:rFonts w:ascii="Times New Roman" w:hAnsi="Times New Roman" w:cs="Times New Roman"/>
          <w:b/>
          <w:bCs/>
          <w:i/>
          <w:iCs/>
          <w:sz w:val="28"/>
        </w:rPr>
        <w:t>infra</w:t>
      </w:r>
      <w:r w:rsidRPr="003E425B">
        <w:rPr>
          <w:rFonts w:ascii="Times New Roman" w:hAnsi="Times New Roman" w:cs="Times New Roman"/>
          <w:sz w:val="28"/>
        </w:rPr>
        <w:t>). En segundo lugar, estudiará si el Congreso de la Repúbli</w:t>
      </w:r>
      <w:r w:rsidRPr="003E425B">
        <w:rPr>
          <w:rFonts w:ascii="Times New Roman" w:hAnsi="Times New Roman" w:cs="Times New Roman"/>
          <w:sz w:val="28"/>
        </w:rPr>
        <w:t>ca cumpli</w:t>
      </w:r>
      <w:r w:rsidRPr="003E425B">
        <w:rPr>
          <w:rFonts w:ascii="Times New Roman" w:hAnsi="Times New Roman" w:cs="Times New Roman"/>
          <w:sz w:val="28"/>
        </w:rPr>
        <w:t>ó</w:t>
      </w:r>
      <w:r w:rsidRPr="003E425B">
        <w:rPr>
          <w:rFonts w:ascii="Times New Roman" w:hAnsi="Times New Roman" w:cs="Times New Roman"/>
          <w:sz w:val="28"/>
        </w:rPr>
        <w:t xml:space="preserve"> la obligación prevista en el artículo 7º de la Ley 819 de 2003, conforme a la cual </w:t>
      </w:r>
      <w:r w:rsidRPr="003E425B">
        <w:rPr>
          <w:rFonts w:ascii="Times New Roman" w:hAnsi="Times New Roman" w:cs="Times New Roman"/>
          <w:sz w:val="28"/>
        </w:rPr>
        <w:t xml:space="preserve">debe analizar el impacto fiscal de </w:t>
      </w:r>
      <w:r w:rsidRPr="003E425B">
        <w:rPr>
          <w:rFonts w:ascii="Times New Roman" w:hAnsi="Times New Roman" w:cs="Times New Roman"/>
          <w:sz w:val="28"/>
        </w:rPr>
        <w:t xml:space="preserve">los </w:t>
      </w:r>
      <w:r w:rsidRPr="003E425B">
        <w:rPr>
          <w:rFonts w:ascii="Times New Roman" w:hAnsi="Times New Roman" w:cs="Times New Roman"/>
          <w:sz w:val="28"/>
          <w:lang w:val="es-ES_tradnl"/>
        </w:rPr>
        <w:t xml:space="preserve">proyectos de ley que ordenen gasto u otorguen beneficios tributarios </w:t>
      </w:r>
      <w:r w:rsidRPr="003E425B">
        <w:rPr>
          <w:rFonts w:ascii="Times New Roman" w:hAnsi="Times New Roman" w:cs="Times New Roman"/>
          <w:b/>
          <w:bCs/>
          <w:sz w:val="28"/>
          <w:lang w:val="es-ES_tradnl"/>
        </w:rPr>
        <w:t xml:space="preserve">(sección 4.2 </w:t>
      </w:r>
      <w:r w:rsidRPr="003E425B">
        <w:rPr>
          <w:rFonts w:ascii="Times New Roman" w:hAnsi="Times New Roman" w:cs="Times New Roman"/>
          <w:b/>
          <w:bCs/>
          <w:i/>
          <w:iCs/>
          <w:sz w:val="28"/>
          <w:lang w:val="es-ES_tradnl"/>
        </w:rPr>
        <w:t>infra</w:t>
      </w:r>
      <w:r w:rsidRPr="003E425B">
        <w:rPr>
          <w:rFonts w:ascii="Times New Roman" w:hAnsi="Times New Roman" w:cs="Times New Roman"/>
          <w:b/>
          <w:bCs/>
          <w:sz w:val="28"/>
          <w:lang w:val="es-ES_tradnl"/>
        </w:rPr>
        <w:t>)</w:t>
      </w:r>
      <w:r w:rsidRPr="003E425B">
        <w:rPr>
          <w:rFonts w:ascii="Times New Roman" w:hAnsi="Times New Roman" w:cs="Times New Roman"/>
          <w:sz w:val="28"/>
        </w:rPr>
        <w:t xml:space="preserve">. En tercer lugar, examinará si el </w:t>
      </w:r>
      <w:r w:rsidRPr="003E425B">
        <w:rPr>
          <w:rFonts w:ascii="Times New Roman" w:hAnsi="Times New Roman" w:cs="Times New Roman"/>
          <w:sz w:val="28"/>
        </w:rPr>
        <w:t>artículo 12 de la Ley 2281 de 2023 desconoce el numeral 10 del artículo 150 de la Constitución y, en particular, el requisito de precisión que condiciona el otorgamiento de facultades extraordinarias al Presidente de la República</w:t>
      </w:r>
      <w:r w:rsidRPr="003E425B">
        <w:rPr>
          <w:rFonts w:ascii="Times New Roman" w:hAnsi="Times New Roman" w:cs="Times New Roman"/>
          <w:sz w:val="28"/>
        </w:rPr>
        <w:t xml:space="preserve"> </w:t>
      </w:r>
      <w:r w:rsidRPr="003E425B">
        <w:rPr>
          <w:rFonts w:ascii="Times New Roman" w:hAnsi="Times New Roman" w:cs="Times New Roman"/>
          <w:b/>
          <w:bCs/>
          <w:sz w:val="28"/>
          <w:lang w:val="es-ES_tradnl"/>
        </w:rPr>
        <w:t xml:space="preserve">(sección 4.3 </w:t>
      </w:r>
      <w:r w:rsidRPr="003E425B">
        <w:rPr>
          <w:rFonts w:ascii="Times New Roman" w:hAnsi="Times New Roman" w:cs="Times New Roman"/>
          <w:b/>
          <w:bCs/>
          <w:i/>
          <w:iCs/>
          <w:sz w:val="28"/>
          <w:lang w:val="es-ES_tradnl"/>
        </w:rPr>
        <w:t>infra</w:t>
      </w:r>
      <w:r w:rsidRPr="003E425B">
        <w:rPr>
          <w:rFonts w:ascii="Times New Roman" w:hAnsi="Times New Roman" w:cs="Times New Roman"/>
          <w:b/>
          <w:bCs/>
          <w:sz w:val="28"/>
          <w:lang w:val="es-ES_tradnl"/>
        </w:rPr>
        <w:t>)</w:t>
      </w:r>
      <w:r w:rsidRPr="003E425B">
        <w:rPr>
          <w:rFonts w:ascii="Times New Roman" w:hAnsi="Times New Roman" w:cs="Times New Roman"/>
          <w:sz w:val="28"/>
        </w:rPr>
        <w:t xml:space="preserve">. En cada </w:t>
      </w:r>
      <w:r w:rsidRPr="003E425B">
        <w:rPr>
          <w:rFonts w:ascii="Times New Roman" w:hAnsi="Times New Roman" w:cs="Times New Roman"/>
          <w:sz w:val="28"/>
        </w:rPr>
        <w:t>acápite</w:t>
      </w:r>
      <w:r w:rsidRPr="003E425B">
        <w:rPr>
          <w:rFonts w:ascii="Times New Roman" w:hAnsi="Times New Roman" w:cs="Times New Roman"/>
          <w:sz w:val="28"/>
        </w:rPr>
        <w:t>, la Sala Plena</w:t>
      </w:r>
      <w:r w:rsidRPr="003E425B">
        <w:rPr>
          <w:rFonts w:ascii="Times New Roman" w:hAnsi="Times New Roman" w:cs="Times New Roman"/>
          <w:i/>
          <w:iCs/>
          <w:sz w:val="28"/>
          <w:lang w:val="es-ES_tradnl"/>
        </w:rPr>
        <w:t xml:space="preserve"> (i)</w:t>
      </w:r>
      <w:r w:rsidRPr="003E425B">
        <w:rPr>
          <w:rFonts w:ascii="Times New Roman" w:hAnsi="Times New Roman" w:cs="Times New Roman"/>
          <w:sz w:val="28"/>
          <w:lang w:val="es-ES_tradnl"/>
        </w:rPr>
        <w:t> resumirá los argumentos y solicitudes planteados por los demandantes e intervinientes en relación con el cargo; </w:t>
      </w:r>
      <w:r w:rsidRPr="003E425B">
        <w:rPr>
          <w:rFonts w:ascii="Times New Roman" w:hAnsi="Times New Roman" w:cs="Times New Roman"/>
          <w:i/>
          <w:iCs/>
          <w:sz w:val="28"/>
          <w:lang w:val="es-ES_tradnl"/>
        </w:rPr>
        <w:t>(ii)</w:t>
      </w:r>
      <w:r w:rsidRPr="003E425B">
        <w:rPr>
          <w:rFonts w:ascii="Times New Roman" w:hAnsi="Times New Roman" w:cs="Times New Roman"/>
          <w:sz w:val="28"/>
          <w:lang w:val="es-ES_tradnl"/>
        </w:rPr>
        <w:t> planteará el problema jurídico y la metodología de decisión y</w:t>
      </w:r>
      <w:r w:rsidRPr="003E425B">
        <w:rPr>
          <w:rFonts w:ascii="Times New Roman" w:hAnsi="Times New Roman" w:cs="Times New Roman"/>
          <w:sz w:val="28"/>
          <w:lang w:val="es-ES_tradnl"/>
        </w:rPr>
        <w:t>, por último,</w:t>
      </w:r>
      <w:r w:rsidRPr="003E425B">
        <w:rPr>
          <w:rFonts w:ascii="Times New Roman" w:hAnsi="Times New Roman" w:cs="Times New Roman"/>
          <w:sz w:val="28"/>
          <w:lang w:val="es-ES_tradnl"/>
        </w:rPr>
        <w:t xml:space="preserve"> </w:t>
      </w:r>
      <w:r w:rsidRPr="003E425B">
        <w:rPr>
          <w:rFonts w:ascii="Times New Roman" w:hAnsi="Times New Roman" w:cs="Times New Roman"/>
          <w:i/>
          <w:iCs/>
          <w:sz w:val="28"/>
          <w:lang w:val="es-ES_tradnl"/>
        </w:rPr>
        <w:t>(iii)</w:t>
      </w:r>
      <w:r w:rsidRPr="003E425B">
        <w:rPr>
          <w:rFonts w:ascii="Times New Roman" w:hAnsi="Times New Roman" w:cs="Times New Roman"/>
          <w:sz w:val="28"/>
          <w:lang w:val="es-ES_tradnl"/>
        </w:rPr>
        <w:t xml:space="preserve"> resolverá el cargo. </w:t>
      </w:r>
    </w:p>
    <w:p w:rsidR="00367D39" w:rsidRPr="003E425B" w:rsidRDefault="003E425B" w:rsidP="00010108">
      <w:pPr>
        <w:rPr>
          <w:rFonts w:ascii="Times New Roman" w:hAnsi="Times New Roman" w:cs="Times New Roman"/>
          <w:sz w:val="28"/>
        </w:rPr>
      </w:pPr>
    </w:p>
    <w:p w:rsidR="00223823" w:rsidRPr="003E425B" w:rsidRDefault="003E425B" w:rsidP="00010108">
      <w:pPr>
        <w:pStyle w:val="Ttulo2"/>
        <w:numPr>
          <w:ilvl w:val="1"/>
          <w:numId w:val="14"/>
        </w:numPr>
        <w:tabs>
          <w:tab w:val="left" w:pos="1418"/>
        </w:tabs>
        <w:ind w:left="709" w:hanging="709"/>
        <w:rPr>
          <w:rFonts w:ascii="Times New Roman" w:hAnsi="Times New Roman" w:cs="Times New Roman"/>
          <w:bCs/>
          <w:sz w:val="28"/>
        </w:rPr>
      </w:pPr>
      <w:r w:rsidRPr="003E425B">
        <w:rPr>
          <w:rFonts w:ascii="Times New Roman" w:hAnsi="Times New Roman" w:cs="Times New Roman"/>
          <w:bCs/>
          <w:sz w:val="28"/>
          <w:u w:val="single"/>
        </w:rPr>
        <w:t>Cargo primero</w:t>
      </w:r>
      <w:r w:rsidRPr="003E425B">
        <w:rPr>
          <w:rFonts w:ascii="Times New Roman" w:hAnsi="Times New Roman" w:cs="Times New Roman"/>
          <w:bCs/>
          <w:sz w:val="28"/>
        </w:rPr>
        <w:t xml:space="preserve">: </w:t>
      </w:r>
      <w:bookmarkStart w:id="14" w:name="_Hlk164416676"/>
      <w:r w:rsidRPr="003E425B">
        <w:rPr>
          <w:rFonts w:ascii="Times New Roman" w:hAnsi="Times New Roman" w:cs="Times New Roman"/>
          <w:bCs/>
          <w:sz w:val="28"/>
        </w:rPr>
        <w:t xml:space="preserve">el presunto desconocimiento de las reglas de quórum, votación y mayorías en la aprobación del informe de ponencia </w:t>
      </w:r>
      <w:bookmarkEnd w:id="14"/>
      <w:r w:rsidRPr="003E425B">
        <w:rPr>
          <w:rFonts w:ascii="Times New Roman" w:hAnsi="Times New Roman" w:cs="Times New Roman"/>
          <w:bCs/>
          <w:sz w:val="28"/>
        </w:rPr>
        <w:t>en primer debate</w:t>
      </w:r>
    </w:p>
    <w:p w:rsidR="00223823" w:rsidRPr="003E425B" w:rsidRDefault="003E425B" w:rsidP="00010108">
      <w:pPr>
        <w:ind w:left="709" w:hanging="709"/>
        <w:rPr>
          <w:rFonts w:ascii="Times New Roman" w:hAnsi="Times New Roman" w:cs="Times New Roman"/>
          <w:sz w:val="28"/>
        </w:rPr>
      </w:pPr>
    </w:p>
    <w:p w:rsidR="00223823" w:rsidRPr="003E425B" w:rsidRDefault="003E425B" w:rsidP="00010108">
      <w:pPr>
        <w:pStyle w:val="Prrafodelista"/>
        <w:widowControl w:val="0"/>
        <w:numPr>
          <w:ilvl w:val="0"/>
          <w:numId w:val="10"/>
        </w:numPr>
        <w:spacing w:line="240" w:lineRule="auto"/>
        <w:ind w:left="0" w:firstLine="0"/>
        <w:rPr>
          <w:rFonts w:ascii="Times New Roman" w:hAnsi="Times New Roman"/>
          <w:color w:val="auto"/>
          <w:sz w:val="28"/>
        </w:rPr>
      </w:pPr>
      <w:r w:rsidRPr="003E425B">
        <w:rPr>
          <w:rFonts w:ascii="Times New Roman" w:hAnsi="Times New Roman"/>
          <w:i/>
          <w:iCs/>
          <w:color w:val="auto"/>
          <w:sz w:val="28"/>
        </w:rPr>
        <w:t>La demanda</w:t>
      </w:r>
      <w:r w:rsidRPr="003E425B">
        <w:rPr>
          <w:rFonts w:ascii="Times New Roman" w:hAnsi="Times New Roman"/>
          <w:color w:val="auto"/>
          <w:sz w:val="28"/>
        </w:rPr>
        <w:t xml:space="preserve">. </w:t>
      </w:r>
      <w:bookmarkStart w:id="15" w:name="_Hlk164417224"/>
      <w:r w:rsidRPr="003E425B">
        <w:rPr>
          <w:rFonts w:ascii="Times New Roman" w:hAnsi="Times New Roman"/>
          <w:sz w:val="28"/>
        </w:rPr>
        <w:t>Los demandantes afirman que el legislador vulneró los artículos 157 de la Constitución</w:t>
      </w:r>
      <w:r w:rsidRPr="003E425B">
        <w:rPr>
          <w:rStyle w:val="Refdenotaalpie"/>
          <w:rFonts w:ascii="Times New Roman" w:eastAsiaTheme="majorEastAsia" w:hAnsi="Times New Roman"/>
          <w:sz w:val="28"/>
          <w:lang w:val="es-ES"/>
        </w:rPr>
        <w:footnoteReference w:id="73"/>
      </w:r>
      <w:r w:rsidRPr="003E425B">
        <w:rPr>
          <w:rFonts w:ascii="Times New Roman" w:hAnsi="Times New Roman"/>
          <w:sz w:val="28"/>
        </w:rPr>
        <w:t xml:space="preserve"> y 119 de la Ley 5ª de 1992</w:t>
      </w:r>
      <w:r w:rsidRPr="003E425B">
        <w:rPr>
          <w:rStyle w:val="Refdenotaalpie"/>
          <w:rFonts w:ascii="Times New Roman" w:eastAsiaTheme="majorEastAsia" w:hAnsi="Times New Roman"/>
          <w:sz w:val="28"/>
          <w:lang w:val="es-ES"/>
        </w:rPr>
        <w:footnoteReference w:id="74"/>
      </w:r>
      <w:r w:rsidRPr="003E425B">
        <w:rPr>
          <w:rFonts w:ascii="Times New Roman" w:hAnsi="Times New Roman"/>
          <w:sz w:val="28"/>
        </w:rPr>
        <w:t xml:space="preserve"> en el trámite legislativo de la Ley 2281 de 2023. Esto, porque, en la sesión del 24 de noviembre de 2022, la Mesa Directiva de las Comisiones Primeras Constitucionales Conjuntas dio por aprobado el informe de ponencia para prim</w:t>
      </w:r>
      <w:r w:rsidRPr="003E425B">
        <w:rPr>
          <w:rFonts w:ascii="Times New Roman" w:hAnsi="Times New Roman"/>
          <w:sz w:val="28"/>
        </w:rPr>
        <w:t xml:space="preserve">er debate </w:t>
      </w:r>
      <w:r w:rsidRPr="003E425B">
        <w:rPr>
          <w:rFonts w:ascii="Times New Roman" w:hAnsi="Times New Roman"/>
          <w:i/>
          <w:iCs/>
          <w:sz w:val="28"/>
        </w:rPr>
        <w:t>(i)</w:t>
      </w:r>
      <w:r w:rsidRPr="003E425B">
        <w:rPr>
          <w:rFonts w:ascii="Times New Roman" w:hAnsi="Times New Roman"/>
          <w:sz w:val="28"/>
        </w:rPr>
        <w:t xml:space="preserve"> mediante votación ordinaria, a pesar de que debió haberlo hecho de forma nominal y pública y </w:t>
      </w:r>
      <w:r w:rsidRPr="003E425B">
        <w:rPr>
          <w:rFonts w:ascii="Times New Roman" w:hAnsi="Times New Roman"/>
          <w:i/>
          <w:iCs/>
          <w:sz w:val="28"/>
        </w:rPr>
        <w:t>(</w:t>
      </w:r>
      <w:r w:rsidRPr="003E425B">
        <w:rPr>
          <w:rFonts w:ascii="Times New Roman" w:hAnsi="Times New Roman"/>
          <w:i/>
          <w:iCs/>
          <w:sz w:val="28"/>
        </w:rPr>
        <w:t>i</w:t>
      </w:r>
      <w:r w:rsidRPr="003E425B">
        <w:rPr>
          <w:rFonts w:ascii="Times New Roman" w:hAnsi="Times New Roman"/>
          <w:i/>
          <w:iCs/>
          <w:sz w:val="28"/>
        </w:rPr>
        <w:t>i)</w:t>
      </w:r>
      <w:r w:rsidRPr="003E425B">
        <w:rPr>
          <w:rFonts w:ascii="Times New Roman" w:hAnsi="Times New Roman"/>
          <w:sz w:val="28"/>
        </w:rPr>
        <w:t xml:space="preserve"> </w:t>
      </w:r>
      <w:r w:rsidRPr="003E425B">
        <w:rPr>
          <w:rFonts w:ascii="Times New Roman" w:hAnsi="Times New Roman"/>
          <w:sz w:val="28"/>
        </w:rPr>
        <w:t>pese a que no</w:t>
      </w:r>
      <w:r w:rsidRPr="003E425B">
        <w:rPr>
          <w:rFonts w:ascii="Times New Roman" w:hAnsi="Times New Roman"/>
          <w:sz w:val="28"/>
        </w:rPr>
        <w:t xml:space="preserve"> </w:t>
      </w:r>
      <w:r w:rsidRPr="003E425B">
        <w:rPr>
          <w:rFonts w:ascii="Times New Roman" w:hAnsi="Times New Roman"/>
          <w:sz w:val="28"/>
        </w:rPr>
        <w:t>existí</w:t>
      </w:r>
      <w:r w:rsidRPr="003E425B">
        <w:rPr>
          <w:rFonts w:ascii="Times New Roman" w:hAnsi="Times New Roman"/>
          <w:sz w:val="28"/>
        </w:rPr>
        <w:t>a</w:t>
      </w:r>
      <w:r w:rsidRPr="003E425B">
        <w:rPr>
          <w:rFonts w:ascii="Times New Roman" w:hAnsi="Times New Roman"/>
          <w:sz w:val="28"/>
        </w:rPr>
        <w:t xml:space="preserve"> quórum ni mayoría decisoria</w:t>
      </w:r>
      <w:r w:rsidRPr="003E425B">
        <w:rPr>
          <w:rFonts w:ascii="Times New Roman" w:hAnsi="Times New Roman"/>
          <w:sz w:val="28"/>
        </w:rPr>
        <w:t xml:space="preserve"> en la Comisión Primera del Senado</w:t>
      </w:r>
      <w:r w:rsidRPr="003E425B">
        <w:rPr>
          <w:rFonts w:ascii="Times New Roman" w:hAnsi="Times New Roman"/>
          <w:sz w:val="28"/>
        </w:rPr>
        <w:t xml:space="preserve">. Según los demandantes, la aprobación del informe de </w:t>
      </w:r>
      <w:r w:rsidRPr="003E425B">
        <w:rPr>
          <w:rFonts w:ascii="Times New Roman" w:hAnsi="Times New Roman"/>
          <w:sz w:val="28"/>
        </w:rPr>
        <w:t>ponencia requería mayoría absoluta, debido a que el proyecto de ley proponía conferir facultades extraordinarias</w:t>
      </w:r>
      <w:r w:rsidRPr="003E425B">
        <w:rPr>
          <w:rFonts w:ascii="Times New Roman" w:hAnsi="Times New Roman"/>
          <w:sz w:val="28"/>
        </w:rPr>
        <w:t xml:space="preserve"> al Presidente de la República</w:t>
      </w:r>
      <w:r w:rsidRPr="003E425B">
        <w:rPr>
          <w:rFonts w:ascii="Times New Roman" w:hAnsi="Times New Roman"/>
          <w:sz w:val="28"/>
        </w:rPr>
        <w:t>. Para justificar su solicitud y argumentos, los demandantes presentan registros fílmicos y fotográficos de la ses</w:t>
      </w:r>
      <w:r w:rsidRPr="003E425B">
        <w:rPr>
          <w:rFonts w:ascii="Times New Roman" w:hAnsi="Times New Roman"/>
          <w:sz w:val="28"/>
        </w:rPr>
        <w:t>ión del 2</w:t>
      </w:r>
      <w:r w:rsidRPr="003E425B">
        <w:rPr>
          <w:rFonts w:ascii="Times New Roman" w:hAnsi="Times New Roman"/>
          <w:sz w:val="28"/>
        </w:rPr>
        <w:t>4</w:t>
      </w:r>
      <w:r w:rsidRPr="003E425B">
        <w:rPr>
          <w:rFonts w:ascii="Times New Roman" w:hAnsi="Times New Roman"/>
          <w:sz w:val="28"/>
        </w:rPr>
        <w:t xml:space="preserve"> de noviembre de 2022 que, según afirman, evidencian que en el momento exacto en que se llevó a cabo la votación ordinaria del informe de ponencia sólo estaban presentes 9 de los 21 senadores que integran la Comisión Primera del Senado. A juicio </w:t>
      </w:r>
      <w:r w:rsidRPr="003E425B">
        <w:rPr>
          <w:rFonts w:ascii="Times New Roman" w:hAnsi="Times New Roman"/>
          <w:sz w:val="28"/>
        </w:rPr>
        <w:t xml:space="preserve">de los demandantes, la fata de aprobación del informe de ponencia conforme a las reglas de quórum, votación y mayorías constituye un vicio de </w:t>
      </w:r>
      <w:r w:rsidRPr="003E425B">
        <w:rPr>
          <w:rFonts w:ascii="Times New Roman" w:hAnsi="Times New Roman"/>
          <w:sz w:val="28"/>
          <w:lang w:val="es-ES_tradnl"/>
        </w:rPr>
        <w:t>procedimiento</w:t>
      </w:r>
      <w:r w:rsidRPr="003E425B">
        <w:rPr>
          <w:rFonts w:ascii="Times New Roman" w:hAnsi="Times New Roman"/>
          <w:sz w:val="28"/>
        </w:rPr>
        <w:t xml:space="preserve"> insubsanable.</w:t>
      </w:r>
      <w:r w:rsidRPr="003E425B">
        <w:rPr>
          <w:rFonts w:ascii="Times New Roman" w:hAnsi="Times New Roman"/>
          <w:sz w:val="28"/>
          <w:lang w:val="es-ES_tradnl"/>
        </w:rPr>
        <w:t xml:space="preserve"> </w:t>
      </w:r>
      <w:bookmarkEnd w:id="15"/>
    </w:p>
    <w:p w:rsidR="00223823" w:rsidRPr="003E425B" w:rsidRDefault="003E425B" w:rsidP="00010108">
      <w:pPr>
        <w:pStyle w:val="Prrafodelista"/>
        <w:spacing w:line="240" w:lineRule="auto"/>
        <w:ind w:left="0"/>
        <w:rPr>
          <w:rFonts w:ascii="Times New Roman" w:hAnsi="Times New Roman"/>
          <w:color w:val="auto"/>
          <w:sz w:val="28"/>
        </w:rPr>
      </w:pPr>
    </w:p>
    <w:p w:rsidR="00223823" w:rsidRPr="003E425B" w:rsidRDefault="003E425B" w:rsidP="00010108">
      <w:pPr>
        <w:pStyle w:val="Prrafodelista"/>
        <w:widowControl w:val="0"/>
        <w:numPr>
          <w:ilvl w:val="0"/>
          <w:numId w:val="10"/>
        </w:numPr>
        <w:spacing w:line="240" w:lineRule="auto"/>
        <w:ind w:left="0" w:firstLine="0"/>
        <w:rPr>
          <w:rFonts w:ascii="Times New Roman" w:hAnsi="Times New Roman"/>
          <w:color w:val="auto"/>
          <w:sz w:val="28"/>
        </w:rPr>
      </w:pPr>
      <w:r w:rsidRPr="003E425B">
        <w:rPr>
          <w:rFonts w:ascii="Times New Roman" w:hAnsi="Times New Roman"/>
          <w:i/>
          <w:iCs/>
          <w:color w:val="auto"/>
          <w:sz w:val="28"/>
        </w:rPr>
        <w:t>Intervenciones</w:t>
      </w:r>
      <w:r w:rsidRPr="003E425B">
        <w:rPr>
          <w:rFonts w:ascii="Times New Roman" w:hAnsi="Times New Roman"/>
          <w:color w:val="auto"/>
          <w:sz w:val="28"/>
        </w:rPr>
        <w:t>. La Procuraduría General de la Nación y veinticuatro (24) intervinien</w:t>
      </w:r>
      <w:r w:rsidRPr="003E425B">
        <w:rPr>
          <w:rFonts w:ascii="Times New Roman" w:hAnsi="Times New Roman"/>
          <w:color w:val="auto"/>
          <w:sz w:val="28"/>
        </w:rPr>
        <w:t>tes</w:t>
      </w:r>
      <w:r w:rsidRPr="003E425B">
        <w:rPr>
          <w:rFonts w:ascii="Times New Roman" w:hAnsi="Times New Roman"/>
          <w:color w:val="auto"/>
          <w:sz w:val="28"/>
          <w:vertAlign w:val="superscript"/>
        </w:rPr>
        <w:footnoteReference w:id="75"/>
      </w:r>
      <w:r w:rsidRPr="003E425B">
        <w:rPr>
          <w:rFonts w:ascii="Times New Roman" w:hAnsi="Times New Roman"/>
          <w:color w:val="auto"/>
          <w:sz w:val="28"/>
        </w:rPr>
        <w:t xml:space="preserve"> </w:t>
      </w:r>
      <w:r w:rsidRPr="003E425B">
        <w:rPr>
          <w:rFonts w:ascii="Times New Roman" w:hAnsi="Times New Roman"/>
          <w:sz w:val="28"/>
        </w:rPr>
        <w:t>sostienen que el informe de ponencia fue aprobado conforme a las reglas de quórum, votación y mayorías previstas en la Constitución y en la Ley 5ª de 1992. Argumentan que de acuerdo con el Acta Conjunta número 3 de 24 de noviembre de 2022</w:t>
      </w:r>
      <w:r w:rsidRPr="003E425B">
        <w:rPr>
          <w:rFonts w:ascii="Times New Roman" w:hAnsi="Times New Roman"/>
          <w:sz w:val="28"/>
          <w:vertAlign w:val="superscript"/>
        </w:rPr>
        <w:footnoteReference w:id="76"/>
      </w:r>
      <w:r w:rsidRPr="003E425B">
        <w:rPr>
          <w:rFonts w:ascii="Times New Roman" w:hAnsi="Times New Roman"/>
          <w:sz w:val="28"/>
        </w:rPr>
        <w:t xml:space="preserve">, publicada </w:t>
      </w:r>
      <w:r w:rsidRPr="003E425B">
        <w:rPr>
          <w:rFonts w:ascii="Times New Roman" w:hAnsi="Times New Roman"/>
          <w:sz w:val="28"/>
        </w:rPr>
        <w:t xml:space="preserve">en la Gaceta del Congreso </w:t>
      </w:r>
      <w:r w:rsidRPr="003E425B">
        <w:rPr>
          <w:rFonts w:ascii="Times New Roman" w:hAnsi="Times New Roman"/>
          <w:sz w:val="28"/>
          <w:lang w:val="es-ES_tradnl"/>
        </w:rPr>
        <w:t>96 de 27 de febrero de 2023</w:t>
      </w:r>
      <w:r w:rsidRPr="003E425B">
        <w:rPr>
          <w:rFonts w:ascii="Times New Roman" w:hAnsi="Times New Roman"/>
          <w:sz w:val="28"/>
        </w:rPr>
        <w:t>, la Comisión Primera del Senado aprobó el informe de ponencia con 11 votos favorables, lo que demuestra que sí había quórum y mayoría. Sostienen que, de acuerdo con la jurisprudencia constitucional, “la</w:t>
      </w:r>
      <w:r w:rsidRPr="003E425B">
        <w:rPr>
          <w:rFonts w:ascii="Times New Roman" w:hAnsi="Times New Roman"/>
          <w:sz w:val="28"/>
        </w:rPr>
        <w:t xml:space="preserve"> falta de quórum para la aprobación de una ley es un hecho que debe ser probado, y la prueba idónea es la presentación de las actas de sesión en las que conste la asistencia de los congresistas o, en su defecto, los listados de asistencia”</w:t>
      </w:r>
      <w:r w:rsidRPr="003E425B">
        <w:rPr>
          <w:rStyle w:val="Refdenotaalpie"/>
          <w:rFonts w:ascii="Times New Roman" w:hAnsi="Times New Roman"/>
          <w:sz w:val="28"/>
        </w:rPr>
        <w:footnoteReference w:id="77"/>
      </w:r>
      <w:r w:rsidRPr="003E425B">
        <w:rPr>
          <w:rFonts w:ascii="Times New Roman" w:hAnsi="Times New Roman"/>
          <w:sz w:val="28"/>
        </w:rPr>
        <w:t>. No obstante, s</w:t>
      </w:r>
      <w:r w:rsidRPr="003E425B">
        <w:rPr>
          <w:rFonts w:ascii="Times New Roman" w:hAnsi="Times New Roman"/>
          <w:sz w:val="28"/>
        </w:rPr>
        <w:t xml:space="preserve">egún los intervinientes, los demandantes no presentaron ningún medio de prueba idóneo que permita desvirtuar la información contenida en el Acta. </w:t>
      </w:r>
    </w:p>
    <w:p w:rsidR="00223823" w:rsidRPr="003E425B" w:rsidRDefault="003E425B" w:rsidP="00010108">
      <w:pPr>
        <w:pStyle w:val="Prrafodelista"/>
        <w:spacing w:line="240" w:lineRule="auto"/>
        <w:rPr>
          <w:rFonts w:ascii="Times New Roman" w:hAnsi="Times New Roman"/>
          <w:sz w:val="28"/>
        </w:rPr>
      </w:pPr>
    </w:p>
    <w:p w:rsidR="00223823" w:rsidRPr="003E425B" w:rsidRDefault="003E425B" w:rsidP="00010108">
      <w:pPr>
        <w:pStyle w:val="Prrafodelista"/>
        <w:widowControl w:val="0"/>
        <w:numPr>
          <w:ilvl w:val="0"/>
          <w:numId w:val="10"/>
        </w:numPr>
        <w:spacing w:line="240" w:lineRule="auto"/>
        <w:ind w:left="0" w:firstLine="0"/>
        <w:rPr>
          <w:rFonts w:ascii="Times New Roman" w:hAnsi="Times New Roman"/>
          <w:color w:val="auto"/>
          <w:sz w:val="28"/>
        </w:rPr>
      </w:pPr>
      <w:r w:rsidRPr="003E425B">
        <w:rPr>
          <w:rFonts w:ascii="Times New Roman" w:hAnsi="Times New Roman"/>
          <w:color w:val="auto"/>
          <w:sz w:val="28"/>
        </w:rPr>
        <w:t>Por otra parte, argumentan que, de acuerdo con la jurisprudencia constitucional</w:t>
      </w:r>
      <w:r w:rsidRPr="003E425B">
        <w:rPr>
          <w:rFonts w:ascii="Times New Roman" w:hAnsi="Times New Roman"/>
          <w:color w:val="auto"/>
          <w:sz w:val="28"/>
          <w:vertAlign w:val="superscript"/>
        </w:rPr>
        <w:footnoteReference w:id="78"/>
      </w:r>
      <w:r w:rsidRPr="003E425B">
        <w:rPr>
          <w:rFonts w:ascii="Times New Roman" w:hAnsi="Times New Roman"/>
          <w:color w:val="auto"/>
          <w:sz w:val="28"/>
        </w:rPr>
        <w:t>, la inclusión de una dispos</w:t>
      </w:r>
      <w:r w:rsidRPr="003E425B">
        <w:rPr>
          <w:rFonts w:ascii="Times New Roman" w:hAnsi="Times New Roman"/>
          <w:color w:val="auto"/>
          <w:sz w:val="28"/>
        </w:rPr>
        <w:t>ición en un proyecto de ley, mediante la cual se conceden facultades extraordinarias, no implica que la totalidad de su texto deba ser aprobado por mayoría absoluta. La Constitución y la ley sólo exigen que el artículo que concede las facultades extraordin</w:t>
      </w:r>
      <w:r w:rsidRPr="003E425B">
        <w:rPr>
          <w:rFonts w:ascii="Times New Roman" w:hAnsi="Times New Roman"/>
          <w:color w:val="auto"/>
          <w:sz w:val="28"/>
        </w:rPr>
        <w:t>arias (norma habilitante) sea aprobado por mayoría absoluta</w:t>
      </w:r>
      <w:r w:rsidRPr="003E425B">
        <w:rPr>
          <w:rFonts w:ascii="Times New Roman" w:hAnsi="Times New Roman"/>
          <w:color w:val="auto"/>
          <w:sz w:val="28"/>
          <w:vertAlign w:val="superscript"/>
        </w:rPr>
        <w:footnoteReference w:id="79"/>
      </w:r>
      <w:r w:rsidRPr="003E425B">
        <w:rPr>
          <w:rFonts w:ascii="Times New Roman" w:hAnsi="Times New Roman"/>
          <w:color w:val="auto"/>
          <w:sz w:val="28"/>
        </w:rPr>
        <w:t xml:space="preserve">.  </w:t>
      </w:r>
      <w:r w:rsidRPr="003E425B">
        <w:rPr>
          <w:rFonts w:ascii="Times New Roman" w:hAnsi="Times New Roman"/>
          <w:sz w:val="28"/>
        </w:rPr>
        <w:t>En cualquier caso, aseguran que la totalidad del proyecto de Ley y, en particular, el artículo 12, fue aprobado en todos los debates con mayoría absoluta</w:t>
      </w:r>
      <w:r w:rsidRPr="003E425B">
        <w:rPr>
          <w:rFonts w:ascii="Times New Roman" w:hAnsi="Times New Roman"/>
          <w:sz w:val="28"/>
          <w:vertAlign w:val="superscript"/>
        </w:rPr>
        <w:footnoteReference w:id="80"/>
      </w:r>
      <w:r w:rsidRPr="003E425B">
        <w:rPr>
          <w:rFonts w:ascii="Times New Roman" w:hAnsi="Times New Roman"/>
          <w:sz w:val="28"/>
        </w:rPr>
        <w:t xml:space="preserve">. </w:t>
      </w:r>
    </w:p>
    <w:p w:rsidR="00223823" w:rsidRPr="003E425B" w:rsidRDefault="003E425B" w:rsidP="00010108">
      <w:pPr>
        <w:pStyle w:val="Prrafodelista"/>
        <w:spacing w:line="240" w:lineRule="auto"/>
        <w:ind w:left="0"/>
        <w:rPr>
          <w:rFonts w:ascii="Times New Roman" w:hAnsi="Times New Roman"/>
          <w:sz w:val="28"/>
        </w:rPr>
      </w:pPr>
    </w:p>
    <w:p w:rsidR="00223823" w:rsidRPr="003E425B" w:rsidRDefault="003E425B" w:rsidP="00010108">
      <w:pPr>
        <w:pStyle w:val="Prrafodelista"/>
        <w:widowControl w:val="0"/>
        <w:numPr>
          <w:ilvl w:val="0"/>
          <w:numId w:val="10"/>
        </w:numPr>
        <w:spacing w:line="240" w:lineRule="auto"/>
        <w:ind w:left="0" w:firstLine="0"/>
        <w:rPr>
          <w:rFonts w:ascii="Times New Roman" w:hAnsi="Times New Roman"/>
          <w:sz w:val="28"/>
        </w:rPr>
      </w:pPr>
      <w:r w:rsidRPr="003E425B">
        <w:rPr>
          <w:rFonts w:ascii="Times New Roman" w:hAnsi="Times New Roman"/>
          <w:i/>
          <w:iCs/>
          <w:sz w:val="28"/>
        </w:rPr>
        <w:t>Problema jurídico</w:t>
      </w:r>
      <w:r w:rsidRPr="003E425B">
        <w:rPr>
          <w:rFonts w:ascii="Times New Roman" w:hAnsi="Times New Roman"/>
          <w:sz w:val="28"/>
        </w:rPr>
        <w:t>. La Corte Constit</w:t>
      </w:r>
      <w:r w:rsidRPr="003E425B">
        <w:rPr>
          <w:rFonts w:ascii="Times New Roman" w:hAnsi="Times New Roman"/>
          <w:sz w:val="28"/>
        </w:rPr>
        <w:t xml:space="preserve">ucional debe resolver el siguiente problema jurídico: </w:t>
      </w:r>
    </w:p>
    <w:p w:rsidR="00223823" w:rsidRPr="003E425B" w:rsidRDefault="003E425B" w:rsidP="00010108">
      <w:pPr>
        <w:pStyle w:val="Prrafodelista"/>
        <w:spacing w:line="240" w:lineRule="auto"/>
        <w:ind w:left="0"/>
        <w:rPr>
          <w:rFonts w:ascii="Times New Roman" w:hAnsi="Times New Roman"/>
          <w:sz w:val="28"/>
        </w:rPr>
      </w:pPr>
    </w:p>
    <w:p w:rsidR="00223823" w:rsidRPr="003E425B" w:rsidRDefault="003E425B" w:rsidP="00010108">
      <w:pPr>
        <w:pStyle w:val="Prrafodelista"/>
        <w:spacing w:line="240" w:lineRule="auto"/>
        <w:ind w:left="709" w:right="448"/>
        <w:rPr>
          <w:rFonts w:ascii="Times New Roman" w:hAnsi="Times New Roman"/>
          <w:sz w:val="28"/>
        </w:rPr>
      </w:pPr>
      <w:r w:rsidRPr="003E425B">
        <w:rPr>
          <w:rFonts w:ascii="Times New Roman" w:hAnsi="Times New Roman"/>
          <w:sz w:val="28"/>
        </w:rPr>
        <w:t>¿La Comisión Primera Constitucional Permanente del Senado de la República incurrió en un vicio de procedimiento en el trámite legislativo del Proyecto de Ley número 222 de 2022 Senado, 261 de 2022 Cám</w:t>
      </w:r>
      <w:r w:rsidRPr="003E425B">
        <w:rPr>
          <w:rFonts w:ascii="Times New Roman" w:hAnsi="Times New Roman"/>
          <w:sz w:val="28"/>
        </w:rPr>
        <w:t>ara</w:t>
      </w:r>
      <w:r w:rsidRPr="003E425B">
        <w:rPr>
          <w:rStyle w:val="Refdenotaalpie"/>
          <w:rFonts w:ascii="Times New Roman" w:hAnsi="Times New Roman"/>
          <w:sz w:val="28"/>
        </w:rPr>
        <w:footnoteReference w:id="81"/>
      </w:r>
      <w:r w:rsidRPr="003E425B">
        <w:rPr>
          <w:rFonts w:ascii="Times New Roman" w:hAnsi="Times New Roman"/>
          <w:sz w:val="28"/>
        </w:rPr>
        <w:t>, al</w:t>
      </w:r>
      <w:r w:rsidRPr="003E425B">
        <w:rPr>
          <w:rFonts w:ascii="Times New Roman" w:hAnsi="Times New Roman"/>
          <w:sz w:val="28"/>
        </w:rPr>
        <w:t xml:space="preserve"> presuntamente</w:t>
      </w:r>
      <w:r w:rsidRPr="003E425B">
        <w:rPr>
          <w:rFonts w:ascii="Times New Roman" w:hAnsi="Times New Roman"/>
          <w:sz w:val="28"/>
        </w:rPr>
        <w:t xml:space="preserve"> no haber aprobado el informe de ponencia para debate en comisiones conjuntas, conforme a las reglas sobre quórum decisorio, modo de votación y mayorías</w:t>
      </w:r>
      <w:r w:rsidRPr="003E425B">
        <w:rPr>
          <w:rFonts w:ascii="Times New Roman" w:hAnsi="Times New Roman"/>
          <w:sz w:val="28"/>
        </w:rPr>
        <w:t xml:space="preserve"> decisorias</w:t>
      </w:r>
      <w:r w:rsidRPr="003E425B">
        <w:rPr>
          <w:rFonts w:ascii="Times New Roman" w:hAnsi="Times New Roman"/>
          <w:sz w:val="28"/>
        </w:rPr>
        <w:t xml:space="preserve"> previstas en la Constitución y la Ley 5ª de 1992?</w:t>
      </w:r>
    </w:p>
    <w:p w:rsidR="00223823" w:rsidRPr="003E425B" w:rsidRDefault="003E425B" w:rsidP="00010108">
      <w:pPr>
        <w:pStyle w:val="Prrafodelista"/>
        <w:spacing w:line="240" w:lineRule="auto"/>
        <w:ind w:left="0"/>
        <w:rPr>
          <w:rFonts w:ascii="Times New Roman" w:hAnsi="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i/>
          <w:iCs/>
          <w:sz w:val="28"/>
        </w:rPr>
        <w:t>Metodología de deci</w:t>
      </w:r>
      <w:r w:rsidRPr="003E425B">
        <w:rPr>
          <w:rFonts w:ascii="Times New Roman" w:hAnsi="Times New Roman"/>
          <w:i/>
          <w:iCs/>
          <w:sz w:val="28"/>
        </w:rPr>
        <w:t>sión.</w:t>
      </w:r>
      <w:r w:rsidRPr="003E425B">
        <w:rPr>
          <w:rFonts w:ascii="Times New Roman" w:hAnsi="Times New Roman"/>
          <w:sz w:val="28"/>
        </w:rPr>
        <w:t xml:space="preserve"> Para resolver el problema jurídico, la Sala Plena, en primer lugar, reiterará la jurisprudencia sobre </w:t>
      </w:r>
      <w:r w:rsidRPr="003E425B">
        <w:rPr>
          <w:rFonts w:ascii="Times New Roman" w:hAnsi="Times New Roman"/>
          <w:sz w:val="28"/>
          <w:lang w:val="es-ES_tradnl"/>
        </w:rPr>
        <w:t>el informe de ponencia como componente esencial de los proyectos de ley</w:t>
      </w:r>
      <w:r w:rsidRPr="003E425B">
        <w:rPr>
          <w:rFonts w:ascii="Times New Roman" w:hAnsi="Times New Roman"/>
          <w:sz w:val="28"/>
        </w:rPr>
        <w:t xml:space="preserve"> (</w:t>
      </w:r>
      <w:r w:rsidRPr="003E425B">
        <w:rPr>
          <w:rFonts w:ascii="Times New Roman" w:hAnsi="Times New Roman"/>
          <w:b/>
          <w:bCs/>
          <w:sz w:val="28"/>
        </w:rPr>
        <w:t xml:space="preserve">sección 4.1.1 </w:t>
      </w:r>
      <w:r w:rsidRPr="003E425B">
        <w:rPr>
          <w:rFonts w:ascii="Times New Roman" w:hAnsi="Times New Roman"/>
          <w:b/>
          <w:bCs/>
          <w:i/>
          <w:iCs/>
          <w:sz w:val="28"/>
        </w:rPr>
        <w:t>infra</w:t>
      </w:r>
      <w:r w:rsidRPr="003E425B">
        <w:rPr>
          <w:rFonts w:ascii="Times New Roman" w:hAnsi="Times New Roman"/>
          <w:sz w:val="28"/>
        </w:rPr>
        <w:t xml:space="preserve">). </w:t>
      </w:r>
      <w:r w:rsidRPr="003E425B">
        <w:rPr>
          <w:rFonts w:ascii="Times New Roman" w:hAnsi="Times New Roman"/>
          <w:sz w:val="28"/>
        </w:rPr>
        <w:t xml:space="preserve">En segundo lugar, </w:t>
      </w:r>
      <w:r w:rsidRPr="003E425B">
        <w:rPr>
          <w:rFonts w:ascii="Times New Roman" w:hAnsi="Times New Roman"/>
          <w:sz w:val="28"/>
        </w:rPr>
        <w:t>reiterará las reglas</w:t>
      </w:r>
      <w:r w:rsidRPr="003E425B">
        <w:rPr>
          <w:rFonts w:ascii="Times New Roman" w:hAnsi="Times New Roman"/>
          <w:sz w:val="28"/>
          <w:lang w:val="es-ES_tradnl"/>
        </w:rPr>
        <w:t xml:space="preserve"> </w:t>
      </w:r>
      <w:r w:rsidRPr="003E425B">
        <w:rPr>
          <w:rFonts w:ascii="Times New Roman" w:hAnsi="Times New Roman"/>
          <w:sz w:val="28"/>
        </w:rPr>
        <w:t xml:space="preserve">previstas en la Constitución y la Ley 5ª de 1992 </w:t>
      </w:r>
      <w:r w:rsidRPr="003E425B">
        <w:rPr>
          <w:rFonts w:ascii="Times New Roman" w:hAnsi="Times New Roman"/>
          <w:sz w:val="28"/>
          <w:lang w:val="es-ES_tradnl"/>
        </w:rPr>
        <w:t>sobre quórum, votación y mayorías decisorias para la aprobación del informe de ponencia en las comisiones constitucionales permanentes</w:t>
      </w:r>
      <w:r w:rsidRPr="003E425B">
        <w:rPr>
          <w:rFonts w:ascii="Times New Roman" w:hAnsi="Times New Roman"/>
          <w:sz w:val="28"/>
        </w:rPr>
        <w:t xml:space="preserve"> (</w:t>
      </w:r>
      <w:r w:rsidRPr="003E425B">
        <w:rPr>
          <w:rFonts w:ascii="Times New Roman" w:hAnsi="Times New Roman"/>
          <w:b/>
          <w:bCs/>
          <w:sz w:val="28"/>
        </w:rPr>
        <w:t xml:space="preserve">sección 4.1.2 </w:t>
      </w:r>
      <w:r w:rsidRPr="003E425B">
        <w:rPr>
          <w:rFonts w:ascii="Times New Roman" w:hAnsi="Times New Roman"/>
          <w:b/>
          <w:bCs/>
          <w:i/>
          <w:iCs/>
          <w:sz w:val="28"/>
        </w:rPr>
        <w:t>infra</w:t>
      </w:r>
      <w:r w:rsidRPr="003E425B">
        <w:rPr>
          <w:rFonts w:ascii="Times New Roman" w:hAnsi="Times New Roman"/>
          <w:sz w:val="28"/>
        </w:rPr>
        <w:t>). Finalmente, con fundamento en estas reglas, resol</w:t>
      </w:r>
      <w:r w:rsidRPr="003E425B">
        <w:rPr>
          <w:rFonts w:ascii="Times New Roman" w:hAnsi="Times New Roman"/>
          <w:sz w:val="28"/>
        </w:rPr>
        <w:t>verá el caso concreto (</w:t>
      </w:r>
      <w:r w:rsidRPr="003E425B">
        <w:rPr>
          <w:rFonts w:ascii="Times New Roman" w:hAnsi="Times New Roman"/>
          <w:b/>
          <w:bCs/>
          <w:sz w:val="28"/>
        </w:rPr>
        <w:t xml:space="preserve">sección 4.1.3 </w:t>
      </w:r>
      <w:r w:rsidRPr="003E425B">
        <w:rPr>
          <w:rFonts w:ascii="Times New Roman" w:hAnsi="Times New Roman"/>
          <w:b/>
          <w:bCs/>
          <w:i/>
          <w:iCs/>
          <w:sz w:val="28"/>
        </w:rPr>
        <w:t>infra</w:t>
      </w:r>
      <w:r w:rsidRPr="003E425B">
        <w:rPr>
          <w:rFonts w:ascii="Times New Roman" w:hAnsi="Times New Roman"/>
          <w:sz w:val="28"/>
        </w:rPr>
        <w:t>).</w:t>
      </w:r>
    </w:p>
    <w:p w:rsidR="00223823" w:rsidRPr="003E425B" w:rsidRDefault="003E425B" w:rsidP="00010108">
      <w:pPr>
        <w:rPr>
          <w:rFonts w:ascii="Times New Roman" w:hAnsi="Times New Roman" w:cs="Times New Roman"/>
          <w:sz w:val="28"/>
        </w:rPr>
      </w:pPr>
    </w:p>
    <w:p w:rsidR="00223823" w:rsidRPr="003E425B" w:rsidRDefault="003E425B" w:rsidP="00010108">
      <w:pPr>
        <w:pStyle w:val="Ttulo2"/>
        <w:numPr>
          <w:ilvl w:val="2"/>
          <w:numId w:val="14"/>
        </w:numPr>
        <w:ind w:left="993" w:hanging="850"/>
        <w:rPr>
          <w:rFonts w:ascii="Times New Roman" w:hAnsi="Times New Roman" w:cs="Times New Roman"/>
          <w:sz w:val="28"/>
        </w:rPr>
      </w:pPr>
      <w:r w:rsidRPr="003E425B">
        <w:rPr>
          <w:rFonts w:ascii="Times New Roman" w:hAnsi="Times New Roman" w:cs="Times New Roman"/>
          <w:sz w:val="28"/>
        </w:rPr>
        <w:t xml:space="preserve">El informe de ponencia </w:t>
      </w:r>
      <w:r w:rsidRPr="003E425B">
        <w:rPr>
          <w:rFonts w:ascii="Times New Roman" w:hAnsi="Times New Roman" w:cs="Times New Roman"/>
          <w:sz w:val="28"/>
        </w:rPr>
        <w:t>en</w:t>
      </w:r>
      <w:r w:rsidRPr="003E425B">
        <w:rPr>
          <w:rFonts w:ascii="Times New Roman" w:hAnsi="Times New Roman" w:cs="Times New Roman"/>
          <w:sz w:val="28"/>
        </w:rPr>
        <w:t xml:space="preserve"> los proyectos de ley. Reiteración de jurisprudencia </w:t>
      </w:r>
    </w:p>
    <w:p w:rsidR="00223823" w:rsidRPr="003E425B" w:rsidRDefault="003E425B" w:rsidP="00010108">
      <w:pPr>
        <w:rPr>
          <w:rFonts w:ascii="Times New Roman" w:hAnsi="Times New Roman" w:cs="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lang w:val="es-ES_tradnl"/>
        </w:rPr>
      </w:pPr>
      <w:r w:rsidRPr="003E425B">
        <w:rPr>
          <w:rFonts w:ascii="Times New Roman" w:hAnsi="Times New Roman"/>
          <w:sz w:val="28"/>
        </w:rPr>
        <w:t>El artículo 157 de la Constitución prevé los requisitos generales para la aprobación de los proyectos de ley. El numeral 2º dispon</w:t>
      </w:r>
      <w:r w:rsidRPr="003E425B">
        <w:rPr>
          <w:rFonts w:ascii="Times New Roman" w:hAnsi="Times New Roman"/>
          <w:sz w:val="28"/>
        </w:rPr>
        <w:t xml:space="preserve">e que uno de esos requisitos es la aprobación del proyecto en la comisión constitucional permanente de cada cámara: </w:t>
      </w:r>
    </w:p>
    <w:p w:rsidR="00223823" w:rsidRPr="003E425B" w:rsidRDefault="003E425B" w:rsidP="00010108">
      <w:pPr>
        <w:pStyle w:val="Prrafodelista"/>
        <w:tabs>
          <w:tab w:val="left" w:pos="567"/>
        </w:tabs>
        <w:spacing w:line="240" w:lineRule="auto"/>
        <w:ind w:left="0"/>
        <w:rPr>
          <w:rFonts w:ascii="Times New Roman" w:hAnsi="Times New Roman"/>
          <w:sz w:val="28"/>
          <w:lang w:val="es-ES_tradnl"/>
        </w:rPr>
      </w:pPr>
    </w:p>
    <w:p w:rsidR="00223823" w:rsidRPr="003E425B" w:rsidRDefault="003E425B" w:rsidP="00010108">
      <w:pPr>
        <w:pStyle w:val="Prrafodelista"/>
        <w:tabs>
          <w:tab w:val="left" w:pos="567"/>
        </w:tabs>
        <w:spacing w:line="240" w:lineRule="auto"/>
        <w:ind w:left="680" w:right="227"/>
        <w:rPr>
          <w:rFonts w:ascii="Times New Roman" w:hAnsi="Times New Roman"/>
          <w:sz w:val="28"/>
          <w:szCs w:val="20"/>
          <w:lang w:val="es-ES_tradnl"/>
        </w:rPr>
      </w:pPr>
      <w:r w:rsidRPr="003E425B">
        <w:rPr>
          <w:rFonts w:ascii="Times New Roman" w:hAnsi="Times New Roman"/>
          <w:sz w:val="28"/>
          <w:szCs w:val="20"/>
          <w:lang w:val="es-ES_tradnl"/>
        </w:rPr>
        <w:t>“ARTICULO 157. Ningún proyecto será ley sin los requisitos siguientes:</w:t>
      </w:r>
    </w:p>
    <w:p w:rsidR="00223823" w:rsidRPr="003E425B" w:rsidRDefault="003E425B" w:rsidP="00010108">
      <w:pPr>
        <w:pStyle w:val="Prrafodelista"/>
        <w:tabs>
          <w:tab w:val="left" w:pos="567"/>
        </w:tabs>
        <w:spacing w:line="240" w:lineRule="auto"/>
        <w:ind w:left="680" w:right="227"/>
        <w:rPr>
          <w:rFonts w:ascii="Times New Roman" w:hAnsi="Times New Roman"/>
          <w:sz w:val="28"/>
          <w:szCs w:val="20"/>
          <w:lang w:val="es-ES_tradnl"/>
        </w:rPr>
      </w:pP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r w:rsidRPr="003E425B">
        <w:rPr>
          <w:rFonts w:ascii="Times New Roman" w:hAnsi="Times New Roman"/>
          <w:sz w:val="28"/>
          <w:szCs w:val="20"/>
          <w:lang w:val="es-ES_tradnl"/>
        </w:rPr>
        <w:t xml:space="preserve">1. Haber sido publicado oficialmente por el Congreso, antes de </w:t>
      </w:r>
      <w:r w:rsidRPr="003E425B">
        <w:rPr>
          <w:rFonts w:ascii="Times New Roman" w:hAnsi="Times New Roman"/>
          <w:sz w:val="28"/>
          <w:szCs w:val="20"/>
          <w:lang w:val="es-ES_tradnl"/>
        </w:rPr>
        <w:t>darle curso en la comisión respectiva.</w:t>
      </w: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r w:rsidRPr="003E425B">
        <w:rPr>
          <w:rFonts w:ascii="Times New Roman" w:hAnsi="Times New Roman"/>
          <w:b/>
          <w:bCs/>
          <w:sz w:val="28"/>
          <w:szCs w:val="20"/>
          <w:u w:val="single"/>
          <w:lang w:val="es-ES_tradnl"/>
        </w:rPr>
        <w:t>2. Haber sido aprobado en primer debate en la correspondiente comisión permanente de cada Cámara</w:t>
      </w:r>
      <w:r w:rsidRPr="003E425B">
        <w:rPr>
          <w:rFonts w:ascii="Times New Roman" w:hAnsi="Times New Roman"/>
          <w:sz w:val="28"/>
          <w:szCs w:val="20"/>
          <w:lang w:val="es-ES_tradnl"/>
        </w:rPr>
        <w:t>. El reglamento del Congreso determinará los casos en los cuales el primer debate se surtirá en sesión conjunta de las c</w:t>
      </w:r>
      <w:r w:rsidRPr="003E425B">
        <w:rPr>
          <w:rFonts w:ascii="Times New Roman" w:hAnsi="Times New Roman"/>
          <w:sz w:val="28"/>
          <w:szCs w:val="20"/>
          <w:lang w:val="es-ES_tradnl"/>
        </w:rPr>
        <w:t xml:space="preserve">omisiones permanentes de ambas Cámaras. </w:t>
      </w: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r w:rsidRPr="003E425B">
        <w:rPr>
          <w:rFonts w:ascii="Times New Roman" w:hAnsi="Times New Roman"/>
          <w:sz w:val="28"/>
          <w:szCs w:val="20"/>
          <w:lang w:val="es-ES_tradnl"/>
        </w:rPr>
        <w:t xml:space="preserve">3. Haber sido aprobado en cada Cámara en segundo debate. </w:t>
      </w: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p>
    <w:p w:rsidR="00223823" w:rsidRPr="003E425B" w:rsidRDefault="003E425B" w:rsidP="00010108">
      <w:pPr>
        <w:pStyle w:val="Prrafodelista"/>
        <w:tabs>
          <w:tab w:val="left" w:pos="567"/>
        </w:tabs>
        <w:spacing w:line="240" w:lineRule="auto"/>
        <w:ind w:left="709" w:right="227"/>
        <w:rPr>
          <w:rFonts w:ascii="Times New Roman" w:hAnsi="Times New Roman"/>
          <w:sz w:val="28"/>
          <w:szCs w:val="20"/>
          <w:lang w:val="es-ES_tradnl"/>
        </w:rPr>
      </w:pPr>
      <w:r w:rsidRPr="003E425B">
        <w:rPr>
          <w:rFonts w:ascii="Times New Roman" w:hAnsi="Times New Roman"/>
          <w:sz w:val="28"/>
          <w:szCs w:val="20"/>
          <w:lang w:val="es-ES_tradnl"/>
        </w:rPr>
        <w:t>4. Haber obtenido la sanción del Gobierno”</w:t>
      </w:r>
      <w:r w:rsidRPr="003E425B">
        <w:rPr>
          <w:rStyle w:val="Refdenotaalpie"/>
          <w:rFonts w:ascii="Times New Roman" w:hAnsi="Times New Roman"/>
          <w:sz w:val="28"/>
          <w:szCs w:val="20"/>
        </w:rPr>
        <w:footnoteReference w:id="82"/>
      </w:r>
      <w:r w:rsidRPr="003E425B">
        <w:rPr>
          <w:rFonts w:ascii="Times New Roman" w:hAnsi="Times New Roman"/>
          <w:sz w:val="28"/>
          <w:szCs w:val="20"/>
          <w:lang w:val="es-ES_tradnl"/>
        </w:rPr>
        <w:t>.</w:t>
      </w:r>
    </w:p>
    <w:p w:rsidR="00223823" w:rsidRPr="003E425B" w:rsidRDefault="003E425B" w:rsidP="00010108">
      <w:pPr>
        <w:pStyle w:val="Prrafodelista"/>
        <w:tabs>
          <w:tab w:val="left" w:pos="567"/>
        </w:tabs>
        <w:spacing w:line="240" w:lineRule="auto"/>
        <w:ind w:left="0"/>
        <w:rPr>
          <w:rFonts w:ascii="Times New Roman" w:hAnsi="Times New Roman"/>
          <w:sz w:val="28"/>
          <w:lang w:val="es-ES_tradnl"/>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lang w:val="es-ES_tradnl"/>
        </w:rPr>
      </w:pPr>
      <w:r w:rsidRPr="003E425B">
        <w:rPr>
          <w:rFonts w:ascii="Times New Roman" w:hAnsi="Times New Roman"/>
          <w:sz w:val="28"/>
          <w:lang w:val="es-ES_tradnl"/>
        </w:rPr>
        <w:t xml:space="preserve">La Corte Constitucional y el Consejo de Estado han resaltado que los proyectos de ley, si bien conforman una </w:t>
      </w:r>
      <w:r w:rsidRPr="003E425B">
        <w:rPr>
          <w:rFonts w:ascii="Times New Roman" w:hAnsi="Times New Roman"/>
          <w:sz w:val="28"/>
          <w:lang w:val="es-ES_tradnl"/>
        </w:rPr>
        <w:t xml:space="preserve">unidad, tienen diversos componentes, entre ellos: </w:t>
      </w:r>
      <w:r w:rsidRPr="003E425B">
        <w:rPr>
          <w:rFonts w:ascii="Times New Roman" w:hAnsi="Times New Roman"/>
          <w:i/>
          <w:iCs/>
          <w:sz w:val="28"/>
          <w:lang w:val="es-ES_tradnl"/>
        </w:rPr>
        <w:t>(i)</w:t>
      </w:r>
      <w:r w:rsidRPr="003E425B">
        <w:rPr>
          <w:rFonts w:ascii="Times New Roman" w:hAnsi="Times New Roman"/>
          <w:sz w:val="28"/>
          <w:lang w:val="es-ES_tradnl"/>
        </w:rPr>
        <w:t xml:space="preserve"> el informe de ponencia y </w:t>
      </w:r>
      <w:r w:rsidRPr="003E425B">
        <w:rPr>
          <w:rFonts w:ascii="Times New Roman" w:hAnsi="Times New Roman"/>
          <w:i/>
          <w:iCs/>
          <w:sz w:val="28"/>
          <w:lang w:val="es-ES_tradnl"/>
        </w:rPr>
        <w:t>(ii)</w:t>
      </w:r>
      <w:r w:rsidRPr="003E425B">
        <w:rPr>
          <w:rFonts w:ascii="Times New Roman" w:hAnsi="Times New Roman"/>
          <w:sz w:val="28"/>
          <w:lang w:val="es-ES_tradnl"/>
        </w:rPr>
        <w:t xml:space="preserve"> el articulado</w:t>
      </w:r>
      <w:r w:rsidRPr="003E425B">
        <w:rPr>
          <w:rFonts w:ascii="Times New Roman" w:hAnsi="Times New Roman"/>
          <w:sz w:val="28"/>
          <w:vertAlign w:val="superscript"/>
          <w:lang w:val="x-none"/>
        </w:rPr>
        <w:footnoteReference w:id="83"/>
      </w:r>
      <w:r w:rsidRPr="003E425B">
        <w:rPr>
          <w:rFonts w:ascii="Times New Roman" w:hAnsi="Times New Roman"/>
          <w:sz w:val="28"/>
          <w:lang w:val="es-ES_tradnl"/>
        </w:rPr>
        <w:t>.</w:t>
      </w:r>
      <w:r w:rsidRPr="003E425B">
        <w:rPr>
          <w:rFonts w:ascii="Times New Roman" w:hAnsi="Times New Roman"/>
          <w:sz w:val="28"/>
        </w:rPr>
        <w:t xml:space="preserve"> El inciso 4 del artículo 160 de la Constitución Política dispone que “todo Proyecto de Ley o de Acto Legislativo deberá tener informe de ponencia en la resp</w:t>
      </w:r>
      <w:r w:rsidRPr="003E425B">
        <w:rPr>
          <w:rFonts w:ascii="Times New Roman" w:hAnsi="Times New Roman"/>
          <w:sz w:val="28"/>
        </w:rPr>
        <w:t>ectiva comisión encargada de tramitarlo, y deberá dársele el curso correspondiente”. El informe de ponencia es el documento que los ponentes deben presentar a las comisiones o las plenarias, según corresponda, en el que exponen las finalidades de la inicia</w:t>
      </w:r>
      <w:r w:rsidRPr="003E425B">
        <w:rPr>
          <w:rFonts w:ascii="Times New Roman" w:hAnsi="Times New Roman"/>
          <w:sz w:val="28"/>
        </w:rPr>
        <w:t>tiva, explican el contenido del articulado del proyecto de ley y justifican su constitucionalidad y conveniencia</w:t>
      </w:r>
      <w:r w:rsidRPr="003E425B">
        <w:rPr>
          <w:rStyle w:val="Refdenotaalpie"/>
          <w:rFonts w:ascii="Times New Roman" w:hAnsi="Times New Roman"/>
          <w:sz w:val="28"/>
          <w:lang w:val="es-ES_tradnl"/>
        </w:rPr>
        <w:footnoteReference w:id="84"/>
      </w:r>
      <w:r w:rsidRPr="003E425B">
        <w:rPr>
          <w:rFonts w:ascii="Times New Roman" w:hAnsi="Times New Roman"/>
          <w:sz w:val="28"/>
        </w:rPr>
        <w:t xml:space="preserve">. De acuerdo con la jurisprudencia constitucional y contenciosa, el informe de ponencia “es un elemento sustancial en la formación de la </w:t>
      </w:r>
      <w:r w:rsidRPr="003E425B">
        <w:rPr>
          <w:rFonts w:ascii="Times New Roman" w:hAnsi="Times New Roman"/>
          <w:sz w:val="28"/>
        </w:rPr>
        <w:t>voluntad democrática”</w:t>
      </w:r>
      <w:r w:rsidRPr="003E425B">
        <w:rPr>
          <w:rStyle w:val="Refdenotaalpie"/>
          <w:rFonts w:ascii="Times New Roman" w:hAnsi="Times New Roman"/>
          <w:sz w:val="28"/>
          <w:lang w:val="es-ES"/>
        </w:rPr>
        <w:footnoteReference w:id="85"/>
      </w:r>
      <w:r w:rsidRPr="003E425B">
        <w:rPr>
          <w:rFonts w:ascii="Times New Roman" w:hAnsi="Times New Roman"/>
          <w:sz w:val="28"/>
        </w:rPr>
        <w:t>, puesto que su finalidad es permitir que los miembros de las comisiones y del pleno de cada célula legislativa “conozcan el tema global del proyecto de ley, de tal forma que realicen un examen serio, razonado y detallado del asunto q</w:t>
      </w:r>
      <w:r w:rsidRPr="003E425B">
        <w:rPr>
          <w:rFonts w:ascii="Times New Roman" w:hAnsi="Times New Roman"/>
          <w:sz w:val="28"/>
        </w:rPr>
        <w:t>ue se somete al trámite legislativo”</w:t>
      </w:r>
      <w:r w:rsidRPr="003E425B">
        <w:rPr>
          <w:rStyle w:val="Refdenotaalpie"/>
          <w:rFonts w:ascii="Times New Roman" w:hAnsi="Times New Roman"/>
          <w:sz w:val="28"/>
          <w:lang w:val="es-ES"/>
        </w:rPr>
        <w:footnoteReference w:id="86"/>
      </w:r>
      <w:r w:rsidRPr="003E425B">
        <w:rPr>
          <w:rFonts w:ascii="Times New Roman" w:hAnsi="Times New Roman"/>
          <w:sz w:val="28"/>
        </w:rPr>
        <w:t>.</w:t>
      </w:r>
      <w:r w:rsidRPr="003E425B">
        <w:rPr>
          <w:rFonts w:ascii="Times New Roman" w:hAnsi="Times New Roman"/>
          <w:color w:val="auto"/>
          <w:sz w:val="28"/>
          <w:szCs w:val="24"/>
          <w:lang w:eastAsia="es-ES_tradnl"/>
        </w:rPr>
        <w:t xml:space="preserve"> </w:t>
      </w:r>
    </w:p>
    <w:p w:rsidR="00223823" w:rsidRPr="003E425B" w:rsidRDefault="003E425B" w:rsidP="00010108">
      <w:pPr>
        <w:pStyle w:val="Prrafodelista"/>
        <w:tabs>
          <w:tab w:val="left" w:pos="567"/>
        </w:tabs>
        <w:spacing w:line="240" w:lineRule="auto"/>
        <w:ind w:left="0"/>
        <w:rPr>
          <w:rFonts w:ascii="Times New Roman" w:hAnsi="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Corte Constitucional ha precisado que la expresión “dársele curso correspondiente”, prevista en el artículo 160 de la Constitución, </w:t>
      </w:r>
      <w:r w:rsidRPr="003E425B">
        <w:rPr>
          <w:rFonts w:ascii="Times New Roman" w:hAnsi="Times New Roman"/>
          <w:sz w:val="28"/>
          <w:lang w:val="es-ES_tradnl"/>
        </w:rPr>
        <w:t>significa, de un lado, que conforme al artículo 156 de la Ley 5ª de 1992, el inf</w:t>
      </w:r>
      <w:r w:rsidRPr="003E425B">
        <w:rPr>
          <w:rFonts w:ascii="Times New Roman" w:hAnsi="Times New Roman"/>
          <w:sz w:val="28"/>
          <w:lang w:val="es-ES_tradnl"/>
        </w:rPr>
        <w:t xml:space="preserve">orme de ponencia debe ser publicado antes del debate en las comisiones o plenarias. </w:t>
      </w:r>
      <w:r w:rsidRPr="003E425B">
        <w:rPr>
          <w:rFonts w:ascii="Times New Roman" w:hAnsi="Times New Roman"/>
          <w:sz w:val="28"/>
        </w:rPr>
        <w:t>La finalidad de la publicación de la ponencia “es la de permitir un debate abierto y democrático del proyecto de ley fundado en el conocimiento que garantice una racionalid</w:t>
      </w:r>
      <w:r w:rsidRPr="003E425B">
        <w:rPr>
          <w:rFonts w:ascii="Times New Roman" w:hAnsi="Times New Roman"/>
          <w:sz w:val="28"/>
        </w:rPr>
        <w:t>ad mínima en las decisiones”</w:t>
      </w:r>
      <w:r w:rsidRPr="003E425B">
        <w:rPr>
          <w:rFonts w:ascii="Times New Roman" w:hAnsi="Times New Roman"/>
          <w:sz w:val="28"/>
          <w:vertAlign w:val="superscript"/>
        </w:rPr>
        <w:footnoteReference w:id="87"/>
      </w:r>
      <w:r w:rsidRPr="003E425B">
        <w:rPr>
          <w:rFonts w:ascii="Times New Roman" w:hAnsi="Times New Roman"/>
          <w:sz w:val="28"/>
        </w:rPr>
        <w:t xml:space="preserve">. </w:t>
      </w:r>
      <w:r w:rsidRPr="003E425B">
        <w:rPr>
          <w:rFonts w:ascii="Times New Roman" w:hAnsi="Times New Roman"/>
          <w:sz w:val="28"/>
          <w:lang w:val="es-ES_tradnl"/>
        </w:rPr>
        <w:t>De otro lado, esta expresión exige que las comisiones -en ciertos casos- y las plenarias -en todos los casos- voten</w:t>
      </w:r>
      <w:r w:rsidRPr="003E425B">
        <w:rPr>
          <w:rFonts w:ascii="Times New Roman" w:hAnsi="Times New Roman"/>
          <w:sz w:val="28"/>
        </w:rPr>
        <w:t xml:space="preserve"> la proposición final con que termina la ponencia y manifiesten su aprobación o rechazo a la orientación globa</w:t>
      </w:r>
      <w:r w:rsidRPr="003E425B">
        <w:rPr>
          <w:rFonts w:ascii="Times New Roman" w:hAnsi="Times New Roman"/>
          <w:sz w:val="28"/>
        </w:rPr>
        <w:t>l del proyecto de ley</w:t>
      </w:r>
      <w:r w:rsidRPr="003E425B">
        <w:rPr>
          <w:rFonts w:ascii="Times New Roman" w:hAnsi="Times New Roman"/>
          <w:sz w:val="28"/>
          <w:vertAlign w:val="superscript"/>
          <w:lang w:val="es-ES_tradnl"/>
        </w:rPr>
        <w:footnoteReference w:id="88"/>
      </w:r>
      <w:r w:rsidRPr="003E425B">
        <w:rPr>
          <w:rFonts w:ascii="Times New Roman" w:hAnsi="Times New Roman"/>
          <w:sz w:val="28"/>
          <w:lang w:val="es-ES_tradnl"/>
        </w:rPr>
        <w:t xml:space="preserve">. La discusión y aprobación de la ponencia permite que las comisiones y las plenarias analicen los propósitos y el sentido básico del articulado y, de esa manera, “puedan debatir, en forma general, la conveniencia y la oportunidad de </w:t>
      </w:r>
      <w:r w:rsidRPr="003E425B">
        <w:rPr>
          <w:rFonts w:ascii="Times New Roman" w:hAnsi="Times New Roman"/>
          <w:sz w:val="28"/>
          <w:lang w:val="es-ES_tradnl"/>
        </w:rPr>
        <w:t>adoptar globalmente ese proyecto”</w:t>
      </w:r>
      <w:r w:rsidRPr="003E425B">
        <w:rPr>
          <w:rFonts w:ascii="Times New Roman" w:hAnsi="Times New Roman"/>
          <w:sz w:val="28"/>
          <w:vertAlign w:val="superscript"/>
          <w:lang w:val="es-ES_tradnl"/>
        </w:rPr>
        <w:footnoteReference w:id="89"/>
      </w:r>
      <w:r w:rsidRPr="003E425B">
        <w:rPr>
          <w:rFonts w:ascii="Times New Roman" w:hAnsi="Times New Roman"/>
          <w:sz w:val="28"/>
          <w:lang w:val="es-ES_tradnl"/>
        </w:rPr>
        <w:t>.</w:t>
      </w:r>
    </w:p>
    <w:p w:rsidR="00223823" w:rsidRPr="003E425B" w:rsidRDefault="003E425B" w:rsidP="00010108">
      <w:pPr>
        <w:pStyle w:val="Prrafodelista"/>
        <w:tabs>
          <w:tab w:val="left" w:pos="567"/>
        </w:tabs>
        <w:spacing w:line="240" w:lineRule="auto"/>
        <w:ind w:left="0"/>
        <w:rPr>
          <w:rFonts w:ascii="Times New Roman" w:hAnsi="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 xml:space="preserve">En tales términos, la Constitución y la Ley 5ª de 1992 </w:t>
      </w:r>
      <w:r w:rsidRPr="003E425B">
        <w:rPr>
          <w:rFonts w:ascii="Times New Roman" w:hAnsi="Times New Roman"/>
          <w:sz w:val="28"/>
        </w:rPr>
        <w:t>establecen dos fases distintas y claramente separadas de la deliberación y aprobación de los proyectos de ley</w:t>
      </w:r>
      <w:r w:rsidRPr="003E425B">
        <w:rPr>
          <w:rStyle w:val="Refdenotaalpie"/>
          <w:rFonts w:ascii="Times New Roman" w:hAnsi="Times New Roman"/>
          <w:sz w:val="28"/>
        </w:rPr>
        <w:footnoteReference w:id="90"/>
      </w:r>
      <w:r w:rsidRPr="003E425B">
        <w:rPr>
          <w:rFonts w:ascii="Times New Roman" w:hAnsi="Times New Roman"/>
          <w:sz w:val="28"/>
        </w:rPr>
        <w:t>. En la primera fase, las comisiones y las plenarias d</w:t>
      </w:r>
      <w:r w:rsidRPr="003E425B">
        <w:rPr>
          <w:rFonts w:ascii="Times New Roman" w:hAnsi="Times New Roman"/>
          <w:sz w:val="28"/>
        </w:rPr>
        <w:t>ebaten y votan el informe de ponencia, esto es, “las orientaciones básicas del proyecto de ley o acto legislativo”</w:t>
      </w:r>
      <w:r w:rsidRPr="003E425B">
        <w:rPr>
          <w:rStyle w:val="Refdenotaalpie"/>
          <w:rFonts w:ascii="Times New Roman" w:hAnsi="Times New Roman"/>
          <w:sz w:val="28"/>
        </w:rPr>
        <w:footnoteReference w:id="91"/>
      </w:r>
      <w:r w:rsidRPr="003E425B">
        <w:rPr>
          <w:rFonts w:ascii="Times New Roman" w:hAnsi="Times New Roman"/>
          <w:sz w:val="28"/>
        </w:rPr>
        <w:t>. En la segunda fase, se lleva a cabo la discusión y votación específica del articulado</w:t>
      </w:r>
      <w:r w:rsidRPr="003E425B">
        <w:rPr>
          <w:rStyle w:val="Refdenotaalpie"/>
          <w:rFonts w:ascii="Times New Roman" w:hAnsi="Times New Roman"/>
          <w:sz w:val="28"/>
        </w:rPr>
        <w:footnoteReference w:id="92"/>
      </w:r>
      <w:r w:rsidRPr="003E425B">
        <w:rPr>
          <w:rFonts w:ascii="Times New Roman" w:hAnsi="Times New Roman"/>
          <w:sz w:val="28"/>
        </w:rPr>
        <w:t xml:space="preserve">. </w:t>
      </w:r>
      <w:r w:rsidRPr="003E425B">
        <w:rPr>
          <w:rFonts w:ascii="Times New Roman" w:hAnsi="Times New Roman"/>
          <w:sz w:val="28"/>
          <w:lang w:val="es-ES_tradnl"/>
        </w:rPr>
        <w:t xml:space="preserve">Cada uno de estos elementos (informe de ponencia y </w:t>
      </w:r>
      <w:r w:rsidRPr="003E425B">
        <w:rPr>
          <w:rFonts w:ascii="Times New Roman" w:hAnsi="Times New Roman"/>
          <w:sz w:val="28"/>
          <w:lang w:val="es-ES_tradnl"/>
        </w:rPr>
        <w:t>articulado), se debate y vota por separado, “y de su aprobación o improbación depende que el [proyecto de ley] se convierta en ley de la República o en un acto reformatorio de la Constitución”</w:t>
      </w:r>
      <w:r w:rsidRPr="003E425B">
        <w:rPr>
          <w:rStyle w:val="Refdenotaalpie"/>
          <w:rFonts w:ascii="Times New Roman" w:hAnsi="Times New Roman"/>
          <w:sz w:val="28"/>
        </w:rPr>
        <w:t xml:space="preserve"> </w:t>
      </w:r>
      <w:r w:rsidRPr="003E425B">
        <w:rPr>
          <w:rStyle w:val="Refdenotaalpie"/>
          <w:rFonts w:ascii="Times New Roman" w:hAnsi="Times New Roman"/>
          <w:sz w:val="28"/>
        </w:rPr>
        <w:footnoteReference w:id="93"/>
      </w:r>
      <w:r w:rsidRPr="003E425B">
        <w:rPr>
          <w:rFonts w:ascii="Times New Roman" w:hAnsi="Times New Roman"/>
          <w:sz w:val="28"/>
          <w:lang w:val="es-ES_tradnl"/>
        </w:rPr>
        <w:t>.</w:t>
      </w:r>
    </w:p>
    <w:p w:rsidR="00223823" w:rsidRPr="003E425B" w:rsidRDefault="003E425B" w:rsidP="00010108">
      <w:pPr>
        <w:pStyle w:val="Prrafodelista"/>
        <w:tabs>
          <w:tab w:val="left" w:pos="567"/>
        </w:tabs>
        <w:spacing w:line="240" w:lineRule="auto"/>
        <w:ind w:left="0"/>
        <w:rPr>
          <w:rFonts w:ascii="Times New Roman" w:hAnsi="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Las reglas aplicables al debate y votación de los informes </w:t>
      </w:r>
      <w:r w:rsidRPr="003E425B">
        <w:rPr>
          <w:rFonts w:ascii="Times New Roman" w:hAnsi="Times New Roman"/>
          <w:sz w:val="28"/>
        </w:rPr>
        <w:t>de ponencia varían según la etapa del trámite legislativo: debates en comisión o debates en plenaria</w:t>
      </w:r>
      <w:r w:rsidRPr="003E425B">
        <w:rPr>
          <w:rFonts w:ascii="Times New Roman" w:hAnsi="Times New Roman"/>
          <w:sz w:val="28"/>
        </w:rPr>
        <w:t>:</w:t>
      </w:r>
    </w:p>
    <w:p w:rsidR="00223823" w:rsidRPr="003E425B" w:rsidRDefault="003E425B" w:rsidP="00010108">
      <w:pPr>
        <w:pStyle w:val="Prrafodelista"/>
        <w:spacing w:line="240" w:lineRule="auto"/>
        <w:rPr>
          <w:rFonts w:ascii="Times New Roman" w:hAnsi="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i/>
          <w:iCs/>
          <w:sz w:val="28"/>
        </w:rPr>
        <w:t>El informe de ponencia en las comisiones constitucionales</w:t>
      </w:r>
      <w:r w:rsidRPr="003E425B">
        <w:rPr>
          <w:rFonts w:ascii="Times New Roman" w:hAnsi="Times New Roman"/>
          <w:sz w:val="28"/>
        </w:rPr>
        <w:t xml:space="preserve">. </w:t>
      </w:r>
      <w:r w:rsidRPr="003E425B">
        <w:rPr>
          <w:rFonts w:ascii="Times New Roman" w:hAnsi="Times New Roman"/>
          <w:sz w:val="28"/>
        </w:rPr>
        <w:t>El artículo 157 de la Ley 5ª de 1992, que forma parte del Capítulo VI - Sección II “Debates en</w:t>
      </w:r>
      <w:r w:rsidRPr="003E425B">
        <w:rPr>
          <w:rFonts w:ascii="Times New Roman" w:hAnsi="Times New Roman"/>
          <w:sz w:val="28"/>
        </w:rPr>
        <w:t xml:space="preserve"> comisiones”-, prevé las reglas que regulan la presentación y aprobación del informe de ponencia ante las comisiones constitucionales permanentes. Al respecto, dispone que:</w:t>
      </w:r>
    </w:p>
    <w:p w:rsidR="00223823" w:rsidRPr="003E425B" w:rsidRDefault="003E425B" w:rsidP="00010108">
      <w:pPr>
        <w:pStyle w:val="Prrafodelista"/>
        <w:spacing w:line="240" w:lineRule="auto"/>
        <w:rPr>
          <w:rFonts w:ascii="Times New Roman" w:hAnsi="Times New Roman"/>
          <w:sz w:val="28"/>
        </w:rPr>
      </w:pPr>
    </w:p>
    <w:p w:rsidR="00223823" w:rsidRPr="003E425B" w:rsidRDefault="003E425B" w:rsidP="00010108">
      <w:pPr>
        <w:tabs>
          <w:tab w:val="left" w:pos="567"/>
        </w:tabs>
        <w:ind w:left="737" w:right="284"/>
        <w:rPr>
          <w:rFonts w:ascii="Times New Roman" w:hAnsi="Times New Roman" w:cs="Times New Roman"/>
          <w:sz w:val="28"/>
          <w:szCs w:val="20"/>
        </w:rPr>
      </w:pPr>
      <w:r w:rsidRPr="003E425B">
        <w:rPr>
          <w:rFonts w:ascii="Times New Roman" w:hAnsi="Times New Roman" w:cs="Times New Roman"/>
          <w:sz w:val="28"/>
          <w:szCs w:val="20"/>
        </w:rPr>
        <w:t>“</w:t>
      </w:r>
      <w:r w:rsidRPr="003E425B">
        <w:rPr>
          <w:rFonts w:ascii="Times New Roman" w:hAnsi="Times New Roman" w:cs="Times New Roman"/>
          <w:b/>
          <w:bCs/>
          <w:sz w:val="28"/>
          <w:szCs w:val="20"/>
        </w:rPr>
        <w:t>ARTÍCULO 157. INICIACIÓN DEL DEBATE</w:t>
      </w:r>
      <w:r w:rsidRPr="003E425B">
        <w:rPr>
          <w:rFonts w:ascii="Times New Roman" w:hAnsi="Times New Roman" w:cs="Times New Roman"/>
          <w:sz w:val="28"/>
          <w:szCs w:val="20"/>
        </w:rPr>
        <w:t>. La iniciación del primer debate no tendrá lu</w:t>
      </w:r>
      <w:r w:rsidRPr="003E425B">
        <w:rPr>
          <w:rFonts w:ascii="Times New Roman" w:hAnsi="Times New Roman" w:cs="Times New Roman"/>
          <w:sz w:val="28"/>
          <w:szCs w:val="20"/>
        </w:rPr>
        <w:t xml:space="preserve">gar antes de la publicación del informe respectivo. </w:t>
      </w:r>
    </w:p>
    <w:p w:rsidR="00223823" w:rsidRPr="003E425B" w:rsidRDefault="003E425B" w:rsidP="00010108">
      <w:pPr>
        <w:tabs>
          <w:tab w:val="left" w:pos="567"/>
        </w:tabs>
        <w:ind w:left="737" w:right="284"/>
        <w:rPr>
          <w:rFonts w:ascii="Times New Roman" w:hAnsi="Times New Roman" w:cs="Times New Roman"/>
          <w:sz w:val="28"/>
          <w:szCs w:val="20"/>
        </w:rPr>
      </w:pPr>
    </w:p>
    <w:p w:rsidR="00223823" w:rsidRPr="003E425B" w:rsidRDefault="003E425B" w:rsidP="00010108">
      <w:pPr>
        <w:tabs>
          <w:tab w:val="left" w:pos="567"/>
        </w:tabs>
        <w:ind w:left="737" w:right="284"/>
        <w:rPr>
          <w:rFonts w:ascii="Times New Roman" w:hAnsi="Times New Roman" w:cs="Times New Roman"/>
          <w:sz w:val="28"/>
          <w:szCs w:val="20"/>
        </w:rPr>
      </w:pPr>
      <w:r w:rsidRPr="003E425B">
        <w:rPr>
          <w:rFonts w:ascii="Times New Roman" w:hAnsi="Times New Roman" w:cs="Times New Roman"/>
          <w:sz w:val="28"/>
          <w:szCs w:val="20"/>
        </w:rPr>
        <w:t>No será necesario dar lectura a la ponencia, salvo que así lo disponga, por razones de conveniencia, la Comisión.</w:t>
      </w:r>
    </w:p>
    <w:p w:rsidR="00223823" w:rsidRPr="003E425B" w:rsidRDefault="003E425B" w:rsidP="00010108">
      <w:pPr>
        <w:tabs>
          <w:tab w:val="left" w:pos="567"/>
        </w:tabs>
        <w:ind w:left="737" w:right="284"/>
        <w:rPr>
          <w:rFonts w:ascii="Times New Roman" w:hAnsi="Times New Roman" w:cs="Times New Roman"/>
          <w:sz w:val="28"/>
          <w:szCs w:val="20"/>
        </w:rPr>
      </w:pPr>
    </w:p>
    <w:p w:rsidR="00223823" w:rsidRPr="003E425B" w:rsidRDefault="003E425B" w:rsidP="00010108">
      <w:pPr>
        <w:tabs>
          <w:tab w:val="left" w:pos="567"/>
        </w:tabs>
        <w:ind w:left="737" w:right="284"/>
        <w:rPr>
          <w:rFonts w:ascii="Times New Roman" w:hAnsi="Times New Roman" w:cs="Times New Roman"/>
          <w:sz w:val="28"/>
          <w:szCs w:val="20"/>
        </w:rPr>
      </w:pPr>
      <w:r w:rsidRPr="003E425B">
        <w:rPr>
          <w:rFonts w:ascii="Times New Roman" w:hAnsi="Times New Roman" w:cs="Times New Roman"/>
          <w:sz w:val="28"/>
          <w:szCs w:val="20"/>
        </w:rPr>
        <w:t>El ponente, en la correspondiente sesión, absolverá las preguntas y dudas que sobre aqu</w:t>
      </w:r>
      <w:r w:rsidRPr="003E425B">
        <w:rPr>
          <w:rFonts w:ascii="Times New Roman" w:hAnsi="Times New Roman" w:cs="Times New Roman"/>
          <w:sz w:val="28"/>
          <w:szCs w:val="20"/>
        </w:rPr>
        <w:t>élla se le formulen, luego de lo cual comenzará el debate.</w:t>
      </w:r>
    </w:p>
    <w:p w:rsidR="00223823" w:rsidRPr="003E425B" w:rsidRDefault="003E425B" w:rsidP="00010108">
      <w:pPr>
        <w:tabs>
          <w:tab w:val="left" w:pos="567"/>
        </w:tabs>
        <w:ind w:left="737" w:right="284"/>
        <w:rPr>
          <w:rFonts w:ascii="Times New Roman" w:hAnsi="Times New Roman" w:cs="Times New Roman"/>
          <w:sz w:val="28"/>
          <w:szCs w:val="20"/>
        </w:rPr>
      </w:pPr>
    </w:p>
    <w:p w:rsidR="00223823" w:rsidRPr="003E425B" w:rsidRDefault="003E425B" w:rsidP="00010108">
      <w:pPr>
        <w:tabs>
          <w:tab w:val="left" w:pos="567"/>
        </w:tabs>
        <w:ind w:left="737" w:right="284"/>
        <w:rPr>
          <w:rFonts w:ascii="Times New Roman" w:hAnsi="Times New Roman" w:cs="Times New Roman"/>
          <w:sz w:val="28"/>
          <w:szCs w:val="20"/>
        </w:rPr>
      </w:pPr>
      <w:r w:rsidRPr="003E425B">
        <w:rPr>
          <w:rFonts w:ascii="Times New Roman" w:hAnsi="Times New Roman" w:cs="Times New Roman"/>
          <w:sz w:val="28"/>
          <w:szCs w:val="20"/>
          <w:u w:val="single"/>
        </w:rPr>
        <w:t>Si el ponente propone debatir el proyecto, se procederá en consecuencia sin necesidad de votación del informe. Si se propone archivar o negar el proyecto, se debatirá esta propuesta y se pondrá en</w:t>
      </w:r>
      <w:r w:rsidRPr="003E425B">
        <w:rPr>
          <w:rFonts w:ascii="Times New Roman" w:hAnsi="Times New Roman" w:cs="Times New Roman"/>
          <w:sz w:val="28"/>
          <w:szCs w:val="20"/>
          <w:u w:val="single"/>
        </w:rPr>
        <w:t xml:space="preserve"> votación al cierre del debate</w:t>
      </w:r>
      <w:r w:rsidRPr="003E425B">
        <w:rPr>
          <w:rFonts w:ascii="Times New Roman" w:hAnsi="Times New Roman" w:cs="Times New Roman"/>
          <w:sz w:val="28"/>
          <w:szCs w:val="20"/>
        </w:rPr>
        <w:t>.</w:t>
      </w:r>
    </w:p>
    <w:p w:rsidR="00223823" w:rsidRPr="003E425B" w:rsidRDefault="003E425B" w:rsidP="00010108">
      <w:pPr>
        <w:ind w:left="737" w:right="284"/>
        <w:rPr>
          <w:rFonts w:ascii="Times New Roman" w:hAnsi="Times New Roman" w:cs="Times New Roman"/>
          <w:sz w:val="28"/>
          <w:szCs w:val="20"/>
        </w:rPr>
      </w:pPr>
    </w:p>
    <w:p w:rsidR="00223823" w:rsidRPr="003E425B" w:rsidRDefault="003E425B" w:rsidP="00010108">
      <w:pPr>
        <w:ind w:left="737" w:right="284"/>
        <w:rPr>
          <w:rFonts w:ascii="Times New Roman" w:hAnsi="Times New Roman" w:cs="Times New Roman"/>
          <w:sz w:val="28"/>
          <w:szCs w:val="20"/>
        </w:rPr>
      </w:pPr>
      <w:r w:rsidRPr="003E425B">
        <w:rPr>
          <w:rFonts w:ascii="Times New Roman" w:hAnsi="Times New Roman" w:cs="Times New Roman"/>
          <w:sz w:val="28"/>
          <w:szCs w:val="20"/>
        </w:rPr>
        <w:t xml:space="preserve">Al debatirse un proyecto, el ponente podrá señalar los asuntos fundamentales acerca de los cuales conviene que la Comisión decida en primer término” (subrayado fuera del texto). </w:t>
      </w:r>
    </w:p>
    <w:p w:rsidR="00223823" w:rsidRPr="003E425B" w:rsidRDefault="003E425B" w:rsidP="00010108">
      <w:pPr>
        <w:pStyle w:val="Prrafodelista"/>
        <w:tabs>
          <w:tab w:val="left" w:pos="567"/>
        </w:tabs>
        <w:spacing w:line="240" w:lineRule="auto"/>
        <w:ind w:left="0"/>
        <w:rPr>
          <w:rFonts w:ascii="Times New Roman" w:hAnsi="Times New Roman"/>
          <w:sz w:val="28"/>
        </w:rPr>
      </w:pPr>
    </w:p>
    <w:p w:rsidR="0022382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bookmarkStart w:id="16" w:name="_Ref165378505"/>
      <w:r w:rsidRPr="003E425B">
        <w:rPr>
          <w:rFonts w:ascii="Times New Roman" w:hAnsi="Times New Roman"/>
          <w:sz w:val="28"/>
        </w:rPr>
        <w:t>Como puede verse, en la etapa de debate en comisiones, la Ley 5ª no exige que el informe de ponencia sea votado y aprobado en todos los casos. En concreto, la Sala Plena resalta que el inciso 4º del artículo 157 de la Ley 5ª de 1992 permite que, si el pone</w:t>
      </w:r>
      <w:r w:rsidRPr="003E425B">
        <w:rPr>
          <w:rFonts w:ascii="Times New Roman" w:hAnsi="Times New Roman"/>
          <w:sz w:val="28"/>
        </w:rPr>
        <w:t xml:space="preserve">nte propone debatir el articulado directamente, se prescinda de la votación del informe de ponencia. </w:t>
      </w:r>
      <w:r w:rsidRPr="003E425B">
        <w:rPr>
          <w:rFonts w:ascii="Times New Roman" w:hAnsi="Times New Roman"/>
          <w:sz w:val="28"/>
        </w:rPr>
        <w:t>Esto significa</w:t>
      </w:r>
      <w:r w:rsidRPr="003E425B">
        <w:rPr>
          <w:rFonts w:ascii="Times New Roman" w:hAnsi="Times New Roman"/>
          <w:sz w:val="28"/>
        </w:rPr>
        <w:t xml:space="preserve">, </w:t>
      </w:r>
      <w:r w:rsidRPr="003E425B">
        <w:rPr>
          <w:rFonts w:ascii="Times New Roman" w:hAnsi="Times New Roman"/>
          <w:sz w:val="28"/>
        </w:rPr>
        <w:t xml:space="preserve">de acuerdo con la </w:t>
      </w:r>
      <w:r w:rsidRPr="003E425B">
        <w:rPr>
          <w:rFonts w:ascii="Times New Roman" w:hAnsi="Times New Roman"/>
          <w:sz w:val="28"/>
        </w:rPr>
        <w:t>jurisprudencia</w:t>
      </w:r>
      <w:r w:rsidRPr="003E425B">
        <w:rPr>
          <w:rFonts w:ascii="Times New Roman" w:hAnsi="Times New Roman"/>
          <w:sz w:val="28"/>
        </w:rPr>
        <w:t xml:space="preserve"> constitucional, que “en el trámite en las comisiones, en los casos en que la ponencia sea favorable, es po</w:t>
      </w:r>
      <w:r w:rsidRPr="003E425B">
        <w:rPr>
          <w:rFonts w:ascii="Times New Roman" w:hAnsi="Times New Roman"/>
          <w:sz w:val="28"/>
        </w:rPr>
        <w:t>sible entrar directamente en el debate y en la votación del articulado, sin necesidad de votar previamente el informe de ponencia</w:t>
      </w:r>
      <w:r w:rsidRPr="003E425B">
        <w:rPr>
          <w:rStyle w:val="Refdenotaalpie"/>
          <w:rFonts w:ascii="Times New Roman" w:hAnsi="Times New Roman"/>
          <w:sz w:val="28"/>
        </w:rPr>
        <w:footnoteReference w:id="94"/>
      </w:r>
      <w:r w:rsidRPr="003E425B">
        <w:rPr>
          <w:rFonts w:ascii="Times New Roman" w:hAnsi="Times New Roman"/>
          <w:sz w:val="28"/>
        </w:rPr>
        <w:t xml:space="preserve">. </w:t>
      </w:r>
      <w:r w:rsidRPr="003E425B">
        <w:rPr>
          <w:rFonts w:ascii="Times New Roman" w:hAnsi="Times New Roman"/>
          <w:sz w:val="28"/>
        </w:rPr>
        <w:t xml:space="preserve">Con todo, </w:t>
      </w:r>
      <w:r w:rsidRPr="003E425B">
        <w:rPr>
          <w:rFonts w:ascii="Times New Roman" w:hAnsi="Times New Roman"/>
          <w:sz w:val="28"/>
        </w:rPr>
        <w:t xml:space="preserve">esta misma disposición aclara que, </w:t>
      </w:r>
      <w:r w:rsidRPr="003E425B">
        <w:rPr>
          <w:rFonts w:ascii="Times New Roman" w:hAnsi="Times New Roman"/>
          <w:sz w:val="28"/>
        </w:rPr>
        <w:t>si existen proposiciones negativas o de archivo,</w:t>
      </w:r>
      <w:r w:rsidRPr="003E425B">
        <w:rPr>
          <w:rFonts w:ascii="Times New Roman" w:hAnsi="Times New Roman"/>
          <w:sz w:val="28"/>
        </w:rPr>
        <w:t xml:space="preserve"> estas </w:t>
      </w:r>
      <w:r w:rsidRPr="003E425B">
        <w:rPr>
          <w:rFonts w:ascii="Times New Roman" w:hAnsi="Times New Roman"/>
          <w:sz w:val="28"/>
        </w:rPr>
        <w:t>deberán ser debatidas</w:t>
      </w:r>
      <w:r w:rsidRPr="003E425B">
        <w:rPr>
          <w:rFonts w:ascii="Times New Roman" w:hAnsi="Times New Roman"/>
          <w:sz w:val="28"/>
        </w:rPr>
        <w:t xml:space="preserve"> y </w:t>
      </w:r>
      <w:r w:rsidRPr="003E425B">
        <w:rPr>
          <w:rFonts w:ascii="Times New Roman" w:hAnsi="Times New Roman"/>
          <w:sz w:val="28"/>
        </w:rPr>
        <w:t>luego vot</w:t>
      </w:r>
      <w:r w:rsidRPr="003E425B">
        <w:rPr>
          <w:rFonts w:ascii="Times New Roman" w:hAnsi="Times New Roman"/>
          <w:sz w:val="28"/>
        </w:rPr>
        <w:t>adas por la comisión respectiva</w:t>
      </w:r>
      <w:r w:rsidRPr="003E425B">
        <w:rPr>
          <w:rFonts w:ascii="Times New Roman" w:hAnsi="Times New Roman"/>
          <w:sz w:val="28"/>
        </w:rPr>
        <w:t xml:space="preserve">. </w:t>
      </w:r>
      <w:bookmarkEnd w:id="16"/>
    </w:p>
    <w:p w:rsidR="00B35BA2" w:rsidRPr="003E425B" w:rsidRDefault="003E425B" w:rsidP="00B15E02">
      <w:pPr>
        <w:rPr>
          <w:rFonts w:ascii="Times New Roman" w:hAnsi="Times New Roman" w:cs="Times New Roman"/>
          <w:sz w:val="28"/>
        </w:rPr>
      </w:pPr>
    </w:p>
    <w:p w:rsidR="00B35BA2"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i/>
          <w:iCs/>
          <w:sz w:val="28"/>
        </w:rPr>
        <w:t>Informe de ponencia en plenaria</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E</w:t>
      </w:r>
      <w:r w:rsidRPr="003E425B">
        <w:rPr>
          <w:rFonts w:ascii="Times New Roman" w:hAnsi="Times New Roman"/>
          <w:sz w:val="28"/>
        </w:rPr>
        <w:t>l artículo 176 de la Ley 5 de 1992</w:t>
      </w:r>
      <w:r w:rsidRPr="003E425B">
        <w:rPr>
          <w:rFonts w:ascii="Times New Roman" w:hAnsi="Times New Roman"/>
          <w:sz w:val="28"/>
        </w:rPr>
        <w:t>, modificado por el artículo 16 de la 9</w:t>
      </w:r>
      <w:r w:rsidRPr="003E425B">
        <w:rPr>
          <w:rFonts w:ascii="Times New Roman" w:hAnsi="Times New Roman"/>
          <w:sz w:val="28"/>
        </w:rPr>
        <w:t>74 de 2005,</w:t>
      </w:r>
      <w:r w:rsidRPr="003E425B">
        <w:rPr>
          <w:rFonts w:ascii="Times New Roman" w:hAnsi="Times New Roman"/>
          <w:sz w:val="28"/>
        </w:rPr>
        <w:t xml:space="preserve"> dispone que: </w:t>
      </w:r>
    </w:p>
    <w:p w:rsidR="00AB1FF5" w:rsidRPr="003E425B" w:rsidRDefault="003E425B" w:rsidP="00AB1FF5">
      <w:pPr>
        <w:pStyle w:val="Prrafodelista"/>
        <w:widowControl w:val="0"/>
        <w:tabs>
          <w:tab w:val="left" w:pos="567"/>
        </w:tabs>
        <w:spacing w:line="240" w:lineRule="auto"/>
        <w:ind w:left="0"/>
        <w:rPr>
          <w:rFonts w:ascii="Times New Roman" w:hAnsi="Times New Roman"/>
          <w:sz w:val="28"/>
        </w:rPr>
      </w:pPr>
    </w:p>
    <w:p w:rsidR="001F2D24" w:rsidRPr="003E425B" w:rsidRDefault="003E425B" w:rsidP="001F2D24">
      <w:pPr>
        <w:tabs>
          <w:tab w:val="left" w:pos="567"/>
        </w:tabs>
        <w:ind w:left="737" w:right="284"/>
        <w:rPr>
          <w:rFonts w:ascii="Times New Roman" w:hAnsi="Times New Roman" w:cs="Times New Roman"/>
          <w:sz w:val="28"/>
          <w:szCs w:val="20"/>
        </w:rPr>
      </w:pPr>
      <w:bookmarkStart w:id="17" w:name="176"/>
      <w:r w:rsidRPr="003E425B">
        <w:rPr>
          <w:rFonts w:ascii="Times New Roman" w:hAnsi="Times New Roman" w:cs="Times New Roman"/>
          <w:b/>
          <w:bCs/>
          <w:sz w:val="28"/>
          <w:szCs w:val="20"/>
        </w:rPr>
        <w:t>ARTÍCULO 176. DISCUSIÓN</w:t>
      </w:r>
      <w:r w:rsidRPr="003E425B">
        <w:rPr>
          <w:rFonts w:ascii="Times New Roman" w:hAnsi="Times New Roman" w:cs="Times New Roman"/>
          <w:sz w:val="28"/>
          <w:szCs w:val="20"/>
        </w:rPr>
        <w:t>.</w:t>
      </w:r>
      <w:bookmarkEnd w:id="17"/>
      <w:r w:rsidRPr="003E425B">
        <w:rPr>
          <w:rFonts w:ascii="Times New Roman" w:hAnsi="Times New Roman" w:cs="Times New Roman"/>
          <w:sz w:val="28"/>
          <w:szCs w:val="20"/>
        </w:rPr>
        <w:t xml:space="preserve">  El ponente explicará en forma sucinta la </w:t>
      </w:r>
      <w:r w:rsidRPr="003E425B">
        <w:rPr>
          <w:rFonts w:ascii="Times New Roman" w:hAnsi="Times New Roman" w:cs="Times New Roman"/>
          <w:sz w:val="28"/>
          <w:szCs w:val="20"/>
        </w:rPr>
        <w:t>significación y el alcance del proyecto. Luego podrán tomar la palabra los oradores de conformidad con lo dispuesto en el artículo </w:t>
      </w:r>
      <w:hyperlink r:id="rId8" w:anchor="1" w:history="1">
        <w:r w:rsidRPr="003E425B">
          <w:rPr>
            <w:rFonts w:ascii="Times New Roman" w:hAnsi="Times New Roman" w:cs="Times New Roman"/>
            <w:sz w:val="28"/>
            <w:szCs w:val="20"/>
          </w:rPr>
          <w:t>97</w:t>
        </w:r>
      </w:hyperlink>
      <w:r w:rsidRPr="003E425B">
        <w:rPr>
          <w:rFonts w:ascii="Times New Roman" w:hAnsi="Times New Roman" w:cs="Times New Roman"/>
          <w:sz w:val="28"/>
          <w:szCs w:val="20"/>
        </w:rPr>
        <w:t> del presente reglamento.</w:t>
      </w:r>
    </w:p>
    <w:p w:rsidR="001F2D24" w:rsidRPr="003E425B" w:rsidRDefault="003E425B" w:rsidP="001F2D24">
      <w:pPr>
        <w:tabs>
          <w:tab w:val="left" w:pos="567"/>
        </w:tabs>
        <w:ind w:left="737" w:right="284"/>
        <w:rPr>
          <w:rFonts w:ascii="Times New Roman" w:hAnsi="Times New Roman" w:cs="Times New Roman"/>
          <w:sz w:val="28"/>
          <w:szCs w:val="20"/>
        </w:rPr>
      </w:pPr>
    </w:p>
    <w:p w:rsidR="001F2D24" w:rsidRPr="003E425B" w:rsidRDefault="003E425B" w:rsidP="001F2D24">
      <w:pPr>
        <w:tabs>
          <w:tab w:val="left" w:pos="567"/>
        </w:tabs>
        <w:ind w:left="737" w:right="284"/>
        <w:rPr>
          <w:rFonts w:ascii="Times New Roman" w:hAnsi="Times New Roman" w:cs="Times New Roman"/>
          <w:sz w:val="28"/>
          <w:szCs w:val="20"/>
        </w:rPr>
      </w:pPr>
      <w:r w:rsidRPr="003E425B">
        <w:rPr>
          <w:rFonts w:ascii="Times New Roman" w:hAnsi="Times New Roman" w:cs="Times New Roman"/>
          <w:sz w:val="28"/>
          <w:szCs w:val="20"/>
        </w:rPr>
        <w:t>Si la proposición con la que termina el informe fuere aprobada, el proyecto se discutirá globalmente, a menos que un Ministro o miembro de la respectiva Cámara pidiera su discusión separadamente a alguno o algunos artículos</w:t>
      </w:r>
      <w:r w:rsidRPr="003E425B">
        <w:rPr>
          <w:rFonts w:ascii="Times New Roman" w:hAnsi="Times New Roman" w:cs="Times New Roman"/>
          <w:sz w:val="28"/>
          <w:szCs w:val="20"/>
        </w:rPr>
        <w:t xml:space="preserve">”. </w:t>
      </w:r>
    </w:p>
    <w:p w:rsidR="0007566B" w:rsidRPr="003E425B" w:rsidRDefault="003E425B" w:rsidP="00EC482D">
      <w:pPr>
        <w:rPr>
          <w:rFonts w:ascii="Times New Roman" w:hAnsi="Times New Roman" w:cs="Times New Roman"/>
          <w:sz w:val="28"/>
        </w:rPr>
      </w:pPr>
    </w:p>
    <w:p w:rsidR="007A3F5E" w:rsidRPr="003E425B" w:rsidRDefault="003E425B" w:rsidP="007A3F5E">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La Corte Constitucional ha i</w:t>
      </w:r>
      <w:r w:rsidRPr="003E425B">
        <w:rPr>
          <w:rFonts w:ascii="Times New Roman" w:hAnsi="Times New Roman"/>
          <w:sz w:val="28"/>
        </w:rPr>
        <w:t xml:space="preserve">nterpretado que esta norma ordena que “el informe de ponencia sea aprobado, como requisito previo para discutir y votar el articulado”. Lo anterior, en el entendido de que prescribe “una regla de naturaleza condicional, según la cual, en caso </w:t>
      </w:r>
      <w:r w:rsidRPr="003E425B">
        <w:rPr>
          <w:rFonts w:ascii="Times New Roman" w:hAnsi="Times New Roman"/>
          <w:sz w:val="28"/>
        </w:rPr>
        <w:t xml:space="preserve">de </w:t>
      </w:r>
      <w:r w:rsidRPr="003E425B">
        <w:rPr>
          <w:rFonts w:ascii="Times New Roman" w:hAnsi="Times New Roman"/>
          <w:sz w:val="28"/>
        </w:rPr>
        <w:t>que se apr</w:t>
      </w:r>
      <w:r w:rsidRPr="003E425B">
        <w:rPr>
          <w:rFonts w:ascii="Times New Roman" w:hAnsi="Times New Roman"/>
          <w:sz w:val="28"/>
        </w:rPr>
        <w:t>uebe la proposición con que termina el informe de ponencia, procederá la discusión del articulado del proyecto, bien en bloque o bien separadamente, si así lo solicita uno de los miembros de la cámara correspondiente</w:t>
      </w:r>
      <w:r w:rsidRPr="003E425B">
        <w:rPr>
          <w:rFonts w:ascii="Times New Roman" w:hAnsi="Times New Roman"/>
          <w:sz w:val="28"/>
        </w:rPr>
        <w:t>”</w:t>
      </w:r>
      <w:r w:rsidRPr="003E425B">
        <w:rPr>
          <w:rFonts w:ascii="Times New Roman" w:hAnsi="Times New Roman"/>
          <w:sz w:val="28"/>
        </w:rPr>
        <w:t>.  Así las cosas, el efecto jurídico de</w:t>
      </w:r>
      <w:r w:rsidRPr="003E425B">
        <w:rPr>
          <w:rFonts w:ascii="Times New Roman" w:hAnsi="Times New Roman"/>
          <w:sz w:val="28"/>
        </w:rPr>
        <w:t xml:space="preserve"> la aprobación del informe de ponencia no es otro que permitir que el trámite legislativo prosiga con su siguiente etapa, esto es, la discusión del articulado previa a su votación. </w:t>
      </w:r>
      <w:r w:rsidRPr="003E425B">
        <w:rPr>
          <w:rFonts w:ascii="Times New Roman" w:hAnsi="Times New Roman"/>
          <w:i/>
          <w:iCs/>
          <w:sz w:val="28"/>
        </w:rPr>
        <w:t>Contrario sensu</w:t>
      </w:r>
      <w:r w:rsidRPr="003E425B">
        <w:rPr>
          <w:rFonts w:ascii="Times New Roman" w:hAnsi="Times New Roman"/>
          <w:sz w:val="28"/>
        </w:rPr>
        <w:t xml:space="preserve">, </w:t>
      </w:r>
      <w:r w:rsidRPr="003E425B">
        <w:rPr>
          <w:rFonts w:ascii="Times New Roman" w:hAnsi="Times New Roman"/>
          <w:sz w:val="28"/>
        </w:rPr>
        <w:t>“</w:t>
      </w:r>
      <w:r w:rsidRPr="003E425B">
        <w:rPr>
          <w:rFonts w:ascii="Times New Roman" w:hAnsi="Times New Roman"/>
          <w:sz w:val="28"/>
        </w:rPr>
        <w:t>la falta de aprobación del informe ocasiona, indefectible</w:t>
      </w:r>
      <w:r w:rsidRPr="003E425B">
        <w:rPr>
          <w:rFonts w:ascii="Times New Roman" w:hAnsi="Times New Roman"/>
          <w:sz w:val="28"/>
        </w:rPr>
        <w:t>mente, que no pueda continuarse con dicho trámite</w:t>
      </w:r>
      <w:r w:rsidRPr="003E425B">
        <w:rPr>
          <w:rFonts w:ascii="Times New Roman" w:hAnsi="Times New Roman"/>
          <w:sz w:val="28"/>
        </w:rPr>
        <w:t>”</w:t>
      </w:r>
      <w:r w:rsidRPr="003E425B">
        <w:rPr>
          <w:rStyle w:val="Refdenotaalpie"/>
          <w:rFonts w:ascii="Times New Roman" w:hAnsi="Times New Roman"/>
          <w:sz w:val="28"/>
        </w:rPr>
        <w:footnoteReference w:id="95"/>
      </w:r>
      <w:r w:rsidRPr="003E425B">
        <w:rPr>
          <w:rFonts w:ascii="Times New Roman" w:hAnsi="Times New Roman"/>
          <w:sz w:val="28"/>
        </w:rPr>
        <w:t>.</w:t>
      </w:r>
    </w:p>
    <w:p w:rsidR="00F02376" w:rsidRPr="003E425B" w:rsidRDefault="003E425B" w:rsidP="00F02376">
      <w:pPr>
        <w:pStyle w:val="Prrafodelista"/>
        <w:widowControl w:val="0"/>
        <w:tabs>
          <w:tab w:val="left" w:pos="567"/>
        </w:tabs>
        <w:spacing w:line="240" w:lineRule="auto"/>
        <w:ind w:left="0"/>
        <w:rPr>
          <w:rFonts w:ascii="Times New Roman" w:hAnsi="Times New Roman"/>
          <w:sz w:val="28"/>
        </w:rPr>
      </w:pPr>
    </w:p>
    <w:p w:rsidR="00F02376" w:rsidRPr="003E425B" w:rsidRDefault="003E425B" w:rsidP="00F02376">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En tales términos, </w:t>
      </w:r>
      <w:r w:rsidRPr="003E425B">
        <w:rPr>
          <w:rFonts w:ascii="Times New Roman" w:hAnsi="Times New Roman"/>
          <w:sz w:val="28"/>
        </w:rPr>
        <w:t xml:space="preserve">este tribunal ha reiterado que </w:t>
      </w:r>
      <w:r w:rsidRPr="003E425B">
        <w:rPr>
          <w:rFonts w:ascii="Times New Roman" w:hAnsi="Times New Roman"/>
          <w:sz w:val="28"/>
        </w:rPr>
        <w:t>“</w:t>
      </w:r>
      <w:r w:rsidRPr="003E425B">
        <w:rPr>
          <w:rFonts w:ascii="Times New Roman" w:hAnsi="Times New Roman"/>
          <w:sz w:val="28"/>
        </w:rPr>
        <w:t>la</w:t>
      </w:r>
      <w:r w:rsidRPr="003E425B">
        <w:rPr>
          <w:rFonts w:ascii="Times New Roman" w:hAnsi="Times New Roman"/>
          <w:sz w:val="28"/>
        </w:rPr>
        <w:t xml:space="preserve"> iniciación del debate parlamentario de proyectos de ley o de acto</w:t>
      </w:r>
      <w:r w:rsidRPr="003E425B">
        <w:rPr>
          <w:rFonts w:ascii="Times New Roman" w:hAnsi="Times New Roman"/>
          <w:sz w:val="28"/>
        </w:rPr>
        <w:t>s</w:t>
      </w:r>
      <w:r w:rsidRPr="003E425B">
        <w:rPr>
          <w:rFonts w:ascii="Times New Roman" w:hAnsi="Times New Roman"/>
          <w:sz w:val="28"/>
        </w:rPr>
        <w:t xml:space="preserve"> legislativo</w:t>
      </w:r>
      <w:r w:rsidRPr="003E425B">
        <w:rPr>
          <w:rFonts w:ascii="Times New Roman" w:hAnsi="Times New Roman"/>
          <w:sz w:val="28"/>
        </w:rPr>
        <w:t>s</w:t>
      </w:r>
      <w:r w:rsidRPr="003E425B">
        <w:rPr>
          <w:rFonts w:ascii="Times New Roman" w:hAnsi="Times New Roman"/>
          <w:sz w:val="28"/>
        </w:rPr>
        <w:t xml:space="preserve"> en las Plenarias, ocurre luego de que el ponente presente su informe</w:t>
      </w:r>
      <w:r w:rsidRPr="003E425B">
        <w:rPr>
          <w:rFonts w:ascii="Times New Roman" w:hAnsi="Times New Roman"/>
          <w:sz w:val="28"/>
        </w:rPr>
        <w:t xml:space="preserve"> (…)”.</w:t>
      </w:r>
      <w:r w:rsidRPr="003E425B">
        <w:rPr>
          <w:rFonts w:ascii="Times New Roman" w:hAnsi="Times New Roman"/>
          <w:sz w:val="28"/>
        </w:rPr>
        <w:t xml:space="preserve"> A diferencia de lo que ocurre en las comisiones constitucionales permanentes –en donde no se exige la aprobación del informe cuando éste termina con la proposición </w:t>
      </w:r>
      <w:r w:rsidRPr="003E425B">
        <w:rPr>
          <w:rFonts w:ascii="Times New Roman" w:hAnsi="Times New Roman"/>
          <w:sz w:val="28"/>
        </w:rPr>
        <w:t>‘</w:t>
      </w:r>
      <w:r w:rsidRPr="003E425B">
        <w:rPr>
          <w:rFonts w:ascii="Times New Roman" w:hAnsi="Times New Roman"/>
          <w:sz w:val="28"/>
        </w:rPr>
        <w:t>Dése primer debate</w:t>
      </w:r>
      <w:r w:rsidRPr="003E425B">
        <w:rPr>
          <w:rFonts w:ascii="Times New Roman" w:hAnsi="Times New Roman"/>
          <w:sz w:val="28"/>
        </w:rPr>
        <w:t>’</w:t>
      </w:r>
      <w:r w:rsidRPr="003E425B">
        <w:rPr>
          <w:rFonts w:ascii="Times New Roman" w:hAnsi="Times New Roman"/>
          <w:sz w:val="28"/>
        </w:rPr>
        <w:t>-</w:t>
      </w:r>
      <w:r w:rsidRPr="003E425B">
        <w:rPr>
          <w:rFonts w:ascii="Times New Roman" w:hAnsi="Times New Roman"/>
          <w:sz w:val="28"/>
        </w:rPr>
        <w:t>,</w:t>
      </w:r>
      <w:r w:rsidRPr="003E425B">
        <w:rPr>
          <w:rFonts w:ascii="Times New Roman" w:hAnsi="Times New Roman"/>
          <w:sz w:val="28"/>
        </w:rPr>
        <w:t xml:space="preserve"> el artículo 176 de la Ley 5ª de 1992</w:t>
      </w:r>
      <w:r w:rsidRPr="003E425B">
        <w:rPr>
          <w:rFonts w:ascii="Times New Roman" w:hAnsi="Times New Roman"/>
          <w:sz w:val="28"/>
        </w:rPr>
        <w:t xml:space="preserve"> </w:t>
      </w:r>
      <w:r w:rsidRPr="003E425B">
        <w:rPr>
          <w:rFonts w:ascii="Times New Roman" w:hAnsi="Times New Roman"/>
          <w:sz w:val="28"/>
        </w:rPr>
        <w:t>supone siempre la aprobac</w:t>
      </w:r>
      <w:r w:rsidRPr="003E425B">
        <w:rPr>
          <w:rFonts w:ascii="Times New Roman" w:hAnsi="Times New Roman"/>
          <w:sz w:val="28"/>
        </w:rPr>
        <w:t>ión del informe como condición previa a la iniciación del debate (artículo 176, Ley 5ª de 1992)</w:t>
      </w:r>
      <w:r w:rsidRPr="003E425B">
        <w:rPr>
          <w:rFonts w:ascii="Times New Roman" w:hAnsi="Times New Roman"/>
          <w:sz w:val="28"/>
        </w:rPr>
        <w:t>”</w:t>
      </w:r>
      <w:r w:rsidRPr="003E425B">
        <w:rPr>
          <w:rStyle w:val="Refdenotaalpie"/>
          <w:rFonts w:ascii="Times New Roman" w:hAnsi="Times New Roman"/>
          <w:sz w:val="28"/>
        </w:rPr>
        <w:footnoteReference w:id="96"/>
      </w:r>
      <w:r w:rsidRPr="003E425B">
        <w:rPr>
          <w:rFonts w:ascii="Times New Roman" w:hAnsi="Times New Roman"/>
          <w:sz w:val="28"/>
        </w:rPr>
        <w:t>. Si la plenaria aprueba el informe, se procede al debate global del proyecto, salvo que se solicite la discusión separada de algunos de los artículos del proy</w:t>
      </w:r>
      <w:r w:rsidRPr="003E425B">
        <w:rPr>
          <w:rFonts w:ascii="Times New Roman" w:hAnsi="Times New Roman"/>
          <w:sz w:val="28"/>
        </w:rPr>
        <w:t>ecto (artículo 176, inciso 2 Ley 5ª de 1992). Finalizado el debate y aprobado el texto del proyecto de ley, el ponente debe elaborar un informe que será remitido a la otra cámara (artículo 182, Ley 5ª de 1992).</w:t>
      </w:r>
    </w:p>
    <w:p w:rsidR="00223823" w:rsidRPr="003E425B" w:rsidRDefault="003E425B" w:rsidP="00010108">
      <w:pPr>
        <w:rPr>
          <w:rFonts w:ascii="Times New Roman" w:hAnsi="Times New Roman" w:cs="Times New Roman"/>
          <w:sz w:val="28"/>
        </w:rPr>
      </w:pPr>
    </w:p>
    <w:p w:rsidR="00FB4130" w:rsidRPr="003E425B" w:rsidRDefault="003E425B" w:rsidP="00487508">
      <w:pPr>
        <w:pStyle w:val="Ttulo2"/>
        <w:numPr>
          <w:ilvl w:val="2"/>
          <w:numId w:val="14"/>
        </w:numPr>
        <w:ind w:left="851" w:hanging="851"/>
        <w:rPr>
          <w:rFonts w:ascii="Times New Roman" w:hAnsi="Times New Roman" w:cs="Times New Roman"/>
          <w:sz w:val="28"/>
        </w:rPr>
      </w:pPr>
      <w:r w:rsidRPr="003E425B">
        <w:rPr>
          <w:rFonts w:ascii="Times New Roman" w:hAnsi="Times New Roman" w:cs="Times New Roman"/>
          <w:sz w:val="28"/>
        </w:rPr>
        <w:t>Reglas de quórum, votación y mayorías deciso</w:t>
      </w:r>
      <w:r w:rsidRPr="003E425B">
        <w:rPr>
          <w:rFonts w:ascii="Times New Roman" w:hAnsi="Times New Roman" w:cs="Times New Roman"/>
          <w:sz w:val="28"/>
        </w:rPr>
        <w:t xml:space="preserve">rias para la aprobación del informe de ponencia en las comisiones constitucionales permanentes. Reiteración de jurisprudencia </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aprobación de los informes de ponencia en las comisiones constitucionales permanentes </w:t>
      </w:r>
      <w:r w:rsidRPr="003E425B">
        <w:rPr>
          <w:rFonts w:ascii="Times New Roman" w:hAnsi="Times New Roman"/>
          <w:sz w:val="28"/>
        </w:rPr>
        <w:t xml:space="preserve">y plenarias </w:t>
      </w:r>
      <w:r w:rsidRPr="003E425B">
        <w:rPr>
          <w:rFonts w:ascii="Times New Roman" w:hAnsi="Times New Roman"/>
          <w:sz w:val="28"/>
        </w:rPr>
        <w:t>está sujeta a las reglas de</w:t>
      </w:r>
      <w:r w:rsidRPr="003E425B">
        <w:rPr>
          <w:rFonts w:ascii="Times New Roman" w:hAnsi="Times New Roman"/>
          <w:sz w:val="28"/>
        </w:rPr>
        <w:t xml:space="preserve"> quórum, modo de votación y mayorías decisorias previstas en la Constitución y la Ley 5ª de 1992</w:t>
      </w:r>
      <w:r w:rsidRPr="003E425B">
        <w:rPr>
          <w:rFonts w:ascii="Times New Roman" w:hAnsi="Times New Roman"/>
          <w:sz w:val="28"/>
          <w:vertAlign w:val="superscript"/>
        </w:rPr>
        <w:footnoteReference w:id="97"/>
      </w:r>
      <w:r w:rsidRPr="003E425B">
        <w:rPr>
          <w:rFonts w:ascii="Times New Roman" w:hAnsi="Times New Roman"/>
          <w:sz w:val="28"/>
        </w:rPr>
        <w:t xml:space="preserve">. Por esta razón, en aquellos casos en los que el informe de ponencia es debatido y votado, para poder darse por aprobado se debe constatar el cumplimiento de </w:t>
      </w:r>
      <w:r w:rsidRPr="003E425B">
        <w:rPr>
          <w:rFonts w:ascii="Times New Roman" w:hAnsi="Times New Roman"/>
          <w:sz w:val="28"/>
        </w:rPr>
        <w:t xml:space="preserve">estas reglas. A continuación, la Sala sintetiza estas reglas con especial énfasis en aquellas que son relevantes para resolver el cargo formulado por los demandantes.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487508">
      <w:pPr>
        <w:pStyle w:val="Ttulo4"/>
        <w:numPr>
          <w:ilvl w:val="0"/>
          <w:numId w:val="17"/>
        </w:numPr>
        <w:ind w:hanging="436"/>
        <w:rPr>
          <w:rFonts w:ascii="Times New Roman" w:hAnsi="Times New Roman" w:cs="Times New Roman"/>
          <w:sz w:val="28"/>
        </w:rPr>
      </w:pPr>
      <w:r w:rsidRPr="003E425B">
        <w:rPr>
          <w:rFonts w:ascii="Times New Roman" w:hAnsi="Times New Roman" w:cs="Times New Roman"/>
          <w:sz w:val="28"/>
        </w:rPr>
        <w:t xml:space="preserve">El quórum deliberatorio y decisorio en el procedimiento legislativo </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 w:val="left" w:pos="7230"/>
        </w:tabs>
        <w:spacing w:line="240" w:lineRule="auto"/>
        <w:ind w:left="0" w:firstLine="0"/>
        <w:rPr>
          <w:rFonts w:ascii="Times New Roman" w:hAnsi="Times New Roman"/>
          <w:sz w:val="28"/>
        </w:rPr>
      </w:pPr>
      <w:r w:rsidRPr="003E425B">
        <w:rPr>
          <w:rFonts w:ascii="Times New Roman" w:hAnsi="Times New Roman"/>
          <w:sz w:val="28"/>
          <w:lang w:val="es-ES_tradnl"/>
        </w:rPr>
        <w:t xml:space="preserve">El artículo 116 de la Ley 5ª de 1992 define el quórum como “el número mínimo de miembros asistentes que se requieren en las Corporaciones legislativas para poder deliberar o decidir”. Existen dos tipos de quórum: deliberatorio y decisorio. El </w:t>
      </w:r>
      <w:r w:rsidRPr="003E425B">
        <w:rPr>
          <w:rFonts w:ascii="Times New Roman" w:hAnsi="Times New Roman"/>
          <w:i/>
          <w:iCs/>
          <w:sz w:val="28"/>
          <w:lang w:val="es-ES_tradnl"/>
        </w:rPr>
        <w:t>quórum delibe</w:t>
      </w:r>
      <w:r w:rsidRPr="003E425B">
        <w:rPr>
          <w:rFonts w:ascii="Times New Roman" w:hAnsi="Times New Roman"/>
          <w:i/>
          <w:iCs/>
          <w:sz w:val="28"/>
          <w:lang w:val="es-ES_tradnl"/>
        </w:rPr>
        <w:t>ratorio</w:t>
      </w:r>
      <w:r w:rsidRPr="003E425B">
        <w:rPr>
          <w:rFonts w:ascii="Times New Roman" w:hAnsi="Times New Roman"/>
          <w:sz w:val="28"/>
          <w:lang w:val="es-ES_tradnl"/>
        </w:rPr>
        <w:t xml:space="preserve"> es el número mínimo de miembros que la Constitución y la ley exigen para deliberar. Al respecto, el </w:t>
      </w:r>
      <w:r w:rsidRPr="003E425B">
        <w:rPr>
          <w:rFonts w:ascii="Times New Roman" w:hAnsi="Times New Roman"/>
          <w:sz w:val="28"/>
        </w:rPr>
        <w:t>artículo 145 de la Constitución Política dispone que “[e]</w:t>
      </w:r>
      <w:r w:rsidRPr="003E425B">
        <w:rPr>
          <w:rFonts w:ascii="Times New Roman" w:hAnsi="Times New Roman"/>
          <w:sz w:val="28"/>
          <w:lang w:val="es-ES_tradnl"/>
        </w:rPr>
        <w:t>l Congreso pleno, las Cámaras y sus comisiones no podrán abrir sesiones ni deliberar con me</w:t>
      </w:r>
      <w:r w:rsidRPr="003E425B">
        <w:rPr>
          <w:rFonts w:ascii="Times New Roman" w:hAnsi="Times New Roman"/>
          <w:sz w:val="28"/>
          <w:lang w:val="es-ES_tradnl"/>
        </w:rPr>
        <w:t xml:space="preserve">nos de una cuarta parte de sus miembros”. El </w:t>
      </w:r>
      <w:r w:rsidRPr="003E425B">
        <w:rPr>
          <w:rFonts w:ascii="Times New Roman" w:hAnsi="Times New Roman"/>
          <w:i/>
          <w:iCs/>
          <w:sz w:val="28"/>
          <w:lang w:val="es-ES_tradnl"/>
        </w:rPr>
        <w:t>quórum decisorio</w:t>
      </w:r>
      <w:r w:rsidRPr="003E425B">
        <w:rPr>
          <w:rFonts w:ascii="Times New Roman" w:hAnsi="Times New Roman"/>
          <w:sz w:val="28"/>
          <w:lang w:val="es-ES_tradnl"/>
        </w:rPr>
        <w:t>, por su parte,</w:t>
      </w:r>
      <w:r w:rsidRPr="003E425B">
        <w:rPr>
          <w:rFonts w:ascii="Times New Roman" w:hAnsi="Times New Roman"/>
          <w:i/>
          <w:iCs/>
          <w:sz w:val="28"/>
          <w:lang w:val="es-ES_tradnl"/>
        </w:rPr>
        <w:t xml:space="preserve"> </w:t>
      </w:r>
      <w:r w:rsidRPr="003E425B">
        <w:rPr>
          <w:rFonts w:ascii="Times New Roman" w:hAnsi="Times New Roman"/>
          <w:sz w:val="28"/>
          <w:lang w:val="es-ES_tradnl"/>
        </w:rPr>
        <w:t xml:space="preserve">es el número mínimo de miembros </w:t>
      </w:r>
      <w:r w:rsidRPr="003E425B">
        <w:rPr>
          <w:rFonts w:ascii="Times New Roman" w:hAnsi="Times New Roman"/>
          <w:sz w:val="28"/>
          <w:lang w:val="es-ES_tradnl"/>
        </w:rPr>
        <w:t>necesario</w:t>
      </w:r>
      <w:r w:rsidRPr="003E425B">
        <w:rPr>
          <w:rFonts w:ascii="Times New Roman" w:hAnsi="Times New Roman"/>
          <w:sz w:val="28"/>
          <w:lang w:val="es-ES_tradnl"/>
        </w:rPr>
        <w:t xml:space="preserve"> para poder decidir y votar. El artículo 145 de la Constitución dispone que “[l]as decisiones sólo podrán tomarse con la asistencia de la </w:t>
      </w:r>
      <w:r w:rsidRPr="003E425B">
        <w:rPr>
          <w:rFonts w:ascii="Times New Roman" w:hAnsi="Times New Roman"/>
          <w:sz w:val="28"/>
          <w:lang w:val="es-ES_tradnl"/>
        </w:rPr>
        <w:t>mayoría de los integrantes de la respectiva corporación, salvo que la Constitución determine un quórum diferente”. El artículo 142 de la Carta Política, por su parte, aclara que en los casos en que las comisiones sesionen conjuntamente, el quórum decisorio</w:t>
      </w:r>
      <w:r w:rsidRPr="003E425B">
        <w:rPr>
          <w:rFonts w:ascii="Times New Roman" w:hAnsi="Times New Roman"/>
          <w:sz w:val="28"/>
          <w:lang w:val="es-ES_tradnl"/>
        </w:rPr>
        <w:t xml:space="preserve"> “será el que se requiera para cada una de las comisiones individualmente consideradas”</w:t>
      </w:r>
      <w:r w:rsidRPr="003E425B">
        <w:rPr>
          <w:rFonts w:ascii="Times New Roman" w:hAnsi="Times New Roman"/>
          <w:sz w:val="28"/>
          <w:vertAlign w:val="superscript"/>
          <w:lang w:val="es-ES_tradnl"/>
        </w:rPr>
        <w:footnoteReference w:id="98"/>
      </w:r>
      <w:r w:rsidRPr="003E425B">
        <w:rPr>
          <w:rFonts w:ascii="Times New Roman" w:hAnsi="Times New Roman"/>
          <w:sz w:val="28"/>
          <w:lang w:val="es-ES_tradnl"/>
        </w:rPr>
        <w:t>.</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En tales términos, </w:t>
      </w:r>
      <w:r w:rsidRPr="003E425B">
        <w:rPr>
          <w:rFonts w:ascii="Times New Roman" w:hAnsi="Times New Roman"/>
          <w:sz w:val="28"/>
          <w:lang w:val="es-ES_tradnl"/>
        </w:rPr>
        <w:t>el quórum decisorio “corresponde a la mitad más uno de los integrantes habilitados de cada corporación o comisión, quienes deben estar presentes d</w:t>
      </w:r>
      <w:r w:rsidRPr="003E425B">
        <w:rPr>
          <w:rFonts w:ascii="Times New Roman" w:hAnsi="Times New Roman"/>
          <w:sz w:val="28"/>
          <w:lang w:val="es-ES_tradnl"/>
        </w:rPr>
        <w:t>urante todo el proceso de votación para manifestar su voluntad y resolver válidamente sobre cualquier asunto sometido a su estudio”</w:t>
      </w:r>
      <w:r w:rsidRPr="003E425B">
        <w:rPr>
          <w:rStyle w:val="Refdenotaalpie"/>
          <w:rFonts w:ascii="Times New Roman" w:hAnsi="Times New Roman"/>
          <w:sz w:val="28"/>
          <w:lang w:val="es-ES_tradnl"/>
        </w:rPr>
        <w:footnoteReference w:id="99"/>
      </w:r>
      <w:r w:rsidRPr="003E425B">
        <w:rPr>
          <w:rFonts w:ascii="Times New Roman" w:hAnsi="Times New Roman"/>
          <w:sz w:val="28"/>
          <w:lang w:val="es-ES_tradnl"/>
        </w:rPr>
        <w:t xml:space="preserve">. </w:t>
      </w:r>
      <w:r w:rsidRPr="003E425B">
        <w:rPr>
          <w:rFonts w:ascii="Times New Roman" w:hAnsi="Times New Roman"/>
          <w:sz w:val="28"/>
          <w:lang w:val="es-ES_tradnl"/>
        </w:rPr>
        <w:t>De acuerdo con la jurisprudencia constitucional, s</w:t>
      </w:r>
      <w:r w:rsidRPr="003E425B">
        <w:rPr>
          <w:rFonts w:ascii="Times New Roman" w:hAnsi="Times New Roman"/>
          <w:sz w:val="28"/>
          <w:lang w:val="es-ES_tradnl"/>
        </w:rPr>
        <w:t>ólo es posible adoptar decisiones “cuando se ha establecido y certificad</w:t>
      </w:r>
      <w:r w:rsidRPr="003E425B">
        <w:rPr>
          <w:rFonts w:ascii="Times New Roman" w:hAnsi="Times New Roman"/>
          <w:sz w:val="28"/>
          <w:lang w:val="es-ES_tradnl"/>
        </w:rPr>
        <w:t>o con claridad el quórum decisorio, independientemente de la modalidad de votación que se emplee”</w:t>
      </w:r>
      <w:r w:rsidRPr="003E425B">
        <w:rPr>
          <w:rStyle w:val="Refdenotaalpie"/>
          <w:rFonts w:ascii="Times New Roman" w:hAnsi="Times New Roman"/>
          <w:sz w:val="28"/>
          <w:lang w:val="es-ES_tradnl"/>
        </w:rPr>
        <w:footnoteReference w:id="100"/>
      </w:r>
      <w:r w:rsidRPr="003E425B">
        <w:rPr>
          <w:rFonts w:ascii="Times New Roman" w:hAnsi="Times New Roman"/>
          <w:sz w:val="28"/>
          <w:lang w:val="es-ES_tradnl"/>
        </w:rPr>
        <w:t>. </w:t>
      </w:r>
    </w:p>
    <w:p w:rsidR="00FB4130" w:rsidRPr="003E425B" w:rsidRDefault="003E425B" w:rsidP="00010108">
      <w:pPr>
        <w:pStyle w:val="Prrafodelista"/>
        <w:spacing w:line="240" w:lineRule="auto"/>
        <w:rPr>
          <w:rFonts w:ascii="Times New Roman" w:hAnsi="Times New Roman"/>
          <w:sz w:val="28"/>
        </w:rPr>
      </w:pPr>
    </w:p>
    <w:p w:rsidR="00FB4130" w:rsidRPr="003E425B" w:rsidRDefault="003E425B" w:rsidP="000C6CC6">
      <w:pPr>
        <w:pStyle w:val="Ttulo4"/>
        <w:numPr>
          <w:ilvl w:val="0"/>
          <w:numId w:val="18"/>
        </w:numPr>
        <w:ind w:left="993" w:hanging="633"/>
        <w:rPr>
          <w:rFonts w:ascii="Times New Roman" w:hAnsi="Times New Roman" w:cs="Times New Roman"/>
          <w:sz w:val="28"/>
        </w:rPr>
      </w:pPr>
      <w:r w:rsidRPr="003E425B">
        <w:rPr>
          <w:rFonts w:ascii="Times New Roman" w:hAnsi="Times New Roman" w:cs="Times New Roman"/>
          <w:sz w:val="28"/>
        </w:rPr>
        <w:t xml:space="preserve">Las formas de votación en el procedimiento legislativo </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La votación “es un acto colectivo por medio del cual las Cámaras y sus Comisiones declaran su vol</w:t>
      </w:r>
      <w:r w:rsidRPr="003E425B">
        <w:rPr>
          <w:rFonts w:ascii="Times New Roman" w:hAnsi="Times New Roman"/>
          <w:sz w:val="28"/>
          <w:lang w:val="es-ES_tradnl"/>
        </w:rPr>
        <w:t>untad acerca de una iniciativa o un asunto de interés general”</w:t>
      </w:r>
      <w:r w:rsidRPr="003E425B">
        <w:rPr>
          <w:rStyle w:val="Refdenotaalpie"/>
          <w:rFonts w:ascii="Times New Roman" w:hAnsi="Times New Roman"/>
          <w:sz w:val="28"/>
          <w:lang w:val="es-ES_tradnl"/>
        </w:rPr>
        <w:footnoteReference w:id="101"/>
      </w:r>
      <w:r w:rsidRPr="003E425B">
        <w:rPr>
          <w:rFonts w:ascii="Times New Roman" w:hAnsi="Times New Roman"/>
          <w:sz w:val="28"/>
          <w:lang w:val="es-ES_tradnl"/>
        </w:rPr>
        <w:t xml:space="preserve">. </w:t>
      </w:r>
      <w:r w:rsidRPr="003E425B">
        <w:rPr>
          <w:rFonts w:ascii="Times New Roman" w:hAnsi="Times New Roman"/>
          <w:sz w:val="28"/>
        </w:rPr>
        <w:t>De acuerdo con el artículo 128 de la Ley 5ª de 1992, existen tres tipos o modos de votación: nominal, ordinaria y secreta</w:t>
      </w:r>
      <w:r w:rsidRPr="003E425B">
        <w:rPr>
          <w:rStyle w:val="Refdenotaalpie"/>
          <w:rFonts w:ascii="Times New Roman" w:eastAsiaTheme="majorEastAsia" w:hAnsi="Times New Roman"/>
          <w:sz w:val="28"/>
          <w:lang w:val="es-ES"/>
        </w:rPr>
        <w:footnoteReference w:id="102"/>
      </w:r>
      <w:r w:rsidRPr="003E425B">
        <w:rPr>
          <w:rFonts w:ascii="Times New Roman" w:hAnsi="Times New Roman"/>
          <w:sz w:val="28"/>
        </w:rPr>
        <w:t xml:space="preserve">. La </w:t>
      </w:r>
      <w:r w:rsidRPr="003E425B">
        <w:rPr>
          <w:rFonts w:ascii="Times New Roman" w:hAnsi="Times New Roman"/>
          <w:i/>
          <w:iCs/>
          <w:sz w:val="28"/>
        </w:rPr>
        <w:t>votación nominal</w:t>
      </w:r>
      <w:r w:rsidRPr="003E425B">
        <w:rPr>
          <w:rFonts w:ascii="Times New Roman" w:hAnsi="Times New Roman"/>
          <w:sz w:val="28"/>
        </w:rPr>
        <w:t xml:space="preserve"> es pública y permite individualizar el sentido </w:t>
      </w:r>
      <w:r w:rsidRPr="003E425B">
        <w:rPr>
          <w:rFonts w:ascii="Times New Roman" w:hAnsi="Times New Roman"/>
          <w:sz w:val="28"/>
        </w:rPr>
        <w:t>del voto de cada Congresista</w:t>
      </w:r>
      <w:r w:rsidRPr="003E425B">
        <w:rPr>
          <w:rStyle w:val="Refdenotaalpie"/>
          <w:rFonts w:ascii="Times New Roman" w:eastAsiaTheme="majorEastAsia" w:hAnsi="Times New Roman"/>
          <w:sz w:val="28"/>
          <w:lang w:val="es-ES"/>
        </w:rPr>
        <w:footnoteReference w:id="103"/>
      </w:r>
      <w:r w:rsidRPr="003E425B">
        <w:rPr>
          <w:rFonts w:ascii="Times New Roman" w:hAnsi="Times New Roman"/>
          <w:sz w:val="28"/>
        </w:rPr>
        <w:t xml:space="preserve">. La </w:t>
      </w:r>
      <w:r w:rsidRPr="003E425B">
        <w:rPr>
          <w:rFonts w:ascii="Times New Roman" w:hAnsi="Times New Roman"/>
          <w:i/>
          <w:iCs/>
          <w:sz w:val="28"/>
        </w:rPr>
        <w:t>votación ordinaria</w:t>
      </w:r>
      <w:r w:rsidRPr="003E425B">
        <w:rPr>
          <w:rFonts w:ascii="Times New Roman" w:hAnsi="Times New Roman"/>
          <w:sz w:val="28"/>
        </w:rPr>
        <w:t>, por su parte, “se efectúa dando los Congresistas, con la mano, un golpe sobre el pupitre”</w:t>
      </w:r>
      <w:r w:rsidRPr="003E425B">
        <w:rPr>
          <w:rStyle w:val="Refdenotaalpie"/>
          <w:rFonts w:ascii="Times New Roman" w:eastAsiaTheme="majorEastAsia" w:hAnsi="Times New Roman"/>
          <w:sz w:val="28"/>
          <w:lang w:val="es-ES"/>
        </w:rPr>
        <w:footnoteReference w:id="104"/>
      </w:r>
      <w:r w:rsidRPr="003E425B">
        <w:rPr>
          <w:rFonts w:ascii="Times New Roman" w:hAnsi="Times New Roman"/>
          <w:sz w:val="28"/>
        </w:rPr>
        <w:t xml:space="preserve">. Por último, la </w:t>
      </w:r>
      <w:r w:rsidRPr="003E425B">
        <w:rPr>
          <w:rFonts w:ascii="Times New Roman" w:hAnsi="Times New Roman"/>
          <w:i/>
          <w:iCs/>
          <w:sz w:val="28"/>
        </w:rPr>
        <w:t>votación secreta</w:t>
      </w:r>
      <w:r w:rsidRPr="003E425B">
        <w:rPr>
          <w:rFonts w:ascii="Times New Roman" w:hAnsi="Times New Roman"/>
          <w:sz w:val="28"/>
        </w:rPr>
        <w:t xml:space="preserve"> es aquella que no permite identificar la forma como vota el Congresista y se r</w:t>
      </w:r>
      <w:r w:rsidRPr="003E425B">
        <w:rPr>
          <w:rFonts w:ascii="Times New Roman" w:hAnsi="Times New Roman"/>
          <w:sz w:val="28"/>
        </w:rPr>
        <w:t>eserva a asuntos muy específicos expresamente autorizados por la ley</w:t>
      </w:r>
      <w:r w:rsidRPr="003E425B">
        <w:rPr>
          <w:rStyle w:val="Refdenotaalpie"/>
          <w:rFonts w:ascii="Times New Roman" w:eastAsiaTheme="majorEastAsia" w:hAnsi="Times New Roman"/>
          <w:sz w:val="28"/>
          <w:lang w:val="es-ES"/>
        </w:rPr>
        <w:footnoteReference w:id="105"/>
      </w:r>
      <w:r w:rsidRPr="003E425B">
        <w:rPr>
          <w:rFonts w:ascii="Times New Roman" w:hAnsi="Times New Roman"/>
          <w:sz w:val="28"/>
        </w:rPr>
        <w:t>.</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La votación nominal y pública es el modo de votación que debe emplearse por regla general</w:t>
      </w:r>
      <w:r w:rsidRPr="003E425B">
        <w:rPr>
          <w:rStyle w:val="Refdenotaalpie"/>
          <w:rFonts w:ascii="Times New Roman" w:hAnsi="Times New Roman"/>
          <w:sz w:val="28"/>
          <w:lang w:val="es-ES_tradnl"/>
        </w:rPr>
        <w:footnoteReference w:id="106"/>
      </w:r>
      <w:r w:rsidRPr="003E425B">
        <w:rPr>
          <w:rFonts w:ascii="Times New Roman" w:hAnsi="Times New Roman"/>
          <w:sz w:val="28"/>
          <w:lang w:val="es-ES_tradnl"/>
        </w:rPr>
        <w:t>. En efecto, el artículo 133 de la Constitución Política establece que el voto de los miembros</w:t>
      </w:r>
      <w:r w:rsidRPr="003E425B">
        <w:rPr>
          <w:rFonts w:ascii="Times New Roman" w:hAnsi="Times New Roman"/>
          <w:sz w:val="28"/>
          <w:lang w:val="es-ES_tradnl"/>
        </w:rPr>
        <w:t xml:space="preserve"> de cuerpos colegiados de elección directa será nominal y público, “excepto en los casos que determine la ley”. Así mismo, el artículo 130 de la Ley 5ª de 1992 dispone que “como regla general, las votaciones serán nominales y públicas”. El constituyente in</w:t>
      </w:r>
      <w:r w:rsidRPr="003E425B">
        <w:rPr>
          <w:rFonts w:ascii="Times New Roman" w:hAnsi="Times New Roman"/>
          <w:sz w:val="28"/>
          <w:lang w:val="es-ES_tradnl"/>
        </w:rPr>
        <w:t>stituyó la votación nominal y pública como regla general con el propósito de “</w:t>
      </w:r>
      <w:r w:rsidRPr="003E425B">
        <w:rPr>
          <w:rFonts w:ascii="Times New Roman" w:hAnsi="Times New Roman"/>
          <w:sz w:val="28"/>
        </w:rPr>
        <w:t>profundiza[r] las bases democráticas del procedimiento legislativo”</w:t>
      </w:r>
      <w:r w:rsidRPr="003E425B">
        <w:rPr>
          <w:rStyle w:val="Refdenotaalpie"/>
          <w:rFonts w:ascii="Times New Roman" w:hAnsi="Times New Roman"/>
          <w:sz w:val="28"/>
        </w:rPr>
        <w:footnoteReference w:id="107"/>
      </w:r>
      <w:r w:rsidRPr="003E425B">
        <w:rPr>
          <w:rFonts w:ascii="Times New Roman" w:hAnsi="Times New Roman"/>
          <w:sz w:val="28"/>
        </w:rPr>
        <w:t xml:space="preserve">. Lo anterior, habida cuenta de que este tipo de votación, al permitir individualizar el voto, contribuye a </w:t>
      </w:r>
      <w:r w:rsidRPr="003E425B">
        <w:rPr>
          <w:rFonts w:ascii="Times New Roman" w:hAnsi="Times New Roman"/>
          <w:sz w:val="28"/>
        </w:rPr>
        <w:t>garantizar</w:t>
      </w:r>
      <w:r w:rsidRPr="003E425B">
        <w:rPr>
          <w:rFonts w:ascii="Times New Roman" w:hAnsi="Times New Roman"/>
          <w:sz w:val="28"/>
          <w:lang w:val="es-ES_tradnl"/>
        </w:rPr>
        <w:t xml:space="preserve"> los principios de publicidad y transparencia, fortalece el sistema de partidos y permite un mayor control de los electores sobre la gestión de los elegidos</w:t>
      </w:r>
      <w:r w:rsidRPr="003E425B">
        <w:rPr>
          <w:rStyle w:val="Refdenotaalpie"/>
          <w:rFonts w:ascii="Times New Roman" w:hAnsi="Times New Roman"/>
          <w:sz w:val="28"/>
          <w:lang w:val="es-ES_tradnl"/>
        </w:rPr>
        <w:footnoteReference w:id="108"/>
      </w:r>
      <w:r w:rsidRPr="003E425B">
        <w:rPr>
          <w:rFonts w:ascii="Times New Roman" w:hAnsi="Times New Roman"/>
          <w:sz w:val="28"/>
          <w:lang w:val="es-ES_tradnl"/>
        </w:rPr>
        <w:t xml:space="preserve">. </w:t>
      </w:r>
    </w:p>
    <w:p w:rsidR="00FB4130" w:rsidRPr="003E425B" w:rsidRDefault="003E425B" w:rsidP="00010108">
      <w:pPr>
        <w:pStyle w:val="Prrafodelista"/>
        <w:spacing w:line="240" w:lineRule="auto"/>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votación ordinaria, en contraste, es excepcional. </w:t>
      </w:r>
      <w:r w:rsidRPr="003E425B">
        <w:rPr>
          <w:rFonts w:ascii="Times New Roman" w:hAnsi="Times New Roman"/>
          <w:sz w:val="28"/>
          <w:lang w:val="es-ES_tradnl"/>
        </w:rPr>
        <w:t xml:space="preserve">El artículo 129 de la Ley 5ª de </w:t>
      </w:r>
      <w:r w:rsidRPr="003E425B">
        <w:rPr>
          <w:rFonts w:ascii="Times New Roman" w:hAnsi="Times New Roman"/>
          <w:sz w:val="28"/>
          <w:lang w:val="es-ES_tradnl"/>
        </w:rPr>
        <w:t xml:space="preserve">1992 enlista de forma taxativa los asuntos que pueden votarse de forma ordinaria. </w:t>
      </w:r>
      <w:r w:rsidRPr="003E425B">
        <w:rPr>
          <w:rFonts w:ascii="Times New Roman" w:hAnsi="Times New Roman"/>
          <w:sz w:val="28"/>
        </w:rPr>
        <w:t>La Corte Constitucional ha entendido que los supuestos en los que se admite la votación ordinaria deben ser interpretados de manera restrictiva, “a fin de evitar que tal meca</w:t>
      </w:r>
      <w:r w:rsidRPr="003E425B">
        <w:rPr>
          <w:rFonts w:ascii="Times New Roman" w:hAnsi="Times New Roman"/>
          <w:sz w:val="28"/>
        </w:rPr>
        <w:t>nismo se torne en la regla y, en aras de la celeridad del procedimiento, termine por relegar la votación nominal al lugar de la excepción”</w:t>
      </w:r>
      <w:r w:rsidRPr="003E425B">
        <w:rPr>
          <w:rStyle w:val="Refdenotaalpie"/>
          <w:rFonts w:ascii="Times New Roman" w:hAnsi="Times New Roman"/>
          <w:sz w:val="28"/>
          <w:lang w:val="es-ES_tradnl"/>
        </w:rPr>
        <w:footnoteReference w:id="109"/>
      </w:r>
      <w:r w:rsidRPr="003E425B">
        <w:rPr>
          <w:rFonts w:ascii="Times New Roman" w:hAnsi="Times New Roman"/>
          <w:sz w:val="28"/>
        </w:rPr>
        <w:t>. Una de las excepciones a la votación nominal y pública</w:t>
      </w:r>
      <w:r w:rsidRPr="003E425B">
        <w:rPr>
          <w:rFonts w:ascii="Times New Roman" w:hAnsi="Times New Roman"/>
          <w:color w:val="auto"/>
          <w:sz w:val="28"/>
          <w:lang w:val="es-ES_tradnl" w:eastAsia="es-ES_tradnl"/>
        </w:rPr>
        <w:t xml:space="preserve"> </w:t>
      </w:r>
      <w:r w:rsidRPr="003E425B">
        <w:rPr>
          <w:rFonts w:ascii="Times New Roman" w:hAnsi="Times New Roman"/>
          <w:sz w:val="28"/>
          <w:lang w:val="es-ES_tradnl"/>
        </w:rPr>
        <w:t>es la unanimidad</w:t>
      </w:r>
      <w:r w:rsidRPr="003E425B">
        <w:rPr>
          <w:rFonts w:ascii="Times New Roman" w:hAnsi="Times New Roman"/>
          <w:sz w:val="28"/>
        </w:rPr>
        <w:t xml:space="preserve">. Al respecto, el numeral 16 del </w:t>
      </w:r>
      <w:r w:rsidRPr="003E425B">
        <w:rPr>
          <w:rFonts w:ascii="Times New Roman" w:hAnsi="Times New Roman"/>
          <w:sz w:val="28"/>
          <w:lang w:val="es-ES_tradnl"/>
        </w:rPr>
        <w:t>artículo 12</w:t>
      </w:r>
      <w:r w:rsidRPr="003E425B">
        <w:rPr>
          <w:rFonts w:ascii="Times New Roman" w:hAnsi="Times New Roman"/>
          <w:sz w:val="28"/>
          <w:lang w:val="es-ES_tradnl"/>
        </w:rPr>
        <w:t xml:space="preserve">9 de la Ley 5ª de 1992 </w:t>
      </w:r>
      <w:r w:rsidRPr="003E425B">
        <w:rPr>
          <w:rFonts w:ascii="Times New Roman" w:hAnsi="Times New Roman"/>
          <w:sz w:val="28"/>
        </w:rPr>
        <w:t xml:space="preserve">dispone que no se requerirá votación nominal y pública y será procedente la votación ordinaria “cuando en el trámite de un proyecto de ley exista </w:t>
      </w:r>
      <w:r w:rsidRPr="003E425B">
        <w:rPr>
          <w:rFonts w:ascii="Times New Roman" w:hAnsi="Times New Roman"/>
          <w:i/>
          <w:iCs/>
          <w:sz w:val="28"/>
        </w:rPr>
        <w:t>unanimidad</w:t>
      </w:r>
      <w:r w:rsidRPr="003E425B">
        <w:rPr>
          <w:rFonts w:ascii="Times New Roman" w:hAnsi="Times New Roman"/>
          <w:sz w:val="28"/>
        </w:rPr>
        <w:t xml:space="preserve"> por parte de la respectiva comisión o plenaria para aprobar o negar todo o p</w:t>
      </w:r>
      <w:r w:rsidRPr="003E425B">
        <w:rPr>
          <w:rFonts w:ascii="Times New Roman" w:hAnsi="Times New Roman"/>
          <w:sz w:val="28"/>
        </w:rPr>
        <w:t xml:space="preserve">arte del articulado de un proyecto, a menos que esa forma de votación sea solicitada por alguno de sus miembros”. La Corte Constitucional ha precisado que existe unanimidad cuando se constata el “acuerdo entre todos los parlamentarios </w:t>
      </w:r>
      <w:r w:rsidRPr="003E425B">
        <w:rPr>
          <w:rFonts w:ascii="Times New Roman" w:hAnsi="Times New Roman"/>
          <w:sz w:val="28"/>
          <w:u w:val="single"/>
        </w:rPr>
        <w:t>presentes</w:t>
      </w:r>
      <w:r w:rsidRPr="003E425B">
        <w:rPr>
          <w:rFonts w:ascii="Times New Roman" w:hAnsi="Times New Roman"/>
          <w:sz w:val="28"/>
        </w:rPr>
        <w:t xml:space="preserve"> para dar o </w:t>
      </w:r>
      <w:r w:rsidRPr="003E425B">
        <w:rPr>
          <w:rFonts w:ascii="Times New Roman" w:hAnsi="Times New Roman"/>
          <w:sz w:val="28"/>
        </w:rPr>
        <w:t>no trámite a la iniciativa, al igual que aprobar o hundir el proyecto sometido a su consideración”</w:t>
      </w:r>
      <w:r w:rsidRPr="003E425B">
        <w:rPr>
          <w:rStyle w:val="Refdenotaalpie"/>
          <w:rFonts w:ascii="Times New Roman" w:eastAsiaTheme="majorEastAsia" w:hAnsi="Times New Roman"/>
          <w:sz w:val="28"/>
          <w:lang w:val="es-ES"/>
        </w:rPr>
        <w:footnoteReference w:id="110"/>
      </w:r>
      <w:r w:rsidRPr="003E425B">
        <w:rPr>
          <w:rFonts w:ascii="Times New Roman" w:hAnsi="Times New Roman"/>
          <w:sz w:val="28"/>
        </w:rPr>
        <w:t xml:space="preserve"> (subrayado fuera del texto). En estos casos, la ley habilita optar por el método de </w:t>
      </w:r>
      <w:r w:rsidRPr="003E425B">
        <w:rPr>
          <w:rFonts w:ascii="Times New Roman" w:hAnsi="Times New Roman"/>
          <w:iCs/>
          <w:sz w:val="28"/>
        </w:rPr>
        <w:t>votación ordinaria para imprimir</w:t>
      </w:r>
      <w:r w:rsidRPr="003E425B">
        <w:rPr>
          <w:rFonts w:ascii="Times New Roman" w:hAnsi="Times New Roman"/>
          <w:sz w:val="28"/>
        </w:rPr>
        <w:t xml:space="preserve"> celeridad en los procedimientos</w:t>
      </w:r>
      <w:r w:rsidRPr="003E425B">
        <w:rPr>
          <w:rStyle w:val="Refdenotaalpie"/>
          <w:rFonts w:ascii="Times New Roman" w:hAnsi="Times New Roman"/>
          <w:sz w:val="28"/>
          <w:lang w:val="es-ES"/>
        </w:rPr>
        <w:footnoteReference w:id="111"/>
      </w:r>
      <w:r w:rsidRPr="003E425B">
        <w:rPr>
          <w:rFonts w:ascii="Times New Roman" w:hAnsi="Times New Roman"/>
          <w:sz w:val="28"/>
        </w:rPr>
        <w:t xml:space="preserve">. </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En </w:t>
      </w:r>
      <w:r w:rsidRPr="003E425B">
        <w:rPr>
          <w:rFonts w:ascii="Times New Roman" w:hAnsi="Times New Roman"/>
          <w:sz w:val="28"/>
        </w:rPr>
        <w:t xml:space="preserve">virtud del principio de interpretación restrictiva de las excepciones a la votación nominal y pública, la “unanimidad </w:t>
      </w:r>
      <w:r w:rsidRPr="003E425B">
        <w:rPr>
          <w:rFonts w:ascii="Times New Roman" w:hAnsi="Times New Roman"/>
          <w:sz w:val="28"/>
          <w:lang w:val="es-ES_tradnl"/>
        </w:rPr>
        <w:t>no puede presumirse, sino que debe en todo caso probarse o inferirse de manera razonable de las circunstancias en las que se desarrolló el</w:t>
      </w:r>
      <w:r w:rsidRPr="003E425B">
        <w:rPr>
          <w:rFonts w:ascii="Times New Roman" w:hAnsi="Times New Roman"/>
          <w:sz w:val="28"/>
          <w:lang w:val="es-ES_tradnl"/>
        </w:rPr>
        <w:t xml:space="preserve"> debate parlamentario”</w:t>
      </w:r>
      <w:r w:rsidRPr="003E425B">
        <w:rPr>
          <w:rStyle w:val="Refdenotaalpie"/>
          <w:rFonts w:ascii="Times New Roman" w:hAnsi="Times New Roman"/>
          <w:sz w:val="28"/>
        </w:rPr>
        <w:footnoteReference w:id="112"/>
      </w:r>
      <w:r w:rsidRPr="003E425B">
        <w:rPr>
          <w:rFonts w:ascii="Times New Roman" w:hAnsi="Times New Roman"/>
          <w:sz w:val="28"/>
          <w:lang w:val="es-ES_tradnl"/>
        </w:rPr>
        <w:t xml:space="preserve">. La Corte Constitucional </w:t>
      </w:r>
      <w:r w:rsidRPr="003E425B">
        <w:rPr>
          <w:rFonts w:ascii="Times New Roman" w:hAnsi="Times New Roman"/>
          <w:sz w:val="28"/>
        </w:rPr>
        <w:t>ha identificado principalmente tres indicadores que permiten inferir razonablemente la unanimidad y, en consecuencia, habilitan la votación ordinaria</w:t>
      </w:r>
      <w:r w:rsidRPr="003E425B">
        <w:rPr>
          <w:rStyle w:val="Refdenotaalpie"/>
          <w:rFonts w:ascii="Times New Roman" w:hAnsi="Times New Roman"/>
          <w:sz w:val="28"/>
          <w:lang w:val="es-ES"/>
        </w:rPr>
        <w:footnoteReference w:id="113"/>
      </w:r>
      <w:r w:rsidRPr="003E425B">
        <w:rPr>
          <w:rFonts w:ascii="Times New Roman" w:hAnsi="Times New Roman"/>
          <w:sz w:val="28"/>
        </w:rPr>
        <w:t>. Primero, la constancia expresa e inequívoca de unanimid</w:t>
      </w:r>
      <w:r w:rsidRPr="003E425B">
        <w:rPr>
          <w:rFonts w:ascii="Times New Roman" w:hAnsi="Times New Roman"/>
          <w:sz w:val="28"/>
        </w:rPr>
        <w:t xml:space="preserve">ad al declarar el resultado de la votación. Esta constancia puede consignarse “en </w:t>
      </w:r>
      <w:r w:rsidRPr="003E425B">
        <w:rPr>
          <w:rFonts w:ascii="Times New Roman" w:hAnsi="Times New Roman"/>
          <w:iCs/>
          <w:sz w:val="28"/>
        </w:rPr>
        <w:t>el acta de sesión o en alguno de los demás medios probatorios que registra lo ocurrido durante la votación”</w:t>
      </w:r>
      <w:r w:rsidRPr="003E425B">
        <w:rPr>
          <w:rFonts w:ascii="Times New Roman" w:hAnsi="Times New Roman"/>
          <w:iCs/>
          <w:sz w:val="28"/>
          <w:vertAlign w:val="superscript"/>
        </w:rPr>
        <w:footnoteReference w:id="114"/>
      </w:r>
      <w:r w:rsidRPr="003E425B">
        <w:rPr>
          <w:rFonts w:ascii="Times New Roman" w:hAnsi="Times New Roman"/>
          <w:sz w:val="28"/>
        </w:rPr>
        <w:t>. Segundo, la existencia de “manifestaciones indicativas de unanim</w:t>
      </w:r>
      <w:r w:rsidRPr="003E425B">
        <w:rPr>
          <w:rFonts w:ascii="Times New Roman" w:hAnsi="Times New Roman"/>
          <w:sz w:val="28"/>
        </w:rPr>
        <w:t>idad”</w:t>
      </w:r>
      <w:r w:rsidRPr="003E425B">
        <w:rPr>
          <w:rStyle w:val="Refdenotaalpie"/>
          <w:rFonts w:ascii="Times New Roman" w:hAnsi="Times New Roman"/>
          <w:sz w:val="28"/>
          <w:lang w:val="es-ES"/>
        </w:rPr>
        <w:footnoteReference w:id="115"/>
      </w:r>
      <w:r w:rsidRPr="003E425B">
        <w:rPr>
          <w:rFonts w:ascii="Times New Roman" w:hAnsi="Times New Roman"/>
          <w:sz w:val="28"/>
        </w:rPr>
        <w:t xml:space="preserve"> </w:t>
      </w:r>
      <w:r w:rsidRPr="003E425B">
        <w:rPr>
          <w:rFonts w:ascii="Times New Roman" w:hAnsi="Times New Roman"/>
          <w:iCs/>
          <w:sz w:val="28"/>
        </w:rPr>
        <w:t xml:space="preserve">en el curso de los debates. Esto, ocurre, por ejemplo, cuando </w:t>
      </w:r>
      <w:r w:rsidRPr="003E425B">
        <w:rPr>
          <w:rFonts w:ascii="Times New Roman" w:hAnsi="Times New Roman"/>
          <w:i/>
          <w:sz w:val="28"/>
        </w:rPr>
        <w:t>(i)</w:t>
      </w:r>
      <w:r w:rsidRPr="003E425B">
        <w:rPr>
          <w:rFonts w:ascii="Times New Roman" w:hAnsi="Times New Roman"/>
          <w:iCs/>
          <w:sz w:val="28"/>
        </w:rPr>
        <w:t xml:space="preserve"> los informes de ponencia hayan sido favorables o </w:t>
      </w:r>
      <w:r w:rsidRPr="003E425B">
        <w:rPr>
          <w:rFonts w:ascii="Times New Roman" w:hAnsi="Times New Roman"/>
          <w:i/>
          <w:sz w:val="28"/>
        </w:rPr>
        <w:t>(ii)</w:t>
      </w:r>
      <w:r w:rsidRPr="003E425B">
        <w:rPr>
          <w:rFonts w:ascii="Times New Roman" w:hAnsi="Times New Roman"/>
          <w:iCs/>
          <w:sz w:val="28"/>
        </w:rPr>
        <w:t xml:space="preserve"> se aprueba omitir la lectura del articulado. Tercero, </w:t>
      </w:r>
      <w:r w:rsidRPr="003E425B">
        <w:rPr>
          <w:rFonts w:ascii="Times New Roman" w:hAnsi="Times New Roman"/>
          <w:iCs/>
          <w:sz w:val="28"/>
        </w:rPr>
        <w:t xml:space="preserve">se constata que </w:t>
      </w:r>
      <w:r w:rsidRPr="003E425B">
        <w:rPr>
          <w:rFonts w:ascii="Times New Roman" w:hAnsi="Times New Roman"/>
          <w:iCs/>
          <w:sz w:val="28"/>
        </w:rPr>
        <w:t>no existen “</w:t>
      </w:r>
      <w:r w:rsidRPr="003E425B">
        <w:rPr>
          <w:rFonts w:ascii="Times New Roman" w:hAnsi="Times New Roman"/>
          <w:iCs/>
          <w:sz w:val="28"/>
          <w:lang w:val="es-ES_tradnl"/>
        </w:rPr>
        <w:t>posiciones contrarias a la aprobación del proye</w:t>
      </w:r>
      <w:r w:rsidRPr="003E425B">
        <w:rPr>
          <w:rFonts w:ascii="Times New Roman" w:hAnsi="Times New Roman"/>
          <w:iCs/>
          <w:sz w:val="28"/>
          <w:lang w:val="es-ES_tradnl"/>
        </w:rPr>
        <w:t>cto”</w:t>
      </w:r>
      <w:r w:rsidRPr="003E425B">
        <w:rPr>
          <w:rFonts w:ascii="Times New Roman" w:hAnsi="Times New Roman"/>
          <w:iCs/>
          <w:sz w:val="28"/>
          <w:vertAlign w:val="superscript"/>
          <w:lang w:val="es-ES_tradnl"/>
        </w:rPr>
        <w:footnoteReference w:id="116"/>
      </w:r>
      <w:r w:rsidRPr="003E425B">
        <w:rPr>
          <w:rFonts w:ascii="Times New Roman" w:hAnsi="Times New Roman"/>
          <w:iCs/>
          <w:sz w:val="28"/>
          <w:lang w:val="es-ES_tradnl"/>
        </w:rPr>
        <w:t xml:space="preserve"> y </w:t>
      </w:r>
      <w:r w:rsidRPr="003E425B">
        <w:rPr>
          <w:rFonts w:ascii="Times New Roman" w:hAnsi="Times New Roman"/>
          <w:iCs/>
          <w:sz w:val="28"/>
        </w:rPr>
        <w:t>ninguno de los integrantes de la plenaria o comisión solicita la votación nominal y pública, antes de la aprobación del informe, artículo, proposición, etc.</w:t>
      </w:r>
      <w:r w:rsidRPr="003E425B">
        <w:rPr>
          <w:rStyle w:val="Refdenotaalpie"/>
          <w:rFonts w:ascii="Times New Roman" w:eastAsiaTheme="majorEastAsia" w:hAnsi="Times New Roman"/>
          <w:iCs/>
          <w:sz w:val="28"/>
          <w:lang w:val="es-ES"/>
        </w:rPr>
        <w:footnoteReference w:id="117"/>
      </w:r>
      <w:r w:rsidRPr="003E425B">
        <w:rPr>
          <w:rFonts w:ascii="Times New Roman" w:hAnsi="Times New Roman"/>
          <w:sz w:val="28"/>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bookmarkStart w:id="18" w:name="_Ref165376685"/>
      <w:r w:rsidRPr="003E425B">
        <w:rPr>
          <w:rFonts w:ascii="Times New Roman" w:hAnsi="Times New Roman"/>
          <w:sz w:val="28"/>
        </w:rPr>
        <w:t xml:space="preserve">En contraste, la Corte Constitucional ha sostenido que la unanimidad se desvirtúa cuando, entre otras: </w:t>
      </w:r>
      <w:r w:rsidRPr="003E425B">
        <w:rPr>
          <w:rFonts w:ascii="Times New Roman" w:hAnsi="Times New Roman"/>
          <w:i/>
          <w:iCs/>
          <w:sz w:val="28"/>
        </w:rPr>
        <w:t>(i)</w:t>
      </w:r>
      <w:r w:rsidRPr="003E425B">
        <w:rPr>
          <w:rFonts w:ascii="Times New Roman" w:hAnsi="Times New Roman"/>
          <w:sz w:val="28"/>
        </w:rPr>
        <w:t xml:space="preserve"> “se presentan manifestaciones expresas de oposición al proyecto”, </w:t>
      </w:r>
      <w:r w:rsidRPr="003E425B">
        <w:rPr>
          <w:rFonts w:ascii="Times New Roman" w:hAnsi="Times New Roman"/>
          <w:i/>
          <w:iCs/>
          <w:sz w:val="28"/>
        </w:rPr>
        <w:t>(ii)</w:t>
      </w:r>
      <w:r w:rsidRPr="003E425B">
        <w:rPr>
          <w:rFonts w:ascii="Times New Roman" w:hAnsi="Times New Roman"/>
          <w:sz w:val="28"/>
        </w:rPr>
        <w:t xml:space="preserve"> alguno o varios de los congresistas solicitan que la votación se realice acudi</w:t>
      </w:r>
      <w:r w:rsidRPr="003E425B">
        <w:rPr>
          <w:rFonts w:ascii="Times New Roman" w:hAnsi="Times New Roman"/>
          <w:sz w:val="28"/>
        </w:rPr>
        <w:t xml:space="preserve">endo a la regla general de </w:t>
      </w:r>
      <w:r w:rsidRPr="003E425B">
        <w:rPr>
          <w:rFonts w:ascii="Times New Roman" w:hAnsi="Times New Roman"/>
          <w:iCs/>
          <w:sz w:val="28"/>
        </w:rPr>
        <w:t>votación nominal y pública</w:t>
      </w:r>
      <w:r w:rsidRPr="003E425B">
        <w:rPr>
          <w:rFonts w:ascii="Times New Roman" w:hAnsi="Times New Roman"/>
          <w:sz w:val="28"/>
        </w:rPr>
        <w:t xml:space="preserve"> o </w:t>
      </w:r>
      <w:r w:rsidRPr="003E425B">
        <w:rPr>
          <w:rFonts w:ascii="Times New Roman" w:hAnsi="Times New Roman"/>
          <w:i/>
          <w:iCs/>
          <w:sz w:val="28"/>
        </w:rPr>
        <w:t>(iii)</w:t>
      </w:r>
      <w:r w:rsidRPr="003E425B">
        <w:rPr>
          <w:rFonts w:ascii="Times New Roman" w:hAnsi="Times New Roman"/>
          <w:sz w:val="28"/>
        </w:rPr>
        <w:t xml:space="preserve"> alguno o varios de los parlamentarios “dejan constancia de voto negativo frente al debate estructural de la iniciativa legislativa”</w:t>
      </w:r>
      <w:r w:rsidRPr="003E425B">
        <w:rPr>
          <w:rStyle w:val="Refdenotaalpie"/>
          <w:rFonts w:ascii="Times New Roman" w:eastAsiaTheme="majorEastAsia" w:hAnsi="Times New Roman"/>
          <w:sz w:val="28"/>
          <w:lang w:val="es-ES"/>
        </w:rPr>
        <w:footnoteReference w:id="118"/>
      </w:r>
      <w:r w:rsidRPr="003E425B">
        <w:rPr>
          <w:rFonts w:ascii="Times New Roman" w:hAnsi="Times New Roman"/>
          <w:sz w:val="28"/>
        </w:rPr>
        <w:t>. En todo caso, para desvirtuar la unanimidad, estas manifesta</w:t>
      </w:r>
      <w:r w:rsidRPr="003E425B">
        <w:rPr>
          <w:rFonts w:ascii="Times New Roman" w:hAnsi="Times New Roman"/>
          <w:sz w:val="28"/>
        </w:rPr>
        <w:t xml:space="preserve">ciones y constancias deben hacerse </w:t>
      </w:r>
      <w:r w:rsidRPr="003E425B">
        <w:rPr>
          <w:rFonts w:ascii="Times New Roman" w:hAnsi="Times New Roman"/>
          <w:i/>
          <w:iCs/>
          <w:sz w:val="28"/>
        </w:rPr>
        <w:t>antes</w:t>
      </w:r>
      <w:r w:rsidRPr="003E425B">
        <w:rPr>
          <w:rFonts w:ascii="Times New Roman" w:hAnsi="Times New Roman"/>
          <w:sz w:val="28"/>
        </w:rPr>
        <w:t xml:space="preserve"> de que se efectué la votación.</w:t>
      </w:r>
      <w:r w:rsidRPr="003E425B">
        <w:rPr>
          <w:rFonts w:ascii="Times New Roman" w:hAnsi="Times New Roman"/>
          <w:i/>
          <w:iCs/>
          <w:sz w:val="28"/>
          <w:lang w:val="es-ES_tradnl"/>
        </w:rPr>
        <w:t xml:space="preserve"> </w:t>
      </w:r>
      <w:r w:rsidRPr="003E425B">
        <w:rPr>
          <w:rFonts w:ascii="Times New Roman" w:hAnsi="Times New Roman"/>
          <w:sz w:val="28"/>
          <w:lang w:val="es-ES_tradnl"/>
        </w:rPr>
        <w:t>En consecuencia, ha dicho la Corte, “la votación ordinaria en la aprobación de los proyectos de ley será válida si no se manifiesta, con anticipación a la misma, la solicitud de que se</w:t>
      </w:r>
      <w:r w:rsidRPr="003E425B">
        <w:rPr>
          <w:rFonts w:ascii="Times New Roman" w:hAnsi="Times New Roman"/>
          <w:sz w:val="28"/>
          <w:lang w:val="es-ES_tradnl"/>
        </w:rPr>
        <w:t xml:space="preserve"> vote mediante votación nominal y pública, y solo con posterioridad a la culminación de la votación y aprobación, se deja constancia expresa y pública del voto negativo de algunos congresistas”</w:t>
      </w:r>
      <w:r w:rsidRPr="003E425B">
        <w:rPr>
          <w:rStyle w:val="Refdenotaalpie"/>
          <w:rFonts w:ascii="Times New Roman" w:hAnsi="Times New Roman"/>
          <w:sz w:val="28"/>
        </w:rPr>
        <w:footnoteReference w:id="119"/>
      </w:r>
      <w:r w:rsidRPr="003E425B">
        <w:rPr>
          <w:rFonts w:ascii="Times New Roman" w:hAnsi="Times New Roman"/>
          <w:sz w:val="28"/>
          <w:lang w:val="es-ES_tradnl"/>
        </w:rPr>
        <w:t>.</w:t>
      </w:r>
      <w:bookmarkEnd w:id="18"/>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487508">
      <w:pPr>
        <w:pStyle w:val="Ttulo4"/>
        <w:numPr>
          <w:ilvl w:val="0"/>
          <w:numId w:val="18"/>
        </w:numPr>
        <w:ind w:left="567" w:hanging="207"/>
        <w:rPr>
          <w:rFonts w:ascii="Times New Roman" w:hAnsi="Times New Roman" w:cs="Times New Roman"/>
          <w:sz w:val="28"/>
        </w:rPr>
      </w:pPr>
      <w:r w:rsidRPr="003E425B">
        <w:rPr>
          <w:rFonts w:ascii="Times New Roman" w:hAnsi="Times New Roman" w:cs="Times New Roman"/>
          <w:sz w:val="28"/>
        </w:rPr>
        <w:t xml:space="preserve">Las mayorías decisorias </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La mayoría decisoria es el número</w:t>
      </w:r>
      <w:r w:rsidRPr="003E425B">
        <w:rPr>
          <w:rFonts w:ascii="Times New Roman" w:hAnsi="Times New Roman"/>
          <w:sz w:val="28"/>
        </w:rPr>
        <w:t xml:space="preserve"> mínimo de votos que la Constitución y la ley exigen para aprobar una decisión legislativa</w:t>
      </w:r>
      <w:r w:rsidRPr="003E425B">
        <w:rPr>
          <w:rStyle w:val="Refdenotaalpie"/>
          <w:rFonts w:ascii="Times New Roman" w:hAnsi="Times New Roman"/>
          <w:sz w:val="28"/>
          <w:lang w:val="es-ES"/>
        </w:rPr>
        <w:footnoteReference w:id="120"/>
      </w:r>
      <w:r w:rsidRPr="003E425B">
        <w:rPr>
          <w:rFonts w:ascii="Times New Roman" w:hAnsi="Times New Roman"/>
          <w:sz w:val="28"/>
        </w:rPr>
        <w:t xml:space="preserve">. El artículo 117 de la Ley 5ª de 1993 dispone que </w:t>
      </w:r>
      <w:r w:rsidRPr="003E425B">
        <w:rPr>
          <w:rFonts w:ascii="Times New Roman" w:hAnsi="Times New Roman"/>
          <w:sz w:val="28"/>
          <w:lang w:val="es-ES_tradnl"/>
        </w:rPr>
        <w:t xml:space="preserve">establecer el quórum decisorio es un presupuesto para acreditar la mayoría requerida. Así mismo, prevé que </w:t>
      </w:r>
      <w:r w:rsidRPr="003E425B">
        <w:rPr>
          <w:rFonts w:ascii="Times New Roman" w:hAnsi="Times New Roman"/>
          <w:sz w:val="28"/>
        </w:rPr>
        <w:t>existen</w:t>
      </w:r>
      <w:r w:rsidRPr="003E425B">
        <w:rPr>
          <w:rFonts w:ascii="Times New Roman" w:hAnsi="Times New Roman"/>
          <w:sz w:val="28"/>
        </w:rPr>
        <w:t xml:space="preserve"> cuatro tipos de mayoría decisoria</w:t>
      </w:r>
      <w:r w:rsidRPr="003E425B">
        <w:rPr>
          <w:rFonts w:ascii="Times New Roman" w:hAnsi="Times New Roman"/>
          <w:sz w:val="28"/>
          <w:vertAlign w:val="superscript"/>
        </w:rPr>
        <w:footnoteReference w:id="121"/>
      </w:r>
      <w:r w:rsidRPr="003E425B">
        <w:rPr>
          <w:rFonts w:ascii="Times New Roman" w:hAnsi="Times New Roman"/>
          <w:sz w:val="28"/>
        </w:rPr>
        <w:t>: simple, absoluta, calificada y especial</w:t>
      </w:r>
      <w:r w:rsidRPr="003E425B">
        <w:rPr>
          <w:rFonts w:ascii="Times New Roman" w:hAnsi="Times New Roman"/>
          <w:sz w:val="28"/>
          <w:lang w:val="es-ES_tradnl"/>
        </w:rPr>
        <w:t>.</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w:t>
      </w:r>
      <w:r w:rsidRPr="003E425B">
        <w:rPr>
          <w:rFonts w:ascii="Times New Roman" w:hAnsi="Times New Roman"/>
          <w:i/>
          <w:iCs/>
          <w:sz w:val="28"/>
        </w:rPr>
        <w:t>mayoría simple</w:t>
      </w:r>
      <w:r w:rsidRPr="003E425B">
        <w:rPr>
          <w:rFonts w:ascii="Times New Roman" w:hAnsi="Times New Roman"/>
          <w:sz w:val="28"/>
        </w:rPr>
        <w:t xml:space="preserve"> exige que las decisiones sean tomadas por el número entero superior a la mitad de los asistentes</w:t>
      </w:r>
      <w:r w:rsidRPr="003E425B">
        <w:rPr>
          <w:rStyle w:val="Refdenotaalpie"/>
          <w:rFonts w:ascii="Times New Roman" w:hAnsi="Times New Roman"/>
          <w:sz w:val="28"/>
        </w:rPr>
        <w:footnoteReference w:id="122"/>
      </w:r>
      <w:r w:rsidRPr="003E425B">
        <w:rPr>
          <w:rFonts w:ascii="Times New Roman" w:hAnsi="Times New Roman"/>
          <w:sz w:val="28"/>
        </w:rPr>
        <w:t xml:space="preserve">. </w:t>
      </w:r>
      <w:r w:rsidRPr="003E425B">
        <w:rPr>
          <w:rFonts w:ascii="Times New Roman" w:hAnsi="Times New Roman"/>
          <w:sz w:val="28"/>
          <w:lang w:val="es-ES_tradnl"/>
        </w:rPr>
        <w:t>El artículo 146 de la Constitución</w:t>
      </w:r>
      <w:r w:rsidRPr="003E425B">
        <w:rPr>
          <w:rFonts w:ascii="Times New Roman" w:hAnsi="Times New Roman"/>
          <w:i/>
          <w:iCs/>
          <w:sz w:val="28"/>
          <w:lang w:val="es-ES_tradnl"/>
        </w:rPr>
        <w:t xml:space="preserve"> </w:t>
      </w:r>
      <w:r w:rsidRPr="003E425B">
        <w:rPr>
          <w:rFonts w:ascii="Times New Roman" w:hAnsi="Times New Roman"/>
          <w:sz w:val="28"/>
          <w:lang w:val="es-ES_tradnl"/>
        </w:rPr>
        <w:t>establece que “en el Cong</w:t>
      </w:r>
      <w:r w:rsidRPr="003E425B">
        <w:rPr>
          <w:rFonts w:ascii="Times New Roman" w:hAnsi="Times New Roman"/>
          <w:sz w:val="28"/>
          <w:lang w:val="es-ES_tradnl"/>
        </w:rPr>
        <w:t xml:space="preserve">reso pleno, en las Cámaras y en sus comisiones permanentes, las decisiones se tomarán por la mayoría de los votos de los asistentes, salvo que la Constitución exija expresamente una mayoría especial”. En tales términos, la Corte Constitucional ha señalado </w:t>
      </w:r>
      <w:r w:rsidRPr="003E425B">
        <w:rPr>
          <w:rFonts w:ascii="Times New Roman" w:hAnsi="Times New Roman"/>
          <w:sz w:val="28"/>
          <w:lang w:val="es-ES_tradnl"/>
        </w:rPr>
        <w:t xml:space="preserve">que, por regla general, las decisiones se adoptan por mayoría simple, </w:t>
      </w:r>
      <w:r w:rsidRPr="003E425B">
        <w:rPr>
          <w:rFonts w:ascii="Times New Roman" w:hAnsi="Times New Roman"/>
          <w:sz w:val="28"/>
        </w:rPr>
        <w:t>salvo que la Constitución exija expresamente una mayoría diferente</w:t>
      </w:r>
      <w:r w:rsidRPr="003E425B">
        <w:rPr>
          <w:rStyle w:val="Refdenotaalpie"/>
          <w:rFonts w:ascii="Times New Roman" w:eastAsiaTheme="majorEastAsia" w:hAnsi="Times New Roman"/>
          <w:sz w:val="28"/>
          <w:lang w:val="es-ES"/>
        </w:rPr>
        <w:footnoteReference w:id="123"/>
      </w:r>
      <w:r w:rsidRPr="003E425B">
        <w:rPr>
          <w:rFonts w:ascii="Times New Roman" w:hAnsi="Times New Roman"/>
          <w:sz w:val="28"/>
        </w:rPr>
        <w:t xml:space="preserve">. La </w:t>
      </w:r>
      <w:r w:rsidRPr="003E425B">
        <w:rPr>
          <w:rFonts w:ascii="Times New Roman" w:hAnsi="Times New Roman"/>
          <w:i/>
          <w:iCs/>
          <w:sz w:val="28"/>
        </w:rPr>
        <w:t>mayoría absoluta</w:t>
      </w:r>
      <w:r w:rsidRPr="003E425B">
        <w:rPr>
          <w:rFonts w:ascii="Times New Roman" w:hAnsi="Times New Roman"/>
          <w:sz w:val="28"/>
        </w:rPr>
        <w:t>, por su parte, exige que la decisión sea adoptada por el número entero superior a la mitad de los</w:t>
      </w:r>
      <w:r w:rsidRPr="003E425B">
        <w:rPr>
          <w:rFonts w:ascii="Times New Roman" w:hAnsi="Times New Roman"/>
          <w:sz w:val="28"/>
        </w:rPr>
        <w:t xml:space="preserve"> integrantes de la corporación</w:t>
      </w:r>
      <w:r w:rsidRPr="003E425B">
        <w:rPr>
          <w:rFonts w:ascii="Times New Roman" w:hAnsi="Times New Roman"/>
          <w:sz w:val="28"/>
          <w:vertAlign w:val="superscript"/>
        </w:rPr>
        <w:footnoteReference w:id="124"/>
      </w:r>
      <w:r w:rsidRPr="003E425B">
        <w:rPr>
          <w:rFonts w:ascii="Times New Roman" w:hAnsi="Times New Roman"/>
          <w:sz w:val="28"/>
        </w:rPr>
        <w:t xml:space="preserve">. De otro lado, la </w:t>
      </w:r>
      <w:r w:rsidRPr="003E425B">
        <w:rPr>
          <w:rFonts w:ascii="Times New Roman" w:hAnsi="Times New Roman"/>
          <w:i/>
          <w:iCs/>
          <w:sz w:val="28"/>
        </w:rPr>
        <w:t>mayoría calificada</w:t>
      </w:r>
      <w:r w:rsidRPr="003E425B">
        <w:rPr>
          <w:rFonts w:ascii="Times New Roman" w:hAnsi="Times New Roman"/>
          <w:sz w:val="28"/>
        </w:rPr>
        <w:t xml:space="preserve"> exige que </w:t>
      </w:r>
      <w:r w:rsidRPr="003E425B">
        <w:rPr>
          <w:rFonts w:ascii="Times New Roman" w:hAnsi="Times New Roman"/>
          <w:sz w:val="28"/>
          <w:lang w:val="es-ES_tradnl"/>
        </w:rPr>
        <w:t>las decisiones se tomen “por los dos tercios de los votos de los asistentes o de los miembros”</w:t>
      </w:r>
      <w:r w:rsidRPr="003E425B">
        <w:rPr>
          <w:rFonts w:ascii="Times New Roman" w:hAnsi="Times New Roman"/>
          <w:sz w:val="28"/>
          <w:vertAlign w:val="superscript"/>
        </w:rPr>
        <w:footnoteReference w:id="125"/>
      </w:r>
      <w:r w:rsidRPr="003E425B">
        <w:rPr>
          <w:rFonts w:ascii="Times New Roman" w:hAnsi="Times New Roman"/>
          <w:sz w:val="28"/>
          <w:lang w:val="es-ES_tradnl"/>
        </w:rPr>
        <w:t xml:space="preserve">. Por último, la </w:t>
      </w:r>
      <w:r w:rsidRPr="003E425B">
        <w:rPr>
          <w:rFonts w:ascii="Times New Roman" w:hAnsi="Times New Roman"/>
          <w:i/>
          <w:iCs/>
          <w:sz w:val="28"/>
          <w:lang w:val="es-ES_tradnl"/>
        </w:rPr>
        <w:t xml:space="preserve">mayoría especial </w:t>
      </w:r>
      <w:r w:rsidRPr="003E425B">
        <w:rPr>
          <w:rFonts w:ascii="Times New Roman" w:hAnsi="Times New Roman"/>
          <w:sz w:val="28"/>
          <w:lang w:val="es-ES_tradnl"/>
        </w:rPr>
        <w:t xml:space="preserve">es aquella “[r]epresentada por las tres cuartas </w:t>
      </w:r>
      <w:r w:rsidRPr="003E425B">
        <w:rPr>
          <w:rFonts w:ascii="Times New Roman" w:hAnsi="Times New Roman"/>
          <w:sz w:val="28"/>
          <w:lang w:val="es-ES_tradnl"/>
        </w:rPr>
        <w:t>partes de los votos de los miembros o integrantes”</w:t>
      </w:r>
      <w:r w:rsidRPr="003E425B">
        <w:rPr>
          <w:rFonts w:ascii="Times New Roman" w:hAnsi="Times New Roman"/>
          <w:sz w:val="28"/>
          <w:vertAlign w:val="superscript"/>
          <w:lang w:val="es-ES_tradnl"/>
        </w:rPr>
        <w:footnoteReference w:id="126"/>
      </w:r>
      <w:r w:rsidRPr="003E425B">
        <w:rPr>
          <w:rFonts w:ascii="Times New Roman" w:hAnsi="Times New Roman"/>
          <w:sz w:val="28"/>
          <w:lang w:val="es-ES_tradnl"/>
        </w:rPr>
        <w:t>.</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El artículo 119 de la Ley 5ª de 1992</w:t>
      </w:r>
      <w:r w:rsidRPr="003E425B">
        <w:rPr>
          <w:rStyle w:val="Refdenotaalpie"/>
          <w:rFonts w:ascii="Times New Roman" w:eastAsiaTheme="majorEastAsia" w:hAnsi="Times New Roman"/>
          <w:sz w:val="28"/>
          <w:lang w:val="es-ES"/>
        </w:rPr>
        <w:footnoteReference w:id="127"/>
      </w:r>
      <w:r w:rsidRPr="003E425B">
        <w:rPr>
          <w:rFonts w:ascii="Times New Roman" w:hAnsi="Times New Roman"/>
          <w:sz w:val="28"/>
        </w:rPr>
        <w:t xml:space="preserve"> enlista los trámites que requieren mayoría absoluta para su aprobación. La Sala Plena resalta que, en concordancia con el numeral 10º del artículo 150 de la Constit</w:t>
      </w:r>
      <w:r w:rsidRPr="003E425B">
        <w:rPr>
          <w:rFonts w:ascii="Times New Roman" w:hAnsi="Times New Roman"/>
          <w:sz w:val="28"/>
        </w:rPr>
        <w:t>ución, el numeral 2º del artículo 119 de la Ley 5ª de 1992 prevé que se requiere mayoría absoluta para la aprobación de leyes que concedan facultades extraordinarias al Presidente de la República</w:t>
      </w:r>
      <w:r w:rsidRPr="003E425B">
        <w:rPr>
          <w:rStyle w:val="Refdenotaalpie"/>
          <w:rFonts w:ascii="Times New Roman" w:eastAsiaTheme="majorEastAsia" w:hAnsi="Times New Roman"/>
          <w:sz w:val="28"/>
          <w:lang w:val="es-ES"/>
        </w:rPr>
        <w:footnoteReference w:id="128"/>
      </w:r>
      <w:r w:rsidRPr="003E425B">
        <w:rPr>
          <w:rFonts w:ascii="Times New Roman" w:hAnsi="Times New Roman"/>
          <w:sz w:val="28"/>
        </w:rPr>
        <w:t xml:space="preserve">. </w:t>
      </w:r>
    </w:p>
    <w:p w:rsidR="00FB4130" w:rsidRPr="003E425B" w:rsidRDefault="003E425B" w:rsidP="00010108">
      <w:pPr>
        <w:pStyle w:val="Prrafodelista"/>
        <w:spacing w:line="240" w:lineRule="auto"/>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votación de una iniciativa que debe ser aprobada por </w:t>
      </w:r>
      <w:r w:rsidRPr="003E425B">
        <w:rPr>
          <w:rFonts w:ascii="Times New Roman" w:hAnsi="Times New Roman"/>
          <w:sz w:val="28"/>
        </w:rPr>
        <w:t>mayoría absoluta puede llevarse a</w:t>
      </w:r>
      <w:r w:rsidRPr="003E425B">
        <w:rPr>
          <w:rFonts w:ascii="Times New Roman" w:hAnsi="Times New Roman"/>
          <w:sz w:val="28"/>
        </w:rPr>
        <w:t xml:space="preserve"> </w:t>
      </w:r>
      <w:r w:rsidRPr="003E425B">
        <w:rPr>
          <w:rFonts w:ascii="Times New Roman" w:hAnsi="Times New Roman"/>
          <w:sz w:val="28"/>
        </w:rPr>
        <w:t>cabo de modo nominal u ordinario</w:t>
      </w:r>
      <w:r w:rsidRPr="003E425B">
        <w:rPr>
          <w:rFonts w:ascii="Times New Roman" w:hAnsi="Times New Roman"/>
          <w:sz w:val="28"/>
          <w:vertAlign w:val="superscript"/>
        </w:rPr>
        <w:footnoteReference w:id="129"/>
      </w:r>
      <w:r w:rsidRPr="003E425B">
        <w:rPr>
          <w:rFonts w:ascii="Times New Roman" w:hAnsi="Times New Roman"/>
          <w:sz w:val="28"/>
        </w:rPr>
        <w:t xml:space="preserve">. La votación nominal permite identificar el sentido del voto de cada uno de los congresistas y de esta manera constatar fácilmente si se reunieron la mayoría de los votos. Sin embargo, la </w:t>
      </w:r>
      <w:r w:rsidRPr="003E425B">
        <w:rPr>
          <w:rFonts w:ascii="Times New Roman" w:hAnsi="Times New Roman"/>
          <w:sz w:val="28"/>
        </w:rPr>
        <w:t>Corte Constitucional ha sostenido que la mayoría absoluta no sólo es verificable mediante votación nominal</w:t>
      </w:r>
      <w:r w:rsidRPr="003E425B">
        <w:rPr>
          <w:rFonts w:ascii="Times New Roman" w:hAnsi="Times New Roman"/>
          <w:sz w:val="28"/>
          <w:vertAlign w:val="superscript"/>
        </w:rPr>
        <w:footnoteReference w:id="130"/>
      </w:r>
      <w:r w:rsidRPr="003E425B">
        <w:rPr>
          <w:rFonts w:ascii="Times New Roman" w:hAnsi="Times New Roman"/>
          <w:sz w:val="28"/>
        </w:rPr>
        <w:t>. Por el contrario, ha admitido que la mayoría absoluta se acredite mediante una votación ordinaria si se constata que la votación ordinaria era proc</w:t>
      </w:r>
      <w:r w:rsidRPr="003E425B">
        <w:rPr>
          <w:rFonts w:ascii="Times New Roman" w:hAnsi="Times New Roman"/>
          <w:sz w:val="28"/>
        </w:rPr>
        <w:t>edente conforme a alguna de las causales previstas en el artículo 129 de la Ley 5ª de 1992.</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C6CC6">
      <w:pPr>
        <w:pStyle w:val="Ttulo4"/>
        <w:numPr>
          <w:ilvl w:val="0"/>
          <w:numId w:val="16"/>
        </w:numPr>
        <w:rPr>
          <w:rFonts w:ascii="Times New Roman" w:hAnsi="Times New Roman" w:cs="Times New Roman"/>
          <w:sz w:val="28"/>
        </w:rPr>
      </w:pPr>
      <w:r w:rsidRPr="003E425B">
        <w:rPr>
          <w:rFonts w:ascii="Times New Roman" w:hAnsi="Times New Roman" w:cs="Times New Roman"/>
          <w:sz w:val="28"/>
        </w:rPr>
        <w:t>La prueba del quórum y las mayorías decisorias</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color w:val="auto"/>
          <w:sz w:val="28"/>
          <w:lang w:eastAsia="es-ES_tradnl"/>
        </w:rPr>
        <w:t>El cumplimiento de las reglas sobre quórum y mayorías decisorias en la aprobación de las decisiones legislativas no</w:t>
      </w:r>
      <w:r w:rsidRPr="003E425B">
        <w:rPr>
          <w:rFonts w:ascii="Times New Roman" w:hAnsi="Times New Roman"/>
          <w:color w:val="auto"/>
          <w:sz w:val="28"/>
          <w:lang w:eastAsia="es-ES_tradnl"/>
        </w:rPr>
        <w:t xml:space="preserve"> se presume, debe probarse</w:t>
      </w:r>
      <w:r w:rsidRPr="003E425B">
        <w:rPr>
          <w:rFonts w:ascii="Times New Roman" w:hAnsi="Times New Roman"/>
          <w:color w:val="auto"/>
          <w:sz w:val="28"/>
          <w:vertAlign w:val="superscript"/>
          <w:lang w:val="x-none" w:eastAsia="es-ES_tradnl"/>
        </w:rPr>
        <w:footnoteReference w:id="131"/>
      </w:r>
      <w:r w:rsidRPr="003E425B">
        <w:rPr>
          <w:rFonts w:ascii="Times New Roman" w:hAnsi="Times New Roman"/>
          <w:color w:val="auto"/>
          <w:sz w:val="28"/>
          <w:lang w:val="es-ES_tradnl" w:eastAsia="es-ES_tradnl"/>
        </w:rPr>
        <w:t>. De acuerdo con la Ley 5ª de 1992 y la jurisprudencia constitucional</w:t>
      </w:r>
      <w:r w:rsidRPr="003E425B">
        <w:rPr>
          <w:rFonts w:ascii="Times New Roman" w:hAnsi="Times New Roman"/>
          <w:sz w:val="28"/>
          <w:vertAlign w:val="superscript"/>
          <w:lang w:val="es-ES_tradnl"/>
        </w:rPr>
        <w:footnoteReference w:id="132"/>
      </w:r>
      <w:r w:rsidRPr="003E425B">
        <w:rPr>
          <w:rFonts w:ascii="Times New Roman" w:hAnsi="Times New Roman"/>
          <w:color w:val="auto"/>
          <w:sz w:val="28"/>
          <w:szCs w:val="24"/>
          <w:lang w:val="es-ES_tradnl" w:eastAsia="es-ES_tradnl"/>
        </w:rPr>
        <w:t xml:space="preserve">, </w:t>
      </w:r>
      <w:r w:rsidRPr="003E425B">
        <w:rPr>
          <w:rFonts w:ascii="Times New Roman" w:hAnsi="Times New Roman"/>
          <w:iCs/>
          <w:sz w:val="28"/>
          <w:lang w:val="es-ES_tradnl"/>
        </w:rPr>
        <w:t xml:space="preserve">los principales medios de prueba para demostrar su cumplimiento son </w:t>
      </w:r>
      <w:r w:rsidRPr="003E425B">
        <w:rPr>
          <w:rFonts w:ascii="Times New Roman" w:hAnsi="Times New Roman"/>
          <w:i/>
          <w:sz w:val="28"/>
          <w:lang w:val="es-ES_tradnl"/>
        </w:rPr>
        <w:t>(i)</w:t>
      </w:r>
      <w:r w:rsidRPr="003E425B">
        <w:rPr>
          <w:rFonts w:ascii="Times New Roman" w:hAnsi="Times New Roman"/>
          <w:iCs/>
          <w:sz w:val="28"/>
          <w:lang w:val="es-ES_tradnl"/>
        </w:rPr>
        <w:t xml:space="preserve"> el acta de las sesiones que se publica en la Gaceta del Congreso (arts. 35 y 130 de l</w:t>
      </w:r>
      <w:r w:rsidRPr="003E425B">
        <w:rPr>
          <w:rFonts w:ascii="Times New Roman" w:hAnsi="Times New Roman"/>
          <w:iCs/>
          <w:sz w:val="28"/>
          <w:lang w:val="es-ES_tradnl"/>
        </w:rPr>
        <w:t>a Ley 5ª de 1992</w:t>
      </w:r>
      <w:r w:rsidRPr="003E425B">
        <w:rPr>
          <w:rStyle w:val="Refdenotaalpie"/>
          <w:rFonts w:ascii="Times New Roman" w:hAnsi="Times New Roman"/>
          <w:iCs/>
          <w:sz w:val="28"/>
        </w:rPr>
        <w:footnoteReference w:id="133"/>
      </w:r>
      <w:r w:rsidRPr="003E425B">
        <w:rPr>
          <w:rFonts w:ascii="Times New Roman" w:hAnsi="Times New Roman"/>
          <w:iCs/>
          <w:sz w:val="28"/>
          <w:lang w:val="es-ES_tradnl"/>
        </w:rPr>
        <w:t xml:space="preserve">) y </w:t>
      </w:r>
      <w:r w:rsidRPr="003E425B">
        <w:rPr>
          <w:rFonts w:ascii="Times New Roman" w:hAnsi="Times New Roman"/>
          <w:i/>
          <w:sz w:val="28"/>
          <w:lang w:val="es-ES_tradnl"/>
        </w:rPr>
        <w:t>(ii)</w:t>
      </w:r>
      <w:r w:rsidRPr="003E425B">
        <w:rPr>
          <w:rFonts w:ascii="Times New Roman" w:hAnsi="Times New Roman"/>
          <w:iCs/>
          <w:sz w:val="28"/>
          <w:lang w:val="es-ES_tradnl"/>
        </w:rPr>
        <w:t xml:space="preserve"> los certificados expedidos por la secretaría de cada comisión o plenaria</w:t>
      </w:r>
      <w:r w:rsidRPr="003E425B">
        <w:rPr>
          <w:rFonts w:ascii="Times New Roman" w:hAnsi="Times New Roman"/>
          <w:iCs/>
          <w:sz w:val="28"/>
          <w:vertAlign w:val="superscript"/>
          <w:lang w:val="es-ES_tradnl"/>
        </w:rPr>
        <w:footnoteReference w:id="134"/>
      </w:r>
      <w:r w:rsidRPr="003E425B">
        <w:rPr>
          <w:rFonts w:ascii="Times New Roman" w:hAnsi="Times New Roman"/>
          <w:iCs/>
          <w:sz w:val="28"/>
          <w:lang w:val="es-ES_tradnl"/>
        </w:rPr>
        <w:t xml:space="preserve"> (art. 47 de la Ley 5ª de 1992</w:t>
      </w:r>
      <w:r w:rsidRPr="003E425B">
        <w:rPr>
          <w:rStyle w:val="Refdenotaalpie"/>
          <w:rFonts w:ascii="Times New Roman" w:hAnsi="Times New Roman"/>
          <w:iCs/>
          <w:sz w:val="28"/>
        </w:rPr>
        <w:footnoteReference w:id="135"/>
      </w:r>
      <w:r w:rsidRPr="003E425B">
        <w:rPr>
          <w:rFonts w:ascii="Times New Roman" w:hAnsi="Times New Roman"/>
          <w:iCs/>
          <w:sz w:val="28"/>
          <w:lang w:val="es-ES_tradnl"/>
        </w:rPr>
        <w:t xml:space="preserve">). Las actas de las sesiones y certificados son los medios de prueba por excelencia debido a que el artículo 36 de la Ley 5ª </w:t>
      </w:r>
      <w:r w:rsidRPr="003E425B">
        <w:rPr>
          <w:rFonts w:ascii="Times New Roman" w:hAnsi="Times New Roman"/>
          <w:iCs/>
          <w:sz w:val="28"/>
          <w:lang w:val="es-ES_tradnl"/>
        </w:rPr>
        <w:t>de 1992 dispone que la Gaceta del Congreso, en la que se publican las actas luego de que son aprobadas por los congresistas, es el medio oficial escrito de publicidad de sus actos. Por su parte, conforme al artículo 47 de la misma ley, es función del secre</w:t>
      </w:r>
      <w:r w:rsidRPr="003E425B">
        <w:rPr>
          <w:rFonts w:ascii="Times New Roman" w:hAnsi="Times New Roman"/>
          <w:iCs/>
          <w:sz w:val="28"/>
          <w:lang w:val="es-ES_tradnl"/>
        </w:rPr>
        <w:t>tario informar de manera fidedigna el resultado de las votaciones y expedir las certificaciones que demuestren que la aprobación cumplió con los requisitos constitucionales</w:t>
      </w:r>
      <w:r w:rsidRPr="003E425B">
        <w:rPr>
          <w:rStyle w:val="Refdenotaalpie"/>
          <w:rFonts w:ascii="Times New Roman" w:hAnsi="Times New Roman"/>
          <w:iCs/>
          <w:sz w:val="28"/>
        </w:rPr>
        <w:footnoteReference w:id="136"/>
      </w:r>
      <w:r w:rsidRPr="003E425B">
        <w:rPr>
          <w:rFonts w:ascii="Times New Roman" w:hAnsi="Times New Roman"/>
          <w:iCs/>
          <w:sz w:val="28"/>
          <w:lang w:val="es-ES_tradnl"/>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iCs/>
          <w:sz w:val="28"/>
        </w:rPr>
      </w:pPr>
      <w:r w:rsidRPr="003E425B">
        <w:rPr>
          <w:rFonts w:ascii="Times New Roman" w:hAnsi="Times New Roman"/>
          <w:sz w:val="28"/>
          <w:lang w:val="es-ES_tradnl"/>
        </w:rPr>
        <w:t>Las actas y certificaciones, sin embargo, no son los únicos medios de prueba ad</w:t>
      </w:r>
      <w:r w:rsidRPr="003E425B">
        <w:rPr>
          <w:rFonts w:ascii="Times New Roman" w:hAnsi="Times New Roman"/>
          <w:sz w:val="28"/>
          <w:lang w:val="es-ES_tradnl"/>
        </w:rPr>
        <w:t>misibles. De acuerdo con la jurisprudencia constitucional, cuando las actas y certificados no contienen información precisa, verificable y suficiente para constatar el cumplimiento de las reglas de quórum y mayorías, es posible acudir a otros medios de pru</w:t>
      </w:r>
      <w:r w:rsidRPr="003E425B">
        <w:rPr>
          <w:rFonts w:ascii="Times New Roman" w:hAnsi="Times New Roman"/>
          <w:sz w:val="28"/>
          <w:lang w:val="es-ES_tradnl"/>
        </w:rPr>
        <w:t xml:space="preserve">eba. Estos medios de prueba incluyen: </w:t>
      </w:r>
      <w:r w:rsidRPr="003E425B">
        <w:rPr>
          <w:rFonts w:ascii="Times New Roman" w:hAnsi="Times New Roman"/>
          <w:i/>
          <w:iCs/>
          <w:sz w:val="28"/>
          <w:lang w:val="es-ES_tradnl"/>
        </w:rPr>
        <w:t>(i)</w:t>
      </w:r>
      <w:r w:rsidRPr="003E425B">
        <w:rPr>
          <w:rFonts w:ascii="Times New Roman" w:hAnsi="Times New Roman"/>
          <w:sz w:val="28"/>
          <w:lang w:val="es-ES_tradnl"/>
        </w:rPr>
        <w:t xml:space="preserve"> los registros de audio y video del desarrollo de las sesiones parlamentarias</w:t>
      </w:r>
      <w:r w:rsidRPr="003E425B">
        <w:rPr>
          <w:rFonts w:ascii="Times New Roman" w:hAnsi="Times New Roman"/>
          <w:sz w:val="28"/>
          <w:vertAlign w:val="superscript"/>
          <w:lang w:val="es-ES_tradnl"/>
        </w:rPr>
        <w:footnoteReference w:id="137"/>
      </w:r>
      <w:r w:rsidRPr="003E425B">
        <w:rPr>
          <w:rFonts w:ascii="Times New Roman" w:hAnsi="Times New Roman"/>
          <w:sz w:val="28"/>
          <w:lang w:val="es-ES_tradnl"/>
        </w:rPr>
        <w:t xml:space="preserve"> y </w:t>
      </w:r>
      <w:r w:rsidRPr="003E425B">
        <w:rPr>
          <w:rFonts w:ascii="Times New Roman" w:hAnsi="Times New Roman"/>
          <w:i/>
          <w:iCs/>
          <w:sz w:val="28"/>
          <w:lang w:val="es-ES_tradnl"/>
        </w:rPr>
        <w:t>(ii)</w:t>
      </w:r>
      <w:r w:rsidRPr="003E425B">
        <w:rPr>
          <w:rFonts w:ascii="Times New Roman" w:hAnsi="Times New Roman"/>
          <w:sz w:val="28"/>
          <w:lang w:val="es-ES_tradnl"/>
        </w:rPr>
        <w:t xml:space="preserve"> las actas, certificados y registros de las votaciones que se hicieron antes y después de la votación en cuestión. </w:t>
      </w:r>
      <w:r w:rsidRPr="003E425B">
        <w:rPr>
          <w:rFonts w:ascii="Times New Roman" w:hAnsi="Times New Roman"/>
          <w:iCs/>
          <w:sz w:val="28"/>
          <w:lang w:val="es-ES_tradnl"/>
        </w:rPr>
        <w:t>Con todo, la ut</w:t>
      </w:r>
      <w:r w:rsidRPr="003E425B">
        <w:rPr>
          <w:rFonts w:ascii="Times New Roman" w:hAnsi="Times New Roman"/>
          <w:iCs/>
          <w:sz w:val="28"/>
          <w:lang w:val="es-ES_tradnl"/>
        </w:rPr>
        <w:t>ilización de estos medios de prueba está “</w:t>
      </w:r>
      <w:r w:rsidRPr="003E425B">
        <w:rPr>
          <w:rFonts w:ascii="Times New Roman" w:hAnsi="Times New Roman"/>
          <w:iCs/>
          <w:sz w:val="28"/>
          <w:lang w:val="es-ES_tradnl"/>
        </w:rPr>
        <w:t>unívocamente dirigida a acreditar asuntos confusos o ambivalentes de la información contenida en el acta, más a no permitir su irregular complementación o adición”</w:t>
      </w:r>
      <w:r w:rsidRPr="003E425B">
        <w:rPr>
          <w:rStyle w:val="Refdenotaalpie"/>
          <w:rFonts w:ascii="Times New Roman" w:hAnsi="Times New Roman"/>
          <w:iCs/>
          <w:sz w:val="28"/>
        </w:rPr>
        <w:footnoteReference w:id="138"/>
      </w:r>
      <w:r w:rsidRPr="003E425B">
        <w:rPr>
          <w:rFonts w:ascii="Times New Roman" w:hAnsi="Times New Roman"/>
          <w:iCs/>
          <w:sz w:val="28"/>
          <w:lang w:val="es-ES_tradnl"/>
        </w:rPr>
        <w:t>.</w:t>
      </w:r>
    </w:p>
    <w:p w:rsidR="00FB4130" w:rsidRPr="003E425B" w:rsidRDefault="003E425B" w:rsidP="00010108">
      <w:pPr>
        <w:pStyle w:val="Prrafodelista"/>
        <w:spacing w:line="240" w:lineRule="auto"/>
        <w:rPr>
          <w:rFonts w:ascii="Times New Roman" w:hAnsi="Times New Roman"/>
          <w:iCs/>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iCs/>
          <w:sz w:val="28"/>
        </w:rPr>
        <w:t>La Corte Constitucional ha enfatizado que, en l</w:t>
      </w:r>
      <w:r w:rsidRPr="003E425B">
        <w:rPr>
          <w:rFonts w:ascii="Times New Roman" w:hAnsi="Times New Roman"/>
          <w:iCs/>
          <w:sz w:val="28"/>
        </w:rPr>
        <w:t xml:space="preserve">os casos en los que la votación </w:t>
      </w:r>
      <w:r w:rsidRPr="003E425B">
        <w:rPr>
          <w:rFonts w:ascii="Times New Roman" w:hAnsi="Times New Roman"/>
          <w:i/>
          <w:sz w:val="28"/>
        </w:rPr>
        <w:t>ordinaria</w:t>
      </w:r>
      <w:r w:rsidRPr="003E425B">
        <w:rPr>
          <w:rFonts w:ascii="Times New Roman" w:hAnsi="Times New Roman"/>
          <w:iCs/>
          <w:sz w:val="28"/>
        </w:rPr>
        <w:t xml:space="preserve"> procede y es empleada para adoptar una decisión legislativa, </w:t>
      </w:r>
      <w:r w:rsidRPr="003E425B">
        <w:rPr>
          <w:rFonts w:ascii="Times New Roman" w:hAnsi="Times New Roman"/>
          <w:iCs/>
          <w:sz w:val="28"/>
        </w:rPr>
        <w:t>es deber del secretario de la célula legislativa dejar consignado en el acta respectiva</w:t>
      </w:r>
      <w:r w:rsidRPr="003E425B">
        <w:rPr>
          <w:rFonts w:ascii="Times New Roman" w:hAnsi="Times New Roman"/>
          <w:iCs/>
          <w:sz w:val="28"/>
        </w:rPr>
        <w:t xml:space="preserve"> </w:t>
      </w:r>
      <w:r w:rsidRPr="003E425B">
        <w:rPr>
          <w:rFonts w:ascii="Times New Roman" w:hAnsi="Times New Roman"/>
          <w:iCs/>
          <w:sz w:val="28"/>
        </w:rPr>
        <w:t>el registro del</w:t>
      </w:r>
      <w:r w:rsidRPr="003E425B">
        <w:rPr>
          <w:rFonts w:ascii="Times New Roman" w:hAnsi="Times New Roman"/>
          <w:iCs/>
          <w:sz w:val="28"/>
        </w:rPr>
        <w:t xml:space="preserve"> quórum y mayorías decisorias al momento exacto o </w:t>
      </w:r>
      <w:r w:rsidRPr="003E425B">
        <w:rPr>
          <w:rFonts w:ascii="Times New Roman" w:hAnsi="Times New Roman"/>
          <w:iCs/>
          <w:sz w:val="28"/>
        </w:rPr>
        <w:t>“preciso”</w:t>
      </w:r>
      <w:r w:rsidRPr="003E425B">
        <w:rPr>
          <w:rStyle w:val="Refdenotaalpie"/>
          <w:rFonts w:ascii="Times New Roman" w:hAnsi="Times New Roman"/>
          <w:iCs/>
          <w:sz w:val="28"/>
        </w:rPr>
        <w:footnoteReference w:id="139"/>
      </w:r>
      <w:r w:rsidRPr="003E425B">
        <w:rPr>
          <w:rFonts w:ascii="Times New Roman" w:hAnsi="Times New Roman"/>
          <w:iCs/>
          <w:sz w:val="28"/>
        </w:rPr>
        <w:t xml:space="preserve"> </w:t>
      </w:r>
      <w:r w:rsidRPr="003E425B">
        <w:rPr>
          <w:rFonts w:ascii="Times New Roman" w:hAnsi="Times New Roman"/>
          <w:iCs/>
          <w:sz w:val="28"/>
        </w:rPr>
        <w:t>en que se lleva a cabo</w:t>
      </w:r>
      <w:r w:rsidRPr="003E425B">
        <w:rPr>
          <w:rFonts w:ascii="Times New Roman" w:hAnsi="Times New Roman"/>
          <w:iCs/>
          <w:sz w:val="28"/>
        </w:rPr>
        <w:t xml:space="preserve"> la votación</w:t>
      </w:r>
      <w:r w:rsidRPr="003E425B">
        <w:rPr>
          <w:rFonts w:ascii="Times New Roman" w:hAnsi="Times New Roman"/>
          <w:sz w:val="28"/>
          <w:vertAlign w:val="superscript"/>
        </w:rPr>
        <w:footnoteReference w:id="140"/>
      </w:r>
      <w:r w:rsidRPr="003E425B">
        <w:rPr>
          <w:rFonts w:ascii="Times New Roman" w:hAnsi="Times New Roman"/>
          <w:iCs/>
          <w:sz w:val="28"/>
        </w:rPr>
        <w:t>.</w:t>
      </w:r>
      <w:r w:rsidRPr="003E425B">
        <w:rPr>
          <w:rFonts w:ascii="Times New Roman" w:hAnsi="Times New Roman"/>
          <w:color w:val="auto"/>
          <w:sz w:val="28"/>
          <w:lang w:eastAsia="es-ES_tradnl"/>
        </w:rPr>
        <w:t xml:space="preserve"> </w:t>
      </w:r>
      <w:r w:rsidRPr="003E425B">
        <w:rPr>
          <w:rFonts w:ascii="Times New Roman" w:hAnsi="Times New Roman"/>
          <w:sz w:val="28"/>
        </w:rPr>
        <w:t>En estos eventos</w:t>
      </w:r>
      <w:r w:rsidRPr="003E425B">
        <w:rPr>
          <w:rFonts w:ascii="Times New Roman" w:hAnsi="Times New Roman"/>
          <w:color w:val="auto"/>
          <w:sz w:val="28"/>
          <w:lang w:eastAsia="es-ES_tradnl"/>
        </w:rPr>
        <w:t>, no constituyen plena prueba</w:t>
      </w:r>
      <w:r w:rsidRPr="003E425B">
        <w:rPr>
          <w:rFonts w:ascii="Times New Roman" w:hAnsi="Times New Roman"/>
          <w:color w:val="auto"/>
          <w:sz w:val="28"/>
          <w:lang w:eastAsia="es-ES_tradnl"/>
        </w:rPr>
        <w:t xml:space="preserve"> del quórum y las mayorías</w:t>
      </w:r>
      <w:r w:rsidRPr="003E425B">
        <w:rPr>
          <w:rFonts w:ascii="Times New Roman" w:hAnsi="Times New Roman"/>
          <w:color w:val="auto"/>
          <w:sz w:val="28"/>
          <w:lang w:eastAsia="es-ES_tradnl"/>
        </w:rPr>
        <w:t xml:space="preserve"> decisorias</w:t>
      </w:r>
      <w:r w:rsidRPr="003E425B">
        <w:rPr>
          <w:rFonts w:ascii="Times New Roman" w:hAnsi="Times New Roman"/>
          <w:color w:val="auto"/>
          <w:sz w:val="28"/>
          <w:lang w:eastAsia="es-ES_tradnl"/>
        </w:rPr>
        <w:t xml:space="preserve"> las actas de las sesiones o las certificaciones en las que simplemente se indique el número de asistentes registrados al inicio de la correspondiente sesión</w:t>
      </w:r>
      <w:r w:rsidRPr="003E425B">
        <w:rPr>
          <w:rStyle w:val="Refdenotaalpie"/>
          <w:rFonts w:ascii="Times New Roman" w:hAnsi="Times New Roman"/>
          <w:sz w:val="28"/>
        </w:rPr>
        <w:footnoteReference w:id="141"/>
      </w:r>
      <w:r w:rsidRPr="003E425B">
        <w:rPr>
          <w:rFonts w:ascii="Times New Roman" w:hAnsi="Times New Roman"/>
          <w:color w:val="auto"/>
          <w:sz w:val="28"/>
          <w:lang w:eastAsia="es-ES_tradnl"/>
        </w:rPr>
        <w:t xml:space="preserve">. Asimismo, tampoco son </w:t>
      </w:r>
      <w:r w:rsidRPr="003E425B">
        <w:rPr>
          <w:rFonts w:ascii="Times New Roman" w:hAnsi="Times New Roman"/>
          <w:color w:val="auto"/>
          <w:sz w:val="28"/>
          <w:lang w:eastAsia="es-ES_tradnl"/>
        </w:rPr>
        <w:t>plena prueba</w:t>
      </w:r>
      <w:r w:rsidRPr="003E425B">
        <w:rPr>
          <w:rFonts w:ascii="Times New Roman" w:hAnsi="Times New Roman"/>
          <w:color w:val="auto"/>
          <w:sz w:val="28"/>
          <w:lang w:eastAsia="es-ES_tradnl"/>
        </w:rPr>
        <w:t xml:space="preserve"> las certificaciones sobre votos emitidos en la última votació</w:t>
      </w:r>
      <w:r w:rsidRPr="003E425B">
        <w:rPr>
          <w:rFonts w:ascii="Times New Roman" w:hAnsi="Times New Roman"/>
          <w:color w:val="auto"/>
          <w:sz w:val="28"/>
          <w:lang w:eastAsia="es-ES_tradnl"/>
        </w:rPr>
        <w:t xml:space="preserve">n nominal registrada, antes de que se llevara a cabo la votación ordinaria. </w:t>
      </w:r>
      <w:r w:rsidRPr="003E425B">
        <w:rPr>
          <w:rFonts w:ascii="Times New Roman" w:hAnsi="Times New Roman"/>
          <w:color w:val="auto"/>
          <w:sz w:val="28"/>
          <w:lang w:val="es-ES_tradnl" w:eastAsia="es-ES_tradnl"/>
        </w:rPr>
        <w:t>Esto es así, debido a que es común que los congresistas entren y salgan del recinto, por lo que “</w:t>
      </w:r>
      <w:r w:rsidRPr="003E425B">
        <w:rPr>
          <w:rFonts w:ascii="Times New Roman" w:hAnsi="Times New Roman"/>
          <w:color w:val="auto"/>
          <w:sz w:val="28"/>
          <w:lang w:eastAsia="es-ES_tradnl"/>
        </w:rPr>
        <w:t>el número de asistentes certificados en el acta no permanece constante durante el c</w:t>
      </w:r>
      <w:r w:rsidRPr="003E425B">
        <w:rPr>
          <w:rFonts w:ascii="Times New Roman" w:hAnsi="Times New Roman"/>
          <w:color w:val="auto"/>
          <w:sz w:val="28"/>
          <w:lang w:eastAsia="es-ES_tradnl"/>
        </w:rPr>
        <w:t xml:space="preserve">urso de la sesión, lo que se traduce en un quórum variable </w:t>
      </w:r>
      <w:r w:rsidRPr="003E425B">
        <w:rPr>
          <w:rFonts w:ascii="Times New Roman" w:hAnsi="Times New Roman"/>
          <w:color w:val="auto"/>
          <w:sz w:val="28"/>
          <w:lang w:eastAsia="es-ES_tradnl"/>
        </w:rPr>
        <w:t>como práctica legislativa”</w:t>
      </w:r>
      <w:r w:rsidRPr="003E425B">
        <w:rPr>
          <w:rStyle w:val="Refdenotaalpie"/>
          <w:rFonts w:ascii="Times New Roman" w:hAnsi="Times New Roman"/>
          <w:sz w:val="28"/>
        </w:rPr>
        <w:footnoteReference w:id="142"/>
      </w:r>
      <w:r w:rsidRPr="003E425B">
        <w:rPr>
          <w:rFonts w:ascii="Times New Roman" w:hAnsi="Times New Roman"/>
          <w:color w:val="auto"/>
          <w:sz w:val="28"/>
          <w:lang w:eastAsia="es-ES_tradnl"/>
        </w:rPr>
        <w:t xml:space="preserve">. </w:t>
      </w:r>
    </w:p>
    <w:p w:rsidR="00FB4130" w:rsidRPr="003E425B" w:rsidRDefault="003E425B" w:rsidP="00010108">
      <w:pPr>
        <w:rPr>
          <w:rFonts w:ascii="Times New Roman" w:hAnsi="Times New Roman" w:cs="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Para</w:t>
      </w:r>
      <w:r w:rsidRPr="003E425B">
        <w:rPr>
          <w:rFonts w:ascii="Times New Roman" w:hAnsi="Times New Roman"/>
          <w:sz w:val="28"/>
        </w:rPr>
        <w:t xml:space="preserve"> examinar el cumplimiento de las reglas de quórum y mayorías de decisiones que, por existir unanimidad, han sido adoptadas mediante votación ordinaria, la Corte Constitucional</w:t>
      </w:r>
      <w:r w:rsidRPr="003E425B">
        <w:rPr>
          <w:rStyle w:val="Refdenotaalpie"/>
          <w:rFonts w:ascii="Times New Roman" w:hAnsi="Times New Roman"/>
          <w:sz w:val="28"/>
        </w:rPr>
        <w:footnoteReference w:id="143"/>
      </w:r>
      <w:r w:rsidRPr="003E425B">
        <w:rPr>
          <w:rFonts w:ascii="Times New Roman" w:hAnsi="Times New Roman"/>
          <w:sz w:val="28"/>
        </w:rPr>
        <w:t xml:space="preserve"> ha empleado una metodología de escrutinio que consta de tres pasos o etapas: </w:t>
      </w:r>
      <w:r w:rsidRPr="003E425B">
        <w:rPr>
          <w:rFonts w:ascii="Times New Roman" w:hAnsi="Times New Roman"/>
          <w:i/>
          <w:iCs/>
          <w:sz w:val="28"/>
        </w:rPr>
        <w:t>(i</w:t>
      </w:r>
      <w:r w:rsidRPr="003E425B">
        <w:rPr>
          <w:rFonts w:ascii="Times New Roman" w:hAnsi="Times New Roman"/>
          <w:i/>
          <w:iCs/>
          <w:sz w:val="28"/>
        </w:rPr>
        <w:t>)</w:t>
      </w:r>
      <w:r w:rsidRPr="003E425B">
        <w:rPr>
          <w:rFonts w:ascii="Times New Roman" w:hAnsi="Times New Roman"/>
          <w:sz w:val="28"/>
        </w:rPr>
        <w:t xml:space="preserve"> primero, constata</w:t>
      </w:r>
      <w:r w:rsidRPr="003E425B">
        <w:rPr>
          <w:rFonts w:ascii="Times New Roman" w:hAnsi="Times New Roman"/>
          <w:sz w:val="28"/>
        </w:rPr>
        <w:t>r</w:t>
      </w:r>
      <w:r w:rsidRPr="003E425B">
        <w:rPr>
          <w:rFonts w:ascii="Times New Roman" w:hAnsi="Times New Roman"/>
          <w:sz w:val="28"/>
        </w:rPr>
        <w:t xml:space="preserve"> si existía unanimidad y, por lo tanto, era procedente la votación ordinaria, </w:t>
      </w:r>
      <w:r w:rsidRPr="003E425B">
        <w:rPr>
          <w:rFonts w:ascii="Times New Roman" w:hAnsi="Times New Roman"/>
          <w:i/>
          <w:iCs/>
          <w:sz w:val="28"/>
        </w:rPr>
        <w:t>(ii)</w:t>
      </w:r>
      <w:r w:rsidRPr="003E425B">
        <w:rPr>
          <w:rFonts w:ascii="Times New Roman" w:hAnsi="Times New Roman"/>
          <w:sz w:val="28"/>
        </w:rPr>
        <w:t xml:space="preserve"> segundo, examina</w:t>
      </w:r>
      <w:r w:rsidRPr="003E425B">
        <w:rPr>
          <w:rFonts w:ascii="Times New Roman" w:hAnsi="Times New Roman"/>
          <w:sz w:val="28"/>
        </w:rPr>
        <w:t>r</w:t>
      </w:r>
      <w:r w:rsidRPr="003E425B">
        <w:rPr>
          <w:rFonts w:ascii="Times New Roman" w:hAnsi="Times New Roman"/>
          <w:sz w:val="28"/>
        </w:rPr>
        <w:t xml:space="preserve"> si el cumplimiento de las reglas de quórum y mayorías está probado</w:t>
      </w:r>
      <w:r w:rsidRPr="003E425B">
        <w:rPr>
          <w:rFonts w:ascii="Times New Roman" w:hAnsi="Times New Roman"/>
          <w:sz w:val="28"/>
        </w:rPr>
        <w:t xml:space="preserve"> o existe duda sobre </w:t>
      </w:r>
      <w:r w:rsidRPr="003E425B">
        <w:rPr>
          <w:rFonts w:ascii="Times New Roman" w:hAnsi="Times New Roman"/>
          <w:sz w:val="28"/>
        </w:rPr>
        <w:t xml:space="preserve">el número de senadores presentes y que votaron </w:t>
      </w:r>
      <w:r w:rsidRPr="003E425B">
        <w:rPr>
          <w:rFonts w:ascii="Times New Roman" w:hAnsi="Times New Roman"/>
          <w:sz w:val="28"/>
        </w:rPr>
        <w:t>una decisión</w:t>
      </w:r>
      <w:r w:rsidRPr="003E425B">
        <w:rPr>
          <w:rFonts w:ascii="Times New Roman" w:hAnsi="Times New Roman"/>
          <w:sz w:val="28"/>
        </w:rPr>
        <w:t xml:space="preserve">; </w:t>
      </w:r>
      <w:r w:rsidRPr="003E425B">
        <w:rPr>
          <w:rFonts w:ascii="Times New Roman" w:hAnsi="Times New Roman"/>
          <w:i/>
          <w:iCs/>
          <w:sz w:val="28"/>
        </w:rPr>
        <w:t>(iii)</w:t>
      </w:r>
      <w:r w:rsidRPr="003E425B">
        <w:rPr>
          <w:rFonts w:ascii="Times New Roman" w:hAnsi="Times New Roman"/>
          <w:sz w:val="28"/>
        </w:rPr>
        <w:t xml:space="preserve"> tercero, de constatar un incumplimiento de tales reglas, </w:t>
      </w:r>
      <w:r w:rsidRPr="003E425B">
        <w:rPr>
          <w:rFonts w:ascii="Times New Roman" w:hAnsi="Times New Roman"/>
          <w:sz w:val="28"/>
        </w:rPr>
        <w:t xml:space="preserve">o la falta </w:t>
      </w:r>
      <w:r w:rsidRPr="003E425B">
        <w:rPr>
          <w:rFonts w:ascii="Times New Roman" w:hAnsi="Times New Roman"/>
          <w:sz w:val="28"/>
        </w:rPr>
        <w:t xml:space="preserve">de certeza sobre su cumplimiento, </w:t>
      </w:r>
      <w:r w:rsidRPr="003E425B">
        <w:rPr>
          <w:rFonts w:ascii="Times New Roman" w:hAnsi="Times New Roman"/>
          <w:sz w:val="28"/>
        </w:rPr>
        <w:t>determina</w:t>
      </w:r>
      <w:r w:rsidRPr="003E425B">
        <w:rPr>
          <w:rFonts w:ascii="Times New Roman" w:hAnsi="Times New Roman"/>
          <w:sz w:val="28"/>
        </w:rPr>
        <w:t>r</w:t>
      </w:r>
      <w:r w:rsidRPr="003E425B">
        <w:rPr>
          <w:rFonts w:ascii="Times New Roman" w:hAnsi="Times New Roman"/>
          <w:sz w:val="28"/>
        </w:rPr>
        <w:t xml:space="preserve"> si dicha </w:t>
      </w:r>
      <w:r w:rsidRPr="003E425B">
        <w:rPr>
          <w:rFonts w:ascii="Times New Roman" w:hAnsi="Times New Roman"/>
          <w:sz w:val="28"/>
        </w:rPr>
        <w:t xml:space="preserve">irregularidad </w:t>
      </w:r>
      <w:r w:rsidRPr="003E425B">
        <w:rPr>
          <w:rFonts w:ascii="Times New Roman" w:hAnsi="Times New Roman"/>
          <w:sz w:val="28"/>
        </w:rPr>
        <w:t>configura</w:t>
      </w:r>
      <w:r w:rsidRPr="003E425B">
        <w:rPr>
          <w:rFonts w:ascii="Times New Roman" w:hAnsi="Times New Roman"/>
          <w:sz w:val="28"/>
        </w:rPr>
        <w:t xml:space="preserve"> un vicio de procedimiento subsanable o insubsanable</w:t>
      </w:r>
      <w:r w:rsidRPr="003E425B">
        <w:rPr>
          <w:rFonts w:ascii="Times New Roman" w:eastAsiaTheme="minorHAnsi" w:hAnsi="Times New Roman"/>
          <w:iCs/>
          <w:color w:val="auto"/>
          <w:sz w:val="28"/>
          <w:szCs w:val="20"/>
        </w:rPr>
        <w:t xml:space="preserve"> (</w:t>
      </w:r>
      <w:r w:rsidRPr="003E425B">
        <w:rPr>
          <w:rFonts w:ascii="Times New Roman" w:hAnsi="Times New Roman"/>
          <w:iCs/>
          <w:sz w:val="28"/>
        </w:rPr>
        <w:t xml:space="preserve">ver párrs. 101 a 103 </w:t>
      </w:r>
      <w:r w:rsidRPr="003E425B">
        <w:rPr>
          <w:rFonts w:ascii="Times New Roman" w:hAnsi="Times New Roman"/>
          <w:i/>
          <w:sz w:val="28"/>
        </w:rPr>
        <w:t>infra</w:t>
      </w:r>
      <w:r w:rsidRPr="003E425B">
        <w:rPr>
          <w:rFonts w:ascii="Times New Roman" w:hAnsi="Times New Roman"/>
          <w:iCs/>
          <w:sz w:val="28"/>
        </w:rPr>
        <w:t>)</w:t>
      </w:r>
      <w:r w:rsidRPr="003E425B">
        <w:rPr>
          <w:rStyle w:val="Refdenotaalpie"/>
          <w:rFonts w:ascii="Times New Roman" w:hAnsi="Times New Roman"/>
          <w:sz w:val="28"/>
        </w:rPr>
        <w:footnoteReference w:id="144"/>
      </w:r>
      <w:r w:rsidRPr="003E425B">
        <w:rPr>
          <w:rFonts w:ascii="Times New Roman" w:hAnsi="Times New Roman"/>
          <w:sz w:val="28"/>
        </w:rPr>
        <w:t>.</w:t>
      </w:r>
    </w:p>
    <w:p w:rsidR="006D6897" w:rsidRPr="003E425B" w:rsidRDefault="003E425B" w:rsidP="006D6897">
      <w:pPr>
        <w:pStyle w:val="Prrafodelista"/>
        <w:widowControl w:val="0"/>
        <w:tabs>
          <w:tab w:val="left" w:pos="567"/>
        </w:tabs>
        <w:spacing w:line="240" w:lineRule="auto"/>
        <w:ind w:left="0"/>
        <w:rPr>
          <w:rFonts w:ascii="Times New Roman" w:hAnsi="Times New Roman"/>
          <w:sz w:val="28"/>
          <w:highlight w:val="lightGray"/>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b/>
          <w:bCs/>
          <w:sz w:val="28"/>
          <w:u w:val="single"/>
        </w:rPr>
        <w:t>Síntes</w:t>
      </w:r>
      <w:r w:rsidRPr="003E425B">
        <w:rPr>
          <w:rFonts w:ascii="Times New Roman" w:hAnsi="Times New Roman"/>
          <w:b/>
          <w:bCs/>
          <w:sz w:val="28"/>
          <w:u w:val="single"/>
        </w:rPr>
        <w:t>is de reglas</w:t>
      </w:r>
      <w:r w:rsidRPr="003E425B">
        <w:rPr>
          <w:rFonts w:ascii="Times New Roman" w:hAnsi="Times New Roman"/>
          <w:sz w:val="28"/>
        </w:rPr>
        <w:t xml:space="preserve">. La siguiente tabla sintetiza las reglas de decisión relevantes sobre el quórum, </w:t>
      </w:r>
      <w:r w:rsidRPr="003E425B">
        <w:rPr>
          <w:rFonts w:ascii="Times New Roman" w:hAnsi="Times New Roman"/>
          <w:iCs/>
          <w:sz w:val="28"/>
          <w:lang w:val="es-ES_tradnl"/>
        </w:rPr>
        <w:t>forma</w:t>
      </w:r>
      <w:r w:rsidRPr="003E425B">
        <w:rPr>
          <w:rFonts w:ascii="Times New Roman" w:hAnsi="Times New Roman"/>
          <w:sz w:val="28"/>
        </w:rPr>
        <w:t xml:space="preserve"> de votación y mayorías exigibles a la aprobación del informe de ponencia para primer debate:</w:t>
      </w:r>
    </w:p>
    <w:p w:rsidR="00FB4130" w:rsidRPr="003E425B" w:rsidRDefault="003E425B" w:rsidP="00010108">
      <w:pPr>
        <w:pStyle w:val="Prrafodelista"/>
        <w:spacing w:line="240" w:lineRule="auto"/>
        <w:rPr>
          <w:rFonts w:ascii="Times New Roman" w:hAnsi="Times New Roman"/>
          <w:sz w:val="28"/>
        </w:rPr>
      </w:pPr>
    </w:p>
    <w:tbl>
      <w:tblPr>
        <w:tblStyle w:val="Tablaconcuadrcula"/>
        <w:tblW w:w="5000" w:type="pct"/>
        <w:tblLook w:val="04A0" w:firstRow="1" w:lastRow="0" w:firstColumn="1" w:lastColumn="0" w:noHBand="0" w:noVBand="1"/>
      </w:tblPr>
      <w:tblGrid>
        <w:gridCol w:w="8830"/>
      </w:tblGrid>
      <w:tr w:rsidR="00FB4130" w:rsidRPr="003E425B" w:rsidTr="00E4520F">
        <w:tc>
          <w:tcPr>
            <w:tcW w:w="5000" w:type="pct"/>
            <w:shd w:val="clear" w:color="auto" w:fill="D9D9D9" w:themeFill="background1" w:themeFillShade="D9"/>
          </w:tcPr>
          <w:p w:rsidR="00FB4130" w:rsidRPr="003E425B" w:rsidRDefault="003E425B" w:rsidP="00010108">
            <w:pPr>
              <w:pStyle w:val="Prrafodelista"/>
              <w:tabs>
                <w:tab w:val="left" w:pos="567"/>
              </w:tabs>
              <w:spacing w:line="240" w:lineRule="auto"/>
              <w:ind w:left="0"/>
              <w:jc w:val="center"/>
              <w:rPr>
                <w:rFonts w:ascii="Times New Roman" w:hAnsi="Times New Roman"/>
                <w:b/>
                <w:bCs/>
                <w:sz w:val="28"/>
                <w:szCs w:val="20"/>
              </w:rPr>
            </w:pPr>
            <w:r w:rsidRPr="003E425B">
              <w:rPr>
                <w:rFonts w:ascii="Times New Roman" w:hAnsi="Times New Roman"/>
                <w:b/>
                <w:bCs/>
                <w:sz w:val="28"/>
                <w:szCs w:val="20"/>
                <w:lang w:val="es-ES_tradnl"/>
              </w:rPr>
              <w:t xml:space="preserve">Reglas de decisión relevantes sobre el quórum, </w:t>
            </w:r>
            <w:r w:rsidRPr="003E425B">
              <w:rPr>
                <w:rFonts w:ascii="Times New Roman" w:hAnsi="Times New Roman"/>
                <w:b/>
                <w:bCs/>
                <w:iCs/>
                <w:sz w:val="28"/>
                <w:szCs w:val="20"/>
                <w:lang w:val="es-ES_tradnl"/>
              </w:rPr>
              <w:t>forma</w:t>
            </w:r>
            <w:r w:rsidRPr="003E425B">
              <w:rPr>
                <w:rFonts w:ascii="Times New Roman" w:hAnsi="Times New Roman"/>
                <w:b/>
                <w:bCs/>
                <w:sz w:val="28"/>
                <w:szCs w:val="20"/>
                <w:lang w:val="es-ES_tradnl"/>
              </w:rPr>
              <w:t xml:space="preserve"> de votación y mayorías exigibles a la aprobación del informe de ponencia</w:t>
            </w:r>
          </w:p>
        </w:tc>
      </w:tr>
      <w:tr w:rsidR="00FB4130" w:rsidRPr="003E425B" w:rsidTr="00E4520F">
        <w:tc>
          <w:tcPr>
            <w:tcW w:w="5000" w:type="pct"/>
          </w:tcPr>
          <w:p w:rsidR="00FB4130" w:rsidRPr="003E425B" w:rsidRDefault="003E425B" w:rsidP="000C6CC6">
            <w:pPr>
              <w:pStyle w:val="Prrafodelista"/>
              <w:widowControl w:val="0"/>
              <w:numPr>
                <w:ilvl w:val="0"/>
                <w:numId w:val="19"/>
              </w:numPr>
              <w:spacing w:line="240" w:lineRule="auto"/>
              <w:ind w:left="458" w:hanging="425"/>
              <w:rPr>
                <w:rFonts w:ascii="Times New Roman" w:hAnsi="Times New Roman"/>
                <w:sz w:val="28"/>
                <w:szCs w:val="20"/>
              </w:rPr>
            </w:pPr>
            <w:r w:rsidRPr="003E425B">
              <w:rPr>
                <w:rFonts w:ascii="Times New Roman" w:hAnsi="Times New Roman"/>
                <w:sz w:val="28"/>
                <w:szCs w:val="20"/>
              </w:rPr>
              <w:t>El inciso 4 del artículo 160 de la Constitución Política dispone que todo proyecto de ley deberá tener informe de ponencia en la respectiva comisión encargada de tramitarlo. Con tod</w:t>
            </w:r>
            <w:r w:rsidRPr="003E425B">
              <w:rPr>
                <w:rFonts w:ascii="Times New Roman" w:hAnsi="Times New Roman"/>
                <w:sz w:val="28"/>
                <w:szCs w:val="20"/>
              </w:rPr>
              <w:t>o, en la etapa de debate en las comisiones constitucionales permanentes, la Ley 5ª de 1992 no exige que el informe de ponencia sea votado y aprobado en todos los casos. La ley permite que, si el ponente propone debatir el articulado directamente, se presci</w:t>
            </w:r>
            <w:r w:rsidRPr="003E425B">
              <w:rPr>
                <w:rFonts w:ascii="Times New Roman" w:hAnsi="Times New Roman"/>
                <w:sz w:val="28"/>
                <w:szCs w:val="20"/>
              </w:rPr>
              <w:t xml:space="preserve">nda de la votación del informe de ponencia. </w:t>
            </w:r>
          </w:p>
          <w:p w:rsidR="00FB4130" w:rsidRPr="003E425B" w:rsidRDefault="003E425B" w:rsidP="000C6CC6">
            <w:pPr>
              <w:pStyle w:val="Prrafodelista"/>
              <w:widowControl w:val="0"/>
              <w:numPr>
                <w:ilvl w:val="0"/>
                <w:numId w:val="19"/>
              </w:numPr>
              <w:spacing w:line="240" w:lineRule="auto"/>
              <w:ind w:left="458" w:hanging="425"/>
              <w:rPr>
                <w:rFonts w:ascii="Times New Roman" w:hAnsi="Times New Roman"/>
                <w:sz w:val="28"/>
                <w:szCs w:val="20"/>
              </w:rPr>
            </w:pPr>
            <w:r w:rsidRPr="003E425B">
              <w:rPr>
                <w:rFonts w:ascii="Times New Roman" w:hAnsi="Times New Roman"/>
                <w:sz w:val="28"/>
                <w:szCs w:val="20"/>
              </w:rPr>
              <w:t xml:space="preserve">La </w:t>
            </w:r>
            <w:r w:rsidRPr="003E425B">
              <w:rPr>
                <w:rFonts w:ascii="Times New Roman" w:hAnsi="Times New Roman"/>
                <w:sz w:val="28"/>
                <w:szCs w:val="20"/>
              </w:rPr>
              <w:t xml:space="preserve">discusión y </w:t>
            </w:r>
            <w:r w:rsidRPr="003E425B">
              <w:rPr>
                <w:rFonts w:ascii="Times New Roman" w:hAnsi="Times New Roman"/>
                <w:sz w:val="28"/>
                <w:szCs w:val="20"/>
              </w:rPr>
              <w:t>aprobación de los informes de ponencia en las comisiones permanentes</w:t>
            </w:r>
            <w:r w:rsidRPr="003E425B">
              <w:rPr>
                <w:rFonts w:ascii="Times New Roman" w:hAnsi="Times New Roman"/>
                <w:sz w:val="28"/>
                <w:szCs w:val="20"/>
              </w:rPr>
              <w:t xml:space="preserve"> </w:t>
            </w:r>
            <w:r w:rsidRPr="003E425B">
              <w:rPr>
                <w:rFonts w:ascii="Times New Roman" w:hAnsi="Times New Roman"/>
                <w:sz w:val="28"/>
                <w:szCs w:val="20"/>
              </w:rPr>
              <w:t xml:space="preserve">-cuando se lleva a cabo- </w:t>
            </w:r>
            <w:r w:rsidRPr="003E425B">
              <w:rPr>
                <w:rFonts w:ascii="Times New Roman" w:hAnsi="Times New Roman"/>
                <w:sz w:val="28"/>
                <w:szCs w:val="20"/>
              </w:rPr>
              <w:t>y las plenarias</w:t>
            </w:r>
            <w:r w:rsidRPr="003E425B">
              <w:rPr>
                <w:rFonts w:ascii="Times New Roman" w:hAnsi="Times New Roman"/>
                <w:sz w:val="28"/>
                <w:szCs w:val="20"/>
              </w:rPr>
              <w:t xml:space="preserve"> -</w:t>
            </w:r>
            <w:r w:rsidRPr="003E425B">
              <w:rPr>
                <w:rFonts w:ascii="Times New Roman" w:hAnsi="Times New Roman"/>
                <w:sz w:val="28"/>
                <w:szCs w:val="20"/>
              </w:rPr>
              <w:t>en todos los casos</w:t>
            </w:r>
            <w:r w:rsidRPr="003E425B">
              <w:rPr>
                <w:rFonts w:ascii="Times New Roman" w:hAnsi="Times New Roman"/>
                <w:sz w:val="28"/>
                <w:szCs w:val="20"/>
              </w:rPr>
              <w:t>-</w:t>
            </w:r>
            <w:r w:rsidRPr="003E425B">
              <w:rPr>
                <w:rFonts w:ascii="Times New Roman" w:hAnsi="Times New Roman"/>
                <w:sz w:val="28"/>
                <w:szCs w:val="20"/>
              </w:rPr>
              <w:t xml:space="preserve">, </w:t>
            </w:r>
            <w:r w:rsidRPr="003E425B">
              <w:rPr>
                <w:rFonts w:ascii="Times New Roman" w:hAnsi="Times New Roman"/>
                <w:sz w:val="28"/>
                <w:szCs w:val="20"/>
              </w:rPr>
              <w:t xml:space="preserve">está sujeta a las reglas de quórum, modo de votación y mayorías </w:t>
            </w:r>
            <w:r w:rsidRPr="003E425B">
              <w:rPr>
                <w:rFonts w:ascii="Times New Roman" w:hAnsi="Times New Roman"/>
                <w:sz w:val="28"/>
                <w:szCs w:val="20"/>
              </w:rPr>
              <w:t>decisorias previstas en la Constitución y la Ley 5ª de 1992:</w:t>
            </w:r>
          </w:p>
          <w:p w:rsidR="00FB4130" w:rsidRPr="003E425B" w:rsidRDefault="003E425B" w:rsidP="000C6CC6">
            <w:pPr>
              <w:pStyle w:val="Prrafodelista"/>
              <w:widowControl w:val="0"/>
              <w:numPr>
                <w:ilvl w:val="0"/>
                <w:numId w:val="20"/>
              </w:numPr>
              <w:spacing w:line="240" w:lineRule="auto"/>
              <w:ind w:left="884" w:hanging="426"/>
              <w:rPr>
                <w:rFonts w:ascii="Times New Roman" w:hAnsi="Times New Roman"/>
                <w:sz w:val="28"/>
                <w:szCs w:val="20"/>
              </w:rPr>
            </w:pPr>
            <w:r w:rsidRPr="003E425B">
              <w:rPr>
                <w:rFonts w:ascii="Times New Roman" w:hAnsi="Times New Roman"/>
                <w:i/>
                <w:iCs/>
                <w:sz w:val="28"/>
                <w:szCs w:val="20"/>
              </w:rPr>
              <w:t>Quórum</w:t>
            </w:r>
            <w:r w:rsidRPr="003E425B">
              <w:rPr>
                <w:rFonts w:ascii="Times New Roman" w:hAnsi="Times New Roman"/>
                <w:sz w:val="28"/>
                <w:szCs w:val="20"/>
              </w:rPr>
              <w:t xml:space="preserve"> </w:t>
            </w:r>
            <w:r w:rsidRPr="003E425B">
              <w:rPr>
                <w:rFonts w:ascii="Times New Roman" w:hAnsi="Times New Roman"/>
                <w:i/>
                <w:iCs/>
                <w:sz w:val="28"/>
                <w:szCs w:val="20"/>
              </w:rPr>
              <w:t>decisorio</w:t>
            </w:r>
            <w:r w:rsidRPr="003E425B">
              <w:rPr>
                <w:rFonts w:ascii="Times New Roman" w:hAnsi="Times New Roman"/>
                <w:sz w:val="28"/>
                <w:szCs w:val="20"/>
              </w:rPr>
              <w:t xml:space="preserve">. De acuerdo con el artículo 145 de la Constitución, la decisión de aprobar el informe de ponencia debe tomarse con la asistencia de la mayoría de los integrantes de la respectiva comisión. </w:t>
            </w:r>
          </w:p>
          <w:p w:rsidR="00FB4130" w:rsidRPr="003E425B" w:rsidRDefault="003E425B" w:rsidP="000C6CC6">
            <w:pPr>
              <w:pStyle w:val="Prrafodelista"/>
              <w:widowControl w:val="0"/>
              <w:numPr>
                <w:ilvl w:val="0"/>
                <w:numId w:val="20"/>
              </w:numPr>
              <w:spacing w:line="240" w:lineRule="auto"/>
              <w:ind w:left="884" w:hanging="426"/>
              <w:rPr>
                <w:rFonts w:ascii="Times New Roman" w:hAnsi="Times New Roman"/>
                <w:sz w:val="28"/>
                <w:szCs w:val="20"/>
              </w:rPr>
            </w:pPr>
            <w:r w:rsidRPr="003E425B">
              <w:rPr>
                <w:rFonts w:ascii="Times New Roman" w:hAnsi="Times New Roman"/>
                <w:i/>
                <w:iCs/>
                <w:sz w:val="28"/>
                <w:szCs w:val="20"/>
              </w:rPr>
              <w:t>Modo de votación</w:t>
            </w:r>
            <w:r w:rsidRPr="003E425B">
              <w:rPr>
                <w:rFonts w:ascii="Times New Roman" w:hAnsi="Times New Roman"/>
                <w:sz w:val="28"/>
                <w:szCs w:val="20"/>
              </w:rPr>
              <w:t>. El informe de ponencia puede aprobarse por medi</w:t>
            </w:r>
            <w:r w:rsidRPr="003E425B">
              <w:rPr>
                <w:rFonts w:ascii="Times New Roman" w:hAnsi="Times New Roman"/>
                <w:sz w:val="28"/>
                <w:szCs w:val="20"/>
              </w:rPr>
              <w:t xml:space="preserve">o de </w:t>
            </w:r>
            <w:r w:rsidRPr="003E425B">
              <w:rPr>
                <w:rFonts w:ascii="Times New Roman" w:hAnsi="Times New Roman"/>
                <w:i/>
                <w:iCs/>
                <w:sz w:val="28"/>
                <w:szCs w:val="20"/>
              </w:rPr>
              <w:t>(a)</w:t>
            </w:r>
            <w:r w:rsidRPr="003E425B">
              <w:rPr>
                <w:rFonts w:ascii="Times New Roman" w:hAnsi="Times New Roman"/>
                <w:sz w:val="28"/>
                <w:szCs w:val="20"/>
              </w:rPr>
              <w:t xml:space="preserve"> votación nominal y pública o </w:t>
            </w:r>
            <w:r w:rsidRPr="003E425B">
              <w:rPr>
                <w:rFonts w:ascii="Times New Roman" w:hAnsi="Times New Roman"/>
                <w:i/>
                <w:iCs/>
                <w:sz w:val="28"/>
                <w:szCs w:val="20"/>
              </w:rPr>
              <w:t>(b)</w:t>
            </w:r>
            <w:r w:rsidRPr="003E425B">
              <w:rPr>
                <w:rFonts w:ascii="Times New Roman" w:hAnsi="Times New Roman"/>
                <w:sz w:val="28"/>
                <w:szCs w:val="20"/>
              </w:rPr>
              <w:t xml:space="preserve"> excepcionalmente, votación ordinaria. Esto último, cuando se acredite que procede conforme a alguna de las causales taxativas previstas en el artículo 129 de la Ley 5ª de 1992. La unanimidad de los congresistas pre</w:t>
            </w:r>
            <w:r w:rsidRPr="003E425B">
              <w:rPr>
                <w:rFonts w:ascii="Times New Roman" w:hAnsi="Times New Roman"/>
                <w:sz w:val="28"/>
                <w:szCs w:val="20"/>
              </w:rPr>
              <w:t xml:space="preserve">sentes habilita la votación ordinaria. </w:t>
            </w:r>
          </w:p>
          <w:p w:rsidR="00FB4130" w:rsidRPr="003E425B" w:rsidRDefault="003E425B" w:rsidP="000C6CC6">
            <w:pPr>
              <w:pStyle w:val="Prrafodelista"/>
              <w:widowControl w:val="0"/>
              <w:numPr>
                <w:ilvl w:val="0"/>
                <w:numId w:val="19"/>
              </w:numPr>
              <w:spacing w:line="240" w:lineRule="auto"/>
              <w:ind w:left="458" w:hanging="425"/>
              <w:rPr>
                <w:rFonts w:ascii="Times New Roman" w:hAnsi="Times New Roman"/>
                <w:sz w:val="28"/>
                <w:szCs w:val="20"/>
              </w:rPr>
            </w:pPr>
            <w:r w:rsidRPr="003E425B">
              <w:rPr>
                <w:rFonts w:ascii="Times New Roman" w:hAnsi="Times New Roman"/>
                <w:sz w:val="28"/>
                <w:szCs w:val="20"/>
              </w:rPr>
              <w:t>El cumplimiento de las reglas sobre quórum y mayorías decisorias en la aprobación de las decisiones legislativas no se presume, debe probarse. Los principales medios de prueba para demostrar el cumplimiento del quóru</w:t>
            </w:r>
            <w:r w:rsidRPr="003E425B">
              <w:rPr>
                <w:rFonts w:ascii="Times New Roman" w:hAnsi="Times New Roman"/>
                <w:sz w:val="28"/>
                <w:szCs w:val="20"/>
              </w:rPr>
              <w:t xml:space="preserve">m y las mayorías son </w:t>
            </w:r>
            <w:r w:rsidRPr="003E425B">
              <w:rPr>
                <w:rFonts w:ascii="Times New Roman" w:hAnsi="Times New Roman"/>
                <w:i/>
                <w:iCs/>
                <w:sz w:val="28"/>
                <w:szCs w:val="20"/>
              </w:rPr>
              <w:t>(i)</w:t>
            </w:r>
            <w:r w:rsidRPr="003E425B">
              <w:rPr>
                <w:rFonts w:ascii="Times New Roman" w:hAnsi="Times New Roman"/>
                <w:sz w:val="28"/>
                <w:szCs w:val="20"/>
              </w:rPr>
              <w:t xml:space="preserve"> el acta de las sesiones que se publica en la Gaceta del Congreso y </w:t>
            </w:r>
            <w:r w:rsidRPr="003E425B">
              <w:rPr>
                <w:rFonts w:ascii="Times New Roman" w:hAnsi="Times New Roman"/>
                <w:i/>
                <w:iCs/>
                <w:sz w:val="28"/>
                <w:szCs w:val="20"/>
              </w:rPr>
              <w:t>(ii)</w:t>
            </w:r>
            <w:r w:rsidRPr="003E425B">
              <w:rPr>
                <w:rFonts w:ascii="Times New Roman" w:hAnsi="Times New Roman"/>
                <w:sz w:val="28"/>
                <w:szCs w:val="20"/>
              </w:rPr>
              <w:t xml:space="preserve"> los certificados expedidos por la secretaría de cada comisión o plenaria. Sin embargo, cuando las actas y certificados no contienen información precisa, verifi</w:t>
            </w:r>
            <w:r w:rsidRPr="003E425B">
              <w:rPr>
                <w:rFonts w:ascii="Times New Roman" w:hAnsi="Times New Roman"/>
                <w:sz w:val="28"/>
                <w:szCs w:val="20"/>
              </w:rPr>
              <w:t>cable y suficiente para constatar el cumplimiento de las reglas de quórum y mayorías, es posible acudir a otros medios de prueba, tales como los registros de audio y video del desarrollo de las sesiones parlamentarias.</w:t>
            </w:r>
          </w:p>
          <w:p w:rsidR="00FB4130" w:rsidRPr="003E425B" w:rsidRDefault="003E425B" w:rsidP="000C6CC6">
            <w:pPr>
              <w:pStyle w:val="Prrafodelista"/>
              <w:widowControl w:val="0"/>
              <w:numPr>
                <w:ilvl w:val="0"/>
                <w:numId w:val="19"/>
              </w:numPr>
              <w:spacing w:line="240" w:lineRule="auto"/>
              <w:ind w:left="458" w:hanging="425"/>
              <w:rPr>
                <w:rFonts w:ascii="Times New Roman" w:hAnsi="Times New Roman"/>
                <w:sz w:val="28"/>
                <w:szCs w:val="20"/>
              </w:rPr>
            </w:pPr>
            <w:r w:rsidRPr="003E425B">
              <w:rPr>
                <w:rFonts w:ascii="Times New Roman" w:hAnsi="Times New Roman"/>
                <w:iCs/>
                <w:sz w:val="28"/>
                <w:szCs w:val="20"/>
              </w:rPr>
              <w:t>L</w:t>
            </w:r>
            <w:r w:rsidRPr="003E425B">
              <w:rPr>
                <w:rFonts w:ascii="Times New Roman" w:hAnsi="Times New Roman"/>
                <w:iCs/>
                <w:sz w:val="28"/>
                <w:szCs w:val="20"/>
              </w:rPr>
              <w:t>a</w:t>
            </w:r>
            <w:r w:rsidRPr="003E425B">
              <w:rPr>
                <w:rFonts w:ascii="Times New Roman" w:hAnsi="Times New Roman"/>
                <w:iCs/>
                <w:sz w:val="28"/>
                <w:szCs w:val="20"/>
              </w:rPr>
              <w:t xml:space="preserve"> Corte Constitucional ha enfatizado</w:t>
            </w:r>
            <w:r w:rsidRPr="003E425B">
              <w:rPr>
                <w:rFonts w:ascii="Times New Roman" w:hAnsi="Times New Roman"/>
                <w:iCs/>
                <w:sz w:val="28"/>
                <w:szCs w:val="20"/>
              </w:rPr>
              <w:t xml:space="preserve"> que, en los casos en los que la votación ordinaria procede y es empleada para </w:t>
            </w:r>
            <w:r w:rsidRPr="003E425B">
              <w:rPr>
                <w:rFonts w:ascii="Times New Roman" w:hAnsi="Times New Roman"/>
                <w:iCs/>
                <w:sz w:val="28"/>
                <w:szCs w:val="20"/>
              </w:rPr>
              <w:t>la aprobación del informe de ponencia</w:t>
            </w:r>
            <w:r w:rsidRPr="003E425B">
              <w:rPr>
                <w:rFonts w:ascii="Times New Roman" w:hAnsi="Times New Roman"/>
                <w:iCs/>
                <w:sz w:val="28"/>
                <w:szCs w:val="20"/>
              </w:rPr>
              <w:t xml:space="preserve">, </w:t>
            </w:r>
            <w:r w:rsidRPr="003E425B">
              <w:rPr>
                <w:rFonts w:ascii="Times New Roman" w:hAnsi="Times New Roman"/>
                <w:iCs/>
                <w:sz w:val="28"/>
                <w:szCs w:val="20"/>
              </w:rPr>
              <w:t xml:space="preserve">el acta debe contener información que </w:t>
            </w:r>
            <w:r w:rsidRPr="003E425B">
              <w:rPr>
                <w:rFonts w:ascii="Times New Roman" w:hAnsi="Times New Roman"/>
                <w:iCs/>
                <w:sz w:val="28"/>
                <w:szCs w:val="20"/>
              </w:rPr>
              <w:t>dé</w:t>
            </w:r>
            <w:r w:rsidRPr="003E425B">
              <w:rPr>
                <w:rFonts w:ascii="Times New Roman" w:hAnsi="Times New Roman"/>
                <w:iCs/>
                <w:sz w:val="28"/>
                <w:szCs w:val="20"/>
              </w:rPr>
              <w:t xml:space="preserve"> </w:t>
            </w:r>
            <w:r w:rsidRPr="003E425B">
              <w:rPr>
                <w:rFonts w:ascii="Times New Roman" w:hAnsi="Times New Roman"/>
                <w:iCs/>
                <w:sz w:val="28"/>
                <w:szCs w:val="20"/>
              </w:rPr>
              <w:t>cuenta</w:t>
            </w:r>
            <w:r w:rsidRPr="003E425B">
              <w:rPr>
                <w:rFonts w:ascii="Times New Roman" w:hAnsi="Times New Roman"/>
                <w:iCs/>
                <w:sz w:val="28"/>
                <w:szCs w:val="20"/>
              </w:rPr>
              <w:t xml:space="preserve"> </w:t>
            </w:r>
            <w:r w:rsidRPr="003E425B">
              <w:rPr>
                <w:rFonts w:ascii="Times New Roman" w:hAnsi="Times New Roman"/>
                <w:iCs/>
                <w:sz w:val="28"/>
                <w:szCs w:val="20"/>
              </w:rPr>
              <w:t>d</w:t>
            </w:r>
            <w:r w:rsidRPr="003E425B">
              <w:rPr>
                <w:rFonts w:ascii="Times New Roman" w:hAnsi="Times New Roman"/>
                <w:iCs/>
                <w:sz w:val="28"/>
                <w:szCs w:val="20"/>
              </w:rPr>
              <w:t xml:space="preserve">el cumplimiento de las reglas de quórum y mayorías decisorias al momento </w:t>
            </w:r>
            <w:r w:rsidRPr="003E425B">
              <w:rPr>
                <w:rFonts w:ascii="Times New Roman" w:hAnsi="Times New Roman"/>
                <w:b/>
                <w:bCs/>
                <w:iCs/>
                <w:sz w:val="28"/>
                <w:szCs w:val="20"/>
                <w:u w:val="single"/>
              </w:rPr>
              <w:t>exacto o preciso</w:t>
            </w:r>
            <w:r w:rsidRPr="003E425B">
              <w:rPr>
                <w:rFonts w:ascii="Times New Roman" w:hAnsi="Times New Roman"/>
                <w:iCs/>
                <w:sz w:val="28"/>
                <w:szCs w:val="20"/>
              </w:rPr>
              <w:t xml:space="preserve"> en que la votación se llevó a cabo. Esto</w:t>
            </w:r>
            <w:r w:rsidRPr="003E425B">
              <w:rPr>
                <w:rFonts w:ascii="Times New Roman" w:hAnsi="Times New Roman"/>
                <w:iCs/>
                <w:sz w:val="28"/>
                <w:szCs w:val="20"/>
              </w:rPr>
              <w:t>,</w:t>
            </w:r>
            <w:r w:rsidRPr="003E425B">
              <w:rPr>
                <w:rFonts w:ascii="Times New Roman" w:hAnsi="Times New Roman"/>
                <w:iCs/>
                <w:sz w:val="28"/>
                <w:szCs w:val="20"/>
              </w:rPr>
              <w:t xml:space="preserve"> habida cuenta de que el número de congresistas presentes durante una sesión varía. En estos eventos, no son prueba suficiente</w:t>
            </w:r>
            <w:r w:rsidRPr="003E425B">
              <w:rPr>
                <w:rFonts w:ascii="Times New Roman" w:hAnsi="Times New Roman"/>
                <w:iCs/>
                <w:sz w:val="28"/>
                <w:szCs w:val="20"/>
              </w:rPr>
              <w:t xml:space="preserve"> y concluyente</w:t>
            </w:r>
            <w:r w:rsidRPr="003E425B">
              <w:rPr>
                <w:rFonts w:ascii="Times New Roman" w:hAnsi="Times New Roman"/>
                <w:iCs/>
                <w:sz w:val="28"/>
                <w:szCs w:val="20"/>
              </w:rPr>
              <w:t xml:space="preserve"> </w:t>
            </w:r>
            <w:r w:rsidRPr="003E425B">
              <w:rPr>
                <w:rFonts w:ascii="Times New Roman" w:hAnsi="Times New Roman"/>
                <w:i/>
                <w:sz w:val="28"/>
                <w:szCs w:val="20"/>
              </w:rPr>
              <w:t>(i)</w:t>
            </w:r>
            <w:r w:rsidRPr="003E425B">
              <w:rPr>
                <w:rFonts w:ascii="Times New Roman" w:hAnsi="Times New Roman"/>
                <w:iCs/>
                <w:sz w:val="28"/>
                <w:szCs w:val="20"/>
              </w:rPr>
              <w:t xml:space="preserve"> las actas de las sesiones o las certificaciones en las que simplement</w:t>
            </w:r>
            <w:r w:rsidRPr="003E425B">
              <w:rPr>
                <w:rFonts w:ascii="Times New Roman" w:hAnsi="Times New Roman"/>
                <w:iCs/>
                <w:sz w:val="28"/>
                <w:szCs w:val="20"/>
              </w:rPr>
              <w:t>e se indique el número de asistentes registrados al inicio de la correspondiente sesión</w:t>
            </w:r>
            <w:r w:rsidRPr="003E425B">
              <w:rPr>
                <w:rFonts w:ascii="Times New Roman" w:hAnsi="Times New Roman"/>
                <w:iCs/>
                <w:sz w:val="28"/>
                <w:szCs w:val="20"/>
                <w:vertAlign w:val="superscript"/>
              </w:rPr>
              <w:t xml:space="preserve"> </w:t>
            </w:r>
            <w:r w:rsidRPr="003E425B">
              <w:rPr>
                <w:rFonts w:ascii="Times New Roman" w:hAnsi="Times New Roman"/>
                <w:iCs/>
                <w:sz w:val="28"/>
                <w:szCs w:val="20"/>
              </w:rPr>
              <w:t xml:space="preserve">y </w:t>
            </w:r>
            <w:r w:rsidRPr="003E425B">
              <w:rPr>
                <w:rFonts w:ascii="Times New Roman" w:hAnsi="Times New Roman"/>
                <w:i/>
                <w:sz w:val="28"/>
                <w:szCs w:val="20"/>
              </w:rPr>
              <w:t>(ii)</w:t>
            </w:r>
            <w:r w:rsidRPr="003E425B">
              <w:rPr>
                <w:rFonts w:ascii="Times New Roman" w:hAnsi="Times New Roman"/>
                <w:iCs/>
                <w:sz w:val="28"/>
                <w:szCs w:val="20"/>
              </w:rPr>
              <w:t xml:space="preserve"> las certificaciones sobre votos emitidos en la última votación nominal registrada, antes de que se llevara a cabo la ordinaria. </w:t>
            </w:r>
          </w:p>
          <w:p w:rsidR="00FA6FA6" w:rsidRPr="003E425B" w:rsidRDefault="003E425B" w:rsidP="000C6CC6">
            <w:pPr>
              <w:pStyle w:val="Prrafodelista"/>
              <w:widowControl w:val="0"/>
              <w:numPr>
                <w:ilvl w:val="0"/>
                <w:numId w:val="19"/>
              </w:numPr>
              <w:spacing w:line="240" w:lineRule="auto"/>
              <w:ind w:left="458" w:hanging="425"/>
              <w:rPr>
                <w:rFonts w:ascii="Times New Roman" w:hAnsi="Times New Roman"/>
                <w:sz w:val="28"/>
                <w:szCs w:val="20"/>
              </w:rPr>
            </w:pPr>
            <w:r w:rsidRPr="003E425B">
              <w:rPr>
                <w:rFonts w:ascii="Times New Roman" w:hAnsi="Times New Roman"/>
                <w:iCs/>
                <w:sz w:val="28"/>
                <w:szCs w:val="20"/>
                <w:lang w:val="es-ES_tradnl"/>
              </w:rPr>
              <w:t>Para</w:t>
            </w:r>
            <w:r w:rsidRPr="003E425B">
              <w:rPr>
                <w:rFonts w:ascii="Times New Roman" w:hAnsi="Times New Roman"/>
                <w:iCs/>
                <w:sz w:val="28"/>
                <w:szCs w:val="20"/>
              </w:rPr>
              <w:t xml:space="preserve"> examinar el cumplimiento de</w:t>
            </w:r>
            <w:r w:rsidRPr="003E425B">
              <w:rPr>
                <w:rFonts w:ascii="Times New Roman" w:hAnsi="Times New Roman"/>
                <w:iCs/>
                <w:sz w:val="28"/>
                <w:szCs w:val="20"/>
              </w:rPr>
              <w:t xml:space="preserve"> las reglas de quórum y mayorías de decisiones que, por existir unanimidad, han sido adoptadas mediante votación ordinaria, la Corte Constitucional</w:t>
            </w:r>
            <w:r w:rsidRPr="003E425B">
              <w:rPr>
                <w:rFonts w:ascii="Times New Roman" w:hAnsi="Times New Roman"/>
                <w:iCs/>
                <w:sz w:val="28"/>
                <w:szCs w:val="20"/>
                <w:vertAlign w:val="superscript"/>
              </w:rPr>
              <w:footnoteReference w:id="145"/>
            </w:r>
            <w:r w:rsidRPr="003E425B">
              <w:rPr>
                <w:rFonts w:ascii="Times New Roman" w:hAnsi="Times New Roman"/>
                <w:iCs/>
                <w:sz w:val="28"/>
                <w:szCs w:val="20"/>
              </w:rPr>
              <w:t xml:space="preserve"> ha empleado una metodología de escrutinio que consta de tres pasos o etapas: </w:t>
            </w:r>
          </w:p>
          <w:p w:rsidR="00FA6FA6" w:rsidRPr="003E425B" w:rsidRDefault="003E425B" w:rsidP="000C6CC6">
            <w:pPr>
              <w:pStyle w:val="Prrafodelista"/>
              <w:widowControl w:val="0"/>
              <w:numPr>
                <w:ilvl w:val="0"/>
                <w:numId w:val="21"/>
              </w:numPr>
              <w:spacing w:line="240" w:lineRule="auto"/>
              <w:ind w:left="876" w:hanging="426"/>
              <w:rPr>
                <w:rFonts w:ascii="Times New Roman" w:hAnsi="Times New Roman"/>
                <w:sz w:val="28"/>
                <w:szCs w:val="20"/>
              </w:rPr>
            </w:pPr>
            <w:r w:rsidRPr="003E425B">
              <w:rPr>
                <w:rFonts w:ascii="Times New Roman" w:hAnsi="Times New Roman"/>
                <w:iCs/>
                <w:sz w:val="28"/>
                <w:szCs w:val="20"/>
              </w:rPr>
              <w:t>La Corte constata si, conform</w:t>
            </w:r>
            <w:r w:rsidRPr="003E425B">
              <w:rPr>
                <w:rFonts w:ascii="Times New Roman" w:hAnsi="Times New Roman"/>
                <w:iCs/>
                <w:sz w:val="28"/>
                <w:szCs w:val="20"/>
              </w:rPr>
              <w:t>e al artíc</w:t>
            </w:r>
            <w:r w:rsidRPr="003E425B">
              <w:rPr>
                <w:rFonts w:ascii="Times New Roman" w:hAnsi="Times New Roman"/>
                <w:iCs/>
                <w:sz w:val="28"/>
                <w:szCs w:val="20"/>
              </w:rPr>
              <w:t>u</w:t>
            </w:r>
            <w:r w:rsidRPr="003E425B">
              <w:rPr>
                <w:rFonts w:ascii="Times New Roman" w:hAnsi="Times New Roman"/>
                <w:iCs/>
                <w:sz w:val="28"/>
                <w:szCs w:val="20"/>
              </w:rPr>
              <w:t xml:space="preserve">lo 129 de la Ley 5ª de 1992 y los criterios desarrollados por </w:t>
            </w:r>
            <w:r w:rsidRPr="003E425B">
              <w:rPr>
                <w:rFonts w:ascii="Times New Roman" w:hAnsi="Times New Roman"/>
                <w:iCs/>
                <w:sz w:val="28"/>
                <w:szCs w:val="20"/>
              </w:rPr>
              <w:t xml:space="preserve">la </w:t>
            </w:r>
            <w:r w:rsidRPr="003E425B">
              <w:rPr>
                <w:rFonts w:ascii="Times New Roman" w:hAnsi="Times New Roman"/>
                <w:iCs/>
                <w:sz w:val="28"/>
                <w:szCs w:val="20"/>
              </w:rPr>
              <w:t xml:space="preserve">jurisprudencia constitucional, existía unanimidad y, por lo tanto, era procedente la votación ordinaria. </w:t>
            </w:r>
          </w:p>
          <w:p w:rsidR="007178B3" w:rsidRPr="003E425B" w:rsidRDefault="003E425B" w:rsidP="000C6CC6">
            <w:pPr>
              <w:pStyle w:val="Prrafodelista"/>
              <w:widowControl w:val="0"/>
              <w:numPr>
                <w:ilvl w:val="0"/>
                <w:numId w:val="21"/>
              </w:numPr>
              <w:spacing w:line="240" w:lineRule="auto"/>
              <w:ind w:left="876" w:hanging="426"/>
              <w:rPr>
                <w:rFonts w:ascii="Times New Roman" w:hAnsi="Times New Roman"/>
                <w:sz w:val="28"/>
                <w:szCs w:val="20"/>
              </w:rPr>
            </w:pPr>
            <w:r w:rsidRPr="003E425B">
              <w:rPr>
                <w:rFonts w:ascii="Times New Roman" w:hAnsi="Times New Roman"/>
                <w:iCs/>
                <w:sz w:val="28"/>
                <w:szCs w:val="20"/>
              </w:rPr>
              <w:t xml:space="preserve">La Corte examina si el cumplimiento de las reglas de quórum y mayorías está probado o existe duda sobre el número de senadores presentes y que votaron </w:t>
            </w:r>
            <w:r w:rsidRPr="003E425B">
              <w:rPr>
                <w:rFonts w:ascii="Times New Roman" w:hAnsi="Times New Roman"/>
                <w:iCs/>
                <w:sz w:val="28"/>
                <w:szCs w:val="20"/>
              </w:rPr>
              <w:t>la</w:t>
            </w:r>
            <w:r w:rsidRPr="003E425B">
              <w:rPr>
                <w:rFonts w:ascii="Times New Roman" w:hAnsi="Times New Roman"/>
                <w:iCs/>
                <w:sz w:val="28"/>
                <w:szCs w:val="20"/>
              </w:rPr>
              <w:t xml:space="preserve"> decisión</w:t>
            </w:r>
            <w:r w:rsidRPr="003E425B">
              <w:rPr>
                <w:rFonts w:ascii="Times New Roman" w:hAnsi="Times New Roman"/>
                <w:iCs/>
                <w:sz w:val="28"/>
                <w:szCs w:val="20"/>
              </w:rPr>
              <w:t xml:space="preserve"> que se adoptó de forma ordinaria. </w:t>
            </w:r>
          </w:p>
          <w:p w:rsidR="00FA6FA6" w:rsidRPr="003E425B" w:rsidRDefault="003E425B" w:rsidP="000C6CC6">
            <w:pPr>
              <w:pStyle w:val="Prrafodelista"/>
              <w:widowControl w:val="0"/>
              <w:numPr>
                <w:ilvl w:val="0"/>
                <w:numId w:val="21"/>
              </w:numPr>
              <w:spacing w:line="240" w:lineRule="auto"/>
              <w:ind w:left="876" w:hanging="426"/>
              <w:rPr>
                <w:rFonts w:ascii="Times New Roman" w:hAnsi="Times New Roman"/>
                <w:sz w:val="28"/>
                <w:szCs w:val="20"/>
              </w:rPr>
            </w:pPr>
            <w:r w:rsidRPr="003E425B">
              <w:rPr>
                <w:rFonts w:ascii="Times New Roman" w:hAnsi="Times New Roman"/>
                <w:iCs/>
                <w:sz w:val="28"/>
                <w:szCs w:val="20"/>
              </w:rPr>
              <w:t>D</w:t>
            </w:r>
            <w:r w:rsidRPr="003E425B">
              <w:rPr>
                <w:rFonts w:ascii="Times New Roman" w:hAnsi="Times New Roman"/>
                <w:iCs/>
                <w:sz w:val="28"/>
                <w:szCs w:val="20"/>
              </w:rPr>
              <w:t xml:space="preserve">e constatar </w:t>
            </w:r>
            <w:r w:rsidRPr="003E425B">
              <w:rPr>
                <w:rFonts w:ascii="Times New Roman" w:hAnsi="Times New Roman"/>
                <w:iCs/>
                <w:sz w:val="28"/>
                <w:szCs w:val="20"/>
              </w:rPr>
              <w:t xml:space="preserve">que no existía quórum o mayoría para </w:t>
            </w:r>
            <w:r w:rsidRPr="003E425B">
              <w:rPr>
                <w:rFonts w:ascii="Times New Roman" w:hAnsi="Times New Roman"/>
                <w:iCs/>
                <w:sz w:val="28"/>
                <w:szCs w:val="20"/>
              </w:rPr>
              <w:t>aprobar</w:t>
            </w:r>
            <w:r w:rsidRPr="003E425B">
              <w:rPr>
                <w:rFonts w:ascii="Times New Roman" w:hAnsi="Times New Roman"/>
                <w:iCs/>
                <w:sz w:val="28"/>
                <w:szCs w:val="20"/>
              </w:rPr>
              <w:t xml:space="preserve"> </w:t>
            </w:r>
            <w:r w:rsidRPr="003E425B">
              <w:rPr>
                <w:rFonts w:ascii="Times New Roman" w:hAnsi="Times New Roman"/>
                <w:iCs/>
                <w:sz w:val="28"/>
                <w:szCs w:val="20"/>
              </w:rPr>
              <w:t>la decisión</w:t>
            </w:r>
            <w:r w:rsidRPr="003E425B">
              <w:rPr>
                <w:rFonts w:ascii="Times New Roman" w:hAnsi="Times New Roman"/>
                <w:iCs/>
                <w:sz w:val="28"/>
                <w:szCs w:val="20"/>
              </w:rPr>
              <w:t>, o la falta de certeza</w:t>
            </w:r>
            <w:r w:rsidRPr="003E425B">
              <w:rPr>
                <w:rFonts w:ascii="Times New Roman" w:hAnsi="Times New Roman"/>
                <w:iCs/>
                <w:sz w:val="28"/>
                <w:szCs w:val="20"/>
              </w:rPr>
              <w:t xml:space="preserve"> sobre este punto</w:t>
            </w:r>
            <w:r w:rsidRPr="003E425B">
              <w:rPr>
                <w:rFonts w:ascii="Times New Roman" w:hAnsi="Times New Roman"/>
                <w:iCs/>
                <w:sz w:val="28"/>
                <w:szCs w:val="20"/>
              </w:rPr>
              <w:t xml:space="preserve">, </w:t>
            </w:r>
            <w:r w:rsidRPr="003E425B">
              <w:rPr>
                <w:rFonts w:ascii="Times New Roman" w:hAnsi="Times New Roman"/>
                <w:iCs/>
                <w:sz w:val="28"/>
                <w:szCs w:val="20"/>
              </w:rPr>
              <w:t xml:space="preserve">la Corte debe </w:t>
            </w:r>
            <w:r w:rsidRPr="003E425B">
              <w:rPr>
                <w:rFonts w:ascii="Times New Roman" w:hAnsi="Times New Roman"/>
                <w:iCs/>
                <w:sz w:val="28"/>
                <w:szCs w:val="20"/>
              </w:rPr>
              <w:t>determina</w:t>
            </w:r>
            <w:r w:rsidRPr="003E425B">
              <w:rPr>
                <w:rFonts w:ascii="Times New Roman" w:hAnsi="Times New Roman"/>
                <w:iCs/>
                <w:sz w:val="28"/>
                <w:szCs w:val="20"/>
              </w:rPr>
              <w:t>r</w:t>
            </w:r>
            <w:r w:rsidRPr="003E425B">
              <w:rPr>
                <w:rFonts w:ascii="Times New Roman" w:hAnsi="Times New Roman"/>
                <w:iCs/>
                <w:sz w:val="28"/>
                <w:szCs w:val="20"/>
              </w:rPr>
              <w:t xml:space="preserve"> si </w:t>
            </w:r>
            <w:r w:rsidRPr="003E425B">
              <w:rPr>
                <w:rFonts w:ascii="Times New Roman" w:hAnsi="Times New Roman"/>
                <w:iCs/>
                <w:sz w:val="28"/>
                <w:szCs w:val="20"/>
              </w:rPr>
              <w:t>dicho incumplimiento o falta de certeza constituye una irregularidad o un vicio de procedimiento -subsanable o insubsanable-, de acuerdo con los criterios fijados por la juris</w:t>
            </w:r>
            <w:r w:rsidRPr="003E425B">
              <w:rPr>
                <w:rFonts w:ascii="Times New Roman" w:hAnsi="Times New Roman"/>
                <w:iCs/>
                <w:sz w:val="28"/>
                <w:szCs w:val="20"/>
              </w:rPr>
              <w:t xml:space="preserve">prudencia constitucional. </w:t>
            </w:r>
          </w:p>
        </w:tc>
      </w:tr>
    </w:tbl>
    <w:p w:rsidR="00FB4130" w:rsidRPr="003E425B" w:rsidRDefault="003E425B" w:rsidP="00010108">
      <w:pPr>
        <w:tabs>
          <w:tab w:val="left" w:pos="567"/>
        </w:tabs>
        <w:rPr>
          <w:rFonts w:ascii="Times New Roman" w:hAnsi="Times New Roman" w:cs="Times New Roman"/>
          <w:b/>
          <w:bCs/>
          <w:sz w:val="28"/>
          <w:szCs w:val="28"/>
        </w:rPr>
      </w:pPr>
    </w:p>
    <w:p w:rsidR="005A0403" w:rsidRPr="003E425B" w:rsidRDefault="003E425B" w:rsidP="00010108">
      <w:pPr>
        <w:pStyle w:val="Ttulo2"/>
        <w:numPr>
          <w:ilvl w:val="2"/>
          <w:numId w:val="14"/>
        </w:numPr>
        <w:rPr>
          <w:rFonts w:ascii="Times New Roman" w:hAnsi="Times New Roman" w:cs="Times New Roman"/>
          <w:sz w:val="28"/>
        </w:rPr>
      </w:pPr>
      <w:r w:rsidRPr="003E425B">
        <w:rPr>
          <w:rFonts w:ascii="Times New Roman" w:hAnsi="Times New Roman" w:cs="Times New Roman"/>
          <w:sz w:val="28"/>
        </w:rPr>
        <w:t>Caso concreto</w:t>
      </w:r>
      <w:r w:rsidRPr="003E425B">
        <w:rPr>
          <w:rFonts w:ascii="Times New Roman" w:hAnsi="Times New Roman" w:cs="Times New Roman"/>
          <w:sz w:val="28"/>
        </w:rPr>
        <w:t xml:space="preserve"> </w:t>
      </w:r>
    </w:p>
    <w:p w:rsidR="00FB4130" w:rsidRPr="003E425B" w:rsidRDefault="003E425B" w:rsidP="00010108">
      <w:pPr>
        <w:tabs>
          <w:tab w:val="left" w:pos="567"/>
        </w:tabs>
        <w:rPr>
          <w:rFonts w:ascii="Times New Roman" w:hAnsi="Times New Roman" w:cs="Times New Roman"/>
          <w:sz w:val="28"/>
          <w:szCs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En la presente sección, la Sala Plena examinará si el informe de ponencia para debate en comisiones conjuntas del Proyecto de Ley número 222 de 2022 Senado, 261 de 2022 Cámara</w:t>
      </w:r>
      <w:r w:rsidRPr="003E425B">
        <w:rPr>
          <w:rFonts w:ascii="Times New Roman" w:hAnsi="Times New Roman"/>
          <w:sz w:val="28"/>
          <w:vertAlign w:val="superscript"/>
          <w:lang w:val="es-ES_tradnl"/>
        </w:rPr>
        <w:footnoteReference w:id="146"/>
      </w:r>
      <w:r w:rsidRPr="003E425B">
        <w:rPr>
          <w:rFonts w:ascii="Times New Roman" w:hAnsi="Times New Roman"/>
          <w:sz w:val="28"/>
        </w:rPr>
        <w:t xml:space="preserve"> fue aprobado conforme a las reglas constitucionales y legales de quórum, forma de votación y mayorías. A dichos efectos, la Sala empleará la metodología que la Corte Constitucional ha utilizado para resolver casos en los que se cuestiona la aprobación del</w:t>
      </w:r>
      <w:r w:rsidRPr="003E425B">
        <w:rPr>
          <w:rFonts w:ascii="Times New Roman" w:hAnsi="Times New Roman"/>
          <w:sz w:val="28"/>
        </w:rPr>
        <w:t xml:space="preserve"> informe de ponencia, o alguna otra decisión legislativa, que fue tomada por votación ordinaria. En este sentido, la Sala, en primer lugar, verificará si en este caso existía unanimidad y, por lo tanto, era procedente llevar a cabo la votación ordinaria. E</w:t>
      </w:r>
      <w:r w:rsidRPr="003E425B">
        <w:rPr>
          <w:rFonts w:ascii="Times New Roman" w:hAnsi="Times New Roman"/>
          <w:sz w:val="28"/>
        </w:rPr>
        <w:t>n segundo lugar, constatará si existe prueba del cumplimiento de los requisitos de quórum y mayorías aplicables. En tercer lugar, de encontrar un incumplimiento de estas reglas, examinará si el incumplimiento configura una mera irregularidad o un vicio -su</w:t>
      </w:r>
      <w:r w:rsidRPr="003E425B">
        <w:rPr>
          <w:rFonts w:ascii="Times New Roman" w:hAnsi="Times New Roman"/>
          <w:sz w:val="28"/>
        </w:rPr>
        <w:t xml:space="preserve">bsanable o insubsanable- de procedimiento.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C6CC6">
      <w:pPr>
        <w:pStyle w:val="Ttulo4"/>
        <w:numPr>
          <w:ilvl w:val="0"/>
          <w:numId w:val="22"/>
        </w:numPr>
        <w:ind w:hanging="578"/>
        <w:rPr>
          <w:rFonts w:ascii="Times New Roman" w:hAnsi="Times New Roman" w:cs="Times New Roman"/>
          <w:b w:val="0"/>
          <w:bCs/>
          <w:sz w:val="28"/>
        </w:rPr>
      </w:pPr>
      <w:r w:rsidRPr="003E425B">
        <w:rPr>
          <w:rStyle w:val="Ttulo4Car"/>
          <w:rFonts w:cs="Times New Roman"/>
          <w:b/>
          <w:bCs/>
        </w:rPr>
        <w:t xml:space="preserve">La Comisión Primera Constitucional </w:t>
      </w:r>
      <w:r w:rsidRPr="003E425B">
        <w:rPr>
          <w:rStyle w:val="Ttulo4Car"/>
          <w:rFonts w:cs="Times New Roman"/>
          <w:b/>
          <w:bCs/>
        </w:rPr>
        <w:t xml:space="preserve">del Senado </w:t>
      </w:r>
      <w:r w:rsidRPr="003E425B">
        <w:rPr>
          <w:rStyle w:val="Ttulo4Car"/>
          <w:rFonts w:cs="Times New Roman"/>
          <w:b/>
          <w:bCs/>
        </w:rPr>
        <w:t>estaba habilitada para votar</w:t>
      </w:r>
      <w:r w:rsidRPr="003E425B">
        <w:rPr>
          <w:rFonts w:ascii="Times New Roman" w:hAnsi="Times New Roman" w:cs="Times New Roman"/>
          <w:b w:val="0"/>
          <w:bCs/>
          <w:sz w:val="28"/>
        </w:rPr>
        <w:t xml:space="preserve"> </w:t>
      </w:r>
      <w:r w:rsidRPr="003E425B">
        <w:rPr>
          <w:rFonts w:ascii="Times New Roman" w:hAnsi="Times New Roman" w:cs="Times New Roman"/>
          <w:sz w:val="28"/>
        </w:rPr>
        <w:t xml:space="preserve">de forma ordinaria el informe de ponencia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El 24 de noviembre de 2022, las Comisiones Primeras Constitucionales Conjuntas de la Cámara de Representantes y el Senado de la República debatieron y votaron las proposiciones de archivo y positiva con las que terminaban los informes de ponencia para prim</w:t>
      </w:r>
      <w:r w:rsidRPr="003E425B">
        <w:rPr>
          <w:rFonts w:ascii="Times New Roman" w:hAnsi="Times New Roman"/>
          <w:sz w:val="28"/>
          <w:lang w:val="es-ES_tradnl"/>
        </w:rPr>
        <w:t xml:space="preserve">er debate del </w:t>
      </w:r>
      <w:r w:rsidRPr="003E425B">
        <w:rPr>
          <w:rFonts w:ascii="Times New Roman" w:hAnsi="Times New Roman"/>
          <w:sz w:val="28"/>
        </w:rPr>
        <w:t>Proyecto de Ley número 222 de 2022 Senado, 261 de 2022 Cámara</w:t>
      </w:r>
      <w:r w:rsidRPr="003E425B">
        <w:rPr>
          <w:rFonts w:ascii="Times New Roman" w:hAnsi="Times New Roman"/>
          <w:sz w:val="28"/>
          <w:lang w:val="es-ES_tradnl"/>
        </w:rPr>
        <w:t>. De acuerdo con el Acta Conjunta número 3 de 24 de noviembre de 2022, publicada en la Gaceta del Congreso 96 de 27 de febrero de 2023, la votación de la proposición positiva con la</w:t>
      </w:r>
      <w:r w:rsidRPr="003E425B">
        <w:rPr>
          <w:rFonts w:ascii="Times New Roman" w:hAnsi="Times New Roman"/>
          <w:sz w:val="28"/>
          <w:lang w:val="es-ES_tradnl"/>
        </w:rPr>
        <w:t xml:space="preserve"> que terminaba el informe de ponencia se llevó a cabo de forma ordinaria.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Los demandantes argumentan que en este caso era necesario efectuar la votación de modo nominal y público. En su criterio, en aquellos casos en los que el proyecto de ley contiene u</w:t>
      </w:r>
      <w:r w:rsidRPr="003E425B">
        <w:rPr>
          <w:rFonts w:ascii="Times New Roman" w:hAnsi="Times New Roman"/>
          <w:sz w:val="28"/>
          <w:lang w:val="es-ES_tradnl"/>
        </w:rPr>
        <w:t xml:space="preserve">n artículo que debe ser aprobado por mayoría absoluta, la Constitución y la ley exigen que el informe de ponencia sea aprobado por mayoría absoluta, la cual sólo puede constatarse mediante votación nominal y pública. En este caso, </w:t>
      </w:r>
      <w:r w:rsidRPr="003E425B">
        <w:rPr>
          <w:rFonts w:ascii="Times New Roman" w:hAnsi="Times New Roman"/>
          <w:sz w:val="28"/>
          <w:lang w:val="es-ES_tradnl"/>
        </w:rPr>
        <w:t>uno de los artículos del</w:t>
      </w:r>
      <w:r w:rsidRPr="003E425B">
        <w:rPr>
          <w:rFonts w:ascii="Times New Roman" w:hAnsi="Times New Roman"/>
          <w:sz w:val="28"/>
          <w:lang w:val="es-ES_tradnl"/>
        </w:rPr>
        <w:t xml:space="preserve"> </w:t>
      </w:r>
      <w:r w:rsidRPr="003E425B">
        <w:rPr>
          <w:rFonts w:ascii="Times New Roman" w:hAnsi="Times New Roman"/>
          <w:sz w:val="28"/>
          <w:lang w:val="es-ES_tradnl"/>
        </w:rPr>
        <w:t>proyecto de ley proponía conceder facultades extraordinarias al Presidente de la República, lo que en su criterio implicaba que</w:t>
      </w:r>
      <w:r w:rsidRPr="003E425B">
        <w:rPr>
          <w:rFonts w:ascii="Times New Roman" w:hAnsi="Times New Roman"/>
          <w:sz w:val="28"/>
          <w:lang w:val="es-ES_tradnl"/>
        </w:rPr>
        <w:t xml:space="preserve"> </w:t>
      </w:r>
      <w:r w:rsidRPr="003E425B">
        <w:rPr>
          <w:rFonts w:ascii="Times New Roman" w:hAnsi="Times New Roman"/>
          <w:sz w:val="28"/>
          <w:lang w:val="es-ES_tradnl"/>
        </w:rPr>
        <w:t>debía ser aprobado por mayoría absoluta. De otro lado, sostienen que, de cualquier modo, en este caso no procedía la votación or</w:t>
      </w:r>
      <w:r w:rsidRPr="003E425B">
        <w:rPr>
          <w:rFonts w:ascii="Times New Roman" w:hAnsi="Times New Roman"/>
          <w:sz w:val="28"/>
          <w:lang w:val="es-ES_tradnl"/>
        </w:rPr>
        <w:t>dinaria, porque en la intervención en el debate del informe de ponencia, la senadora Paloma Valencia</w:t>
      </w:r>
      <w:r w:rsidRPr="003E425B">
        <w:rPr>
          <w:rFonts w:ascii="Times New Roman" w:hAnsi="Times New Roman"/>
          <w:sz w:val="28"/>
          <w:lang w:val="es-ES_tradnl"/>
        </w:rPr>
        <w:t>:</w:t>
      </w:r>
      <w:r w:rsidRPr="003E425B">
        <w:rPr>
          <w:rFonts w:ascii="Times New Roman" w:hAnsi="Times New Roman"/>
          <w:sz w:val="28"/>
          <w:lang w:val="es-ES_tradnl"/>
        </w:rPr>
        <w:t xml:space="preserve"> </w:t>
      </w:r>
      <w:r w:rsidRPr="003E425B">
        <w:rPr>
          <w:rFonts w:ascii="Times New Roman" w:hAnsi="Times New Roman"/>
          <w:i/>
          <w:iCs/>
          <w:sz w:val="28"/>
          <w:lang w:val="es-ES_tradnl"/>
        </w:rPr>
        <w:t>(i)</w:t>
      </w:r>
      <w:r w:rsidRPr="003E425B">
        <w:rPr>
          <w:rFonts w:ascii="Times New Roman" w:hAnsi="Times New Roman"/>
          <w:sz w:val="28"/>
          <w:lang w:val="es-ES_tradnl"/>
        </w:rPr>
        <w:t xml:space="preserve"> solicitó que la votación se llevara a cabo de forma nominal y pública; </w:t>
      </w:r>
      <w:r w:rsidRPr="003E425B">
        <w:rPr>
          <w:rFonts w:ascii="Times New Roman" w:hAnsi="Times New Roman"/>
          <w:i/>
          <w:iCs/>
          <w:sz w:val="28"/>
          <w:lang w:val="es-ES_tradnl"/>
        </w:rPr>
        <w:t>(ii)</w:t>
      </w:r>
      <w:r w:rsidRPr="003E425B">
        <w:rPr>
          <w:rFonts w:ascii="Times New Roman" w:hAnsi="Times New Roman"/>
          <w:sz w:val="28"/>
          <w:lang w:val="es-ES_tradnl"/>
        </w:rPr>
        <w:t xml:space="preserve"> anunció que la oposición se retiraría del recinto al momento de votar el p</w:t>
      </w:r>
      <w:r w:rsidRPr="003E425B">
        <w:rPr>
          <w:rFonts w:ascii="Times New Roman" w:hAnsi="Times New Roman"/>
          <w:sz w:val="28"/>
          <w:lang w:val="es-ES_tradnl"/>
        </w:rPr>
        <w:t>royecto, “razón por la cual se requería realizar el llamado a lista nominal para certificar que existía el quórum necesario para aprobar el informe de ponencia”</w:t>
      </w:r>
      <w:r w:rsidRPr="003E425B">
        <w:rPr>
          <w:rFonts w:ascii="Times New Roman" w:hAnsi="Times New Roman"/>
          <w:sz w:val="28"/>
          <w:vertAlign w:val="superscript"/>
          <w:lang w:val="es-ES_tradnl"/>
        </w:rPr>
        <w:footnoteReference w:id="147"/>
      </w:r>
      <w:r w:rsidRPr="003E425B">
        <w:rPr>
          <w:rFonts w:ascii="Times New Roman" w:hAnsi="Times New Roman"/>
          <w:sz w:val="28"/>
          <w:lang w:val="es-ES_tradnl"/>
        </w:rPr>
        <w:t xml:space="preserve"> y </w:t>
      </w:r>
      <w:r w:rsidRPr="003E425B">
        <w:rPr>
          <w:rFonts w:ascii="Times New Roman" w:hAnsi="Times New Roman"/>
          <w:i/>
          <w:iCs/>
          <w:sz w:val="28"/>
          <w:lang w:val="es-ES_tradnl"/>
        </w:rPr>
        <w:t>(iii)</w:t>
      </w:r>
      <w:r w:rsidRPr="003E425B">
        <w:rPr>
          <w:rFonts w:ascii="Times New Roman" w:hAnsi="Times New Roman"/>
          <w:sz w:val="28"/>
          <w:lang w:val="es-ES_tradnl"/>
        </w:rPr>
        <w:t xml:space="preserve"> cuando ingresó nuevamente al recinto, la senadora reprochó que la votación se hubiese </w:t>
      </w:r>
      <w:r w:rsidRPr="003E425B">
        <w:rPr>
          <w:rFonts w:ascii="Times New Roman" w:hAnsi="Times New Roman"/>
          <w:sz w:val="28"/>
          <w:lang w:val="es-ES_tradnl"/>
        </w:rPr>
        <w:t>hecho de modo ordinario, lo que impedía verificar el quórum y la mayoría requerida</w:t>
      </w:r>
      <w:r w:rsidRPr="003E425B">
        <w:rPr>
          <w:rStyle w:val="Refdenotaalpie"/>
          <w:rFonts w:ascii="Times New Roman" w:hAnsi="Times New Roman"/>
          <w:sz w:val="28"/>
        </w:rPr>
        <w:footnoteReference w:id="148"/>
      </w:r>
      <w:r w:rsidRPr="003E425B">
        <w:rPr>
          <w:rFonts w:ascii="Times New Roman" w:hAnsi="Times New Roman"/>
          <w:sz w:val="28"/>
          <w:lang w:val="es-ES_tradnl"/>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lang w:val="es-ES_tradnl"/>
        </w:rPr>
        <w:t>La Corte Constitucional no comparte la argumentación de los demandantes. En criterio de la Sala Plena, la Comisión Primera Constitucional del Senado estaba habilitada pa</w:t>
      </w:r>
      <w:r w:rsidRPr="003E425B">
        <w:rPr>
          <w:rFonts w:ascii="Times New Roman" w:hAnsi="Times New Roman"/>
          <w:sz w:val="28"/>
          <w:lang w:val="es-ES_tradnl"/>
        </w:rPr>
        <w:t>ra votar de forma ordinaria la proposición de “dar primer debate y aprobar el Proyecto de Ley No. 222 de 2022 Senado”</w:t>
      </w:r>
      <w:r w:rsidRPr="003E425B">
        <w:rPr>
          <w:rFonts w:ascii="Times New Roman" w:hAnsi="Times New Roman"/>
          <w:sz w:val="28"/>
          <w:vertAlign w:val="superscript"/>
          <w:lang w:val="es-ES_tradnl"/>
        </w:rPr>
        <w:footnoteReference w:id="149"/>
      </w:r>
      <w:r w:rsidRPr="003E425B">
        <w:rPr>
          <w:rFonts w:ascii="Times New Roman" w:hAnsi="Times New Roman"/>
          <w:sz w:val="28"/>
          <w:lang w:val="es-ES_tradnl"/>
        </w:rPr>
        <w:t xml:space="preserve"> con la que culminaba el informe de ponencia. Esto, por dos razones:</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u w:val="single"/>
        </w:rPr>
        <w:t>Primero</w:t>
      </w:r>
      <w:r w:rsidRPr="003E425B">
        <w:rPr>
          <w:rFonts w:ascii="Times New Roman" w:hAnsi="Times New Roman"/>
          <w:sz w:val="28"/>
        </w:rPr>
        <w:t xml:space="preserve">. No </w:t>
      </w:r>
      <w:r w:rsidRPr="003E425B">
        <w:rPr>
          <w:rFonts w:ascii="Times New Roman" w:hAnsi="Times New Roman"/>
          <w:sz w:val="28"/>
        </w:rPr>
        <w:t>existe ninguna norma de rango constitucional o legal</w:t>
      </w:r>
      <w:r w:rsidRPr="003E425B">
        <w:rPr>
          <w:rFonts w:ascii="Times New Roman" w:hAnsi="Times New Roman"/>
          <w:sz w:val="28"/>
        </w:rPr>
        <w:t xml:space="preserve"> </w:t>
      </w:r>
      <w:r w:rsidRPr="003E425B">
        <w:rPr>
          <w:rFonts w:ascii="Times New Roman" w:hAnsi="Times New Roman"/>
          <w:sz w:val="28"/>
        </w:rPr>
        <w:t>que</w:t>
      </w:r>
      <w:r w:rsidRPr="003E425B">
        <w:rPr>
          <w:rFonts w:ascii="Times New Roman" w:hAnsi="Times New Roman"/>
          <w:sz w:val="28"/>
        </w:rPr>
        <w:t xml:space="preserve"> establezca que </w:t>
      </w:r>
      <w:r w:rsidRPr="003E425B">
        <w:rPr>
          <w:rFonts w:ascii="Times New Roman" w:hAnsi="Times New Roman"/>
          <w:sz w:val="28"/>
        </w:rPr>
        <w:t>las decisiones legislativas que requieran mayoría absoluta deban votarse de forma nominal y pública. Por el contrario, la Sala reitera que, conforme a la jurisprudencia constitucional, la aprobación de una iniciativa que exige alcanzar mayo</w:t>
      </w:r>
      <w:r w:rsidRPr="003E425B">
        <w:rPr>
          <w:rFonts w:ascii="Times New Roman" w:hAnsi="Times New Roman"/>
          <w:sz w:val="28"/>
        </w:rPr>
        <w:t>ría absoluta puede llevarse a cabo mediante votación ordinaria</w:t>
      </w:r>
      <w:r w:rsidRPr="003E425B">
        <w:rPr>
          <w:rStyle w:val="Refdenotaalpie"/>
          <w:rFonts w:ascii="Times New Roman" w:hAnsi="Times New Roman"/>
          <w:sz w:val="28"/>
        </w:rPr>
        <w:footnoteReference w:id="150"/>
      </w:r>
      <w:r w:rsidRPr="003E425B">
        <w:rPr>
          <w:rFonts w:ascii="Times New Roman" w:hAnsi="Times New Roman"/>
          <w:sz w:val="28"/>
        </w:rPr>
        <w:t xml:space="preserve">. </w:t>
      </w:r>
    </w:p>
    <w:p w:rsidR="00FB4130" w:rsidRPr="003E425B" w:rsidRDefault="003E425B" w:rsidP="002612CA">
      <w:pPr>
        <w:rPr>
          <w:rFonts w:ascii="Times New Roman" w:hAnsi="Times New Roman" w:cs="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u w:val="single"/>
        </w:rPr>
        <w:t>Segundo</w:t>
      </w:r>
      <w:r w:rsidRPr="003E425B">
        <w:rPr>
          <w:rFonts w:ascii="Times New Roman" w:hAnsi="Times New Roman"/>
          <w:sz w:val="28"/>
        </w:rPr>
        <w:t>. La</w:t>
      </w:r>
      <w:r w:rsidRPr="003E425B">
        <w:rPr>
          <w:rFonts w:ascii="Times New Roman" w:hAnsi="Times New Roman"/>
          <w:sz w:val="28"/>
        </w:rPr>
        <w:t xml:space="preserve"> Sala Plena considera que, conforme al numeral 16 del artículo 129 de la Ley 5ª de 1992, en este caso era procedente aprobar la proposición positiva del informe de ponencia en la</w:t>
      </w:r>
      <w:r w:rsidRPr="003E425B">
        <w:rPr>
          <w:rFonts w:ascii="Times New Roman" w:hAnsi="Times New Roman"/>
          <w:sz w:val="28"/>
        </w:rPr>
        <w:t xml:space="preserve"> Comisión Primera Constitucional del Senado mediante votación ordinaria. Esto, porque existían indicios suficientes de unanimidad. La Corte reitera que, conforme a la jurisprudencia constitucional, </w:t>
      </w:r>
      <w:r w:rsidRPr="003E425B">
        <w:rPr>
          <w:rFonts w:ascii="Times New Roman" w:hAnsi="Times New Roman"/>
          <w:sz w:val="28"/>
          <w:lang w:val="es-ES_tradnl"/>
        </w:rPr>
        <w:t>la unanimidad se presenta cuando se constata el “acuerdo e</w:t>
      </w:r>
      <w:r w:rsidRPr="003E425B">
        <w:rPr>
          <w:rFonts w:ascii="Times New Roman" w:hAnsi="Times New Roman"/>
          <w:sz w:val="28"/>
          <w:lang w:val="es-ES_tradnl"/>
        </w:rPr>
        <w:t xml:space="preserve">ntre todos los parlamentarios </w:t>
      </w:r>
      <w:r w:rsidRPr="003E425B">
        <w:rPr>
          <w:rFonts w:ascii="Times New Roman" w:hAnsi="Times New Roman"/>
          <w:i/>
          <w:iCs/>
          <w:sz w:val="28"/>
          <w:u w:val="single"/>
          <w:lang w:val="es-ES_tradnl"/>
        </w:rPr>
        <w:t>presentes</w:t>
      </w:r>
      <w:r w:rsidRPr="003E425B">
        <w:rPr>
          <w:rFonts w:ascii="Times New Roman" w:hAnsi="Times New Roman"/>
          <w:sz w:val="28"/>
          <w:lang w:val="es-ES_tradnl"/>
        </w:rPr>
        <w:t xml:space="preserve"> para dar o no trámite a la iniciativa, al igual que aprobar o hundir el proyecto sometido a su consideración”</w:t>
      </w:r>
      <w:r w:rsidRPr="003E425B">
        <w:rPr>
          <w:rFonts w:ascii="Times New Roman" w:hAnsi="Times New Roman"/>
          <w:sz w:val="28"/>
          <w:vertAlign w:val="superscript"/>
          <w:lang w:val="es-ES_tradnl"/>
        </w:rPr>
        <w:footnoteReference w:id="151"/>
      </w:r>
      <w:r w:rsidRPr="003E425B">
        <w:rPr>
          <w:rFonts w:ascii="Times New Roman" w:hAnsi="Times New Roman"/>
          <w:sz w:val="28"/>
          <w:lang w:val="es-ES_tradnl"/>
        </w:rPr>
        <w:t xml:space="preserve"> (subrayado fuera del texto). La Corte Constitucional ha sostenido que uno de los indicadores que permiten inferir razonablemente la unanimidad y, en consecuencia, habilitan la votación ordinaria, es la constancia expresa e inequívoca de unanimidad al decl</w:t>
      </w:r>
      <w:r w:rsidRPr="003E425B">
        <w:rPr>
          <w:rFonts w:ascii="Times New Roman" w:hAnsi="Times New Roman"/>
          <w:sz w:val="28"/>
          <w:lang w:val="es-ES_tradnl"/>
        </w:rPr>
        <w:t>arar el resultado de la votación</w:t>
      </w:r>
      <w:r w:rsidRPr="003E425B">
        <w:rPr>
          <w:rFonts w:ascii="Times New Roman" w:hAnsi="Times New Roman"/>
          <w:sz w:val="28"/>
          <w:vertAlign w:val="superscript"/>
          <w:lang w:val="es-ES_tradnl"/>
        </w:rPr>
        <w:footnoteReference w:id="152"/>
      </w:r>
      <w:r w:rsidRPr="003E425B">
        <w:rPr>
          <w:rFonts w:ascii="Times New Roman" w:hAnsi="Times New Roman"/>
          <w:sz w:val="28"/>
          <w:lang w:val="es-ES_tradnl"/>
        </w:rPr>
        <w:t xml:space="preserve">. Esta constancia puede consignarse “en </w:t>
      </w:r>
      <w:r w:rsidRPr="003E425B">
        <w:rPr>
          <w:rFonts w:ascii="Times New Roman" w:hAnsi="Times New Roman"/>
          <w:iCs/>
          <w:sz w:val="28"/>
          <w:lang w:val="es-ES_tradnl"/>
        </w:rPr>
        <w:t>el acta de sesión o en alguno de los demás medios probatorios que registra lo ocurrido durante la votación”</w:t>
      </w:r>
      <w:r w:rsidRPr="003E425B">
        <w:rPr>
          <w:rFonts w:ascii="Times New Roman" w:hAnsi="Times New Roman"/>
          <w:iCs/>
          <w:sz w:val="28"/>
          <w:vertAlign w:val="superscript"/>
          <w:lang w:val="es-ES_tradnl"/>
        </w:rPr>
        <w:footnoteReference w:id="153"/>
      </w:r>
      <w:r w:rsidRPr="003E425B">
        <w:rPr>
          <w:rFonts w:ascii="Times New Roman" w:hAnsi="Times New Roman"/>
          <w:sz w:val="28"/>
          <w:lang w:val="es-ES_tradnl"/>
        </w:rPr>
        <w:t xml:space="preserve">. </w:t>
      </w:r>
    </w:p>
    <w:p w:rsidR="00FB4130" w:rsidRPr="003E425B" w:rsidRDefault="003E425B" w:rsidP="002612CA">
      <w:pPr>
        <w:rPr>
          <w:rFonts w:ascii="Times New Roman" w:hAnsi="Times New Roman" w:cs="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En este caso, </w:t>
      </w:r>
      <w:r w:rsidRPr="003E425B">
        <w:rPr>
          <w:rFonts w:ascii="Times New Roman" w:hAnsi="Times New Roman"/>
          <w:sz w:val="28"/>
          <w:lang w:val="es-ES_tradnl"/>
        </w:rPr>
        <w:t>el Acta Conjunta número 3 de 24 de noviembre de 2022, pub</w:t>
      </w:r>
      <w:r w:rsidRPr="003E425B">
        <w:rPr>
          <w:rFonts w:ascii="Times New Roman" w:hAnsi="Times New Roman"/>
          <w:sz w:val="28"/>
          <w:lang w:val="es-ES_tradnl"/>
        </w:rPr>
        <w:t>licada en la Gaceta del Congreso 96 de 27 de febrero de 2023</w:t>
      </w:r>
      <w:r w:rsidRPr="003E425B">
        <w:rPr>
          <w:rFonts w:ascii="Times New Roman" w:hAnsi="Times New Roman"/>
          <w:sz w:val="28"/>
          <w:lang w:val="es-ES_tradnl"/>
        </w:rPr>
        <w:t>,</w:t>
      </w:r>
      <w:r w:rsidRPr="003E425B">
        <w:rPr>
          <w:rFonts w:ascii="Times New Roman" w:hAnsi="Times New Roman"/>
          <w:sz w:val="28"/>
        </w:rPr>
        <w:t xml:space="preserve"> indica que la Comisión Primera del Senado aprobó la proposición positiva con que termina el informe de ponencia “</w:t>
      </w:r>
      <w:r w:rsidRPr="003E425B">
        <w:rPr>
          <w:rFonts w:ascii="Times New Roman" w:hAnsi="Times New Roman"/>
          <w:i/>
          <w:iCs/>
          <w:sz w:val="28"/>
        </w:rPr>
        <w:t>por unanimidad</w:t>
      </w:r>
      <w:r w:rsidRPr="003E425B">
        <w:rPr>
          <w:rFonts w:ascii="Times New Roman" w:hAnsi="Times New Roman"/>
          <w:sz w:val="28"/>
        </w:rPr>
        <w:t xml:space="preserve"> con registro del quorum decisorio de conformidad a la última votac</w:t>
      </w:r>
      <w:r w:rsidRPr="003E425B">
        <w:rPr>
          <w:rFonts w:ascii="Times New Roman" w:hAnsi="Times New Roman"/>
          <w:sz w:val="28"/>
        </w:rPr>
        <w:t>ión”</w:t>
      </w:r>
      <w:r w:rsidRPr="003E425B">
        <w:rPr>
          <w:rStyle w:val="Refdenotaalpie"/>
          <w:rFonts w:ascii="Times New Roman" w:eastAsiaTheme="majorEastAsia" w:hAnsi="Times New Roman"/>
          <w:sz w:val="28"/>
        </w:rPr>
        <w:footnoteReference w:id="154"/>
      </w:r>
      <w:r w:rsidRPr="003E425B">
        <w:rPr>
          <w:rFonts w:ascii="Times New Roman" w:hAnsi="Times New Roman"/>
          <w:sz w:val="28"/>
        </w:rPr>
        <w:t xml:space="preserve">. Esto es un indicio razonable de que la decisión de aprobar el informe de ponencia entre los congresistas </w:t>
      </w:r>
      <w:r w:rsidRPr="003E425B">
        <w:rPr>
          <w:rFonts w:ascii="Times New Roman" w:hAnsi="Times New Roman"/>
          <w:i/>
          <w:iCs/>
          <w:sz w:val="28"/>
        </w:rPr>
        <w:t>presentes</w:t>
      </w:r>
      <w:r w:rsidRPr="003E425B">
        <w:rPr>
          <w:rFonts w:ascii="Times New Roman" w:hAnsi="Times New Roman"/>
          <w:sz w:val="28"/>
        </w:rPr>
        <w:t xml:space="preserve"> al momento de la votación </w:t>
      </w:r>
      <w:r w:rsidRPr="003E425B">
        <w:rPr>
          <w:rFonts w:ascii="Times New Roman" w:hAnsi="Times New Roman"/>
          <w:sz w:val="28"/>
        </w:rPr>
        <w:t>fue</w:t>
      </w:r>
      <w:r w:rsidRPr="003E425B">
        <w:rPr>
          <w:rFonts w:ascii="Times New Roman" w:hAnsi="Times New Roman"/>
          <w:sz w:val="28"/>
        </w:rPr>
        <w:t xml:space="preserve"> unánime. Por lo demás, la Sala advierte que el acta </w:t>
      </w:r>
      <w:r w:rsidRPr="003E425B">
        <w:rPr>
          <w:rFonts w:ascii="Times New Roman" w:hAnsi="Times New Roman"/>
          <w:sz w:val="28"/>
        </w:rPr>
        <w:t xml:space="preserve">evidencia </w:t>
      </w:r>
      <w:r w:rsidRPr="003E425B">
        <w:rPr>
          <w:rFonts w:ascii="Times New Roman" w:hAnsi="Times New Roman"/>
          <w:sz w:val="28"/>
        </w:rPr>
        <w:t xml:space="preserve">que, </w:t>
      </w:r>
      <w:r w:rsidRPr="003E425B">
        <w:rPr>
          <w:rFonts w:ascii="Times New Roman" w:hAnsi="Times New Roman"/>
          <w:i/>
          <w:iCs/>
          <w:sz w:val="28"/>
        </w:rPr>
        <w:t xml:space="preserve">(i) </w:t>
      </w:r>
      <w:r w:rsidRPr="003E425B">
        <w:rPr>
          <w:rFonts w:ascii="Times New Roman" w:hAnsi="Times New Roman"/>
          <w:sz w:val="28"/>
        </w:rPr>
        <w:t>al momento de la votación ordinar</w:t>
      </w:r>
      <w:r w:rsidRPr="003E425B">
        <w:rPr>
          <w:rFonts w:ascii="Times New Roman" w:hAnsi="Times New Roman"/>
          <w:sz w:val="28"/>
        </w:rPr>
        <w:t xml:space="preserve">ia, ninguno de los senadores presentes expresó voto negativo y </w:t>
      </w:r>
      <w:r w:rsidRPr="003E425B">
        <w:rPr>
          <w:rFonts w:ascii="Times New Roman" w:hAnsi="Times New Roman"/>
          <w:i/>
          <w:iCs/>
          <w:sz w:val="28"/>
        </w:rPr>
        <w:t>(ii)</w:t>
      </w:r>
      <w:r w:rsidRPr="003E425B">
        <w:rPr>
          <w:rFonts w:ascii="Times New Roman" w:hAnsi="Times New Roman"/>
          <w:sz w:val="28"/>
        </w:rPr>
        <w:t xml:space="preserve"> </w:t>
      </w:r>
      <w:r w:rsidRPr="003E425B">
        <w:rPr>
          <w:rFonts w:ascii="Times New Roman" w:hAnsi="Times New Roman"/>
          <w:sz w:val="28"/>
          <w:lang w:val="es-ES_tradnl"/>
        </w:rPr>
        <w:t>la votación nominal y pública de las proposiciones de archivo, que se efectuó al inicio de la sesión, fue unánime</w:t>
      </w:r>
      <w:r w:rsidRPr="003E425B">
        <w:rPr>
          <w:rFonts w:ascii="Times New Roman" w:hAnsi="Times New Roman"/>
          <w:sz w:val="28"/>
        </w:rPr>
        <w:t xml:space="preserve">. </w:t>
      </w:r>
    </w:p>
    <w:p w:rsidR="00FB4130" w:rsidRPr="003E425B" w:rsidRDefault="003E425B" w:rsidP="002612CA">
      <w:pPr>
        <w:rPr>
          <w:rFonts w:ascii="Times New Roman" w:hAnsi="Times New Roman" w:cs="Times New Roman"/>
          <w:sz w:val="28"/>
          <w:u w:val="single"/>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u w:val="single"/>
        </w:rPr>
        <w:t>Tercero</w:t>
      </w:r>
      <w:r w:rsidRPr="003E425B">
        <w:rPr>
          <w:rFonts w:ascii="Times New Roman" w:hAnsi="Times New Roman"/>
          <w:sz w:val="28"/>
        </w:rPr>
        <w:t>. Contrario a lo sostenido por los demandantes, la senadora Palo</w:t>
      </w:r>
      <w:r w:rsidRPr="003E425B">
        <w:rPr>
          <w:rFonts w:ascii="Times New Roman" w:hAnsi="Times New Roman"/>
          <w:sz w:val="28"/>
        </w:rPr>
        <w:t xml:space="preserve">ma Valencia no solicitó de forma expresa y clara que la votación se llevara a cabo de forma nominal y pública. </w:t>
      </w:r>
      <w:r w:rsidRPr="003E425B">
        <w:rPr>
          <w:rFonts w:ascii="Times New Roman" w:hAnsi="Times New Roman"/>
          <w:sz w:val="28"/>
          <w:lang w:val="es-ES_tradnl"/>
        </w:rPr>
        <w:t xml:space="preserve">La Corte reitera que, conforme a la jurisprudencia constitucional, los senadores están facultados para solicitar que una determinada votación se </w:t>
      </w:r>
      <w:r w:rsidRPr="003E425B">
        <w:rPr>
          <w:rFonts w:ascii="Times New Roman" w:hAnsi="Times New Roman"/>
          <w:sz w:val="28"/>
          <w:lang w:val="es-ES_tradnl"/>
        </w:rPr>
        <w:t xml:space="preserve">haga de forma nominal y pública. Sin embargo, deben plantear dicha solicitud </w:t>
      </w:r>
      <w:r w:rsidRPr="003E425B">
        <w:rPr>
          <w:rFonts w:ascii="Times New Roman" w:hAnsi="Times New Roman"/>
          <w:i/>
          <w:iCs/>
          <w:sz w:val="28"/>
          <w:lang w:val="es-ES_tradnl"/>
        </w:rPr>
        <w:t>(i)</w:t>
      </w:r>
      <w:r w:rsidRPr="003E425B">
        <w:rPr>
          <w:rFonts w:ascii="Times New Roman" w:hAnsi="Times New Roman"/>
          <w:sz w:val="28"/>
          <w:lang w:val="es-ES_tradnl"/>
        </w:rPr>
        <w:t xml:space="preserve"> de forma expresa y clara</w:t>
      </w:r>
      <w:r w:rsidRPr="003E425B">
        <w:rPr>
          <w:rStyle w:val="Refdenotaalpie"/>
          <w:rFonts w:ascii="Times New Roman" w:hAnsi="Times New Roman"/>
          <w:sz w:val="28"/>
        </w:rPr>
        <w:footnoteReference w:id="155"/>
      </w:r>
      <w:r w:rsidRPr="003E425B">
        <w:rPr>
          <w:rFonts w:ascii="Times New Roman" w:hAnsi="Times New Roman"/>
          <w:sz w:val="28"/>
          <w:lang w:val="es-ES_tradnl"/>
        </w:rPr>
        <w:t xml:space="preserve"> y </w:t>
      </w:r>
      <w:r w:rsidRPr="003E425B">
        <w:rPr>
          <w:rFonts w:ascii="Times New Roman" w:hAnsi="Times New Roman"/>
          <w:i/>
          <w:iCs/>
          <w:sz w:val="28"/>
          <w:lang w:val="es-ES_tradnl"/>
        </w:rPr>
        <w:t>(ii)</w:t>
      </w:r>
      <w:r w:rsidRPr="003E425B">
        <w:rPr>
          <w:rFonts w:ascii="Times New Roman" w:hAnsi="Times New Roman"/>
          <w:sz w:val="28"/>
          <w:lang w:val="es-ES_tradnl"/>
        </w:rPr>
        <w:t xml:space="preserve"> al momento en que se va a efectuar la votación, no durante el debate, o después de que esta ya se ha efectuado </w:t>
      </w:r>
      <w:r w:rsidRPr="003E425B">
        <w:rPr>
          <w:rFonts w:ascii="Times New Roman" w:hAnsi="Times New Roman"/>
          <w:sz w:val="28"/>
          <w:lang w:val="es-ES_tradnl"/>
        </w:rPr>
        <w:t>(</w:t>
      </w:r>
      <w:r w:rsidRPr="003E425B">
        <w:rPr>
          <w:rFonts w:ascii="Times New Roman" w:hAnsi="Times New Roman"/>
          <w:sz w:val="28"/>
          <w:lang w:val="es-ES_tradnl"/>
        </w:rPr>
        <w:t xml:space="preserve">ver fundamento </w:t>
      </w:r>
      <w:r w:rsidRPr="003E425B">
        <w:rPr>
          <w:rFonts w:ascii="Times New Roman" w:hAnsi="Times New Roman"/>
          <w:sz w:val="28"/>
          <w:lang w:val="es-ES_tradnl"/>
        </w:rPr>
        <w:fldChar w:fldCharType="begin"/>
      </w:r>
      <w:r w:rsidRPr="003E425B">
        <w:rPr>
          <w:rFonts w:ascii="Times New Roman" w:hAnsi="Times New Roman"/>
          <w:sz w:val="28"/>
          <w:lang w:val="es-ES_tradnl"/>
        </w:rPr>
        <w:instrText xml:space="preserve"> REF _Ref165376685 \r \h </w:instrText>
      </w:r>
      <w:r w:rsidRPr="003E425B">
        <w:rPr>
          <w:rFonts w:ascii="Times New Roman" w:hAnsi="Times New Roman"/>
          <w:sz w:val="28"/>
          <w:lang w:val="es-ES_tradnl"/>
        </w:rPr>
        <w:instrText xml:space="preserve"> \* MERGEFORMAT </w:instrText>
      </w:r>
      <w:r w:rsidRPr="003E425B">
        <w:rPr>
          <w:rFonts w:ascii="Times New Roman" w:hAnsi="Times New Roman"/>
          <w:sz w:val="28"/>
          <w:lang w:val="es-ES_tradnl"/>
        </w:rPr>
      </w:r>
      <w:r w:rsidRPr="003E425B">
        <w:rPr>
          <w:rFonts w:ascii="Times New Roman" w:hAnsi="Times New Roman"/>
          <w:sz w:val="28"/>
          <w:lang w:val="es-ES_tradnl"/>
        </w:rPr>
        <w:fldChar w:fldCharType="separate"/>
      </w:r>
      <w:r w:rsidRPr="003E425B">
        <w:rPr>
          <w:rFonts w:ascii="Times New Roman" w:hAnsi="Times New Roman"/>
          <w:sz w:val="28"/>
          <w:lang w:val="es-ES_tradnl"/>
        </w:rPr>
        <w:t>67</w:t>
      </w:r>
      <w:r w:rsidRPr="003E425B">
        <w:rPr>
          <w:rFonts w:ascii="Times New Roman" w:hAnsi="Times New Roman"/>
          <w:sz w:val="28"/>
          <w:lang w:val="es-ES_tradnl"/>
        </w:rPr>
        <w:fldChar w:fldCharType="end"/>
      </w:r>
      <w:r w:rsidRPr="003E425B">
        <w:rPr>
          <w:rFonts w:ascii="Times New Roman" w:hAnsi="Times New Roman"/>
          <w:sz w:val="28"/>
          <w:lang w:val="es-ES_tradnl"/>
        </w:rPr>
        <w:t xml:space="preserve"> </w:t>
      </w:r>
      <w:r w:rsidRPr="003E425B">
        <w:rPr>
          <w:rFonts w:ascii="Times New Roman" w:hAnsi="Times New Roman"/>
          <w:i/>
          <w:iCs/>
          <w:sz w:val="28"/>
          <w:lang w:val="es-ES_tradnl"/>
        </w:rPr>
        <w:t>supra</w:t>
      </w:r>
      <w:r w:rsidRPr="003E425B">
        <w:rPr>
          <w:rFonts w:ascii="Times New Roman" w:hAnsi="Times New Roman"/>
          <w:sz w:val="28"/>
          <w:lang w:val="es-ES_tradnl"/>
        </w:rPr>
        <w:t>)</w:t>
      </w:r>
      <w:r w:rsidRPr="003E425B">
        <w:rPr>
          <w:rFonts w:ascii="Times New Roman" w:hAnsi="Times New Roman"/>
          <w:sz w:val="28"/>
          <w:lang w:val="es-ES_tradnl"/>
        </w:rPr>
        <w:t>.</w:t>
      </w:r>
      <w:r w:rsidRPr="003E425B">
        <w:rPr>
          <w:rFonts w:ascii="Times New Roman" w:hAnsi="Times New Roman"/>
          <w:sz w:val="28"/>
          <w:lang w:val="es-ES_tradnl"/>
        </w:rPr>
        <w:t xml:space="preserve"> En este caso, la solicitud de la senadora Paloma Valencia no fue expresa ni clara y tampoco fue planteada en la votación:</w:t>
      </w:r>
    </w:p>
    <w:p w:rsidR="00FB4130" w:rsidRPr="003E425B" w:rsidRDefault="003E425B" w:rsidP="00010108">
      <w:pPr>
        <w:rPr>
          <w:rFonts w:ascii="Times New Roman" w:hAnsi="Times New Roman" w:cs="Times New Roman"/>
          <w:sz w:val="28"/>
        </w:rPr>
      </w:pPr>
    </w:p>
    <w:p w:rsidR="00FB4130" w:rsidRPr="003E425B" w:rsidRDefault="003E425B" w:rsidP="00010108">
      <w:pPr>
        <w:pStyle w:val="Prrafodelista"/>
        <w:widowControl w:val="0"/>
        <w:numPr>
          <w:ilvl w:val="1"/>
          <w:numId w:val="10"/>
        </w:numPr>
        <w:tabs>
          <w:tab w:val="left" w:pos="709"/>
        </w:tabs>
        <w:spacing w:line="240" w:lineRule="auto"/>
        <w:ind w:left="709" w:hanging="709"/>
        <w:rPr>
          <w:rFonts w:ascii="Times New Roman" w:hAnsi="Times New Roman"/>
          <w:sz w:val="28"/>
        </w:rPr>
      </w:pPr>
      <w:r w:rsidRPr="003E425B">
        <w:rPr>
          <w:rFonts w:ascii="Times New Roman" w:hAnsi="Times New Roman"/>
          <w:sz w:val="28"/>
          <w:lang w:val="es-ES_tradnl"/>
        </w:rPr>
        <w:t>La solicitud n</w:t>
      </w:r>
      <w:r w:rsidRPr="003E425B">
        <w:rPr>
          <w:rFonts w:ascii="Times New Roman" w:hAnsi="Times New Roman"/>
          <w:sz w:val="28"/>
          <w:lang w:val="es-ES_tradnl"/>
        </w:rPr>
        <w:t xml:space="preserve">o fue </w:t>
      </w:r>
      <w:r w:rsidRPr="003E425B">
        <w:rPr>
          <w:rFonts w:ascii="Times New Roman" w:hAnsi="Times New Roman"/>
          <w:i/>
          <w:iCs/>
          <w:sz w:val="28"/>
          <w:lang w:val="es-ES_tradnl"/>
        </w:rPr>
        <w:t>expresa</w:t>
      </w:r>
      <w:r w:rsidRPr="003E425B">
        <w:rPr>
          <w:rFonts w:ascii="Times New Roman" w:hAnsi="Times New Roman"/>
          <w:sz w:val="28"/>
          <w:lang w:val="es-ES_tradnl"/>
        </w:rPr>
        <w:t xml:space="preserve"> ni </w:t>
      </w:r>
      <w:r w:rsidRPr="003E425B">
        <w:rPr>
          <w:rFonts w:ascii="Times New Roman" w:hAnsi="Times New Roman"/>
          <w:i/>
          <w:iCs/>
          <w:sz w:val="28"/>
          <w:lang w:val="es-ES_tradnl"/>
        </w:rPr>
        <w:t>clara</w:t>
      </w:r>
      <w:r w:rsidRPr="003E425B">
        <w:rPr>
          <w:rFonts w:ascii="Times New Roman" w:hAnsi="Times New Roman"/>
          <w:sz w:val="28"/>
          <w:lang w:val="es-ES_tradnl"/>
        </w:rPr>
        <w:t xml:space="preserve"> porque la senadora </w:t>
      </w:r>
      <w:r w:rsidRPr="003E425B">
        <w:rPr>
          <w:rFonts w:ascii="Times New Roman" w:hAnsi="Times New Roman"/>
          <w:i/>
          <w:iCs/>
          <w:sz w:val="28"/>
          <w:lang w:val="es-ES_tradnl"/>
        </w:rPr>
        <w:t>(i)</w:t>
      </w:r>
      <w:r w:rsidRPr="003E425B">
        <w:rPr>
          <w:rFonts w:ascii="Times New Roman" w:hAnsi="Times New Roman"/>
          <w:sz w:val="28"/>
          <w:lang w:val="es-ES_tradnl"/>
        </w:rPr>
        <w:t xml:space="preserve"> no presentó una proposición de votación nominal y pública y </w:t>
      </w:r>
      <w:r w:rsidRPr="003E425B">
        <w:rPr>
          <w:rFonts w:ascii="Times New Roman" w:hAnsi="Times New Roman"/>
          <w:i/>
          <w:iCs/>
          <w:sz w:val="28"/>
          <w:lang w:val="es-ES_tradnl"/>
        </w:rPr>
        <w:t>(ii)</w:t>
      </w:r>
      <w:r w:rsidRPr="003E425B">
        <w:rPr>
          <w:rFonts w:ascii="Times New Roman" w:hAnsi="Times New Roman"/>
          <w:sz w:val="28"/>
          <w:lang w:val="es-ES_tradnl"/>
        </w:rPr>
        <w:t xml:space="preserve"> en su intervención, no señaló de forma expresa que la votación ordinaria estuviera prohibida. Por el contrario, en su intervención en el debate d</w:t>
      </w:r>
      <w:r w:rsidRPr="003E425B">
        <w:rPr>
          <w:rFonts w:ascii="Times New Roman" w:hAnsi="Times New Roman"/>
          <w:sz w:val="28"/>
          <w:lang w:val="es-ES_tradnl"/>
        </w:rPr>
        <w:t>e la proposición positiva en la comisión</w:t>
      </w:r>
      <w:r w:rsidRPr="003E425B">
        <w:rPr>
          <w:rFonts w:ascii="Times New Roman" w:hAnsi="Times New Roman"/>
          <w:sz w:val="28"/>
          <w:lang w:val="es-ES_tradnl"/>
        </w:rPr>
        <w:t>,</w:t>
      </w:r>
      <w:r w:rsidRPr="003E425B">
        <w:rPr>
          <w:rFonts w:ascii="Times New Roman" w:hAnsi="Times New Roman"/>
          <w:sz w:val="28"/>
          <w:lang w:val="es-ES_tradnl"/>
        </w:rPr>
        <w:t xml:space="preserve"> la senadora se limitó a señalar que la “proposición no se puede pupitrear, necesita mayorías absolutas, porque la proposición es la que abre la facultad para hablar de ese artículo que genera las facultades y, por </w:t>
      </w:r>
      <w:r w:rsidRPr="003E425B">
        <w:rPr>
          <w:rFonts w:ascii="Times New Roman" w:hAnsi="Times New Roman"/>
          <w:sz w:val="28"/>
          <w:lang w:val="es-ES_tradnl"/>
        </w:rPr>
        <w:t>lo tanto, no solo el artículo, sino también la proposición, van a necesitar mayorías absolutas”</w:t>
      </w:r>
      <w:r w:rsidRPr="003E425B">
        <w:rPr>
          <w:rFonts w:ascii="Times New Roman" w:hAnsi="Times New Roman"/>
          <w:sz w:val="28"/>
          <w:vertAlign w:val="superscript"/>
          <w:lang w:val="es-ES_tradnl"/>
        </w:rPr>
        <w:footnoteReference w:id="156"/>
      </w:r>
      <w:r w:rsidRPr="003E425B">
        <w:rPr>
          <w:rFonts w:ascii="Times New Roman" w:hAnsi="Times New Roman"/>
          <w:sz w:val="28"/>
          <w:lang w:val="es-ES_tradnl"/>
        </w:rPr>
        <w:t xml:space="preserve">. Como puede verse, la intervención de la senadora se centró en argumentar que la aprobación del informe de ponencia requería mayorías absolutas, lo cual puede </w:t>
      </w:r>
      <w:r w:rsidRPr="003E425B">
        <w:rPr>
          <w:rFonts w:ascii="Times New Roman" w:hAnsi="Times New Roman"/>
          <w:sz w:val="28"/>
          <w:lang w:val="es-ES_tradnl"/>
        </w:rPr>
        <w:t>acreditarse tanto mediante una votación nominal, como una ordinaria. En este contexto, la Corte considera que la simple referencia a la supuesta imposibilidad de “pupitrear” la iniciativa era insuficiente para que la Mesa Directiva interpretara que la sena</w:t>
      </w:r>
      <w:r w:rsidRPr="003E425B">
        <w:rPr>
          <w:rFonts w:ascii="Times New Roman" w:hAnsi="Times New Roman"/>
          <w:sz w:val="28"/>
          <w:lang w:val="es-ES_tradnl"/>
        </w:rPr>
        <w:t xml:space="preserve">dora estaba solicitando efectuar la votación de forma nominal y pública. </w:t>
      </w:r>
    </w:p>
    <w:p w:rsidR="00FB4130" w:rsidRPr="003E425B" w:rsidRDefault="003E425B" w:rsidP="00010108">
      <w:pPr>
        <w:pStyle w:val="Prrafodelista"/>
        <w:widowControl w:val="0"/>
        <w:numPr>
          <w:ilvl w:val="1"/>
          <w:numId w:val="10"/>
        </w:numPr>
        <w:tabs>
          <w:tab w:val="left" w:pos="709"/>
        </w:tabs>
        <w:spacing w:line="240" w:lineRule="auto"/>
        <w:ind w:left="709" w:hanging="709"/>
        <w:rPr>
          <w:rFonts w:ascii="Times New Roman" w:hAnsi="Times New Roman"/>
          <w:sz w:val="28"/>
        </w:rPr>
      </w:pPr>
      <w:r w:rsidRPr="003E425B">
        <w:rPr>
          <w:rFonts w:ascii="Times New Roman" w:hAnsi="Times New Roman"/>
          <w:sz w:val="28"/>
        </w:rPr>
        <w:t>El artículo 126 de la Ley 5ª de 1992 dispone que “ningún Senador o Representante podrá retirarse del recinto legislativo cuando, cerrada la discusión, hubiere de procederse a la votación”. En este caso, la Sala advierte que la senadora Paloma Valencia no s</w:t>
      </w:r>
      <w:r w:rsidRPr="003E425B">
        <w:rPr>
          <w:rFonts w:ascii="Times New Roman" w:hAnsi="Times New Roman"/>
          <w:sz w:val="28"/>
        </w:rPr>
        <w:t xml:space="preserve">olicitó, pudiendo hacerlo, que la votación se llevara a cabo de forma nominal y pública en el momento en que la Mesa Directiva anunció que iniciaría la votación. Por el contrario, </w:t>
      </w:r>
      <w:r w:rsidRPr="003E425B">
        <w:rPr>
          <w:rFonts w:ascii="Times New Roman" w:hAnsi="Times New Roman"/>
          <w:sz w:val="28"/>
          <w:lang w:val="es-ES_tradnl"/>
        </w:rPr>
        <w:t>segundos antes de que la votación ordinaria se llevara a cabo, la senadora s</w:t>
      </w:r>
      <w:r w:rsidRPr="003E425B">
        <w:rPr>
          <w:rFonts w:ascii="Times New Roman" w:hAnsi="Times New Roman"/>
          <w:sz w:val="28"/>
          <w:lang w:val="es-ES_tradnl"/>
        </w:rPr>
        <w:t>alió voluntariamente del recinto. En tales términos, la senadora decidió ausentarse en la oportunidad que tenía para solicitar que la votación se hiciera de modo nominal.</w:t>
      </w:r>
    </w:p>
    <w:p w:rsidR="00FB4130" w:rsidRPr="003E425B" w:rsidRDefault="003E425B" w:rsidP="00010108">
      <w:pPr>
        <w:pStyle w:val="Prrafodelista"/>
        <w:widowControl w:val="0"/>
        <w:numPr>
          <w:ilvl w:val="1"/>
          <w:numId w:val="10"/>
        </w:numPr>
        <w:tabs>
          <w:tab w:val="left" w:pos="709"/>
        </w:tabs>
        <w:spacing w:line="240" w:lineRule="auto"/>
        <w:ind w:left="709" w:hanging="709"/>
        <w:rPr>
          <w:rFonts w:ascii="Times New Roman" w:hAnsi="Times New Roman"/>
          <w:sz w:val="28"/>
        </w:rPr>
      </w:pPr>
      <w:r w:rsidRPr="003E425B">
        <w:rPr>
          <w:rFonts w:ascii="Times New Roman" w:hAnsi="Times New Roman"/>
          <w:sz w:val="28"/>
        </w:rPr>
        <w:t>La Sala reconoce que,</w:t>
      </w:r>
      <w:r w:rsidRPr="003E425B">
        <w:rPr>
          <w:rFonts w:ascii="Times New Roman" w:hAnsi="Times New Roman"/>
          <w:sz w:val="28"/>
          <w:lang w:val="es-ES_tradnl"/>
        </w:rPr>
        <w:t xml:space="preserve"> minutos después de que la votación ordinaria se había llevado a</w:t>
      </w:r>
      <w:r w:rsidRPr="003E425B">
        <w:rPr>
          <w:rFonts w:ascii="Times New Roman" w:hAnsi="Times New Roman"/>
          <w:sz w:val="28"/>
          <w:lang w:val="es-ES_tradnl"/>
        </w:rPr>
        <w:t xml:space="preserve"> cabo, la senadora ingresó al recinto nuevamente y reprochó que la votación se hubiera efectuado de forma ordinaria. A juicio de la Sala, esta situación no permite invalidar la votación ordinaria. Esto, porque conforme a la jurisprudencia constitucional</w:t>
      </w:r>
      <w:r w:rsidRPr="003E425B">
        <w:rPr>
          <w:rFonts w:ascii="Times New Roman" w:hAnsi="Times New Roman"/>
          <w:sz w:val="28"/>
          <w:lang w:val="es-ES_tradnl"/>
        </w:rPr>
        <w:t>,</w:t>
      </w:r>
      <w:r w:rsidRPr="003E425B">
        <w:rPr>
          <w:rFonts w:ascii="Times New Roman" w:hAnsi="Times New Roman"/>
          <w:sz w:val="28"/>
          <w:lang w:val="es-ES_tradnl"/>
        </w:rPr>
        <w:t xml:space="preserve"> l</w:t>
      </w:r>
      <w:r w:rsidRPr="003E425B">
        <w:rPr>
          <w:rFonts w:ascii="Times New Roman" w:hAnsi="Times New Roman"/>
          <w:sz w:val="28"/>
          <w:lang w:val="es-ES_tradnl"/>
        </w:rPr>
        <w:t xml:space="preserve">a solicitud de votación nominal y pública debe hacerse </w:t>
      </w:r>
      <w:r w:rsidRPr="003E425B">
        <w:rPr>
          <w:rFonts w:ascii="Times New Roman" w:hAnsi="Times New Roman"/>
          <w:i/>
          <w:iCs/>
          <w:sz w:val="28"/>
          <w:lang w:val="es-ES_tradnl"/>
        </w:rPr>
        <w:t>antes</w:t>
      </w:r>
      <w:r w:rsidRPr="003E425B">
        <w:rPr>
          <w:rFonts w:ascii="Times New Roman" w:hAnsi="Times New Roman"/>
          <w:sz w:val="28"/>
          <w:lang w:val="es-ES_tradnl"/>
        </w:rPr>
        <w:t xml:space="preserve"> de la votación. </w:t>
      </w:r>
      <w:r w:rsidRPr="003E425B">
        <w:rPr>
          <w:rFonts w:ascii="Times New Roman" w:hAnsi="Times New Roman"/>
          <w:sz w:val="28"/>
          <w:lang w:val="es-ES_tradnl"/>
        </w:rPr>
        <w:t>L</w:t>
      </w:r>
      <w:r w:rsidRPr="003E425B">
        <w:rPr>
          <w:rFonts w:ascii="Times New Roman" w:hAnsi="Times New Roman"/>
          <w:sz w:val="28"/>
          <w:lang w:val="es-ES_tradnl"/>
        </w:rPr>
        <w:t>a Sala advierte que</w:t>
      </w:r>
      <w:r w:rsidRPr="003E425B">
        <w:rPr>
          <w:rFonts w:ascii="Times New Roman" w:hAnsi="Times New Roman"/>
          <w:sz w:val="28"/>
          <w:lang w:val="es-ES_tradnl"/>
        </w:rPr>
        <w:t>,</w:t>
      </w:r>
      <w:r w:rsidRPr="003E425B">
        <w:rPr>
          <w:rFonts w:ascii="Times New Roman" w:hAnsi="Times New Roman"/>
          <w:sz w:val="28"/>
          <w:lang w:val="es-ES_tradnl"/>
        </w:rPr>
        <w:t xml:space="preserve"> una vez </w:t>
      </w:r>
      <w:r w:rsidRPr="003E425B">
        <w:rPr>
          <w:rFonts w:ascii="Times New Roman" w:hAnsi="Times New Roman"/>
          <w:sz w:val="28"/>
          <w:lang w:val="es-ES_tradnl"/>
        </w:rPr>
        <w:t xml:space="preserve">la senadora </w:t>
      </w:r>
      <w:r w:rsidRPr="003E425B">
        <w:rPr>
          <w:rFonts w:ascii="Times New Roman" w:hAnsi="Times New Roman"/>
          <w:sz w:val="28"/>
          <w:lang w:val="es-ES_tradnl"/>
        </w:rPr>
        <w:t>ingresó, esta circunstancia fue puesta de presente por el presidente de la Comisión Primera del Senado, quien respondió a la senadora</w:t>
      </w:r>
      <w:r w:rsidRPr="003E425B">
        <w:rPr>
          <w:rFonts w:ascii="Times New Roman" w:hAnsi="Times New Roman"/>
          <w:sz w:val="28"/>
          <w:lang w:val="es-ES_tradnl"/>
        </w:rPr>
        <w:t xml:space="preserve"> la votación nominal y pública “</w:t>
      </w:r>
      <w:r w:rsidRPr="003E425B">
        <w:rPr>
          <w:rFonts w:ascii="Times New Roman" w:hAnsi="Times New Roman"/>
          <w:sz w:val="28"/>
          <w:lang w:val="es-ES_tradnl"/>
        </w:rPr>
        <w:t>se pide cuando se hace la votación, uno no puede pedirlo en la intervención y cuando se hace la votación no pedirlo (…)”</w:t>
      </w:r>
      <w:r w:rsidRPr="003E425B">
        <w:rPr>
          <w:rStyle w:val="Refdenotaalpie"/>
          <w:rFonts w:ascii="Times New Roman" w:hAnsi="Times New Roman"/>
          <w:sz w:val="28"/>
        </w:rPr>
        <w:footnoteReference w:id="157"/>
      </w:r>
      <w:r w:rsidRPr="003E425B">
        <w:rPr>
          <w:rFonts w:ascii="Times New Roman" w:hAnsi="Times New Roman"/>
          <w:sz w:val="28"/>
          <w:lang w:val="es-ES_tradnl"/>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Con fundamento en las consideraciones expuestas, la Corte concluye que, conforme a la Ley 5ª de 199</w:t>
      </w:r>
      <w:r w:rsidRPr="003E425B">
        <w:rPr>
          <w:rFonts w:ascii="Times New Roman" w:hAnsi="Times New Roman"/>
          <w:sz w:val="28"/>
        </w:rPr>
        <w:t>2, en este caso era procedente que la Comisión Primera Constitucional del Senado votara de forma ordinaria la proposición positiva del informe de ponencia del Proyecto de Ley número 222 de 2022 Senado, 261 de 2022 Cámara</w:t>
      </w:r>
      <w:r w:rsidRPr="003E425B">
        <w:rPr>
          <w:rFonts w:ascii="Times New Roman" w:hAnsi="Times New Roman"/>
          <w:sz w:val="28"/>
          <w:vertAlign w:val="superscript"/>
          <w:lang w:val="es-ES_tradnl"/>
        </w:rPr>
        <w:footnoteReference w:id="158"/>
      </w:r>
      <w:r w:rsidRPr="003E425B">
        <w:rPr>
          <w:rFonts w:ascii="Times New Roman" w:hAnsi="Times New Roman"/>
          <w:sz w:val="28"/>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C8697C">
      <w:pPr>
        <w:pStyle w:val="Ttulo4"/>
        <w:numPr>
          <w:ilvl w:val="0"/>
          <w:numId w:val="23"/>
        </w:numPr>
        <w:spacing w:before="0"/>
        <w:ind w:left="794" w:hanging="567"/>
        <w:rPr>
          <w:rFonts w:ascii="Times New Roman" w:hAnsi="Times New Roman" w:cs="Times New Roman"/>
          <w:sz w:val="28"/>
        </w:rPr>
      </w:pPr>
      <w:r w:rsidRPr="003E425B">
        <w:rPr>
          <w:rFonts w:ascii="Times New Roman" w:hAnsi="Times New Roman" w:cs="Times New Roman"/>
          <w:sz w:val="28"/>
        </w:rPr>
        <w:t xml:space="preserve">Las pruebas </w:t>
      </w:r>
      <w:r w:rsidRPr="003E425B">
        <w:rPr>
          <w:rFonts w:ascii="Times New Roman" w:hAnsi="Times New Roman" w:cs="Times New Roman"/>
          <w:sz w:val="28"/>
        </w:rPr>
        <w:t>aportadas por los d</w:t>
      </w:r>
      <w:r w:rsidRPr="003E425B">
        <w:rPr>
          <w:rFonts w:ascii="Times New Roman" w:hAnsi="Times New Roman" w:cs="Times New Roman"/>
          <w:sz w:val="28"/>
        </w:rPr>
        <w:t>emandantes</w:t>
      </w:r>
      <w:r w:rsidRPr="003E425B">
        <w:rPr>
          <w:rFonts w:ascii="Times New Roman" w:hAnsi="Times New Roman" w:cs="Times New Roman"/>
          <w:sz w:val="28"/>
        </w:rPr>
        <w:t xml:space="preserve"> </w:t>
      </w:r>
      <w:r w:rsidRPr="003E425B">
        <w:rPr>
          <w:rFonts w:ascii="Times New Roman" w:hAnsi="Times New Roman" w:cs="Times New Roman"/>
          <w:sz w:val="28"/>
        </w:rPr>
        <w:t xml:space="preserve">son insuficientes para concluir </w:t>
      </w:r>
      <w:r w:rsidRPr="003E425B">
        <w:rPr>
          <w:rFonts w:ascii="Times New Roman" w:hAnsi="Times New Roman" w:cs="Times New Roman"/>
          <w:sz w:val="28"/>
        </w:rPr>
        <w:t xml:space="preserve">que la Comisión Primera del Senado </w:t>
      </w:r>
      <w:r w:rsidRPr="003E425B">
        <w:rPr>
          <w:rFonts w:ascii="Times New Roman" w:hAnsi="Times New Roman" w:cs="Times New Roman"/>
          <w:sz w:val="28"/>
        </w:rPr>
        <w:t>aprobó el informe de ponencia</w:t>
      </w:r>
      <w:r w:rsidRPr="003E425B">
        <w:rPr>
          <w:rFonts w:ascii="Times New Roman" w:hAnsi="Times New Roman" w:cs="Times New Roman"/>
          <w:sz w:val="28"/>
        </w:rPr>
        <w:t>, pese a que no existía quórum decisorio</w:t>
      </w:r>
      <w:r w:rsidRPr="003E425B">
        <w:rPr>
          <w:rFonts w:ascii="Times New Roman" w:hAnsi="Times New Roman" w:cs="Times New Roman"/>
          <w:sz w:val="28"/>
        </w:rPr>
        <w:t xml:space="preserve">. A lo sumo, demuestran que no existe certeza sobre </w:t>
      </w:r>
      <w:r w:rsidRPr="003E425B">
        <w:rPr>
          <w:rFonts w:ascii="Times New Roman" w:hAnsi="Times New Roman" w:cs="Times New Roman"/>
          <w:sz w:val="28"/>
        </w:rPr>
        <w:t xml:space="preserve">número de senadores presentes al momento en que se llevó </w:t>
      </w:r>
      <w:r w:rsidRPr="003E425B">
        <w:rPr>
          <w:rFonts w:ascii="Times New Roman" w:hAnsi="Times New Roman" w:cs="Times New Roman"/>
          <w:sz w:val="28"/>
        </w:rPr>
        <w:t xml:space="preserve">a cabo la votación ordinaria </w:t>
      </w:r>
      <w:r w:rsidRPr="003E425B">
        <w:rPr>
          <w:rFonts w:ascii="Times New Roman" w:hAnsi="Times New Roman" w:cs="Times New Roman"/>
          <w:sz w:val="28"/>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526381" w:rsidRPr="003E425B" w:rsidRDefault="003E425B" w:rsidP="00526381">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Los demandantes sostienen que la Comisión Primera del Senado no aprobó el informe de ponencia. Esto, porque</w:t>
      </w:r>
      <w:r w:rsidRPr="003E425B">
        <w:rPr>
          <w:rFonts w:ascii="Times New Roman" w:hAnsi="Times New Roman"/>
          <w:sz w:val="28"/>
        </w:rPr>
        <w:t>, a diferencia de lo que señala el acta</w:t>
      </w:r>
      <w:r w:rsidRPr="003E425B">
        <w:rPr>
          <w:rFonts w:ascii="Times New Roman" w:hAnsi="Times New Roman"/>
          <w:sz w:val="28"/>
        </w:rPr>
        <w:t xml:space="preserve"> de la sesión</w:t>
      </w:r>
      <w:r w:rsidRPr="003E425B">
        <w:rPr>
          <w:rFonts w:ascii="Times New Roman" w:hAnsi="Times New Roman"/>
          <w:sz w:val="28"/>
        </w:rPr>
        <w:t xml:space="preserve">, </w:t>
      </w:r>
      <w:r w:rsidRPr="003E425B">
        <w:rPr>
          <w:rFonts w:ascii="Times New Roman" w:hAnsi="Times New Roman"/>
          <w:sz w:val="28"/>
        </w:rPr>
        <w:t xml:space="preserve">al momento exacto en que se llevó a cabo la votación ordinaria </w:t>
      </w:r>
      <w:r w:rsidRPr="003E425B">
        <w:rPr>
          <w:rFonts w:ascii="Times New Roman" w:hAnsi="Times New Roman"/>
          <w:sz w:val="28"/>
        </w:rPr>
        <w:t>sólo estaban presentes 9 de los 21 senadores que integran esta comisión</w:t>
      </w:r>
      <w:r w:rsidRPr="003E425B">
        <w:rPr>
          <w:rFonts w:ascii="Times New Roman" w:hAnsi="Times New Roman"/>
          <w:sz w:val="28"/>
        </w:rPr>
        <w:t>, lo que implica que no existía quórum ni mayoría decisoria</w:t>
      </w:r>
      <w:r w:rsidRPr="003E425B">
        <w:rPr>
          <w:rFonts w:ascii="Times New Roman" w:hAnsi="Times New Roman"/>
          <w:sz w:val="28"/>
        </w:rPr>
        <w:t xml:space="preserve">. A dichos efectos, aportan videos y fotografías de la sesión </w:t>
      </w:r>
      <w:r w:rsidRPr="003E425B">
        <w:rPr>
          <w:rFonts w:ascii="Times New Roman" w:hAnsi="Times New Roman"/>
          <w:sz w:val="28"/>
        </w:rPr>
        <w:t>del 24 de noviembre de 2022.</w:t>
      </w:r>
    </w:p>
    <w:p w:rsidR="00526381" w:rsidRPr="003E425B" w:rsidRDefault="003E425B" w:rsidP="00526381">
      <w:pPr>
        <w:pStyle w:val="Prrafodelista"/>
        <w:widowControl w:val="0"/>
        <w:tabs>
          <w:tab w:val="left" w:pos="567"/>
        </w:tabs>
        <w:spacing w:line="240" w:lineRule="auto"/>
        <w:ind w:left="0"/>
        <w:rPr>
          <w:rFonts w:ascii="Times New Roman" w:hAnsi="Times New Roman"/>
          <w:sz w:val="28"/>
        </w:rPr>
      </w:pPr>
    </w:p>
    <w:p w:rsidR="006D6415" w:rsidRPr="003E425B" w:rsidRDefault="003E425B" w:rsidP="00E95A5C">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Sala Plena </w:t>
      </w:r>
      <w:r w:rsidRPr="003E425B">
        <w:rPr>
          <w:rFonts w:ascii="Times New Roman" w:hAnsi="Times New Roman"/>
          <w:sz w:val="28"/>
        </w:rPr>
        <w:t>no comparte la posic</w:t>
      </w:r>
      <w:r w:rsidRPr="003E425B">
        <w:rPr>
          <w:rFonts w:ascii="Times New Roman" w:hAnsi="Times New Roman"/>
          <w:sz w:val="28"/>
        </w:rPr>
        <w:t xml:space="preserve">ión de los demandantes. La Corte </w:t>
      </w:r>
      <w:r w:rsidRPr="003E425B">
        <w:rPr>
          <w:rFonts w:ascii="Times New Roman" w:hAnsi="Times New Roman"/>
          <w:sz w:val="28"/>
        </w:rPr>
        <w:t xml:space="preserve">reafirma </w:t>
      </w:r>
      <w:r w:rsidRPr="003E425B">
        <w:rPr>
          <w:rFonts w:ascii="Times New Roman" w:hAnsi="Times New Roman"/>
          <w:sz w:val="28"/>
        </w:rPr>
        <w:t xml:space="preserve">que, conforme a la Ley 5ª de 1992 y la jurisprudencia constitucional reiterada y uniforme, </w:t>
      </w:r>
      <w:r w:rsidRPr="003E425B">
        <w:rPr>
          <w:rFonts w:ascii="Times New Roman" w:hAnsi="Times New Roman"/>
          <w:sz w:val="28"/>
        </w:rPr>
        <w:t xml:space="preserve">los principales medios de prueba para demostrar el cumplimiento del quórum y las mayorías son </w:t>
      </w:r>
      <w:r w:rsidRPr="003E425B">
        <w:rPr>
          <w:rFonts w:ascii="Times New Roman" w:hAnsi="Times New Roman"/>
          <w:i/>
          <w:iCs/>
          <w:sz w:val="28"/>
        </w:rPr>
        <w:t>(i)</w:t>
      </w:r>
      <w:r w:rsidRPr="003E425B">
        <w:rPr>
          <w:rFonts w:ascii="Times New Roman" w:hAnsi="Times New Roman"/>
          <w:sz w:val="28"/>
        </w:rPr>
        <w:t xml:space="preserve"> el acta de las sesiones que se publica en la Gaceta del Congreso y </w:t>
      </w:r>
      <w:r w:rsidRPr="003E425B">
        <w:rPr>
          <w:rFonts w:ascii="Times New Roman" w:hAnsi="Times New Roman"/>
          <w:i/>
          <w:iCs/>
          <w:sz w:val="28"/>
        </w:rPr>
        <w:t>(ii)</w:t>
      </w:r>
      <w:r w:rsidRPr="003E425B">
        <w:rPr>
          <w:rFonts w:ascii="Times New Roman" w:hAnsi="Times New Roman"/>
          <w:sz w:val="28"/>
        </w:rPr>
        <w:t xml:space="preserve"> los certificados expedidos por la secretaría de cada comisión o plenaria. Sin embargo, cuando las actas y certificados no contienen información precisa, verificable y suficiente para </w:t>
      </w:r>
      <w:r w:rsidRPr="003E425B">
        <w:rPr>
          <w:rFonts w:ascii="Times New Roman" w:hAnsi="Times New Roman"/>
          <w:sz w:val="28"/>
        </w:rPr>
        <w:t xml:space="preserve">constatar el cumplimiento de las reglas de quórum y mayorías, es posible acudir a otros medios de prueba, tales como </w:t>
      </w:r>
      <w:r w:rsidRPr="003E425B">
        <w:rPr>
          <w:rFonts w:ascii="Times New Roman" w:hAnsi="Times New Roman"/>
          <w:sz w:val="28"/>
        </w:rPr>
        <w:t xml:space="preserve">el desarrollo del debate y </w:t>
      </w:r>
      <w:r w:rsidRPr="003E425B">
        <w:rPr>
          <w:rFonts w:ascii="Times New Roman" w:hAnsi="Times New Roman"/>
          <w:sz w:val="28"/>
        </w:rPr>
        <w:t xml:space="preserve">los registros de audio y video </w:t>
      </w:r>
      <w:r w:rsidRPr="003E425B">
        <w:rPr>
          <w:rFonts w:ascii="Times New Roman" w:hAnsi="Times New Roman"/>
          <w:sz w:val="28"/>
        </w:rPr>
        <w:t>de la sesión.</w:t>
      </w:r>
    </w:p>
    <w:p w:rsidR="006D6415" w:rsidRPr="003E425B" w:rsidRDefault="003E425B" w:rsidP="00705C76">
      <w:pPr>
        <w:rPr>
          <w:rFonts w:ascii="Times New Roman" w:hAnsi="Times New Roman" w:cs="Times New Roman"/>
          <w:sz w:val="28"/>
        </w:rPr>
      </w:pPr>
    </w:p>
    <w:p w:rsidR="00712F4B" w:rsidRPr="003E425B" w:rsidRDefault="003E425B" w:rsidP="00B828DB">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En el expediente reposan cuatro medios de prueba que dan cuenta de lo ocurrido </w:t>
      </w:r>
      <w:r w:rsidRPr="003E425B">
        <w:rPr>
          <w:rFonts w:ascii="Times New Roman" w:hAnsi="Times New Roman"/>
          <w:sz w:val="28"/>
        </w:rPr>
        <w:t>en la sesión de 24 de noviembre de 2022 de la</w:t>
      </w:r>
      <w:r w:rsidRPr="003E425B">
        <w:rPr>
          <w:rFonts w:ascii="Times New Roman" w:hAnsi="Times New Roman"/>
          <w:sz w:val="28"/>
        </w:rPr>
        <w:t>s</w:t>
      </w:r>
      <w:r w:rsidRPr="003E425B">
        <w:rPr>
          <w:rFonts w:ascii="Times New Roman" w:hAnsi="Times New Roman"/>
          <w:sz w:val="28"/>
        </w:rPr>
        <w:t xml:space="preserve"> Comisi</w:t>
      </w:r>
      <w:r w:rsidRPr="003E425B">
        <w:rPr>
          <w:rFonts w:ascii="Times New Roman" w:hAnsi="Times New Roman"/>
          <w:sz w:val="28"/>
        </w:rPr>
        <w:t>o</w:t>
      </w:r>
      <w:r w:rsidRPr="003E425B">
        <w:rPr>
          <w:rFonts w:ascii="Times New Roman" w:hAnsi="Times New Roman"/>
          <w:sz w:val="28"/>
        </w:rPr>
        <w:t>n</w:t>
      </w:r>
      <w:r w:rsidRPr="003E425B">
        <w:rPr>
          <w:rFonts w:ascii="Times New Roman" w:hAnsi="Times New Roman"/>
          <w:sz w:val="28"/>
        </w:rPr>
        <w:t>es</w:t>
      </w:r>
      <w:r w:rsidRPr="003E425B">
        <w:rPr>
          <w:rFonts w:ascii="Times New Roman" w:hAnsi="Times New Roman"/>
          <w:sz w:val="28"/>
        </w:rPr>
        <w:t xml:space="preserve"> Primera</w:t>
      </w:r>
      <w:r w:rsidRPr="003E425B">
        <w:rPr>
          <w:rFonts w:ascii="Times New Roman" w:hAnsi="Times New Roman"/>
          <w:sz w:val="28"/>
        </w:rPr>
        <w:t>s</w:t>
      </w:r>
      <w:r w:rsidRPr="003E425B">
        <w:rPr>
          <w:rFonts w:ascii="Times New Roman" w:hAnsi="Times New Roman"/>
          <w:sz w:val="28"/>
        </w:rPr>
        <w:t xml:space="preserve"> Constitucional</w:t>
      </w:r>
      <w:r w:rsidRPr="003E425B">
        <w:rPr>
          <w:rFonts w:ascii="Times New Roman" w:hAnsi="Times New Roman"/>
          <w:sz w:val="28"/>
        </w:rPr>
        <w:t>es Conjuntas</w:t>
      </w:r>
      <w:r w:rsidRPr="003E425B">
        <w:rPr>
          <w:rFonts w:ascii="Times New Roman" w:hAnsi="Times New Roman"/>
          <w:sz w:val="28"/>
        </w:rPr>
        <w:t>, en la que tuvo lugar la votación del informe de ponencia</w:t>
      </w:r>
      <w:r w:rsidRPr="003E425B">
        <w:rPr>
          <w:rFonts w:ascii="Times New Roman" w:hAnsi="Times New Roman"/>
          <w:sz w:val="28"/>
        </w:rPr>
        <w:t xml:space="preserve"> para primer debate</w:t>
      </w:r>
      <w:r w:rsidRPr="003E425B">
        <w:rPr>
          <w:rFonts w:ascii="Times New Roman" w:hAnsi="Times New Roman"/>
          <w:sz w:val="28"/>
        </w:rPr>
        <w:t xml:space="preserve">: </w:t>
      </w:r>
      <w:r w:rsidRPr="003E425B">
        <w:rPr>
          <w:rFonts w:ascii="Times New Roman" w:hAnsi="Times New Roman"/>
          <w:b/>
          <w:bCs/>
          <w:sz w:val="28"/>
        </w:rPr>
        <w:t>(a)</w:t>
      </w:r>
      <w:r w:rsidRPr="003E425B">
        <w:rPr>
          <w:rFonts w:ascii="Times New Roman" w:hAnsi="Times New Roman"/>
          <w:sz w:val="28"/>
        </w:rPr>
        <w:t xml:space="preserve"> </w:t>
      </w:r>
      <w:r w:rsidRPr="003E425B">
        <w:rPr>
          <w:rFonts w:ascii="Times New Roman" w:hAnsi="Times New Roman"/>
          <w:sz w:val="28"/>
        </w:rPr>
        <w:t>e</w:t>
      </w:r>
      <w:r w:rsidRPr="003E425B">
        <w:rPr>
          <w:rFonts w:ascii="Times New Roman" w:hAnsi="Times New Roman"/>
          <w:sz w:val="28"/>
        </w:rPr>
        <w:t xml:space="preserve">l Acta Conjunta número 3 de 24 de noviembre de 2022, </w:t>
      </w:r>
      <w:r w:rsidRPr="003E425B">
        <w:rPr>
          <w:rFonts w:ascii="Times New Roman" w:hAnsi="Times New Roman"/>
          <w:b/>
          <w:bCs/>
          <w:sz w:val="28"/>
        </w:rPr>
        <w:t>(b)</w:t>
      </w:r>
      <w:r w:rsidRPr="003E425B">
        <w:rPr>
          <w:rFonts w:ascii="Times New Roman" w:hAnsi="Times New Roman"/>
          <w:sz w:val="28"/>
        </w:rPr>
        <w:t xml:space="preserve"> el informe de pruebas que la Secretaria del Senado </w:t>
      </w:r>
      <w:r w:rsidRPr="003E425B">
        <w:rPr>
          <w:rFonts w:ascii="Times New Roman" w:hAnsi="Times New Roman"/>
          <w:sz w:val="28"/>
        </w:rPr>
        <w:t xml:space="preserve">remitió a la Corte sobre la sesión, </w:t>
      </w:r>
      <w:r w:rsidRPr="003E425B">
        <w:rPr>
          <w:rFonts w:ascii="Times New Roman" w:hAnsi="Times New Roman"/>
          <w:b/>
          <w:bCs/>
          <w:sz w:val="28"/>
        </w:rPr>
        <w:t>(</w:t>
      </w:r>
      <w:r w:rsidRPr="003E425B">
        <w:rPr>
          <w:rFonts w:ascii="Times New Roman" w:hAnsi="Times New Roman"/>
          <w:b/>
          <w:bCs/>
          <w:sz w:val="28"/>
        </w:rPr>
        <w:t>c</w:t>
      </w:r>
      <w:r w:rsidRPr="003E425B">
        <w:rPr>
          <w:rFonts w:ascii="Times New Roman" w:hAnsi="Times New Roman"/>
          <w:b/>
          <w:bCs/>
          <w:sz w:val="28"/>
        </w:rPr>
        <w:t>)</w:t>
      </w:r>
      <w:r w:rsidRPr="003E425B">
        <w:rPr>
          <w:rFonts w:ascii="Times New Roman" w:hAnsi="Times New Roman"/>
          <w:sz w:val="28"/>
        </w:rPr>
        <w:t xml:space="preserve"> </w:t>
      </w:r>
      <w:r w:rsidRPr="003E425B">
        <w:rPr>
          <w:rFonts w:ascii="Times New Roman" w:hAnsi="Times New Roman"/>
          <w:sz w:val="28"/>
        </w:rPr>
        <w:t xml:space="preserve">los registros de </w:t>
      </w:r>
      <w:r w:rsidRPr="003E425B">
        <w:rPr>
          <w:rFonts w:ascii="Times New Roman" w:hAnsi="Times New Roman"/>
          <w:sz w:val="28"/>
        </w:rPr>
        <w:t>las votaciones nominales y públicas que tuvieron lugar antes y después de la votación ordin</w:t>
      </w:r>
      <w:r w:rsidRPr="003E425B">
        <w:rPr>
          <w:rFonts w:ascii="Times New Roman" w:hAnsi="Times New Roman"/>
          <w:sz w:val="28"/>
        </w:rPr>
        <w:t xml:space="preserve">aria del informe de ponencia y </w:t>
      </w:r>
      <w:r w:rsidRPr="003E425B">
        <w:rPr>
          <w:rFonts w:ascii="Times New Roman" w:hAnsi="Times New Roman"/>
          <w:b/>
          <w:bCs/>
          <w:sz w:val="28"/>
        </w:rPr>
        <w:t>(</w:t>
      </w:r>
      <w:r w:rsidRPr="003E425B">
        <w:rPr>
          <w:rFonts w:ascii="Times New Roman" w:hAnsi="Times New Roman"/>
          <w:b/>
          <w:bCs/>
          <w:sz w:val="28"/>
        </w:rPr>
        <w:t>d</w:t>
      </w:r>
      <w:r w:rsidRPr="003E425B">
        <w:rPr>
          <w:rFonts w:ascii="Times New Roman" w:hAnsi="Times New Roman"/>
          <w:b/>
          <w:bCs/>
          <w:sz w:val="28"/>
        </w:rPr>
        <w:t>)</w:t>
      </w:r>
      <w:r w:rsidRPr="003E425B">
        <w:rPr>
          <w:rFonts w:ascii="Times New Roman" w:hAnsi="Times New Roman"/>
          <w:sz w:val="28"/>
        </w:rPr>
        <w:t xml:space="preserve"> </w:t>
      </w:r>
      <w:r w:rsidRPr="003E425B">
        <w:rPr>
          <w:rFonts w:ascii="Times New Roman" w:hAnsi="Times New Roman"/>
          <w:sz w:val="28"/>
        </w:rPr>
        <w:t xml:space="preserve">los registros fílmicos y fotográficos de la sesión. </w:t>
      </w:r>
      <w:r w:rsidRPr="003E425B">
        <w:rPr>
          <w:rFonts w:ascii="Times New Roman" w:hAnsi="Times New Roman"/>
          <w:sz w:val="28"/>
        </w:rPr>
        <w:t xml:space="preserve">La Corte </w:t>
      </w:r>
      <w:r w:rsidRPr="003E425B">
        <w:rPr>
          <w:rFonts w:ascii="Times New Roman" w:hAnsi="Times New Roman"/>
          <w:sz w:val="28"/>
        </w:rPr>
        <w:t>c</w:t>
      </w:r>
      <w:r w:rsidRPr="003E425B">
        <w:rPr>
          <w:rFonts w:ascii="Times New Roman" w:hAnsi="Times New Roman"/>
          <w:sz w:val="28"/>
        </w:rPr>
        <w:t>onsidera que</w:t>
      </w:r>
      <w:r w:rsidRPr="003E425B">
        <w:rPr>
          <w:rFonts w:ascii="Times New Roman" w:hAnsi="Times New Roman"/>
          <w:sz w:val="28"/>
        </w:rPr>
        <w:t>, en este caso,</w:t>
      </w:r>
      <w:r w:rsidRPr="003E425B">
        <w:rPr>
          <w:rFonts w:ascii="Times New Roman" w:hAnsi="Times New Roman"/>
          <w:sz w:val="28"/>
        </w:rPr>
        <w:t xml:space="preserve"> </w:t>
      </w:r>
      <w:r w:rsidRPr="003E425B">
        <w:rPr>
          <w:rFonts w:ascii="Times New Roman" w:hAnsi="Times New Roman"/>
          <w:sz w:val="28"/>
        </w:rPr>
        <w:t>el</w:t>
      </w:r>
      <w:r w:rsidRPr="003E425B">
        <w:rPr>
          <w:rFonts w:ascii="Times New Roman" w:hAnsi="Times New Roman"/>
          <w:sz w:val="28"/>
        </w:rPr>
        <w:t xml:space="preserve"> examen conjunto de los </w:t>
      </w:r>
      <w:r w:rsidRPr="003E425B">
        <w:rPr>
          <w:rFonts w:ascii="Times New Roman" w:hAnsi="Times New Roman"/>
          <w:sz w:val="28"/>
        </w:rPr>
        <w:t xml:space="preserve">medios de prueba </w:t>
      </w:r>
      <w:r w:rsidRPr="003E425B">
        <w:rPr>
          <w:rFonts w:ascii="Times New Roman" w:hAnsi="Times New Roman"/>
          <w:sz w:val="28"/>
        </w:rPr>
        <w:t>que fueron aportados al expediente</w:t>
      </w:r>
      <w:r w:rsidRPr="003E425B">
        <w:rPr>
          <w:rFonts w:ascii="Times New Roman" w:hAnsi="Times New Roman"/>
          <w:sz w:val="28"/>
        </w:rPr>
        <w:t xml:space="preserve"> </w:t>
      </w:r>
      <w:r w:rsidRPr="003E425B">
        <w:rPr>
          <w:rFonts w:ascii="Times New Roman" w:hAnsi="Times New Roman"/>
          <w:sz w:val="28"/>
        </w:rPr>
        <w:t>evidencia</w:t>
      </w:r>
      <w:r w:rsidRPr="003E425B">
        <w:rPr>
          <w:rFonts w:ascii="Times New Roman" w:hAnsi="Times New Roman"/>
          <w:sz w:val="28"/>
        </w:rPr>
        <w:t>,</w:t>
      </w:r>
      <w:r w:rsidRPr="003E425B">
        <w:rPr>
          <w:rFonts w:ascii="Times New Roman" w:hAnsi="Times New Roman"/>
          <w:sz w:val="28"/>
        </w:rPr>
        <w:t xml:space="preserve"> a lo sumo, que existe duda sobre el número</w:t>
      </w:r>
      <w:r w:rsidRPr="003E425B">
        <w:rPr>
          <w:rFonts w:ascii="Times New Roman" w:hAnsi="Times New Roman"/>
          <w:sz w:val="28"/>
        </w:rPr>
        <w:t xml:space="preserve"> e identidad</w:t>
      </w:r>
      <w:r w:rsidRPr="003E425B">
        <w:rPr>
          <w:rFonts w:ascii="Times New Roman" w:hAnsi="Times New Roman"/>
          <w:sz w:val="28"/>
        </w:rPr>
        <w:t xml:space="preserve"> de</w:t>
      </w:r>
      <w:r w:rsidRPr="003E425B">
        <w:rPr>
          <w:rFonts w:ascii="Times New Roman" w:hAnsi="Times New Roman"/>
          <w:sz w:val="28"/>
        </w:rPr>
        <w:t xml:space="preserve"> los</w:t>
      </w:r>
      <w:r w:rsidRPr="003E425B">
        <w:rPr>
          <w:rFonts w:ascii="Times New Roman" w:hAnsi="Times New Roman"/>
          <w:sz w:val="28"/>
        </w:rPr>
        <w:t xml:space="preserve"> senadores </w:t>
      </w:r>
      <w:r w:rsidRPr="003E425B">
        <w:rPr>
          <w:rFonts w:ascii="Times New Roman" w:hAnsi="Times New Roman"/>
          <w:sz w:val="28"/>
        </w:rPr>
        <w:t xml:space="preserve">que estaban </w:t>
      </w:r>
      <w:r w:rsidRPr="003E425B">
        <w:rPr>
          <w:rFonts w:ascii="Times New Roman" w:hAnsi="Times New Roman"/>
          <w:sz w:val="28"/>
        </w:rPr>
        <w:t>presentes al momento de la votación</w:t>
      </w:r>
      <w:r w:rsidRPr="003E425B">
        <w:rPr>
          <w:rFonts w:ascii="Times New Roman" w:hAnsi="Times New Roman"/>
          <w:sz w:val="28"/>
        </w:rPr>
        <w:t xml:space="preserve">. </w:t>
      </w:r>
      <w:r w:rsidRPr="003E425B">
        <w:rPr>
          <w:rFonts w:ascii="Times New Roman" w:hAnsi="Times New Roman"/>
          <w:sz w:val="28"/>
        </w:rPr>
        <w:t xml:space="preserve">Sin embargo, </w:t>
      </w:r>
      <w:r w:rsidRPr="003E425B">
        <w:rPr>
          <w:rFonts w:ascii="Times New Roman" w:hAnsi="Times New Roman"/>
          <w:sz w:val="28"/>
        </w:rPr>
        <w:t xml:space="preserve">estos medios de prueba </w:t>
      </w:r>
      <w:r w:rsidRPr="003E425B">
        <w:rPr>
          <w:rFonts w:ascii="Times New Roman" w:hAnsi="Times New Roman"/>
          <w:sz w:val="28"/>
        </w:rPr>
        <w:t>no permite</w:t>
      </w:r>
      <w:r w:rsidRPr="003E425B">
        <w:rPr>
          <w:rFonts w:ascii="Times New Roman" w:hAnsi="Times New Roman"/>
          <w:sz w:val="28"/>
        </w:rPr>
        <w:t>n</w:t>
      </w:r>
      <w:r w:rsidRPr="003E425B">
        <w:rPr>
          <w:rFonts w:ascii="Times New Roman" w:hAnsi="Times New Roman"/>
          <w:sz w:val="28"/>
        </w:rPr>
        <w:t xml:space="preserve"> concluir con certeza, como lo aseguran los demandantes, que la Comisión Primera Constitucional del Senado dio por aprobado el inf</w:t>
      </w:r>
      <w:r w:rsidRPr="003E425B">
        <w:rPr>
          <w:rFonts w:ascii="Times New Roman" w:hAnsi="Times New Roman"/>
          <w:sz w:val="28"/>
        </w:rPr>
        <w:t xml:space="preserve">orme de ponencia, pese a que no existía quórum ni mayoría decisoria.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b/>
          <w:bCs/>
          <w:sz w:val="28"/>
        </w:rPr>
        <w:t>(a)</w:t>
      </w:r>
      <w:r w:rsidRPr="003E425B">
        <w:rPr>
          <w:rFonts w:ascii="Times New Roman" w:hAnsi="Times New Roman"/>
          <w:sz w:val="28"/>
        </w:rPr>
        <w:t xml:space="preserve">  </w:t>
      </w:r>
      <w:r w:rsidRPr="003E425B">
        <w:rPr>
          <w:rFonts w:ascii="Times New Roman" w:hAnsi="Times New Roman"/>
          <w:sz w:val="28"/>
          <w:u w:val="single"/>
        </w:rPr>
        <w:t>El Acta Conjunta número 3 de 24 de noviembre de 2022</w:t>
      </w:r>
      <w:r w:rsidRPr="003E425B">
        <w:rPr>
          <w:rFonts w:ascii="Times New Roman" w:hAnsi="Times New Roman"/>
          <w:sz w:val="28"/>
        </w:rPr>
        <w:t xml:space="preserve">. </w:t>
      </w:r>
      <w:r w:rsidRPr="003E425B">
        <w:rPr>
          <w:rFonts w:ascii="Times New Roman" w:hAnsi="Times New Roman"/>
          <w:sz w:val="28"/>
        </w:rPr>
        <w:t xml:space="preserve">El registro de la votación del informe de ponencia en la Comisión Primera Constitucional </w:t>
      </w:r>
      <w:r w:rsidRPr="003E425B">
        <w:rPr>
          <w:rFonts w:ascii="Times New Roman" w:hAnsi="Times New Roman"/>
          <w:sz w:val="28"/>
        </w:rPr>
        <w:t xml:space="preserve">del Senado </w:t>
      </w:r>
      <w:r w:rsidRPr="003E425B">
        <w:rPr>
          <w:rFonts w:ascii="Times New Roman" w:hAnsi="Times New Roman"/>
          <w:sz w:val="28"/>
        </w:rPr>
        <w:t xml:space="preserve">se encuentra en el </w:t>
      </w:r>
      <w:r w:rsidRPr="003E425B">
        <w:rPr>
          <w:rFonts w:ascii="Times New Roman" w:hAnsi="Times New Roman"/>
          <w:sz w:val="28"/>
          <w:lang w:val="es-ES_tradnl"/>
        </w:rPr>
        <w:t>Acta Co</w:t>
      </w:r>
      <w:r w:rsidRPr="003E425B">
        <w:rPr>
          <w:rFonts w:ascii="Times New Roman" w:hAnsi="Times New Roman"/>
          <w:sz w:val="28"/>
          <w:lang w:val="es-ES_tradnl"/>
        </w:rPr>
        <w:t>njunta número 3 de 24 de noviembre de 2022, publicada en la Gaceta del Congreso 96 de 27 de febrero de 2023</w:t>
      </w:r>
      <w:r w:rsidRPr="003E425B">
        <w:rPr>
          <w:rFonts w:ascii="Times New Roman" w:hAnsi="Times New Roman"/>
          <w:sz w:val="28"/>
        </w:rPr>
        <w:t>. Esta acta indica que la Comisión Primera del Senado aprobó la proposición positiva con que termina el informe de ponencia “por unanimidad con regis</w:t>
      </w:r>
      <w:r w:rsidRPr="003E425B">
        <w:rPr>
          <w:rFonts w:ascii="Times New Roman" w:hAnsi="Times New Roman"/>
          <w:sz w:val="28"/>
        </w:rPr>
        <w:t xml:space="preserve">tro del quorum decisorio </w:t>
      </w:r>
      <w:r w:rsidRPr="003E425B">
        <w:rPr>
          <w:rFonts w:ascii="Times New Roman" w:hAnsi="Times New Roman"/>
          <w:i/>
          <w:iCs/>
          <w:sz w:val="28"/>
        </w:rPr>
        <w:t>de conformidad a la última votación</w:t>
      </w:r>
      <w:r w:rsidRPr="003E425B">
        <w:rPr>
          <w:rFonts w:ascii="Times New Roman" w:hAnsi="Times New Roman"/>
          <w:sz w:val="28"/>
        </w:rPr>
        <w:t>”</w:t>
      </w:r>
      <w:r w:rsidRPr="003E425B">
        <w:rPr>
          <w:rStyle w:val="Refdenotaalpie"/>
          <w:rFonts w:ascii="Times New Roman" w:eastAsiaTheme="majorEastAsia" w:hAnsi="Times New Roman"/>
          <w:sz w:val="28"/>
          <w:lang w:val="es-ES"/>
        </w:rPr>
        <w:footnoteReference w:id="159"/>
      </w:r>
      <w:r w:rsidRPr="003E425B">
        <w:rPr>
          <w:rFonts w:ascii="Times New Roman" w:hAnsi="Times New Roman"/>
          <w:sz w:val="28"/>
        </w:rPr>
        <w:t xml:space="preserve"> (</w:t>
      </w:r>
      <w:r w:rsidRPr="003E425B">
        <w:rPr>
          <w:rFonts w:ascii="Times New Roman" w:hAnsi="Times New Roman"/>
          <w:sz w:val="28"/>
        </w:rPr>
        <w:t>cursivas añadidas)</w:t>
      </w:r>
      <w:r w:rsidRPr="003E425B">
        <w:rPr>
          <w:rFonts w:ascii="Times New Roman" w:hAnsi="Times New Roman"/>
          <w:sz w:val="28"/>
        </w:rPr>
        <w:t>. La siguiente imagen del acta de la sesión evidencia este punto:</w:t>
      </w:r>
    </w:p>
    <w:p w:rsidR="00FB4130" w:rsidRPr="003E425B" w:rsidRDefault="003E425B" w:rsidP="00010108">
      <w:pPr>
        <w:pStyle w:val="Prrafodelista"/>
        <w:tabs>
          <w:tab w:val="left" w:pos="567"/>
        </w:tabs>
        <w:spacing w:line="240" w:lineRule="auto"/>
        <w:ind w:left="0"/>
        <w:rPr>
          <w:rFonts w:ascii="Times New Roman" w:hAnsi="Times New Roman"/>
          <w:sz w:val="28"/>
          <w:u w:val="single"/>
        </w:rPr>
      </w:pPr>
    </w:p>
    <w:p w:rsidR="00FB4130" w:rsidRPr="003E425B" w:rsidRDefault="003E425B" w:rsidP="00010108">
      <w:pPr>
        <w:pStyle w:val="Prrafodelista"/>
        <w:tabs>
          <w:tab w:val="left" w:pos="567"/>
        </w:tabs>
        <w:spacing w:line="240" w:lineRule="auto"/>
        <w:ind w:left="0"/>
        <w:jc w:val="center"/>
        <w:rPr>
          <w:rFonts w:ascii="Times New Roman" w:hAnsi="Times New Roman"/>
          <w:sz w:val="28"/>
        </w:rPr>
      </w:pPr>
      <w:r w:rsidRPr="003E425B">
        <w:rPr>
          <w:rFonts w:ascii="Times New Roman" w:hAnsi="Times New Roman"/>
          <w:noProof/>
          <w:sz w:val="28"/>
        </w:rPr>
        <w:drawing>
          <wp:inline distT="0" distB="0" distL="0" distR="0" wp14:anchorId="67878E7B" wp14:editId="5671F48D">
            <wp:extent cx="3324225" cy="1343214"/>
            <wp:effectExtent l="0" t="0" r="0" b="9525"/>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12484" name="Imagen 1" descr="Texto&#10;&#10;Descripción generada automáticamente"/>
                    <pic:cNvPicPr/>
                  </pic:nvPicPr>
                  <pic:blipFill rotWithShape="1">
                    <a:blip r:embed="rId9"/>
                    <a:srcRect t="53706" b="1477"/>
                    <a:stretch/>
                  </pic:blipFill>
                  <pic:spPr bwMode="auto">
                    <a:xfrm>
                      <a:off x="0" y="0"/>
                      <a:ext cx="3356781" cy="1356369"/>
                    </a:xfrm>
                    <a:prstGeom prst="rect">
                      <a:avLst/>
                    </a:prstGeom>
                    <a:ln>
                      <a:noFill/>
                    </a:ln>
                    <a:extLst>
                      <a:ext uri="{53640926-AAD7-44D8-BBD7-CCE9431645EC}">
                        <a14:shadowObscured xmlns:a14="http://schemas.microsoft.com/office/drawing/2010/main"/>
                      </a:ext>
                    </a:extLst>
                  </pic:spPr>
                </pic:pic>
              </a:graphicData>
            </a:graphic>
          </wp:inline>
        </w:drawing>
      </w:r>
    </w:p>
    <w:p w:rsidR="00FB4130" w:rsidRPr="003E425B" w:rsidRDefault="003E425B" w:rsidP="00B432A4">
      <w:pPr>
        <w:pStyle w:val="Prrafodelista"/>
        <w:tabs>
          <w:tab w:val="left" w:pos="567"/>
        </w:tabs>
        <w:spacing w:line="240" w:lineRule="auto"/>
        <w:ind w:left="0"/>
        <w:rPr>
          <w:rFonts w:ascii="Times New Roman" w:hAnsi="Times New Roman"/>
          <w:sz w:val="28"/>
        </w:rPr>
      </w:pPr>
    </w:p>
    <w:p w:rsidR="005B0206" w:rsidRPr="003E425B" w:rsidRDefault="003E425B" w:rsidP="005B0206">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“última votación” que se llevó a cabo antes </w:t>
      </w:r>
      <w:r w:rsidRPr="003E425B">
        <w:rPr>
          <w:rFonts w:ascii="Times New Roman" w:hAnsi="Times New Roman"/>
          <w:sz w:val="28"/>
        </w:rPr>
        <w:t xml:space="preserve">de la votación ordinaria del informe de ponencia, fue la </w:t>
      </w:r>
      <w:r w:rsidRPr="003E425B">
        <w:rPr>
          <w:rFonts w:ascii="Times New Roman" w:hAnsi="Times New Roman"/>
          <w:sz w:val="28"/>
        </w:rPr>
        <w:t>votación nomina</w:t>
      </w:r>
      <w:r w:rsidRPr="003E425B">
        <w:rPr>
          <w:rFonts w:ascii="Times New Roman" w:hAnsi="Times New Roman"/>
          <w:sz w:val="28"/>
        </w:rPr>
        <w:t>l</w:t>
      </w:r>
      <w:r w:rsidRPr="003E425B">
        <w:rPr>
          <w:rFonts w:ascii="Times New Roman" w:hAnsi="Times New Roman"/>
          <w:sz w:val="28"/>
        </w:rPr>
        <w:t xml:space="preserve"> y pública de las proposiciones de archivo que presentaron la Senadora María Fernanda Cabal y el representante Miguel Polo Polo. De acuerdo con </w:t>
      </w:r>
      <w:r w:rsidRPr="003E425B">
        <w:rPr>
          <w:rFonts w:ascii="Times New Roman" w:hAnsi="Times New Roman"/>
          <w:sz w:val="28"/>
        </w:rPr>
        <w:t>la información que reposa en el acta, la Comisión Primera Constitucional del Senado rechazó esta</w:t>
      </w:r>
      <w:r w:rsidRPr="003E425B">
        <w:rPr>
          <w:rFonts w:ascii="Times New Roman" w:hAnsi="Times New Roman"/>
          <w:sz w:val="28"/>
        </w:rPr>
        <w:t xml:space="preserve">s proposiciones con 11 votos desfavorables. La Comisión </w:t>
      </w:r>
      <w:r w:rsidRPr="003E425B">
        <w:rPr>
          <w:rFonts w:ascii="Times New Roman" w:hAnsi="Times New Roman"/>
          <w:sz w:val="28"/>
        </w:rPr>
        <w:t>Constitucional</w:t>
      </w:r>
      <w:r w:rsidRPr="003E425B">
        <w:rPr>
          <w:rFonts w:ascii="Times New Roman" w:hAnsi="Times New Roman"/>
          <w:sz w:val="28"/>
        </w:rPr>
        <w:t xml:space="preserve"> Primera del Senado está integrad</w:t>
      </w:r>
      <w:r w:rsidRPr="003E425B">
        <w:rPr>
          <w:rFonts w:ascii="Times New Roman" w:hAnsi="Times New Roman"/>
          <w:sz w:val="28"/>
        </w:rPr>
        <w:t>a</w:t>
      </w:r>
      <w:r w:rsidRPr="003E425B">
        <w:rPr>
          <w:rFonts w:ascii="Times New Roman" w:hAnsi="Times New Roman"/>
          <w:sz w:val="28"/>
        </w:rPr>
        <w:t xml:space="preserve"> po</w:t>
      </w:r>
      <w:r w:rsidRPr="003E425B">
        <w:rPr>
          <w:rFonts w:ascii="Times New Roman" w:hAnsi="Times New Roman"/>
          <w:sz w:val="28"/>
        </w:rPr>
        <w:t>r 21 senadores, lo que implica que el quórum decisorio es de 11 senadores. Asimismo,</w:t>
      </w:r>
      <w:r w:rsidRPr="003E425B">
        <w:rPr>
          <w:rFonts w:ascii="Times New Roman" w:hAnsi="Times New Roman"/>
          <w:sz w:val="28"/>
        </w:rPr>
        <w:t xml:space="preserve"> existe</w:t>
      </w:r>
      <w:r w:rsidRPr="003E425B">
        <w:rPr>
          <w:rFonts w:ascii="Times New Roman" w:hAnsi="Times New Roman"/>
          <w:sz w:val="28"/>
        </w:rPr>
        <w:t xml:space="preserve"> mayoría absoluta </w:t>
      </w:r>
      <w:r w:rsidRPr="003E425B">
        <w:rPr>
          <w:rFonts w:ascii="Times New Roman" w:hAnsi="Times New Roman"/>
          <w:sz w:val="28"/>
        </w:rPr>
        <w:t>cuando 11 senadores votan a favor o en c</w:t>
      </w:r>
      <w:r w:rsidRPr="003E425B">
        <w:rPr>
          <w:rFonts w:ascii="Times New Roman" w:hAnsi="Times New Roman"/>
          <w:sz w:val="28"/>
        </w:rPr>
        <w:t xml:space="preserve">ontra de una </w:t>
      </w:r>
      <w:r w:rsidRPr="003E425B">
        <w:rPr>
          <w:rFonts w:ascii="Times New Roman" w:hAnsi="Times New Roman"/>
          <w:sz w:val="28"/>
        </w:rPr>
        <w:t>determinada</w:t>
      </w:r>
      <w:r w:rsidRPr="003E425B">
        <w:rPr>
          <w:rFonts w:ascii="Times New Roman" w:hAnsi="Times New Roman"/>
          <w:sz w:val="28"/>
        </w:rPr>
        <w:t xml:space="preserve"> propuesta. En tales términos, de ser cierta la información contenida en el acta, </w:t>
      </w:r>
      <w:r w:rsidRPr="003E425B">
        <w:rPr>
          <w:rFonts w:ascii="Times New Roman" w:hAnsi="Times New Roman"/>
          <w:sz w:val="28"/>
        </w:rPr>
        <w:t xml:space="preserve">el informe de ponencia habría sido aprobado con quórum y por mayoría absoluta. </w:t>
      </w:r>
    </w:p>
    <w:p w:rsidR="00D5150E" w:rsidRPr="003E425B" w:rsidRDefault="003E425B" w:rsidP="00D5150E">
      <w:pPr>
        <w:pStyle w:val="Prrafodelista"/>
        <w:widowControl w:val="0"/>
        <w:tabs>
          <w:tab w:val="left" w:pos="567"/>
        </w:tabs>
        <w:spacing w:line="240" w:lineRule="auto"/>
        <w:ind w:left="0"/>
        <w:rPr>
          <w:rFonts w:ascii="Times New Roman" w:hAnsi="Times New Roman"/>
          <w:sz w:val="28"/>
        </w:rPr>
      </w:pPr>
    </w:p>
    <w:p w:rsidR="00C8494A" w:rsidRPr="003E425B" w:rsidRDefault="003E425B" w:rsidP="00C8494A">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Conforme</w:t>
      </w:r>
      <w:r w:rsidRPr="003E425B">
        <w:rPr>
          <w:rFonts w:ascii="Times New Roman" w:hAnsi="Times New Roman"/>
          <w:sz w:val="28"/>
        </w:rPr>
        <w:t xml:space="preserve"> a la Ley 5ª de 1992 y la jurisprudencia constitucional, la i</w:t>
      </w:r>
      <w:r w:rsidRPr="003E425B">
        <w:rPr>
          <w:rFonts w:ascii="Times New Roman" w:hAnsi="Times New Roman"/>
          <w:sz w:val="28"/>
        </w:rPr>
        <w:t xml:space="preserve">nformación contenida en el Acta Conjunta número 3 de 24 de noviembre de 2022 se presume cierta. </w:t>
      </w:r>
      <w:r w:rsidRPr="003E425B">
        <w:rPr>
          <w:rFonts w:ascii="Times New Roman" w:hAnsi="Times New Roman"/>
          <w:sz w:val="28"/>
        </w:rPr>
        <w:t>Primero,</w:t>
      </w:r>
      <w:r w:rsidRPr="003E425B">
        <w:rPr>
          <w:rFonts w:ascii="Times New Roman" w:hAnsi="Times New Roman"/>
          <w:sz w:val="28"/>
        </w:rPr>
        <w:t xml:space="preserve"> el artículo 35 de la Ley 5ª de 1992 dispone que </w:t>
      </w:r>
      <w:r w:rsidRPr="003E425B">
        <w:rPr>
          <w:rFonts w:ascii="Times New Roman" w:hAnsi="Times New Roman"/>
          <w:sz w:val="28"/>
        </w:rPr>
        <w:t>“el Presidente someterá a discusión, sin hacerla leer, el acta de la sesión anterior, puesta previament</w:t>
      </w:r>
      <w:r w:rsidRPr="003E425B">
        <w:rPr>
          <w:rFonts w:ascii="Times New Roman" w:hAnsi="Times New Roman"/>
          <w:sz w:val="28"/>
        </w:rPr>
        <w:t>e en conocimiento de los miembros de la Corporación”</w:t>
      </w:r>
      <w:r w:rsidRPr="003E425B">
        <w:rPr>
          <w:rFonts w:ascii="Times New Roman" w:hAnsi="Times New Roman"/>
          <w:sz w:val="28"/>
        </w:rPr>
        <w:t xml:space="preserve"> (inciso 2º)</w:t>
      </w:r>
      <w:r w:rsidRPr="003E425B">
        <w:rPr>
          <w:rFonts w:ascii="Times New Roman" w:hAnsi="Times New Roman"/>
          <w:sz w:val="28"/>
        </w:rPr>
        <w:t xml:space="preserve">. </w:t>
      </w:r>
      <w:r w:rsidRPr="003E425B">
        <w:rPr>
          <w:rFonts w:ascii="Times New Roman" w:hAnsi="Times New Roman"/>
          <w:sz w:val="28"/>
        </w:rPr>
        <w:t>Asimismo, prevé que los Congresista</w:t>
      </w:r>
      <w:r w:rsidRPr="003E425B">
        <w:rPr>
          <w:rFonts w:ascii="Times New Roman" w:hAnsi="Times New Roman"/>
          <w:sz w:val="28"/>
        </w:rPr>
        <w:t>s</w:t>
      </w:r>
      <w:r w:rsidRPr="003E425B">
        <w:rPr>
          <w:rFonts w:ascii="Times New Roman" w:hAnsi="Times New Roman"/>
          <w:sz w:val="28"/>
        </w:rPr>
        <w:t xml:space="preserve"> </w:t>
      </w:r>
      <w:r w:rsidRPr="003E425B">
        <w:rPr>
          <w:rFonts w:ascii="Times New Roman" w:hAnsi="Times New Roman"/>
          <w:sz w:val="28"/>
        </w:rPr>
        <w:t>podrán</w:t>
      </w:r>
      <w:r w:rsidRPr="003E425B">
        <w:rPr>
          <w:rFonts w:ascii="Times New Roman" w:hAnsi="Times New Roman"/>
          <w:sz w:val="28"/>
        </w:rPr>
        <w:t xml:space="preserve"> </w:t>
      </w:r>
      <w:r w:rsidRPr="003E425B">
        <w:rPr>
          <w:rFonts w:ascii="Times New Roman" w:hAnsi="Times New Roman"/>
          <w:sz w:val="28"/>
        </w:rPr>
        <w:t>“</w:t>
      </w:r>
      <w:r w:rsidRPr="003E425B">
        <w:rPr>
          <w:rFonts w:ascii="Times New Roman" w:hAnsi="Times New Roman"/>
          <w:sz w:val="28"/>
        </w:rPr>
        <w:t>hablar una vez para reclamar acerca de las omisiones o inexactitudes en que se hubiere incurrido al redactarla</w:t>
      </w:r>
      <w:r w:rsidRPr="003E425B">
        <w:rPr>
          <w:rFonts w:ascii="Times New Roman" w:hAnsi="Times New Roman"/>
          <w:sz w:val="28"/>
        </w:rPr>
        <w:t>”</w:t>
      </w:r>
      <w:r w:rsidRPr="003E425B">
        <w:rPr>
          <w:rFonts w:ascii="Times New Roman" w:hAnsi="Times New Roman"/>
          <w:sz w:val="28"/>
        </w:rPr>
        <w:t xml:space="preserve"> (inciso 3º)</w:t>
      </w:r>
      <w:r w:rsidRPr="003E425B">
        <w:rPr>
          <w:rFonts w:ascii="Times New Roman" w:hAnsi="Times New Roman"/>
          <w:sz w:val="28"/>
        </w:rPr>
        <w:t xml:space="preserve"> y “quien tenga observ</w:t>
      </w:r>
      <w:r w:rsidRPr="003E425B">
        <w:rPr>
          <w:rFonts w:ascii="Times New Roman" w:hAnsi="Times New Roman"/>
          <w:sz w:val="28"/>
        </w:rPr>
        <w:t>aciones las presentará por escrito a la secretaría a fin de que se inserten en el acta siguiente”</w:t>
      </w:r>
      <w:r w:rsidRPr="003E425B">
        <w:rPr>
          <w:rFonts w:ascii="Times New Roman" w:hAnsi="Times New Roman"/>
          <w:sz w:val="28"/>
        </w:rPr>
        <w:t xml:space="preserve"> (inciso 4º)</w:t>
      </w:r>
      <w:r w:rsidRPr="003E425B">
        <w:rPr>
          <w:rFonts w:ascii="Times New Roman" w:hAnsi="Times New Roman"/>
          <w:sz w:val="28"/>
        </w:rPr>
        <w:t xml:space="preserve">. </w:t>
      </w:r>
      <w:r w:rsidRPr="003E425B">
        <w:rPr>
          <w:rFonts w:ascii="Times New Roman" w:hAnsi="Times New Roman"/>
          <w:sz w:val="28"/>
        </w:rPr>
        <w:t>La Sala constata que</w:t>
      </w:r>
      <w:r w:rsidRPr="003E425B">
        <w:rPr>
          <w:rFonts w:ascii="Times New Roman" w:hAnsi="Times New Roman"/>
          <w:sz w:val="28"/>
        </w:rPr>
        <w:t xml:space="preserve"> </w:t>
      </w:r>
      <w:r w:rsidRPr="003E425B">
        <w:rPr>
          <w:rFonts w:ascii="Times New Roman" w:hAnsi="Times New Roman"/>
          <w:sz w:val="28"/>
        </w:rPr>
        <w:t>el Acta Conjunta n</w:t>
      </w:r>
      <w:r w:rsidRPr="003E425B">
        <w:rPr>
          <w:rFonts w:ascii="Times New Roman" w:hAnsi="Times New Roman"/>
          <w:sz w:val="28"/>
          <w:lang w:val="es-ES_tradnl"/>
        </w:rPr>
        <w:t xml:space="preserve">úmero 3 de 24 de noviembre de 2022 fue </w:t>
      </w:r>
      <w:r w:rsidRPr="003E425B">
        <w:rPr>
          <w:rFonts w:ascii="Times New Roman" w:hAnsi="Times New Roman"/>
          <w:sz w:val="28"/>
          <w:lang w:val="es-ES_tradnl"/>
        </w:rPr>
        <w:t>puesta</w:t>
      </w:r>
      <w:r w:rsidRPr="003E425B">
        <w:rPr>
          <w:rFonts w:ascii="Times New Roman" w:hAnsi="Times New Roman"/>
          <w:sz w:val="28"/>
          <w:lang w:val="es-ES_tradnl"/>
        </w:rPr>
        <w:t xml:space="preserve"> en consideración de los congresistas</w:t>
      </w:r>
      <w:r w:rsidRPr="003E425B">
        <w:rPr>
          <w:rFonts w:ascii="Times New Roman" w:hAnsi="Times New Roman"/>
          <w:sz w:val="28"/>
          <w:lang w:val="es-ES_tradnl"/>
        </w:rPr>
        <w:t xml:space="preserve">. </w:t>
      </w:r>
      <w:r w:rsidRPr="003E425B">
        <w:rPr>
          <w:rFonts w:ascii="Times New Roman" w:hAnsi="Times New Roman"/>
          <w:sz w:val="28"/>
          <w:lang w:val="es-ES_tradnl"/>
        </w:rPr>
        <w:t xml:space="preserve">Sin embargo, conforme a la información que reposa en </w:t>
      </w:r>
      <w:r w:rsidRPr="003E425B">
        <w:rPr>
          <w:rFonts w:ascii="Times New Roman" w:hAnsi="Times New Roman"/>
          <w:sz w:val="28"/>
          <w:lang w:val="es-ES_tradnl"/>
        </w:rPr>
        <w:t>la Gaceta del Congreso</w:t>
      </w:r>
      <w:r w:rsidRPr="003E425B">
        <w:rPr>
          <w:rFonts w:ascii="Times New Roman" w:hAnsi="Times New Roman"/>
          <w:sz w:val="28"/>
          <w:lang w:val="es-ES_tradnl"/>
        </w:rPr>
        <w:t>, los senadores demandantes</w:t>
      </w:r>
      <w:r w:rsidRPr="003E425B">
        <w:rPr>
          <w:rFonts w:ascii="Times New Roman" w:hAnsi="Times New Roman"/>
          <w:sz w:val="28"/>
          <w:lang w:val="es-ES_tradnl"/>
        </w:rPr>
        <w:t>,</w:t>
      </w:r>
      <w:r w:rsidRPr="003E425B">
        <w:rPr>
          <w:rFonts w:ascii="Times New Roman" w:hAnsi="Times New Roman"/>
          <w:sz w:val="28"/>
          <w:lang w:val="es-ES_tradnl"/>
        </w:rPr>
        <w:t xml:space="preserve"> </w:t>
      </w:r>
      <w:r w:rsidRPr="003E425B">
        <w:rPr>
          <w:rFonts w:ascii="Times New Roman" w:hAnsi="Times New Roman"/>
          <w:sz w:val="28"/>
          <w:lang w:val="es-ES_tradnl"/>
        </w:rPr>
        <w:t>así como el resto de</w:t>
      </w:r>
      <w:r w:rsidRPr="003E425B">
        <w:rPr>
          <w:rFonts w:ascii="Times New Roman" w:hAnsi="Times New Roman"/>
          <w:sz w:val="28"/>
          <w:lang w:val="es-ES_tradnl"/>
        </w:rPr>
        <w:t xml:space="preserve"> </w:t>
      </w:r>
      <w:r w:rsidRPr="003E425B">
        <w:rPr>
          <w:rFonts w:ascii="Times New Roman" w:hAnsi="Times New Roman"/>
          <w:sz w:val="28"/>
          <w:lang w:val="es-ES_tradnl"/>
        </w:rPr>
        <w:t>los</w:t>
      </w:r>
      <w:r w:rsidRPr="003E425B">
        <w:rPr>
          <w:rFonts w:ascii="Times New Roman" w:hAnsi="Times New Roman"/>
          <w:sz w:val="28"/>
          <w:lang w:val="es-ES_tradnl"/>
        </w:rPr>
        <w:t xml:space="preserve"> congresista</w:t>
      </w:r>
      <w:r w:rsidRPr="003E425B">
        <w:rPr>
          <w:rFonts w:ascii="Times New Roman" w:hAnsi="Times New Roman"/>
          <w:sz w:val="28"/>
          <w:lang w:val="es-ES_tradnl"/>
        </w:rPr>
        <w:t>s</w:t>
      </w:r>
      <w:r w:rsidRPr="003E425B">
        <w:rPr>
          <w:rFonts w:ascii="Times New Roman" w:hAnsi="Times New Roman"/>
          <w:sz w:val="28"/>
          <w:lang w:val="es-ES_tradnl"/>
        </w:rPr>
        <w:t>,</w:t>
      </w:r>
      <w:r w:rsidRPr="003E425B">
        <w:rPr>
          <w:rFonts w:ascii="Times New Roman" w:hAnsi="Times New Roman"/>
          <w:sz w:val="28"/>
          <w:lang w:val="es-ES_tradnl"/>
        </w:rPr>
        <w:t xml:space="preserve"> </w:t>
      </w:r>
      <w:r w:rsidRPr="003E425B">
        <w:rPr>
          <w:rFonts w:ascii="Times New Roman" w:hAnsi="Times New Roman"/>
          <w:sz w:val="28"/>
          <w:lang w:val="es-ES_tradnl"/>
        </w:rPr>
        <w:t xml:space="preserve">aprobaron el acta sin </w:t>
      </w:r>
      <w:r w:rsidRPr="003E425B">
        <w:rPr>
          <w:rFonts w:ascii="Times New Roman" w:hAnsi="Times New Roman"/>
          <w:sz w:val="28"/>
          <w:lang w:val="es-ES_tradnl"/>
        </w:rPr>
        <w:t xml:space="preserve">dejar </w:t>
      </w:r>
      <w:r w:rsidRPr="003E425B">
        <w:rPr>
          <w:rFonts w:ascii="Times New Roman" w:hAnsi="Times New Roman"/>
          <w:sz w:val="28"/>
          <w:lang w:val="es-ES_tradnl"/>
        </w:rPr>
        <w:t>n</w:t>
      </w:r>
      <w:r w:rsidRPr="003E425B">
        <w:rPr>
          <w:rFonts w:ascii="Times New Roman" w:hAnsi="Times New Roman"/>
          <w:sz w:val="28"/>
          <w:lang w:val="es-ES_tradnl"/>
        </w:rPr>
        <w:t xml:space="preserve">inguna </w:t>
      </w:r>
      <w:r w:rsidRPr="003E425B">
        <w:rPr>
          <w:rFonts w:ascii="Times New Roman" w:hAnsi="Times New Roman"/>
          <w:sz w:val="28"/>
          <w:lang w:val="es-ES_tradnl"/>
        </w:rPr>
        <w:t>constancia</w:t>
      </w:r>
      <w:r w:rsidRPr="003E425B">
        <w:rPr>
          <w:rFonts w:ascii="Times New Roman" w:hAnsi="Times New Roman"/>
          <w:sz w:val="28"/>
          <w:lang w:val="es-ES_tradnl"/>
        </w:rPr>
        <w:t xml:space="preserve"> en relación con </w:t>
      </w:r>
      <w:r w:rsidRPr="003E425B">
        <w:rPr>
          <w:rFonts w:ascii="Times New Roman" w:hAnsi="Times New Roman"/>
          <w:sz w:val="28"/>
          <w:lang w:val="es-ES_tradnl"/>
        </w:rPr>
        <w:t>el quórum y las mayorías con las que</w:t>
      </w:r>
      <w:r w:rsidRPr="003E425B">
        <w:rPr>
          <w:rFonts w:ascii="Times New Roman" w:hAnsi="Times New Roman"/>
          <w:sz w:val="28"/>
          <w:lang w:val="es-ES_tradnl"/>
        </w:rPr>
        <w:t xml:space="preserve"> se</w:t>
      </w:r>
      <w:r w:rsidRPr="003E425B">
        <w:rPr>
          <w:rFonts w:ascii="Times New Roman" w:hAnsi="Times New Roman"/>
          <w:sz w:val="28"/>
          <w:lang w:val="es-ES_tradnl"/>
        </w:rPr>
        <w:t xml:space="preserve"> habría apr</w:t>
      </w:r>
      <w:r w:rsidRPr="003E425B">
        <w:rPr>
          <w:rFonts w:ascii="Times New Roman" w:hAnsi="Times New Roman"/>
          <w:sz w:val="28"/>
          <w:lang w:val="es-ES_tradnl"/>
        </w:rPr>
        <w:t>obado el informe de ponencia</w:t>
      </w:r>
      <w:r w:rsidRPr="003E425B">
        <w:rPr>
          <w:rStyle w:val="Refdenotaalpie"/>
          <w:rFonts w:ascii="Times New Roman" w:hAnsi="Times New Roman"/>
          <w:sz w:val="28"/>
          <w:lang w:val="es-ES_tradnl"/>
        </w:rPr>
        <w:footnoteReference w:id="160"/>
      </w:r>
      <w:r w:rsidRPr="003E425B">
        <w:rPr>
          <w:rFonts w:ascii="Times New Roman" w:hAnsi="Times New Roman"/>
          <w:sz w:val="28"/>
          <w:lang w:val="es-ES_tradnl"/>
        </w:rPr>
        <w:t xml:space="preserve">. </w:t>
      </w:r>
      <w:r w:rsidRPr="003E425B">
        <w:rPr>
          <w:rFonts w:ascii="Times New Roman" w:hAnsi="Times New Roman"/>
          <w:sz w:val="28"/>
        </w:rPr>
        <w:t>Segundo, la Corte Constitucional ha reiterado que “existe una presunción de corrección de los reportes oficiales y las actas en virtud de las cuales se determina qué fue lo que realmente ocurrió en el transcurso de una sesión</w:t>
      </w:r>
      <w:r w:rsidRPr="003E425B">
        <w:rPr>
          <w:rFonts w:ascii="Times New Roman" w:hAnsi="Times New Roman"/>
          <w:sz w:val="28"/>
        </w:rPr>
        <w:t xml:space="preserve"> parlamentaria”</w:t>
      </w:r>
      <w:r w:rsidRPr="003E425B">
        <w:rPr>
          <w:rFonts w:ascii="Times New Roman" w:hAnsi="Times New Roman"/>
          <w:sz w:val="28"/>
          <w:vertAlign w:val="superscript"/>
        </w:rPr>
        <w:footnoteReference w:id="161"/>
      </w:r>
      <w:r w:rsidRPr="003E425B">
        <w:rPr>
          <w:rFonts w:ascii="Times New Roman" w:hAnsi="Times New Roman"/>
          <w:sz w:val="28"/>
        </w:rPr>
        <w:t>.</w:t>
      </w:r>
    </w:p>
    <w:p w:rsidR="00C8494A" w:rsidRPr="003E425B" w:rsidRDefault="003E425B" w:rsidP="00C8494A">
      <w:pPr>
        <w:pStyle w:val="Prrafodelista"/>
        <w:widowControl w:val="0"/>
        <w:tabs>
          <w:tab w:val="left" w:pos="567"/>
        </w:tabs>
        <w:spacing w:line="240" w:lineRule="auto"/>
        <w:ind w:left="0"/>
        <w:rPr>
          <w:rFonts w:ascii="Times New Roman" w:hAnsi="Times New Roman"/>
          <w:sz w:val="28"/>
        </w:rPr>
      </w:pPr>
    </w:p>
    <w:p w:rsidR="00FB4130" w:rsidRPr="003E425B" w:rsidRDefault="003E425B" w:rsidP="00C8494A">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Ahora bien, </w:t>
      </w:r>
      <w:r w:rsidRPr="003E425B">
        <w:rPr>
          <w:rFonts w:ascii="Times New Roman" w:hAnsi="Times New Roman"/>
          <w:sz w:val="28"/>
        </w:rPr>
        <w:t>aun cuando el Acta Conjunta</w:t>
      </w:r>
      <w:r w:rsidRPr="003E425B">
        <w:rPr>
          <w:rFonts w:ascii="Times New Roman" w:eastAsiaTheme="minorHAnsi" w:hAnsi="Times New Roman"/>
          <w:color w:val="auto"/>
          <w:sz w:val="28"/>
          <w:szCs w:val="22"/>
        </w:rPr>
        <w:t xml:space="preserve"> </w:t>
      </w:r>
      <w:r w:rsidRPr="003E425B">
        <w:rPr>
          <w:rFonts w:ascii="Times New Roman" w:hAnsi="Times New Roman"/>
          <w:sz w:val="28"/>
        </w:rPr>
        <w:t>n</w:t>
      </w:r>
      <w:r w:rsidRPr="003E425B">
        <w:rPr>
          <w:rFonts w:ascii="Times New Roman" w:hAnsi="Times New Roman"/>
          <w:sz w:val="28"/>
          <w:lang w:val="es-ES_tradnl"/>
        </w:rPr>
        <w:t>úmero 3 de 24 de noviembre de 2022</w:t>
      </w:r>
      <w:r w:rsidRPr="003E425B">
        <w:rPr>
          <w:rFonts w:ascii="Times New Roman" w:hAnsi="Times New Roman"/>
          <w:sz w:val="28"/>
        </w:rPr>
        <w:t xml:space="preserve"> fue aprobada sin constancias</w:t>
      </w:r>
      <w:r w:rsidRPr="003E425B">
        <w:rPr>
          <w:rFonts w:ascii="Times New Roman" w:hAnsi="Times New Roman"/>
          <w:sz w:val="28"/>
        </w:rPr>
        <w:t xml:space="preserve">, </w:t>
      </w:r>
      <w:r w:rsidRPr="003E425B">
        <w:rPr>
          <w:rFonts w:ascii="Times New Roman" w:hAnsi="Times New Roman"/>
          <w:sz w:val="28"/>
        </w:rPr>
        <w:t xml:space="preserve">la Sala </w:t>
      </w:r>
      <w:r w:rsidRPr="003E425B">
        <w:rPr>
          <w:rFonts w:ascii="Times New Roman" w:hAnsi="Times New Roman"/>
          <w:sz w:val="28"/>
        </w:rPr>
        <w:t>Plena nota</w:t>
      </w:r>
      <w:r w:rsidRPr="003E425B">
        <w:rPr>
          <w:rFonts w:ascii="Times New Roman" w:hAnsi="Times New Roman"/>
          <w:sz w:val="28"/>
        </w:rPr>
        <w:t xml:space="preserve"> que</w:t>
      </w:r>
      <w:r w:rsidRPr="003E425B">
        <w:rPr>
          <w:rFonts w:ascii="Times New Roman" w:hAnsi="Times New Roman"/>
          <w:sz w:val="28"/>
        </w:rPr>
        <w:t xml:space="preserve"> </w:t>
      </w:r>
      <w:r w:rsidRPr="003E425B">
        <w:rPr>
          <w:rFonts w:ascii="Times New Roman" w:hAnsi="Times New Roman"/>
          <w:sz w:val="28"/>
        </w:rPr>
        <w:t xml:space="preserve">esta acta no </w:t>
      </w:r>
      <w:r w:rsidRPr="003E425B">
        <w:rPr>
          <w:rFonts w:ascii="Times New Roman" w:hAnsi="Times New Roman"/>
          <w:sz w:val="28"/>
        </w:rPr>
        <w:t xml:space="preserve">es precisa y no </w:t>
      </w:r>
      <w:r w:rsidRPr="003E425B">
        <w:rPr>
          <w:rFonts w:ascii="Times New Roman" w:hAnsi="Times New Roman"/>
          <w:sz w:val="28"/>
        </w:rPr>
        <w:t>acredita con certeza que</w:t>
      </w:r>
      <w:r w:rsidRPr="003E425B">
        <w:rPr>
          <w:rFonts w:ascii="Times New Roman" w:hAnsi="Times New Roman"/>
          <w:sz w:val="28"/>
        </w:rPr>
        <w:t xml:space="preserve">, al momento </w:t>
      </w:r>
      <w:r w:rsidRPr="003E425B">
        <w:rPr>
          <w:rFonts w:ascii="Times New Roman" w:hAnsi="Times New Roman"/>
          <w:sz w:val="28"/>
        </w:rPr>
        <w:t xml:space="preserve">exacto </w:t>
      </w:r>
      <w:r w:rsidRPr="003E425B">
        <w:rPr>
          <w:rFonts w:ascii="Times New Roman" w:hAnsi="Times New Roman"/>
          <w:sz w:val="28"/>
        </w:rPr>
        <w:t>de la votación ordinaria,</w:t>
      </w:r>
      <w:r w:rsidRPr="003E425B">
        <w:rPr>
          <w:rFonts w:ascii="Times New Roman" w:hAnsi="Times New Roman"/>
          <w:sz w:val="28"/>
        </w:rPr>
        <w:t xml:space="preserve"> existía quórum decisorio</w:t>
      </w:r>
      <w:r w:rsidRPr="003E425B">
        <w:rPr>
          <w:rFonts w:ascii="Times New Roman" w:hAnsi="Times New Roman"/>
          <w:sz w:val="28"/>
        </w:rPr>
        <w:t xml:space="preserve"> y que el informe</w:t>
      </w:r>
      <w:r w:rsidRPr="003E425B">
        <w:rPr>
          <w:rFonts w:ascii="Times New Roman" w:hAnsi="Times New Roman"/>
          <w:sz w:val="28"/>
        </w:rPr>
        <w:t xml:space="preserve"> de ponencia</w:t>
      </w:r>
      <w:r w:rsidRPr="003E425B">
        <w:rPr>
          <w:rFonts w:ascii="Times New Roman" w:hAnsi="Times New Roman"/>
          <w:sz w:val="28"/>
        </w:rPr>
        <w:t xml:space="preserve"> se aprobó </w:t>
      </w:r>
      <w:r w:rsidRPr="003E425B">
        <w:rPr>
          <w:rFonts w:ascii="Times New Roman" w:hAnsi="Times New Roman"/>
          <w:sz w:val="28"/>
        </w:rPr>
        <w:t>con</w:t>
      </w:r>
      <w:r w:rsidRPr="003E425B">
        <w:rPr>
          <w:rFonts w:ascii="Times New Roman" w:hAnsi="Times New Roman"/>
          <w:sz w:val="28"/>
        </w:rPr>
        <w:t xml:space="preserve"> la</w:t>
      </w:r>
      <w:r w:rsidRPr="003E425B">
        <w:rPr>
          <w:rFonts w:ascii="Times New Roman" w:hAnsi="Times New Roman"/>
          <w:sz w:val="28"/>
        </w:rPr>
        <w:t xml:space="preserve"> mayoría </w:t>
      </w:r>
      <w:r w:rsidRPr="003E425B">
        <w:rPr>
          <w:rFonts w:ascii="Times New Roman" w:hAnsi="Times New Roman"/>
          <w:sz w:val="28"/>
        </w:rPr>
        <w:t>requerida.</w:t>
      </w:r>
      <w:r w:rsidRPr="003E425B">
        <w:rPr>
          <w:rFonts w:ascii="Times New Roman" w:hAnsi="Times New Roman"/>
          <w:sz w:val="28"/>
        </w:rPr>
        <w:t xml:space="preserve"> </w:t>
      </w:r>
      <w:r w:rsidRPr="003E425B">
        <w:rPr>
          <w:rFonts w:ascii="Times New Roman" w:hAnsi="Times New Roman"/>
          <w:sz w:val="28"/>
          <w:lang w:val="es-ES_tradnl"/>
        </w:rPr>
        <w:t>La Sala Plena</w:t>
      </w:r>
      <w:r w:rsidRPr="003E425B">
        <w:rPr>
          <w:rFonts w:ascii="Times New Roman" w:hAnsi="Times New Roman"/>
          <w:sz w:val="28"/>
          <w:lang w:val="es-ES_tradnl"/>
        </w:rPr>
        <w:t xml:space="preserve"> reitera</w:t>
      </w:r>
      <w:r w:rsidRPr="003E425B">
        <w:rPr>
          <w:rFonts w:ascii="Times New Roman" w:hAnsi="Times New Roman"/>
          <w:sz w:val="28"/>
          <w:lang w:val="es-ES_tradnl"/>
        </w:rPr>
        <w:t xml:space="preserve"> que</w:t>
      </w:r>
      <w:r w:rsidRPr="003E425B">
        <w:rPr>
          <w:rFonts w:ascii="Times New Roman" w:hAnsi="Times New Roman"/>
          <w:sz w:val="28"/>
          <w:lang w:val="es-ES_tradnl"/>
        </w:rPr>
        <w:t>, conforme a</w:t>
      </w:r>
      <w:r w:rsidRPr="003E425B">
        <w:rPr>
          <w:rFonts w:ascii="Times New Roman" w:hAnsi="Times New Roman"/>
          <w:sz w:val="28"/>
          <w:lang w:val="es-ES_tradnl"/>
        </w:rPr>
        <w:t xml:space="preserve"> la </w:t>
      </w:r>
      <w:r w:rsidRPr="003E425B">
        <w:rPr>
          <w:rFonts w:ascii="Times New Roman" w:hAnsi="Times New Roman"/>
          <w:sz w:val="28"/>
          <w:lang w:val="es-ES_tradnl"/>
        </w:rPr>
        <w:t xml:space="preserve">jurisprudencia constitucional, </w:t>
      </w:r>
      <w:r w:rsidRPr="003E425B">
        <w:rPr>
          <w:rFonts w:ascii="Times New Roman" w:hAnsi="Times New Roman"/>
          <w:sz w:val="28"/>
        </w:rPr>
        <w:t xml:space="preserve">cuando las decisiones se adoptan </w:t>
      </w:r>
      <w:r w:rsidRPr="003E425B">
        <w:rPr>
          <w:rFonts w:ascii="Times New Roman" w:hAnsi="Times New Roman"/>
          <w:sz w:val="28"/>
        </w:rPr>
        <w:t>de forma</w:t>
      </w:r>
      <w:r w:rsidRPr="003E425B">
        <w:rPr>
          <w:rFonts w:ascii="Times New Roman" w:hAnsi="Times New Roman"/>
          <w:sz w:val="28"/>
        </w:rPr>
        <w:t xml:space="preserve"> ordinaria, el acta debe indicar el número de congre</w:t>
      </w:r>
      <w:r w:rsidRPr="003E425B">
        <w:rPr>
          <w:rFonts w:ascii="Times New Roman" w:hAnsi="Times New Roman"/>
          <w:sz w:val="28"/>
        </w:rPr>
        <w:t xml:space="preserve">sistas presentes al </w:t>
      </w:r>
      <w:r w:rsidRPr="003E425B">
        <w:rPr>
          <w:rFonts w:ascii="Times New Roman" w:hAnsi="Times New Roman"/>
          <w:b/>
          <w:bCs/>
          <w:sz w:val="28"/>
          <w:u w:val="single"/>
        </w:rPr>
        <w:t>momento exacto</w:t>
      </w:r>
      <w:r w:rsidRPr="003E425B">
        <w:rPr>
          <w:rFonts w:ascii="Times New Roman" w:hAnsi="Times New Roman"/>
          <w:sz w:val="28"/>
        </w:rPr>
        <w:t xml:space="preserve"> en que se llevó a cabo la votación</w:t>
      </w:r>
      <w:r w:rsidRPr="003E425B">
        <w:rPr>
          <w:rFonts w:ascii="Times New Roman" w:hAnsi="Times New Roman"/>
          <w:sz w:val="28"/>
        </w:rPr>
        <w:t xml:space="preserve"> que aprobaron la decisión</w:t>
      </w:r>
      <w:r w:rsidRPr="003E425B">
        <w:rPr>
          <w:rFonts w:ascii="Times New Roman" w:hAnsi="Times New Roman"/>
          <w:sz w:val="28"/>
        </w:rPr>
        <w:t xml:space="preserve">. </w:t>
      </w:r>
      <w:r w:rsidRPr="003E425B">
        <w:rPr>
          <w:rFonts w:ascii="Times New Roman" w:hAnsi="Times New Roman"/>
          <w:sz w:val="28"/>
        </w:rPr>
        <w:t>El</w:t>
      </w:r>
      <w:r w:rsidRPr="003E425B">
        <w:rPr>
          <w:rFonts w:ascii="Times New Roman" w:hAnsi="Times New Roman"/>
          <w:sz w:val="28"/>
        </w:rPr>
        <w:t xml:space="preserve"> registro de las votaciones anteriores no </w:t>
      </w:r>
      <w:r w:rsidRPr="003E425B">
        <w:rPr>
          <w:rFonts w:ascii="Times New Roman" w:hAnsi="Times New Roman"/>
          <w:sz w:val="28"/>
        </w:rPr>
        <w:t>constituye plena prueba</w:t>
      </w:r>
      <w:r w:rsidRPr="003E425B">
        <w:rPr>
          <w:rFonts w:ascii="Times New Roman" w:hAnsi="Times New Roman"/>
          <w:sz w:val="28"/>
        </w:rPr>
        <w:t xml:space="preserve"> d</w:t>
      </w:r>
      <w:r w:rsidRPr="003E425B">
        <w:rPr>
          <w:rFonts w:ascii="Times New Roman" w:hAnsi="Times New Roman"/>
          <w:sz w:val="28"/>
        </w:rPr>
        <w:t>el quórum</w:t>
      </w:r>
      <w:r w:rsidRPr="003E425B">
        <w:rPr>
          <w:rFonts w:ascii="Times New Roman" w:hAnsi="Times New Roman"/>
          <w:sz w:val="28"/>
        </w:rPr>
        <w:t xml:space="preserve"> y mayorías</w:t>
      </w:r>
      <w:r w:rsidRPr="003E425B">
        <w:rPr>
          <w:rFonts w:ascii="Times New Roman" w:hAnsi="Times New Roman"/>
          <w:sz w:val="28"/>
        </w:rPr>
        <w:t xml:space="preserve"> decisori</w:t>
      </w:r>
      <w:r w:rsidRPr="003E425B">
        <w:rPr>
          <w:rFonts w:ascii="Times New Roman" w:hAnsi="Times New Roman"/>
          <w:sz w:val="28"/>
        </w:rPr>
        <w:t>as</w:t>
      </w:r>
      <w:r w:rsidRPr="003E425B">
        <w:rPr>
          <w:rFonts w:ascii="Times New Roman" w:hAnsi="Times New Roman"/>
          <w:sz w:val="28"/>
        </w:rPr>
        <w:t xml:space="preserve">. En este caso, sin embargo, el </w:t>
      </w:r>
      <w:r w:rsidRPr="003E425B">
        <w:rPr>
          <w:rFonts w:ascii="Times New Roman" w:hAnsi="Times New Roman"/>
          <w:sz w:val="28"/>
          <w:lang w:val="es-ES_tradnl"/>
        </w:rPr>
        <w:t xml:space="preserve">Acta Conjunta número 3 de 24 de noviembre de 2022, publicada en la Gaceta del Congreso 96 de 27 de febrero de 2023, </w:t>
      </w:r>
      <w:r w:rsidRPr="003E425B">
        <w:rPr>
          <w:rFonts w:ascii="Times New Roman" w:hAnsi="Times New Roman"/>
          <w:sz w:val="28"/>
        </w:rPr>
        <w:t>no indica el número de senadores presentes al momento en que se llevó a cabo la votación ordinaria. Por el contrario, remite al quórum decis</w:t>
      </w:r>
      <w:r w:rsidRPr="003E425B">
        <w:rPr>
          <w:rFonts w:ascii="Times New Roman" w:hAnsi="Times New Roman"/>
          <w:sz w:val="28"/>
        </w:rPr>
        <w:t xml:space="preserve">orio </w:t>
      </w:r>
      <w:r w:rsidRPr="003E425B">
        <w:rPr>
          <w:rFonts w:ascii="Times New Roman" w:hAnsi="Times New Roman"/>
          <w:sz w:val="28"/>
        </w:rPr>
        <w:t>y votos emitidos en</w:t>
      </w:r>
      <w:r w:rsidRPr="003E425B">
        <w:rPr>
          <w:rFonts w:ascii="Times New Roman" w:hAnsi="Times New Roman"/>
          <w:sz w:val="28"/>
        </w:rPr>
        <w:t xml:space="preserve"> la “última votación”</w:t>
      </w:r>
      <w:r w:rsidRPr="003E425B">
        <w:rPr>
          <w:rFonts w:ascii="Times New Roman" w:hAnsi="Times New Roman"/>
          <w:sz w:val="28"/>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b/>
          <w:bCs/>
          <w:sz w:val="28"/>
        </w:rPr>
        <w:t>(b)</w:t>
      </w:r>
      <w:r w:rsidRPr="003E425B">
        <w:rPr>
          <w:rFonts w:ascii="Times New Roman" w:hAnsi="Times New Roman"/>
          <w:sz w:val="28"/>
        </w:rPr>
        <w:t xml:space="preserve"> </w:t>
      </w:r>
      <w:r w:rsidRPr="003E425B">
        <w:rPr>
          <w:rFonts w:ascii="Times New Roman" w:hAnsi="Times New Roman"/>
          <w:sz w:val="28"/>
          <w:u w:val="single"/>
        </w:rPr>
        <w:t>La certificación de la Secretaría de la Comisión Primera Constitucional del Senado</w:t>
      </w:r>
      <w:r w:rsidRPr="003E425B">
        <w:rPr>
          <w:rFonts w:ascii="Times New Roman" w:hAnsi="Times New Roman"/>
          <w:sz w:val="28"/>
        </w:rPr>
        <w:t xml:space="preserve">. </w:t>
      </w:r>
      <w:r w:rsidRPr="003E425B">
        <w:rPr>
          <w:rFonts w:ascii="Times New Roman" w:hAnsi="Times New Roman"/>
          <w:sz w:val="28"/>
        </w:rPr>
        <w:t xml:space="preserve">La </w:t>
      </w:r>
      <w:r w:rsidRPr="003E425B">
        <w:rPr>
          <w:rFonts w:ascii="Times New Roman" w:hAnsi="Times New Roman"/>
          <w:sz w:val="28"/>
        </w:rPr>
        <w:t xml:space="preserve">Corte advierte que la </w:t>
      </w:r>
      <w:r w:rsidRPr="003E425B">
        <w:rPr>
          <w:rFonts w:ascii="Times New Roman" w:hAnsi="Times New Roman"/>
          <w:sz w:val="28"/>
        </w:rPr>
        <w:t xml:space="preserve">Secretaria de la Comisión Primera del Senado no certificó la información contenida en el </w:t>
      </w:r>
      <w:r w:rsidRPr="003E425B">
        <w:rPr>
          <w:rFonts w:ascii="Times New Roman" w:hAnsi="Times New Roman"/>
          <w:sz w:val="28"/>
        </w:rPr>
        <w:t xml:space="preserve">Acta </w:t>
      </w:r>
      <w:r w:rsidRPr="003E425B">
        <w:rPr>
          <w:rFonts w:ascii="Times New Roman" w:hAnsi="Times New Roman"/>
          <w:sz w:val="28"/>
        </w:rPr>
        <w:t>Conjunta número 3</w:t>
      </w:r>
      <w:r w:rsidRPr="003E425B">
        <w:rPr>
          <w:rFonts w:ascii="Times New Roman" w:hAnsi="Times New Roman"/>
          <w:sz w:val="28"/>
        </w:rPr>
        <w:t xml:space="preserve"> de 24 de noviembre de 2023</w:t>
      </w:r>
      <w:r w:rsidRPr="003E425B">
        <w:rPr>
          <w:rFonts w:ascii="Times New Roman" w:hAnsi="Times New Roman"/>
          <w:sz w:val="28"/>
        </w:rPr>
        <w:t xml:space="preserve">. </w:t>
      </w:r>
      <w:r w:rsidRPr="003E425B">
        <w:rPr>
          <w:rFonts w:ascii="Times New Roman" w:hAnsi="Times New Roman"/>
          <w:sz w:val="28"/>
        </w:rPr>
        <w:t>Mediante auto de pruebas de 23 de marzo de 2023, el entonces magistrado ponente, Alejandro Linares Cantillo, solicitó a la Secretaría del Senado certificar el quórum y las mayorías con las que se aprobó el info</w:t>
      </w:r>
      <w:r w:rsidRPr="003E425B">
        <w:rPr>
          <w:rFonts w:ascii="Times New Roman" w:hAnsi="Times New Roman"/>
          <w:sz w:val="28"/>
        </w:rPr>
        <w:t>rme de ponencia en la Comisión Primera</w:t>
      </w:r>
      <w:r w:rsidRPr="003E425B">
        <w:rPr>
          <w:rFonts w:ascii="Times New Roman" w:hAnsi="Times New Roman"/>
          <w:sz w:val="28"/>
        </w:rPr>
        <w:t xml:space="preserve"> Constitucional</w:t>
      </w:r>
      <w:r w:rsidRPr="003E425B">
        <w:rPr>
          <w:rFonts w:ascii="Times New Roman" w:hAnsi="Times New Roman"/>
          <w:sz w:val="28"/>
        </w:rPr>
        <w:t xml:space="preserve"> del Senado. El 24 de abril de 2023, la Secretaria de la Comisión Primera del Senado remitió informe de respuesta. </w:t>
      </w:r>
      <w:r w:rsidRPr="003E425B">
        <w:rPr>
          <w:rFonts w:ascii="Times New Roman" w:hAnsi="Times New Roman"/>
          <w:sz w:val="28"/>
        </w:rPr>
        <w:t>No obstante</w:t>
      </w:r>
      <w:r w:rsidRPr="003E425B">
        <w:rPr>
          <w:rFonts w:ascii="Times New Roman" w:hAnsi="Times New Roman"/>
          <w:sz w:val="28"/>
        </w:rPr>
        <w:t>, la Sala Plena advierte que no certificó el número de senadores que se encon</w:t>
      </w:r>
      <w:r w:rsidRPr="003E425B">
        <w:rPr>
          <w:rFonts w:ascii="Times New Roman" w:hAnsi="Times New Roman"/>
          <w:sz w:val="28"/>
        </w:rPr>
        <w:t xml:space="preserve">traban presentes al momento exacto en que se llevó a cabo la votación ordinaria del informe de ponencia. Por el contrario, </w:t>
      </w:r>
      <w:r w:rsidRPr="003E425B">
        <w:rPr>
          <w:rFonts w:ascii="Times New Roman" w:hAnsi="Times New Roman"/>
          <w:sz w:val="28"/>
          <w:lang w:val="es-ES_tradnl"/>
        </w:rPr>
        <w:t xml:space="preserve">la Secretaria </w:t>
      </w:r>
      <w:r w:rsidRPr="003E425B">
        <w:rPr>
          <w:rFonts w:ascii="Times New Roman" w:hAnsi="Times New Roman"/>
          <w:sz w:val="28"/>
        </w:rPr>
        <w:t>se limitó a citar la información contenida en el acta</w:t>
      </w:r>
      <w:r w:rsidRPr="003E425B">
        <w:rPr>
          <w:rStyle w:val="Refdenotaalpie"/>
          <w:rFonts w:ascii="Times New Roman" w:hAnsi="Times New Roman"/>
          <w:sz w:val="28"/>
        </w:rPr>
        <w:footnoteReference w:id="162"/>
      </w:r>
      <w:r w:rsidRPr="003E425B">
        <w:rPr>
          <w:rFonts w:ascii="Times New Roman" w:hAnsi="Times New Roman"/>
          <w:sz w:val="28"/>
          <w:lang w:val="x-none"/>
        </w:rPr>
        <w:t>, la cual, se reitera, no era precisa:</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spacing w:line="240" w:lineRule="auto"/>
        <w:jc w:val="center"/>
        <w:rPr>
          <w:rFonts w:ascii="Times New Roman" w:hAnsi="Times New Roman"/>
          <w:sz w:val="28"/>
        </w:rPr>
      </w:pPr>
      <w:r w:rsidRPr="003E425B">
        <w:rPr>
          <w:rFonts w:ascii="Times New Roman" w:hAnsi="Times New Roman"/>
          <w:noProof/>
          <w:sz w:val="28"/>
        </w:rPr>
        <w:drawing>
          <wp:inline distT="0" distB="0" distL="0" distR="0" wp14:anchorId="6CBFA654" wp14:editId="0F5CCDF1">
            <wp:extent cx="4591691" cy="150516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62816" name=""/>
                    <pic:cNvPicPr/>
                  </pic:nvPicPr>
                  <pic:blipFill>
                    <a:blip r:embed="rId10"/>
                    <a:stretch>
                      <a:fillRect/>
                    </a:stretch>
                  </pic:blipFill>
                  <pic:spPr>
                    <a:xfrm>
                      <a:off x="0" y="0"/>
                      <a:ext cx="4591691" cy="1505160"/>
                    </a:xfrm>
                    <a:prstGeom prst="rect">
                      <a:avLst/>
                    </a:prstGeom>
                  </pic:spPr>
                </pic:pic>
              </a:graphicData>
            </a:graphic>
          </wp:inline>
        </w:drawing>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La Sala Plena reitera</w:t>
      </w:r>
      <w:r w:rsidRPr="003E425B">
        <w:rPr>
          <w:rFonts w:ascii="Times New Roman" w:hAnsi="Times New Roman"/>
          <w:sz w:val="28"/>
        </w:rPr>
        <w:t xml:space="preserve"> </w:t>
      </w:r>
      <w:r w:rsidRPr="003E425B">
        <w:rPr>
          <w:rFonts w:ascii="Times New Roman" w:hAnsi="Times New Roman"/>
          <w:sz w:val="28"/>
        </w:rPr>
        <w:t>que, conforme a la jurisprudencia constitucional</w:t>
      </w:r>
      <w:r w:rsidRPr="003E425B">
        <w:rPr>
          <w:rStyle w:val="Refdenotaalpie"/>
          <w:rFonts w:ascii="Times New Roman" w:hAnsi="Times New Roman"/>
          <w:sz w:val="28"/>
        </w:rPr>
        <w:footnoteReference w:id="163"/>
      </w:r>
      <w:r w:rsidRPr="003E425B">
        <w:rPr>
          <w:rFonts w:ascii="Times New Roman" w:hAnsi="Times New Roman"/>
          <w:sz w:val="28"/>
        </w:rPr>
        <w:t>,</w:t>
      </w:r>
      <w:r w:rsidRPr="003E425B">
        <w:rPr>
          <w:rFonts w:ascii="Times New Roman" w:hAnsi="Times New Roman"/>
          <w:sz w:val="28"/>
        </w:rPr>
        <w:t xml:space="preserve"> la simple cita o reiteración de la información contenida en el acta no constituye una certificación del número de congresistas presentes al momento de adoptar una decisión</w:t>
      </w:r>
      <w:r w:rsidRPr="003E425B">
        <w:rPr>
          <w:rFonts w:ascii="Times New Roman" w:hAnsi="Times New Roman"/>
          <w:sz w:val="28"/>
        </w:rPr>
        <w:t xml:space="preserve"> que se vot</w:t>
      </w:r>
      <w:r w:rsidRPr="003E425B">
        <w:rPr>
          <w:rFonts w:ascii="Times New Roman" w:hAnsi="Times New Roman"/>
          <w:sz w:val="28"/>
        </w:rPr>
        <w:t>ó</w:t>
      </w:r>
      <w:r w:rsidRPr="003E425B">
        <w:rPr>
          <w:rFonts w:ascii="Times New Roman" w:hAnsi="Times New Roman"/>
          <w:sz w:val="28"/>
        </w:rPr>
        <w:t xml:space="preserve"> de forma ordinaria</w:t>
      </w:r>
      <w:r w:rsidRPr="003E425B">
        <w:rPr>
          <w:rFonts w:ascii="Times New Roman" w:hAnsi="Times New Roman"/>
          <w:sz w:val="28"/>
        </w:rPr>
        <w:t>. P</w:t>
      </w:r>
      <w:r w:rsidRPr="003E425B">
        <w:rPr>
          <w:rFonts w:ascii="Times New Roman" w:hAnsi="Times New Roman"/>
          <w:sz w:val="28"/>
        </w:rPr>
        <w:t xml:space="preserve">or esta razón, la Corte encuentra que, en este caso, el informe de pruebas </w:t>
      </w:r>
      <w:r w:rsidRPr="003E425B">
        <w:rPr>
          <w:rFonts w:ascii="Times New Roman" w:hAnsi="Times New Roman"/>
          <w:sz w:val="28"/>
        </w:rPr>
        <w:t>que envío la Secretaría</w:t>
      </w:r>
      <w:r w:rsidRPr="003E425B">
        <w:rPr>
          <w:rFonts w:ascii="Times New Roman" w:hAnsi="Times New Roman"/>
          <w:sz w:val="28"/>
        </w:rPr>
        <w:t xml:space="preserve"> no </w:t>
      </w:r>
      <w:r w:rsidRPr="003E425B">
        <w:rPr>
          <w:rFonts w:ascii="Times New Roman" w:hAnsi="Times New Roman"/>
          <w:sz w:val="28"/>
        </w:rPr>
        <w:t>permite constatar con certeza</w:t>
      </w:r>
      <w:r w:rsidRPr="003E425B">
        <w:rPr>
          <w:rFonts w:ascii="Times New Roman" w:hAnsi="Times New Roman"/>
          <w:sz w:val="28"/>
        </w:rPr>
        <w:t xml:space="preserve"> </w:t>
      </w:r>
      <w:r w:rsidRPr="003E425B">
        <w:rPr>
          <w:rFonts w:ascii="Times New Roman" w:hAnsi="Times New Roman"/>
          <w:sz w:val="28"/>
        </w:rPr>
        <w:t xml:space="preserve">el número de senadores </w:t>
      </w:r>
      <w:r w:rsidRPr="003E425B">
        <w:rPr>
          <w:rFonts w:ascii="Times New Roman" w:hAnsi="Times New Roman"/>
          <w:sz w:val="28"/>
        </w:rPr>
        <w:t xml:space="preserve">de la Comisión Primera Constitucional del Senado </w:t>
      </w:r>
      <w:r w:rsidRPr="003E425B">
        <w:rPr>
          <w:rFonts w:ascii="Times New Roman" w:hAnsi="Times New Roman"/>
          <w:sz w:val="28"/>
        </w:rPr>
        <w:t xml:space="preserve">que se encontraban presentes al momento de aprobar </w:t>
      </w:r>
      <w:r w:rsidRPr="003E425B">
        <w:rPr>
          <w:rFonts w:ascii="Times New Roman" w:hAnsi="Times New Roman"/>
          <w:sz w:val="28"/>
        </w:rPr>
        <w:t>el informe de ponencia</w:t>
      </w:r>
      <w:r w:rsidRPr="003E425B">
        <w:rPr>
          <w:rFonts w:ascii="Times New Roman" w:hAnsi="Times New Roman"/>
          <w:sz w:val="28"/>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604CE" w:rsidRPr="003E425B" w:rsidRDefault="003E425B" w:rsidP="00F604CE">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b/>
          <w:bCs/>
          <w:sz w:val="28"/>
        </w:rPr>
        <w:t>(c)</w:t>
      </w:r>
      <w:r w:rsidRPr="003E425B">
        <w:rPr>
          <w:rFonts w:ascii="Times New Roman" w:hAnsi="Times New Roman"/>
          <w:sz w:val="28"/>
        </w:rPr>
        <w:t xml:space="preserve"> </w:t>
      </w:r>
      <w:r w:rsidRPr="003E425B">
        <w:rPr>
          <w:rFonts w:ascii="Times New Roman" w:hAnsi="Times New Roman"/>
          <w:sz w:val="28"/>
          <w:u w:val="single"/>
        </w:rPr>
        <w:t>El desarrollo de la sesión de 24 de noviembre de 2022</w:t>
      </w:r>
      <w:r w:rsidRPr="003E425B">
        <w:rPr>
          <w:rFonts w:ascii="Times New Roman" w:hAnsi="Times New Roman"/>
          <w:sz w:val="28"/>
        </w:rPr>
        <w:t xml:space="preserve">. </w:t>
      </w:r>
      <w:r w:rsidRPr="003E425B">
        <w:rPr>
          <w:rFonts w:ascii="Times New Roman" w:hAnsi="Times New Roman"/>
          <w:sz w:val="28"/>
        </w:rPr>
        <w:t>El registro</w:t>
      </w:r>
      <w:r w:rsidRPr="003E425B">
        <w:rPr>
          <w:rFonts w:ascii="Times New Roman" w:hAnsi="Times New Roman"/>
          <w:sz w:val="28"/>
        </w:rPr>
        <w:t xml:space="preserve"> de</w:t>
      </w:r>
      <w:r w:rsidRPr="003E425B">
        <w:rPr>
          <w:rFonts w:ascii="Times New Roman" w:hAnsi="Times New Roman"/>
          <w:sz w:val="28"/>
        </w:rPr>
        <w:t xml:space="preserve"> asistentes y votos de</w:t>
      </w:r>
      <w:r w:rsidRPr="003E425B">
        <w:rPr>
          <w:rFonts w:ascii="Times New Roman" w:hAnsi="Times New Roman"/>
          <w:sz w:val="28"/>
        </w:rPr>
        <w:t xml:space="preserve"> las votaciones que se llevaron antes y después de la votación ordinaria</w:t>
      </w:r>
      <w:r w:rsidRPr="003E425B">
        <w:rPr>
          <w:rFonts w:ascii="Times New Roman" w:hAnsi="Times New Roman"/>
          <w:sz w:val="28"/>
        </w:rPr>
        <w:t xml:space="preserve"> del informe de ponencia</w:t>
      </w:r>
      <w:r w:rsidRPr="003E425B">
        <w:rPr>
          <w:rFonts w:ascii="Times New Roman" w:hAnsi="Times New Roman"/>
          <w:sz w:val="28"/>
        </w:rPr>
        <w:t xml:space="preserve"> </w:t>
      </w:r>
      <w:r w:rsidRPr="003E425B">
        <w:rPr>
          <w:rFonts w:ascii="Times New Roman" w:hAnsi="Times New Roman"/>
          <w:sz w:val="28"/>
        </w:rPr>
        <w:t xml:space="preserve">demuestran </w:t>
      </w:r>
      <w:r w:rsidRPr="003E425B">
        <w:rPr>
          <w:rFonts w:ascii="Times New Roman" w:hAnsi="Times New Roman"/>
          <w:sz w:val="28"/>
        </w:rPr>
        <w:t>que</w:t>
      </w:r>
      <w:r w:rsidRPr="003E425B">
        <w:rPr>
          <w:rFonts w:ascii="Times New Roman" w:hAnsi="Times New Roman"/>
          <w:sz w:val="28"/>
        </w:rPr>
        <w:t xml:space="preserve">, durante la sesión del </w:t>
      </w:r>
      <w:r w:rsidRPr="003E425B">
        <w:rPr>
          <w:rFonts w:ascii="Times New Roman" w:hAnsi="Times New Roman"/>
          <w:sz w:val="28"/>
        </w:rPr>
        <w:t>24 de noviembre de 2022,</w:t>
      </w:r>
      <w:r w:rsidRPr="003E425B">
        <w:rPr>
          <w:rFonts w:ascii="Times New Roman" w:hAnsi="Times New Roman"/>
          <w:sz w:val="28"/>
        </w:rPr>
        <w:t xml:space="preserve"> el quórum varió </w:t>
      </w:r>
      <w:r w:rsidRPr="003E425B">
        <w:rPr>
          <w:rFonts w:ascii="Times New Roman" w:hAnsi="Times New Roman"/>
          <w:sz w:val="28"/>
        </w:rPr>
        <w:t>pues algunos de los senadores de la Comisión Primera Constitucional salieron del recinto en diferentes momentos</w:t>
      </w:r>
      <w:r w:rsidRPr="003E425B">
        <w:rPr>
          <w:rFonts w:ascii="Times New Roman" w:hAnsi="Times New Roman"/>
          <w:sz w:val="28"/>
        </w:rPr>
        <w:t xml:space="preserve">. </w:t>
      </w:r>
    </w:p>
    <w:p w:rsidR="00FB4130" w:rsidRPr="003E425B" w:rsidRDefault="003E425B" w:rsidP="00010108">
      <w:pPr>
        <w:rPr>
          <w:rFonts w:ascii="Times New Roman" w:hAnsi="Times New Roman" w:cs="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En la sesión del 24 de noviembre de 2022, en la que las comisiones primeras conjuntas de la Cámara y</w:t>
      </w:r>
      <w:r w:rsidRPr="003E425B">
        <w:rPr>
          <w:rFonts w:ascii="Times New Roman" w:hAnsi="Times New Roman"/>
          <w:sz w:val="28"/>
        </w:rPr>
        <w:t xml:space="preserve"> el Senado adelantaron el primer debate del trámite legislativo, se realizaron tres votaciones relevantes para el presente asunto. </w:t>
      </w:r>
      <w:r w:rsidRPr="003E425B">
        <w:rPr>
          <w:rFonts w:ascii="Times New Roman" w:hAnsi="Times New Roman"/>
          <w:i/>
          <w:iCs/>
          <w:sz w:val="28"/>
        </w:rPr>
        <w:t>Primera</w:t>
      </w:r>
      <w:r w:rsidRPr="003E425B">
        <w:rPr>
          <w:rFonts w:ascii="Times New Roman" w:hAnsi="Times New Roman"/>
          <w:sz w:val="28"/>
        </w:rPr>
        <w:t xml:space="preserve">: </w:t>
      </w:r>
      <w:r w:rsidRPr="003E425B">
        <w:rPr>
          <w:rFonts w:ascii="Times New Roman" w:hAnsi="Times New Roman"/>
          <w:sz w:val="28"/>
        </w:rPr>
        <w:t xml:space="preserve">la </w:t>
      </w:r>
      <w:r w:rsidRPr="003E425B">
        <w:rPr>
          <w:rFonts w:ascii="Times New Roman" w:hAnsi="Times New Roman"/>
          <w:sz w:val="28"/>
        </w:rPr>
        <w:t>votación nominal y pública mediante la cual se negaron dos proposiciones de archivo de la iniciativa</w:t>
      </w:r>
      <w:r w:rsidRPr="003E425B">
        <w:rPr>
          <w:rStyle w:val="Refdenotaalpie"/>
          <w:rFonts w:ascii="Times New Roman" w:eastAsiaTheme="majorEastAsia" w:hAnsi="Times New Roman"/>
          <w:sz w:val="28"/>
          <w:lang w:val="es-ES"/>
        </w:rPr>
        <w:footnoteReference w:id="164"/>
      </w:r>
      <w:r w:rsidRPr="003E425B">
        <w:rPr>
          <w:rFonts w:ascii="Times New Roman" w:hAnsi="Times New Roman"/>
          <w:sz w:val="28"/>
        </w:rPr>
        <w:t>. En esta vo</w:t>
      </w:r>
      <w:r w:rsidRPr="003E425B">
        <w:rPr>
          <w:rFonts w:ascii="Times New Roman" w:hAnsi="Times New Roman"/>
          <w:sz w:val="28"/>
        </w:rPr>
        <w:t>tación participaron 11 senadores de la Comisión Primera del Senado quienes votaron en contra de las proposiciones de archivo</w:t>
      </w:r>
      <w:r w:rsidRPr="003E425B">
        <w:rPr>
          <w:rStyle w:val="Refdenotaalpie"/>
          <w:rFonts w:ascii="Times New Roman" w:eastAsiaTheme="majorEastAsia" w:hAnsi="Times New Roman"/>
          <w:sz w:val="28"/>
          <w:lang w:val="es-ES"/>
        </w:rPr>
        <w:footnoteReference w:id="165"/>
      </w:r>
      <w:r w:rsidRPr="003E425B">
        <w:rPr>
          <w:rFonts w:ascii="Times New Roman" w:hAnsi="Times New Roman"/>
          <w:sz w:val="28"/>
        </w:rPr>
        <w:t xml:space="preserve">. </w:t>
      </w:r>
      <w:r w:rsidRPr="003E425B">
        <w:rPr>
          <w:rFonts w:ascii="Times New Roman" w:hAnsi="Times New Roman"/>
          <w:i/>
          <w:iCs/>
          <w:sz w:val="28"/>
        </w:rPr>
        <w:t>Segunda</w:t>
      </w:r>
      <w:r w:rsidRPr="003E425B">
        <w:rPr>
          <w:rFonts w:ascii="Times New Roman" w:hAnsi="Times New Roman"/>
          <w:sz w:val="28"/>
        </w:rPr>
        <w:t xml:space="preserve">: </w:t>
      </w:r>
      <w:r w:rsidRPr="003E425B">
        <w:rPr>
          <w:rFonts w:ascii="Times New Roman" w:hAnsi="Times New Roman"/>
          <w:sz w:val="28"/>
        </w:rPr>
        <w:t xml:space="preserve">la </w:t>
      </w:r>
      <w:r w:rsidRPr="003E425B">
        <w:rPr>
          <w:rFonts w:ascii="Times New Roman" w:hAnsi="Times New Roman"/>
          <w:sz w:val="28"/>
        </w:rPr>
        <w:t>votación ordinaria de la proposición positiva con que terminaba el informe de ponencia mayoritario, la cual, según se</w:t>
      </w:r>
      <w:r w:rsidRPr="003E425B">
        <w:rPr>
          <w:rFonts w:ascii="Times New Roman" w:hAnsi="Times New Roman"/>
          <w:sz w:val="28"/>
        </w:rPr>
        <w:t xml:space="preserve"> explicó, habría sido aprobada de forma “unánime” conforme al registro de quórum de la primera votación. </w:t>
      </w:r>
      <w:r w:rsidRPr="003E425B">
        <w:rPr>
          <w:rFonts w:ascii="Times New Roman" w:hAnsi="Times New Roman"/>
          <w:i/>
          <w:iCs/>
          <w:sz w:val="28"/>
        </w:rPr>
        <w:t>Tercera</w:t>
      </w:r>
      <w:r w:rsidRPr="003E425B">
        <w:rPr>
          <w:rFonts w:ascii="Times New Roman" w:hAnsi="Times New Roman"/>
          <w:sz w:val="28"/>
        </w:rPr>
        <w:t xml:space="preserve">: </w:t>
      </w:r>
      <w:r w:rsidRPr="003E425B">
        <w:rPr>
          <w:rFonts w:ascii="Times New Roman" w:hAnsi="Times New Roman"/>
          <w:sz w:val="28"/>
        </w:rPr>
        <w:t xml:space="preserve">la </w:t>
      </w:r>
      <w:r w:rsidRPr="003E425B">
        <w:rPr>
          <w:rFonts w:ascii="Times New Roman" w:hAnsi="Times New Roman"/>
          <w:sz w:val="28"/>
        </w:rPr>
        <w:t>votación nominal y pública mediante la cual se pretendían aprobar los artículos 1, 2, 7, 8, 9, 10, 14 y 15 del articulado del proyecto de l</w:t>
      </w:r>
      <w:r w:rsidRPr="003E425B">
        <w:rPr>
          <w:rFonts w:ascii="Times New Roman" w:hAnsi="Times New Roman"/>
          <w:sz w:val="28"/>
        </w:rPr>
        <w:t>ey. Una vez se llamó a lista, la mesa directiva constató que no había quórum decisorio, por cuanto solo habían respondido 10 de los 21 senadores que la conforman</w:t>
      </w:r>
      <w:r w:rsidRPr="003E425B">
        <w:rPr>
          <w:rStyle w:val="Refdenotaalpie"/>
          <w:rFonts w:ascii="Times New Roman" w:eastAsiaTheme="majorEastAsia" w:hAnsi="Times New Roman"/>
          <w:sz w:val="28"/>
          <w:lang w:val="es-ES"/>
        </w:rPr>
        <w:footnoteReference w:id="166"/>
      </w:r>
      <w:r w:rsidRPr="003E425B">
        <w:rPr>
          <w:rFonts w:ascii="Times New Roman" w:hAnsi="Times New Roman"/>
          <w:sz w:val="28"/>
        </w:rPr>
        <w:t xml:space="preserve">. La siguiente tabla sintetiza esta información: </w:t>
      </w:r>
    </w:p>
    <w:p w:rsidR="00FB4130" w:rsidRPr="003E425B" w:rsidRDefault="003E425B" w:rsidP="00010108">
      <w:pPr>
        <w:pStyle w:val="Prrafodelista"/>
        <w:spacing w:line="240" w:lineRule="auto"/>
        <w:rPr>
          <w:rFonts w:ascii="Times New Roman" w:hAnsi="Times New Roman"/>
          <w:sz w:val="28"/>
        </w:rPr>
      </w:pPr>
    </w:p>
    <w:tbl>
      <w:tblPr>
        <w:tblStyle w:val="Tablaconcuadrcula"/>
        <w:tblW w:w="5000" w:type="pct"/>
        <w:tblLook w:val="04A0" w:firstRow="1" w:lastRow="0" w:firstColumn="1" w:lastColumn="0" w:noHBand="0" w:noVBand="1"/>
      </w:tblPr>
      <w:tblGrid>
        <w:gridCol w:w="3004"/>
        <w:gridCol w:w="2691"/>
        <w:gridCol w:w="3135"/>
      </w:tblGrid>
      <w:tr w:rsidR="00FB4130" w:rsidRPr="003E425B" w:rsidTr="00E4520F">
        <w:tc>
          <w:tcPr>
            <w:tcW w:w="5000" w:type="pct"/>
            <w:gridSpan w:val="3"/>
            <w:shd w:val="clear" w:color="auto" w:fill="BFBFBF" w:themeFill="background1" w:themeFillShade="BF"/>
          </w:tcPr>
          <w:p w:rsidR="00FB4130" w:rsidRPr="003E425B" w:rsidRDefault="003E425B" w:rsidP="00010108">
            <w:pPr>
              <w:pStyle w:val="Prrafodelista"/>
              <w:spacing w:line="240" w:lineRule="auto"/>
              <w:ind w:left="0"/>
              <w:jc w:val="center"/>
              <w:rPr>
                <w:rFonts w:ascii="Times New Roman" w:hAnsi="Times New Roman"/>
                <w:b/>
                <w:bCs/>
                <w:sz w:val="28"/>
                <w:szCs w:val="20"/>
              </w:rPr>
            </w:pPr>
            <w:r w:rsidRPr="003E425B">
              <w:rPr>
                <w:rFonts w:ascii="Times New Roman" w:hAnsi="Times New Roman"/>
                <w:b/>
                <w:bCs/>
                <w:sz w:val="28"/>
                <w:szCs w:val="20"/>
              </w:rPr>
              <w:t>Sesión de 24 de noviembre de 2022: quórum y</w:t>
            </w:r>
            <w:r w:rsidRPr="003E425B">
              <w:rPr>
                <w:rFonts w:ascii="Times New Roman" w:hAnsi="Times New Roman"/>
                <w:b/>
                <w:bCs/>
                <w:sz w:val="28"/>
                <w:szCs w:val="20"/>
              </w:rPr>
              <w:t xml:space="preserve"> mayorías</w:t>
            </w:r>
          </w:p>
        </w:tc>
      </w:tr>
      <w:tr w:rsidR="00FB4130" w:rsidRPr="003E425B" w:rsidTr="00E4520F">
        <w:tc>
          <w:tcPr>
            <w:tcW w:w="1701" w:type="pct"/>
            <w:shd w:val="clear" w:color="auto" w:fill="BFBFBF" w:themeFill="background1" w:themeFillShade="BF"/>
          </w:tcPr>
          <w:p w:rsidR="00FB4130" w:rsidRPr="003E425B" w:rsidRDefault="003E425B" w:rsidP="00010108">
            <w:pPr>
              <w:pStyle w:val="Prrafodelista"/>
              <w:spacing w:line="240" w:lineRule="auto"/>
              <w:ind w:left="0"/>
              <w:jc w:val="center"/>
              <w:rPr>
                <w:rFonts w:ascii="Times New Roman" w:hAnsi="Times New Roman"/>
                <w:b/>
                <w:bCs/>
                <w:sz w:val="28"/>
                <w:szCs w:val="20"/>
                <w:lang w:val="es-ES_tradnl"/>
              </w:rPr>
            </w:pPr>
            <w:r w:rsidRPr="003E425B">
              <w:rPr>
                <w:rFonts w:ascii="Times New Roman" w:hAnsi="Times New Roman"/>
                <w:b/>
                <w:bCs/>
                <w:sz w:val="28"/>
                <w:szCs w:val="20"/>
                <w:lang w:val="es-ES_tradnl"/>
              </w:rPr>
              <w:t>Votación nominal y pública de la proposición de archivo</w:t>
            </w:r>
          </w:p>
          <w:p w:rsidR="00D96CAB" w:rsidRPr="003E425B" w:rsidRDefault="003E425B" w:rsidP="00010108">
            <w:pPr>
              <w:pStyle w:val="Prrafodelista"/>
              <w:spacing w:line="240" w:lineRule="auto"/>
              <w:ind w:left="0"/>
              <w:jc w:val="center"/>
              <w:rPr>
                <w:rFonts w:ascii="Times New Roman" w:hAnsi="Times New Roman"/>
                <w:b/>
                <w:bCs/>
                <w:sz w:val="28"/>
                <w:szCs w:val="20"/>
                <w:lang w:val="es-ES_tradnl"/>
              </w:rPr>
            </w:pPr>
            <w:r w:rsidRPr="003E425B">
              <w:rPr>
                <w:rFonts w:ascii="Times New Roman" w:hAnsi="Times New Roman"/>
                <w:b/>
                <w:bCs/>
                <w:sz w:val="28"/>
                <w:szCs w:val="20"/>
                <w:lang w:val="es-ES_tradnl"/>
              </w:rPr>
              <w:t>11:37 am</w:t>
            </w:r>
          </w:p>
        </w:tc>
        <w:tc>
          <w:tcPr>
            <w:tcW w:w="1524" w:type="pct"/>
            <w:shd w:val="clear" w:color="auto" w:fill="BFBFBF" w:themeFill="background1" w:themeFillShade="BF"/>
          </w:tcPr>
          <w:p w:rsidR="00FB4130" w:rsidRPr="003E425B" w:rsidRDefault="003E425B" w:rsidP="00010108">
            <w:pPr>
              <w:pStyle w:val="Prrafodelista"/>
              <w:spacing w:line="240" w:lineRule="auto"/>
              <w:ind w:left="0"/>
              <w:jc w:val="center"/>
              <w:rPr>
                <w:rFonts w:ascii="Times New Roman" w:hAnsi="Times New Roman"/>
                <w:b/>
                <w:bCs/>
                <w:sz w:val="28"/>
                <w:szCs w:val="20"/>
              </w:rPr>
            </w:pPr>
            <w:r w:rsidRPr="003E425B">
              <w:rPr>
                <w:rFonts w:ascii="Times New Roman" w:hAnsi="Times New Roman"/>
                <w:b/>
                <w:bCs/>
                <w:sz w:val="28"/>
                <w:szCs w:val="20"/>
              </w:rPr>
              <w:t>Votación ordinaria del informe de ponencia</w:t>
            </w:r>
          </w:p>
          <w:p w:rsidR="00777E47" w:rsidRPr="003E425B" w:rsidRDefault="003E425B" w:rsidP="00010108">
            <w:pPr>
              <w:pStyle w:val="Prrafodelista"/>
              <w:spacing w:line="240" w:lineRule="auto"/>
              <w:ind w:left="0"/>
              <w:jc w:val="center"/>
              <w:rPr>
                <w:rFonts w:ascii="Times New Roman" w:hAnsi="Times New Roman"/>
                <w:b/>
                <w:bCs/>
                <w:sz w:val="28"/>
                <w:szCs w:val="20"/>
              </w:rPr>
            </w:pPr>
            <w:r w:rsidRPr="003E425B">
              <w:rPr>
                <w:rFonts w:ascii="Times New Roman" w:hAnsi="Times New Roman"/>
                <w:b/>
                <w:bCs/>
                <w:sz w:val="28"/>
                <w:szCs w:val="20"/>
              </w:rPr>
              <w:t>12:38:45 pm</w:t>
            </w:r>
          </w:p>
        </w:tc>
        <w:tc>
          <w:tcPr>
            <w:tcW w:w="1775" w:type="pct"/>
            <w:shd w:val="clear" w:color="auto" w:fill="BFBFBF" w:themeFill="background1" w:themeFillShade="BF"/>
          </w:tcPr>
          <w:p w:rsidR="00FB4130" w:rsidRPr="003E425B" w:rsidRDefault="003E425B" w:rsidP="00010108">
            <w:pPr>
              <w:pStyle w:val="Prrafodelista"/>
              <w:spacing w:line="240" w:lineRule="auto"/>
              <w:ind w:left="0"/>
              <w:jc w:val="center"/>
              <w:rPr>
                <w:rFonts w:ascii="Times New Roman" w:hAnsi="Times New Roman"/>
                <w:b/>
                <w:bCs/>
                <w:sz w:val="28"/>
                <w:szCs w:val="20"/>
                <w:lang w:val="es-ES_tradnl"/>
              </w:rPr>
            </w:pPr>
            <w:r w:rsidRPr="003E425B">
              <w:rPr>
                <w:rFonts w:ascii="Times New Roman" w:hAnsi="Times New Roman"/>
                <w:b/>
                <w:bCs/>
                <w:sz w:val="28"/>
                <w:szCs w:val="20"/>
              </w:rPr>
              <w:t xml:space="preserve">Votación nominal y pública de los artículos </w:t>
            </w:r>
            <w:r w:rsidRPr="003E425B">
              <w:rPr>
                <w:rFonts w:ascii="Times New Roman" w:hAnsi="Times New Roman"/>
                <w:b/>
                <w:bCs/>
                <w:sz w:val="28"/>
                <w:szCs w:val="20"/>
                <w:lang w:val="es-ES_tradnl"/>
              </w:rPr>
              <w:t>2, 7, 8, 9, 10, 14 y 15 del Proyecto de Ley</w:t>
            </w:r>
          </w:p>
          <w:p w:rsidR="00100F32" w:rsidRPr="003E425B" w:rsidRDefault="003E425B" w:rsidP="00010108">
            <w:pPr>
              <w:pStyle w:val="Prrafodelista"/>
              <w:spacing w:line="240" w:lineRule="auto"/>
              <w:ind w:left="0"/>
              <w:jc w:val="center"/>
              <w:rPr>
                <w:rFonts w:ascii="Times New Roman" w:hAnsi="Times New Roman"/>
                <w:b/>
                <w:bCs/>
                <w:sz w:val="28"/>
                <w:szCs w:val="20"/>
              </w:rPr>
            </w:pPr>
            <w:r w:rsidRPr="003E425B">
              <w:rPr>
                <w:rFonts w:ascii="Times New Roman" w:hAnsi="Times New Roman"/>
                <w:b/>
                <w:bCs/>
                <w:sz w:val="28"/>
                <w:szCs w:val="20"/>
              </w:rPr>
              <w:t>12:47:18</w:t>
            </w:r>
            <w:r w:rsidRPr="003E425B">
              <w:rPr>
                <w:rFonts w:ascii="Times New Roman" w:hAnsi="Times New Roman"/>
                <w:b/>
                <w:bCs/>
                <w:sz w:val="28"/>
                <w:szCs w:val="20"/>
              </w:rPr>
              <w:t xml:space="preserve"> pm</w:t>
            </w:r>
          </w:p>
        </w:tc>
      </w:tr>
      <w:tr w:rsidR="00FB4130" w:rsidRPr="003E425B" w:rsidTr="00E4520F">
        <w:tc>
          <w:tcPr>
            <w:tcW w:w="1701" w:type="pct"/>
          </w:tcPr>
          <w:p w:rsidR="00FB4130" w:rsidRPr="003E425B" w:rsidRDefault="003E425B" w:rsidP="00010108">
            <w:pPr>
              <w:pStyle w:val="Prrafodelista"/>
              <w:spacing w:line="240" w:lineRule="auto"/>
              <w:ind w:left="0"/>
              <w:rPr>
                <w:rFonts w:ascii="Times New Roman" w:hAnsi="Times New Roman"/>
                <w:sz w:val="28"/>
                <w:szCs w:val="20"/>
                <w:lang w:val="es-ES_tradnl"/>
              </w:rPr>
            </w:pPr>
            <w:r w:rsidRPr="003E425B">
              <w:rPr>
                <w:rFonts w:ascii="Times New Roman" w:hAnsi="Times New Roman"/>
                <w:sz w:val="28"/>
                <w:szCs w:val="20"/>
                <w:lang w:val="es-ES_tradnl"/>
              </w:rPr>
              <w:t>Total de votos: 11.</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Fabio Raúl Amín Saleme.</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Ariel Fernando Ávila Martínez.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Alejandro Carlos Chacón Camargo.</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Julio Elías Chagüi Flórez.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b/>
                <w:bCs/>
                <w:sz w:val="28"/>
                <w:szCs w:val="20"/>
                <w:lang w:val="es-ES_tradnl"/>
              </w:rPr>
              <w:t>Humberto De la Calle Lombana</w:t>
            </w:r>
            <w:r w:rsidRPr="003E425B">
              <w:rPr>
                <w:rFonts w:ascii="Times New Roman" w:hAnsi="Times New Roman"/>
                <w:sz w:val="28"/>
                <w:szCs w:val="20"/>
                <w:lang w:val="es-ES_tradnl"/>
              </w:rPr>
              <w:t>.</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Alfredo Rafael Deluque Zuleta.</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Julián Gallo Cubillos.</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b/>
                <w:bCs/>
                <w:sz w:val="28"/>
                <w:szCs w:val="20"/>
                <w:lang w:val="es-ES_tradnl"/>
              </w:rPr>
              <w:t>Juan Carlos García Gómez</w:t>
            </w:r>
            <w:r w:rsidRPr="003E425B">
              <w:rPr>
                <w:rFonts w:ascii="Times New Roman" w:hAnsi="Times New Roman"/>
                <w:sz w:val="28"/>
                <w:szCs w:val="20"/>
                <w:lang w:val="es-ES_tradnl"/>
              </w:rPr>
              <w:t>.</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Alexánder López Maya.</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 xml:space="preserve">María </w:t>
            </w:r>
            <w:r w:rsidRPr="003E425B">
              <w:rPr>
                <w:rFonts w:ascii="Times New Roman" w:hAnsi="Times New Roman"/>
                <w:sz w:val="28"/>
                <w:szCs w:val="20"/>
                <w:lang w:val="es-ES_tradnl"/>
              </w:rPr>
              <w:t>José Pizarro Rodríguez.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Jonathan Ferney Pulido Hernández.</w:t>
            </w:r>
          </w:p>
        </w:tc>
        <w:tc>
          <w:tcPr>
            <w:tcW w:w="1524" w:type="pct"/>
          </w:tcPr>
          <w:p w:rsidR="00FB4130" w:rsidRPr="003E425B" w:rsidRDefault="003E425B" w:rsidP="00010108">
            <w:pPr>
              <w:pStyle w:val="Prrafodelista"/>
              <w:spacing w:line="240" w:lineRule="auto"/>
              <w:ind w:left="0"/>
              <w:rPr>
                <w:rFonts w:ascii="Times New Roman" w:hAnsi="Times New Roman"/>
                <w:sz w:val="28"/>
                <w:szCs w:val="20"/>
              </w:rPr>
            </w:pPr>
            <w:r w:rsidRPr="003E425B">
              <w:rPr>
                <w:rFonts w:ascii="Times New Roman" w:hAnsi="Times New Roman"/>
                <w:sz w:val="28"/>
                <w:szCs w:val="20"/>
              </w:rPr>
              <w:t xml:space="preserve">La votación fue ordinaria, por lo que no es posible individualizar el número de votos ni los senadores que estaban presentes. El Acta señala que: </w:t>
            </w:r>
            <w:r w:rsidRPr="003E425B">
              <w:rPr>
                <w:rFonts w:ascii="Times New Roman" w:hAnsi="Times New Roman"/>
                <w:sz w:val="28"/>
                <w:szCs w:val="20"/>
                <w:lang w:val="es-ES_tradnl"/>
              </w:rPr>
              <w:t>la Comisión Primera del Senado aprobó la proposición</w:t>
            </w:r>
            <w:r w:rsidRPr="003E425B">
              <w:rPr>
                <w:rFonts w:ascii="Times New Roman" w:hAnsi="Times New Roman"/>
                <w:sz w:val="28"/>
                <w:szCs w:val="20"/>
                <w:lang w:val="es-ES_tradnl"/>
              </w:rPr>
              <w:t xml:space="preserve"> positiva con que termina el informe de ponencia “por unanimidad con registro del quorum decisorio de conformidad a la última votación”</w:t>
            </w:r>
            <w:r w:rsidRPr="003E425B">
              <w:rPr>
                <w:rFonts w:ascii="Times New Roman" w:hAnsi="Times New Roman"/>
                <w:sz w:val="28"/>
                <w:szCs w:val="20"/>
                <w:vertAlign w:val="superscript"/>
                <w:lang w:val="es-ES_tradnl"/>
              </w:rPr>
              <w:footnoteReference w:id="167"/>
            </w:r>
            <w:r w:rsidRPr="003E425B">
              <w:rPr>
                <w:rFonts w:ascii="Times New Roman" w:hAnsi="Times New Roman"/>
                <w:sz w:val="28"/>
                <w:szCs w:val="20"/>
                <w:lang w:val="es-ES_tradnl"/>
              </w:rPr>
              <w:t xml:space="preserve">. Esto es, la votación nominal y pública de las proposiciones de archivo. </w:t>
            </w:r>
          </w:p>
        </w:tc>
        <w:tc>
          <w:tcPr>
            <w:tcW w:w="1775" w:type="pct"/>
          </w:tcPr>
          <w:p w:rsidR="00FB4130" w:rsidRPr="003E425B" w:rsidRDefault="003E425B" w:rsidP="00010108">
            <w:pPr>
              <w:pStyle w:val="Prrafodelista"/>
              <w:spacing w:line="240" w:lineRule="auto"/>
              <w:ind w:left="0"/>
              <w:rPr>
                <w:rFonts w:ascii="Times New Roman" w:hAnsi="Times New Roman"/>
                <w:sz w:val="28"/>
                <w:szCs w:val="20"/>
                <w:lang w:val="es-ES_tradnl"/>
              </w:rPr>
            </w:pPr>
            <w:r w:rsidRPr="003E425B">
              <w:rPr>
                <w:rFonts w:ascii="Times New Roman" w:hAnsi="Times New Roman"/>
                <w:sz w:val="28"/>
                <w:szCs w:val="20"/>
                <w:lang w:val="es-ES_tradnl"/>
              </w:rPr>
              <w:t>Total de votos: 10.</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Fabio Raúl Amín Saleme.</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w:t>
            </w:r>
            <w:r w:rsidRPr="003E425B">
              <w:rPr>
                <w:rFonts w:ascii="Times New Roman" w:hAnsi="Times New Roman"/>
                <w:sz w:val="28"/>
                <w:szCs w:val="20"/>
                <w:lang w:val="es-ES_tradnl"/>
              </w:rPr>
              <w:t>riel Fernando Ávila Martínez.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Alejandro Carlos Chacón Camargo.</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Julio Elías Chagüi Flórez.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Alfredo Rafael Deluque Zuleta.</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Julián Gallo Cubillos.</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Alexánder López Maya.</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María José Pizarro Rodríguez.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Jonathan Ferney Pulido Hernández.</w:t>
            </w:r>
          </w:p>
          <w:p w:rsidR="00FB4130" w:rsidRPr="003E425B" w:rsidRDefault="003E425B" w:rsidP="000C6CC6">
            <w:pPr>
              <w:pStyle w:val="Prrafodelista"/>
              <w:widowControl w:val="0"/>
              <w:numPr>
                <w:ilvl w:val="0"/>
                <w:numId w:val="24"/>
              </w:numPr>
              <w:spacing w:line="240" w:lineRule="auto"/>
              <w:ind w:left="360"/>
              <w:rPr>
                <w:rFonts w:ascii="Times New Roman" w:hAnsi="Times New Roman"/>
                <w:sz w:val="28"/>
                <w:szCs w:val="20"/>
                <w:lang w:val="es-ES_tradnl"/>
              </w:rPr>
            </w:pPr>
            <w:r w:rsidRPr="003E425B">
              <w:rPr>
                <w:rFonts w:ascii="Times New Roman" w:hAnsi="Times New Roman"/>
                <w:sz w:val="28"/>
                <w:szCs w:val="20"/>
                <w:lang w:val="es-ES_tradnl"/>
              </w:rPr>
              <w:t>Paloma Susana Valencia Las</w:t>
            </w:r>
            <w:r w:rsidRPr="003E425B">
              <w:rPr>
                <w:rFonts w:ascii="Times New Roman" w:hAnsi="Times New Roman"/>
                <w:sz w:val="28"/>
                <w:szCs w:val="20"/>
                <w:lang w:val="es-ES_tradnl"/>
              </w:rPr>
              <w:t>erna.</w:t>
            </w:r>
          </w:p>
          <w:p w:rsidR="00FB4130" w:rsidRPr="003E425B" w:rsidRDefault="003E425B" w:rsidP="00010108">
            <w:pPr>
              <w:pStyle w:val="Prrafodelista"/>
              <w:spacing w:line="240" w:lineRule="auto"/>
              <w:ind w:left="0"/>
              <w:rPr>
                <w:rFonts w:ascii="Times New Roman" w:hAnsi="Times New Roman"/>
                <w:sz w:val="28"/>
                <w:szCs w:val="20"/>
                <w:lang w:val="es-ES_tradnl"/>
              </w:rPr>
            </w:pPr>
          </w:p>
          <w:p w:rsidR="00FB4130" w:rsidRPr="003E425B" w:rsidRDefault="003E425B" w:rsidP="00010108">
            <w:pPr>
              <w:pStyle w:val="Prrafodelista"/>
              <w:spacing w:line="240" w:lineRule="auto"/>
              <w:ind w:left="0"/>
              <w:rPr>
                <w:rFonts w:ascii="Times New Roman" w:hAnsi="Times New Roman"/>
                <w:b/>
                <w:bCs/>
                <w:sz w:val="28"/>
                <w:szCs w:val="20"/>
              </w:rPr>
            </w:pPr>
            <w:r w:rsidRPr="003E425B">
              <w:rPr>
                <w:rFonts w:ascii="Times New Roman" w:hAnsi="Times New Roman"/>
                <w:b/>
                <w:bCs/>
                <w:sz w:val="28"/>
                <w:szCs w:val="20"/>
                <w:lang w:val="es-ES_tradnl"/>
              </w:rPr>
              <w:t>A diferencia de la votación nominal anterior, en esta se encontraba presente la senadora Paloma Valencia. Sin embargo, se habían ausentado los senadores Humberto De la Calle Lombana y Juan Carlos García Gómez.</w:t>
            </w:r>
          </w:p>
        </w:tc>
      </w:tr>
    </w:tbl>
    <w:p w:rsidR="00FB4130" w:rsidRPr="003E425B" w:rsidRDefault="003E425B" w:rsidP="00836D07">
      <w:pPr>
        <w:rPr>
          <w:rFonts w:ascii="Times New Roman" w:hAnsi="Times New Roman" w:cs="Times New Roman"/>
          <w:sz w:val="28"/>
        </w:rPr>
      </w:pPr>
    </w:p>
    <w:p w:rsidR="00F60E79" w:rsidRPr="003E425B" w:rsidRDefault="003E425B" w:rsidP="00F60E79">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Como puede verse, el quórum varió </w:t>
      </w:r>
      <w:r w:rsidRPr="003E425B">
        <w:rPr>
          <w:rFonts w:ascii="Times New Roman" w:hAnsi="Times New Roman"/>
          <w:sz w:val="28"/>
        </w:rPr>
        <w:t>durante la sesión. Conforme al registro de la primera votación nominal, al inicio de la sesión estaban presentes 11 senadores de la Comisión Primera del Senado. En cambio, de acuerdo con el registro de la última votación nominal y pública, sólo estaban pre</w:t>
      </w:r>
      <w:r w:rsidRPr="003E425B">
        <w:rPr>
          <w:rFonts w:ascii="Times New Roman" w:hAnsi="Times New Roman"/>
          <w:sz w:val="28"/>
        </w:rPr>
        <w:t>sentes 10 senadores, lo que implicaba que no había quórum decisorio. Por esta razón, a la 1:00 pm, la Mesa Directiva levantó la sesión y citó la próxima para el 28 de noviembre de 2022</w:t>
      </w:r>
      <w:r w:rsidRPr="003E425B">
        <w:rPr>
          <w:rStyle w:val="Refdenotaalpie"/>
          <w:rFonts w:ascii="Times New Roman" w:hAnsi="Times New Roman"/>
          <w:sz w:val="28"/>
        </w:rPr>
        <w:footnoteReference w:id="168"/>
      </w:r>
      <w:r w:rsidRPr="003E425B">
        <w:rPr>
          <w:rFonts w:ascii="Times New Roman" w:hAnsi="Times New Roman"/>
          <w:sz w:val="28"/>
        </w:rPr>
        <w:t>. De acuerdo con el acta de estas votaciones nominales, hubo dos congre</w:t>
      </w:r>
      <w:r w:rsidRPr="003E425B">
        <w:rPr>
          <w:rFonts w:ascii="Times New Roman" w:hAnsi="Times New Roman"/>
          <w:sz w:val="28"/>
        </w:rPr>
        <w:t>sistas que abandonaron el recinto durante la sesión, esto es, que estuvieron presentes en la primera votación nominal</w:t>
      </w:r>
      <w:r w:rsidRPr="003E425B">
        <w:rPr>
          <w:rFonts w:ascii="Times New Roman" w:hAnsi="Times New Roman"/>
          <w:sz w:val="28"/>
        </w:rPr>
        <w:t xml:space="preserve"> y pública</w:t>
      </w:r>
      <w:r w:rsidRPr="003E425B">
        <w:rPr>
          <w:rFonts w:ascii="Times New Roman" w:hAnsi="Times New Roman"/>
          <w:sz w:val="28"/>
        </w:rPr>
        <w:t xml:space="preserve"> pero no en la última: los senadores </w:t>
      </w:r>
      <w:r w:rsidRPr="003E425B">
        <w:rPr>
          <w:rFonts w:ascii="Times New Roman" w:hAnsi="Times New Roman"/>
          <w:sz w:val="28"/>
          <w:lang w:val="es-ES_tradnl"/>
        </w:rPr>
        <w:t xml:space="preserve">Juan Carlos García Gómez y Humberto De la Calle Lombana. </w:t>
      </w:r>
      <w:r w:rsidRPr="003E425B">
        <w:rPr>
          <w:rFonts w:ascii="Times New Roman" w:hAnsi="Times New Roman"/>
          <w:sz w:val="28"/>
        </w:rPr>
        <w:t>La votación del informe de ponencia</w:t>
      </w:r>
      <w:r w:rsidRPr="003E425B">
        <w:rPr>
          <w:rFonts w:ascii="Times New Roman" w:hAnsi="Times New Roman"/>
          <w:sz w:val="28"/>
        </w:rPr>
        <w:t xml:space="preserve"> tuvo lugar a las </w:t>
      </w:r>
      <w:r w:rsidRPr="003E425B">
        <w:rPr>
          <w:rFonts w:ascii="Times New Roman" w:hAnsi="Times New Roman"/>
          <w:sz w:val="28"/>
          <w:lang w:val="es-ES_tradnl"/>
        </w:rPr>
        <w:t xml:space="preserve">12:38:45 pm, </w:t>
      </w:r>
      <w:r w:rsidRPr="003E425B">
        <w:rPr>
          <w:rFonts w:ascii="Times New Roman" w:hAnsi="Times New Roman"/>
          <w:sz w:val="28"/>
        </w:rPr>
        <w:t xml:space="preserve">entre la primera votación nominal -en la que había quórum-, y la última votación nominal -en la que no hubo quórum-. </w:t>
      </w:r>
      <w:r w:rsidRPr="003E425B">
        <w:rPr>
          <w:rFonts w:ascii="Times New Roman" w:hAnsi="Times New Roman"/>
          <w:sz w:val="28"/>
        </w:rPr>
        <w:t xml:space="preserve">Dado </w:t>
      </w:r>
      <w:r w:rsidRPr="003E425B">
        <w:rPr>
          <w:rFonts w:ascii="Times New Roman" w:hAnsi="Times New Roman"/>
          <w:sz w:val="28"/>
        </w:rPr>
        <w:t xml:space="preserve">que el quórum varió durante la sesión y el acta conjunta no precisa el número de senadores presentes al momento exacto en que se votó el informe de ponencia, </w:t>
      </w:r>
      <w:r w:rsidRPr="003E425B">
        <w:rPr>
          <w:rFonts w:ascii="Times New Roman" w:hAnsi="Times New Roman"/>
          <w:sz w:val="28"/>
        </w:rPr>
        <w:t>existe</w:t>
      </w:r>
      <w:r w:rsidRPr="003E425B">
        <w:rPr>
          <w:rFonts w:ascii="Times New Roman" w:hAnsi="Times New Roman"/>
          <w:sz w:val="28"/>
        </w:rPr>
        <w:t xml:space="preserve"> una duda sobre</w:t>
      </w:r>
      <w:r w:rsidRPr="003E425B">
        <w:rPr>
          <w:rFonts w:ascii="Times New Roman" w:hAnsi="Times New Roman"/>
          <w:sz w:val="28"/>
        </w:rPr>
        <w:t xml:space="preserve"> el cumplimiento de las reglas de quórum y mayorías</w:t>
      </w:r>
      <w:r w:rsidRPr="003E425B">
        <w:rPr>
          <w:rFonts w:ascii="Times New Roman" w:hAnsi="Times New Roman"/>
          <w:sz w:val="28"/>
        </w:rPr>
        <w:t xml:space="preserve"> al momento en que se</w:t>
      </w:r>
      <w:r w:rsidRPr="003E425B">
        <w:rPr>
          <w:rFonts w:ascii="Times New Roman" w:hAnsi="Times New Roman"/>
          <w:sz w:val="28"/>
        </w:rPr>
        <w:t xml:space="preserve"> llev</w:t>
      </w:r>
      <w:r w:rsidRPr="003E425B">
        <w:rPr>
          <w:rFonts w:ascii="Times New Roman" w:hAnsi="Times New Roman"/>
          <w:sz w:val="28"/>
        </w:rPr>
        <w:t xml:space="preserve">ó a cabo la votación ordinaria. </w:t>
      </w:r>
    </w:p>
    <w:p w:rsidR="00F60E79" w:rsidRPr="003E425B" w:rsidRDefault="003E425B" w:rsidP="00F60E79">
      <w:pPr>
        <w:pStyle w:val="Prrafodelista"/>
        <w:widowControl w:val="0"/>
        <w:tabs>
          <w:tab w:val="left" w:pos="567"/>
        </w:tabs>
        <w:spacing w:line="240" w:lineRule="auto"/>
        <w:ind w:left="0"/>
        <w:rPr>
          <w:rFonts w:ascii="Times New Roman" w:hAnsi="Times New Roman"/>
          <w:sz w:val="28"/>
        </w:rPr>
      </w:pPr>
    </w:p>
    <w:p w:rsidR="00AA419A" w:rsidRPr="003E425B" w:rsidRDefault="003E425B" w:rsidP="00F60E79">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b/>
          <w:bCs/>
          <w:sz w:val="28"/>
        </w:rPr>
        <w:t>(d)</w:t>
      </w:r>
      <w:r w:rsidRPr="003E425B">
        <w:rPr>
          <w:rFonts w:ascii="Times New Roman" w:hAnsi="Times New Roman"/>
          <w:sz w:val="28"/>
        </w:rPr>
        <w:t xml:space="preserve"> </w:t>
      </w:r>
      <w:r w:rsidRPr="003E425B">
        <w:rPr>
          <w:rFonts w:ascii="Times New Roman" w:hAnsi="Times New Roman"/>
          <w:sz w:val="28"/>
          <w:u w:val="single"/>
        </w:rPr>
        <w:t>Los registros fílmicos y fotográficos de la sesión</w:t>
      </w:r>
      <w:r w:rsidRPr="003E425B">
        <w:rPr>
          <w:rFonts w:ascii="Times New Roman" w:hAnsi="Times New Roman"/>
          <w:sz w:val="28"/>
        </w:rPr>
        <w:t>. Los demandantes aportaron registros fí</w:t>
      </w:r>
      <w:r w:rsidRPr="003E425B">
        <w:rPr>
          <w:rFonts w:ascii="Times New Roman" w:hAnsi="Times New Roman"/>
          <w:sz w:val="28"/>
        </w:rPr>
        <w:t>l</w:t>
      </w:r>
      <w:r w:rsidRPr="003E425B">
        <w:rPr>
          <w:rFonts w:ascii="Times New Roman" w:hAnsi="Times New Roman"/>
          <w:sz w:val="28"/>
        </w:rPr>
        <w:t xml:space="preserve">micos y fotográficos de la sesión del 24 de noviembre de 2022. Asimismo, en respuesta al requerimiento probatorio que la Corte </w:t>
      </w:r>
      <w:r w:rsidRPr="003E425B">
        <w:rPr>
          <w:rFonts w:ascii="Times New Roman" w:hAnsi="Times New Roman"/>
          <w:sz w:val="28"/>
        </w:rPr>
        <w:t>efectuó</w:t>
      </w:r>
      <w:r w:rsidRPr="003E425B">
        <w:rPr>
          <w:rFonts w:ascii="Times New Roman" w:hAnsi="Times New Roman"/>
          <w:sz w:val="28"/>
        </w:rPr>
        <w:t xml:space="preserve">, la Secretaria de la Comisión Primera del Senado </w:t>
      </w:r>
      <w:r w:rsidRPr="003E425B">
        <w:rPr>
          <w:rFonts w:ascii="Times New Roman" w:hAnsi="Times New Roman"/>
          <w:sz w:val="28"/>
        </w:rPr>
        <w:t>remitió</w:t>
      </w:r>
      <w:r w:rsidRPr="003E425B">
        <w:rPr>
          <w:rFonts w:ascii="Times New Roman" w:hAnsi="Times New Roman"/>
          <w:sz w:val="28"/>
        </w:rPr>
        <w:t xml:space="preserve"> los videos de la</w:t>
      </w:r>
      <w:r w:rsidRPr="003E425B">
        <w:rPr>
          <w:rFonts w:ascii="Times New Roman" w:hAnsi="Times New Roman"/>
          <w:sz w:val="28"/>
        </w:rPr>
        <w:t xml:space="preserve"> sesión. </w:t>
      </w:r>
      <w:r w:rsidRPr="003E425B">
        <w:rPr>
          <w:rFonts w:ascii="Times New Roman" w:hAnsi="Times New Roman"/>
          <w:sz w:val="28"/>
        </w:rPr>
        <w:t xml:space="preserve"> </w:t>
      </w:r>
      <w:r w:rsidRPr="003E425B">
        <w:rPr>
          <w:rFonts w:ascii="Times New Roman" w:hAnsi="Times New Roman"/>
          <w:sz w:val="28"/>
        </w:rPr>
        <w:t xml:space="preserve">La Corte efectuó un detallado y minucioso análisis de estas pruebas. </w:t>
      </w:r>
      <w:r w:rsidRPr="003E425B">
        <w:rPr>
          <w:rFonts w:ascii="Times New Roman" w:hAnsi="Times New Roman"/>
          <w:sz w:val="28"/>
        </w:rPr>
        <w:t>En</w:t>
      </w:r>
      <w:r w:rsidRPr="003E425B">
        <w:rPr>
          <w:rFonts w:ascii="Times New Roman" w:hAnsi="Times New Roman"/>
          <w:sz w:val="28"/>
        </w:rPr>
        <w:t xml:space="preserve"> criterio de la Sala </w:t>
      </w:r>
      <w:r w:rsidRPr="003E425B">
        <w:rPr>
          <w:rFonts w:ascii="Times New Roman" w:hAnsi="Times New Roman"/>
          <w:sz w:val="28"/>
        </w:rPr>
        <w:t xml:space="preserve">Plena, </w:t>
      </w:r>
      <w:r w:rsidRPr="003E425B">
        <w:rPr>
          <w:rFonts w:ascii="Times New Roman" w:hAnsi="Times New Roman"/>
          <w:sz w:val="28"/>
        </w:rPr>
        <w:t xml:space="preserve">estos </w:t>
      </w:r>
      <w:r w:rsidRPr="003E425B">
        <w:rPr>
          <w:rFonts w:ascii="Times New Roman" w:hAnsi="Times New Roman"/>
          <w:sz w:val="28"/>
        </w:rPr>
        <w:t xml:space="preserve">videos y fotografías no </w:t>
      </w:r>
      <w:r w:rsidRPr="003E425B">
        <w:rPr>
          <w:rFonts w:ascii="Times New Roman" w:hAnsi="Times New Roman"/>
          <w:sz w:val="28"/>
        </w:rPr>
        <w:t>permiten concluir, con certeza, como</w:t>
      </w:r>
      <w:r w:rsidRPr="003E425B">
        <w:rPr>
          <w:rFonts w:ascii="Times New Roman" w:hAnsi="Times New Roman"/>
          <w:sz w:val="28"/>
        </w:rPr>
        <w:t xml:space="preserve"> lo alegan los demandantes, que la Comisión Primera Constitucional del Senado</w:t>
      </w:r>
      <w:r w:rsidRPr="003E425B">
        <w:rPr>
          <w:rFonts w:ascii="Times New Roman" w:hAnsi="Times New Roman"/>
          <w:sz w:val="28"/>
        </w:rPr>
        <w:t xml:space="preserve"> </w:t>
      </w:r>
      <w:r w:rsidRPr="003E425B">
        <w:rPr>
          <w:rFonts w:ascii="Times New Roman" w:hAnsi="Times New Roman"/>
          <w:sz w:val="28"/>
        </w:rPr>
        <w:t xml:space="preserve">dio por aprobado el informe de ponencia, pese a que no existía quórum y mayoría decisoria. Esto es así, fundamentalmente porque estos videos y fotografías </w:t>
      </w:r>
      <w:r w:rsidRPr="003E425B">
        <w:rPr>
          <w:rFonts w:ascii="Times New Roman" w:hAnsi="Times New Roman"/>
          <w:sz w:val="28"/>
        </w:rPr>
        <w:t>no permiten identificar</w:t>
      </w:r>
      <w:r w:rsidRPr="003E425B">
        <w:rPr>
          <w:rFonts w:ascii="Times New Roman" w:hAnsi="Times New Roman"/>
          <w:sz w:val="28"/>
        </w:rPr>
        <w:t xml:space="preserve"> con </w:t>
      </w:r>
      <w:r w:rsidRPr="003E425B">
        <w:rPr>
          <w:rFonts w:ascii="Times New Roman" w:hAnsi="Times New Roman"/>
          <w:sz w:val="28"/>
        </w:rPr>
        <w:t xml:space="preserve">seguridad </w:t>
      </w:r>
      <w:r w:rsidRPr="003E425B">
        <w:rPr>
          <w:rFonts w:ascii="Times New Roman" w:hAnsi="Times New Roman"/>
          <w:sz w:val="28"/>
        </w:rPr>
        <w:t xml:space="preserve">el número y la identidad de los senadores que estaban presentes al momento exacto en que la Comisión Primera </w:t>
      </w:r>
      <w:r w:rsidRPr="003E425B">
        <w:rPr>
          <w:rFonts w:ascii="Times New Roman" w:hAnsi="Times New Roman"/>
          <w:sz w:val="28"/>
        </w:rPr>
        <w:t xml:space="preserve">Constitucional </w:t>
      </w:r>
      <w:r w:rsidRPr="003E425B">
        <w:rPr>
          <w:rFonts w:ascii="Times New Roman" w:hAnsi="Times New Roman"/>
          <w:sz w:val="28"/>
        </w:rPr>
        <w:t xml:space="preserve">del Senado llevó a cabo votación ordinaria del informe de ponencia. </w:t>
      </w:r>
      <w:r w:rsidRPr="003E425B">
        <w:rPr>
          <w:rFonts w:ascii="Times New Roman" w:hAnsi="Times New Roman"/>
          <w:sz w:val="28"/>
        </w:rPr>
        <w:t>Al respecto, la Sala resalta que</w:t>
      </w:r>
      <w:r w:rsidRPr="003E425B">
        <w:rPr>
          <w:rFonts w:ascii="Times New Roman" w:hAnsi="Times New Roman"/>
          <w:sz w:val="28"/>
        </w:rPr>
        <w:t xml:space="preserve">: </w:t>
      </w:r>
    </w:p>
    <w:p w:rsidR="00AA419A" w:rsidRPr="003E425B" w:rsidRDefault="003E425B" w:rsidP="00ED096B">
      <w:pPr>
        <w:rPr>
          <w:rFonts w:ascii="Times New Roman" w:hAnsi="Times New Roman" w:cs="Times New Roman"/>
          <w:sz w:val="28"/>
        </w:rPr>
      </w:pPr>
    </w:p>
    <w:p w:rsidR="008E01E4" w:rsidRPr="003E425B" w:rsidRDefault="003E425B" w:rsidP="008E01E4">
      <w:pPr>
        <w:pStyle w:val="Prrafodelista"/>
        <w:widowControl w:val="0"/>
        <w:numPr>
          <w:ilvl w:val="1"/>
          <w:numId w:val="10"/>
        </w:numPr>
        <w:spacing w:line="240" w:lineRule="auto"/>
        <w:ind w:left="851" w:hanging="709"/>
        <w:rPr>
          <w:rFonts w:ascii="Times New Roman" w:hAnsi="Times New Roman"/>
          <w:sz w:val="28"/>
        </w:rPr>
      </w:pPr>
      <w:r w:rsidRPr="003E425B">
        <w:rPr>
          <w:rFonts w:ascii="Times New Roman" w:hAnsi="Times New Roman"/>
          <w:sz w:val="28"/>
        </w:rPr>
        <w:t>L</w:t>
      </w:r>
      <w:r w:rsidRPr="003E425B">
        <w:rPr>
          <w:rFonts w:ascii="Times New Roman" w:hAnsi="Times New Roman"/>
          <w:sz w:val="28"/>
        </w:rPr>
        <w:t xml:space="preserve">as imágenes </w:t>
      </w:r>
      <w:r w:rsidRPr="003E425B">
        <w:rPr>
          <w:rFonts w:ascii="Times New Roman" w:hAnsi="Times New Roman"/>
          <w:sz w:val="28"/>
        </w:rPr>
        <w:t>son borrosas, están pixelad</w:t>
      </w:r>
      <w:r w:rsidRPr="003E425B">
        <w:rPr>
          <w:rFonts w:ascii="Times New Roman" w:hAnsi="Times New Roman"/>
          <w:sz w:val="28"/>
        </w:rPr>
        <w:t>as</w:t>
      </w:r>
      <w:r w:rsidRPr="003E425B">
        <w:rPr>
          <w:rFonts w:ascii="Times New Roman" w:hAnsi="Times New Roman"/>
          <w:sz w:val="28"/>
        </w:rPr>
        <w:t>, y algun</w:t>
      </w:r>
      <w:r w:rsidRPr="003E425B">
        <w:rPr>
          <w:rFonts w:ascii="Times New Roman" w:hAnsi="Times New Roman"/>
          <w:sz w:val="28"/>
        </w:rPr>
        <w:t>a</w:t>
      </w:r>
      <w:r w:rsidRPr="003E425B">
        <w:rPr>
          <w:rFonts w:ascii="Times New Roman" w:hAnsi="Times New Roman"/>
          <w:sz w:val="28"/>
        </w:rPr>
        <w:t>s están en blanco y negro, lo que imposibilita identificar a las personas presentes</w:t>
      </w:r>
      <w:r w:rsidRPr="003E425B">
        <w:rPr>
          <w:rFonts w:ascii="Times New Roman" w:hAnsi="Times New Roman"/>
          <w:sz w:val="28"/>
        </w:rPr>
        <w:t xml:space="preserve"> al momento de la votación ordinaria</w:t>
      </w:r>
      <w:r w:rsidRPr="003E425B">
        <w:rPr>
          <w:rFonts w:ascii="Times New Roman" w:hAnsi="Times New Roman"/>
          <w:sz w:val="28"/>
        </w:rPr>
        <w:t xml:space="preserve"> y determinar si son senadores integrantes de la Comisión Primera. </w:t>
      </w:r>
    </w:p>
    <w:p w:rsidR="008E01E4" w:rsidRPr="003E425B" w:rsidRDefault="003E425B" w:rsidP="008E01E4">
      <w:pPr>
        <w:pStyle w:val="Prrafodelista"/>
        <w:widowControl w:val="0"/>
        <w:numPr>
          <w:ilvl w:val="1"/>
          <w:numId w:val="10"/>
        </w:numPr>
        <w:spacing w:line="240" w:lineRule="auto"/>
        <w:ind w:left="851" w:hanging="709"/>
        <w:rPr>
          <w:rFonts w:ascii="Times New Roman" w:hAnsi="Times New Roman"/>
          <w:sz w:val="28"/>
        </w:rPr>
      </w:pPr>
      <w:r w:rsidRPr="003E425B">
        <w:rPr>
          <w:rFonts w:ascii="Times New Roman" w:hAnsi="Times New Roman"/>
          <w:sz w:val="28"/>
        </w:rPr>
        <w:t>N</w:t>
      </w:r>
      <w:r w:rsidRPr="003E425B">
        <w:rPr>
          <w:rFonts w:ascii="Times New Roman" w:hAnsi="Times New Roman"/>
          <w:sz w:val="28"/>
        </w:rPr>
        <w:t xml:space="preserve">o existe ningún video que </w:t>
      </w:r>
      <w:r w:rsidRPr="003E425B">
        <w:rPr>
          <w:rFonts w:ascii="Times New Roman" w:hAnsi="Times New Roman"/>
          <w:sz w:val="28"/>
        </w:rPr>
        <w:t>tenga encuadre</w:t>
      </w:r>
      <w:r w:rsidRPr="003E425B">
        <w:rPr>
          <w:rFonts w:ascii="Times New Roman" w:hAnsi="Times New Roman"/>
          <w:sz w:val="28"/>
        </w:rPr>
        <w:t xml:space="preserve"> panorámic</w:t>
      </w:r>
      <w:r w:rsidRPr="003E425B">
        <w:rPr>
          <w:rFonts w:ascii="Times New Roman" w:hAnsi="Times New Roman"/>
          <w:sz w:val="28"/>
        </w:rPr>
        <w:t>o</w:t>
      </w:r>
      <w:r w:rsidRPr="003E425B">
        <w:rPr>
          <w:rFonts w:ascii="Times New Roman" w:hAnsi="Times New Roman"/>
          <w:sz w:val="28"/>
        </w:rPr>
        <w:t xml:space="preserve"> de todo el recinto. Hay algunos espacios del recinto en el que hay sillas que no están grabadas por ninguna de las cámaras y lo mismo sucede detrás de los arcos, en el que es usual que los congresistas hablen con sus asesores y ot</w:t>
      </w:r>
      <w:r w:rsidRPr="003E425B">
        <w:rPr>
          <w:rFonts w:ascii="Times New Roman" w:hAnsi="Times New Roman"/>
          <w:sz w:val="28"/>
        </w:rPr>
        <w:t xml:space="preserve">ras personas. </w:t>
      </w:r>
    </w:p>
    <w:p w:rsidR="00FB351E" w:rsidRPr="003E425B" w:rsidRDefault="003E425B" w:rsidP="008E01E4">
      <w:pPr>
        <w:pStyle w:val="Prrafodelista"/>
        <w:widowControl w:val="0"/>
        <w:numPr>
          <w:ilvl w:val="1"/>
          <w:numId w:val="10"/>
        </w:numPr>
        <w:spacing w:line="240" w:lineRule="auto"/>
        <w:ind w:left="851" w:hanging="709"/>
        <w:rPr>
          <w:rFonts w:ascii="Times New Roman" w:hAnsi="Times New Roman"/>
          <w:sz w:val="28"/>
        </w:rPr>
      </w:pPr>
      <w:r w:rsidRPr="003E425B">
        <w:rPr>
          <w:rFonts w:ascii="Times New Roman" w:hAnsi="Times New Roman"/>
          <w:sz w:val="28"/>
        </w:rPr>
        <w:t>A</w:t>
      </w:r>
      <w:r w:rsidRPr="003E425B">
        <w:rPr>
          <w:rFonts w:ascii="Times New Roman" w:hAnsi="Times New Roman"/>
          <w:sz w:val="28"/>
        </w:rPr>
        <w:t xml:space="preserve">lgunos videos no tienen audio ni hora, lo que impide determinar el tema que se estaba debatiendo o votando. </w:t>
      </w:r>
    </w:p>
    <w:p w:rsidR="001515F9" w:rsidRPr="003E425B" w:rsidRDefault="003E425B" w:rsidP="00836883">
      <w:pPr>
        <w:pStyle w:val="Prrafodelista"/>
        <w:widowControl w:val="0"/>
        <w:tabs>
          <w:tab w:val="left" w:pos="567"/>
        </w:tabs>
        <w:spacing w:line="240" w:lineRule="auto"/>
        <w:ind w:left="0"/>
        <w:rPr>
          <w:rFonts w:ascii="Times New Roman" w:hAnsi="Times New Roman"/>
          <w:sz w:val="28"/>
        </w:rPr>
      </w:pPr>
    </w:p>
    <w:p w:rsidR="00FB4130" w:rsidRPr="003E425B" w:rsidRDefault="003E425B" w:rsidP="00B1608F">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En síntesis, </w:t>
      </w:r>
      <w:r w:rsidRPr="003E425B">
        <w:rPr>
          <w:rFonts w:ascii="Times New Roman" w:hAnsi="Times New Roman"/>
          <w:sz w:val="28"/>
        </w:rPr>
        <w:t xml:space="preserve">a diferencia de lo que aseguran los demandantes, los registros fílmicos y fotográficos </w:t>
      </w:r>
      <w:r w:rsidRPr="003E425B">
        <w:rPr>
          <w:rFonts w:ascii="Times New Roman" w:hAnsi="Times New Roman"/>
          <w:sz w:val="28"/>
        </w:rPr>
        <w:t xml:space="preserve">son insuficientes para </w:t>
      </w:r>
      <w:r w:rsidRPr="003E425B">
        <w:rPr>
          <w:rFonts w:ascii="Times New Roman" w:hAnsi="Times New Roman"/>
          <w:sz w:val="28"/>
        </w:rPr>
        <w:t>demostrar</w:t>
      </w:r>
      <w:r w:rsidRPr="003E425B">
        <w:rPr>
          <w:rFonts w:ascii="Times New Roman" w:hAnsi="Times New Roman"/>
          <w:sz w:val="28"/>
        </w:rPr>
        <w:t xml:space="preserve"> que</w:t>
      </w:r>
      <w:r w:rsidRPr="003E425B">
        <w:rPr>
          <w:rFonts w:ascii="Times New Roman" w:hAnsi="Times New Roman"/>
          <w:sz w:val="28"/>
        </w:rPr>
        <w:t xml:space="preserve">, al momento en que </w:t>
      </w:r>
      <w:r w:rsidRPr="003E425B">
        <w:rPr>
          <w:rFonts w:ascii="Times New Roman" w:hAnsi="Times New Roman"/>
          <w:sz w:val="28"/>
        </w:rPr>
        <w:t>la Comisión Primera Constitucional del Senado llevó</w:t>
      </w:r>
      <w:r w:rsidRPr="003E425B">
        <w:rPr>
          <w:rFonts w:ascii="Times New Roman" w:hAnsi="Times New Roman"/>
          <w:sz w:val="28"/>
        </w:rPr>
        <w:t xml:space="preserve"> a cabo la votación ordinaria del informe de ponencia, no </w:t>
      </w:r>
      <w:r w:rsidRPr="003E425B">
        <w:rPr>
          <w:rFonts w:ascii="Times New Roman" w:hAnsi="Times New Roman"/>
          <w:sz w:val="28"/>
        </w:rPr>
        <w:t>había</w:t>
      </w:r>
      <w:r w:rsidRPr="003E425B">
        <w:rPr>
          <w:rFonts w:ascii="Times New Roman" w:hAnsi="Times New Roman"/>
          <w:sz w:val="28"/>
        </w:rPr>
        <w:t xml:space="preserve"> quórum decisorio</w:t>
      </w:r>
      <w:r w:rsidRPr="003E425B">
        <w:rPr>
          <w:rFonts w:ascii="Times New Roman" w:hAnsi="Times New Roman"/>
          <w:sz w:val="28"/>
        </w:rPr>
        <w:t>. L</w:t>
      </w:r>
      <w:r w:rsidRPr="003E425B">
        <w:rPr>
          <w:rFonts w:ascii="Times New Roman" w:hAnsi="Times New Roman"/>
          <w:sz w:val="28"/>
        </w:rPr>
        <w:t>o</w:t>
      </w:r>
      <w:r w:rsidRPr="003E425B">
        <w:rPr>
          <w:rFonts w:ascii="Times New Roman" w:hAnsi="Times New Roman"/>
          <w:sz w:val="28"/>
        </w:rPr>
        <w:t xml:space="preserve">s medios de prueba que reposan en el expediente sólo evidencian, a lo sumo, </w:t>
      </w:r>
      <w:r w:rsidRPr="003E425B">
        <w:rPr>
          <w:rFonts w:ascii="Times New Roman" w:hAnsi="Times New Roman"/>
          <w:sz w:val="28"/>
        </w:rPr>
        <w:t xml:space="preserve">que </w:t>
      </w:r>
      <w:r w:rsidRPr="003E425B">
        <w:rPr>
          <w:rFonts w:ascii="Times New Roman" w:hAnsi="Times New Roman"/>
          <w:sz w:val="28"/>
        </w:rPr>
        <w:t>no exist</w:t>
      </w:r>
      <w:r w:rsidRPr="003E425B">
        <w:rPr>
          <w:rFonts w:ascii="Times New Roman" w:hAnsi="Times New Roman"/>
          <w:sz w:val="28"/>
        </w:rPr>
        <w:t xml:space="preserve">e plena certeza sobre el número de senadores </w:t>
      </w:r>
      <w:r w:rsidRPr="003E425B">
        <w:rPr>
          <w:rFonts w:ascii="Times New Roman" w:hAnsi="Times New Roman"/>
          <w:sz w:val="28"/>
        </w:rPr>
        <w:t xml:space="preserve">de la Comisión Constitucional Primera del Senado </w:t>
      </w:r>
      <w:r w:rsidRPr="003E425B">
        <w:rPr>
          <w:rFonts w:ascii="Times New Roman" w:hAnsi="Times New Roman"/>
          <w:sz w:val="28"/>
        </w:rPr>
        <w:t xml:space="preserve">que estaban presentes y votaron favorablemente el informe de ponencia. </w:t>
      </w:r>
    </w:p>
    <w:p w:rsidR="00B1608F" w:rsidRPr="003E425B" w:rsidRDefault="003E425B" w:rsidP="00B1608F">
      <w:pPr>
        <w:pStyle w:val="Prrafodelista"/>
        <w:widowControl w:val="0"/>
        <w:tabs>
          <w:tab w:val="left" w:pos="567"/>
        </w:tabs>
        <w:spacing w:line="240" w:lineRule="auto"/>
        <w:ind w:left="0"/>
        <w:rPr>
          <w:rFonts w:ascii="Times New Roman" w:hAnsi="Times New Roman"/>
          <w:sz w:val="28"/>
        </w:rPr>
      </w:pPr>
    </w:p>
    <w:p w:rsidR="00FB4130" w:rsidRPr="003E425B" w:rsidRDefault="003E425B" w:rsidP="00066AD1">
      <w:pPr>
        <w:pStyle w:val="Ttulo4"/>
        <w:numPr>
          <w:ilvl w:val="0"/>
          <w:numId w:val="23"/>
        </w:numPr>
        <w:spacing w:before="0"/>
        <w:ind w:hanging="578"/>
        <w:rPr>
          <w:rFonts w:ascii="Times New Roman" w:hAnsi="Times New Roman" w:cs="Times New Roman"/>
          <w:sz w:val="28"/>
        </w:rPr>
      </w:pPr>
      <w:r w:rsidRPr="003E425B">
        <w:rPr>
          <w:rFonts w:ascii="Times New Roman" w:hAnsi="Times New Roman" w:cs="Times New Roman"/>
          <w:sz w:val="28"/>
        </w:rPr>
        <w:t xml:space="preserve">La falta de </w:t>
      </w:r>
      <w:r w:rsidRPr="003E425B">
        <w:rPr>
          <w:rFonts w:ascii="Times New Roman" w:hAnsi="Times New Roman" w:cs="Times New Roman"/>
          <w:sz w:val="28"/>
        </w:rPr>
        <w:t xml:space="preserve">certeza </w:t>
      </w:r>
      <w:r w:rsidRPr="003E425B">
        <w:rPr>
          <w:rFonts w:ascii="Times New Roman" w:hAnsi="Times New Roman" w:cs="Times New Roman"/>
          <w:sz w:val="28"/>
        </w:rPr>
        <w:t xml:space="preserve">sobre el </w:t>
      </w:r>
      <w:r w:rsidRPr="003E425B">
        <w:rPr>
          <w:rFonts w:ascii="Times New Roman" w:hAnsi="Times New Roman" w:cs="Times New Roman"/>
          <w:sz w:val="28"/>
        </w:rPr>
        <w:t>número de senadores presentes al momento de la votación ordi</w:t>
      </w:r>
      <w:r w:rsidRPr="003E425B">
        <w:rPr>
          <w:rFonts w:ascii="Times New Roman" w:hAnsi="Times New Roman" w:cs="Times New Roman"/>
          <w:sz w:val="28"/>
        </w:rPr>
        <w:t>nari</w:t>
      </w:r>
      <w:r w:rsidRPr="003E425B">
        <w:rPr>
          <w:rFonts w:ascii="Times New Roman" w:hAnsi="Times New Roman" w:cs="Times New Roman"/>
          <w:sz w:val="28"/>
        </w:rPr>
        <w:t>a</w:t>
      </w:r>
      <w:r w:rsidRPr="003E425B">
        <w:rPr>
          <w:rFonts w:ascii="Times New Roman" w:hAnsi="Times New Roman" w:cs="Times New Roman"/>
          <w:sz w:val="28"/>
        </w:rPr>
        <w:t xml:space="preserve"> no constituye un vicio de procedimiento </w:t>
      </w:r>
      <w:r w:rsidRPr="003E425B">
        <w:rPr>
          <w:rFonts w:ascii="Times New Roman" w:hAnsi="Times New Roman" w:cs="Times New Roman"/>
          <w:sz w:val="28"/>
        </w:rPr>
        <w:t xml:space="preserve"> </w:t>
      </w:r>
    </w:p>
    <w:p w:rsidR="00C871CF" w:rsidRPr="003E425B" w:rsidRDefault="003E425B" w:rsidP="00C871CF">
      <w:pPr>
        <w:pStyle w:val="Prrafodelista"/>
        <w:widowControl w:val="0"/>
        <w:tabs>
          <w:tab w:val="left" w:pos="567"/>
        </w:tabs>
        <w:spacing w:line="240" w:lineRule="auto"/>
        <w:ind w:left="0"/>
        <w:rPr>
          <w:rFonts w:ascii="Times New Roman" w:hAnsi="Times New Roman"/>
          <w:sz w:val="28"/>
        </w:rPr>
      </w:pPr>
    </w:p>
    <w:p w:rsidR="004B4BE6" w:rsidRPr="003E425B" w:rsidRDefault="003E425B" w:rsidP="004B4BE6">
      <w:pPr>
        <w:pStyle w:val="Prrafodelista"/>
        <w:widowControl w:val="0"/>
        <w:numPr>
          <w:ilvl w:val="0"/>
          <w:numId w:val="10"/>
        </w:numPr>
        <w:tabs>
          <w:tab w:val="left" w:pos="567"/>
        </w:tabs>
        <w:spacing w:line="240" w:lineRule="auto"/>
        <w:ind w:left="0" w:firstLine="0"/>
        <w:rPr>
          <w:rFonts w:ascii="Times New Roman" w:hAnsi="Times New Roman"/>
          <w:iCs/>
          <w:sz w:val="28"/>
        </w:rPr>
      </w:pPr>
      <w:r w:rsidRPr="003E425B">
        <w:rPr>
          <w:rFonts w:ascii="Times New Roman" w:hAnsi="Times New Roman"/>
          <w:sz w:val="28"/>
        </w:rPr>
        <w:t xml:space="preserve">La </w:t>
      </w:r>
      <w:r w:rsidRPr="003E425B">
        <w:rPr>
          <w:rFonts w:ascii="Times New Roman" w:hAnsi="Times New Roman"/>
          <w:sz w:val="28"/>
        </w:rPr>
        <w:t xml:space="preserve">Sala Plena </w:t>
      </w:r>
      <w:r w:rsidRPr="003E425B">
        <w:rPr>
          <w:rFonts w:ascii="Times New Roman" w:hAnsi="Times New Roman"/>
          <w:sz w:val="28"/>
        </w:rPr>
        <w:t xml:space="preserve">debe </w:t>
      </w:r>
      <w:r w:rsidRPr="003E425B">
        <w:rPr>
          <w:rFonts w:ascii="Times New Roman" w:hAnsi="Times New Roman"/>
          <w:sz w:val="28"/>
        </w:rPr>
        <w:t xml:space="preserve">determinar si la falta de certeza </w:t>
      </w:r>
      <w:r w:rsidRPr="003E425B">
        <w:rPr>
          <w:rFonts w:ascii="Times New Roman" w:hAnsi="Times New Roman"/>
          <w:iCs/>
          <w:sz w:val="28"/>
        </w:rPr>
        <w:t xml:space="preserve">sobre el número de senadores presentes </w:t>
      </w:r>
      <w:r w:rsidRPr="003E425B">
        <w:rPr>
          <w:rFonts w:ascii="Times New Roman" w:hAnsi="Times New Roman"/>
          <w:iCs/>
          <w:sz w:val="28"/>
        </w:rPr>
        <w:t>y que votaron favorablemente el</w:t>
      </w:r>
      <w:r w:rsidRPr="003E425B">
        <w:rPr>
          <w:rFonts w:ascii="Times New Roman" w:hAnsi="Times New Roman"/>
          <w:iCs/>
          <w:sz w:val="28"/>
        </w:rPr>
        <w:t xml:space="preserve"> informe de </w:t>
      </w:r>
      <w:r w:rsidRPr="003E425B">
        <w:rPr>
          <w:rFonts w:ascii="Times New Roman" w:hAnsi="Times New Roman"/>
          <w:iCs/>
          <w:sz w:val="28"/>
        </w:rPr>
        <w:t xml:space="preserve">ponencia </w:t>
      </w:r>
      <w:r w:rsidRPr="003E425B">
        <w:rPr>
          <w:rFonts w:ascii="Times New Roman" w:hAnsi="Times New Roman"/>
          <w:iCs/>
          <w:sz w:val="28"/>
        </w:rPr>
        <w:t>constituye un</w:t>
      </w:r>
      <w:r w:rsidRPr="003E425B">
        <w:rPr>
          <w:rFonts w:ascii="Times New Roman" w:hAnsi="Times New Roman"/>
          <w:iCs/>
          <w:sz w:val="28"/>
        </w:rPr>
        <w:t xml:space="preserve">a </w:t>
      </w:r>
      <w:r w:rsidRPr="003E425B">
        <w:rPr>
          <w:rFonts w:ascii="Times New Roman" w:hAnsi="Times New Roman"/>
          <w:iCs/>
          <w:sz w:val="28"/>
        </w:rPr>
        <w:t xml:space="preserve">simple </w:t>
      </w:r>
      <w:r w:rsidRPr="003E425B">
        <w:rPr>
          <w:rFonts w:ascii="Times New Roman" w:hAnsi="Times New Roman"/>
          <w:iCs/>
          <w:sz w:val="28"/>
        </w:rPr>
        <w:t>irregularidad o un</w:t>
      </w:r>
      <w:r w:rsidRPr="003E425B">
        <w:rPr>
          <w:rFonts w:ascii="Times New Roman" w:hAnsi="Times New Roman"/>
          <w:iCs/>
          <w:sz w:val="28"/>
        </w:rPr>
        <w:t xml:space="preserve"> vicio de procedimiento</w:t>
      </w:r>
      <w:r w:rsidRPr="003E425B">
        <w:rPr>
          <w:rStyle w:val="Refdenotaalpie"/>
          <w:rFonts w:ascii="Times New Roman" w:hAnsi="Times New Roman"/>
          <w:iCs/>
          <w:sz w:val="28"/>
        </w:rPr>
        <w:footnoteReference w:id="169"/>
      </w:r>
      <w:r w:rsidRPr="003E425B">
        <w:rPr>
          <w:rFonts w:ascii="Times New Roman" w:hAnsi="Times New Roman"/>
          <w:iCs/>
          <w:sz w:val="28"/>
        </w:rPr>
        <w:t xml:space="preserve">. </w:t>
      </w:r>
    </w:p>
    <w:p w:rsidR="004B4BE6" w:rsidRPr="003E425B" w:rsidRDefault="003E425B" w:rsidP="004B4BE6">
      <w:pPr>
        <w:pStyle w:val="Prrafodelista"/>
        <w:widowControl w:val="0"/>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La Corte Constitucional ha reiterado de forma pacífica y uniforme que no toda irregularidad en el trámite legislativo constituye un vicio de procedimiento</w:t>
      </w:r>
      <w:r w:rsidRPr="003E425B">
        <w:rPr>
          <w:rStyle w:val="Refdenotaalpie"/>
          <w:rFonts w:ascii="Times New Roman" w:hAnsi="Times New Roman"/>
          <w:sz w:val="28"/>
        </w:rPr>
        <w:footnoteReference w:id="170"/>
      </w:r>
      <w:r w:rsidRPr="003E425B">
        <w:rPr>
          <w:rFonts w:ascii="Times New Roman" w:hAnsi="Times New Roman"/>
          <w:sz w:val="28"/>
        </w:rPr>
        <w:t>. De acuerdo con el principio de instrumentalidad de las formas (art. 228 de la CP), los requisi</w:t>
      </w:r>
      <w:r w:rsidRPr="003E425B">
        <w:rPr>
          <w:rFonts w:ascii="Times New Roman" w:hAnsi="Times New Roman"/>
          <w:sz w:val="28"/>
        </w:rPr>
        <w:t>tos procesales “no tienen un valor en sí mismo y deben interpretarse teleológicamente al servicio de un fin sustantivo”</w:t>
      </w:r>
      <w:r w:rsidRPr="003E425B">
        <w:rPr>
          <w:rFonts w:ascii="Times New Roman" w:hAnsi="Times New Roman"/>
          <w:sz w:val="28"/>
          <w:vertAlign w:val="superscript"/>
        </w:rPr>
        <w:footnoteReference w:id="171"/>
      </w:r>
      <w:r w:rsidRPr="003E425B">
        <w:rPr>
          <w:rFonts w:ascii="Times New Roman" w:hAnsi="Times New Roman"/>
          <w:sz w:val="28"/>
        </w:rPr>
        <w:t xml:space="preserve">. Las finalidades de las reglas del procedimiento legislativo son </w:t>
      </w:r>
      <w:r w:rsidRPr="003E425B">
        <w:rPr>
          <w:rFonts w:ascii="Times New Roman" w:hAnsi="Times New Roman"/>
          <w:i/>
          <w:iCs/>
          <w:sz w:val="28"/>
        </w:rPr>
        <w:t>(i)</w:t>
      </w:r>
      <w:r w:rsidRPr="003E425B">
        <w:rPr>
          <w:rFonts w:ascii="Times New Roman" w:hAnsi="Times New Roman"/>
          <w:sz w:val="28"/>
        </w:rPr>
        <w:t xml:space="preserve"> preservar </w:t>
      </w:r>
      <w:r w:rsidRPr="003E425B">
        <w:rPr>
          <w:rFonts w:ascii="Times New Roman" w:hAnsi="Times New Roman"/>
          <w:sz w:val="28"/>
          <w:lang w:val="es-ES_tradnl"/>
        </w:rPr>
        <w:t>las competencias y estructura básica institucional del p</w:t>
      </w:r>
      <w:r w:rsidRPr="003E425B">
        <w:rPr>
          <w:rFonts w:ascii="Times New Roman" w:hAnsi="Times New Roman"/>
          <w:sz w:val="28"/>
          <w:lang w:val="es-ES_tradnl"/>
        </w:rPr>
        <w:t>rocedimiento legislativo</w:t>
      </w:r>
      <w:r w:rsidRPr="003E425B">
        <w:rPr>
          <w:rStyle w:val="Refdenotaalpie"/>
          <w:rFonts w:ascii="Times New Roman" w:hAnsi="Times New Roman"/>
          <w:sz w:val="28"/>
        </w:rPr>
        <w:footnoteReference w:id="172"/>
      </w:r>
      <w:r w:rsidRPr="003E425B">
        <w:rPr>
          <w:rFonts w:ascii="Times New Roman" w:hAnsi="Times New Roman"/>
          <w:sz w:val="28"/>
          <w:lang w:val="es-ES_tradnl"/>
        </w:rPr>
        <w:t xml:space="preserve"> y </w:t>
      </w:r>
      <w:r w:rsidRPr="003E425B">
        <w:rPr>
          <w:rFonts w:ascii="Times New Roman" w:hAnsi="Times New Roman"/>
          <w:i/>
          <w:iCs/>
          <w:sz w:val="28"/>
          <w:lang w:val="es-ES_tradnl"/>
        </w:rPr>
        <w:t>(ii)</w:t>
      </w:r>
      <w:r w:rsidRPr="003E425B">
        <w:rPr>
          <w:rFonts w:ascii="Times New Roman" w:hAnsi="Times New Roman"/>
          <w:sz w:val="28"/>
          <w:lang w:val="es-ES_tradnl"/>
        </w:rPr>
        <w:t xml:space="preserve"> salvaguardar </w:t>
      </w:r>
      <w:r w:rsidRPr="003E425B">
        <w:rPr>
          <w:rFonts w:ascii="Times New Roman" w:hAnsi="Times New Roman"/>
          <w:sz w:val="28"/>
        </w:rPr>
        <w:t>el principio democrático asegurando</w:t>
      </w:r>
      <w:r w:rsidRPr="003E425B">
        <w:rPr>
          <w:rFonts w:ascii="Times New Roman" w:hAnsi="Times New Roman"/>
          <w:sz w:val="28"/>
          <w:lang w:val="es-ES_tradnl"/>
        </w:rPr>
        <w:t xml:space="preserve"> la “debida conformación de la voluntad de las cámaras”</w:t>
      </w:r>
      <w:r w:rsidRPr="003E425B">
        <w:rPr>
          <w:rStyle w:val="Refdenotaalpie"/>
          <w:rFonts w:ascii="Times New Roman" w:hAnsi="Times New Roman"/>
          <w:sz w:val="28"/>
        </w:rPr>
        <w:footnoteReference w:id="173"/>
      </w:r>
      <w:r w:rsidRPr="003E425B">
        <w:rPr>
          <w:rFonts w:ascii="Times New Roman" w:hAnsi="Times New Roman"/>
          <w:sz w:val="28"/>
          <w:lang w:val="es-ES_tradnl"/>
        </w:rPr>
        <w:t xml:space="preserve">. En tales términos, </w:t>
      </w:r>
      <w:r w:rsidRPr="003E425B">
        <w:rPr>
          <w:rFonts w:ascii="Times New Roman" w:hAnsi="Times New Roman"/>
          <w:sz w:val="28"/>
          <w:lang w:val="es-ES_tradnl"/>
        </w:rPr>
        <w:t>sólo constituyen vicios de trámite las irregularidades que inciden de forma sustancial y probada e</w:t>
      </w:r>
      <w:r w:rsidRPr="003E425B">
        <w:rPr>
          <w:rFonts w:ascii="Times New Roman" w:hAnsi="Times New Roman"/>
          <w:sz w:val="28"/>
          <w:lang w:val="es-ES_tradnl"/>
        </w:rPr>
        <w:t>n la formación de la voluntad democrática del Legislador</w:t>
      </w:r>
      <w:r w:rsidRPr="003E425B">
        <w:rPr>
          <w:rFonts w:ascii="Times New Roman" w:hAnsi="Times New Roman"/>
          <w:sz w:val="28"/>
          <w:vertAlign w:val="superscript"/>
          <w:lang w:val="es-ES_tradnl"/>
        </w:rPr>
        <w:footnoteReference w:id="174"/>
      </w:r>
      <w:r w:rsidRPr="003E425B">
        <w:rPr>
          <w:rFonts w:ascii="Times New Roman" w:hAnsi="Times New Roman"/>
          <w:sz w:val="28"/>
          <w:lang w:val="es-ES_tradnl"/>
        </w:rPr>
        <w:t xml:space="preserve">.  </w:t>
      </w:r>
    </w:p>
    <w:p w:rsidR="00AC5371" w:rsidRPr="003E425B" w:rsidRDefault="003E425B" w:rsidP="00836D07">
      <w:pPr>
        <w:rPr>
          <w:rFonts w:ascii="Times New Roman" w:hAnsi="Times New Roman" w:cs="Times New Roman"/>
          <w:sz w:val="28"/>
        </w:rPr>
      </w:pPr>
    </w:p>
    <w:p w:rsidR="00AC5371"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La Corte Constitucional ha reiterado que</w:t>
      </w:r>
      <w:r w:rsidRPr="003E425B">
        <w:rPr>
          <w:rFonts w:ascii="Times New Roman" w:hAnsi="Times New Roman"/>
          <w:sz w:val="28"/>
        </w:rPr>
        <w:t>,</w:t>
      </w:r>
      <w:r w:rsidRPr="003E425B">
        <w:rPr>
          <w:rFonts w:ascii="Times New Roman" w:hAnsi="Times New Roman"/>
          <w:sz w:val="28"/>
        </w:rPr>
        <w:t xml:space="preserve"> al examinar la existencia de un vicio de procedimiento</w:t>
      </w:r>
      <w:r w:rsidRPr="003E425B">
        <w:rPr>
          <w:rFonts w:ascii="Times New Roman" w:hAnsi="Times New Roman"/>
          <w:sz w:val="28"/>
        </w:rPr>
        <w:t xml:space="preserve"> en la formación de las leyes,</w:t>
      </w:r>
      <w:r w:rsidRPr="003E425B">
        <w:rPr>
          <w:rFonts w:ascii="Times New Roman" w:hAnsi="Times New Roman"/>
          <w:sz w:val="28"/>
        </w:rPr>
        <w:t xml:space="preserve"> de</w:t>
      </w:r>
      <w:r w:rsidRPr="003E425B">
        <w:rPr>
          <w:rFonts w:ascii="Times New Roman" w:hAnsi="Times New Roman"/>
          <w:sz w:val="28"/>
        </w:rPr>
        <w:t xml:space="preserve">be </w:t>
      </w:r>
      <w:r w:rsidRPr="003E425B">
        <w:rPr>
          <w:rFonts w:ascii="Times New Roman" w:hAnsi="Times New Roman"/>
          <w:sz w:val="28"/>
        </w:rPr>
        <w:t xml:space="preserve">aplicar </w:t>
      </w:r>
      <w:r w:rsidRPr="003E425B">
        <w:rPr>
          <w:rFonts w:ascii="Times New Roman" w:hAnsi="Times New Roman"/>
          <w:sz w:val="28"/>
        </w:rPr>
        <w:t xml:space="preserve">el </w:t>
      </w:r>
      <w:r w:rsidRPr="003E425B">
        <w:rPr>
          <w:rFonts w:ascii="Times New Roman" w:hAnsi="Times New Roman"/>
          <w:sz w:val="28"/>
        </w:rPr>
        <w:t xml:space="preserve">principio </w:t>
      </w:r>
      <w:r w:rsidRPr="003E425B">
        <w:rPr>
          <w:rFonts w:ascii="Times New Roman" w:hAnsi="Times New Roman"/>
          <w:i/>
          <w:iCs/>
          <w:sz w:val="28"/>
        </w:rPr>
        <w:t>in dubio pro legislatoris</w:t>
      </w:r>
      <w:r w:rsidRPr="003E425B">
        <w:rPr>
          <w:rFonts w:ascii="Times New Roman" w:hAnsi="Times New Roman"/>
          <w:sz w:val="28"/>
        </w:rPr>
        <w:t xml:space="preserve">, el cual es </w:t>
      </w:r>
      <w:r w:rsidRPr="003E425B">
        <w:rPr>
          <w:rFonts w:ascii="Times New Roman" w:hAnsi="Times New Roman"/>
          <w:sz w:val="28"/>
        </w:rPr>
        <w:t>manifestación del principio democrático</w:t>
      </w:r>
      <w:r w:rsidRPr="003E425B">
        <w:rPr>
          <w:rStyle w:val="Refdenotaalpie"/>
          <w:rFonts w:ascii="Times New Roman" w:hAnsi="Times New Roman"/>
          <w:sz w:val="28"/>
        </w:rPr>
        <w:footnoteReference w:id="175"/>
      </w:r>
      <w:r w:rsidRPr="003E425B">
        <w:rPr>
          <w:rFonts w:ascii="Times New Roman" w:hAnsi="Times New Roman"/>
          <w:sz w:val="28"/>
        </w:rPr>
        <w:t xml:space="preserve">. </w:t>
      </w:r>
      <w:r w:rsidRPr="003E425B">
        <w:rPr>
          <w:rFonts w:ascii="Times New Roman" w:hAnsi="Times New Roman"/>
          <w:sz w:val="28"/>
        </w:rPr>
        <w:t xml:space="preserve">De acuerdo con este principio, </w:t>
      </w:r>
      <w:r w:rsidRPr="003E425B">
        <w:rPr>
          <w:rFonts w:ascii="Times New Roman" w:hAnsi="Times New Roman"/>
          <w:sz w:val="28"/>
        </w:rPr>
        <w:t>“</w:t>
      </w:r>
      <w:r w:rsidRPr="003E425B">
        <w:rPr>
          <w:rFonts w:ascii="Times New Roman" w:hAnsi="Times New Roman"/>
          <w:sz w:val="28"/>
        </w:rPr>
        <w:t>en caso de duda razonable acerca de la ocurrencia de un vicio de procedimiento, aquella será resuelta a favor de la decisión mayoritaria adoptada por el Congreso de la República</w:t>
      </w:r>
      <w:r w:rsidRPr="003E425B">
        <w:rPr>
          <w:rFonts w:ascii="Times New Roman" w:hAnsi="Times New Roman"/>
          <w:sz w:val="28"/>
        </w:rPr>
        <w:t>”</w:t>
      </w:r>
      <w:r w:rsidRPr="003E425B">
        <w:rPr>
          <w:rFonts w:ascii="Times New Roman" w:hAnsi="Times New Roman"/>
          <w:sz w:val="28"/>
        </w:rPr>
        <w:t>. Po</w:t>
      </w:r>
      <w:r w:rsidRPr="003E425B">
        <w:rPr>
          <w:rFonts w:ascii="Times New Roman" w:hAnsi="Times New Roman"/>
          <w:sz w:val="28"/>
        </w:rPr>
        <w:t xml:space="preserve">r lo tanto, </w:t>
      </w:r>
      <w:r w:rsidRPr="003E425B">
        <w:rPr>
          <w:rFonts w:ascii="Times New Roman" w:hAnsi="Times New Roman"/>
          <w:sz w:val="28"/>
        </w:rPr>
        <w:t>“</w:t>
      </w:r>
      <w:r w:rsidRPr="003E425B">
        <w:rPr>
          <w:rFonts w:ascii="Times New Roman" w:hAnsi="Times New Roman"/>
          <w:sz w:val="28"/>
        </w:rPr>
        <w:t>cuando quiera que no exista certeza acerca de la existencia de un vicio de procedimiento, tal duda debe ser resuelta a favor del legislador, en tanto que salvaguarda la decisión mayoritaria</w:t>
      </w:r>
      <w:r w:rsidRPr="003E425B">
        <w:rPr>
          <w:rFonts w:ascii="Times New Roman" w:hAnsi="Times New Roman"/>
          <w:sz w:val="28"/>
        </w:rPr>
        <w:t>”</w:t>
      </w:r>
      <w:r w:rsidRPr="003E425B">
        <w:rPr>
          <w:rStyle w:val="Refdenotaalpie"/>
          <w:rFonts w:ascii="Times New Roman" w:hAnsi="Times New Roman"/>
          <w:sz w:val="28"/>
        </w:rPr>
        <w:footnoteReference w:id="176"/>
      </w:r>
      <w:r w:rsidRPr="003E425B">
        <w:rPr>
          <w:rFonts w:ascii="Times New Roman" w:hAnsi="Times New Roman"/>
          <w:sz w:val="28"/>
        </w:rPr>
        <w:t>.</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FB413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Luego de constatar la existencia de un vicio de procedimiento, la Corte Constitucional debe verificar si tiene naturaleza subsanable o insubsanable. El parágrafo del artículo 241 de la Constitución instituye que “</w:t>
      </w:r>
      <w:r w:rsidRPr="003E425B">
        <w:rPr>
          <w:rFonts w:ascii="Times New Roman" w:hAnsi="Times New Roman"/>
          <w:sz w:val="28"/>
          <w:lang w:val="es-ES_tradnl"/>
        </w:rPr>
        <w:t>[c]uando la Corte encuentre vicios de proce</w:t>
      </w:r>
      <w:r w:rsidRPr="003E425B">
        <w:rPr>
          <w:rFonts w:ascii="Times New Roman" w:hAnsi="Times New Roman"/>
          <w:sz w:val="28"/>
          <w:lang w:val="es-ES_tradnl"/>
        </w:rPr>
        <w:t>dimiento subsanables en la formación del acto sujeto a su control, ordenará devolverlo a la autoridad que lo profirió para que, de ser posible, enmiende el defecto observado. Subsanado el vicio, procederá a decidir sobre la exequibilidad del acto”. En cont</w:t>
      </w:r>
      <w:r w:rsidRPr="003E425B">
        <w:rPr>
          <w:rFonts w:ascii="Times New Roman" w:hAnsi="Times New Roman"/>
          <w:sz w:val="28"/>
          <w:lang w:val="es-ES_tradnl"/>
        </w:rPr>
        <w:t>raste, los vicios insubsanables conducen a la declaratoria de la inexequibilidad de la ley</w:t>
      </w:r>
      <w:r w:rsidRPr="003E425B">
        <w:rPr>
          <w:rFonts w:ascii="Times New Roman" w:hAnsi="Times New Roman"/>
          <w:sz w:val="28"/>
          <w:vertAlign w:val="superscript"/>
          <w:lang w:val="x-none"/>
        </w:rPr>
        <w:footnoteReference w:id="177"/>
      </w:r>
      <w:r w:rsidRPr="003E425B">
        <w:rPr>
          <w:rFonts w:ascii="Times New Roman" w:hAnsi="Times New Roman"/>
          <w:sz w:val="28"/>
          <w:lang w:val="es-ES_tradnl"/>
        </w:rPr>
        <w:t xml:space="preserve">. </w:t>
      </w:r>
    </w:p>
    <w:p w:rsidR="00FB4130" w:rsidRPr="003E425B" w:rsidRDefault="003E425B" w:rsidP="00010108">
      <w:pPr>
        <w:pStyle w:val="Prrafodelista"/>
        <w:tabs>
          <w:tab w:val="left" w:pos="567"/>
        </w:tabs>
        <w:spacing w:line="240" w:lineRule="auto"/>
        <w:ind w:left="0"/>
        <w:rPr>
          <w:rFonts w:ascii="Times New Roman" w:hAnsi="Times New Roman"/>
          <w:sz w:val="28"/>
        </w:rPr>
      </w:pPr>
    </w:p>
    <w:p w:rsidR="002B48E0" w:rsidRPr="003E425B" w:rsidRDefault="003E425B" w:rsidP="00B957B0">
      <w:pPr>
        <w:pStyle w:val="Prrafodelista"/>
        <w:widowControl w:val="0"/>
        <w:numPr>
          <w:ilvl w:val="0"/>
          <w:numId w:val="10"/>
        </w:numPr>
        <w:tabs>
          <w:tab w:val="left" w:pos="567"/>
        </w:tabs>
        <w:spacing w:line="240" w:lineRule="auto"/>
        <w:ind w:left="0" w:firstLine="0"/>
        <w:rPr>
          <w:rFonts w:ascii="Times New Roman" w:hAnsi="Times New Roman"/>
          <w:sz w:val="28"/>
        </w:rPr>
      </w:pPr>
      <w:bookmarkStart w:id="19" w:name="_Hlk170207217"/>
      <w:r w:rsidRPr="003E425B">
        <w:rPr>
          <w:rFonts w:ascii="Times New Roman" w:hAnsi="Times New Roman"/>
          <w:sz w:val="28"/>
        </w:rPr>
        <w:t>La Sala Plena considera que</w:t>
      </w:r>
      <w:r w:rsidRPr="003E425B">
        <w:rPr>
          <w:rFonts w:ascii="Times New Roman" w:hAnsi="Times New Roman"/>
          <w:sz w:val="28"/>
        </w:rPr>
        <w:t>, en este caso,</w:t>
      </w:r>
      <w:r w:rsidRPr="003E425B">
        <w:rPr>
          <w:rFonts w:ascii="Times New Roman" w:hAnsi="Times New Roman"/>
          <w:sz w:val="28"/>
        </w:rPr>
        <w:t xml:space="preserve"> la </w:t>
      </w:r>
      <w:r w:rsidRPr="003E425B">
        <w:rPr>
          <w:rFonts w:ascii="Times New Roman" w:hAnsi="Times New Roman"/>
          <w:sz w:val="28"/>
        </w:rPr>
        <w:t>duda</w:t>
      </w:r>
      <w:r w:rsidRPr="003E425B">
        <w:rPr>
          <w:rFonts w:ascii="Times New Roman" w:hAnsi="Times New Roman"/>
          <w:sz w:val="28"/>
        </w:rPr>
        <w:t xml:space="preserve"> sobre el número de senadores </w:t>
      </w:r>
      <w:r w:rsidRPr="003E425B">
        <w:rPr>
          <w:rFonts w:ascii="Times New Roman" w:hAnsi="Times New Roman"/>
          <w:sz w:val="28"/>
        </w:rPr>
        <w:t xml:space="preserve">de la Comisión Primera del Senado que estaban </w:t>
      </w:r>
      <w:r w:rsidRPr="003E425B">
        <w:rPr>
          <w:rFonts w:ascii="Times New Roman" w:hAnsi="Times New Roman"/>
          <w:sz w:val="28"/>
        </w:rPr>
        <w:t>presentes al momento en que se llev</w:t>
      </w:r>
      <w:r w:rsidRPr="003E425B">
        <w:rPr>
          <w:rFonts w:ascii="Times New Roman" w:hAnsi="Times New Roman"/>
          <w:sz w:val="28"/>
        </w:rPr>
        <w:t xml:space="preserve">ó a cabo la votación ordinaria </w:t>
      </w:r>
      <w:r w:rsidRPr="003E425B">
        <w:rPr>
          <w:rFonts w:ascii="Times New Roman" w:hAnsi="Times New Roman"/>
          <w:sz w:val="28"/>
        </w:rPr>
        <w:t>del informe de ponencia</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y que votaron favorablemente la proposición positiva</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no constituye</w:t>
      </w:r>
      <w:r w:rsidRPr="003E425B">
        <w:rPr>
          <w:rFonts w:ascii="Times New Roman" w:hAnsi="Times New Roman"/>
          <w:sz w:val="28"/>
        </w:rPr>
        <w:t xml:space="preserve"> un vicio</w:t>
      </w:r>
      <w:r w:rsidRPr="003E425B">
        <w:rPr>
          <w:rFonts w:ascii="Times New Roman" w:hAnsi="Times New Roman"/>
          <w:sz w:val="28"/>
        </w:rPr>
        <w:t xml:space="preserve"> de procedimiento</w:t>
      </w:r>
      <w:r w:rsidRPr="003E425B">
        <w:rPr>
          <w:rFonts w:ascii="Times New Roman" w:hAnsi="Times New Roman"/>
          <w:sz w:val="28"/>
        </w:rPr>
        <w:t xml:space="preserve">. </w:t>
      </w:r>
      <w:r w:rsidRPr="003E425B">
        <w:rPr>
          <w:rFonts w:ascii="Times New Roman" w:hAnsi="Times New Roman"/>
          <w:sz w:val="28"/>
        </w:rPr>
        <w:t>Esto, porque</w:t>
      </w:r>
      <w:r w:rsidRPr="003E425B">
        <w:rPr>
          <w:rFonts w:ascii="Times New Roman" w:hAnsi="Times New Roman"/>
          <w:sz w:val="28"/>
        </w:rPr>
        <w:t xml:space="preserve">, </w:t>
      </w:r>
      <w:r w:rsidRPr="003E425B">
        <w:rPr>
          <w:rFonts w:ascii="Times New Roman" w:hAnsi="Times New Roman"/>
          <w:sz w:val="28"/>
        </w:rPr>
        <w:t xml:space="preserve">se reitera, </w:t>
      </w:r>
      <w:r w:rsidRPr="003E425B">
        <w:rPr>
          <w:rFonts w:ascii="Times New Roman" w:hAnsi="Times New Roman"/>
          <w:sz w:val="28"/>
        </w:rPr>
        <w:t>en virtud de</w:t>
      </w:r>
      <w:r w:rsidRPr="003E425B">
        <w:rPr>
          <w:rFonts w:ascii="Times New Roman" w:hAnsi="Times New Roman"/>
          <w:sz w:val="28"/>
        </w:rPr>
        <w:t>l principio</w:t>
      </w:r>
      <w:r w:rsidRPr="003E425B">
        <w:rPr>
          <w:rFonts w:ascii="Times New Roman" w:hAnsi="Times New Roman"/>
          <w:sz w:val="28"/>
        </w:rPr>
        <w:t xml:space="preserve"> </w:t>
      </w:r>
      <w:r w:rsidRPr="003E425B">
        <w:rPr>
          <w:rFonts w:ascii="Times New Roman" w:hAnsi="Times New Roman"/>
          <w:i/>
          <w:iCs/>
          <w:sz w:val="28"/>
        </w:rPr>
        <w:t>in dubio</w:t>
      </w:r>
      <w:r w:rsidRPr="003E425B">
        <w:rPr>
          <w:rFonts w:ascii="Times New Roman" w:hAnsi="Times New Roman"/>
          <w:sz w:val="28"/>
        </w:rPr>
        <w:t xml:space="preserve"> </w:t>
      </w:r>
      <w:r w:rsidRPr="003E425B">
        <w:rPr>
          <w:rFonts w:ascii="Times New Roman" w:hAnsi="Times New Roman"/>
          <w:i/>
          <w:iCs/>
          <w:sz w:val="28"/>
        </w:rPr>
        <w:t>pro legislatoris</w:t>
      </w:r>
      <w:r w:rsidRPr="003E425B">
        <w:rPr>
          <w:rFonts w:ascii="Times New Roman" w:hAnsi="Times New Roman"/>
          <w:sz w:val="28"/>
        </w:rPr>
        <w:t xml:space="preserve">, </w:t>
      </w:r>
      <w:r w:rsidRPr="003E425B">
        <w:rPr>
          <w:rFonts w:ascii="Times New Roman" w:hAnsi="Times New Roman"/>
          <w:sz w:val="28"/>
        </w:rPr>
        <w:t>la Corte sólo puede declarar</w:t>
      </w:r>
      <w:r w:rsidRPr="003E425B">
        <w:rPr>
          <w:rFonts w:ascii="Times New Roman" w:hAnsi="Times New Roman"/>
          <w:sz w:val="28"/>
        </w:rPr>
        <w:t xml:space="preserve"> la existencia de un vicio</w:t>
      </w:r>
      <w:r w:rsidRPr="003E425B">
        <w:rPr>
          <w:rFonts w:ascii="Times New Roman" w:hAnsi="Times New Roman"/>
          <w:sz w:val="28"/>
        </w:rPr>
        <w:t xml:space="preserve"> de procedimiento si existe plena certeza sobre el incumplimiento de un requisito orgánico de aprobación de las leyes. </w:t>
      </w:r>
      <w:bookmarkEnd w:id="19"/>
      <w:r w:rsidRPr="003E425B">
        <w:rPr>
          <w:rFonts w:ascii="Times New Roman" w:hAnsi="Times New Roman"/>
          <w:sz w:val="28"/>
        </w:rPr>
        <w:t>Por las razones expuestas en la sección precedente, esto no ocurre en este caso</w:t>
      </w:r>
      <w:r w:rsidRPr="003E425B">
        <w:rPr>
          <w:rFonts w:ascii="Times New Roman" w:hAnsi="Times New Roman"/>
          <w:sz w:val="28"/>
        </w:rPr>
        <w:t xml:space="preserve">. </w:t>
      </w:r>
      <w:r w:rsidRPr="003E425B">
        <w:rPr>
          <w:rFonts w:ascii="Times New Roman" w:hAnsi="Times New Roman"/>
          <w:sz w:val="28"/>
        </w:rPr>
        <w:t>Por lo tanto, habida cuenta de</w:t>
      </w:r>
      <w:r w:rsidRPr="003E425B">
        <w:rPr>
          <w:rFonts w:ascii="Times New Roman" w:hAnsi="Times New Roman"/>
          <w:sz w:val="28"/>
        </w:rPr>
        <w:t xml:space="preserve"> que la información contenida en el Acta Conjunta número 3 de 24 de noviembre de 2023</w:t>
      </w:r>
      <w:r w:rsidRPr="003E425B">
        <w:rPr>
          <w:rFonts w:ascii="Times New Roman" w:hAnsi="Times New Roman"/>
          <w:sz w:val="28"/>
        </w:rPr>
        <w:t xml:space="preserve">, </w:t>
      </w:r>
      <w:r w:rsidRPr="003E425B">
        <w:rPr>
          <w:rFonts w:ascii="Times New Roman" w:hAnsi="Times New Roman"/>
          <w:sz w:val="28"/>
        </w:rPr>
        <w:t>pese a no ser precisa</w:t>
      </w:r>
      <w:r w:rsidRPr="003E425B">
        <w:rPr>
          <w:rFonts w:ascii="Times New Roman" w:hAnsi="Times New Roman"/>
          <w:sz w:val="28"/>
        </w:rPr>
        <w:t>,</w:t>
      </w:r>
      <w:r w:rsidRPr="003E425B">
        <w:rPr>
          <w:rFonts w:ascii="Times New Roman" w:hAnsi="Times New Roman"/>
          <w:sz w:val="28"/>
        </w:rPr>
        <w:t xml:space="preserve"> no </w:t>
      </w:r>
      <w:r w:rsidRPr="003E425B">
        <w:rPr>
          <w:rFonts w:ascii="Times New Roman" w:hAnsi="Times New Roman"/>
          <w:sz w:val="28"/>
        </w:rPr>
        <w:t>fue</w:t>
      </w:r>
      <w:r w:rsidRPr="003E425B">
        <w:rPr>
          <w:rFonts w:ascii="Times New Roman" w:hAnsi="Times New Roman"/>
          <w:sz w:val="28"/>
        </w:rPr>
        <w:t xml:space="preserve"> </w:t>
      </w:r>
      <w:r w:rsidRPr="003E425B">
        <w:rPr>
          <w:rFonts w:ascii="Times New Roman" w:hAnsi="Times New Roman"/>
          <w:sz w:val="28"/>
        </w:rPr>
        <w:t xml:space="preserve">plenamente </w:t>
      </w:r>
      <w:r w:rsidRPr="003E425B">
        <w:rPr>
          <w:rFonts w:ascii="Times New Roman" w:hAnsi="Times New Roman"/>
          <w:sz w:val="28"/>
        </w:rPr>
        <w:t>desvirtuada</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 xml:space="preserve">en este caso </w:t>
      </w:r>
      <w:r w:rsidRPr="003E425B">
        <w:rPr>
          <w:rFonts w:ascii="Times New Roman" w:hAnsi="Times New Roman"/>
          <w:sz w:val="28"/>
        </w:rPr>
        <w:t xml:space="preserve">la </w:t>
      </w:r>
      <w:r w:rsidRPr="003E425B">
        <w:rPr>
          <w:rFonts w:ascii="Times New Roman" w:hAnsi="Times New Roman"/>
          <w:sz w:val="28"/>
        </w:rPr>
        <w:t>duda debe ser resuelta a favor del legislador y la Corte debe preservar su voluntad democrática</w:t>
      </w:r>
      <w:r w:rsidRPr="003E425B">
        <w:rPr>
          <w:rStyle w:val="Refdenotaalpie"/>
          <w:rFonts w:ascii="Times New Roman" w:hAnsi="Times New Roman"/>
          <w:sz w:val="28"/>
        </w:rPr>
        <w:footnoteReference w:id="178"/>
      </w:r>
      <w:r w:rsidRPr="003E425B">
        <w:rPr>
          <w:rFonts w:ascii="Times New Roman" w:hAnsi="Times New Roman"/>
          <w:sz w:val="28"/>
        </w:rPr>
        <w:t xml:space="preserve">. </w:t>
      </w:r>
    </w:p>
    <w:p w:rsidR="002B48E0" w:rsidRPr="003E425B" w:rsidRDefault="003E425B" w:rsidP="0002647D">
      <w:pPr>
        <w:rPr>
          <w:rFonts w:ascii="Times New Roman" w:hAnsi="Times New Roman" w:cs="Times New Roman"/>
          <w:sz w:val="28"/>
        </w:rPr>
      </w:pPr>
    </w:p>
    <w:p w:rsidR="00651549" w:rsidRPr="003E425B" w:rsidRDefault="003E425B" w:rsidP="00B957B0">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En cualquier caso,</w:t>
      </w:r>
      <w:r w:rsidRPr="003E425B">
        <w:rPr>
          <w:rFonts w:ascii="Times New Roman" w:hAnsi="Times New Roman"/>
          <w:sz w:val="28"/>
        </w:rPr>
        <w:t xml:space="preserve"> </w:t>
      </w:r>
      <w:r w:rsidRPr="003E425B">
        <w:rPr>
          <w:rFonts w:ascii="Times New Roman" w:hAnsi="Times New Roman"/>
          <w:sz w:val="28"/>
        </w:rPr>
        <w:t>aun</w:t>
      </w:r>
      <w:r w:rsidRPr="003E425B">
        <w:rPr>
          <w:rFonts w:ascii="Times New Roman" w:hAnsi="Times New Roman"/>
          <w:sz w:val="28"/>
        </w:rPr>
        <w:t xml:space="preserve"> de aceptarse </w:t>
      </w:r>
      <w:r w:rsidRPr="003E425B">
        <w:rPr>
          <w:rFonts w:ascii="Times New Roman" w:hAnsi="Times New Roman"/>
          <w:sz w:val="28"/>
        </w:rPr>
        <w:t>la tesis de los demandantes</w:t>
      </w:r>
      <w:r w:rsidRPr="003E425B">
        <w:rPr>
          <w:rFonts w:ascii="Times New Roman" w:hAnsi="Times New Roman"/>
          <w:sz w:val="28"/>
        </w:rPr>
        <w:t>,</w:t>
      </w:r>
      <w:r w:rsidRPr="003E425B">
        <w:rPr>
          <w:rFonts w:ascii="Times New Roman" w:hAnsi="Times New Roman"/>
          <w:sz w:val="28"/>
        </w:rPr>
        <w:t xml:space="preserve"> según la cual </w:t>
      </w:r>
      <w:r w:rsidRPr="003E425B">
        <w:rPr>
          <w:rFonts w:ascii="Times New Roman" w:hAnsi="Times New Roman"/>
          <w:sz w:val="28"/>
        </w:rPr>
        <w:t>al momento</w:t>
      </w:r>
      <w:r w:rsidRPr="003E425B">
        <w:rPr>
          <w:rFonts w:ascii="Times New Roman" w:hAnsi="Times New Roman"/>
          <w:sz w:val="28"/>
        </w:rPr>
        <w:t xml:space="preserve"> exacto en que se llevó a cabo</w:t>
      </w:r>
      <w:r w:rsidRPr="003E425B">
        <w:rPr>
          <w:rFonts w:ascii="Times New Roman" w:hAnsi="Times New Roman"/>
          <w:sz w:val="28"/>
        </w:rPr>
        <w:t xml:space="preserve"> la votación ordinaria</w:t>
      </w:r>
      <w:r w:rsidRPr="003E425B">
        <w:rPr>
          <w:rFonts w:ascii="Times New Roman" w:hAnsi="Times New Roman"/>
          <w:sz w:val="28"/>
        </w:rPr>
        <w:t xml:space="preserve"> </w:t>
      </w:r>
      <w:r w:rsidRPr="003E425B">
        <w:rPr>
          <w:rFonts w:ascii="Times New Roman" w:hAnsi="Times New Roman"/>
          <w:sz w:val="28"/>
        </w:rPr>
        <w:t>sólo estaban presentes 9 de los 21 senadores</w:t>
      </w:r>
      <w:r w:rsidRPr="003E425B">
        <w:rPr>
          <w:rFonts w:ascii="Times New Roman" w:hAnsi="Times New Roman"/>
          <w:sz w:val="28"/>
        </w:rPr>
        <w:t xml:space="preserve"> que integran la Comisión Primera Constitucional del Senado</w:t>
      </w:r>
      <w:r w:rsidRPr="003E425B">
        <w:rPr>
          <w:rFonts w:ascii="Times New Roman" w:hAnsi="Times New Roman"/>
          <w:sz w:val="28"/>
        </w:rPr>
        <w:t xml:space="preserve">, </w:t>
      </w:r>
      <w:r w:rsidRPr="003E425B">
        <w:rPr>
          <w:rFonts w:ascii="Times New Roman" w:hAnsi="Times New Roman"/>
          <w:sz w:val="28"/>
        </w:rPr>
        <w:t xml:space="preserve">la Corte considera que la </w:t>
      </w:r>
      <w:r w:rsidRPr="003E425B">
        <w:rPr>
          <w:rFonts w:ascii="Times New Roman" w:hAnsi="Times New Roman"/>
          <w:sz w:val="28"/>
        </w:rPr>
        <w:t xml:space="preserve">supuesta </w:t>
      </w:r>
      <w:r w:rsidRPr="003E425B">
        <w:rPr>
          <w:rFonts w:ascii="Times New Roman" w:hAnsi="Times New Roman"/>
          <w:sz w:val="28"/>
        </w:rPr>
        <w:t>falta de aprobación</w:t>
      </w:r>
      <w:r w:rsidRPr="003E425B">
        <w:rPr>
          <w:rFonts w:ascii="Times New Roman" w:hAnsi="Times New Roman"/>
          <w:sz w:val="28"/>
        </w:rPr>
        <w:t xml:space="preserve"> </w:t>
      </w:r>
      <w:r w:rsidRPr="003E425B">
        <w:rPr>
          <w:rFonts w:ascii="Times New Roman" w:hAnsi="Times New Roman"/>
          <w:sz w:val="28"/>
        </w:rPr>
        <w:t xml:space="preserve">del informe de ponencia </w:t>
      </w:r>
      <w:r w:rsidRPr="003E425B">
        <w:rPr>
          <w:rFonts w:ascii="Times New Roman" w:hAnsi="Times New Roman"/>
          <w:sz w:val="28"/>
        </w:rPr>
        <w:t xml:space="preserve">conforme a las reglas </w:t>
      </w:r>
      <w:r w:rsidRPr="003E425B">
        <w:rPr>
          <w:rFonts w:ascii="Times New Roman" w:hAnsi="Times New Roman"/>
          <w:sz w:val="28"/>
        </w:rPr>
        <w:t xml:space="preserve">de quórum y mayorías </w:t>
      </w:r>
      <w:r w:rsidRPr="003E425B">
        <w:rPr>
          <w:rFonts w:ascii="Times New Roman" w:hAnsi="Times New Roman"/>
          <w:sz w:val="28"/>
        </w:rPr>
        <w:t xml:space="preserve">que de ahí se derivaría </w:t>
      </w:r>
      <w:r w:rsidRPr="003E425B">
        <w:rPr>
          <w:rFonts w:ascii="Times New Roman" w:hAnsi="Times New Roman"/>
          <w:sz w:val="28"/>
        </w:rPr>
        <w:t xml:space="preserve">sólo </w:t>
      </w:r>
      <w:r w:rsidRPr="003E425B">
        <w:rPr>
          <w:rFonts w:ascii="Times New Roman" w:hAnsi="Times New Roman"/>
          <w:sz w:val="28"/>
        </w:rPr>
        <w:t>constituiría una irregularidad</w:t>
      </w:r>
      <w:r w:rsidRPr="003E425B">
        <w:rPr>
          <w:rFonts w:ascii="Times New Roman" w:hAnsi="Times New Roman"/>
          <w:sz w:val="28"/>
        </w:rPr>
        <w:t xml:space="preserve">, no un vicio de procedimiento. </w:t>
      </w:r>
      <w:r w:rsidRPr="003E425B">
        <w:rPr>
          <w:rFonts w:ascii="Times New Roman" w:hAnsi="Times New Roman"/>
          <w:sz w:val="28"/>
        </w:rPr>
        <w:t>Lo anterior</w:t>
      </w:r>
      <w:r w:rsidRPr="003E425B">
        <w:rPr>
          <w:rFonts w:ascii="Times New Roman" w:hAnsi="Times New Roman"/>
          <w:sz w:val="28"/>
        </w:rPr>
        <w:t>, por</w:t>
      </w:r>
      <w:r w:rsidRPr="003E425B">
        <w:rPr>
          <w:rFonts w:ascii="Times New Roman" w:hAnsi="Times New Roman"/>
          <w:sz w:val="28"/>
        </w:rPr>
        <w:t>que</w:t>
      </w:r>
      <w:r w:rsidRPr="003E425B">
        <w:rPr>
          <w:rFonts w:ascii="Times New Roman" w:hAnsi="Times New Roman"/>
          <w:sz w:val="28"/>
        </w:rPr>
        <w:t xml:space="preserve"> </w:t>
      </w:r>
      <w:r w:rsidRPr="003E425B">
        <w:rPr>
          <w:rFonts w:ascii="Times New Roman" w:hAnsi="Times New Roman"/>
          <w:sz w:val="28"/>
        </w:rPr>
        <w:t xml:space="preserve">no </w:t>
      </w:r>
      <w:r w:rsidRPr="003E425B">
        <w:rPr>
          <w:rFonts w:ascii="Times New Roman" w:hAnsi="Times New Roman"/>
          <w:sz w:val="28"/>
        </w:rPr>
        <w:t>habría incidido</w:t>
      </w:r>
      <w:r w:rsidRPr="003E425B">
        <w:rPr>
          <w:rFonts w:ascii="Times New Roman" w:hAnsi="Times New Roman"/>
          <w:sz w:val="28"/>
        </w:rPr>
        <w:t xml:space="preserve"> </w:t>
      </w:r>
      <w:r w:rsidRPr="003E425B">
        <w:rPr>
          <w:rFonts w:ascii="Times New Roman" w:hAnsi="Times New Roman"/>
          <w:sz w:val="28"/>
        </w:rPr>
        <w:t>de f</w:t>
      </w:r>
      <w:r w:rsidRPr="003E425B">
        <w:rPr>
          <w:rFonts w:ascii="Times New Roman" w:hAnsi="Times New Roman"/>
          <w:sz w:val="28"/>
        </w:rPr>
        <w:t xml:space="preserve">orma sustancial y probada </w:t>
      </w:r>
      <w:r w:rsidRPr="003E425B">
        <w:rPr>
          <w:rFonts w:ascii="Times New Roman" w:hAnsi="Times New Roman"/>
          <w:sz w:val="28"/>
        </w:rPr>
        <w:t xml:space="preserve">en la formación de la voluntad </w:t>
      </w:r>
      <w:r w:rsidRPr="003E425B">
        <w:rPr>
          <w:rFonts w:ascii="Times New Roman" w:hAnsi="Times New Roman"/>
          <w:sz w:val="28"/>
        </w:rPr>
        <w:t>democrática</w:t>
      </w:r>
      <w:r w:rsidRPr="003E425B">
        <w:rPr>
          <w:rFonts w:ascii="Times New Roman" w:hAnsi="Times New Roman"/>
          <w:sz w:val="28"/>
        </w:rPr>
        <w:t xml:space="preserve">. Esto, puesto que: </w:t>
      </w:r>
      <w:r w:rsidRPr="003E425B">
        <w:rPr>
          <w:rFonts w:ascii="Times New Roman" w:hAnsi="Times New Roman"/>
          <w:i/>
          <w:iCs/>
          <w:sz w:val="28"/>
        </w:rPr>
        <w:t>(i)</w:t>
      </w:r>
      <w:r w:rsidRPr="003E425B">
        <w:rPr>
          <w:rFonts w:ascii="Times New Roman" w:hAnsi="Times New Roman"/>
          <w:sz w:val="28"/>
        </w:rPr>
        <w:t xml:space="preserve"> la aprobación del informe de ponencia </w:t>
      </w:r>
      <w:r w:rsidRPr="003E425B">
        <w:rPr>
          <w:rFonts w:ascii="Times New Roman" w:hAnsi="Times New Roman"/>
          <w:sz w:val="28"/>
        </w:rPr>
        <w:t xml:space="preserve">en las comisiones constitucionales </w:t>
      </w:r>
      <w:r w:rsidRPr="003E425B">
        <w:rPr>
          <w:rFonts w:ascii="Times New Roman" w:hAnsi="Times New Roman"/>
          <w:sz w:val="28"/>
        </w:rPr>
        <w:t xml:space="preserve">no es </w:t>
      </w:r>
      <w:r w:rsidRPr="003E425B">
        <w:rPr>
          <w:rFonts w:ascii="Times New Roman" w:hAnsi="Times New Roman"/>
          <w:sz w:val="28"/>
        </w:rPr>
        <w:t>obligatoria</w:t>
      </w:r>
      <w:r w:rsidRPr="003E425B">
        <w:rPr>
          <w:rFonts w:ascii="Times New Roman" w:hAnsi="Times New Roman"/>
          <w:sz w:val="28"/>
        </w:rPr>
        <w:t xml:space="preserve"> </w:t>
      </w:r>
      <w:r w:rsidRPr="003E425B">
        <w:rPr>
          <w:rFonts w:ascii="Times New Roman" w:hAnsi="Times New Roman"/>
          <w:sz w:val="28"/>
        </w:rPr>
        <w:t xml:space="preserve">y </w:t>
      </w:r>
      <w:r w:rsidRPr="003E425B">
        <w:rPr>
          <w:rFonts w:ascii="Times New Roman" w:hAnsi="Times New Roman"/>
          <w:i/>
          <w:iCs/>
          <w:sz w:val="28"/>
        </w:rPr>
        <w:t>(ii)</w:t>
      </w:r>
      <w:r w:rsidRPr="003E425B">
        <w:rPr>
          <w:rFonts w:ascii="Times New Roman" w:hAnsi="Times New Roman"/>
          <w:sz w:val="28"/>
        </w:rPr>
        <w:t xml:space="preserve"> </w:t>
      </w:r>
      <w:r w:rsidRPr="003E425B">
        <w:rPr>
          <w:rFonts w:ascii="Times New Roman" w:hAnsi="Times New Roman"/>
          <w:sz w:val="28"/>
        </w:rPr>
        <w:t xml:space="preserve">las pruebas que obran en </w:t>
      </w:r>
      <w:r w:rsidRPr="003E425B">
        <w:rPr>
          <w:rFonts w:ascii="Times New Roman" w:hAnsi="Times New Roman"/>
          <w:sz w:val="28"/>
        </w:rPr>
        <w:t>el</w:t>
      </w:r>
      <w:r w:rsidRPr="003E425B">
        <w:rPr>
          <w:rFonts w:ascii="Times New Roman" w:hAnsi="Times New Roman"/>
          <w:sz w:val="28"/>
        </w:rPr>
        <w:t xml:space="preserve"> expediente demuestran</w:t>
      </w:r>
      <w:r w:rsidRPr="003E425B">
        <w:rPr>
          <w:rFonts w:ascii="Times New Roman" w:hAnsi="Times New Roman"/>
          <w:sz w:val="28"/>
        </w:rPr>
        <w:t xml:space="preserve"> que </w:t>
      </w:r>
      <w:r w:rsidRPr="003E425B">
        <w:rPr>
          <w:rFonts w:ascii="Times New Roman" w:hAnsi="Times New Roman"/>
          <w:sz w:val="28"/>
        </w:rPr>
        <w:t xml:space="preserve">la Comisión </w:t>
      </w:r>
      <w:r w:rsidRPr="003E425B">
        <w:rPr>
          <w:rFonts w:ascii="Times New Roman" w:hAnsi="Times New Roman"/>
          <w:sz w:val="28"/>
        </w:rPr>
        <w:t>Constitucional Primera del Senado tenía la intención inequívoca de continuar con el trámite de la iniciativa</w:t>
      </w:r>
      <w:r w:rsidRPr="003E425B">
        <w:rPr>
          <w:rFonts w:ascii="Times New Roman" w:hAnsi="Times New Roman"/>
          <w:sz w:val="28"/>
        </w:rPr>
        <w:t>:</w:t>
      </w:r>
      <w:r w:rsidRPr="003E425B">
        <w:rPr>
          <w:rFonts w:ascii="Times New Roman" w:hAnsi="Times New Roman"/>
          <w:sz w:val="28"/>
        </w:rPr>
        <w:t xml:space="preserve"> </w:t>
      </w:r>
    </w:p>
    <w:p w:rsidR="00CD1003" w:rsidRPr="003E425B" w:rsidRDefault="003E425B" w:rsidP="00200B41">
      <w:pPr>
        <w:rPr>
          <w:rFonts w:ascii="Times New Roman" w:hAnsi="Times New Roman" w:cs="Times New Roman"/>
          <w:sz w:val="28"/>
        </w:rPr>
      </w:pPr>
    </w:p>
    <w:p w:rsidR="008E6CD8"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u w:val="single"/>
        </w:rPr>
        <w:t>Primer</w:t>
      </w:r>
      <w:r w:rsidRPr="003E425B">
        <w:rPr>
          <w:rFonts w:ascii="Times New Roman" w:hAnsi="Times New Roman"/>
          <w:sz w:val="28"/>
          <w:u w:val="single"/>
        </w:rPr>
        <w:t>o</w:t>
      </w:r>
      <w:r w:rsidRPr="003E425B">
        <w:rPr>
          <w:rFonts w:ascii="Times New Roman" w:hAnsi="Times New Roman"/>
          <w:sz w:val="28"/>
        </w:rPr>
        <w:t xml:space="preserve">. </w:t>
      </w:r>
      <w:r w:rsidRPr="003E425B">
        <w:rPr>
          <w:rFonts w:ascii="Times New Roman" w:hAnsi="Times New Roman"/>
          <w:sz w:val="28"/>
        </w:rPr>
        <w:t xml:space="preserve">La aprobación del informe de ponencia en las comisiones constitucionales permanentes no es </w:t>
      </w:r>
      <w:r w:rsidRPr="003E425B">
        <w:rPr>
          <w:rFonts w:ascii="Times New Roman" w:hAnsi="Times New Roman"/>
          <w:sz w:val="28"/>
        </w:rPr>
        <w:t>obligatoria</w:t>
      </w:r>
      <w:r w:rsidRPr="003E425B">
        <w:rPr>
          <w:rFonts w:ascii="Times New Roman" w:hAnsi="Times New Roman"/>
          <w:sz w:val="28"/>
        </w:rPr>
        <w:t xml:space="preserve">. </w:t>
      </w:r>
      <w:r w:rsidRPr="003E425B">
        <w:rPr>
          <w:rFonts w:ascii="Times New Roman" w:hAnsi="Times New Roman"/>
          <w:sz w:val="28"/>
        </w:rPr>
        <w:t>Por lo tanto,</w:t>
      </w:r>
      <w:r w:rsidRPr="003E425B">
        <w:rPr>
          <w:rFonts w:ascii="Times New Roman" w:hAnsi="Times New Roman"/>
          <w:sz w:val="28"/>
        </w:rPr>
        <w:t xml:space="preserve"> en este caso,</w:t>
      </w:r>
      <w:r w:rsidRPr="003E425B">
        <w:rPr>
          <w:rFonts w:ascii="Times New Roman" w:hAnsi="Times New Roman"/>
          <w:sz w:val="28"/>
        </w:rPr>
        <w:t xml:space="preserve"> la</w:t>
      </w:r>
      <w:r w:rsidRPr="003E425B">
        <w:rPr>
          <w:rFonts w:ascii="Times New Roman" w:hAnsi="Times New Roman"/>
          <w:sz w:val="28"/>
        </w:rPr>
        <w:t xml:space="preserve"> </w:t>
      </w:r>
      <w:r w:rsidRPr="003E425B">
        <w:rPr>
          <w:rFonts w:ascii="Times New Roman" w:hAnsi="Times New Roman"/>
          <w:sz w:val="28"/>
        </w:rPr>
        <w:t>presunta</w:t>
      </w:r>
      <w:r w:rsidRPr="003E425B">
        <w:rPr>
          <w:rFonts w:ascii="Times New Roman" w:hAnsi="Times New Roman"/>
          <w:sz w:val="28"/>
        </w:rPr>
        <w:t xml:space="preserve"> </w:t>
      </w:r>
      <w:r w:rsidRPr="003E425B">
        <w:rPr>
          <w:rFonts w:ascii="Times New Roman" w:hAnsi="Times New Roman"/>
          <w:sz w:val="28"/>
        </w:rPr>
        <w:t>no</w:t>
      </w:r>
      <w:r w:rsidRPr="003E425B">
        <w:rPr>
          <w:rFonts w:ascii="Times New Roman" w:hAnsi="Times New Roman"/>
          <w:sz w:val="28"/>
        </w:rPr>
        <w:t xml:space="preserve"> aprobación del informe de ponencia</w:t>
      </w:r>
      <w:r w:rsidRPr="003E425B">
        <w:rPr>
          <w:rFonts w:ascii="Times New Roman" w:hAnsi="Times New Roman"/>
          <w:sz w:val="28"/>
        </w:rPr>
        <w:t xml:space="preserve"> por la Comisión Constitucional Primera del Senado</w:t>
      </w:r>
      <w:r w:rsidRPr="003E425B">
        <w:rPr>
          <w:rFonts w:ascii="Times New Roman" w:hAnsi="Times New Roman"/>
          <w:sz w:val="28"/>
        </w:rPr>
        <w:t xml:space="preserve">, </w:t>
      </w:r>
      <w:r w:rsidRPr="003E425B">
        <w:rPr>
          <w:rFonts w:ascii="Times New Roman" w:hAnsi="Times New Roman"/>
          <w:sz w:val="28"/>
        </w:rPr>
        <w:t>por falta de quórum</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 xml:space="preserve">no tendría la entidad suficiente para </w:t>
      </w:r>
      <w:r w:rsidRPr="003E425B">
        <w:rPr>
          <w:rFonts w:ascii="Times New Roman" w:hAnsi="Times New Roman"/>
          <w:sz w:val="28"/>
        </w:rPr>
        <w:t>invalidar</w:t>
      </w:r>
      <w:r w:rsidRPr="003E425B">
        <w:rPr>
          <w:rFonts w:ascii="Times New Roman" w:hAnsi="Times New Roman"/>
          <w:sz w:val="28"/>
        </w:rPr>
        <w:t xml:space="preserve"> todo el </w:t>
      </w:r>
      <w:r w:rsidRPr="003E425B">
        <w:rPr>
          <w:rFonts w:ascii="Times New Roman" w:hAnsi="Times New Roman"/>
          <w:sz w:val="28"/>
        </w:rPr>
        <w:t>procedimiento</w:t>
      </w:r>
      <w:r w:rsidRPr="003E425B">
        <w:rPr>
          <w:rFonts w:ascii="Times New Roman" w:hAnsi="Times New Roman"/>
          <w:sz w:val="28"/>
        </w:rPr>
        <w:t xml:space="preserve"> </w:t>
      </w:r>
      <w:r w:rsidRPr="003E425B">
        <w:rPr>
          <w:rFonts w:ascii="Times New Roman" w:hAnsi="Times New Roman"/>
          <w:sz w:val="28"/>
        </w:rPr>
        <w:t>legislativo</w:t>
      </w:r>
      <w:r w:rsidRPr="003E425B">
        <w:rPr>
          <w:rFonts w:ascii="Times New Roman" w:hAnsi="Times New Roman"/>
          <w:sz w:val="28"/>
        </w:rPr>
        <w:t xml:space="preserve"> </w:t>
      </w:r>
      <w:r w:rsidRPr="003E425B">
        <w:rPr>
          <w:rFonts w:ascii="Times New Roman" w:hAnsi="Times New Roman"/>
          <w:sz w:val="28"/>
        </w:rPr>
        <w:t xml:space="preserve">que condujo a la expedición </w:t>
      </w:r>
      <w:r w:rsidRPr="003E425B">
        <w:rPr>
          <w:rFonts w:ascii="Times New Roman" w:hAnsi="Times New Roman"/>
          <w:sz w:val="28"/>
        </w:rPr>
        <w:t xml:space="preserve">de la </w:t>
      </w:r>
      <w:r w:rsidRPr="003E425B">
        <w:rPr>
          <w:rFonts w:ascii="Times New Roman" w:hAnsi="Times New Roman"/>
          <w:sz w:val="28"/>
        </w:rPr>
        <w:t>L</w:t>
      </w:r>
      <w:r w:rsidRPr="003E425B">
        <w:rPr>
          <w:rFonts w:ascii="Times New Roman" w:hAnsi="Times New Roman"/>
          <w:sz w:val="28"/>
        </w:rPr>
        <w:t xml:space="preserve">ey 2281 de 2023. </w:t>
      </w:r>
    </w:p>
    <w:p w:rsidR="008E6CD8" w:rsidRPr="003E425B" w:rsidRDefault="003E425B" w:rsidP="00836D07">
      <w:pPr>
        <w:rPr>
          <w:rFonts w:ascii="Times New Roman" w:hAnsi="Times New Roman" w:cs="Times New Roman"/>
          <w:sz w:val="28"/>
        </w:rPr>
      </w:pPr>
    </w:p>
    <w:p w:rsidR="00E9494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Corte </w:t>
      </w:r>
      <w:r w:rsidRPr="003E425B">
        <w:rPr>
          <w:rFonts w:ascii="Times New Roman" w:hAnsi="Times New Roman"/>
          <w:sz w:val="28"/>
        </w:rPr>
        <w:t>reconoce</w:t>
      </w:r>
      <w:r w:rsidRPr="003E425B">
        <w:rPr>
          <w:rFonts w:ascii="Times New Roman" w:hAnsi="Times New Roman"/>
          <w:sz w:val="28"/>
        </w:rPr>
        <w:t xml:space="preserve"> que el artículo 160 de la Constitución dispone que “[t]odo Proyecto de Ley o de Acto Legislativo deberá tener informe de ponencia en la respectiva comisión encargada de tramitarlo, y deberá dársele el curso correspondiente”. </w:t>
      </w:r>
      <w:r w:rsidRPr="003E425B">
        <w:rPr>
          <w:rFonts w:ascii="Times New Roman" w:hAnsi="Times New Roman"/>
          <w:sz w:val="28"/>
        </w:rPr>
        <w:t xml:space="preserve">Sin embargo, </w:t>
      </w:r>
      <w:r w:rsidRPr="003E425B">
        <w:rPr>
          <w:rFonts w:ascii="Times New Roman" w:hAnsi="Times New Roman"/>
          <w:sz w:val="28"/>
        </w:rPr>
        <w:t xml:space="preserve">no </w:t>
      </w:r>
      <w:r w:rsidRPr="003E425B">
        <w:rPr>
          <w:rFonts w:ascii="Times New Roman" w:hAnsi="Times New Roman"/>
          <w:sz w:val="28"/>
        </w:rPr>
        <w:t>prevé</w:t>
      </w:r>
      <w:r w:rsidRPr="003E425B">
        <w:rPr>
          <w:rFonts w:ascii="Times New Roman" w:hAnsi="Times New Roman"/>
          <w:sz w:val="28"/>
        </w:rPr>
        <w:t xml:space="preserve"> que</w:t>
      </w:r>
      <w:r w:rsidRPr="003E425B">
        <w:rPr>
          <w:rFonts w:ascii="Times New Roman" w:hAnsi="Times New Roman"/>
          <w:sz w:val="28"/>
        </w:rPr>
        <w:t xml:space="preserve"> la</w:t>
      </w:r>
      <w:r w:rsidRPr="003E425B">
        <w:rPr>
          <w:rFonts w:ascii="Times New Roman" w:hAnsi="Times New Roman"/>
          <w:sz w:val="28"/>
        </w:rPr>
        <w:t xml:space="preserve"> votación y</w:t>
      </w:r>
      <w:r w:rsidRPr="003E425B">
        <w:rPr>
          <w:rFonts w:ascii="Times New Roman" w:hAnsi="Times New Roman"/>
          <w:sz w:val="28"/>
        </w:rPr>
        <w:t xml:space="preserve"> </w:t>
      </w:r>
      <w:r w:rsidRPr="003E425B">
        <w:rPr>
          <w:rFonts w:ascii="Times New Roman" w:hAnsi="Times New Roman"/>
          <w:i/>
          <w:iCs/>
          <w:sz w:val="28"/>
        </w:rPr>
        <w:t>aprobación</w:t>
      </w:r>
      <w:r w:rsidRPr="003E425B">
        <w:rPr>
          <w:rFonts w:ascii="Times New Roman" w:hAnsi="Times New Roman"/>
          <w:sz w:val="28"/>
        </w:rPr>
        <w:t xml:space="preserve"> del informe de ponencia en las comisiones </w:t>
      </w:r>
      <w:r w:rsidRPr="003E425B">
        <w:rPr>
          <w:rFonts w:ascii="Times New Roman" w:hAnsi="Times New Roman"/>
          <w:sz w:val="28"/>
        </w:rPr>
        <w:t xml:space="preserve">constitucionales </w:t>
      </w:r>
      <w:r w:rsidRPr="003E425B">
        <w:rPr>
          <w:rFonts w:ascii="Times New Roman" w:hAnsi="Times New Roman"/>
          <w:sz w:val="28"/>
        </w:rPr>
        <w:t xml:space="preserve">sea </w:t>
      </w:r>
      <w:r w:rsidRPr="003E425B">
        <w:rPr>
          <w:rFonts w:ascii="Times New Roman" w:hAnsi="Times New Roman"/>
          <w:sz w:val="28"/>
        </w:rPr>
        <w:t>un requisito indispensable para la aprobación del proyecto de ley</w:t>
      </w:r>
      <w:r w:rsidRPr="003E425B">
        <w:rPr>
          <w:rFonts w:ascii="Times New Roman" w:hAnsi="Times New Roman"/>
          <w:sz w:val="28"/>
        </w:rPr>
        <w:t xml:space="preserve">. </w:t>
      </w:r>
      <w:r w:rsidRPr="003E425B">
        <w:rPr>
          <w:rFonts w:ascii="Times New Roman" w:hAnsi="Times New Roman"/>
          <w:sz w:val="28"/>
        </w:rPr>
        <w:t>Por el contrario, la Sala reitera que</w:t>
      </w:r>
      <w:r w:rsidRPr="003E425B">
        <w:rPr>
          <w:rFonts w:ascii="Times New Roman" w:hAnsi="Times New Roman"/>
          <w:sz w:val="28"/>
        </w:rPr>
        <w:t xml:space="preserve"> el inciso 4º del artículo 157 de la Ley 5ª de 1992</w:t>
      </w:r>
      <w:r w:rsidRPr="003E425B">
        <w:rPr>
          <w:rFonts w:ascii="Times New Roman" w:hAnsi="Times New Roman"/>
          <w:sz w:val="28"/>
        </w:rPr>
        <w:t xml:space="preserve"> </w:t>
      </w:r>
      <w:r w:rsidRPr="003E425B">
        <w:rPr>
          <w:rFonts w:ascii="Times New Roman" w:hAnsi="Times New Roman"/>
          <w:sz w:val="28"/>
        </w:rPr>
        <w:t>establece</w:t>
      </w:r>
      <w:r w:rsidRPr="003E425B">
        <w:rPr>
          <w:rFonts w:ascii="Times New Roman" w:hAnsi="Times New Roman"/>
          <w:sz w:val="28"/>
        </w:rPr>
        <w:t xml:space="preserve"> de forma expresa que la </w:t>
      </w:r>
      <w:r w:rsidRPr="003E425B">
        <w:rPr>
          <w:rFonts w:ascii="Times New Roman" w:hAnsi="Times New Roman"/>
          <w:sz w:val="28"/>
        </w:rPr>
        <w:t xml:space="preserve">votación y </w:t>
      </w:r>
      <w:r w:rsidRPr="003E425B">
        <w:rPr>
          <w:rFonts w:ascii="Times New Roman" w:hAnsi="Times New Roman"/>
          <w:sz w:val="28"/>
        </w:rPr>
        <w:t xml:space="preserve">aprobación del informe de ponencia en las comisiones constitucionales no es obligatoria. </w:t>
      </w:r>
      <w:r w:rsidRPr="003E425B">
        <w:rPr>
          <w:rFonts w:ascii="Times New Roman" w:hAnsi="Times New Roman"/>
          <w:sz w:val="28"/>
        </w:rPr>
        <w:t>Al respecto, señala que</w:t>
      </w:r>
      <w:r w:rsidRPr="003E425B">
        <w:rPr>
          <w:rFonts w:ascii="Times New Roman" w:hAnsi="Times New Roman"/>
          <w:sz w:val="28"/>
        </w:rPr>
        <w:t xml:space="preserve"> “</w:t>
      </w:r>
      <w:r w:rsidRPr="003E425B">
        <w:rPr>
          <w:rFonts w:ascii="Times New Roman" w:hAnsi="Times New Roman"/>
          <w:sz w:val="28"/>
        </w:rPr>
        <w:t>[s]</w:t>
      </w:r>
      <w:r w:rsidRPr="003E425B">
        <w:rPr>
          <w:rFonts w:ascii="Times New Roman" w:hAnsi="Times New Roman"/>
          <w:sz w:val="28"/>
        </w:rPr>
        <w:t>i el ponente propone debatir el proyecto, se procederá en consecuencia sin necesidad de votac</w:t>
      </w:r>
      <w:r w:rsidRPr="003E425B">
        <w:rPr>
          <w:rFonts w:ascii="Times New Roman" w:hAnsi="Times New Roman"/>
          <w:sz w:val="28"/>
        </w:rPr>
        <w:t>ión del informe</w:t>
      </w:r>
      <w:r w:rsidRPr="003E425B">
        <w:rPr>
          <w:rFonts w:ascii="Times New Roman" w:hAnsi="Times New Roman"/>
          <w:sz w:val="28"/>
        </w:rPr>
        <w:t>”</w:t>
      </w:r>
      <w:r w:rsidRPr="003E425B">
        <w:rPr>
          <w:rFonts w:ascii="Times New Roman" w:hAnsi="Times New Roman"/>
          <w:sz w:val="28"/>
        </w:rPr>
        <w:t>.</w:t>
      </w:r>
      <w:r w:rsidRPr="003E425B">
        <w:rPr>
          <w:rFonts w:ascii="Times New Roman" w:hAnsi="Times New Roman"/>
          <w:sz w:val="28"/>
        </w:rPr>
        <w:t xml:space="preserve"> </w:t>
      </w:r>
      <w:r w:rsidRPr="003E425B">
        <w:rPr>
          <w:rFonts w:ascii="Times New Roman" w:hAnsi="Times New Roman"/>
          <w:sz w:val="28"/>
        </w:rPr>
        <w:t>En criterio de la Sala, l</w:t>
      </w:r>
      <w:r w:rsidRPr="003E425B">
        <w:rPr>
          <w:rFonts w:ascii="Times New Roman" w:hAnsi="Times New Roman"/>
          <w:sz w:val="28"/>
        </w:rPr>
        <w:t xml:space="preserve">a </w:t>
      </w:r>
      <w:r w:rsidRPr="003E425B">
        <w:rPr>
          <w:rFonts w:ascii="Times New Roman" w:hAnsi="Times New Roman"/>
          <w:sz w:val="28"/>
        </w:rPr>
        <w:t xml:space="preserve">potestad </w:t>
      </w:r>
      <w:r w:rsidRPr="003E425B">
        <w:rPr>
          <w:rFonts w:ascii="Times New Roman" w:hAnsi="Times New Roman"/>
          <w:sz w:val="28"/>
        </w:rPr>
        <w:t xml:space="preserve">discrecional que el </w:t>
      </w:r>
      <w:r w:rsidRPr="003E425B">
        <w:rPr>
          <w:rFonts w:ascii="Times New Roman" w:hAnsi="Times New Roman"/>
          <w:sz w:val="28"/>
        </w:rPr>
        <w:t xml:space="preserve">legislador orgánico otorgó al ponente </w:t>
      </w:r>
      <w:r w:rsidRPr="003E425B">
        <w:rPr>
          <w:rFonts w:ascii="Times New Roman" w:hAnsi="Times New Roman"/>
          <w:sz w:val="28"/>
        </w:rPr>
        <w:t xml:space="preserve">para debatir </w:t>
      </w:r>
      <w:r w:rsidRPr="003E425B">
        <w:rPr>
          <w:rFonts w:ascii="Times New Roman" w:hAnsi="Times New Roman"/>
          <w:sz w:val="28"/>
        </w:rPr>
        <w:t xml:space="preserve">el </w:t>
      </w:r>
      <w:r w:rsidRPr="003E425B">
        <w:rPr>
          <w:rFonts w:ascii="Times New Roman" w:hAnsi="Times New Roman"/>
          <w:sz w:val="28"/>
        </w:rPr>
        <w:t xml:space="preserve">articulado </w:t>
      </w:r>
      <w:r w:rsidRPr="003E425B">
        <w:rPr>
          <w:rFonts w:ascii="Times New Roman" w:hAnsi="Times New Roman"/>
          <w:sz w:val="28"/>
        </w:rPr>
        <w:t xml:space="preserve">del proyecto de ley </w:t>
      </w:r>
      <w:r w:rsidRPr="003E425B">
        <w:rPr>
          <w:rFonts w:ascii="Times New Roman" w:hAnsi="Times New Roman"/>
          <w:sz w:val="28"/>
        </w:rPr>
        <w:t>su</w:t>
      </w:r>
      <w:r w:rsidRPr="003E425B">
        <w:rPr>
          <w:rFonts w:ascii="Times New Roman" w:hAnsi="Times New Roman"/>
          <w:sz w:val="28"/>
        </w:rPr>
        <w:t>pone</w:t>
      </w:r>
      <w:r w:rsidRPr="003E425B">
        <w:rPr>
          <w:rFonts w:ascii="Times New Roman" w:hAnsi="Times New Roman"/>
          <w:sz w:val="28"/>
        </w:rPr>
        <w:t xml:space="preserve"> que la aprobación </w:t>
      </w:r>
      <w:r w:rsidRPr="003E425B">
        <w:rPr>
          <w:rFonts w:ascii="Times New Roman" w:hAnsi="Times New Roman"/>
          <w:sz w:val="28"/>
        </w:rPr>
        <w:t>del informe de ponencia en la comisión e</w:t>
      </w:r>
      <w:r w:rsidRPr="003E425B">
        <w:rPr>
          <w:rFonts w:ascii="Times New Roman" w:hAnsi="Times New Roman"/>
          <w:sz w:val="28"/>
        </w:rPr>
        <w:t>s</w:t>
      </w:r>
      <w:r w:rsidRPr="003E425B">
        <w:rPr>
          <w:rFonts w:ascii="Times New Roman" w:hAnsi="Times New Roman"/>
          <w:sz w:val="28"/>
        </w:rPr>
        <w:t xml:space="preserve"> una etapa prescindible del trámite legislativo. </w:t>
      </w:r>
    </w:p>
    <w:p w:rsidR="00A2261D" w:rsidRPr="003E425B" w:rsidRDefault="003E425B" w:rsidP="00A2261D">
      <w:pPr>
        <w:pStyle w:val="Prrafodelista"/>
        <w:widowControl w:val="0"/>
        <w:tabs>
          <w:tab w:val="left" w:pos="567"/>
        </w:tabs>
        <w:spacing w:line="240" w:lineRule="auto"/>
        <w:ind w:left="0"/>
        <w:rPr>
          <w:rFonts w:ascii="Times New Roman" w:hAnsi="Times New Roman"/>
          <w:sz w:val="28"/>
        </w:rPr>
      </w:pPr>
    </w:p>
    <w:p w:rsidR="001B4E20"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Ahora bien</w:t>
      </w:r>
      <w:r w:rsidRPr="003E425B">
        <w:rPr>
          <w:rFonts w:ascii="Times New Roman" w:hAnsi="Times New Roman"/>
          <w:sz w:val="28"/>
        </w:rPr>
        <w:t>,</w:t>
      </w:r>
      <w:r w:rsidRPr="003E425B">
        <w:rPr>
          <w:rFonts w:ascii="Times New Roman" w:hAnsi="Times New Roman"/>
          <w:sz w:val="28"/>
        </w:rPr>
        <w:t xml:space="preserve"> la Sala Plena </w:t>
      </w:r>
      <w:r w:rsidRPr="003E425B">
        <w:rPr>
          <w:rFonts w:ascii="Times New Roman" w:hAnsi="Times New Roman"/>
          <w:sz w:val="28"/>
        </w:rPr>
        <w:t>advierte</w:t>
      </w:r>
      <w:r w:rsidRPr="003E425B">
        <w:rPr>
          <w:rFonts w:ascii="Times New Roman" w:hAnsi="Times New Roman"/>
          <w:sz w:val="28"/>
        </w:rPr>
        <w:t xml:space="preserve"> que el artículo 149 de la Constitución dispone que </w:t>
      </w:r>
      <w:r w:rsidRPr="003E425B">
        <w:rPr>
          <w:rFonts w:ascii="Times New Roman" w:hAnsi="Times New Roman"/>
          <w:sz w:val="28"/>
        </w:rPr>
        <w:t xml:space="preserve">“[t]oda reunión de miembros del Congreso que, con el propósito de ejercer funciones propias de la rama legislativa del </w:t>
      </w:r>
      <w:r w:rsidRPr="003E425B">
        <w:rPr>
          <w:rFonts w:ascii="Times New Roman" w:hAnsi="Times New Roman"/>
          <w:sz w:val="28"/>
        </w:rPr>
        <w:t xml:space="preserve">poder público, se efectúe fuera de las condiciones constitucionales, carecerá de validez; a los actos que realice no podrá dárseles efecto alguno, y quienes participen en las deliberaciones, serán sancionados conforme a las leyes”. Asimismo, </w:t>
      </w:r>
      <w:r w:rsidRPr="003E425B">
        <w:rPr>
          <w:rFonts w:ascii="Times New Roman" w:hAnsi="Times New Roman"/>
          <w:sz w:val="28"/>
        </w:rPr>
        <w:t>la Corte recon</w:t>
      </w:r>
      <w:r w:rsidRPr="003E425B">
        <w:rPr>
          <w:rFonts w:ascii="Times New Roman" w:hAnsi="Times New Roman"/>
          <w:sz w:val="28"/>
        </w:rPr>
        <w:t>oce</w:t>
      </w:r>
      <w:r w:rsidRPr="003E425B">
        <w:rPr>
          <w:rFonts w:ascii="Times New Roman" w:hAnsi="Times New Roman"/>
          <w:sz w:val="28"/>
        </w:rPr>
        <w:t xml:space="preserve"> que</w:t>
      </w:r>
      <w:r w:rsidRPr="003E425B">
        <w:rPr>
          <w:rFonts w:ascii="Times New Roman" w:hAnsi="Times New Roman"/>
          <w:sz w:val="28"/>
        </w:rPr>
        <w:t>, conforme al artículo</w:t>
      </w:r>
      <w:r w:rsidRPr="003E425B">
        <w:rPr>
          <w:rFonts w:ascii="Times New Roman" w:hAnsi="Times New Roman"/>
          <w:sz w:val="28"/>
        </w:rPr>
        <w:t xml:space="preserve"> 145 de la Constitución,</w:t>
      </w:r>
      <w:r w:rsidRPr="003E425B">
        <w:rPr>
          <w:rFonts w:ascii="Times New Roman" w:hAnsi="Times New Roman"/>
          <w:sz w:val="28"/>
        </w:rPr>
        <w:t xml:space="preserve"> una de las “condiciones</w:t>
      </w:r>
      <w:r w:rsidRPr="003E425B">
        <w:rPr>
          <w:rFonts w:ascii="Times New Roman" w:hAnsi="Times New Roman"/>
          <w:sz w:val="28"/>
        </w:rPr>
        <w:t xml:space="preserve"> constitucionales” </w:t>
      </w:r>
      <w:r w:rsidRPr="003E425B">
        <w:rPr>
          <w:rFonts w:ascii="Times New Roman" w:hAnsi="Times New Roman"/>
          <w:sz w:val="28"/>
        </w:rPr>
        <w:t>para</w:t>
      </w:r>
      <w:r w:rsidRPr="003E425B">
        <w:rPr>
          <w:rFonts w:ascii="Times New Roman" w:hAnsi="Times New Roman"/>
          <w:sz w:val="28"/>
        </w:rPr>
        <w:t xml:space="preserve"> llevar a cabo </w:t>
      </w:r>
      <w:r w:rsidRPr="003E425B">
        <w:rPr>
          <w:rFonts w:ascii="Times New Roman" w:hAnsi="Times New Roman"/>
          <w:sz w:val="28"/>
        </w:rPr>
        <w:t xml:space="preserve">las </w:t>
      </w:r>
      <w:r w:rsidRPr="003E425B">
        <w:rPr>
          <w:rFonts w:ascii="Times New Roman" w:hAnsi="Times New Roman"/>
          <w:sz w:val="28"/>
        </w:rPr>
        <w:t>reuni</w:t>
      </w:r>
      <w:r w:rsidRPr="003E425B">
        <w:rPr>
          <w:rFonts w:ascii="Times New Roman" w:hAnsi="Times New Roman"/>
          <w:sz w:val="28"/>
        </w:rPr>
        <w:t>ones</w:t>
      </w:r>
      <w:r w:rsidRPr="003E425B">
        <w:rPr>
          <w:rFonts w:ascii="Times New Roman" w:hAnsi="Times New Roman"/>
          <w:sz w:val="28"/>
        </w:rPr>
        <w:t xml:space="preserve"> de los miembros del Congreso de la República </w:t>
      </w:r>
      <w:r w:rsidRPr="003E425B">
        <w:rPr>
          <w:rFonts w:ascii="Times New Roman" w:hAnsi="Times New Roman"/>
          <w:sz w:val="28"/>
        </w:rPr>
        <w:t xml:space="preserve">es, justamente, que exista quórum decisorio. </w:t>
      </w:r>
    </w:p>
    <w:p w:rsidR="001B4E20" w:rsidRPr="003E425B" w:rsidRDefault="003E425B" w:rsidP="001B4E20">
      <w:pPr>
        <w:pStyle w:val="Prrafodelista"/>
        <w:rPr>
          <w:rFonts w:ascii="Times New Roman" w:hAnsi="Times New Roman"/>
          <w:sz w:val="28"/>
        </w:rPr>
      </w:pPr>
    </w:p>
    <w:p w:rsidR="00D94D27"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La Sala Plena considera, sin embarg</w:t>
      </w:r>
      <w:r w:rsidRPr="003E425B">
        <w:rPr>
          <w:rFonts w:ascii="Times New Roman" w:hAnsi="Times New Roman"/>
          <w:sz w:val="28"/>
        </w:rPr>
        <w:t xml:space="preserve">o, </w:t>
      </w:r>
      <w:r w:rsidRPr="003E425B">
        <w:rPr>
          <w:rFonts w:ascii="Times New Roman" w:hAnsi="Times New Roman"/>
          <w:sz w:val="28"/>
        </w:rPr>
        <w:t xml:space="preserve">que </w:t>
      </w:r>
      <w:r w:rsidRPr="003E425B">
        <w:rPr>
          <w:rFonts w:ascii="Times New Roman" w:hAnsi="Times New Roman"/>
          <w:sz w:val="28"/>
        </w:rPr>
        <w:t xml:space="preserve">los artículos 145 y 149 de la Constitución no </w:t>
      </w:r>
      <w:r w:rsidRPr="003E425B">
        <w:rPr>
          <w:rFonts w:ascii="Times New Roman" w:hAnsi="Times New Roman"/>
          <w:sz w:val="28"/>
        </w:rPr>
        <w:t>disponen que</w:t>
      </w:r>
      <w:r w:rsidRPr="003E425B">
        <w:rPr>
          <w:rFonts w:ascii="Times New Roman" w:hAnsi="Times New Roman"/>
          <w:sz w:val="28"/>
        </w:rPr>
        <w:t xml:space="preserve"> cualquier irregularidad en la adopción de una decisión en el trámite legislativo</w:t>
      </w:r>
      <w:r w:rsidRPr="003E425B">
        <w:rPr>
          <w:rFonts w:ascii="Times New Roman" w:hAnsi="Times New Roman"/>
          <w:sz w:val="28"/>
        </w:rPr>
        <w:t xml:space="preserve">, </w:t>
      </w:r>
      <w:r w:rsidRPr="003E425B">
        <w:rPr>
          <w:rFonts w:ascii="Times New Roman" w:hAnsi="Times New Roman"/>
          <w:sz w:val="28"/>
        </w:rPr>
        <w:t>derivada de la falta de quórum</w:t>
      </w:r>
      <w:r w:rsidRPr="003E425B">
        <w:rPr>
          <w:rFonts w:ascii="Times New Roman" w:hAnsi="Times New Roman"/>
          <w:sz w:val="28"/>
        </w:rPr>
        <w:t>,</w:t>
      </w:r>
      <w:r w:rsidRPr="003E425B">
        <w:rPr>
          <w:rFonts w:ascii="Times New Roman" w:hAnsi="Times New Roman"/>
          <w:sz w:val="28"/>
        </w:rPr>
        <w:t xml:space="preserve"> constituya, necesariamente, un vicio de procedimiento. </w:t>
      </w:r>
      <w:r w:rsidRPr="003E425B">
        <w:rPr>
          <w:rFonts w:ascii="Times New Roman" w:hAnsi="Times New Roman"/>
          <w:sz w:val="28"/>
        </w:rPr>
        <w:t>Los artículos 145 y 1</w:t>
      </w:r>
      <w:r w:rsidRPr="003E425B">
        <w:rPr>
          <w:rFonts w:ascii="Times New Roman" w:hAnsi="Times New Roman"/>
          <w:sz w:val="28"/>
        </w:rPr>
        <w:t xml:space="preserve">49 de la Constitución sólo </w:t>
      </w:r>
      <w:r w:rsidRPr="003E425B">
        <w:rPr>
          <w:rFonts w:ascii="Times New Roman" w:hAnsi="Times New Roman"/>
          <w:sz w:val="28"/>
        </w:rPr>
        <w:t>establecen</w:t>
      </w:r>
      <w:r w:rsidRPr="003E425B">
        <w:rPr>
          <w:rFonts w:ascii="Times New Roman" w:hAnsi="Times New Roman"/>
          <w:sz w:val="28"/>
        </w:rPr>
        <w:t xml:space="preserve"> que la decisión que se adopt</w:t>
      </w:r>
      <w:r w:rsidRPr="003E425B">
        <w:rPr>
          <w:rFonts w:ascii="Times New Roman" w:hAnsi="Times New Roman"/>
          <w:sz w:val="28"/>
        </w:rPr>
        <w:t>e</w:t>
      </w:r>
      <w:r w:rsidRPr="003E425B">
        <w:rPr>
          <w:rFonts w:ascii="Times New Roman" w:hAnsi="Times New Roman"/>
          <w:sz w:val="28"/>
        </w:rPr>
        <w:t xml:space="preserve"> sin quórum carece de validez y no produce efectos; no que dicha decisión vicie todo el procedimiento legislativo, que es cosa distinta. En este sentido, </w:t>
      </w:r>
      <w:r w:rsidRPr="003E425B">
        <w:rPr>
          <w:rFonts w:ascii="Times New Roman" w:hAnsi="Times New Roman"/>
          <w:sz w:val="28"/>
        </w:rPr>
        <w:t xml:space="preserve">aun </w:t>
      </w:r>
      <w:r w:rsidRPr="003E425B">
        <w:rPr>
          <w:rFonts w:ascii="Times New Roman" w:hAnsi="Times New Roman"/>
          <w:sz w:val="28"/>
        </w:rPr>
        <w:t>si se aceptara que, en este cas</w:t>
      </w:r>
      <w:r w:rsidRPr="003E425B">
        <w:rPr>
          <w:rFonts w:ascii="Times New Roman" w:hAnsi="Times New Roman"/>
          <w:sz w:val="28"/>
        </w:rPr>
        <w:t>o, no existía quórum al momento en que la Comisión Primera del Senado llevó cabo la votación ordinaria</w:t>
      </w:r>
      <w:r w:rsidRPr="003E425B">
        <w:rPr>
          <w:rFonts w:ascii="Times New Roman" w:hAnsi="Times New Roman"/>
          <w:sz w:val="28"/>
        </w:rPr>
        <w:t xml:space="preserve">, </w:t>
      </w:r>
      <w:r w:rsidRPr="003E425B">
        <w:rPr>
          <w:rFonts w:ascii="Times New Roman" w:hAnsi="Times New Roman"/>
          <w:sz w:val="28"/>
        </w:rPr>
        <w:t xml:space="preserve">esto </w:t>
      </w:r>
      <w:r w:rsidRPr="003E425B">
        <w:rPr>
          <w:rFonts w:ascii="Times New Roman" w:hAnsi="Times New Roman"/>
          <w:sz w:val="28"/>
        </w:rPr>
        <w:t xml:space="preserve">sólo </w:t>
      </w:r>
      <w:r w:rsidRPr="003E425B">
        <w:rPr>
          <w:rFonts w:ascii="Times New Roman" w:hAnsi="Times New Roman"/>
          <w:sz w:val="28"/>
        </w:rPr>
        <w:t>implicaría que la aprobación del informe de ponencia carec</w:t>
      </w:r>
      <w:r w:rsidRPr="003E425B">
        <w:rPr>
          <w:rFonts w:ascii="Times New Roman" w:hAnsi="Times New Roman"/>
          <w:sz w:val="28"/>
        </w:rPr>
        <w:t>ió</w:t>
      </w:r>
      <w:r w:rsidRPr="003E425B">
        <w:rPr>
          <w:rFonts w:ascii="Times New Roman" w:hAnsi="Times New Roman"/>
          <w:sz w:val="28"/>
        </w:rPr>
        <w:t xml:space="preserve"> de validez y no produ</w:t>
      </w:r>
      <w:r w:rsidRPr="003E425B">
        <w:rPr>
          <w:rFonts w:ascii="Times New Roman" w:hAnsi="Times New Roman"/>
          <w:sz w:val="28"/>
        </w:rPr>
        <w:t>jo</w:t>
      </w:r>
      <w:r w:rsidRPr="003E425B">
        <w:rPr>
          <w:rFonts w:ascii="Times New Roman" w:hAnsi="Times New Roman"/>
          <w:sz w:val="28"/>
        </w:rPr>
        <w:t xml:space="preserve"> efecto</w:t>
      </w:r>
      <w:r w:rsidRPr="003E425B">
        <w:rPr>
          <w:rFonts w:ascii="Times New Roman" w:hAnsi="Times New Roman"/>
          <w:sz w:val="28"/>
        </w:rPr>
        <w:t>s</w:t>
      </w:r>
      <w:r w:rsidRPr="003E425B">
        <w:rPr>
          <w:rFonts w:ascii="Times New Roman" w:hAnsi="Times New Roman"/>
          <w:sz w:val="28"/>
        </w:rPr>
        <w:t xml:space="preserve">. Sin embargo, de ahí no se sigue que todo el procedimiento legislativo de aprobación de la Ley 2281 de 2023 esté viciado. Por el contrario, </w:t>
      </w:r>
      <w:r w:rsidRPr="003E425B">
        <w:rPr>
          <w:rFonts w:ascii="Times New Roman" w:hAnsi="Times New Roman"/>
          <w:sz w:val="28"/>
        </w:rPr>
        <w:t xml:space="preserve">la Corte encuentra que, </w:t>
      </w:r>
      <w:r w:rsidRPr="003E425B">
        <w:rPr>
          <w:rFonts w:ascii="Times New Roman" w:hAnsi="Times New Roman"/>
          <w:sz w:val="28"/>
        </w:rPr>
        <w:t>en atención a</w:t>
      </w:r>
      <w:r w:rsidRPr="003E425B">
        <w:rPr>
          <w:rFonts w:ascii="Times New Roman" w:hAnsi="Times New Roman"/>
          <w:sz w:val="28"/>
        </w:rPr>
        <w:t xml:space="preserve"> que </w:t>
      </w:r>
      <w:r w:rsidRPr="003E425B">
        <w:rPr>
          <w:rFonts w:ascii="Times New Roman" w:hAnsi="Times New Roman"/>
          <w:sz w:val="28"/>
        </w:rPr>
        <w:t>el</w:t>
      </w:r>
      <w:r w:rsidRPr="003E425B">
        <w:rPr>
          <w:rFonts w:ascii="Times New Roman" w:hAnsi="Times New Roman"/>
          <w:sz w:val="28"/>
        </w:rPr>
        <w:t xml:space="preserve"> </w:t>
      </w:r>
      <w:r w:rsidRPr="003E425B">
        <w:rPr>
          <w:rFonts w:ascii="Times New Roman" w:hAnsi="Times New Roman"/>
          <w:sz w:val="28"/>
        </w:rPr>
        <w:t xml:space="preserve">inciso 4º del </w:t>
      </w:r>
      <w:r w:rsidRPr="003E425B">
        <w:rPr>
          <w:rFonts w:ascii="Times New Roman" w:hAnsi="Times New Roman"/>
          <w:sz w:val="28"/>
        </w:rPr>
        <w:t>artíc</w:t>
      </w:r>
      <w:r w:rsidRPr="003E425B">
        <w:rPr>
          <w:rFonts w:ascii="Times New Roman" w:hAnsi="Times New Roman"/>
          <w:sz w:val="28"/>
        </w:rPr>
        <w:t>u</w:t>
      </w:r>
      <w:r w:rsidRPr="003E425B">
        <w:rPr>
          <w:rFonts w:ascii="Times New Roman" w:hAnsi="Times New Roman"/>
          <w:sz w:val="28"/>
        </w:rPr>
        <w:t xml:space="preserve">lo 157 de la Ley </w:t>
      </w:r>
      <w:r w:rsidRPr="003E425B">
        <w:rPr>
          <w:rFonts w:ascii="Times New Roman" w:hAnsi="Times New Roman"/>
          <w:sz w:val="28"/>
        </w:rPr>
        <w:t>5ª de 1992</w:t>
      </w:r>
      <w:r w:rsidRPr="003E425B">
        <w:rPr>
          <w:rFonts w:ascii="Times New Roman" w:hAnsi="Times New Roman"/>
          <w:sz w:val="28"/>
        </w:rPr>
        <w:t xml:space="preserve"> dispone que </w:t>
      </w:r>
      <w:r w:rsidRPr="003E425B">
        <w:rPr>
          <w:rFonts w:ascii="Times New Roman" w:hAnsi="Times New Roman"/>
          <w:sz w:val="28"/>
        </w:rPr>
        <w:t>la aprobac</w:t>
      </w:r>
      <w:r w:rsidRPr="003E425B">
        <w:rPr>
          <w:rFonts w:ascii="Times New Roman" w:hAnsi="Times New Roman"/>
          <w:sz w:val="28"/>
        </w:rPr>
        <w:t xml:space="preserve">ión del informe de ponencia </w:t>
      </w:r>
      <w:r w:rsidRPr="003E425B">
        <w:rPr>
          <w:rFonts w:ascii="Times New Roman" w:hAnsi="Times New Roman"/>
          <w:sz w:val="28"/>
        </w:rPr>
        <w:t xml:space="preserve">no es obligatoria, la </w:t>
      </w:r>
      <w:r w:rsidRPr="003E425B">
        <w:rPr>
          <w:rFonts w:ascii="Times New Roman" w:hAnsi="Times New Roman"/>
          <w:sz w:val="28"/>
        </w:rPr>
        <w:t xml:space="preserve">presunta </w:t>
      </w:r>
      <w:r w:rsidRPr="003E425B">
        <w:rPr>
          <w:rFonts w:ascii="Times New Roman" w:hAnsi="Times New Roman"/>
          <w:sz w:val="28"/>
        </w:rPr>
        <w:t>falta de aprobación del informe de ponencia</w:t>
      </w:r>
      <w:r w:rsidRPr="003E425B">
        <w:rPr>
          <w:rFonts w:ascii="Times New Roman" w:hAnsi="Times New Roman"/>
          <w:sz w:val="28"/>
        </w:rPr>
        <w:t xml:space="preserve"> por la Comisión Primera Constitucional</w:t>
      </w:r>
      <w:r w:rsidRPr="003E425B">
        <w:rPr>
          <w:rFonts w:ascii="Times New Roman" w:hAnsi="Times New Roman"/>
          <w:sz w:val="28"/>
        </w:rPr>
        <w:t xml:space="preserve"> </w:t>
      </w:r>
      <w:r w:rsidRPr="003E425B">
        <w:rPr>
          <w:rFonts w:ascii="Times New Roman" w:hAnsi="Times New Roman"/>
          <w:sz w:val="28"/>
        </w:rPr>
        <w:t xml:space="preserve">del Senado </w:t>
      </w:r>
      <w:r w:rsidRPr="003E425B">
        <w:rPr>
          <w:rFonts w:ascii="Times New Roman" w:hAnsi="Times New Roman"/>
          <w:sz w:val="28"/>
        </w:rPr>
        <w:t xml:space="preserve">en este caso </w:t>
      </w:r>
      <w:r w:rsidRPr="003E425B">
        <w:rPr>
          <w:rFonts w:ascii="Times New Roman" w:hAnsi="Times New Roman"/>
          <w:sz w:val="28"/>
        </w:rPr>
        <w:t xml:space="preserve">no </w:t>
      </w:r>
      <w:r w:rsidRPr="003E425B">
        <w:rPr>
          <w:rFonts w:ascii="Times New Roman" w:hAnsi="Times New Roman"/>
          <w:sz w:val="28"/>
        </w:rPr>
        <w:t>habría incidido de forma sustancial en la formación de la voluntad democrática ni desco</w:t>
      </w:r>
      <w:r w:rsidRPr="003E425B">
        <w:rPr>
          <w:rFonts w:ascii="Times New Roman" w:hAnsi="Times New Roman"/>
          <w:sz w:val="28"/>
        </w:rPr>
        <w:t xml:space="preserve">nocido la estructura básica del procedimiento legislativo. </w:t>
      </w:r>
    </w:p>
    <w:p w:rsidR="00D94D27" w:rsidRPr="003E425B" w:rsidRDefault="003E425B" w:rsidP="00D94D27">
      <w:pPr>
        <w:pStyle w:val="Prrafodelista"/>
        <w:rPr>
          <w:rFonts w:ascii="Times New Roman" w:hAnsi="Times New Roman"/>
          <w:sz w:val="28"/>
        </w:rPr>
      </w:pPr>
    </w:p>
    <w:p w:rsidR="00DD5F18" w:rsidRPr="003E425B" w:rsidRDefault="003E425B" w:rsidP="00295F37">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u w:val="single"/>
        </w:rPr>
        <w:t>Segundo</w:t>
      </w:r>
      <w:r w:rsidRPr="003E425B">
        <w:rPr>
          <w:rFonts w:ascii="Times New Roman" w:hAnsi="Times New Roman"/>
          <w:sz w:val="28"/>
        </w:rPr>
        <w:t xml:space="preserve">. </w:t>
      </w:r>
      <w:r w:rsidRPr="003E425B">
        <w:rPr>
          <w:rFonts w:ascii="Times New Roman" w:hAnsi="Times New Roman"/>
          <w:sz w:val="28"/>
        </w:rPr>
        <w:t>Las pruebas que obran en el expediente demuestran que la Comisión Constitucional Primera del Senado tenía la intención inequívoca de continuar con el trámite de la iniciativ</w:t>
      </w:r>
      <w:r w:rsidRPr="003E425B">
        <w:rPr>
          <w:rFonts w:ascii="Times New Roman" w:hAnsi="Times New Roman"/>
          <w:sz w:val="28"/>
        </w:rPr>
        <w:t>a.</w:t>
      </w:r>
      <w:r w:rsidRPr="003E425B">
        <w:rPr>
          <w:rFonts w:ascii="Times New Roman" w:hAnsi="Times New Roman"/>
          <w:sz w:val="28"/>
        </w:rPr>
        <w:t xml:space="preserve"> </w:t>
      </w:r>
      <w:r w:rsidRPr="003E425B">
        <w:rPr>
          <w:rFonts w:ascii="Times New Roman" w:hAnsi="Times New Roman"/>
          <w:sz w:val="28"/>
        </w:rPr>
        <w:t xml:space="preserve">Esto, porque </w:t>
      </w:r>
      <w:r w:rsidRPr="003E425B">
        <w:rPr>
          <w:rFonts w:ascii="Times New Roman" w:hAnsi="Times New Roman"/>
          <w:sz w:val="28"/>
        </w:rPr>
        <w:t xml:space="preserve">en la misma sesión, </w:t>
      </w:r>
      <w:r w:rsidRPr="003E425B">
        <w:rPr>
          <w:rFonts w:ascii="Times New Roman" w:hAnsi="Times New Roman"/>
          <w:sz w:val="28"/>
        </w:rPr>
        <w:t>apenas</w:t>
      </w:r>
      <w:r w:rsidRPr="003E425B">
        <w:rPr>
          <w:rFonts w:ascii="Times New Roman" w:hAnsi="Times New Roman"/>
          <w:sz w:val="28"/>
        </w:rPr>
        <w:t xml:space="preserve"> una hora</w:t>
      </w:r>
      <w:r w:rsidRPr="003E425B">
        <w:rPr>
          <w:rFonts w:ascii="Times New Roman" w:hAnsi="Times New Roman"/>
          <w:sz w:val="28"/>
        </w:rPr>
        <w:t xml:space="preserve"> antes de votar la proposición positiva con la que terminaba el informe de ponencia, la</w:t>
      </w:r>
      <w:r w:rsidRPr="003E425B">
        <w:rPr>
          <w:rFonts w:ascii="Times New Roman" w:hAnsi="Times New Roman"/>
          <w:sz w:val="28"/>
        </w:rPr>
        <w:t xml:space="preserve"> Comisión Primera </w:t>
      </w:r>
      <w:r w:rsidRPr="003E425B">
        <w:rPr>
          <w:rFonts w:ascii="Times New Roman" w:hAnsi="Times New Roman"/>
          <w:sz w:val="28"/>
        </w:rPr>
        <w:t xml:space="preserve">Constitucional </w:t>
      </w:r>
      <w:r w:rsidRPr="003E425B">
        <w:rPr>
          <w:rFonts w:ascii="Times New Roman" w:hAnsi="Times New Roman"/>
          <w:sz w:val="28"/>
        </w:rPr>
        <w:t>del Senado había rechazado</w:t>
      </w:r>
      <w:r w:rsidRPr="003E425B">
        <w:rPr>
          <w:rFonts w:ascii="Times New Roman" w:hAnsi="Times New Roman"/>
          <w:sz w:val="28"/>
        </w:rPr>
        <w:t>, mediante votación nominal y pública</w:t>
      </w:r>
      <w:r w:rsidRPr="003E425B">
        <w:rPr>
          <w:rFonts w:ascii="Times New Roman" w:hAnsi="Times New Roman"/>
          <w:sz w:val="28"/>
        </w:rPr>
        <w:t>,</w:t>
      </w:r>
      <w:r w:rsidRPr="003E425B">
        <w:rPr>
          <w:rFonts w:ascii="Times New Roman" w:hAnsi="Times New Roman"/>
          <w:sz w:val="28"/>
        </w:rPr>
        <w:t xml:space="preserve"> dos proposiciones negativas de archivo</w:t>
      </w:r>
      <w:r w:rsidRPr="003E425B">
        <w:rPr>
          <w:rFonts w:ascii="Times New Roman" w:hAnsi="Times New Roman"/>
          <w:sz w:val="28"/>
        </w:rPr>
        <w:t xml:space="preserve"> del proyecto de ley</w:t>
      </w:r>
      <w:r w:rsidRPr="003E425B">
        <w:rPr>
          <w:rFonts w:ascii="Times New Roman" w:hAnsi="Times New Roman"/>
          <w:sz w:val="28"/>
        </w:rPr>
        <w:t xml:space="preserve">. En </w:t>
      </w:r>
      <w:r w:rsidRPr="003E425B">
        <w:rPr>
          <w:rFonts w:ascii="Times New Roman" w:hAnsi="Times New Roman"/>
          <w:sz w:val="28"/>
        </w:rPr>
        <w:t xml:space="preserve">efecto, la Sala advierte que </w:t>
      </w:r>
      <w:r w:rsidRPr="003E425B">
        <w:rPr>
          <w:rFonts w:ascii="Times New Roman" w:hAnsi="Times New Roman"/>
          <w:sz w:val="28"/>
        </w:rPr>
        <w:t xml:space="preserve">el Acta Conjunta número 3 de la sesión de 24 de noviembre de 2022 evidencia que, a las 11:37 </w:t>
      </w:r>
      <w:r w:rsidRPr="003E425B">
        <w:rPr>
          <w:rFonts w:ascii="Times New Roman" w:hAnsi="Times New Roman"/>
          <w:sz w:val="28"/>
        </w:rPr>
        <w:t>a.m.</w:t>
      </w:r>
      <w:r w:rsidRPr="003E425B">
        <w:rPr>
          <w:rFonts w:ascii="Times New Roman" w:hAnsi="Times New Roman"/>
          <w:sz w:val="28"/>
        </w:rPr>
        <w:t xml:space="preserve">, </w:t>
      </w:r>
      <w:r w:rsidRPr="003E425B">
        <w:rPr>
          <w:rFonts w:ascii="Times New Roman" w:hAnsi="Times New Roman"/>
          <w:sz w:val="28"/>
        </w:rPr>
        <w:t>se votaron</w:t>
      </w:r>
      <w:r w:rsidRPr="003E425B">
        <w:rPr>
          <w:rFonts w:ascii="Times New Roman" w:hAnsi="Times New Roman"/>
          <w:sz w:val="28"/>
        </w:rPr>
        <w:t>, de forma nominal y pública,</w:t>
      </w:r>
      <w:r w:rsidRPr="003E425B">
        <w:rPr>
          <w:rFonts w:ascii="Times New Roman" w:hAnsi="Times New Roman"/>
          <w:sz w:val="28"/>
        </w:rPr>
        <w:t xml:space="preserve"> las</w:t>
      </w:r>
      <w:r w:rsidRPr="003E425B">
        <w:rPr>
          <w:rFonts w:ascii="Times New Roman" w:hAnsi="Times New Roman"/>
          <w:sz w:val="28"/>
        </w:rPr>
        <w:t xml:space="preserve"> proposiciones</w:t>
      </w:r>
      <w:r w:rsidRPr="003E425B">
        <w:rPr>
          <w:rFonts w:ascii="Times New Roman" w:hAnsi="Times New Roman"/>
          <w:sz w:val="28"/>
        </w:rPr>
        <w:t xml:space="preserve"> </w:t>
      </w:r>
      <w:r w:rsidRPr="003E425B">
        <w:rPr>
          <w:rFonts w:ascii="Times New Roman" w:hAnsi="Times New Roman"/>
          <w:sz w:val="28"/>
        </w:rPr>
        <w:t>negati</w:t>
      </w:r>
      <w:r w:rsidRPr="003E425B">
        <w:rPr>
          <w:rFonts w:ascii="Times New Roman" w:hAnsi="Times New Roman"/>
          <w:sz w:val="28"/>
        </w:rPr>
        <w:t xml:space="preserve">vas y </w:t>
      </w:r>
      <w:r w:rsidRPr="003E425B">
        <w:rPr>
          <w:rFonts w:ascii="Times New Roman" w:hAnsi="Times New Roman"/>
          <w:sz w:val="28"/>
        </w:rPr>
        <w:t xml:space="preserve">de archivo que presentaron </w:t>
      </w:r>
      <w:r w:rsidRPr="003E425B">
        <w:rPr>
          <w:rFonts w:ascii="Times New Roman" w:hAnsi="Times New Roman"/>
          <w:sz w:val="28"/>
        </w:rPr>
        <w:t xml:space="preserve">la </w:t>
      </w:r>
      <w:r w:rsidRPr="003E425B">
        <w:rPr>
          <w:rFonts w:ascii="Times New Roman" w:hAnsi="Times New Roman"/>
          <w:sz w:val="28"/>
        </w:rPr>
        <w:t>senadora María Fernanda Cabal y el representante a la Cámara Miguel Polo Polo.</w:t>
      </w:r>
      <w:r w:rsidRPr="003E425B">
        <w:rPr>
          <w:rFonts w:ascii="Times New Roman" w:hAnsi="Times New Roman"/>
          <w:sz w:val="28"/>
        </w:rPr>
        <w:t xml:space="preserve"> De acuerdo con el acta, la Comisión Primera</w:t>
      </w:r>
      <w:r w:rsidRPr="003E425B">
        <w:rPr>
          <w:rFonts w:ascii="Times New Roman" w:hAnsi="Times New Roman"/>
          <w:sz w:val="28"/>
        </w:rPr>
        <w:t xml:space="preserve"> Constitucional</w:t>
      </w:r>
      <w:r w:rsidRPr="003E425B">
        <w:rPr>
          <w:rFonts w:ascii="Times New Roman" w:hAnsi="Times New Roman"/>
          <w:sz w:val="28"/>
        </w:rPr>
        <w:t xml:space="preserve"> del Senado rechazó estas proposiciones con 11 votos, es decir, con quórum decisori</w:t>
      </w:r>
      <w:r w:rsidRPr="003E425B">
        <w:rPr>
          <w:rFonts w:ascii="Times New Roman" w:hAnsi="Times New Roman"/>
          <w:sz w:val="28"/>
        </w:rPr>
        <w:t xml:space="preserve">o y </w:t>
      </w:r>
      <w:r w:rsidRPr="003E425B">
        <w:rPr>
          <w:rFonts w:ascii="Times New Roman" w:hAnsi="Times New Roman"/>
          <w:sz w:val="28"/>
        </w:rPr>
        <w:t xml:space="preserve">por </w:t>
      </w:r>
      <w:r w:rsidRPr="003E425B">
        <w:rPr>
          <w:rFonts w:ascii="Times New Roman" w:hAnsi="Times New Roman"/>
          <w:sz w:val="28"/>
        </w:rPr>
        <w:t xml:space="preserve">mayoría absoluta. </w:t>
      </w:r>
      <w:r w:rsidRPr="003E425B">
        <w:rPr>
          <w:rFonts w:ascii="Times New Roman" w:hAnsi="Times New Roman"/>
          <w:sz w:val="28"/>
        </w:rPr>
        <w:t xml:space="preserve">En </w:t>
      </w:r>
      <w:r w:rsidRPr="003E425B">
        <w:rPr>
          <w:rFonts w:ascii="Times New Roman" w:hAnsi="Times New Roman"/>
          <w:sz w:val="28"/>
        </w:rPr>
        <w:t>criterio de la Sala,</w:t>
      </w:r>
      <w:r w:rsidRPr="003E425B">
        <w:rPr>
          <w:rFonts w:ascii="Times New Roman" w:hAnsi="Times New Roman"/>
          <w:sz w:val="28"/>
        </w:rPr>
        <w:t xml:space="preserve"> </w:t>
      </w:r>
      <w:r w:rsidRPr="003E425B">
        <w:rPr>
          <w:rFonts w:ascii="Times New Roman" w:hAnsi="Times New Roman"/>
          <w:sz w:val="28"/>
        </w:rPr>
        <w:t>el rechazo de las proposiciones de archiv</w:t>
      </w:r>
      <w:r w:rsidRPr="003E425B">
        <w:rPr>
          <w:rFonts w:ascii="Times New Roman" w:hAnsi="Times New Roman"/>
          <w:sz w:val="28"/>
        </w:rPr>
        <w:t>o</w:t>
      </w:r>
      <w:r w:rsidRPr="003E425B">
        <w:rPr>
          <w:rFonts w:ascii="Times New Roman" w:hAnsi="Times New Roman"/>
          <w:sz w:val="28"/>
        </w:rPr>
        <w:t xml:space="preserve"> demuestra que la </w:t>
      </w:r>
      <w:r w:rsidRPr="003E425B">
        <w:rPr>
          <w:rFonts w:ascii="Times New Roman" w:hAnsi="Times New Roman"/>
          <w:sz w:val="28"/>
        </w:rPr>
        <w:t xml:space="preserve">voluntad de la </w:t>
      </w:r>
      <w:r w:rsidRPr="003E425B">
        <w:rPr>
          <w:rFonts w:ascii="Times New Roman" w:hAnsi="Times New Roman"/>
          <w:sz w:val="28"/>
        </w:rPr>
        <w:t>Comisión Constitucional Primera del Senado</w:t>
      </w:r>
      <w:r w:rsidRPr="003E425B">
        <w:rPr>
          <w:rFonts w:ascii="Times New Roman" w:hAnsi="Times New Roman"/>
          <w:sz w:val="28"/>
        </w:rPr>
        <w:t xml:space="preserve"> tenía </w:t>
      </w:r>
      <w:r w:rsidRPr="003E425B">
        <w:rPr>
          <w:rFonts w:ascii="Times New Roman" w:hAnsi="Times New Roman"/>
          <w:sz w:val="28"/>
        </w:rPr>
        <w:t>era</w:t>
      </w:r>
      <w:r w:rsidRPr="003E425B">
        <w:rPr>
          <w:rFonts w:ascii="Times New Roman" w:hAnsi="Times New Roman"/>
          <w:sz w:val="28"/>
        </w:rPr>
        <w:t xml:space="preserve"> continuar con el trámite de la iniciativa</w:t>
      </w:r>
      <w:r w:rsidRPr="003E425B">
        <w:rPr>
          <w:rFonts w:ascii="Times New Roman" w:hAnsi="Times New Roman"/>
          <w:sz w:val="28"/>
        </w:rPr>
        <w:t xml:space="preserve">, no hundir el proyecto de ley. </w:t>
      </w:r>
      <w:r w:rsidRPr="003E425B">
        <w:rPr>
          <w:rFonts w:ascii="Times New Roman" w:hAnsi="Times New Roman"/>
          <w:sz w:val="28"/>
        </w:rPr>
        <w:t xml:space="preserve"> </w:t>
      </w:r>
    </w:p>
    <w:p w:rsidR="00DD5F18" w:rsidRPr="003E425B" w:rsidRDefault="003E425B" w:rsidP="00670719">
      <w:pPr>
        <w:pStyle w:val="Prrafodelista"/>
        <w:widowControl w:val="0"/>
        <w:tabs>
          <w:tab w:val="left" w:pos="567"/>
        </w:tabs>
        <w:spacing w:line="240" w:lineRule="auto"/>
        <w:ind w:left="0"/>
        <w:rPr>
          <w:rFonts w:ascii="Times New Roman" w:hAnsi="Times New Roman"/>
          <w:sz w:val="28"/>
        </w:rPr>
      </w:pPr>
    </w:p>
    <w:p w:rsidR="00033793" w:rsidRPr="003E425B" w:rsidRDefault="003E425B" w:rsidP="00033793">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sz w:val="28"/>
        </w:rPr>
        <w:t>Po</w:t>
      </w:r>
      <w:r w:rsidRPr="003E425B">
        <w:rPr>
          <w:rFonts w:ascii="Times New Roman" w:hAnsi="Times New Roman"/>
          <w:sz w:val="28"/>
        </w:rPr>
        <w:t>r lo demás</w:t>
      </w:r>
      <w:r w:rsidRPr="003E425B">
        <w:rPr>
          <w:rFonts w:ascii="Times New Roman" w:hAnsi="Times New Roman"/>
          <w:sz w:val="28"/>
        </w:rPr>
        <w:t xml:space="preserve">, </w:t>
      </w:r>
      <w:r w:rsidRPr="003E425B">
        <w:rPr>
          <w:rFonts w:ascii="Times New Roman" w:hAnsi="Times New Roman"/>
          <w:sz w:val="28"/>
        </w:rPr>
        <w:t xml:space="preserve">la Sala </w:t>
      </w:r>
      <w:r w:rsidRPr="003E425B">
        <w:rPr>
          <w:rFonts w:ascii="Times New Roman" w:hAnsi="Times New Roman"/>
          <w:sz w:val="28"/>
        </w:rPr>
        <w:t>advierte</w:t>
      </w:r>
      <w:r w:rsidRPr="003E425B">
        <w:rPr>
          <w:rFonts w:ascii="Times New Roman" w:hAnsi="Times New Roman"/>
          <w:sz w:val="28"/>
        </w:rPr>
        <w:t xml:space="preserve"> que </w:t>
      </w:r>
      <w:r w:rsidRPr="003E425B">
        <w:rPr>
          <w:rFonts w:ascii="Times New Roman" w:hAnsi="Times New Roman"/>
          <w:sz w:val="28"/>
        </w:rPr>
        <w:t>las pruebas aportadas al expediente dem</w:t>
      </w:r>
      <w:r w:rsidRPr="003E425B">
        <w:rPr>
          <w:rFonts w:ascii="Times New Roman" w:hAnsi="Times New Roman"/>
          <w:sz w:val="28"/>
        </w:rPr>
        <w:t>uestran</w:t>
      </w:r>
      <w:r w:rsidRPr="003E425B">
        <w:rPr>
          <w:rFonts w:ascii="Times New Roman" w:hAnsi="Times New Roman"/>
          <w:sz w:val="28"/>
        </w:rPr>
        <w:t xml:space="preserve"> que luego</w:t>
      </w:r>
      <w:r w:rsidRPr="003E425B">
        <w:rPr>
          <w:rFonts w:ascii="Times New Roman" w:hAnsi="Times New Roman"/>
          <w:sz w:val="28"/>
        </w:rPr>
        <w:t xml:space="preserve"> de la votación ordinaria</w:t>
      </w:r>
      <w:r w:rsidRPr="003E425B">
        <w:rPr>
          <w:rFonts w:ascii="Times New Roman" w:hAnsi="Times New Roman"/>
          <w:sz w:val="28"/>
        </w:rPr>
        <w:t xml:space="preserve">, al debatir el articulado, </w:t>
      </w:r>
      <w:r w:rsidRPr="003E425B">
        <w:rPr>
          <w:rFonts w:ascii="Times New Roman" w:hAnsi="Times New Roman"/>
          <w:sz w:val="28"/>
        </w:rPr>
        <w:t>el Congreso de la república</w:t>
      </w:r>
      <w:r w:rsidRPr="003E425B">
        <w:rPr>
          <w:rFonts w:ascii="Times New Roman" w:hAnsi="Times New Roman"/>
          <w:sz w:val="28"/>
        </w:rPr>
        <w:t xml:space="preserve"> aprobó todos los artículos del proyecto de ley conforme a las reglas de quórum y mayorías exigibles.</w:t>
      </w:r>
      <w:r w:rsidRPr="003E425B">
        <w:rPr>
          <w:rFonts w:ascii="Times New Roman" w:hAnsi="Times New Roman"/>
          <w:sz w:val="28"/>
        </w:rPr>
        <w:t xml:space="preserve"> En particular, la Sala</w:t>
      </w:r>
      <w:r w:rsidRPr="003E425B">
        <w:rPr>
          <w:rFonts w:ascii="Times New Roman" w:hAnsi="Times New Roman"/>
          <w:sz w:val="28"/>
        </w:rPr>
        <w:t xml:space="preserve"> </w:t>
      </w:r>
      <w:r w:rsidRPr="003E425B">
        <w:rPr>
          <w:rFonts w:ascii="Times New Roman" w:hAnsi="Times New Roman"/>
          <w:sz w:val="28"/>
        </w:rPr>
        <w:t>resalta</w:t>
      </w:r>
      <w:r w:rsidRPr="003E425B">
        <w:rPr>
          <w:rFonts w:ascii="Times New Roman" w:hAnsi="Times New Roman"/>
          <w:sz w:val="28"/>
        </w:rPr>
        <w:t xml:space="preserve"> que el artículo 12 de la </w:t>
      </w:r>
      <w:r w:rsidRPr="003E425B">
        <w:rPr>
          <w:rFonts w:ascii="Times New Roman" w:hAnsi="Times New Roman"/>
          <w:sz w:val="28"/>
        </w:rPr>
        <w:t>L</w:t>
      </w:r>
      <w:r w:rsidRPr="003E425B">
        <w:rPr>
          <w:rFonts w:ascii="Times New Roman" w:hAnsi="Times New Roman"/>
          <w:sz w:val="28"/>
        </w:rPr>
        <w:t>ey 2281 de 2023</w:t>
      </w:r>
      <w:r w:rsidRPr="003E425B">
        <w:rPr>
          <w:rFonts w:ascii="Times New Roman" w:hAnsi="Times New Roman"/>
          <w:sz w:val="28"/>
        </w:rPr>
        <w:t>,</w:t>
      </w:r>
      <w:r w:rsidRPr="003E425B">
        <w:rPr>
          <w:rFonts w:ascii="Times New Roman" w:hAnsi="Times New Roman"/>
          <w:sz w:val="28"/>
        </w:rPr>
        <w:t xml:space="preserve"> mediante el cual se confirieron facultades extraordinarias al Presidente de la R</w:t>
      </w:r>
      <w:r w:rsidRPr="003E425B">
        <w:rPr>
          <w:rFonts w:ascii="Times New Roman" w:hAnsi="Times New Roman"/>
          <w:sz w:val="28"/>
        </w:rPr>
        <w:t xml:space="preserve">epública, fue aprobado por mayoría absoluta </w:t>
      </w:r>
      <w:r w:rsidRPr="003E425B">
        <w:rPr>
          <w:rFonts w:ascii="Times New Roman" w:hAnsi="Times New Roman"/>
          <w:sz w:val="28"/>
        </w:rPr>
        <w:t>por</w:t>
      </w:r>
      <w:r w:rsidRPr="003E425B">
        <w:rPr>
          <w:rFonts w:ascii="Times New Roman" w:hAnsi="Times New Roman"/>
          <w:sz w:val="28"/>
        </w:rPr>
        <w:t xml:space="preserve"> la Comisión Constitucional Primera del Senado, </w:t>
      </w:r>
      <w:r w:rsidRPr="003E425B">
        <w:rPr>
          <w:rFonts w:ascii="Times New Roman" w:hAnsi="Times New Roman"/>
          <w:sz w:val="28"/>
        </w:rPr>
        <w:t xml:space="preserve">la Comisión Primera Constitucional de la Cámara de Representantes, </w:t>
      </w:r>
      <w:r w:rsidRPr="003E425B">
        <w:rPr>
          <w:rFonts w:ascii="Times New Roman" w:hAnsi="Times New Roman"/>
          <w:sz w:val="28"/>
        </w:rPr>
        <w:t xml:space="preserve">así como por las plenarias del Senado de la República y la Cámara de Representantes. </w:t>
      </w:r>
      <w:r w:rsidRPr="003E425B">
        <w:rPr>
          <w:rFonts w:ascii="Times New Roman" w:hAnsi="Times New Roman"/>
          <w:sz w:val="28"/>
        </w:rPr>
        <w:t>En efecto</w:t>
      </w:r>
      <w:r w:rsidRPr="003E425B">
        <w:rPr>
          <w:rFonts w:ascii="Times New Roman" w:hAnsi="Times New Roman"/>
          <w:sz w:val="28"/>
        </w:rPr>
        <w:t xml:space="preserve">, </w:t>
      </w:r>
      <w:r w:rsidRPr="003E425B">
        <w:rPr>
          <w:rFonts w:ascii="Times New Roman" w:hAnsi="Times New Roman"/>
          <w:sz w:val="28"/>
        </w:rPr>
        <w:t>conforme a la información contenid</w:t>
      </w:r>
      <w:r w:rsidRPr="003E425B">
        <w:rPr>
          <w:rFonts w:ascii="Times New Roman" w:hAnsi="Times New Roman"/>
          <w:sz w:val="28"/>
        </w:rPr>
        <w:t>a</w:t>
      </w:r>
      <w:r w:rsidRPr="003E425B">
        <w:rPr>
          <w:rFonts w:ascii="Times New Roman" w:hAnsi="Times New Roman"/>
          <w:sz w:val="28"/>
        </w:rPr>
        <w:t xml:space="preserve"> en las actas de las sesiones, que reposa en la Gaceta del Congreso, </w:t>
      </w:r>
      <w:r w:rsidRPr="003E425B">
        <w:rPr>
          <w:rFonts w:ascii="Times New Roman" w:hAnsi="Times New Roman"/>
          <w:i/>
          <w:iCs/>
          <w:sz w:val="28"/>
        </w:rPr>
        <w:t xml:space="preserve">(i) </w:t>
      </w:r>
      <w:r w:rsidRPr="003E425B">
        <w:rPr>
          <w:rFonts w:ascii="Times New Roman" w:hAnsi="Times New Roman"/>
          <w:sz w:val="28"/>
        </w:rPr>
        <w:t>el 28 de noviembre de 2022, en sesión conjunta, la Comisión Primera del Senado aprobó el artículo 12 con 14 votos afirmativos</w:t>
      </w:r>
      <w:r w:rsidRPr="003E425B">
        <w:rPr>
          <w:rStyle w:val="Refdenotaalpie"/>
          <w:rFonts w:ascii="Times New Roman" w:hAnsi="Times New Roman"/>
          <w:sz w:val="28"/>
        </w:rPr>
        <w:footnoteReference w:id="179"/>
      </w:r>
      <w:r w:rsidRPr="003E425B">
        <w:rPr>
          <w:rFonts w:ascii="Times New Roman" w:hAnsi="Times New Roman"/>
          <w:sz w:val="28"/>
        </w:rPr>
        <w:t xml:space="preserve">; </w:t>
      </w:r>
      <w:r w:rsidRPr="003E425B">
        <w:rPr>
          <w:rFonts w:ascii="Times New Roman" w:hAnsi="Times New Roman"/>
          <w:i/>
          <w:iCs/>
          <w:sz w:val="28"/>
        </w:rPr>
        <w:t>(ii)</w:t>
      </w:r>
      <w:r w:rsidRPr="003E425B">
        <w:rPr>
          <w:rFonts w:ascii="Times New Roman" w:hAnsi="Times New Roman"/>
          <w:sz w:val="28"/>
        </w:rPr>
        <w:t xml:space="preserve"> el mismo día,</w:t>
      </w:r>
      <w:r w:rsidRPr="003E425B">
        <w:rPr>
          <w:rFonts w:ascii="Times New Roman" w:hAnsi="Times New Roman"/>
          <w:sz w:val="28"/>
        </w:rPr>
        <w:t xml:space="preserve"> la Comisión Primera de la Cámara de Representantes aprobó el artículo con 23 votos afirmativos</w:t>
      </w:r>
      <w:r w:rsidRPr="003E425B">
        <w:rPr>
          <w:rStyle w:val="Refdenotaalpie"/>
          <w:rFonts w:ascii="Times New Roman" w:hAnsi="Times New Roman"/>
          <w:sz w:val="28"/>
        </w:rPr>
        <w:footnoteReference w:id="180"/>
      </w:r>
      <w:r w:rsidRPr="003E425B">
        <w:rPr>
          <w:rFonts w:ascii="Times New Roman" w:hAnsi="Times New Roman"/>
          <w:sz w:val="28"/>
        </w:rPr>
        <w:t xml:space="preserve">, </w:t>
      </w:r>
      <w:r w:rsidRPr="003E425B">
        <w:rPr>
          <w:rFonts w:ascii="Times New Roman" w:hAnsi="Times New Roman"/>
          <w:i/>
          <w:iCs/>
          <w:sz w:val="28"/>
        </w:rPr>
        <w:t>(iii)</w:t>
      </w:r>
      <w:r w:rsidRPr="003E425B">
        <w:rPr>
          <w:rFonts w:ascii="Times New Roman" w:hAnsi="Times New Roman"/>
          <w:sz w:val="28"/>
        </w:rPr>
        <w:t xml:space="preserve"> el 12 de diciembre de 2022, la Plenaria del Senado aprobó el artículo 12 con 6</w:t>
      </w:r>
      <w:r w:rsidRPr="003E425B">
        <w:rPr>
          <w:rFonts w:ascii="Times New Roman" w:hAnsi="Times New Roman"/>
          <w:sz w:val="28"/>
        </w:rPr>
        <w:t>4</w:t>
      </w:r>
      <w:r w:rsidRPr="003E425B">
        <w:rPr>
          <w:rFonts w:ascii="Times New Roman" w:hAnsi="Times New Roman"/>
          <w:sz w:val="28"/>
        </w:rPr>
        <w:t xml:space="preserve"> votos afirmativos</w:t>
      </w:r>
      <w:r w:rsidRPr="003E425B">
        <w:rPr>
          <w:rStyle w:val="Refdenotaalpie"/>
          <w:rFonts w:ascii="Times New Roman" w:hAnsi="Times New Roman"/>
          <w:sz w:val="28"/>
        </w:rPr>
        <w:footnoteReference w:id="181"/>
      </w:r>
      <w:r w:rsidRPr="003E425B">
        <w:rPr>
          <w:rFonts w:ascii="Times New Roman" w:hAnsi="Times New Roman"/>
          <w:sz w:val="28"/>
        </w:rPr>
        <w:t>, es decir, alcanzó la mayoría absoluta que eran 55 vo</w:t>
      </w:r>
      <w:r w:rsidRPr="003E425B">
        <w:rPr>
          <w:rFonts w:ascii="Times New Roman" w:hAnsi="Times New Roman"/>
          <w:sz w:val="28"/>
        </w:rPr>
        <w:t xml:space="preserve">tos y, por último, </w:t>
      </w:r>
      <w:r w:rsidRPr="003E425B">
        <w:rPr>
          <w:rFonts w:ascii="Times New Roman" w:hAnsi="Times New Roman"/>
          <w:i/>
          <w:iCs/>
          <w:sz w:val="28"/>
        </w:rPr>
        <w:t>(iv)</w:t>
      </w:r>
      <w:r w:rsidRPr="003E425B">
        <w:rPr>
          <w:rFonts w:ascii="Times New Roman" w:hAnsi="Times New Roman"/>
          <w:sz w:val="28"/>
        </w:rPr>
        <w:t xml:space="preserve"> el mismo 12 de diciembre, la Plenaria de la Cámara de Representantes aprobó el artículo con 136 votos afirmativos</w:t>
      </w:r>
      <w:r w:rsidRPr="003E425B">
        <w:rPr>
          <w:rStyle w:val="Refdenotaalpie"/>
          <w:rFonts w:ascii="Times New Roman" w:hAnsi="Times New Roman"/>
          <w:sz w:val="28"/>
        </w:rPr>
        <w:footnoteReference w:id="182"/>
      </w:r>
      <w:r w:rsidRPr="003E425B">
        <w:rPr>
          <w:rFonts w:ascii="Times New Roman" w:hAnsi="Times New Roman"/>
          <w:sz w:val="28"/>
        </w:rPr>
        <w:t>.</w:t>
      </w:r>
    </w:p>
    <w:p w:rsidR="00FB4130" w:rsidRPr="003E425B" w:rsidRDefault="003E425B" w:rsidP="00033793">
      <w:pPr>
        <w:pStyle w:val="Prrafodelista"/>
        <w:widowControl w:val="0"/>
        <w:tabs>
          <w:tab w:val="left" w:pos="567"/>
        </w:tabs>
        <w:spacing w:line="240" w:lineRule="auto"/>
        <w:ind w:left="0"/>
        <w:rPr>
          <w:rFonts w:ascii="Times New Roman" w:hAnsi="Times New Roman"/>
          <w:sz w:val="28"/>
        </w:rPr>
      </w:pPr>
    </w:p>
    <w:p w:rsidR="005A0403" w:rsidRPr="003E425B" w:rsidRDefault="003E425B" w:rsidP="00010108">
      <w:pPr>
        <w:pStyle w:val="Prrafodelista"/>
        <w:widowControl w:val="0"/>
        <w:numPr>
          <w:ilvl w:val="0"/>
          <w:numId w:val="10"/>
        </w:numPr>
        <w:tabs>
          <w:tab w:val="left" w:pos="567"/>
        </w:tabs>
        <w:spacing w:line="240" w:lineRule="auto"/>
        <w:ind w:left="0" w:firstLine="0"/>
        <w:rPr>
          <w:rFonts w:ascii="Times New Roman" w:hAnsi="Times New Roman"/>
          <w:sz w:val="28"/>
        </w:rPr>
      </w:pPr>
      <w:r w:rsidRPr="003E425B">
        <w:rPr>
          <w:rFonts w:ascii="Times New Roman" w:hAnsi="Times New Roman"/>
          <w:b/>
          <w:bCs/>
          <w:sz w:val="28"/>
          <w:u w:val="single"/>
        </w:rPr>
        <w:t>Conclusión</w:t>
      </w:r>
      <w:r w:rsidRPr="003E425B">
        <w:rPr>
          <w:rFonts w:ascii="Times New Roman" w:hAnsi="Times New Roman"/>
          <w:sz w:val="28"/>
        </w:rPr>
        <w:t>. Con fundamento en las anteriores consideraciones, la Sala Plena concluye que</w:t>
      </w:r>
      <w:r w:rsidRPr="003E425B">
        <w:rPr>
          <w:rFonts w:ascii="Times New Roman" w:hAnsi="Times New Roman"/>
          <w:sz w:val="28"/>
        </w:rPr>
        <w:t xml:space="preserve"> el vicio de procedimiento alegado por los demandantes</w:t>
      </w:r>
      <w:r w:rsidRPr="003E425B">
        <w:rPr>
          <w:rFonts w:ascii="Times New Roman" w:hAnsi="Times New Roman"/>
          <w:sz w:val="28"/>
        </w:rPr>
        <w:t xml:space="preserve">, por el presunto desconocimiento de las reglas de votación, quórum y </w:t>
      </w:r>
      <w:r w:rsidRPr="003E425B">
        <w:rPr>
          <w:rFonts w:ascii="Times New Roman" w:hAnsi="Times New Roman"/>
          <w:sz w:val="28"/>
        </w:rPr>
        <w:t>m</w:t>
      </w:r>
      <w:r w:rsidRPr="003E425B">
        <w:rPr>
          <w:rFonts w:ascii="Times New Roman" w:hAnsi="Times New Roman"/>
          <w:sz w:val="28"/>
        </w:rPr>
        <w:t>ayorías decisorias</w:t>
      </w:r>
      <w:r w:rsidRPr="003E425B">
        <w:rPr>
          <w:rFonts w:ascii="Times New Roman" w:hAnsi="Times New Roman"/>
          <w:sz w:val="28"/>
        </w:rPr>
        <w:t>,</w:t>
      </w:r>
      <w:r w:rsidRPr="003E425B">
        <w:rPr>
          <w:rFonts w:ascii="Times New Roman" w:hAnsi="Times New Roman"/>
          <w:sz w:val="28"/>
        </w:rPr>
        <w:t xml:space="preserve"> no </w:t>
      </w:r>
      <w:r w:rsidRPr="003E425B">
        <w:rPr>
          <w:rFonts w:ascii="Times New Roman" w:hAnsi="Times New Roman"/>
          <w:sz w:val="28"/>
        </w:rPr>
        <w:t>prospera</w:t>
      </w:r>
      <w:r w:rsidRPr="003E425B">
        <w:rPr>
          <w:rFonts w:ascii="Times New Roman" w:hAnsi="Times New Roman"/>
          <w:sz w:val="28"/>
        </w:rPr>
        <w:t>. Esto,</w:t>
      </w:r>
      <w:r w:rsidRPr="003E425B">
        <w:rPr>
          <w:rFonts w:ascii="Times New Roman" w:hAnsi="Times New Roman"/>
          <w:sz w:val="28"/>
        </w:rPr>
        <w:t xml:space="preserve"> porque:</w:t>
      </w:r>
    </w:p>
    <w:p w:rsidR="00B84149" w:rsidRPr="003E425B" w:rsidRDefault="003E425B" w:rsidP="00B84149">
      <w:pPr>
        <w:pStyle w:val="Prrafodelista"/>
        <w:widowControl w:val="0"/>
        <w:tabs>
          <w:tab w:val="left" w:pos="567"/>
        </w:tabs>
        <w:spacing w:line="240" w:lineRule="auto"/>
        <w:ind w:left="0"/>
        <w:rPr>
          <w:rFonts w:ascii="Times New Roman" w:hAnsi="Times New Roman"/>
          <w:sz w:val="28"/>
        </w:rPr>
      </w:pPr>
    </w:p>
    <w:p w:rsidR="0085547B" w:rsidRPr="003E425B" w:rsidRDefault="003E425B" w:rsidP="0085547B">
      <w:pPr>
        <w:pStyle w:val="Prrafodelista"/>
        <w:widowControl w:val="0"/>
        <w:numPr>
          <w:ilvl w:val="1"/>
          <w:numId w:val="10"/>
        </w:numPr>
        <w:tabs>
          <w:tab w:val="left" w:pos="851"/>
        </w:tabs>
        <w:spacing w:line="240" w:lineRule="auto"/>
        <w:ind w:left="851" w:hanging="851"/>
        <w:rPr>
          <w:rFonts w:ascii="Times New Roman" w:hAnsi="Times New Roman"/>
          <w:sz w:val="28"/>
        </w:rPr>
      </w:pPr>
      <w:r w:rsidRPr="003E425B">
        <w:rPr>
          <w:rFonts w:ascii="Times New Roman" w:hAnsi="Times New Roman"/>
          <w:sz w:val="28"/>
        </w:rPr>
        <w:t xml:space="preserve">La Comisión Primera Constitucional estaba habilitada para votar de forma ordinaria </w:t>
      </w:r>
      <w:r w:rsidRPr="003E425B">
        <w:rPr>
          <w:rFonts w:ascii="Times New Roman" w:hAnsi="Times New Roman"/>
          <w:sz w:val="28"/>
        </w:rPr>
        <w:t>el informe de ponencia conforme al numeral 16 del artículo 29 de la Ley 5ª de 1992, porque</w:t>
      </w:r>
      <w:r w:rsidRPr="003E425B">
        <w:rPr>
          <w:rFonts w:ascii="Times New Roman" w:hAnsi="Times New Roman"/>
          <w:i/>
          <w:iCs/>
          <w:sz w:val="28"/>
        </w:rPr>
        <w:t xml:space="preserve"> </w:t>
      </w:r>
      <w:r w:rsidRPr="003E425B">
        <w:rPr>
          <w:rFonts w:ascii="Times New Roman" w:hAnsi="Times New Roman"/>
          <w:sz w:val="28"/>
        </w:rPr>
        <w:t xml:space="preserve">existían indicios de unanimidad: </w:t>
      </w:r>
      <w:r w:rsidRPr="003E425B">
        <w:rPr>
          <w:rFonts w:ascii="Times New Roman" w:hAnsi="Times New Roman"/>
          <w:i/>
          <w:iCs/>
          <w:sz w:val="28"/>
        </w:rPr>
        <w:t>(i)</w:t>
      </w:r>
      <w:r w:rsidRPr="003E425B">
        <w:rPr>
          <w:rFonts w:ascii="Times New Roman" w:hAnsi="Times New Roman"/>
          <w:sz w:val="28"/>
        </w:rPr>
        <w:t xml:space="preserve"> la Secretaria de la Comisión Primera del Senado dejó </w:t>
      </w:r>
      <w:r w:rsidRPr="003E425B">
        <w:rPr>
          <w:rFonts w:ascii="Times New Roman" w:hAnsi="Times New Roman"/>
          <w:sz w:val="28"/>
          <w:lang w:val="es-ES_tradnl"/>
        </w:rPr>
        <w:t>constancia expresa e inequívoca de unanimidad al declarar el resultado de l</w:t>
      </w:r>
      <w:r w:rsidRPr="003E425B">
        <w:rPr>
          <w:rFonts w:ascii="Times New Roman" w:hAnsi="Times New Roman"/>
          <w:sz w:val="28"/>
          <w:lang w:val="es-ES_tradnl"/>
        </w:rPr>
        <w:t xml:space="preserve">a votación ordinaria; </w:t>
      </w:r>
      <w:r w:rsidRPr="003E425B">
        <w:rPr>
          <w:rFonts w:ascii="Times New Roman" w:hAnsi="Times New Roman"/>
          <w:i/>
          <w:iCs/>
          <w:sz w:val="28"/>
          <w:lang w:val="es-ES_tradnl"/>
        </w:rPr>
        <w:t>(ii)</w:t>
      </w:r>
      <w:r w:rsidRPr="003E425B">
        <w:rPr>
          <w:rFonts w:ascii="Times New Roman" w:hAnsi="Times New Roman"/>
          <w:i/>
          <w:iCs/>
          <w:sz w:val="28"/>
        </w:rPr>
        <w:t xml:space="preserve"> </w:t>
      </w:r>
      <w:r w:rsidRPr="003E425B">
        <w:rPr>
          <w:rFonts w:ascii="Times New Roman" w:hAnsi="Times New Roman"/>
          <w:sz w:val="28"/>
        </w:rPr>
        <w:t>al momento de la votación ordinaria, ningún senador registr</w:t>
      </w:r>
      <w:r w:rsidRPr="003E425B">
        <w:rPr>
          <w:rFonts w:ascii="Times New Roman" w:hAnsi="Times New Roman"/>
          <w:sz w:val="28"/>
        </w:rPr>
        <w:t>ó</w:t>
      </w:r>
      <w:r w:rsidRPr="003E425B">
        <w:rPr>
          <w:rFonts w:ascii="Times New Roman" w:hAnsi="Times New Roman"/>
          <w:sz w:val="28"/>
        </w:rPr>
        <w:t xml:space="preserve"> un voto negativo y </w:t>
      </w:r>
      <w:r w:rsidRPr="003E425B">
        <w:rPr>
          <w:rFonts w:ascii="Times New Roman" w:hAnsi="Times New Roman"/>
          <w:i/>
          <w:iCs/>
          <w:sz w:val="28"/>
        </w:rPr>
        <w:t>(iii)</w:t>
      </w:r>
      <w:r w:rsidRPr="003E425B">
        <w:rPr>
          <w:rFonts w:ascii="Times New Roman" w:hAnsi="Times New Roman"/>
          <w:sz w:val="28"/>
        </w:rPr>
        <w:t xml:space="preserve"> la votación nominal y pública de las proposiciones de archivo, que se efectuó al inicio de la sesión, fue unánime. </w:t>
      </w:r>
    </w:p>
    <w:p w:rsidR="0085547B" w:rsidRPr="003E425B" w:rsidRDefault="003E425B" w:rsidP="0085547B">
      <w:pPr>
        <w:pStyle w:val="Prrafodelista"/>
        <w:widowControl w:val="0"/>
        <w:numPr>
          <w:ilvl w:val="1"/>
          <w:numId w:val="10"/>
        </w:numPr>
        <w:tabs>
          <w:tab w:val="left" w:pos="851"/>
        </w:tabs>
        <w:spacing w:line="240" w:lineRule="auto"/>
        <w:ind w:left="851" w:hanging="851"/>
        <w:rPr>
          <w:rFonts w:ascii="Times New Roman" w:hAnsi="Times New Roman"/>
          <w:sz w:val="28"/>
        </w:rPr>
      </w:pPr>
      <w:r w:rsidRPr="003E425B">
        <w:rPr>
          <w:rFonts w:ascii="Times New Roman" w:hAnsi="Times New Roman"/>
          <w:sz w:val="28"/>
        </w:rPr>
        <w:t>Los registros fílmicos y fo</w:t>
      </w:r>
      <w:r w:rsidRPr="003E425B">
        <w:rPr>
          <w:rFonts w:ascii="Times New Roman" w:hAnsi="Times New Roman"/>
          <w:sz w:val="28"/>
        </w:rPr>
        <w:t xml:space="preserve">tográficos que los demandantes aportaron no demuestran que, al momento en que la Comisión Primera Constitucional del Senado llevó a cabo la votación ordinaria del informe de ponencia, no había quórum </w:t>
      </w:r>
      <w:r w:rsidRPr="003E425B">
        <w:rPr>
          <w:rFonts w:ascii="Times New Roman" w:hAnsi="Times New Roman"/>
          <w:sz w:val="28"/>
        </w:rPr>
        <w:t xml:space="preserve">y mayoría </w:t>
      </w:r>
      <w:r w:rsidRPr="003E425B">
        <w:rPr>
          <w:rFonts w:ascii="Times New Roman" w:hAnsi="Times New Roman"/>
          <w:sz w:val="28"/>
        </w:rPr>
        <w:t>decisori</w:t>
      </w:r>
      <w:r w:rsidRPr="003E425B">
        <w:rPr>
          <w:rFonts w:ascii="Times New Roman" w:hAnsi="Times New Roman"/>
          <w:sz w:val="28"/>
        </w:rPr>
        <w:t>a</w:t>
      </w:r>
      <w:r w:rsidRPr="003E425B">
        <w:rPr>
          <w:rFonts w:ascii="Times New Roman" w:hAnsi="Times New Roman"/>
          <w:sz w:val="28"/>
        </w:rPr>
        <w:t>. Los medios de prueba que reposan en</w:t>
      </w:r>
      <w:r w:rsidRPr="003E425B">
        <w:rPr>
          <w:rFonts w:ascii="Times New Roman" w:hAnsi="Times New Roman"/>
          <w:sz w:val="28"/>
        </w:rPr>
        <w:t xml:space="preserve"> el expediente sólo evidencian, a lo sumo, que no existe plena certeza sobre el número de senadores de la Comisión Constitucional Primera del Senado que estaban presentes y votaron favorablemente el informe de ponencia. </w:t>
      </w:r>
    </w:p>
    <w:p w:rsidR="008D3BCE" w:rsidRPr="003E425B" w:rsidRDefault="003E425B" w:rsidP="008D3BCE">
      <w:pPr>
        <w:pStyle w:val="Prrafodelista"/>
        <w:widowControl w:val="0"/>
        <w:numPr>
          <w:ilvl w:val="1"/>
          <w:numId w:val="10"/>
        </w:numPr>
        <w:tabs>
          <w:tab w:val="left" w:pos="851"/>
        </w:tabs>
        <w:spacing w:line="240" w:lineRule="auto"/>
        <w:ind w:left="851" w:hanging="851"/>
        <w:rPr>
          <w:rFonts w:ascii="Times New Roman" w:hAnsi="Times New Roman"/>
          <w:bCs/>
          <w:iCs/>
          <w:sz w:val="28"/>
        </w:rPr>
      </w:pPr>
      <w:bookmarkStart w:id="20" w:name="_Hlk170207172"/>
      <w:r w:rsidRPr="003E425B">
        <w:rPr>
          <w:rFonts w:ascii="Times New Roman" w:hAnsi="Times New Roman"/>
          <w:bCs/>
          <w:iCs/>
          <w:sz w:val="28"/>
        </w:rPr>
        <w:t>En virtud del principio</w:t>
      </w:r>
      <w:r w:rsidRPr="003E425B">
        <w:rPr>
          <w:rFonts w:ascii="Times New Roman" w:hAnsi="Times New Roman"/>
          <w:bCs/>
          <w:iCs/>
          <w:sz w:val="28"/>
        </w:rPr>
        <w:t xml:space="preserve"> </w:t>
      </w:r>
      <w:r w:rsidRPr="003E425B">
        <w:rPr>
          <w:rFonts w:ascii="Times New Roman" w:hAnsi="Times New Roman"/>
          <w:bCs/>
          <w:i/>
          <w:sz w:val="28"/>
        </w:rPr>
        <w:t>in dubio</w:t>
      </w:r>
      <w:r w:rsidRPr="003E425B">
        <w:rPr>
          <w:rFonts w:ascii="Times New Roman" w:hAnsi="Times New Roman"/>
          <w:bCs/>
          <w:iCs/>
          <w:sz w:val="28"/>
        </w:rPr>
        <w:t xml:space="preserve"> </w:t>
      </w:r>
      <w:r w:rsidRPr="003E425B">
        <w:rPr>
          <w:rFonts w:ascii="Times New Roman" w:hAnsi="Times New Roman"/>
          <w:bCs/>
          <w:i/>
          <w:sz w:val="28"/>
        </w:rPr>
        <w:t>pr</w:t>
      </w:r>
      <w:r w:rsidRPr="003E425B">
        <w:rPr>
          <w:rFonts w:ascii="Times New Roman" w:hAnsi="Times New Roman"/>
          <w:bCs/>
          <w:i/>
          <w:sz w:val="28"/>
        </w:rPr>
        <w:t>o legislatoris</w:t>
      </w:r>
      <w:r w:rsidRPr="003E425B">
        <w:rPr>
          <w:rFonts w:ascii="Times New Roman" w:hAnsi="Times New Roman"/>
          <w:bCs/>
          <w:iCs/>
          <w:sz w:val="28"/>
        </w:rPr>
        <w:t xml:space="preserve">, la falta de certeza sobre el número de senadores </w:t>
      </w:r>
      <w:r w:rsidRPr="003E425B">
        <w:rPr>
          <w:rFonts w:ascii="Times New Roman" w:hAnsi="Times New Roman"/>
          <w:bCs/>
          <w:iCs/>
          <w:sz w:val="28"/>
        </w:rPr>
        <w:t>que</w:t>
      </w:r>
      <w:r w:rsidRPr="003E425B">
        <w:rPr>
          <w:rFonts w:ascii="Times New Roman" w:hAnsi="Times New Roman"/>
          <w:bCs/>
          <w:iCs/>
          <w:sz w:val="28"/>
        </w:rPr>
        <w:t xml:space="preserve"> estaban </w:t>
      </w:r>
      <w:r w:rsidRPr="003E425B">
        <w:rPr>
          <w:rFonts w:ascii="Times New Roman" w:hAnsi="Times New Roman"/>
          <w:bCs/>
          <w:iCs/>
          <w:sz w:val="28"/>
        </w:rPr>
        <w:t>presentes y</w:t>
      </w:r>
      <w:r w:rsidRPr="003E425B">
        <w:rPr>
          <w:rFonts w:ascii="Times New Roman" w:hAnsi="Times New Roman"/>
          <w:bCs/>
          <w:iCs/>
          <w:sz w:val="28"/>
        </w:rPr>
        <w:t xml:space="preserve"> votaron favorablemente el informe de ponencia</w:t>
      </w:r>
      <w:r w:rsidRPr="003E425B">
        <w:rPr>
          <w:rFonts w:ascii="Times New Roman" w:hAnsi="Times New Roman"/>
          <w:bCs/>
          <w:iCs/>
          <w:sz w:val="28"/>
        </w:rPr>
        <w:t xml:space="preserve"> </w:t>
      </w:r>
      <w:r w:rsidRPr="003E425B">
        <w:rPr>
          <w:rFonts w:ascii="Times New Roman" w:hAnsi="Times New Roman"/>
          <w:bCs/>
          <w:iCs/>
          <w:sz w:val="28"/>
        </w:rPr>
        <w:t>no tiene la entidad suficiente para viciar el procedimiento legislativo</w:t>
      </w:r>
      <w:r w:rsidRPr="003E425B">
        <w:rPr>
          <w:rFonts w:ascii="Times New Roman" w:hAnsi="Times New Roman"/>
          <w:bCs/>
          <w:iCs/>
          <w:sz w:val="28"/>
        </w:rPr>
        <w:t xml:space="preserve">. </w:t>
      </w:r>
    </w:p>
    <w:bookmarkEnd w:id="20"/>
    <w:p w:rsidR="005A0403" w:rsidRPr="003E425B" w:rsidRDefault="003E425B" w:rsidP="005D5078">
      <w:pPr>
        <w:pStyle w:val="Prrafodelista"/>
        <w:widowControl w:val="0"/>
        <w:tabs>
          <w:tab w:val="left" w:pos="851"/>
        </w:tabs>
        <w:spacing w:line="240" w:lineRule="auto"/>
        <w:ind w:left="851"/>
        <w:rPr>
          <w:rFonts w:ascii="Times New Roman" w:hAnsi="Times New Roman"/>
          <w:sz w:val="28"/>
        </w:rPr>
      </w:pPr>
    </w:p>
    <w:p w:rsidR="00DE7725" w:rsidRPr="003E425B" w:rsidRDefault="003E425B" w:rsidP="00010108">
      <w:pPr>
        <w:pStyle w:val="Ttulo2"/>
        <w:numPr>
          <w:ilvl w:val="1"/>
          <w:numId w:val="14"/>
        </w:numPr>
        <w:ind w:hanging="650"/>
        <w:rPr>
          <w:rFonts w:ascii="Times New Roman" w:hAnsi="Times New Roman" w:cs="Times New Roman"/>
          <w:bCs/>
          <w:sz w:val="28"/>
        </w:rPr>
      </w:pPr>
      <w:bookmarkStart w:id="21" w:name="_Hlk165370061"/>
      <w:r w:rsidRPr="003E425B">
        <w:rPr>
          <w:rFonts w:ascii="Times New Roman" w:hAnsi="Times New Roman" w:cs="Times New Roman"/>
          <w:bCs/>
          <w:sz w:val="28"/>
          <w:u w:val="single"/>
        </w:rPr>
        <w:t>Cargo segundo</w:t>
      </w:r>
      <w:r w:rsidRPr="003E425B">
        <w:rPr>
          <w:rFonts w:ascii="Times New Roman" w:hAnsi="Times New Roman" w:cs="Times New Roman"/>
          <w:bCs/>
          <w:sz w:val="28"/>
        </w:rPr>
        <w:t xml:space="preserve">: </w:t>
      </w:r>
      <w:r w:rsidRPr="003E425B">
        <w:rPr>
          <w:rFonts w:ascii="Times New Roman" w:hAnsi="Times New Roman" w:cs="Times New Roman"/>
          <w:bCs/>
          <w:sz w:val="28"/>
        </w:rPr>
        <w:t>el presunto desconocimiento</w:t>
      </w:r>
      <w:r w:rsidRPr="003E425B">
        <w:rPr>
          <w:rFonts w:ascii="Times New Roman" w:hAnsi="Times New Roman" w:cs="Times New Roman"/>
          <w:bCs/>
          <w:sz w:val="28"/>
        </w:rPr>
        <w:t xml:space="preserve"> de la obligación de analizar el impacto fiscal </w:t>
      </w:r>
      <w:r w:rsidRPr="003E425B">
        <w:rPr>
          <w:rFonts w:ascii="Times New Roman" w:hAnsi="Times New Roman" w:cs="Times New Roman"/>
          <w:bCs/>
          <w:sz w:val="28"/>
        </w:rPr>
        <w:t xml:space="preserve">de la creación del Ministerio de Igualdad y Equidad </w:t>
      </w:r>
      <w:r w:rsidRPr="003E425B">
        <w:rPr>
          <w:rFonts w:ascii="Times New Roman" w:hAnsi="Times New Roman" w:cs="Times New Roman"/>
          <w:bCs/>
          <w:sz w:val="28"/>
        </w:rPr>
        <w:t xml:space="preserve">(art. 7º de la </w:t>
      </w:r>
      <w:r w:rsidRPr="003E425B">
        <w:rPr>
          <w:rFonts w:ascii="Times New Roman" w:hAnsi="Times New Roman" w:cs="Times New Roman"/>
          <w:bCs/>
          <w:sz w:val="28"/>
        </w:rPr>
        <w:t>L</w:t>
      </w:r>
      <w:r w:rsidRPr="003E425B">
        <w:rPr>
          <w:rFonts w:ascii="Times New Roman" w:hAnsi="Times New Roman" w:cs="Times New Roman"/>
          <w:bCs/>
          <w:sz w:val="28"/>
        </w:rPr>
        <w:t>ey 819 de 2003</w:t>
      </w:r>
      <w:r w:rsidRPr="003E425B">
        <w:rPr>
          <w:rFonts w:ascii="Times New Roman" w:hAnsi="Times New Roman" w:cs="Times New Roman"/>
          <w:bCs/>
          <w:sz w:val="28"/>
        </w:rPr>
        <w:t>)</w:t>
      </w:r>
      <w:bookmarkEnd w:id="21"/>
      <w:r w:rsidRPr="003E425B">
        <w:rPr>
          <w:rFonts w:ascii="Times New Roman" w:hAnsi="Times New Roman" w:cs="Times New Roman"/>
          <w:bCs/>
          <w:sz w:val="28"/>
        </w:rPr>
        <w:t xml:space="preserve"> </w:t>
      </w:r>
    </w:p>
    <w:p w:rsidR="005A0403" w:rsidRPr="003E425B" w:rsidRDefault="003E425B" w:rsidP="00010108">
      <w:pPr>
        <w:widowControl w:val="0"/>
        <w:tabs>
          <w:tab w:val="left" w:pos="567"/>
        </w:tabs>
        <w:rPr>
          <w:rFonts w:ascii="Times New Roman" w:hAnsi="Times New Roman" w:cs="Times New Roman"/>
          <w:sz w:val="28"/>
        </w:rPr>
      </w:pPr>
    </w:p>
    <w:p w:rsidR="005A0403" w:rsidRPr="003E425B" w:rsidRDefault="003E425B" w:rsidP="00010108">
      <w:pPr>
        <w:pStyle w:val="Prrafodelista"/>
        <w:widowControl w:val="0"/>
        <w:numPr>
          <w:ilvl w:val="0"/>
          <w:numId w:val="10"/>
        </w:numPr>
        <w:tabs>
          <w:tab w:val="left" w:pos="0"/>
        </w:tabs>
        <w:spacing w:line="240" w:lineRule="auto"/>
        <w:ind w:left="0" w:firstLine="0"/>
        <w:rPr>
          <w:rFonts w:ascii="Times New Roman" w:hAnsi="Times New Roman"/>
          <w:sz w:val="28"/>
        </w:rPr>
      </w:pPr>
      <w:r w:rsidRPr="003E425B">
        <w:rPr>
          <w:rFonts w:ascii="Times New Roman" w:hAnsi="Times New Roman"/>
          <w:i/>
          <w:iCs/>
          <w:sz w:val="28"/>
        </w:rPr>
        <w:t>La demanda.</w:t>
      </w:r>
      <w:r w:rsidRPr="003E425B">
        <w:rPr>
          <w:rFonts w:ascii="Times New Roman" w:hAnsi="Times New Roman"/>
          <w:sz w:val="28"/>
        </w:rPr>
        <w:t xml:space="preserve"> </w:t>
      </w:r>
      <w:r w:rsidRPr="003E425B">
        <w:rPr>
          <w:rFonts w:ascii="Times New Roman" w:hAnsi="Times New Roman"/>
          <w:sz w:val="28"/>
          <w:lang w:eastAsia="es-MX"/>
        </w:rPr>
        <w:t>Los demandantes argumentan que el Gobierno Nacional, el MHCP y el Congreso de la República desconocieron la ob</w:t>
      </w:r>
      <w:r w:rsidRPr="003E425B">
        <w:rPr>
          <w:rFonts w:ascii="Times New Roman" w:hAnsi="Times New Roman"/>
          <w:sz w:val="28"/>
          <w:lang w:eastAsia="es-MX"/>
        </w:rPr>
        <w:t>ligación de analizar el impacto fiscal de la iniciativa legislativa, conforme a l</w:t>
      </w:r>
      <w:r w:rsidRPr="003E425B">
        <w:rPr>
          <w:rFonts w:ascii="Times New Roman" w:hAnsi="Times New Roman"/>
          <w:sz w:val="28"/>
          <w:lang w:eastAsia="es-MX"/>
        </w:rPr>
        <w:t>as exigencias</w:t>
      </w:r>
      <w:r w:rsidRPr="003E425B">
        <w:rPr>
          <w:rFonts w:ascii="Times New Roman" w:hAnsi="Times New Roman"/>
          <w:sz w:val="28"/>
          <w:lang w:eastAsia="es-MX"/>
        </w:rPr>
        <w:t xml:space="preserve"> previst</w:t>
      </w:r>
      <w:r w:rsidRPr="003E425B">
        <w:rPr>
          <w:rFonts w:ascii="Times New Roman" w:hAnsi="Times New Roman"/>
          <w:sz w:val="28"/>
          <w:lang w:eastAsia="es-MX"/>
        </w:rPr>
        <w:t xml:space="preserve">as </w:t>
      </w:r>
      <w:r w:rsidRPr="003E425B">
        <w:rPr>
          <w:rFonts w:ascii="Times New Roman" w:hAnsi="Times New Roman"/>
          <w:sz w:val="28"/>
          <w:lang w:eastAsia="es-MX"/>
        </w:rPr>
        <w:t>en el artículo 7º de la Ley 819 de 2003</w:t>
      </w:r>
      <w:r w:rsidRPr="003E425B">
        <w:rPr>
          <w:rFonts w:ascii="Times New Roman" w:hAnsi="Times New Roman"/>
          <w:sz w:val="28"/>
          <w:vertAlign w:val="superscript"/>
          <w:lang w:eastAsia="es-MX"/>
        </w:rPr>
        <w:footnoteReference w:id="183"/>
      </w:r>
      <w:r w:rsidRPr="003E425B">
        <w:rPr>
          <w:rFonts w:ascii="Times New Roman" w:hAnsi="Times New Roman"/>
          <w:sz w:val="28"/>
          <w:lang w:eastAsia="es-MX"/>
        </w:rPr>
        <w:t>. Esto, porque</w:t>
      </w:r>
      <w:r w:rsidRPr="003E425B">
        <w:rPr>
          <w:rFonts w:ascii="Times New Roman" w:hAnsi="Times New Roman"/>
          <w:sz w:val="28"/>
        </w:rPr>
        <w:t xml:space="preserve"> en la exposición de motivos del proyecto de ley, el Gobierno Nacional no presentó un análisis de</w:t>
      </w:r>
      <w:r w:rsidRPr="003E425B">
        <w:rPr>
          <w:rFonts w:ascii="Times New Roman" w:hAnsi="Times New Roman"/>
          <w:sz w:val="28"/>
        </w:rPr>
        <w:t xml:space="preserve"> impacto fiscal</w:t>
      </w:r>
      <w:r w:rsidRPr="003E425B">
        <w:rPr>
          <w:rStyle w:val="Refdenotaalpie"/>
          <w:rFonts w:ascii="Times New Roman" w:hAnsi="Times New Roman"/>
          <w:sz w:val="28"/>
          <w:lang w:val="es-ES"/>
        </w:rPr>
        <w:footnoteReference w:id="184"/>
      </w:r>
      <w:r w:rsidRPr="003E425B">
        <w:rPr>
          <w:rFonts w:ascii="Times New Roman" w:hAnsi="Times New Roman"/>
          <w:sz w:val="28"/>
          <w:lang w:val="es-ES"/>
        </w:rPr>
        <w:t xml:space="preserve">. Además, en la ponencia mayoritaria </w:t>
      </w:r>
      <w:r w:rsidRPr="003E425B">
        <w:rPr>
          <w:rFonts w:ascii="Times New Roman" w:hAnsi="Times New Roman"/>
          <w:sz w:val="28"/>
          <w:lang w:val="es-ES"/>
        </w:rPr>
        <w:t>para</w:t>
      </w:r>
      <w:r w:rsidRPr="003E425B">
        <w:rPr>
          <w:rFonts w:ascii="Times New Roman" w:hAnsi="Times New Roman"/>
          <w:sz w:val="28"/>
          <w:lang w:val="es-ES"/>
        </w:rPr>
        <w:t xml:space="preserve"> primer debate en las comisiones constitucionales conjuntas, los ponentes estimaron el costo del proyecto de manera escueta e imprecisa en “$18.239 millones”</w:t>
      </w:r>
      <w:r w:rsidRPr="003E425B">
        <w:rPr>
          <w:rFonts w:ascii="Times New Roman" w:hAnsi="Times New Roman"/>
          <w:sz w:val="28"/>
          <w:vertAlign w:val="superscript"/>
          <w:lang w:val="es-ES"/>
        </w:rPr>
        <w:footnoteReference w:id="185"/>
      </w:r>
      <w:r w:rsidRPr="003E425B">
        <w:rPr>
          <w:rFonts w:ascii="Times New Roman" w:hAnsi="Times New Roman"/>
          <w:sz w:val="28"/>
          <w:lang w:val="es-ES"/>
        </w:rPr>
        <w:t xml:space="preserve"> y no indicaron la fuente de ingresos adicional para cubrir su financiación</w:t>
      </w:r>
      <w:r w:rsidRPr="003E425B">
        <w:rPr>
          <w:rFonts w:ascii="Times New Roman" w:hAnsi="Times New Roman"/>
          <w:sz w:val="28"/>
          <w:lang w:val="es-ES"/>
        </w:rPr>
        <w:t xml:space="preserve">, </w:t>
      </w:r>
      <w:r w:rsidRPr="003E425B">
        <w:rPr>
          <w:rFonts w:ascii="Times New Roman" w:hAnsi="Times New Roman"/>
          <w:sz w:val="28"/>
          <w:lang w:val="es-ES"/>
        </w:rPr>
        <w:t xml:space="preserve">ni su consistencia con el </w:t>
      </w:r>
      <w:r w:rsidRPr="003E425B">
        <w:rPr>
          <w:rFonts w:ascii="Times New Roman" w:hAnsi="Times New Roman"/>
          <w:sz w:val="28"/>
        </w:rPr>
        <w:t>Marco Fiscal de Mediano Plazo (MFMP)</w:t>
      </w:r>
      <w:r w:rsidRPr="003E425B">
        <w:rPr>
          <w:rFonts w:ascii="Times New Roman" w:hAnsi="Times New Roman"/>
          <w:sz w:val="28"/>
          <w:lang w:val="es-ES"/>
        </w:rPr>
        <w:t>. Asimismo, en la ponencia mayoritaria para segundo debate, los ponentes tampoco i</w:t>
      </w:r>
      <w:r w:rsidRPr="003E425B">
        <w:rPr>
          <w:rFonts w:ascii="Times New Roman" w:hAnsi="Times New Roman"/>
          <w:sz w:val="28"/>
          <w:lang w:val="es-ES"/>
        </w:rPr>
        <w:t xml:space="preserve">dentificaron </w:t>
      </w:r>
      <w:r w:rsidRPr="003E425B">
        <w:rPr>
          <w:rFonts w:ascii="Times New Roman" w:hAnsi="Times New Roman"/>
          <w:sz w:val="28"/>
          <w:lang w:val="es-ES"/>
        </w:rPr>
        <w:t>los costos</w:t>
      </w:r>
      <w:r w:rsidRPr="003E425B">
        <w:rPr>
          <w:rFonts w:ascii="Times New Roman" w:hAnsi="Times New Roman"/>
          <w:sz w:val="28"/>
          <w:lang w:val="es-ES"/>
        </w:rPr>
        <w:t xml:space="preserve"> fiscales</w:t>
      </w:r>
      <w:r w:rsidRPr="003E425B">
        <w:rPr>
          <w:rFonts w:ascii="Times New Roman" w:hAnsi="Times New Roman"/>
          <w:sz w:val="28"/>
          <w:lang w:val="es-ES"/>
        </w:rPr>
        <w:t xml:space="preserve"> de</w:t>
      </w:r>
      <w:r w:rsidRPr="003E425B">
        <w:rPr>
          <w:rFonts w:ascii="Times New Roman" w:hAnsi="Times New Roman"/>
          <w:sz w:val="28"/>
          <w:lang w:val="es-ES"/>
        </w:rPr>
        <w:t>l proyecto de Ley</w:t>
      </w:r>
      <w:r w:rsidRPr="003E425B">
        <w:rPr>
          <w:rFonts w:ascii="Times New Roman" w:hAnsi="Times New Roman"/>
          <w:sz w:val="28"/>
          <w:lang w:val="es-ES"/>
        </w:rPr>
        <w:t xml:space="preserve"> ni la fuente de ingresos sustitutiva</w:t>
      </w:r>
      <w:r w:rsidRPr="003E425B">
        <w:rPr>
          <w:rStyle w:val="Refdenotaalpie"/>
          <w:rFonts w:ascii="Times New Roman" w:hAnsi="Times New Roman"/>
          <w:sz w:val="28"/>
          <w:lang w:val="es-ES"/>
        </w:rPr>
        <w:footnoteReference w:id="186"/>
      </w:r>
      <w:r w:rsidRPr="003E425B">
        <w:rPr>
          <w:rFonts w:ascii="Times New Roman" w:hAnsi="Times New Roman"/>
          <w:sz w:val="28"/>
          <w:lang w:val="es-ES"/>
        </w:rPr>
        <w:t xml:space="preserve">. Por otra parte, los demandantes aseguran que </w:t>
      </w:r>
      <w:r w:rsidRPr="003E425B">
        <w:rPr>
          <w:rFonts w:ascii="Times New Roman" w:hAnsi="Times New Roman"/>
          <w:sz w:val="28"/>
          <w:lang w:eastAsia="es-MX"/>
        </w:rPr>
        <w:t>el concepto del MHCP no cumpl</w:t>
      </w:r>
      <w:r w:rsidRPr="003E425B">
        <w:rPr>
          <w:rFonts w:ascii="Times New Roman" w:hAnsi="Times New Roman"/>
          <w:sz w:val="28"/>
          <w:lang w:eastAsia="es-MX"/>
        </w:rPr>
        <w:t>ió</w:t>
      </w:r>
      <w:r w:rsidRPr="003E425B">
        <w:rPr>
          <w:rFonts w:ascii="Times New Roman" w:hAnsi="Times New Roman"/>
          <w:sz w:val="28"/>
          <w:lang w:eastAsia="es-MX"/>
        </w:rPr>
        <w:t xml:space="preserve"> con los requisitos </w:t>
      </w:r>
      <w:r w:rsidRPr="003E425B">
        <w:rPr>
          <w:rFonts w:ascii="Times New Roman" w:hAnsi="Times New Roman"/>
          <w:sz w:val="28"/>
          <w:lang w:eastAsia="es-MX"/>
        </w:rPr>
        <w:t>desarrollados por</w:t>
      </w:r>
      <w:r w:rsidRPr="003E425B">
        <w:rPr>
          <w:rFonts w:ascii="Times New Roman" w:hAnsi="Times New Roman"/>
          <w:sz w:val="28"/>
          <w:lang w:eastAsia="es-MX"/>
        </w:rPr>
        <w:t xml:space="preserve"> la jurisprudencia </w:t>
      </w:r>
      <w:r w:rsidRPr="003E425B">
        <w:rPr>
          <w:rFonts w:ascii="Times New Roman" w:hAnsi="Times New Roman"/>
          <w:sz w:val="28"/>
          <w:lang w:eastAsia="es-MX"/>
        </w:rPr>
        <w:t>constitucional</w:t>
      </w:r>
      <w:r w:rsidRPr="003E425B">
        <w:rPr>
          <w:rFonts w:ascii="Times New Roman" w:hAnsi="Times New Roman"/>
          <w:sz w:val="28"/>
          <w:lang w:eastAsia="es-MX"/>
        </w:rPr>
        <w:t>, p</w:t>
      </w:r>
      <w:r w:rsidRPr="003E425B">
        <w:rPr>
          <w:rFonts w:ascii="Times New Roman" w:hAnsi="Times New Roman"/>
          <w:sz w:val="28"/>
          <w:lang w:eastAsia="es-MX"/>
        </w:rPr>
        <w:t>uesto que</w:t>
      </w:r>
      <w:r w:rsidRPr="003E425B">
        <w:rPr>
          <w:rFonts w:ascii="Times New Roman" w:hAnsi="Times New Roman"/>
          <w:i/>
          <w:iCs/>
          <w:sz w:val="28"/>
          <w:lang w:eastAsia="es-MX"/>
        </w:rPr>
        <w:t xml:space="preserve"> </w:t>
      </w:r>
      <w:r w:rsidRPr="003E425B">
        <w:rPr>
          <w:rFonts w:ascii="Times New Roman" w:hAnsi="Times New Roman"/>
          <w:sz w:val="28"/>
          <w:lang w:eastAsia="es-MX"/>
        </w:rPr>
        <w:t>no indic</w:t>
      </w:r>
      <w:r w:rsidRPr="003E425B">
        <w:rPr>
          <w:rFonts w:ascii="Times New Roman" w:hAnsi="Times New Roman"/>
          <w:sz w:val="28"/>
          <w:lang w:eastAsia="es-MX"/>
        </w:rPr>
        <w:t>ó</w:t>
      </w:r>
      <w:r w:rsidRPr="003E425B">
        <w:rPr>
          <w:rFonts w:ascii="Times New Roman" w:hAnsi="Times New Roman"/>
          <w:sz w:val="28"/>
          <w:lang w:eastAsia="es-MX"/>
        </w:rPr>
        <w:t xml:space="preserve"> cuál sería el costo preciso de</w:t>
      </w:r>
      <w:r w:rsidRPr="003E425B">
        <w:rPr>
          <w:rFonts w:ascii="Times New Roman" w:hAnsi="Times New Roman"/>
          <w:sz w:val="28"/>
          <w:lang w:eastAsia="es-MX"/>
        </w:rPr>
        <w:t xml:space="preserve"> creación y operación del Ministerio. Por el contrario, el MHCP reconoció de forma expresa que el costo “</w:t>
      </w:r>
      <w:r w:rsidRPr="003E425B">
        <w:rPr>
          <w:rFonts w:ascii="Times New Roman" w:hAnsi="Times New Roman"/>
          <w:sz w:val="28"/>
          <w:lang w:val="es-ES"/>
        </w:rPr>
        <w:t>sólo se puede tener una vez se cuente con la estructura final de la entidad”</w:t>
      </w:r>
      <w:r w:rsidRPr="003E425B">
        <w:rPr>
          <w:rStyle w:val="Refdenotaalpie"/>
          <w:rFonts w:ascii="Times New Roman" w:hAnsi="Times New Roman"/>
          <w:sz w:val="28"/>
          <w:lang w:val="es-ES"/>
        </w:rPr>
        <w:footnoteReference w:id="187"/>
      </w:r>
      <w:r w:rsidRPr="003E425B">
        <w:rPr>
          <w:rFonts w:ascii="Times New Roman" w:hAnsi="Times New Roman"/>
          <w:sz w:val="28"/>
          <w:lang w:val="es-ES"/>
        </w:rPr>
        <w:t xml:space="preserve">. Por último, según los demandantes, el proyecto </w:t>
      </w:r>
      <w:r w:rsidRPr="003E425B">
        <w:rPr>
          <w:rFonts w:ascii="Times New Roman" w:hAnsi="Times New Roman"/>
          <w:sz w:val="28"/>
          <w:lang w:val="es-ES"/>
        </w:rPr>
        <w:t xml:space="preserve">de ley </w:t>
      </w:r>
      <w:r w:rsidRPr="003E425B">
        <w:rPr>
          <w:rFonts w:ascii="Times New Roman" w:hAnsi="Times New Roman"/>
          <w:sz w:val="28"/>
          <w:lang w:val="es-ES"/>
        </w:rPr>
        <w:t xml:space="preserve">fue aprobado pese </w:t>
      </w:r>
      <w:r w:rsidRPr="003E425B">
        <w:rPr>
          <w:rFonts w:ascii="Times New Roman" w:hAnsi="Times New Roman"/>
          <w:sz w:val="28"/>
          <w:lang w:val="es-ES"/>
        </w:rPr>
        <w:t xml:space="preserve">a que las plenarias no estudiaron ni debatieron </w:t>
      </w:r>
      <w:r w:rsidRPr="003E425B">
        <w:rPr>
          <w:rFonts w:ascii="Times New Roman" w:hAnsi="Times New Roman"/>
          <w:sz w:val="28"/>
          <w:lang w:val="es-ES"/>
        </w:rPr>
        <w:t>de forma ser</w:t>
      </w:r>
      <w:r w:rsidRPr="003E425B">
        <w:rPr>
          <w:rFonts w:ascii="Times New Roman" w:hAnsi="Times New Roman"/>
          <w:sz w:val="28"/>
          <w:lang w:val="es-ES"/>
        </w:rPr>
        <w:t>ia</w:t>
      </w:r>
      <w:r w:rsidRPr="003E425B">
        <w:rPr>
          <w:rFonts w:ascii="Times New Roman" w:hAnsi="Times New Roman"/>
          <w:sz w:val="28"/>
          <w:lang w:val="es-ES"/>
        </w:rPr>
        <w:t xml:space="preserve"> y suficiente </w:t>
      </w:r>
      <w:r w:rsidRPr="003E425B">
        <w:rPr>
          <w:rFonts w:ascii="Times New Roman" w:hAnsi="Times New Roman"/>
          <w:sz w:val="28"/>
          <w:lang w:val="es-ES"/>
        </w:rPr>
        <w:t xml:space="preserve">el concepto que </w:t>
      </w:r>
      <w:r w:rsidRPr="003E425B">
        <w:rPr>
          <w:rFonts w:ascii="Times New Roman" w:hAnsi="Times New Roman"/>
          <w:sz w:val="28"/>
          <w:lang w:val="es-ES"/>
        </w:rPr>
        <w:t xml:space="preserve">el MCHP </w:t>
      </w:r>
      <w:r w:rsidRPr="003E425B">
        <w:rPr>
          <w:rFonts w:ascii="Times New Roman" w:hAnsi="Times New Roman"/>
          <w:sz w:val="28"/>
          <w:lang w:val="es-ES"/>
        </w:rPr>
        <w:t>presentó.</w:t>
      </w:r>
    </w:p>
    <w:p w:rsidR="005A0403" w:rsidRPr="003E425B" w:rsidRDefault="003E425B" w:rsidP="00010108">
      <w:pPr>
        <w:pStyle w:val="Prrafodelista"/>
        <w:widowControl w:val="0"/>
        <w:tabs>
          <w:tab w:val="left" w:pos="567"/>
        </w:tabs>
        <w:spacing w:line="240" w:lineRule="auto"/>
        <w:ind w:left="360"/>
        <w:rPr>
          <w:rFonts w:ascii="Times New Roman" w:hAnsi="Times New Roman"/>
          <w:sz w:val="28"/>
        </w:rPr>
      </w:pPr>
    </w:p>
    <w:p w:rsidR="005A0403" w:rsidRPr="003E425B" w:rsidRDefault="003E425B" w:rsidP="00010108">
      <w:pPr>
        <w:pStyle w:val="Prrafodelista"/>
        <w:widowControl w:val="0"/>
        <w:numPr>
          <w:ilvl w:val="0"/>
          <w:numId w:val="10"/>
        </w:numPr>
        <w:tabs>
          <w:tab w:val="left" w:pos="0"/>
        </w:tabs>
        <w:spacing w:line="240" w:lineRule="auto"/>
        <w:ind w:left="0" w:firstLine="0"/>
        <w:rPr>
          <w:rFonts w:ascii="Times New Roman" w:hAnsi="Times New Roman"/>
          <w:sz w:val="28"/>
        </w:rPr>
      </w:pPr>
      <w:r w:rsidRPr="003E425B">
        <w:rPr>
          <w:rFonts w:ascii="Times New Roman" w:hAnsi="Times New Roman"/>
          <w:i/>
          <w:iCs/>
          <w:sz w:val="28"/>
          <w:lang w:eastAsia="es-MX"/>
        </w:rPr>
        <w:t>Intervenciones</w:t>
      </w:r>
      <w:r w:rsidRPr="003E425B">
        <w:rPr>
          <w:rFonts w:ascii="Times New Roman" w:hAnsi="Times New Roman"/>
          <w:sz w:val="28"/>
          <w:lang w:eastAsia="es-MX"/>
        </w:rPr>
        <w:t>. Veinticuatro intervinientes</w:t>
      </w:r>
      <w:r w:rsidRPr="003E425B">
        <w:rPr>
          <w:rFonts w:ascii="Times New Roman" w:hAnsi="Times New Roman"/>
          <w:sz w:val="28"/>
          <w:vertAlign w:val="superscript"/>
          <w:lang w:eastAsia="es-MX"/>
        </w:rPr>
        <w:footnoteReference w:id="188"/>
      </w:r>
      <w:r w:rsidRPr="003E425B">
        <w:rPr>
          <w:rFonts w:ascii="Times New Roman" w:hAnsi="Times New Roman"/>
          <w:sz w:val="28"/>
          <w:lang w:eastAsia="es-MX"/>
        </w:rPr>
        <w:t xml:space="preserve"> argumentan que este cargo no debe prosperar, con fundamento en</w:t>
      </w:r>
      <w:r w:rsidRPr="003E425B">
        <w:rPr>
          <w:rFonts w:ascii="Times New Roman" w:hAnsi="Times New Roman"/>
          <w:sz w:val="28"/>
          <w:lang w:eastAsia="es-MX"/>
        </w:rPr>
        <w:t>, principalmente,</w:t>
      </w:r>
      <w:r w:rsidRPr="003E425B">
        <w:rPr>
          <w:rFonts w:ascii="Times New Roman" w:hAnsi="Times New Roman"/>
          <w:sz w:val="28"/>
          <w:lang w:eastAsia="es-MX"/>
        </w:rPr>
        <w:t xml:space="preserve"> tres argumentos: </w:t>
      </w:r>
    </w:p>
    <w:p w:rsidR="005A0403" w:rsidRPr="003E425B" w:rsidRDefault="003E425B" w:rsidP="00010108">
      <w:pPr>
        <w:pStyle w:val="Prrafodelista"/>
        <w:widowControl w:val="0"/>
        <w:tabs>
          <w:tab w:val="left" w:pos="0"/>
        </w:tabs>
        <w:spacing w:line="240" w:lineRule="auto"/>
        <w:ind w:left="0"/>
        <w:rPr>
          <w:rFonts w:ascii="Times New Roman" w:hAnsi="Times New Roman"/>
          <w:sz w:val="28"/>
        </w:rPr>
      </w:pPr>
    </w:p>
    <w:p w:rsidR="002860D7" w:rsidRPr="003E425B" w:rsidRDefault="003E425B" w:rsidP="00010108">
      <w:pPr>
        <w:pStyle w:val="Prrafodelista"/>
        <w:widowControl w:val="0"/>
        <w:numPr>
          <w:ilvl w:val="0"/>
          <w:numId w:val="10"/>
        </w:numPr>
        <w:tabs>
          <w:tab w:val="left" w:pos="0"/>
        </w:tabs>
        <w:spacing w:line="240" w:lineRule="auto"/>
        <w:ind w:left="0" w:firstLine="0"/>
        <w:rPr>
          <w:rFonts w:ascii="Times New Roman" w:hAnsi="Times New Roman"/>
          <w:sz w:val="28"/>
        </w:rPr>
      </w:pPr>
      <w:r w:rsidRPr="003E425B">
        <w:rPr>
          <w:rFonts w:ascii="Times New Roman" w:hAnsi="Times New Roman"/>
          <w:sz w:val="28"/>
          <w:u w:val="single"/>
          <w:lang w:eastAsia="es-MX"/>
        </w:rPr>
        <w:t>Primero</w:t>
      </w:r>
      <w:r w:rsidRPr="003E425B">
        <w:rPr>
          <w:rFonts w:ascii="Times New Roman" w:hAnsi="Times New Roman"/>
          <w:sz w:val="28"/>
          <w:lang w:eastAsia="es-MX"/>
        </w:rPr>
        <w:t xml:space="preserve">. El análisis de impacto fiscal no era exigible en este caso, puesto que la </w:t>
      </w:r>
      <w:r w:rsidRPr="003E425B">
        <w:rPr>
          <w:rFonts w:ascii="Times New Roman" w:hAnsi="Times New Roman"/>
          <w:sz w:val="28"/>
        </w:rPr>
        <w:t xml:space="preserve">Ley 2281 de 2023 no prevé una orden de gasto, sino que simplemente habilita al Presidente de la República </w:t>
      </w:r>
      <w:r w:rsidRPr="003E425B">
        <w:rPr>
          <w:rFonts w:ascii="Times New Roman" w:hAnsi="Times New Roman"/>
          <w:sz w:val="28"/>
        </w:rPr>
        <w:t>a incluir</w:t>
      </w:r>
      <w:r w:rsidRPr="003E425B">
        <w:rPr>
          <w:rFonts w:ascii="Times New Roman" w:hAnsi="Times New Roman"/>
          <w:sz w:val="28"/>
        </w:rPr>
        <w:t xml:space="preserve"> una partida en el Presupuesto General de la Nación</w:t>
      </w:r>
      <w:r w:rsidRPr="003E425B">
        <w:rPr>
          <w:rStyle w:val="Refdenotaalpie"/>
          <w:rFonts w:ascii="Times New Roman" w:hAnsi="Times New Roman"/>
          <w:sz w:val="28"/>
        </w:rPr>
        <w:footnoteReference w:id="189"/>
      </w:r>
      <w:r w:rsidRPr="003E425B">
        <w:rPr>
          <w:rFonts w:ascii="Times New Roman" w:hAnsi="Times New Roman"/>
          <w:sz w:val="28"/>
        </w:rPr>
        <w:t>. A ju</w:t>
      </w:r>
      <w:r w:rsidRPr="003E425B">
        <w:rPr>
          <w:rFonts w:ascii="Times New Roman" w:hAnsi="Times New Roman"/>
          <w:sz w:val="28"/>
        </w:rPr>
        <w:t>icio de los intervinientes,</w:t>
      </w:r>
      <w:r w:rsidRPr="003E425B">
        <w:rPr>
          <w:rFonts w:ascii="Times New Roman" w:hAnsi="Times New Roman"/>
          <w:sz w:val="28"/>
          <w:lang w:val="es-ES"/>
        </w:rPr>
        <w:t xml:space="preserve"> </w:t>
      </w:r>
      <w:r w:rsidRPr="003E425B">
        <w:rPr>
          <w:rFonts w:ascii="Times New Roman" w:hAnsi="Times New Roman"/>
          <w:i/>
          <w:iCs/>
          <w:sz w:val="28"/>
          <w:lang w:val="es-ES"/>
        </w:rPr>
        <w:t>(i)</w:t>
      </w:r>
      <w:r w:rsidRPr="003E425B">
        <w:rPr>
          <w:rFonts w:ascii="Times New Roman" w:hAnsi="Times New Roman"/>
          <w:sz w:val="28"/>
          <w:lang w:val="es-ES"/>
        </w:rPr>
        <w:t xml:space="preserve"> de conformidad con las normas presupuestales, el Gobierno Nacional puede decidir libremente si incluye </w:t>
      </w:r>
      <w:r w:rsidRPr="003E425B">
        <w:rPr>
          <w:rFonts w:ascii="Times New Roman" w:hAnsi="Times New Roman"/>
          <w:sz w:val="28"/>
          <w:lang w:val="es-ES"/>
        </w:rPr>
        <w:t xml:space="preserve">en la ley del presupuesto el </w:t>
      </w:r>
      <w:r w:rsidRPr="003E425B">
        <w:rPr>
          <w:rFonts w:ascii="Times New Roman" w:hAnsi="Times New Roman"/>
          <w:sz w:val="28"/>
          <w:lang w:val="es-ES"/>
        </w:rPr>
        <w:t>gasto</w:t>
      </w:r>
      <w:r w:rsidRPr="003E425B">
        <w:rPr>
          <w:rFonts w:ascii="Times New Roman" w:hAnsi="Times New Roman"/>
          <w:sz w:val="28"/>
          <w:lang w:val="es-ES"/>
        </w:rPr>
        <w:t xml:space="preserve"> de entrada en operación del nuevo ministerio</w:t>
      </w:r>
      <w:r w:rsidRPr="003E425B">
        <w:rPr>
          <w:rStyle w:val="Refdenotaalpie"/>
          <w:rFonts w:ascii="Times New Roman" w:hAnsi="Times New Roman"/>
          <w:sz w:val="28"/>
          <w:lang w:val="es-ES"/>
        </w:rPr>
        <w:footnoteReference w:id="190"/>
      </w:r>
      <w:r w:rsidRPr="003E425B">
        <w:rPr>
          <w:rFonts w:ascii="Times New Roman" w:hAnsi="Times New Roman"/>
          <w:sz w:val="28"/>
          <w:lang w:val="es-ES"/>
        </w:rPr>
        <w:t xml:space="preserve"> el cual, en todo caso, estará sujeto a l</w:t>
      </w:r>
      <w:r w:rsidRPr="003E425B">
        <w:rPr>
          <w:rFonts w:ascii="Times New Roman" w:hAnsi="Times New Roman"/>
          <w:sz w:val="28"/>
          <w:lang w:val="es-ES"/>
        </w:rPr>
        <w:t>a disponibilidad de recursos y deberá armonizarse con el MFMP</w:t>
      </w:r>
      <w:r w:rsidRPr="003E425B">
        <w:rPr>
          <w:rStyle w:val="Refdenotaalpie"/>
          <w:rFonts w:ascii="Times New Roman" w:hAnsi="Times New Roman"/>
          <w:sz w:val="28"/>
          <w:lang w:val="es-ES"/>
        </w:rPr>
        <w:footnoteReference w:id="191"/>
      </w:r>
      <w:r w:rsidRPr="003E425B">
        <w:rPr>
          <w:rFonts w:ascii="Times New Roman" w:hAnsi="Times New Roman"/>
          <w:sz w:val="28"/>
          <w:lang w:val="es-ES"/>
        </w:rPr>
        <w:t xml:space="preserve">; </w:t>
      </w:r>
      <w:r w:rsidRPr="003E425B">
        <w:rPr>
          <w:rFonts w:ascii="Times New Roman" w:hAnsi="Times New Roman"/>
          <w:i/>
          <w:iCs/>
          <w:sz w:val="28"/>
          <w:lang w:val="es-ES"/>
        </w:rPr>
        <w:t>(ii)</w:t>
      </w:r>
      <w:r w:rsidRPr="003E425B">
        <w:rPr>
          <w:rFonts w:ascii="Times New Roman" w:hAnsi="Times New Roman"/>
          <w:sz w:val="28"/>
          <w:lang w:val="es-ES"/>
        </w:rPr>
        <w:t xml:space="preserve"> el concepto que presentó el MHCP durante el trámite legislativo daba cuenta de que </w:t>
      </w:r>
      <w:r w:rsidRPr="003E425B">
        <w:rPr>
          <w:rFonts w:ascii="Times New Roman" w:hAnsi="Times New Roman"/>
          <w:sz w:val="28"/>
          <w:lang w:val="es-ES"/>
        </w:rPr>
        <w:t>la entrada en funcionamiento</w:t>
      </w:r>
      <w:r w:rsidRPr="003E425B">
        <w:rPr>
          <w:rFonts w:ascii="Times New Roman" w:hAnsi="Times New Roman"/>
          <w:sz w:val="28"/>
          <w:lang w:val="es-ES"/>
        </w:rPr>
        <w:t xml:space="preserve"> del ministerio </w:t>
      </w:r>
      <w:r w:rsidRPr="003E425B">
        <w:rPr>
          <w:rFonts w:ascii="Times New Roman" w:hAnsi="Times New Roman"/>
          <w:sz w:val="28"/>
          <w:lang w:val="es-ES"/>
        </w:rPr>
        <w:t xml:space="preserve">estaba condicionada </w:t>
      </w:r>
      <w:r w:rsidRPr="003E425B">
        <w:rPr>
          <w:rFonts w:ascii="Times New Roman" w:hAnsi="Times New Roman"/>
          <w:sz w:val="28"/>
          <w:lang w:val="es-ES"/>
        </w:rPr>
        <w:t>a la disponibilidad fiscal</w:t>
      </w:r>
      <w:r w:rsidRPr="003E425B">
        <w:rPr>
          <w:rFonts w:ascii="Times New Roman" w:hAnsi="Times New Roman"/>
          <w:sz w:val="28"/>
          <w:lang w:val="es-ES"/>
        </w:rPr>
        <w:t xml:space="preserve"> y </w:t>
      </w:r>
      <w:r w:rsidRPr="003E425B">
        <w:rPr>
          <w:rFonts w:ascii="Times New Roman" w:hAnsi="Times New Roman"/>
          <w:sz w:val="28"/>
          <w:lang w:val="es-ES"/>
        </w:rPr>
        <w:t xml:space="preserve">las normas </w:t>
      </w:r>
      <w:r w:rsidRPr="003E425B">
        <w:rPr>
          <w:rFonts w:ascii="Times New Roman" w:hAnsi="Times New Roman"/>
          <w:sz w:val="28"/>
          <w:lang w:val="es-ES"/>
        </w:rPr>
        <w:t>con fuerza de Ley que expidiera el presidente para integrar el nuevo sector administrativo</w:t>
      </w:r>
      <w:r w:rsidRPr="003E425B">
        <w:rPr>
          <w:rStyle w:val="Refdenotaalpie"/>
          <w:rFonts w:ascii="Times New Roman" w:hAnsi="Times New Roman"/>
          <w:sz w:val="28"/>
          <w:lang w:val="es-ES"/>
        </w:rPr>
        <w:footnoteReference w:id="192"/>
      </w:r>
      <w:r w:rsidRPr="003E425B">
        <w:rPr>
          <w:rFonts w:ascii="Times New Roman" w:hAnsi="Times New Roman"/>
          <w:sz w:val="28"/>
          <w:lang w:val="es-ES"/>
        </w:rPr>
        <w:t xml:space="preserve">; y </w:t>
      </w:r>
      <w:r w:rsidRPr="003E425B">
        <w:rPr>
          <w:rFonts w:ascii="Times New Roman" w:hAnsi="Times New Roman"/>
          <w:i/>
          <w:iCs/>
          <w:sz w:val="28"/>
          <w:lang w:val="es-ES"/>
        </w:rPr>
        <w:t>(</w:t>
      </w:r>
      <w:r w:rsidRPr="003E425B">
        <w:rPr>
          <w:rFonts w:ascii="Times New Roman" w:hAnsi="Times New Roman"/>
          <w:i/>
          <w:iCs/>
          <w:sz w:val="28"/>
          <w:lang w:val="es-ES"/>
        </w:rPr>
        <w:t>i</w:t>
      </w:r>
      <w:r w:rsidRPr="003E425B">
        <w:rPr>
          <w:rFonts w:ascii="Times New Roman" w:hAnsi="Times New Roman"/>
          <w:i/>
          <w:iCs/>
          <w:sz w:val="28"/>
          <w:lang w:val="es-ES"/>
        </w:rPr>
        <w:t>ii</w:t>
      </w:r>
      <w:r w:rsidRPr="003E425B">
        <w:rPr>
          <w:rFonts w:ascii="Times New Roman" w:hAnsi="Times New Roman"/>
          <w:i/>
          <w:iCs/>
          <w:sz w:val="28"/>
          <w:lang w:val="es-ES"/>
        </w:rPr>
        <w:t>)</w:t>
      </w:r>
      <w:r w:rsidRPr="003E425B">
        <w:rPr>
          <w:rFonts w:ascii="Times New Roman" w:hAnsi="Times New Roman"/>
          <w:sz w:val="28"/>
          <w:lang w:val="es-ES"/>
        </w:rPr>
        <w:t xml:space="preserve"> </w:t>
      </w:r>
      <w:r w:rsidRPr="003E425B">
        <w:rPr>
          <w:rFonts w:ascii="Times New Roman" w:hAnsi="Times New Roman"/>
          <w:sz w:val="28"/>
          <w:lang w:val="es-ES"/>
        </w:rPr>
        <w:t xml:space="preserve">en la Ley 2281 de 20223, </w:t>
      </w:r>
      <w:r w:rsidRPr="003E425B">
        <w:rPr>
          <w:rFonts w:ascii="Times New Roman" w:hAnsi="Times New Roman"/>
          <w:sz w:val="28"/>
          <w:lang w:val="es-ES"/>
        </w:rPr>
        <w:t>la creación del ministerio y la inclusión de partidas presupuestales se expresa “en términos facultativos y generales” de modo que</w:t>
      </w:r>
      <w:r w:rsidRPr="003E425B">
        <w:rPr>
          <w:rFonts w:ascii="Times New Roman" w:hAnsi="Times New Roman"/>
          <w:sz w:val="28"/>
          <w:lang w:val="es-ES"/>
        </w:rPr>
        <w:t xml:space="preserve"> para su concreción se requiere la intervención y desarrollo normativo del ejecutivo</w:t>
      </w:r>
      <w:r w:rsidRPr="003E425B">
        <w:rPr>
          <w:rStyle w:val="Refdenotaalpie"/>
          <w:rFonts w:ascii="Times New Roman" w:hAnsi="Times New Roman"/>
          <w:sz w:val="28"/>
          <w:lang w:val="es-ES"/>
        </w:rPr>
        <w:footnoteReference w:id="193"/>
      </w:r>
      <w:r w:rsidRPr="003E425B">
        <w:rPr>
          <w:rFonts w:ascii="Times New Roman" w:hAnsi="Times New Roman"/>
          <w:sz w:val="28"/>
          <w:lang w:val="es-ES"/>
        </w:rPr>
        <w:t>.</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25"/>
        </w:numPr>
        <w:tabs>
          <w:tab w:val="left" w:pos="0"/>
        </w:tabs>
        <w:spacing w:line="240" w:lineRule="auto"/>
        <w:ind w:left="0" w:firstLine="0"/>
        <w:rPr>
          <w:rFonts w:ascii="Times New Roman" w:hAnsi="Times New Roman"/>
          <w:i/>
          <w:iCs/>
          <w:sz w:val="28"/>
          <w:lang w:eastAsia="es-MX"/>
        </w:rPr>
      </w:pPr>
      <w:r w:rsidRPr="003E425B">
        <w:rPr>
          <w:rFonts w:ascii="Times New Roman" w:hAnsi="Times New Roman"/>
          <w:sz w:val="28"/>
          <w:u w:val="single"/>
        </w:rPr>
        <w:t>Segundo</w:t>
      </w:r>
      <w:r w:rsidRPr="003E425B">
        <w:rPr>
          <w:rFonts w:ascii="Times New Roman" w:hAnsi="Times New Roman"/>
          <w:sz w:val="28"/>
        </w:rPr>
        <w:t xml:space="preserve">. Aun si se aceptara que la Ley 2281 de 2023 ordena un gasto, el examen del cumplimiento de la obligación de </w:t>
      </w:r>
      <w:r w:rsidRPr="003E425B">
        <w:rPr>
          <w:rFonts w:ascii="Times New Roman" w:hAnsi="Times New Roman"/>
          <w:sz w:val="28"/>
        </w:rPr>
        <w:t>analizar el</w:t>
      </w:r>
      <w:r w:rsidRPr="003E425B">
        <w:rPr>
          <w:rFonts w:ascii="Times New Roman" w:hAnsi="Times New Roman"/>
          <w:sz w:val="28"/>
        </w:rPr>
        <w:t xml:space="preserve"> impacto fiscal debe llevarse a cabo bajo</w:t>
      </w:r>
      <w:r w:rsidRPr="003E425B">
        <w:rPr>
          <w:rFonts w:ascii="Times New Roman" w:hAnsi="Times New Roman"/>
          <w:sz w:val="28"/>
        </w:rPr>
        <w:t xml:space="preserve"> un escrutinio “deferente”</w:t>
      </w:r>
      <w:r w:rsidRPr="003E425B">
        <w:rPr>
          <w:rStyle w:val="Refdenotaalpie"/>
          <w:rFonts w:ascii="Times New Roman" w:hAnsi="Times New Roman"/>
          <w:sz w:val="28"/>
        </w:rPr>
        <w:footnoteReference w:id="194"/>
      </w:r>
      <w:r w:rsidRPr="003E425B">
        <w:rPr>
          <w:rFonts w:ascii="Times New Roman" w:hAnsi="Times New Roman"/>
          <w:sz w:val="28"/>
        </w:rPr>
        <w:t xml:space="preserve">. Esto, porque la iniciativa </w:t>
      </w:r>
      <w:r w:rsidRPr="003E425B">
        <w:rPr>
          <w:rFonts w:ascii="Times New Roman" w:hAnsi="Times New Roman"/>
          <w:sz w:val="28"/>
        </w:rPr>
        <w:t xml:space="preserve">legislativa </w:t>
      </w:r>
      <w:r w:rsidRPr="003E425B">
        <w:rPr>
          <w:rFonts w:ascii="Times New Roman" w:hAnsi="Times New Roman"/>
          <w:sz w:val="28"/>
        </w:rPr>
        <w:t xml:space="preserve">fue mixta, habida cuenta de que el proyecto de ley fue presentado por el Gobierno Nacional en conjunto con algunos congresistas. </w:t>
      </w:r>
      <w:r w:rsidRPr="003E425B">
        <w:rPr>
          <w:rFonts w:ascii="Times New Roman" w:hAnsi="Times New Roman"/>
          <w:sz w:val="28"/>
        </w:rPr>
        <w:t>Los intervinientes consideran</w:t>
      </w:r>
      <w:r w:rsidRPr="003E425B">
        <w:rPr>
          <w:rFonts w:ascii="Times New Roman" w:hAnsi="Times New Roman"/>
          <w:sz w:val="28"/>
        </w:rPr>
        <w:t xml:space="preserve"> que, a la luz de este estánda</w:t>
      </w:r>
      <w:r w:rsidRPr="003E425B">
        <w:rPr>
          <w:rFonts w:ascii="Times New Roman" w:hAnsi="Times New Roman"/>
          <w:sz w:val="28"/>
        </w:rPr>
        <w:t xml:space="preserve">r deferente, el trámite de aprobación legislativa de la </w:t>
      </w:r>
      <w:r w:rsidRPr="003E425B">
        <w:rPr>
          <w:rFonts w:ascii="Times New Roman" w:hAnsi="Times New Roman"/>
          <w:sz w:val="28"/>
        </w:rPr>
        <w:t>L</w:t>
      </w:r>
      <w:r w:rsidRPr="003E425B">
        <w:rPr>
          <w:rFonts w:ascii="Times New Roman" w:hAnsi="Times New Roman"/>
          <w:sz w:val="28"/>
        </w:rPr>
        <w:t xml:space="preserve">ey 2281 de 2023 satisfizo las exigencias previstas en el artículo 7º de la Ley 819 de 2003. </w:t>
      </w:r>
      <w:r w:rsidRPr="003E425B">
        <w:rPr>
          <w:rFonts w:ascii="Times New Roman" w:hAnsi="Times New Roman"/>
          <w:sz w:val="28"/>
        </w:rPr>
        <w:t>Lo anterior, con fundamento en las siguientes cuatro premisas:</w:t>
      </w:r>
    </w:p>
    <w:p w:rsidR="002860D7" w:rsidRPr="003E425B" w:rsidRDefault="003E425B" w:rsidP="00010108">
      <w:pPr>
        <w:pStyle w:val="Prrafodelista"/>
        <w:spacing w:line="240" w:lineRule="auto"/>
        <w:rPr>
          <w:rFonts w:ascii="Times New Roman" w:hAnsi="Times New Roman"/>
          <w:sz w:val="28"/>
        </w:rPr>
      </w:pPr>
    </w:p>
    <w:p w:rsidR="00B45307" w:rsidRPr="003E425B" w:rsidRDefault="003E425B" w:rsidP="000C6CC6">
      <w:pPr>
        <w:pStyle w:val="Prrafodelista"/>
        <w:numPr>
          <w:ilvl w:val="1"/>
          <w:numId w:val="25"/>
        </w:numPr>
        <w:spacing w:line="240" w:lineRule="auto"/>
        <w:ind w:left="851" w:hanging="851"/>
        <w:rPr>
          <w:rFonts w:ascii="Times New Roman" w:hAnsi="Times New Roman"/>
          <w:i/>
          <w:iCs/>
          <w:sz w:val="28"/>
          <w:lang w:eastAsia="es-MX"/>
        </w:rPr>
      </w:pPr>
      <w:r w:rsidRPr="003E425B">
        <w:rPr>
          <w:rFonts w:ascii="Times New Roman" w:hAnsi="Times New Roman"/>
          <w:sz w:val="28"/>
        </w:rPr>
        <w:t xml:space="preserve">En la exposición de motivos del proyecto de ley, el Gobierno Nacional no estaba obligado </w:t>
      </w:r>
      <w:r w:rsidRPr="003E425B">
        <w:rPr>
          <w:rFonts w:ascii="Times New Roman" w:hAnsi="Times New Roman"/>
          <w:sz w:val="28"/>
        </w:rPr>
        <w:t xml:space="preserve">a </w:t>
      </w:r>
      <w:r w:rsidRPr="003E425B">
        <w:rPr>
          <w:rFonts w:ascii="Times New Roman" w:hAnsi="Times New Roman"/>
          <w:sz w:val="28"/>
        </w:rPr>
        <w:t xml:space="preserve">estimar el costo de creación </w:t>
      </w:r>
      <w:r w:rsidRPr="003E425B">
        <w:rPr>
          <w:rFonts w:ascii="Times New Roman" w:hAnsi="Times New Roman"/>
          <w:sz w:val="28"/>
        </w:rPr>
        <w:t>del nuevo ministerio</w:t>
      </w:r>
      <w:r w:rsidRPr="003E425B">
        <w:rPr>
          <w:rStyle w:val="Refdenotaalpie"/>
          <w:rFonts w:ascii="Times New Roman" w:hAnsi="Times New Roman"/>
          <w:sz w:val="28"/>
        </w:rPr>
        <w:footnoteReference w:id="195"/>
      </w:r>
      <w:r w:rsidRPr="003E425B">
        <w:rPr>
          <w:rFonts w:ascii="Times New Roman" w:hAnsi="Times New Roman"/>
          <w:sz w:val="28"/>
        </w:rPr>
        <w:t xml:space="preserve">. </w:t>
      </w:r>
      <w:r w:rsidRPr="003E425B">
        <w:rPr>
          <w:rFonts w:ascii="Times New Roman" w:hAnsi="Times New Roman"/>
          <w:sz w:val="28"/>
        </w:rPr>
        <w:t>En</w:t>
      </w:r>
      <w:r w:rsidRPr="003E425B">
        <w:rPr>
          <w:rFonts w:ascii="Times New Roman" w:hAnsi="Times New Roman"/>
          <w:sz w:val="28"/>
        </w:rPr>
        <w:t xml:space="preserve"> cualquier caso, </w:t>
      </w:r>
      <w:r w:rsidRPr="003E425B">
        <w:rPr>
          <w:rFonts w:ascii="Times New Roman" w:hAnsi="Times New Roman"/>
          <w:sz w:val="28"/>
        </w:rPr>
        <w:t xml:space="preserve">la exposición de motivos </w:t>
      </w:r>
      <w:r w:rsidRPr="003E425B">
        <w:rPr>
          <w:rFonts w:ascii="Times New Roman" w:hAnsi="Times New Roman"/>
          <w:sz w:val="28"/>
        </w:rPr>
        <w:t xml:space="preserve">precisó que el mismo </w:t>
      </w:r>
      <w:r w:rsidRPr="003E425B">
        <w:rPr>
          <w:rFonts w:ascii="Times New Roman" w:hAnsi="Times New Roman"/>
          <w:sz w:val="28"/>
        </w:rPr>
        <w:t>la creación y entrada en funcionamiento del Mini</w:t>
      </w:r>
      <w:r w:rsidRPr="003E425B">
        <w:rPr>
          <w:rFonts w:ascii="Times New Roman" w:hAnsi="Times New Roman"/>
          <w:sz w:val="28"/>
        </w:rPr>
        <w:t xml:space="preserve">sterio de Igualdad y Equidad </w:t>
      </w:r>
      <w:r w:rsidRPr="003E425B">
        <w:rPr>
          <w:rFonts w:ascii="Times New Roman" w:hAnsi="Times New Roman"/>
          <w:sz w:val="28"/>
        </w:rPr>
        <w:t>“se haría en el marco de la política de austeridad del Gobierno Nacional”</w:t>
      </w:r>
      <w:r w:rsidRPr="003E425B">
        <w:rPr>
          <w:rStyle w:val="Refdenotaalpie"/>
          <w:rFonts w:ascii="Times New Roman" w:hAnsi="Times New Roman"/>
          <w:sz w:val="28"/>
        </w:rPr>
        <w:footnoteReference w:id="196"/>
      </w:r>
      <w:r w:rsidRPr="003E425B">
        <w:rPr>
          <w:rFonts w:ascii="Times New Roman" w:hAnsi="Times New Roman"/>
          <w:sz w:val="28"/>
        </w:rPr>
        <w:t xml:space="preserve">. </w:t>
      </w:r>
    </w:p>
    <w:p w:rsidR="00B706FF" w:rsidRPr="003E425B" w:rsidRDefault="003E425B" w:rsidP="00B706FF">
      <w:pPr>
        <w:pStyle w:val="Prrafodelista"/>
        <w:numPr>
          <w:ilvl w:val="1"/>
          <w:numId w:val="25"/>
        </w:numPr>
        <w:spacing w:line="240" w:lineRule="auto"/>
        <w:ind w:left="851" w:hanging="851"/>
        <w:rPr>
          <w:rFonts w:ascii="Times New Roman" w:hAnsi="Times New Roman"/>
          <w:i/>
          <w:iCs/>
          <w:sz w:val="28"/>
          <w:lang w:eastAsia="es-MX"/>
        </w:rPr>
      </w:pPr>
      <w:r w:rsidRPr="003E425B">
        <w:rPr>
          <w:rFonts w:ascii="Times New Roman" w:hAnsi="Times New Roman"/>
          <w:sz w:val="28"/>
        </w:rPr>
        <w:t xml:space="preserve">En el informe de ponencia para primer debate en </w:t>
      </w:r>
      <w:r w:rsidRPr="003E425B">
        <w:rPr>
          <w:rFonts w:ascii="Times New Roman" w:hAnsi="Times New Roman"/>
          <w:sz w:val="28"/>
        </w:rPr>
        <w:t xml:space="preserve">las </w:t>
      </w:r>
      <w:r w:rsidRPr="003E425B">
        <w:rPr>
          <w:rFonts w:ascii="Times New Roman" w:hAnsi="Times New Roman"/>
          <w:sz w:val="28"/>
        </w:rPr>
        <w:t>comisiones conjuntas</w:t>
      </w:r>
      <w:r w:rsidRPr="003E425B">
        <w:rPr>
          <w:rFonts w:ascii="Times New Roman" w:hAnsi="Times New Roman"/>
          <w:sz w:val="28"/>
        </w:rPr>
        <w:t xml:space="preserve"> del Senado y la Cámara</w:t>
      </w:r>
      <w:r w:rsidRPr="003E425B">
        <w:rPr>
          <w:rFonts w:ascii="Times New Roman" w:hAnsi="Times New Roman"/>
          <w:sz w:val="28"/>
        </w:rPr>
        <w:t>, los ponentes presentaron una estimación del costo que</w:t>
      </w:r>
      <w:r w:rsidRPr="003E425B">
        <w:rPr>
          <w:rFonts w:ascii="Times New Roman" w:hAnsi="Times New Roman"/>
          <w:sz w:val="28"/>
        </w:rPr>
        <w:t xml:space="preserve"> tendría el nuevo ministerio, el cual ascendería de 18.239 millones de pesos anuales</w:t>
      </w:r>
      <w:r w:rsidRPr="003E425B">
        <w:rPr>
          <w:rStyle w:val="Refdenotaalpie"/>
          <w:rFonts w:ascii="Times New Roman" w:hAnsi="Times New Roman"/>
          <w:sz w:val="28"/>
        </w:rPr>
        <w:footnoteReference w:id="197"/>
      </w:r>
      <w:r w:rsidRPr="003E425B">
        <w:rPr>
          <w:rFonts w:ascii="Times New Roman" w:hAnsi="Times New Roman"/>
          <w:sz w:val="28"/>
        </w:rPr>
        <w:t xml:space="preserve">. Además, indicaron que, al no tener definido en el proyecto de ley una fuente de ingresos adicional, estos costos “serán atendidos con los presupuestos apropiados por el </w:t>
      </w:r>
      <w:r w:rsidRPr="003E425B">
        <w:rPr>
          <w:rFonts w:ascii="Times New Roman" w:hAnsi="Times New Roman"/>
          <w:sz w:val="28"/>
        </w:rPr>
        <w:t>[PGN] para cada vigencia”</w:t>
      </w:r>
      <w:r w:rsidRPr="003E425B">
        <w:rPr>
          <w:rStyle w:val="Refdenotaalpie"/>
          <w:rFonts w:ascii="Times New Roman" w:hAnsi="Times New Roman"/>
          <w:sz w:val="28"/>
        </w:rPr>
        <w:footnoteReference w:id="198"/>
      </w:r>
      <w:r w:rsidRPr="003E425B">
        <w:rPr>
          <w:rFonts w:ascii="Times New Roman" w:hAnsi="Times New Roman"/>
          <w:sz w:val="28"/>
        </w:rPr>
        <w:t xml:space="preserve">. </w:t>
      </w:r>
    </w:p>
    <w:p w:rsidR="00BA00C7" w:rsidRPr="003E425B" w:rsidRDefault="003E425B" w:rsidP="00BA00C7">
      <w:pPr>
        <w:pStyle w:val="Prrafodelista"/>
        <w:numPr>
          <w:ilvl w:val="1"/>
          <w:numId w:val="25"/>
        </w:numPr>
        <w:spacing w:line="240" w:lineRule="auto"/>
        <w:ind w:left="851" w:hanging="851"/>
        <w:rPr>
          <w:rFonts w:ascii="Times New Roman" w:hAnsi="Times New Roman"/>
          <w:i/>
          <w:iCs/>
          <w:sz w:val="28"/>
          <w:lang w:eastAsia="es-MX"/>
        </w:rPr>
      </w:pPr>
      <w:r w:rsidRPr="003E425B">
        <w:rPr>
          <w:rFonts w:ascii="Times New Roman" w:hAnsi="Times New Roman"/>
          <w:sz w:val="28"/>
        </w:rPr>
        <w:t xml:space="preserve">El MHCP presentó concepto en </w:t>
      </w:r>
      <w:r w:rsidRPr="003E425B">
        <w:rPr>
          <w:rFonts w:ascii="Times New Roman" w:hAnsi="Times New Roman"/>
          <w:sz w:val="28"/>
        </w:rPr>
        <w:t>el que</w:t>
      </w:r>
      <w:r w:rsidRPr="003E425B">
        <w:rPr>
          <w:rFonts w:ascii="Times New Roman" w:hAnsi="Times New Roman"/>
          <w:sz w:val="28"/>
        </w:rPr>
        <w:t xml:space="preserve"> avaló la viabilidad fiscal del proyecto </w:t>
      </w:r>
      <w:r w:rsidRPr="003E425B">
        <w:rPr>
          <w:rFonts w:ascii="Times New Roman" w:hAnsi="Times New Roman"/>
          <w:sz w:val="28"/>
        </w:rPr>
        <w:t xml:space="preserve">de ley y su compatibilidad </w:t>
      </w:r>
      <w:r w:rsidRPr="003E425B">
        <w:rPr>
          <w:rFonts w:ascii="Times New Roman" w:hAnsi="Times New Roman"/>
          <w:sz w:val="28"/>
        </w:rPr>
        <w:t>con el MFMP</w:t>
      </w:r>
      <w:r w:rsidRPr="003E425B">
        <w:rPr>
          <w:rFonts w:ascii="Times New Roman" w:hAnsi="Times New Roman"/>
          <w:sz w:val="28"/>
          <w:vertAlign w:val="superscript"/>
        </w:rPr>
        <w:footnoteReference w:id="199"/>
      </w:r>
      <w:r w:rsidRPr="003E425B">
        <w:rPr>
          <w:rFonts w:ascii="Times New Roman" w:hAnsi="Times New Roman"/>
          <w:sz w:val="28"/>
        </w:rPr>
        <w:t>.</w:t>
      </w:r>
      <w:r w:rsidRPr="003E425B">
        <w:rPr>
          <w:rFonts w:ascii="Times New Roman" w:hAnsi="Times New Roman"/>
          <w:sz w:val="28"/>
        </w:rPr>
        <w:t xml:space="preserve"> El concepto</w:t>
      </w:r>
      <w:r w:rsidRPr="003E425B">
        <w:rPr>
          <w:rFonts w:ascii="Times New Roman" w:hAnsi="Times New Roman"/>
          <w:sz w:val="28"/>
        </w:rPr>
        <w:t xml:space="preserve"> inclu</w:t>
      </w:r>
      <w:r w:rsidRPr="003E425B">
        <w:rPr>
          <w:rFonts w:ascii="Times New Roman" w:hAnsi="Times New Roman"/>
          <w:sz w:val="28"/>
        </w:rPr>
        <w:t>yó</w:t>
      </w:r>
      <w:r w:rsidRPr="003E425B">
        <w:rPr>
          <w:rFonts w:ascii="Times New Roman" w:hAnsi="Times New Roman"/>
          <w:sz w:val="28"/>
        </w:rPr>
        <w:t xml:space="preserve"> </w:t>
      </w:r>
      <w:r w:rsidRPr="003E425B">
        <w:rPr>
          <w:rFonts w:ascii="Times New Roman" w:hAnsi="Times New Roman"/>
          <w:sz w:val="28"/>
        </w:rPr>
        <w:t xml:space="preserve">una estimación de </w:t>
      </w:r>
      <w:r w:rsidRPr="003E425B">
        <w:rPr>
          <w:rFonts w:ascii="Times New Roman" w:hAnsi="Times New Roman"/>
          <w:sz w:val="28"/>
        </w:rPr>
        <w:t xml:space="preserve">los costos </w:t>
      </w:r>
      <w:r w:rsidRPr="003E425B">
        <w:rPr>
          <w:rFonts w:ascii="Times New Roman" w:hAnsi="Times New Roman"/>
          <w:sz w:val="28"/>
        </w:rPr>
        <w:t xml:space="preserve">que supondría la creación del nuevo ministerio, con base en </w:t>
      </w:r>
      <w:r w:rsidRPr="003E425B">
        <w:rPr>
          <w:rFonts w:ascii="Times New Roman" w:hAnsi="Times New Roman"/>
          <w:sz w:val="28"/>
        </w:rPr>
        <w:t>los costos</w:t>
      </w:r>
      <w:r w:rsidRPr="003E425B">
        <w:rPr>
          <w:rFonts w:ascii="Times New Roman" w:hAnsi="Times New Roman"/>
          <w:sz w:val="28"/>
        </w:rPr>
        <w:t xml:space="preserve"> “referenciales” </w:t>
      </w:r>
      <w:r w:rsidRPr="003E425B">
        <w:rPr>
          <w:rFonts w:ascii="Times New Roman" w:hAnsi="Times New Roman"/>
          <w:sz w:val="28"/>
        </w:rPr>
        <w:t xml:space="preserve">de los </w:t>
      </w:r>
      <w:r w:rsidRPr="003E425B">
        <w:rPr>
          <w:rFonts w:ascii="Times New Roman" w:hAnsi="Times New Roman"/>
          <w:sz w:val="28"/>
        </w:rPr>
        <w:t>m</w:t>
      </w:r>
      <w:r w:rsidRPr="003E425B">
        <w:rPr>
          <w:rFonts w:ascii="Times New Roman" w:hAnsi="Times New Roman"/>
          <w:sz w:val="28"/>
        </w:rPr>
        <w:t>inisterios ya existentes</w:t>
      </w:r>
      <w:r w:rsidRPr="003E425B">
        <w:rPr>
          <w:rFonts w:ascii="Times New Roman" w:hAnsi="Times New Roman"/>
          <w:sz w:val="28"/>
        </w:rPr>
        <w:t xml:space="preserve">. </w:t>
      </w:r>
      <w:r w:rsidRPr="003E425B">
        <w:rPr>
          <w:rFonts w:ascii="Times New Roman" w:hAnsi="Times New Roman"/>
          <w:sz w:val="28"/>
        </w:rPr>
        <w:t xml:space="preserve">Además, el </w:t>
      </w:r>
      <w:r w:rsidRPr="003E425B">
        <w:rPr>
          <w:rFonts w:ascii="Times New Roman" w:hAnsi="Times New Roman"/>
          <w:sz w:val="28"/>
        </w:rPr>
        <w:t xml:space="preserve">MHCP </w:t>
      </w:r>
      <w:r w:rsidRPr="003E425B">
        <w:rPr>
          <w:rFonts w:ascii="Times New Roman" w:hAnsi="Times New Roman"/>
          <w:sz w:val="28"/>
        </w:rPr>
        <w:t xml:space="preserve">precisó </w:t>
      </w:r>
      <w:r w:rsidRPr="003E425B">
        <w:rPr>
          <w:rFonts w:ascii="Times New Roman" w:hAnsi="Times New Roman"/>
          <w:sz w:val="28"/>
        </w:rPr>
        <w:t xml:space="preserve">que </w:t>
      </w:r>
      <w:r w:rsidRPr="003E425B">
        <w:rPr>
          <w:rFonts w:ascii="Times New Roman" w:hAnsi="Times New Roman"/>
          <w:sz w:val="28"/>
        </w:rPr>
        <w:t>el</w:t>
      </w:r>
      <w:r w:rsidRPr="003E425B">
        <w:rPr>
          <w:rFonts w:ascii="Times New Roman" w:hAnsi="Times New Roman"/>
          <w:sz w:val="28"/>
        </w:rPr>
        <w:t xml:space="preserve"> costo </w:t>
      </w:r>
      <w:r w:rsidRPr="003E425B">
        <w:rPr>
          <w:rFonts w:ascii="Times New Roman" w:hAnsi="Times New Roman"/>
          <w:sz w:val="28"/>
        </w:rPr>
        <w:t xml:space="preserve">preciso estaría </w:t>
      </w:r>
      <w:r w:rsidRPr="003E425B">
        <w:rPr>
          <w:rFonts w:ascii="Times New Roman" w:hAnsi="Times New Roman"/>
          <w:sz w:val="28"/>
        </w:rPr>
        <w:t>“incluido dentro de las apropiaciones vigentes en otros sectores al permitirse contar con funcionarios trasladados de otras entidades de la ra</w:t>
      </w:r>
      <w:r w:rsidRPr="003E425B">
        <w:rPr>
          <w:rFonts w:ascii="Times New Roman" w:hAnsi="Times New Roman"/>
          <w:sz w:val="28"/>
        </w:rPr>
        <w:t>ma Ejecutiva”</w:t>
      </w:r>
      <w:r w:rsidRPr="003E425B">
        <w:rPr>
          <w:rStyle w:val="Refdenotaalpie"/>
          <w:rFonts w:ascii="Times New Roman" w:hAnsi="Times New Roman"/>
          <w:sz w:val="28"/>
        </w:rPr>
        <w:footnoteReference w:id="200"/>
      </w:r>
      <w:r w:rsidRPr="003E425B">
        <w:rPr>
          <w:rFonts w:ascii="Times New Roman" w:hAnsi="Times New Roman"/>
          <w:sz w:val="28"/>
        </w:rPr>
        <w:t>.</w:t>
      </w:r>
    </w:p>
    <w:p w:rsidR="002860D7" w:rsidRPr="003E425B" w:rsidRDefault="003E425B" w:rsidP="00BA00C7">
      <w:pPr>
        <w:pStyle w:val="Prrafodelista"/>
        <w:numPr>
          <w:ilvl w:val="1"/>
          <w:numId w:val="25"/>
        </w:numPr>
        <w:spacing w:line="240" w:lineRule="auto"/>
        <w:ind w:left="851" w:hanging="851"/>
        <w:rPr>
          <w:rFonts w:ascii="Times New Roman" w:hAnsi="Times New Roman"/>
          <w:i/>
          <w:iCs/>
          <w:sz w:val="28"/>
          <w:lang w:eastAsia="es-MX"/>
        </w:rPr>
      </w:pPr>
      <w:r w:rsidRPr="003E425B">
        <w:rPr>
          <w:rFonts w:ascii="Times New Roman" w:hAnsi="Times New Roman"/>
          <w:sz w:val="28"/>
        </w:rPr>
        <w:t>E</w:t>
      </w:r>
      <w:r w:rsidRPr="003E425B">
        <w:rPr>
          <w:rFonts w:ascii="Times New Roman" w:hAnsi="Times New Roman"/>
          <w:sz w:val="28"/>
        </w:rPr>
        <w:t>l Congreso de la República deliberó sobre los referentes básicos del impacto fiscal</w:t>
      </w:r>
      <w:r w:rsidRPr="003E425B">
        <w:rPr>
          <w:rStyle w:val="Refdenotaalpie"/>
          <w:rFonts w:ascii="Times New Roman" w:hAnsi="Times New Roman"/>
          <w:sz w:val="28"/>
        </w:rPr>
        <w:footnoteReference w:id="201"/>
      </w:r>
      <w:r w:rsidRPr="003E425B">
        <w:rPr>
          <w:rFonts w:ascii="Times New Roman" w:hAnsi="Times New Roman"/>
          <w:sz w:val="28"/>
        </w:rPr>
        <w:t xml:space="preserve">. </w:t>
      </w:r>
      <w:r w:rsidRPr="003E425B">
        <w:rPr>
          <w:rFonts w:ascii="Times New Roman" w:hAnsi="Times New Roman"/>
          <w:sz w:val="28"/>
        </w:rPr>
        <w:t>Las pruebas que los demandantes aportaron</w:t>
      </w:r>
      <w:r w:rsidRPr="003E425B">
        <w:rPr>
          <w:rFonts w:ascii="Times New Roman" w:hAnsi="Times New Roman"/>
          <w:sz w:val="28"/>
        </w:rPr>
        <w:t xml:space="preserve"> </w:t>
      </w:r>
      <w:r w:rsidRPr="003E425B">
        <w:rPr>
          <w:rFonts w:ascii="Times New Roman" w:hAnsi="Times New Roman"/>
          <w:sz w:val="28"/>
        </w:rPr>
        <w:t>demuestran que</w:t>
      </w:r>
      <w:r w:rsidRPr="003E425B">
        <w:rPr>
          <w:rFonts w:ascii="Times New Roman" w:hAnsi="Times New Roman"/>
          <w:sz w:val="28"/>
        </w:rPr>
        <w:t xml:space="preserve"> </w:t>
      </w:r>
      <w:r w:rsidRPr="003E425B">
        <w:rPr>
          <w:rFonts w:ascii="Times New Roman" w:hAnsi="Times New Roman"/>
          <w:i/>
          <w:iCs/>
          <w:sz w:val="28"/>
        </w:rPr>
        <w:t>(i)</w:t>
      </w:r>
      <w:r w:rsidRPr="003E425B">
        <w:rPr>
          <w:rFonts w:ascii="Times New Roman" w:hAnsi="Times New Roman"/>
          <w:sz w:val="28"/>
        </w:rPr>
        <w:t xml:space="preserve"> las comisiones</w:t>
      </w:r>
      <w:r w:rsidRPr="003E425B">
        <w:rPr>
          <w:rFonts w:ascii="Times New Roman" w:hAnsi="Times New Roman"/>
          <w:sz w:val="28"/>
        </w:rPr>
        <w:t xml:space="preserve"> </w:t>
      </w:r>
      <w:r w:rsidRPr="003E425B">
        <w:rPr>
          <w:rFonts w:ascii="Times New Roman" w:hAnsi="Times New Roman"/>
          <w:sz w:val="28"/>
        </w:rPr>
        <w:t>estudiaron</w:t>
      </w:r>
      <w:r w:rsidRPr="003E425B">
        <w:rPr>
          <w:rFonts w:ascii="Times New Roman" w:hAnsi="Times New Roman"/>
          <w:sz w:val="28"/>
        </w:rPr>
        <w:t xml:space="preserve"> el</w:t>
      </w:r>
      <w:r w:rsidRPr="003E425B">
        <w:rPr>
          <w:rFonts w:ascii="Times New Roman" w:hAnsi="Times New Roman"/>
          <w:sz w:val="28"/>
        </w:rPr>
        <w:t xml:space="preserve"> impacto fiscal de la </w:t>
      </w:r>
      <w:r w:rsidRPr="003E425B">
        <w:rPr>
          <w:rFonts w:ascii="Times New Roman" w:hAnsi="Times New Roman"/>
          <w:sz w:val="28"/>
        </w:rPr>
        <w:t>iniciativa</w:t>
      </w:r>
      <w:r w:rsidRPr="003E425B">
        <w:rPr>
          <w:rFonts w:ascii="Times New Roman" w:hAnsi="Times New Roman"/>
          <w:sz w:val="28"/>
        </w:rPr>
        <w:t xml:space="preserve"> </w:t>
      </w:r>
      <w:r w:rsidRPr="003E425B">
        <w:rPr>
          <w:rFonts w:ascii="Times New Roman" w:hAnsi="Times New Roman"/>
          <w:sz w:val="28"/>
        </w:rPr>
        <w:t xml:space="preserve">y </w:t>
      </w:r>
      <w:r w:rsidRPr="003E425B">
        <w:rPr>
          <w:rFonts w:ascii="Times New Roman" w:hAnsi="Times New Roman"/>
          <w:i/>
          <w:iCs/>
          <w:sz w:val="28"/>
        </w:rPr>
        <w:t>(ii)</w:t>
      </w:r>
      <w:r w:rsidRPr="003E425B">
        <w:rPr>
          <w:rFonts w:ascii="Times New Roman" w:hAnsi="Times New Roman"/>
          <w:sz w:val="28"/>
        </w:rPr>
        <w:t xml:space="preserve"> la plenaria del Senado d</w:t>
      </w:r>
      <w:r w:rsidRPr="003E425B">
        <w:rPr>
          <w:rFonts w:ascii="Times New Roman" w:hAnsi="Times New Roman"/>
          <w:sz w:val="28"/>
        </w:rPr>
        <w:t>e la República debatió sobre el contenido y alcance del concepto del MHCP</w:t>
      </w:r>
      <w:r w:rsidRPr="003E425B">
        <w:rPr>
          <w:rFonts w:ascii="Times New Roman" w:hAnsi="Times New Roman"/>
          <w:sz w:val="28"/>
          <w:vertAlign w:val="superscript"/>
        </w:rPr>
        <w:footnoteReference w:id="202"/>
      </w:r>
      <w:r w:rsidRPr="003E425B">
        <w:rPr>
          <w:rFonts w:ascii="Times New Roman" w:hAnsi="Times New Roman"/>
          <w:sz w:val="28"/>
        </w:rPr>
        <w:t xml:space="preserve">. </w:t>
      </w:r>
    </w:p>
    <w:p w:rsidR="00BA00C7" w:rsidRPr="003E425B" w:rsidRDefault="003E425B" w:rsidP="00BA00C7">
      <w:pPr>
        <w:pStyle w:val="Prrafodelista"/>
        <w:spacing w:line="240" w:lineRule="auto"/>
        <w:ind w:left="851"/>
        <w:rPr>
          <w:rFonts w:ascii="Times New Roman" w:hAnsi="Times New Roman"/>
          <w:i/>
          <w:iCs/>
          <w:sz w:val="28"/>
          <w:lang w:eastAsia="es-MX"/>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u w:val="single"/>
          <w:lang w:eastAsia="es-MX"/>
        </w:rPr>
        <w:t>Tercero</w:t>
      </w:r>
      <w:r w:rsidRPr="003E425B">
        <w:rPr>
          <w:rFonts w:ascii="Times New Roman" w:hAnsi="Times New Roman"/>
          <w:sz w:val="28"/>
          <w:lang w:eastAsia="es-MX"/>
        </w:rPr>
        <w:t>. La sostenibilidad</w:t>
      </w:r>
      <w:r w:rsidRPr="003E425B">
        <w:rPr>
          <w:rFonts w:ascii="Times New Roman" w:hAnsi="Times New Roman"/>
          <w:color w:val="000000" w:themeColor="text1"/>
          <w:sz w:val="28"/>
        </w:rPr>
        <w:t xml:space="preserve"> fiscal es un criterio instrumental, cuyo objetivo es alcanzar de manera progresiva las finalidades del Estado Social y Democrático de Derecho</w:t>
      </w:r>
      <w:r w:rsidRPr="003E425B">
        <w:rPr>
          <w:rStyle w:val="Refdenotaalpie"/>
          <w:rFonts w:ascii="Times New Roman" w:hAnsi="Times New Roman"/>
          <w:color w:val="000000" w:themeColor="text1"/>
          <w:sz w:val="28"/>
        </w:rPr>
        <w:footnoteReference w:id="203"/>
      </w:r>
      <w:r w:rsidRPr="003E425B">
        <w:rPr>
          <w:rFonts w:ascii="Times New Roman" w:hAnsi="Times New Roman"/>
          <w:color w:val="000000" w:themeColor="text1"/>
          <w:sz w:val="28"/>
        </w:rPr>
        <w:t xml:space="preserve">. Por lo </w:t>
      </w:r>
      <w:r w:rsidRPr="003E425B">
        <w:rPr>
          <w:rFonts w:ascii="Times New Roman" w:hAnsi="Times New Roman"/>
          <w:color w:val="000000" w:themeColor="text1"/>
          <w:sz w:val="28"/>
        </w:rPr>
        <w:t>tanto, no se puede invocar para menoscabar, restringir o negar la protección de derechos fundamentales</w:t>
      </w:r>
      <w:r w:rsidRPr="003E425B">
        <w:rPr>
          <w:rStyle w:val="Refdenotaalpie"/>
          <w:rFonts w:ascii="Times New Roman" w:hAnsi="Times New Roman"/>
          <w:color w:val="000000" w:themeColor="text1"/>
          <w:sz w:val="28"/>
        </w:rPr>
        <w:footnoteReference w:id="204"/>
      </w:r>
      <w:r w:rsidRPr="003E425B">
        <w:rPr>
          <w:rFonts w:ascii="Times New Roman" w:hAnsi="Times New Roman"/>
          <w:color w:val="000000" w:themeColor="text1"/>
          <w:sz w:val="28"/>
        </w:rPr>
        <w:t>. El Ministerio de la Igualdad y Equidad fue creado para responder a necesidades sociales de grupos tradicionalmente discriminados</w:t>
      </w:r>
      <w:r w:rsidRPr="003E425B">
        <w:rPr>
          <w:rFonts w:ascii="Times New Roman" w:hAnsi="Times New Roman"/>
          <w:color w:val="000000" w:themeColor="text1"/>
          <w:sz w:val="28"/>
        </w:rPr>
        <w:t xml:space="preserve"> y sujetos de especial </w:t>
      </w:r>
      <w:r w:rsidRPr="003E425B">
        <w:rPr>
          <w:rFonts w:ascii="Times New Roman" w:hAnsi="Times New Roman"/>
          <w:color w:val="000000" w:themeColor="text1"/>
          <w:sz w:val="28"/>
        </w:rPr>
        <w:t>protección constitucional</w:t>
      </w:r>
      <w:r w:rsidRPr="003E425B">
        <w:rPr>
          <w:rStyle w:val="Refdenotaalpie"/>
          <w:rFonts w:ascii="Times New Roman" w:hAnsi="Times New Roman"/>
          <w:color w:val="000000" w:themeColor="text1"/>
          <w:sz w:val="28"/>
        </w:rPr>
        <w:footnoteReference w:id="205"/>
      </w:r>
      <w:r w:rsidRPr="003E425B">
        <w:rPr>
          <w:rFonts w:ascii="Times New Roman" w:hAnsi="Times New Roman"/>
          <w:color w:val="000000" w:themeColor="text1"/>
          <w:sz w:val="28"/>
        </w:rPr>
        <w:t>, por lo que la sostenibilidad fiscal no puede usarse en contra de este objetivo</w:t>
      </w:r>
      <w:r w:rsidRPr="003E425B">
        <w:rPr>
          <w:rStyle w:val="Refdenotaalpie"/>
          <w:rFonts w:ascii="Times New Roman" w:hAnsi="Times New Roman"/>
          <w:color w:val="000000" w:themeColor="text1"/>
          <w:sz w:val="28"/>
        </w:rPr>
        <w:footnoteReference w:id="206"/>
      </w:r>
      <w:r w:rsidRPr="003E425B">
        <w:rPr>
          <w:rFonts w:ascii="Times New Roman" w:hAnsi="Times New Roman"/>
          <w:color w:val="000000" w:themeColor="text1"/>
          <w:sz w:val="28"/>
        </w:rPr>
        <w:t xml:space="preserve">. </w:t>
      </w:r>
      <w:r w:rsidRPr="003E425B">
        <w:rPr>
          <w:rFonts w:ascii="Times New Roman" w:hAnsi="Times New Roman"/>
          <w:color w:val="000000" w:themeColor="text1"/>
          <w:sz w:val="28"/>
        </w:rPr>
        <w:t>En cualquier caso,</w:t>
      </w:r>
      <w:r w:rsidRPr="003E425B">
        <w:rPr>
          <w:rFonts w:ascii="Times New Roman" w:hAnsi="Times New Roman"/>
          <w:color w:val="000000" w:themeColor="text1"/>
          <w:sz w:val="28"/>
          <w:lang w:val="es-ES"/>
        </w:rPr>
        <w:t xml:space="preserve"> </w:t>
      </w:r>
      <w:r w:rsidRPr="003E425B">
        <w:rPr>
          <w:rFonts w:ascii="Times New Roman" w:hAnsi="Times New Roman"/>
          <w:color w:val="000000" w:themeColor="text1"/>
          <w:sz w:val="28"/>
          <w:lang w:val="es-ES"/>
        </w:rPr>
        <w:t xml:space="preserve">sostienen que la </w:t>
      </w:r>
      <w:r w:rsidRPr="003E425B">
        <w:rPr>
          <w:rFonts w:ascii="Times New Roman" w:hAnsi="Times New Roman"/>
          <w:color w:val="000000" w:themeColor="text1"/>
          <w:sz w:val="28"/>
          <w:lang w:val="es-ES"/>
        </w:rPr>
        <w:t>creación del ministerio tendría un mínimo impacto fiscal, porque de acuerdo con el artíc</w:t>
      </w:r>
      <w:r w:rsidRPr="003E425B">
        <w:rPr>
          <w:rFonts w:ascii="Times New Roman" w:hAnsi="Times New Roman"/>
          <w:color w:val="000000" w:themeColor="text1"/>
          <w:sz w:val="28"/>
          <w:lang w:val="es-ES"/>
        </w:rPr>
        <w:t>u</w:t>
      </w:r>
      <w:r w:rsidRPr="003E425B">
        <w:rPr>
          <w:rFonts w:ascii="Times New Roman" w:hAnsi="Times New Roman"/>
          <w:color w:val="000000" w:themeColor="text1"/>
          <w:sz w:val="28"/>
          <w:lang w:val="es-ES"/>
        </w:rPr>
        <w:t>lo 13 de la Ley 2281 d</w:t>
      </w:r>
      <w:r w:rsidRPr="003E425B">
        <w:rPr>
          <w:rFonts w:ascii="Times New Roman" w:hAnsi="Times New Roman"/>
          <w:color w:val="000000" w:themeColor="text1"/>
          <w:sz w:val="28"/>
          <w:lang w:val="es-ES"/>
        </w:rPr>
        <w:t>e 2023, se conformaría por entidades ya existentes</w:t>
      </w:r>
      <w:r w:rsidRPr="003E425B">
        <w:rPr>
          <w:rFonts w:ascii="Times New Roman" w:hAnsi="Times New Roman"/>
          <w:color w:val="000000" w:themeColor="text1"/>
          <w:sz w:val="28"/>
          <w:lang w:val="es-ES"/>
        </w:rPr>
        <w:t xml:space="preserve"> en el marco de la política de austeridad del Gobierno Nacional</w:t>
      </w:r>
      <w:r w:rsidRPr="003E425B">
        <w:rPr>
          <w:rFonts w:ascii="Times New Roman" w:hAnsi="Times New Roman"/>
          <w:color w:val="000000" w:themeColor="text1"/>
          <w:sz w:val="28"/>
          <w:vertAlign w:val="superscript"/>
          <w:lang w:val="es-ES"/>
        </w:rPr>
        <w:footnoteReference w:id="207"/>
      </w:r>
      <w:r w:rsidRPr="003E425B">
        <w:rPr>
          <w:rFonts w:ascii="Times New Roman" w:hAnsi="Times New Roman"/>
          <w:color w:val="000000" w:themeColor="text1"/>
          <w:sz w:val="28"/>
          <w:lang w:val="es-ES"/>
        </w:rPr>
        <w:t>.</w:t>
      </w:r>
    </w:p>
    <w:p w:rsidR="002860D7" w:rsidRPr="003E425B" w:rsidRDefault="003E425B" w:rsidP="00010108">
      <w:pPr>
        <w:pStyle w:val="Prrafodelista"/>
        <w:tabs>
          <w:tab w:val="left" w:pos="567"/>
        </w:tabs>
        <w:spacing w:line="240" w:lineRule="auto"/>
        <w:ind w:left="0"/>
        <w:rPr>
          <w:rFonts w:ascii="Times New Roman" w:hAnsi="Times New Roman"/>
          <w:sz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sz w:val="28"/>
        </w:rPr>
      </w:pPr>
      <w:r w:rsidRPr="003E425B">
        <w:rPr>
          <w:rFonts w:ascii="Times New Roman" w:hAnsi="Times New Roman"/>
          <w:i/>
          <w:iCs/>
          <w:sz w:val="28"/>
        </w:rPr>
        <w:t>Problema jurídico</w:t>
      </w:r>
      <w:r w:rsidRPr="003E425B">
        <w:rPr>
          <w:rFonts w:ascii="Times New Roman" w:hAnsi="Times New Roman"/>
          <w:sz w:val="28"/>
        </w:rPr>
        <w:t>. En estos términos, l</w:t>
      </w:r>
      <w:r w:rsidRPr="003E425B">
        <w:rPr>
          <w:rFonts w:ascii="Times New Roman" w:hAnsi="Times New Roman"/>
          <w:bCs/>
          <w:iCs/>
          <w:sz w:val="28"/>
        </w:rPr>
        <w:t>a Corte debe resolver el siguiente problema jurídico:</w:t>
      </w:r>
    </w:p>
    <w:p w:rsidR="002860D7" w:rsidRPr="003E425B" w:rsidRDefault="003E425B" w:rsidP="00010108">
      <w:pPr>
        <w:pStyle w:val="Prrafodelista"/>
        <w:tabs>
          <w:tab w:val="left" w:pos="567"/>
        </w:tabs>
        <w:spacing w:line="240" w:lineRule="auto"/>
        <w:ind w:left="0"/>
        <w:rPr>
          <w:rFonts w:ascii="Times New Roman" w:hAnsi="Times New Roman"/>
          <w:i/>
          <w:iCs/>
          <w:sz w:val="28"/>
        </w:rPr>
      </w:pPr>
    </w:p>
    <w:p w:rsidR="002860D7" w:rsidRPr="003E425B" w:rsidRDefault="003E425B" w:rsidP="00010108">
      <w:pPr>
        <w:ind w:left="737" w:right="284"/>
        <w:rPr>
          <w:rFonts w:ascii="Times New Roman" w:hAnsi="Times New Roman" w:cs="Times New Roman"/>
          <w:bCs/>
          <w:iCs/>
          <w:sz w:val="28"/>
          <w:szCs w:val="28"/>
        </w:rPr>
      </w:pPr>
      <w:r w:rsidRPr="003E425B">
        <w:rPr>
          <w:rFonts w:ascii="Times New Roman" w:hAnsi="Times New Roman" w:cs="Times New Roman"/>
          <w:bCs/>
          <w:iCs/>
          <w:sz w:val="28"/>
          <w:szCs w:val="28"/>
        </w:rPr>
        <w:t xml:space="preserve">¿En el trámite legislativo que culminó en la </w:t>
      </w:r>
      <w:r w:rsidRPr="003E425B">
        <w:rPr>
          <w:rFonts w:ascii="Times New Roman" w:hAnsi="Times New Roman" w:cs="Times New Roman"/>
          <w:bCs/>
          <w:iCs/>
          <w:sz w:val="28"/>
          <w:szCs w:val="28"/>
        </w:rPr>
        <w:t xml:space="preserve">aprobación de la Ley 2281 de 2023, </w:t>
      </w:r>
      <w:r w:rsidRPr="003E425B">
        <w:rPr>
          <w:rFonts w:ascii="Times New Roman" w:hAnsi="Times New Roman" w:cs="Times New Roman"/>
          <w:bCs/>
          <w:iCs/>
          <w:sz w:val="28"/>
          <w:szCs w:val="28"/>
        </w:rPr>
        <w:t>se</w:t>
      </w:r>
      <w:r w:rsidRPr="003E425B">
        <w:rPr>
          <w:rFonts w:ascii="Times New Roman" w:hAnsi="Times New Roman" w:cs="Times New Roman"/>
          <w:bCs/>
          <w:iCs/>
          <w:sz w:val="28"/>
          <w:szCs w:val="28"/>
        </w:rPr>
        <w:t xml:space="preserve"> analiz</w:t>
      </w:r>
      <w:r w:rsidRPr="003E425B">
        <w:rPr>
          <w:rFonts w:ascii="Times New Roman" w:hAnsi="Times New Roman" w:cs="Times New Roman"/>
          <w:bCs/>
          <w:iCs/>
          <w:sz w:val="28"/>
          <w:szCs w:val="28"/>
        </w:rPr>
        <w:t>ó</w:t>
      </w:r>
      <w:r w:rsidRPr="003E425B">
        <w:rPr>
          <w:rFonts w:ascii="Times New Roman" w:hAnsi="Times New Roman" w:cs="Times New Roman"/>
          <w:bCs/>
          <w:iCs/>
          <w:sz w:val="28"/>
          <w:szCs w:val="28"/>
        </w:rPr>
        <w:t xml:space="preserve"> el impacto fiscal de la creación del Ministerio de Igualdad y Equidad, conforme a las exigencias previstas en el artículo 7º de la Ley 819 de 2003?</w:t>
      </w:r>
    </w:p>
    <w:p w:rsidR="002860D7" w:rsidRPr="003E425B" w:rsidRDefault="003E425B" w:rsidP="00010108">
      <w:pPr>
        <w:ind w:left="737" w:right="284"/>
        <w:rPr>
          <w:rFonts w:ascii="Times New Roman" w:hAnsi="Times New Roman" w:cs="Times New Roman"/>
          <w:bCs/>
          <w:iCs/>
          <w:sz w:val="28"/>
          <w:szCs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i/>
          <w:iCs/>
          <w:sz w:val="28"/>
        </w:rPr>
        <w:t>Metodología</w:t>
      </w:r>
      <w:r w:rsidRPr="003E425B">
        <w:rPr>
          <w:rFonts w:ascii="Times New Roman" w:hAnsi="Times New Roman"/>
          <w:sz w:val="28"/>
        </w:rPr>
        <w:t xml:space="preserve">. Para resolver el problema jurídico, la Sala Plena describirá el contenido y alcance de la obligación de analizar el impacto fiscal de las leyes que ordenan gasto o conceden beneficios tributarios, prevista </w:t>
      </w:r>
      <w:r w:rsidRPr="003E425B">
        <w:rPr>
          <w:rFonts w:ascii="Times New Roman" w:hAnsi="Times New Roman"/>
          <w:bCs/>
          <w:sz w:val="28"/>
        </w:rPr>
        <w:t>en el artículo 7° de la Ley 819 de 2003. En esta</w:t>
      </w:r>
      <w:r w:rsidRPr="003E425B">
        <w:rPr>
          <w:rFonts w:ascii="Times New Roman" w:hAnsi="Times New Roman"/>
          <w:bCs/>
          <w:sz w:val="28"/>
        </w:rPr>
        <w:t xml:space="preserve"> sección, la Sala Plena hará especial énfasis en </w:t>
      </w:r>
      <w:r w:rsidRPr="003E425B">
        <w:rPr>
          <w:rFonts w:ascii="Times New Roman" w:hAnsi="Times New Roman"/>
          <w:bCs/>
          <w:i/>
          <w:iCs/>
          <w:sz w:val="28"/>
        </w:rPr>
        <w:t>(i)</w:t>
      </w:r>
      <w:r w:rsidRPr="003E425B">
        <w:rPr>
          <w:rFonts w:ascii="Times New Roman" w:hAnsi="Times New Roman"/>
          <w:bCs/>
          <w:sz w:val="28"/>
        </w:rPr>
        <w:t xml:space="preserve"> los criterios para determinar si una norma ordena gasto y </w:t>
      </w:r>
      <w:r w:rsidRPr="003E425B">
        <w:rPr>
          <w:rFonts w:ascii="Times New Roman" w:hAnsi="Times New Roman"/>
          <w:bCs/>
          <w:i/>
          <w:iCs/>
          <w:sz w:val="28"/>
        </w:rPr>
        <w:t>(ii)</w:t>
      </w:r>
      <w:r w:rsidRPr="003E425B">
        <w:rPr>
          <w:rFonts w:ascii="Times New Roman" w:hAnsi="Times New Roman"/>
          <w:bCs/>
          <w:sz w:val="28"/>
        </w:rPr>
        <w:t xml:space="preserve"> la línea jurisprudencial de este tribunal en relación con el análisis de impacto fiscal de las leyes que disponen la creación de entidades p</w:t>
      </w:r>
      <w:r w:rsidRPr="003E425B">
        <w:rPr>
          <w:rFonts w:ascii="Times New Roman" w:hAnsi="Times New Roman"/>
          <w:bCs/>
          <w:sz w:val="28"/>
        </w:rPr>
        <w:t>úblicas (</w:t>
      </w:r>
      <w:r w:rsidRPr="003E425B">
        <w:rPr>
          <w:rFonts w:ascii="Times New Roman" w:hAnsi="Times New Roman"/>
          <w:b/>
          <w:sz w:val="28"/>
        </w:rPr>
        <w:t xml:space="preserve">sección 4.2.1 </w:t>
      </w:r>
      <w:r w:rsidRPr="003E425B">
        <w:rPr>
          <w:rFonts w:ascii="Times New Roman" w:hAnsi="Times New Roman"/>
          <w:b/>
          <w:i/>
          <w:iCs/>
          <w:sz w:val="28"/>
        </w:rPr>
        <w:t>infra</w:t>
      </w:r>
      <w:r w:rsidRPr="003E425B">
        <w:rPr>
          <w:rFonts w:ascii="Times New Roman" w:hAnsi="Times New Roman"/>
          <w:bCs/>
          <w:sz w:val="28"/>
        </w:rPr>
        <w:t>). Luego, con fundamento en estas consideraciones, resolverá el cargo formulado por los demandantes</w:t>
      </w:r>
      <w:r w:rsidRPr="003E425B">
        <w:rPr>
          <w:rFonts w:ascii="Times New Roman" w:hAnsi="Times New Roman"/>
          <w:bCs/>
          <w:sz w:val="28"/>
        </w:rPr>
        <w:t xml:space="preserve"> </w:t>
      </w:r>
      <w:r w:rsidRPr="003E425B">
        <w:rPr>
          <w:rFonts w:ascii="Times New Roman" w:hAnsi="Times New Roman"/>
          <w:bCs/>
          <w:sz w:val="28"/>
        </w:rPr>
        <w:t>(</w:t>
      </w:r>
      <w:r w:rsidRPr="003E425B">
        <w:rPr>
          <w:rFonts w:ascii="Times New Roman" w:hAnsi="Times New Roman"/>
          <w:b/>
          <w:sz w:val="28"/>
        </w:rPr>
        <w:t xml:space="preserve">sección 4.2.2 </w:t>
      </w:r>
      <w:r w:rsidRPr="003E425B">
        <w:rPr>
          <w:rFonts w:ascii="Times New Roman" w:hAnsi="Times New Roman"/>
          <w:b/>
          <w:i/>
          <w:iCs/>
          <w:sz w:val="28"/>
        </w:rPr>
        <w:t>infra</w:t>
      </w:r>
      <w:r w:rsidRPr="003E425B">
        <w:rPr>
          <w:rFonts w:ascii="Times New Roman" w:hAnsi="Times New Roman"/>
          <w:bCs/>
          <w:sz w:val="28"/>
        </w:rPr>
        <w:t>).</w:t>
      </w:r>
    </w:p>
    <w:p w:rsidR="002860D7" w:rsidRPr="003E425B" w:rsidRDefault="003E425B" w:rsidP="00010108">
      <w:pPr>
        <w:tabs>
          <w:tab w:val="left" w:pos="567"/>
        </w:tabs>
        <w:rPr>
          <w:rFonts w:ascii="Times New Roman" w:hAnsi="Times New Roman" w:cs="Times New Roman"/>
          <w:b/>
          <w:sz w:val="28"/>
        </w:rPr>
      </w:pPr>
    </w:p>
    <w:p w:rsidR="00DE7725" w:rsidRPr="003E425B" w:rsidRDefault="003E425B" w:rsidP="00051878">
      <w:pPr>
        <w:pStyle w:val="Ttulo2"/>
        <w:numPr>
          <w:ilvl w:val="2"/>
          <w:numId w:val="14"/>
        </w:numPr>
        <w:ind w:left="851" w:hanging="798"/>
        <w:rPr>
          <w:rFonts w:ascii="Times New Roman" w:hAnsi="Times New Roman" w:cs="Times New Roman"/>
          <w:bCs/>
          <w:sz w:val="28"/>
        </w:rPr>
      </w:pPr>
      <w:bookmarkStart w:id="22" w:name="_Ref168490620"/>
      <w:r w:rsidRPr="003E425B">
        <w:rPr>
          <w:rFonts w:ascii="Times New Roman" w:hAnsi="Times New Roman" w:cs="Times New Roman"/>
          <w:bCs/>
          <w:sz w:val="28"/>
        </w:rPr>
        <w:t xml:space="preserve">El análisis de impacto fiscal de las normas que ordenan gasto u otorgan beneficios tributarios (art. 7° </w:t>
      </w:r>
      <w:r w:rsidRPr="003E425B">
        <w:rPr>
          <w:rFonts w:ascii="Times New Roman" w:hAnsi="Times New Roman" w:cs="Times New Roman"/>
          <w:bCs/>
          <w:sz w:val="28"/>
        </w:rPr>
        <w:t>de la Ley 819 de 2003)</w:t>
      </w:r>
      <w:bookmarkEnd w:id="22"/>
    </w:p>
    <w:p w:rsidR="002860D7" w:rsidRPr="003E425B" w:rsidRDefault="003E425B" w:rsidP="00010108">
      <w:pPr>
        <w:rPr>
          <w:rFonts w:ascii="Times New Roman" w:hAnsi="Times New Roman" w:cs="Times New Roman"/>
          <w:sz w:val="28"/>
        </w:rPr>
      </w:pPr>
    </w:p>
    <w:p w:rsidR="002860D7" w:rsidRPr="003E425B" w:rsidRDefault="003E425B" w:rsidP="000C6CC6">
      <w:pPr>
        <w:pStyle w:val="Ttulo4"/>
        <w:numPr>
          <w:ilvl w:val="0"/>
          <w:numId w:val="26"/>
        </w:numPr>
        <w:ind w:left="851" w:hanging="425"/>
        <w:rPr>
          <w:rFonts w:ascii="Times New Roman" w:hAnsi="Times New Roman" w:cs="Times New Roman"/>
          <w:sz w:val="28"/>
        </w:rPr>
      </w:pPr>
      <w:r w:rsidRPr="003E425B">
        <w:rPr>
          <w:rFonts w:ascii="Times New Roman" w:hAnsi="Times New Roman" w:cs="Times New Roman"/>
          <w:sz w:val="28"/>
        </w:rPr>
        <w:t xml:space="preserve">Fundamento constitucional, desarrollo legal y finalidades del análisis de impacto fiscal. Reiteración de jurisprudencia </w:t>
      </w:r>
    </w:p>
    <w:p w:rsidR="002860D7" w:rsidRPr="003E425B" w:rsidRDefault="003E425B" w:rsidP="00010108">
      <w:pPr>
        <w:tabs>
          <w:tab w:val="left" w:pos="567"/>
        </w:tabs>
        <w:rPr>
          <w:rFonts w:ascii="Times New Roman" w:hAnsi="Times New Roman" w:cs="Times New Roman"/>
          <w:b/>
          <w:sz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rPr>
        <w:t>El artículo 151 de la Constitución dispone que “[e]l Congreso expedirá leyes orgánicas a las cuales estará suj</w:t>
      </w:r>
      <w:r w:rsidRPr="003E425B">
        <w:rPr>
          <w:rFonts w:ascii="Times New Roman" w:hAnsi="Times New Roman"/>
          <w:sz w:val="28"/>
        </w:rPr>
        <w:t xml:space="preserve">eto el ejercicio de la actividad legislativa”. Asimismo, prevé que por medio de las leyes orgánicas se establecerán, entre otras, “las normas sobre preparación, aprobación y ejecución del presupuesto de rentas y ley de apropiaciones”. </w:t>
      </w:r>
      <w:r w:rsidRPr="003E425B">
        <w:rPr>
          <w:rFonts w:ascii="Times New Roman" w:hAnsi="Times New Roman"/>
          <w:sz w:val="28"/>
          <w:lang w:eastAsia="es-MX"/>
        </w:rPr>
        <w:t>L</w:t>
      </w:r>
      <w:r w:rsidRPr="003E425B">
        <w:rPr>
          <w:rFonts w:ascii="Times New Roman" w:hAnsi="Times New Roman"/>
          <w:sz w:val="28"/>
        </w:rPr>
        <w:t>as leyes orgánicas s</w:t>
      </w:r>
      <w:r w:rsidRPr="003E425B">
        <w:rPr>
          <w:rFonts w:ascii="Times New Roman" w:hAnsi="Times New Roman"/>
          <w:sz w:val="28"/>
        </w:rPr>
        <w:t>on aquellas que establecen reglas que condicionan la aprobación de otras leyes al cumplimiento de ciertos fines y principios</w:t>
      </w:r>
      <w:r w:rsidRPr="003E425B">
        <w:rPr>
          <w:rStyle w:val="Refdenotaalpie"/>
          <w:rFonts w:ascii="Times New Roman" w:hAnsi="Times New Roman"/>
          <w:sz w:val="28"/>
        </w:rPr>
        <w:footnoteReference w:id="208"/>
      </w:r>
      <w:r w:rsidRPr="003E425B">
        <w:rPr>
          <w:rFonts w:ascii="Times New Roman" w:hAnsi="Times New Roman"/>
          <w:sz w:val="28"/>
        </w:rPr>
        <w:t>: son leyes que fijan “normas para expedir ciertas leyes”</w:t>
      </w:r>
      <w:r w:rsidRPr="003E425B">
        <w:rPr>
          <w:rStyle w:val="Refdenotaalpie"/>
          <w:rFonts w:ascii="Times New Roman" w:hAnsi="Times New Roman"/>
          <w:sz w:val="28"/>
        </w:rPr>
        <w:footnoteReference w:id="209"/>
      </w:r>
      <w:r w:rsidRPr="003E425B">
        <w:rPr>
          <w:rFonts w:ascii="Times New Roman" w:hAnsi="Times New Roman"/>
          <w:sz w:val="28"/>
        </w:rPr>
        <w:t>. De acuerdo con la jurisprudencia constitucional, las leyes orgánicas ti</w:t>
      </w:r>
      <w:r w:rsidRPr="003E425B">
        <w:rPr>
          <w:rFonts w:ascii="Times New Roman" w:hAnsi="Times New Roman"/>
          <w:sz w:val="28"/>
        </w:rPr>
        <w:t>enen tres características esenciales</w:t>
      </w:r>
      <w:r w:rsidRPr="003E425B">
        <w:rPr>
          <w:rStyle w:val="Refdenotaalpie"/>
          <w:rFonts w:ascii="Times New Roman" w:hAnsi="Times New Roman"/>
          <w:sz w:val="28"/>
        </w:rPr>
        <w:footnoteReference w:id="210"/>
      </w:r>
      <w:r w:rsidRPr="003E425B">
        <w:rPr>
          <w:rFonts w:ascii="Times New Roman" w:hAnsi="Times New Roman"/>
          <w:sz w:val="28"/>
        </w:rPr>
        <w:t>: son leyes de naturaleza ordenadora, autolimitante y de jerarquía superior</w:t>
      </w:r>
      <w:r w:rsidRPr="003E425B">
        <w:rPr>
          <w:rStyle w:val="Refdenotaalpie"/>
          <w:rFonts w:ascii="Times New Roman" w:hAnsi="Times New Roman"/>
          <w:sz w:val="28"/>
        </w:rPr>
        <w:footnoteReference w:id="211"/>
      </w:r>
      <w:r w:rsidRPr="003E425B">
        <w:rPr>
          <w:rFonts w:ascii="Times New Roman" w:hAnsi="Times New Roman"/>
          <w:sz w:val="28"/>
        </w:rPr>
        <w:t>. Las leyes orgánicas no tienen rango constitucional</w:t>
      </w:r>
      <w:r w:rsidRPr="003E425B">
        <w:rPr>
          <w:rFonts w:ascii="Times New Roman" w:hAnsi="Times New Roman"/>
          <w:sz w:val="28"/>
          <w:vertAlign w:val="superscript"/>
        </w:rPr>
        <w:footnoteReference w:id="212"/>
      </w:r>
      <w:r w:rsidRPr="003E425B">
        <w:rPr>
          <w:rFonts w:ascii="Times New Roman" w:hAnsi="Times New Roman"/>
          <w:sz w:val="28"/>
        </w:rPr>
        <w:t>, pero tienen una jerarquía normativa superior</w:t>
      </w:r>
      <w:r w:rsidRPr="003E425B">
        <w:rPr>
          <w:rFonts w:ascii="Times New Roman" w:hAnsi="Times New Roman"/>
          <w:sz w:val="28"/>
          <w:vertAlign w:val="superscript"/>
          <w:lang w:eastAsia="es-MX"/>
        </w:rPr>
        <w:footnoteReference w:id="213"/>
      </w:r>
      <w:r w:rsidRPr="003E425B">
        <w:rPr>
          <w:rFonts w:ascii="Times New Roman" w:hAnsi="Times New Roman"/>
          <w:sz w:val="28"/>
        </w:rPr>
        <w:t xml:space="preserve"> porque las reglas que prevén son de obliga</w:t>
      </w:r>
      <w:r w:rsidRPr="003E425B">
        <w:rPr>
          <w:rFonts w:ascii="Times New Roman" w:hAnsi="Times New Roman"/>
          <w:sz w:val="28"/>
        </w:rPr>
        <w:t xml:space="preserve">torio cumplimiento para el legislador y, por lo tanto, constituyen un </w:t>
      </w:r>
      <w:r w:rsidRPr="003E425B">
        <w:rPr>
          <w:rFonts w:ascii="Times New Roman" w:hAnsi="Times New Roman"/>
          <w:sz w:val="28"/>
          <w:lang w:val="es-ES"/>
        </w:rPr>
        <w:t>“parámetro constitucional de control de las normas ordinarias”</w:t>
      </w:r>
      <w:r w:rsidRPr="003E425B">
        <w:rPr>
          <w:rFonts w:ascii="Times New Roman" w:hAnsi="Times New Roman"/>
          <w:sz w:val="28"/>
          <w:vertAlign w:val="superscript"/>
          <w:lang w:val="es-ES"/>
        </w:rPr>
        <w:footnoteReference w:id="214"/>
      </w:r>
      <w:r w:rsidRPr="003E425B">
        <w:rPr>
          <w:rFonts w:ascii="Times New Roman" w:hAnsi="Times New Roman"/>
          <w:sz w:val="28"/>
          <w:lang w:val="es-ES"/>
        </w:rPr>
        <w:t xml:space="preserve">. </w:t>
      </w:r>
      <w:r w:rsidRPr="003E425B">
        <w:rPr>
          <w:rFonts w:ascii="Times New Roman" w:eastAsiaTheme="minorHAnsi" w:hAnsi="Times New Roman"/>
          <w:color w:val="auto"/>
          <w:sz w:val="28"/>
          <w:szCs w:val="22"/>
          <w:lang w:val="es-ES" w:eastAsia="es-MX"/>
        </w:rPr>
        <w:t xml:space="preserve">Por esta razón, </w:t>
      </w:r>
      <w:r w:rsidRPr="003E425B">
        <w:rPr>
          <w:rFonts w:ascii="Times New Roman" w:eastAsiaTheme="minorHAnsi" w:hAnsi="Times New Roman"/>
          <w:color w:val="auto"/>
          <w:sz w:val="28"/>
          <w:szCs w:val="22"/>
          <w:lang w:eastAsia="es-MX"/>
        </w:rPr>
        <w:t>el desconocimiento de una ley orgánica en el procedimiento legislativo de aprobación de una ley ordinaria viola el artículo 151 de la Constitución y conduce a su inexequibilidad</w:t>
      </w:r>
      <w:r w:rsidRPr="003E425B">
        <w:rPr>
          <w:rFonts w:ascii="Times New Roman" w:eastAsiaTheme="minorHAnsi" w:hAnsi="Times New Roman"/>
          <w:color w:val="auto"/>
          <w:sz w:val="28"/>
          <w:szCs w:val="22"/>
          <w:vertAlign w:val="superscript"/>
          <w:lang w:eastAsia="es-MX"/>
        </w:rPr>
        <w:footnoteReference w:id="215"/>
      </w:r>
      <w:r w:rsidRPr="003E425B">
        <w:rPr>
          <w:rFonts w:ascii="Times New Roman" w:eastAsiaTheme="minorHAnsi" w:hAnsi="Times New Roman"/>
          <w:color w:val="auto"/>
          <w:sz w:val="28"/>
          <w:szCs w:val="22"/>
          <w:lang w:eastAsia="es-MX"/>
        </w:rPr>
        <w:t>.</w:t>
      </w:r>
    </w:p>
    <w:p w:rsidR="002860D7" w:rsidRPr="003E425B" w:rsidRDefault="003E425B" w:rsidP="00010108">
      <w:pPr>
        <w:pStyle w:val="Prrafodelista"/>
        <w:tabs>
          <w:tab w:val="left" w:pos="567"/>
        </w:tabs>
        <w:spacing w:line="240" w:lineRule="auto"/>
        <w:ind w:left="0"/>
        <w:rPr>
          <w:rFonts w:ascii="Times New Roman" w:hAnsi="Times New Roman"/>
          <w:b/>
          <w:sz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El 9 de julio de 2003, el Congreso de la República expidió la Ley 819 de 20</w:t>
      </w:r>
      <w:r w:rsidRPr="003E425B">
        <w:rPr>
          <w:rFonts w:ascii="Times New Roman" w:hAnsi="Times New Roman"/>
          <w:sz w:val="28"/>
          <w:lang w:eastAsia="es-MX"/>
        </w:rPr>
        <w:t>03, “[p]or la cual se dictan normas orgánicas en materia de presupuesto, responsabilidad y transparencia fiscal y se dictan otras disposiciones”. El artículo 7°</w:t>
      </w:r>
      <w:r w:rsidRPr="003E425B">
        <w:rPr>
          <w:rFonts w:ascii="Times New Roman" w:hAnsi="Times New Roman"/>
          <w:i/>
          <w:iCs/>
          <w:sz w:val="28"/>
          <w:lang w:eastAsia="es-MX"/>
        </w:rPr>
        <w:t xml:space="preserve"> </w:t>
      </w:r>
      <w:r w:rsidRPr="003E425B">
        <w:rPr>
          <w:rFonts w:ascii="Times New Roman" w:hAnsi="Times New Roman"/>
          <w:sz w:val="28"/>
          <w:lang w:eastAsia="es-MX"/>
        </w:rPr>
        <w:t xml:space="preserve">de esta ley instituye la obligación de analizar el </w:t>
      </w:r>
      <w:r w:rsidRPr="003E425B">
        <w:rPr>
          <w:rFonts w:ascii="Times New Roman" w:hAnsi="Times New Roman"/>
          <w:color w:val="000000" w:themeColor="text1"/>
          <w:sz w:val="28"/>
          <w:lang w:val="es-ES" w:eastAsia="es-ES"/>
        </w:rPr>
        <w:t>impacto fiscal de cualquier proyecto de ley,</w:t>
      </w:r>
      <w:r w:rsidRPr="003E425B">
        <w:rPr>
          <w:rFonts w:ascii="Times New Roman" w:hAnsi="Times New Roman"/>
          <w:color w:val="000000" w:themeColor="text1"/>
          <w:sz w:val="28"/>
          <w:lang w:val="es-ES" w:eastAsia="es-ES"/>
        </w:rPr>
        <w:t xml:space="preserve"> ordenanza o acuerdo, que ordene gasto o que otorgue beneficios tributarios. Al respecto, dispone que: </w:t>
      </w:r>
    </w:p>
    <w:p w:rsidR="002860D7" w:rsidRPr="003E425B" w:rsidRDefault="003E425B" w:rsidP="00010108">
      <w:pPr>
        <w:tabs>
          <w:tab w:val="left" w:pos="567"/>
        </w:tabs>
        <w:rPr>
          <w:rFonts w:ascii="Times New Roman" w:hAnsi="Times New Roman" w:cs="Times New Roman"/>
          <w:b/>
          <w:sz w:val="28"/>
        </w:rPr>
      </w:pP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r w:rsidRPr="003E425B">
        <w:rPr>
          <w:rFonts w:ascii="Times New Roman" w:hAnsi="Times New Roman"/>
          <w:sz w:val="28"/>
          <w:szCs w:val="20"/>
          <w:lang w:eastAsia="es-MX"/>
        </w:rPr>
        <w:t>“</w:t>
      </w:r>
      <w:r w:rsidRPr="003E425B">
        <w:rPr>
          <w:rFonts w:ascii="Times New Roman" w:hAnsi="Times New Roman"/>
          <w:b/>
          <w:bCs/>
          <w:sz w:val="28"/>
          <w:szCs w:val="20"/>
          <w:lang w:eastAsia="es-MX"/>
        </w:rPr>
        <w:t>ARTÍCULO 7o. ANÁLISIS DEL IMPACTO FISCAL DE LAS NORMAS</w:t>
      </w:r>
      <w:r w:rsidRPr="003E425B">
        <w:rPr>
          <w:rFonts w:ascii="Times New Roman" w:hAnsi="Times New Roman"/>
          <w:sz w:val="28"/>
          <w:szCs w:val="20"/>
          <w:lang w:eastAsia="es-MX"/>
        </w:rPr>
        <w:t>. En todo momento, el impacto fiscal de cualquier proyecto de ley, ordenanza o acuerdo, que orde</w:t>
      </w:r>
      <w:r w:rsidRPr="003E425B">
        <w:rPr>
          <w:rFonts w:ascii="Times New Roman" w:hAnsi="Times New Roman"/>
          <w:sz w:val="28"/>
          <w:szCs w:val="20"/>
          <w:lang w:eastAsia="es-MX"/>
        </w:rPr>
        <w:t>ne gasto o que otorgue beneficios tributarios, deberá hacerse explícito y deberá ser compatible con el Marco Fiscal de Mediano Plazo.</w:t>
      </w: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p>
    <w:p w:rsidR="002860D7" w:rsidRPr="003E425B" w:rsidRDefault="003E425B" w:rsidP="00010108">
      <w:pPr>
        <w:pStyle w:val="Prrafodelista"/>
        <w:tabs>
          <w:tab w:val="left" w:pos="567"/>
        </w:tabs>
        <w:spacing w:line="240" w:lineRule="auto"/>
        <w:ind w:left="680" w:right="567"/>
        <w:rPr>
          <w:rFonts w:ascii="Times New Roman" w:hAnsi="Times New Roman"/>
          <w:sz w:val="28"/>
          <w:szCs w:val="20"/>
          <w:lang w:eastAsia="es-MX"/>
        </w:rPr>
      </w:pPr>
      <w:r w:rsidRPr="003E425B">
        <w:rPr>
          <w:rFonts w:ascii="Times New Roman" w:hAnsi="Times New Roman"/>
          <w:sz w:val="28"/>
          <w:szCs w:val="20"/>
          <w:lang w:eastAsia="es-MX"/>
        </w:rPr>
        <w:t>Para estos propósitos, deberá incluirse expresamente en la exposición de motivos y en las ponencias de trámite respectiva</w:t>
      </w:r>
      <w:r w:rsidRPr="003E425B">
        <w:rPr>
          <w:rFonts w:ascii="Times New Roman" w:hAnsi="Times New Roman"/>
          <w:sz w:val="28"/>
          <w:szCs w:val="20"/>
          <w:lang w:eastAsia="es-MX"/>
        </w:rPr>
        <w:t>s los costos fiscales de la iniciativa y la fuente de ingreso adicional generada para el financiamiento de dicho costo.</w:t>
      </w: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r w:rsidRPr="003E425B">
        <w:rPr>
          <w:rFonts w:ascii="Times New Roman" w:hAnsi="Times New Roman"/>
          <w:sz w:val="28"/>
          <w:szCs w:val="20"/>
          <w:lang w:eastAsia="es-MX"/>
        </w:rPr>
        <w:t>El Ministerio de Hacienda y Crédito Público, en cualquier tiempo durante el respectivo trámite en el Congreso de la República, deberá r</w:t>
      </w:r>
      <w:r w:rsidRPr="003E425B">
        <w:rPr>
          <w:rFonts w:ascii="Times New Roman" w:hAnsi="Times New Roman"/>
          <w:sz w:val="28"/>
          <w:szCs w:val="20"/>
          <w:lang w:eastAsia="es-MX"/>
        </w:rPr>
        <w:t>endir su concepto frente a la consistencia de lo dispuesto en el inciso anterior. En ningún caso este concepto podrá ir en contravía del Marco Fiscal de Mediano Plazo. Este informe será publicado en la Gaceta del Congreso.</w:t>
      </w: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p>
    <w:p w:rsidR="002860D7" w:rsidRPr="003E425B" w:rsidRDefault="003E425B" w:rsidP="00D31A93">
      <w:pPr>
        <w:pStyle w:val="Prrafodelista"/>
        <w:tabs>
          <w:tab w:val="left" w:pos="567"/>
        </w:tabs>
        <w:spacing w:line="240" w:lineRule="auto"/>
        <w:ind w:left="680" w:right="567"/>
        <w:rPr>
          <w:rFonts w:ascii="Times New Roman" w:hAnsi="Times New Roman"/>
          <w:sz w:val="28"/>
          <w:szCs w:val="20"/>
          <w:lang w:eastAsia="es-MX"/>
        </w:rPr>
      </w:pPr>
      <w:r w:rsidRPr="003E425B">
        <w:rPr>
          <w:rFonts w:ascii="Times New Roman" w:hAnsi="Times New Roman"/>
          <w:sz w:val="28"/>
          <w:szCs w:val="20"/>
          <w:lang w:eastAsia="es-MX"/>
        </w:rPr>
        <w:t>Los proyectos de ley de iniciativa gubernamental, que planteen un gasto adicional o una reducción de ingresos, deberá contener la correspondiente fuente sustitutiva por disminución de gasto o aumentos de ingresos, lo cual deberá ser analizado y aprobado po</w:t>
      </w:r>
      <w:r w:rsidRPr="003E425B">
        <w:rPr>
          <w:rFonts w:ascii="Times New Roman" w:hAnsi="Times New Roman"/>
          <w:sz w:val="28"/>
          <w:szCs w:val="20"/>
          <w:lang w:eastAsia="es-MX"/>
        </w:rPr>
        <w:t>r el Ministerio de Hacienda y Crédito Público</w:t>
      </w: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p>
    <w:p w:rsidR="002860D7" w:rsidRPr="003E425B" w:rsidRDefault="003E425B" w:rsidP="00010108">
      <w:pPr>
        <w:pStyle w:val="Prrafodelista"/>
        <w:tabs>
          <w:tab w:val="left" w:pos="567"/>
        </w:tabs>
        <w:spacing w:line="240" w:lineRule="auto"/>
        <w:ind w:left="680" w:right="567" w:firstLine="28"/>
        <w:rPr>
          <w:rFonts w:ascii="Times New Roman" w:hAnsi="Times New Roman"/>
          <w:sz w:val="28"/>
          <w:szCs w:val="20"/>
          <w:lang w:eastAsia="es-MX"/>
        </w:rPr>
      </w:pPr>
      <w:r w:rsidRPr="003E425B">
        <w:rPr>
          <w:rFonts w:ascii="Times New Roman" w:hAnsi="Times New Roman"/>
          <w:sz w:val="28"/>
          <w:szCs w:val="20"/>
          <w:lang w:eastAsia="es-MX"/>
        </w:rPr>
        <w:t xml:space="preserve">En las entidades territoriales, el trámite previsto en el inciso anterior será surtido ante la respectiva Secretaría de Hacienda o quien haga sus veces”. </w:t>
      </w:r>
    </w:p>
    <w:p w:rsidR="002860D7" w:rsidRPr="003E425B" w:rsidRDefault="003E425B" w:rsidP="00010108">
      <w:pPr>
        <w:tabs>
          <w:tab w:val="left" w:pos="567"/>
        </w:tabs>
        <w:rPr>
          <w:rFonts w:ascii="Times New Roman" w:hAnsi="Times New Roman" w:cs="Times New Roman"/>
          <w:b/>
          <w:sz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La Corte Constitucional ha enfatizado que el artículo</w:t>
      </w:r>
      <w:r w:rsidRPr="003E425B">
        <w:rPr>
          <w:rFonts w:ascii="Times New Roman" w:hAnsi="Times New Roman"/>
          <w:sz w:val="28"/>
          <w:lang w:eastAsia="es-MX"/>
        </w:rPr>
        <w:t xml:space="preserve"> 7º de la Ley 819 de 2003 prevé un </w:t>
      </w:r>
      <w:r w:rsidRPr="003E425B">
        <w:rPr>
          <w:rFonts w:ascii="Times New Roman" w:hAnsi="Times New Roman"/>
          <w:i/>
          <w:iCs/>
          <w:sz w:val="28"/>
          <w:lang w:eastAsia="es-MX"/>
        </w:rPr>
        <w:t>mandato general</w:t>
      </w:r>
      <w:r w:rsidRPr="003E425B">
        <w:rPr>
          <w:rFonts w:ascii="Times New Roman" w:hAnsi="Times New Roman"/>
          <w:sz w:val="28"/>
          <w:lang w:eastAsia="es-MX"/>
        </w:rPr>
        <w:t xml:space="preserve"> de ineludible cumplimiento: </w:t>
      </w:r>
      <w:r w:rsidRPr="003E425B">
        <w:rPr>
          <w:rFonts w:ascii="Times New Roman" w:hAnsi="Times New Roman"/>
          <w:sz w:val="28"/>
        </w:rPr>
        <w:t>efectuar el análisis del impacto fiscal de todos los proyectos de ley, ordenanza o acuerdo que prevean una orden de gasto, un beneficio tributario o una reducción de ingresos. E</w:t>
      </w:r>
      <w:r w:rsidRPr="003E425B">
        <w:rPr>
          <w:rFonts w:ascii="Times New Roman" w:hAnsi="Times New Roman"/>
          <w:sz w:val="28"/>
        </w:rPr>
        <w:t>l análisis de impacto fiscal debe ser explícito y compatible con el Marco Fiscal de Mediano Plazo (MFMP)</w:t>
      </w:r>
      <w:r w:rsidRPr="003E425B">
        <w:rPr>
          <w:rFonts w:ascii="Times New Roman" w:hAnsi="Times New Roman"/>
          <w:sz w:val="28"/>
          <w:vertAlign w:val="superscript"/>
        </w:rPr>
        <w:footnoteReference w:id="216"/>
      </w:r>
      <w:r w:rsidRPr="003E425B">
        <w:rPr>
          <w:rFonts w:ascii="Times New Roman" w:hAnsi="Times New Roman"/>
          <w:sz w:val="28"/>
        </w:rPr>
        <w:t xml:space="preserve">. </w:t>
      </w:r>
      <w:r w:rsidRPr="003E425B">
        <w:rPr>
          <w:rFonts w:ascii="Times New Roman" w:eastAsiaTheme="minorHAnsi" w:hAnsi="Times New Roman"/>
          <w:sz w:val="28"/>
          <w:shd w:val="clear" w:color="auto" w:fill="FFFFFF"/>
        </w:rPr>
        <w:t>El MFMP es “un instrumento de planeación financiera que contiene un recuento del comportamiento de la economía del país en el año anterior, establece</w:t>
      </w:r>
      <w:r w:rsidRPr="003E425B">
        <w:rPr>
          <w:rFonts w:ascii="Times New Roman" w:eastAsiaTheme="minorHAnsi" w:hAnsi="Times New Roman"/>
          <w:sz w:val="28"/>
          <w:shd w:val="clear" w:color="auto" w:fill="FFFFFF"/>
        </w:rPr>
        <w:t xml:space="preserve"> las metas macroeconómicas anuales a un horizonte de 10 años y define la hoja de ruta para alcanzarlas, con base en análisis y proyecciones de las principales variables macroeconómicas”</w:t>
      </w:r>
      <w:r w:rsidRPr="003E425B">
        <w:rPr>
          <w:rFonts w:ascii="Times New Roman" w:eastAsiaTheme="minorHAnsi" w:hAnsi="Times New Roman"/>
          <w:sz w:val="28"/>
          <w:shd w:val="clear" w:color="auto" w:fill="FFFFFF"/>
          <w:vertAlign w:val="superscript"/>
        </w:rPr>
        <w:footnoteReference w:id="217"/>
      </w:r>
      <w:r w:rsidRPr="003E425B">
        <w:rPr>
          <w:rFonts w:ascii="Times New Roman" w:eastAsiaTheme="minorHAnsi" w:hAnsi="Times New Roman"/>
          <w:sz w:val="28"/>
          <w:shd w:val="clear" w:color="auto" w:fill="FFFFFF"/>
        </w:rPr>
        <w:t>.</w:t>
      </w:r>
      <w:r w:rsidRPr="003E425B">
        <w:rPr>
          <w:rFonts w:ascii="Times New Roman" w:eastAsiaTheme="minorHAnsi" w:hAnsi="Times New Roman"/>
          <w:color w:val="auto"/>
          <w:sz w:val="28"/>
          <w:szCs w:val="22"/>
        </w:rPr>
        <w:t xml:space="preserve"> </w:t>
      </w:r>
      <w:r w:rsidRPr="003E425B">
        <w:rPr>
          <w:rFonts w:ascii="Times New Roman" w:eastAsiaTheme="minorHAnsi" w:hAnsi="Times New Roman"/>
          <w:sz w:val="28"/>
          <w:shd w:val="clear" w:color="auto" w:fill="FFFFFF"/>
          <w:lang w:val="es-ES"/>
        </w:rPr>
        <w:t>El MFMP es un referente </w:t>
      </w:r>
      <w:r w:rsidRPr="003E425B">
        <w:rPr>
          <w:rFonts w:ascii="Times New Roman" w:eastAsiaTheme="minorHAnsi" w:hAnsi="Times New Roman"/>
          <w:sz w:val="28"/>
          <w:shd w:val="clear" w:color="auto" w:fill="FFFFFF"/>
        </w:rPr>
        <w:t xml:space="preserve">para la estructuración, deliberación y </w:t>
      </w:r>
      <w:r w:rsidRPr="003E425B">
        <w:rPr>
          <w:rFonts w:ascii="Times New Roman" w:eastAsiaTheme="minorHAnsi" w:hAnsi="Times New Roman"/>
          <w:sz w:val="28"/>
          <w:shd w:val="clear" w:color="auto" w:fill="FFFFFF"/>
        </w:rPr>
        <w:t>aprobación de cualquier iniciativa legislativa que contemple erogaciones con los recursos públicos o beneficios tributarios</w:t>
      </w:r>
      <w:r w:rsidRPr="003E425B">
        <w:rPr>
          <w:rStyle w:val="Refdenotaalpie"/>
          <w:rFonts w:ascii="Times New Roman" w:eastAsiaTheme="minorHAnsi" w:hAnsi="Times New Roman"/>
          <w:sz w:val="28"/>
          <w:shd w:val="clear" w:color="auto" w:fill="FFFFFF"/>
        </w:rPr>
        <w:footnoteReference w:id="218"/>
      </w:r>
      <w:r w:rsidRPr="003E425B">
        <w:rPr>
          <w:rFonts w:ascii="Times New Roman" w:eastAsiaTheme="minorHAnsi" w:hAnsi="Times New Roman"/>
          <w:sz w:val="28"/>
          <w:shd w:val="clear" w:color="auto" w:fill="FFFFFF"/>
        </w:rPr>
        <w:t xml:space="preserve">. En efecto, la </w:t>
      </w:r>
      <w:r w:rsidRPr="003E425B">
        <w:rPr>
          <w:rFonts w:ascii="Times New Roman" w:eastAsiaTheme="minorHAnsi" w:hAnsi="Times New Roman"/>
          <w:sz w:val="28"/>
          <w:shd w:val="clear" w:color="auto" w:fill="FFFFFF"/>
        </w:rPr>
        <w:t>L</w:t>
      </w:r>
      <w:r w:rsidRPr="003E425B">
        <w:rPr>
          <w:rFonts w:ascii="Times New Roman" w:eastAsiaTheme="minorHAnsi" w:hAnsi="Times New Roman"/>
          <w:sz w:val="28"/>
          <w:shd w:val="clear" w:color="auto" w:fill="FFFFFF"/>
        </w:rPr>
        <w:t xml:space="preserve">ey 819 de 2003 exige que el MFMP contenga, entre otras, “[e]l costo fiscal de las leyes sancionadas en la vigencia </w:t>
      </w:r>
      <w:r w:rsidRPr="003E425B">
        <w:rPr>
          <w:rFonts w:ascii="Times New Roman" w:eastAsiaTheme="minorHAnsi" w:hAnsi="Times New Roman"/>
          <w:sz w:val="28"/>
          <w:shd w:val="clear" w:color="auto" w:fill="FFFFFF"/>
        </w:rPr>
        <w:t>fiscal anterior”</w:t>
      </w:r>
      <w:r w:rsidRPr="003E425B">
        <w:rPr>
          <w:rStyle w:val="Refdenotaalpie"/>
          <w:rFonts w:ascii="Times New Roman" w:eastAsiaTheme="minorHAnsi" w:hAnsi="Times New Roman"/>
          <w:sz w:val="28"/>
          <w:shd w:val="clear" w:color="auto" w:fill="FFFFFF"/>
        </w:rPr>
        <w:footnoteReference w:id="219"/>
      </w:r>
      <w:r w:rsidRPr="003E425B">
        <w:rPr>
          <w:rFonts w:ascii="Times New Roman" w:eastAsiaTheme="minorHAnsi" w:hAnsi="Times New Roman"/>
          <w:sz w:val="28"/>
          <w:shd w:val="clear" w:color="auto" w:fill="FFFFFF"/>
        </w:rPr>
        <w:t xml:space="preserve">. </w:t>
      </w:r>
    </w:p>
    <w:p w:rsidR="008D4F40" w:rsidRPr="003E425B" w:rsidRDefault="003E425B" w:rsidP="008D4F40">
      <w:pPr>
        <w:pStyle w:val="Prrafodelista"/>
        <w:tabs>
          <w:tab w:val="left" w:pos="567"/>
        </w:tabs>
        <w:spacing w:line="240" w:lineRule="auto"/>
        <w:ind w:left="0"/>
        <w:rPr>
          <w:rFonts w:ascii="Times New Roman" w:hAnsi="Times New Roman"/>
          <w:b/>
          <w:sz w:val="28"/>
        </w:rPr>
      </w:pPr>
    </w:p>
    <w:p w:rsidR="001370F5" w:rsidRPr="003E425B" w:rsidRDefault="003E425B" w:rsidP="000C6CC6">
      <w:pPr>
        <w:pStyle w:val="Prrafodelista"/>
        <w:numPr>
          <w:ilvl w:val="0"/>
          <w:numId w:val="25"/>
        </w:numPr>
        <w:tabs>
          <w:tab w:val="left" w:pos="567"/>
        </w:tabs>
        <w:spacing w:line="240" w:lineRule="auto"/>
        <w:ind w:left="0" w:firstLine="0"/>
        <w:rPr>
          <w:rFonts w:ascii="Times New Roman" w:hAnsi="Times New Roman"/>
          <w:bCs/>
          <w:sz w:val="28"/>
        </w:rPr>
      </w:pPr>
      <w:r w:rsidRPr="003E425B">
        <w:rPr>
          <w:rFonts w:ascii="Times New Roman" w:hAnsi="Times New Roman"/>
          <w:bCs/>
          <w:sz w:val="28"/>
        </w:rPr>
        <w:t>La</w:t>
      </w:r>
      <w:r w:rsidRPr="003E425B">
        <w:rPr>
          <w:rFonts w:ascii="Times New Roman" w:hAnsi="Times New Roman"/>
          <w:bCs/>
          <w:sz w:val="28"/>
        </w:rPr>
        <w:t xml:space="preserve"> obligación de llevar a cabo el análisis de impacto fiscal </w:t>
      </w:r>
      <w:r w:rsidRPr="003E425B">
        <w:rPr>
          <w:rFonts w:ascii="Times New Roman" w:hAnsi="Times New Roman"/>
          <w:bCs/>
          <w:sz w:val="28"/>
        </w:rPr>
        <w:t>tiene una naturaleza “</w:t>
      </w:r>
      <w:r w:rsidRPr="003E425B">
        <w:rPr>
          <w:rFonts w:ascii="Times New Roman" w:hAnsi="Times New Roman"/>
          <w:bCs/>
          <w:sz w:val="28"/>
        </w:rPr>
        <w:t>procesal-deliberativa</w:t>
      </w:r>
      <w:r w:rsidRPr="003E425B">
        <w:rPr>
          <w:rFonts w:ascii="Times New Roman" w:hAnsi="Times New Roman"/>
          <w:bCs/>
          <w:sz w:val="28"/>
        </w:rPr>
        <w:t>”</w:t>
      </w:r>
      <w:r w:rsidRPr="003E425B">
        <w:rPr>
          <w:rFonts w:ascii="Times New Roman" w:hAnsi="Times New Roman"/>
          <w:bCs/>
          <w:sz w:val="28"/>
        </w:rPr>
        <w:t xml:space="preserve"> </w:t>
      </w:r>
      <w:r w:rsidRPr="003E425B">
        <w:rPr>
          <w:rFonts w:ascii="Times New Roman" w:hAnsi="Times New Roman"/>
          <w:bCs/>
          <w:sz w:val="28"/>
        </w:rPr>
        <w:t>-no sustantiv</w:t>
      </w:r>
      <w:r w:rsidRPr="003E425B">
        <w:rPr>
          <w:rFonts w:ascii="Times New Roman" w:hAnsi="Times New Roman"/>
          <w:bCs/>
          <w:sz w:val="28"/>
        </w:rPr>
        <w:t>a</w:t>
      </w:r>
      <w:r w:rsidRPr="003E425B">
        <w:rPr>
          <w:rFonts w:ascii="Times New Roman" w:hAnsi="Times New Roman"/>
          <w:bCs/>
          <w:sz w:val="28"/>
        </w:rPr>
        <w:t>- que impone a los</w:t>
      </w:r>
      <w:r w:rsidRPr="003E425B">
        <w:rPr>
          <w:rFonts w:ascii="Times New Roman" w:hAnsi="Times New Roman"/>
          <w:bCs/>
          <w:sz w:val="28"/>
        </w:rPr>
        <w:t xml:space="preserve"> órganos políticos</w:t>
      </w:r>
      <w:r w:rsidRPr="003E425B">
        <w:rPr>
          <w:rFonts w:ascii="Times New Roman" w:hAnsi="Times New Roman"/>
          <w:bCs/>
          <w:sz w:val="28"/>
        </w:rPr>
        <w:t xml:space="preserve"> </w:t>
      </w:r>
      <w:r w:rsidRPr="003E425B">
        <w:rPr>
          <w:rFonts w:ascii="Times New Roman" w:hAnsi="Times New Roman"/>
          <w:bCs/>
          <w:sz w:val="28"/>
        </w:rPr>
        <w:t>“</w:t>
      </w:r>
      <w:r w:rsidRPr="003E425B">
        <w:rPr>
          <w:rFonts w:ascii="Times New Roman" w:hAnsi="Times New Roman"/>
          <w:bCs/>
          <w:sz w:val="28"/>
        </w:rPr>
        <w:t>cargas especiales de valoración, explicación y discusión</w:t>
      </w:r>
      <w:r w:rsidRPr="003E425B">
        <w:rPr>
          <w:rFonts w:ascii="Times New Roman" w:hAnsi="Times New Roman"/>
          <w:bCs/>
          <w:i/>
          <w:iCs/>
          <w:sz w:val="28"/>
        </w:rPr>
        <w:t xml:space="preserve"> </w:t>
      </w:r>
      <w:r w:rsidRPr="003E425B">
        <w:rPr>
          <w:rFonts w:ascii="Times New Roman" w:hAnsi="Times New Roman"/>
          <w:bCs/>
          <w:sz w:val="28"/>
        </w:rPr>
        <w:t>de las incidencias f</w:t>
      </w:r>
      <w:r w:rsidRPr="003E425B">
        <w:rPr>
          <w:rFonts w:ascii="Times New Roman" w:hAnsi="Times New Roman"/>
          <w:bCs/>
          <w:sz w:val="28"/>
        </w:rPr>
        <w:t>iscales de una</w:t>
      </w:r>
      <w:r w:rsidRPr="003E425B">
        <w:rPr>
          <w:rFonts w:ascii="Times New Roman" w:hAnsi="Times New Roman"/>
          <w:bCs/>
          <w:sz w:val="28"/>
        </w:rPr>
        <w:t xml:space="preserve"> medida”</w:t>
      </w:r>
      <w:r w:rsidRPr="003E425B">
        <w:rPr>
          <w:rStyle w:val="Refdenotaalpie"/>
          <w:rFonts w:ascii="Times New Roman" w:hAnsi="Times New Roman"/>
          <w:bCs/>
          <w:sz w:val="28"/>
        </w:rPr>
        <w:footnoteReference w:id="220"/>
      </w:r>
      <w:r w:rsidRPr="003E425B">
        <w:rPr>
          <w:rFonts w:ascii="Times New Roman" w:hAnsi="Times New Roman"/>
          <w:bCs/>
          <w:sz w:val="28"/>
        </w:rPr>
        <w:t xml:space="preserve">. Lo anterior, a partir de tres </w:t>
      </w:r>
      <w:r w:rsidRPr="003E425B">
        <w:rPr>
          <w:rFonts w:ascii="Times New Roman" w:hAnsi="Times New Roman"/>
          <w:bCs/>
          <w:sz w:val="28"/>
        </w:rPr>
        <w:t>“</w:t>
      </w:r>
      <w:r w:rsidRPr="003E425B">
        <w:rPr>
          <w:rFonts w:ascii="Times New Roman" w:hAnsi="Times New Roman"/>
          <w:bCs/>
          <w:i/>
          <w:iCs/>
          <w:sz w:val="28"/>
        </w:rPr>
        <w:t>referentes básicos</w:t>
      </w:r>
      <w:r w:rsidRPr="003E425B">
        <w:rPr>
          <w:rFonts w:ascii="Times New Roman" w:hAnsi="Times New Roman"/>
          <w:bCs/>
          <w:sz w:val="28"/>
        </w:rPr>
        <w:t>”</w:t>
      </w:r>
      <w:r w:rsidRPr="003E425B">
        <w:rPr>
          <w:rStyle w:val="Refdenotaalpie"/>
          <w:rFonts w:ascii="Times New Roman" w:hAnsi="Times New Roman"/>
          <w:bCs/>
          <w:sz w:val="28"/>
        </w:rPr>
        <w:footnoteReference w:id="221"/>
      </w:r>
      <w:r w:rsidRPr="003E425B">
        <w:rPr>
          <w:rFonts w:ascii="Times New Roman" w:hAnsi="Times New Roman"/>
          <w:bCs/>
          <w:sz w:val="28"/>
        </w:rPr>
        <w:t xml:space="preserve">: </w:t>
      </w:r>
      <w:r w:rsidRPr="003E425B">
        <w:rPr>
          <w:rFonts w:ascii="Times New Roman" w:hAnsi="Times New Roman"/>
          <w:bCs/>
          <w:i/>
          <w:iCs/>
          <w:sz w:val="28"/>
        </w:rPr>
        <w:t>(i)</w:t>
      </w:r>
      <w:r w:rsidRPr="003E425B">
        <w:rPr>
          <w:rFonts w:ascii="Times New Roman" w:hAnsi="Times New Roman"/>
          <w:bCs/>
          <w:sz w:val="28"/>
        </w:rPr>
        <w:t xml:space="preserve"> el costo fiscal de la medida, </w:t>
      </w:r>
      <w:r w:rsidRPr="003E425B">
        <w:rPr>
          <w:rFonts w:ascii="Times New Roman" w:hAnsi="Times New Roman"/>
          <w:bCs/>
          <w:i/>
          <w:iCs/>
          <w:sz w:val="28"/>
        </w:rPr>
        <w:t>(ii)</w:t>
      </w:r>
      <w:r w:rsidRPr="003E425B">
        <w:rPr>
          <w:rFonts w:ascii="Times New Roman" w:hAnsi="Times New Roman"/>
          <w:bCs/>
          <w:sz w:val="28"/>
        </w:rPr>
        <w:t xml:space="preserve"> la fuente de ingresos sustantiva y </w:t>
      </w:r>
      <w:r w:rsidRPr="003E425B">
        <w:rPr>
          <w:rFonts w:ascii="Times New Roman" w:hAnsi="Times New Roman"/>
          <w:bCs/>
          <w:i/>
          <w:iCs/>
          <w:sz w:val="28"/>
        </w:rPr>
        <w:t>(iii)</w:t>
      </w:r>
      <w:r w:rsidRPr="003E425B">
        <w:rPr>
          <w:rFonts w:ascii="Times New Roman" w:hAnsi="Times New Roman"/>
          <w:bCs/>
          <w:sz w:val="28"/>
        </w:rPr>
        <w:t xml:space="preserve"> la compatibilidad de la medida con el MFMP.  Estos son los elementos </w:t>
      </w:r>
      <w:r w:rsidRPr="003E425B">
        <w:rPr>
          <w:rFonts w:ascii="Times New Roman" w:hAnsi="Times New Roman"/>
          <w:bCs/>
          <w:sz w:val="28"/>
        </w:rPr>
        <w:t>que el</w:t>
      </w:r>
      <w:r w:rsidRPr="003E425B">
        <w:rPr>
          <w:rFonts w:ascii="Times New Roman" w:hAnsi="Times New Roman"/>
          <w:bCs/>
          <w:sz w:val="28"/>
        </w:rPr>
        <w:t xml:space="preserve"> Congreso de la República </w:t>
      </w:r>
      <w:r w:rsidRPr="003E425B">
        <w:rPr>
          <w:rFonts w:ascii="Times New Roman" w:hAnsi="Times New Roman"/>
          <w:bCs/>
          <w:sz w:val="28"/>
        </w:rPr>
        <w:t xml:space="preserve">debe tener en cuenta en el procedimiento </w:t>
      </w:r>
      <w:r w:rsidRPr="003E425B">
        <w:rPr>
          <w:rFonts w:ascii="Times New Roman" w:hAnsi="Times New Roman"/>
          <w:bCs/>
          <w:sz w:val="28"/>
        </w:rPr>
        <w:t>l</w:t>
      </w:r>
      <w:r w:rsidRPr="003E425B">
        <w:rPr>
          <w:rFonts w:ascii="Times New Roman" w:hAnsi="Times New Roman"/>
          <w:bCs/>
          <w:sz w:val="28"/>
        </w:rPr>
        <w:t>egislativ</w:t>
      </w:r>
      <w:r w:rsidRPr="003E425B">
        <w:rPr>
          <w:rFonts w:ascii="Times New Roman" w:hAnsi="Times New Roman"/>
          <w:bCs/>
          <w:sz w:val="28"/>
        </w:rPr>
        <w:t>o</w:t>
      </w:r>
      <w:r w:rsidRPr="003E425B">
        <w:rPr>
          <w:rFonts w:ascii="Times New Roman" w:hAnsi="Times New Roman"/>
          <w:bCs/>
          <w:sz w:val="28"/>
        </w:rPr>
        <w:t xml:space="preserve"> y sobre los cuales debe deliberar. </w:t>
      </w:r>
      <w:r w:rsidRPr="003E425B">
        <w:rPr>
          <w:rFonts w:ascii="Times New Roman" w:hAnsi="Times New Roman"/>
          <w:bCs/>
          <w:sz w:val="28"/>
        </w:rPr>
        <w:t>El artíc</w:t>
      </w:r>
      <w:r w:rsidRPr="003E425B">
        <w:rPr>
          <w:rFonts w:ascii="Times New Roman" w:hAnsi="Times New Roman"/>
          <w:bCs/>
          <w:sz w:val="28"/>
        </w:rPr>
        <w:t>u</w:t>
      </w:r>
      <w:r w:rsidRPr="003E425B">
        <w:rPr>
          <w:rFonts w:ascii="Times New Roman" w:hAnsi="Times New Roman"/>
          <w:bCs/>
          <w:sz w:val="28"/>
        </w:rPr>
        <w:t xml:space="preserve">lo 7º de la Ley 819 de 2003 no </w:t>
      </w:r>
      <w:r w:rsidRPr="003E425B">
        <w:rPr>
          <w:rFonts w:ascii="Times New Roman" w:hAnsi="Times New Roman"/>
          <w:bCs/>
          <w:sz w:val="28"/>
        </w:rPr>
        <w:t>imp</w:t>
      </w:r>
      <w:r w:rsidRPr="003E425B">
        <w:rPr>
          <w:rFonts w:ascii="Times New Roman" w:hAnsi="Times New Roman"/>
          <w:bCs/>
          <w:sz w:val="28"/>
        </w:rPr>
        <w:t xml:space="preserve">lica, </w:t>
      </w:r>
      <w:r w:rsidRPr="003E425B">
        <w:rPr>
          <w:rFonts w:ascii="Times New Roman" w:hAnsi="Times New Roman"/>
          <w:bCs/>
          <w:sz w:val="28"/>
        </w:rPr>
        <w:t>en ninguna circunstancia</w:t>
      </w:r>
      <w:r w:rsidRPr="003E425B">
        <w:rPr>
          <w:rFonts w:ascii="Times New Roman" w:hAnsi="Times New Roman"/>
          <w:bCs/>
          <w:sz w:val="28"/>
        </w:rPr>
        <w:t xml:space="preserve">, </w:t>
      </w:r>
      <w:r w:rsidRPr="003E425B">
        <w:rPr>
          <w:rFonts w:ascii="Times New Roman" w:hAnsi="Times New Roman"/>
          <w:bCs/>
          <w:sz w:val="28"/>
        </w:rPr>
        <w:t>que el Congreso de la República deba abstenerse de aprobar normas q</w:t>
      </w:r>
      <w:r w:rsidRPr="003E425B">
        <w:rPr>
          <w:rFonts w:ascii="Times New Roman" w:hAnsi="Times New Roman"/>
          <w:bCs/>
          <w:sz w:val="28"/>
        </w:rPr>
        <w:t xml:space="preserve">ue tengan un impacto en las finanzas públicas. </w:t>
      </w:r>
      <w:r w:rsidRPr="003E425B">
        <w:rPr>
          <w:rFonts w:ascii="Times New Roman" w:hAnsi="Times New Roman"/>
          <w:bCs/>
          <w:sz w:val="28"/>
        </w:rPr>
        <w:t xml:space="preserve">Ese no es su objeto. </w:t>
      </w:r>
      <w:r w:rsidRPr="003E425B">
        <w:rPr>
          <w:rFonts w:ascii="Times New Roman" w:hAnsi="Times New Roman"/>
          <w:bCs/>
          <w:sz w:val="28"/>
        </w:rPr>
        <w:t xml:space="preserve">Su </w:t>
      </w:r>
      <w:r w:rsidRPr="003E425B">
        <w:rPr>
          <w:rFonts w:ascii="Times New Roman" w:hAnsi="Times New Roman"/>
          <w:bCs/>
          <w:sz w:val="28"/>
        </w:rPr>
        <w:t>propósito general</w:t>
      </w:r>
      <w:r w:rsidRPr="003E425B">
        <w:rPr>
          <w:rFonts w:ascii="Times New Roman" w:hAnsi="Times New Roman"/>
          <w:bCs/>
          <w:sz w:val="28"/>
        </w:rPr>
        <w:t xml:space="preserve"> es garantizar que el </w:t>
      </w:r>
      <w:r w:rsidRPr="003E425B">
        <w:rPr>
          <w:rFonts w:ascii="Times New Roman" w:hAnsi="Times New Roman"/>
          <w:bCs/>
          <w:sz w:val="28"/>
        </w:rPr>
        <w:t>legis</w:t>
      </w:r>
      <w:r w:rsidRPr="003E425B">
        <w:rPr>
          <w:rFonts w:ascii="Times New Roman" w:hAnsi="Times New Roman"/>
          <w:bCs/>
          <w:sz w:val="28"/>
        </w:rPr>
        <w:t>la</w:t>
      </w:r>
      <w:r w:rsidRPr="003E425B">
        <w:rPr>
          <w:rFonts w:ascii="Times New Roman" w:hAnsi="Times New Roman"/>
          <w:bCs/>
          <w:sz w:val="28"/>
        </w:rPr>
        <w:t>dor</w:t>
      </w:r>
      <w:r w:rsidRPr="003E425B">
        <w:rPr>
          <w:rFonts w:ascii="Times New Roman" w:hAnsi="Times New Roman"/>
          <w:bCs/>
          <w:sz w:val="28"/>
        </w:rPr>
        <w:t xml:space="preserve">, en colaboración armónica con el Gobierno Nacional, cuente con la información </w:t>
      </w:r>
      <w:r w:rsidRPr="003E425B">
        <w:rPr>
          <w:rFonts w:ascii="Times New Roman" w:hAnsi="Times New Roman"/>
          <w:bCs/>
          <w:sz w:val="28"/>
        </w:rPr>
        <w:t xml:space="preserve">suficiente </w:t>
      </w:r>
      <w:r w:rsidRPr="003E425B">
        <w:rPr>
          <w:rFonts w:ascii="Times New Roman" w:hAnsi="Times New Roman"/>
          <w:bCs/>
          <w:sz w:val="28"/>
        </w:rPr>
        <w:t xml:space="preserve">para poder </w:t>
      </w:r>
      <w:r w:rsidRPr="003E425B">
        <w:rPr>
          <w:rFonts w:ascii="Times New Roman" w:hAnsi="Times New Roman"/>
          <w:bCs/>
          <w:sz w:val="28"/>
        </w:rPr>
        <w:t>deliberar de forma seria y responsa</w:t>
      </w:r>
      <w:r w:rsidRPr="003E425B">
        <w:rPr>
          <w:rFonts w:ascii="Times New Roman" w:hAnsi="Times New Roman"/>
          <w:bCs/>
          <w:sz w:val="28"/>
        </w:rPr>
        <w:t>ble sobre las consecuencias presupuestales y financieras de las iniciativas</w:t>
      </w:r>
      <w:r w:rsidRPr="003E425B">
        <w:rPr>
          <w:rFonts w:ascii="Times New Roman" w:hAnsi="Times New Roman"/>
          <w:bCs/>
          <w:sz w:val="28"/>
        </w:rPr>
        <w:t xml:space="preserve">. </w:t>
      </w:r>
    </w:p>
    <w:p w:rsidR="002860D7" w:rsidRPr="003E425B" w:rsidRDefault="003E425B" w:rsidP="00010108">
      <w:pPr>
        <w:pStyle w:val="Prrafodelista"/>
        <w:tabs>
          <w:tab w:val="left" w:pos="567"/>
        </w:tabs>
        <w:spacing w:line="240" w:lineRule="auto"/>
        <w:ind w:left="0"/>
        <w:rPr>
          <w:rFonts w:ascii="Times New Roman" w:hAnsi="Times New Roman"/>
          <w:b/>
          <w:sz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En tales términos,</w:t>
      </w:r>
      <w:r w:rsidRPr="003E425B">
        <w:rPr>
          <w:rFonts w:ascii="Times New Roman" w:hAnsi="Times New Roman"/>
          <w:sz w:val="28"/>
          <w:lang w:eastAsia="es-MX"/>
        </w:rPr>
        <w:t xml:space="preserve"> la jurisprudencia constitucional reiterada y uniforme </w:t>
      </w:r>
      <w:r w:rsidRPr="003E425B">
        <w:rPr>
          <w:rFonts w:ascii="Times New Roman" w:hAnsi="Times New Roman"/>
          <w:sz w:val="28"/>
          <w:lang w:eastAsia="es-MX"/>
        </w:rPr>
        <w:t>ha sostenido que el</w:t>
      </w:r>
      <w:r w:rsidRPr="003E425B">
        <w:rPr>
          <w:rFonts w:ascii="Times New Roman" w:hAnsi="Times New Roman"/>
          <w:sz w:val="28"/>
          <w:lang w:eastAsia="es-MX"/>
        </w:rPr>
        <w:t xml:space="preserve"> análisis de impacto fiscal</w:t>
      </w:r>
      <w:r w:rsidRPr="003E425B">
        <w:rPr>
          <w:rFonts w:ascii="Times New Roman" w:hAnsi="Times New Roman"/>
          <w:sz w:val="28"/>
          <w:lang w:eastAsia="es-MX"/>
        </w:rPr>
        <w:t xml:space="preserve">, como obligación de naturaleza procesal-deliberativa, </w:t>
      </w:r>
      <w:r w:rsidRPr="003E425B">
        <w:rPr>
          <w:rFonts w:ascii="Times New Roman" w:hAnsi="Times New Roman"/>
          <w:sz w:val="28"/>
          <w:lang w:eastAsia="es-MX"/>
        </w:rPr>
        <w:t xml:space="preserve">persigue cuatro finalidades </w:t>
      </w:r>
      <w:r w:rsidRPr="003E425B">
        <w:rPr>
          <w:rFonts w:ascii="Times New Roman" w:hAnsi="Times New Roman"/>
          <w:sz w:val="28"/>
          <w:lang w:eastAsia="es-MX"/>
        </w:rPr>
        <w:t>específicas</w:t>
      </w:r>
      <w:r w:rsidRPr="003E425B">
        <w:rPr>
          <w:rFonts w:ascii="Times New Roman" w:hAnsi="Times New Roman"/>
          <w:sz w:val="28"/>
          <w:lang w:eastAsia="es-MX"/>
        </w:rPr>
        <w:t xml:space="preserve">: </w:t>
      </w:r>
      <w:r w:rsidRPr="003E425B">
        <w:rPr>
          <w:rFonts w:ascii="Times New Roman" w:hAnsi="Times New Roman"/>
          <w:i/>
          <w:iCs/>
          <w:sz w:val="28"/>
          <w:lang w:eastAsia="es-MX"/>
        </w:rPr>
        <w:t>(i)</w:t>
      </w:r>
      <w:r w:rsidRPr="003E425B">
        <w:rPr>
          <w:rFonts w:ascii="Times New Roman" w:hAnsi="Times New Roman"/>
          <w:sz w:val="28"/>
          <w:lang w:eastAsia="es-MX"/>
        </w:rPr>
        <w:t xml:space="preserve"> salvaguardar la estabilidad macroeconómica, </w:t>
      </w:r>
      <w:r w:rsidRPr="003E425B">
        <w:rPr>
          <w:rFonts w:ascii="Times New Roman" w:hAnsi="Times New Roman"/>
          <w:i/>
          <w:iCs/>
          <w:sz w:val="28"/>
          <w:lang w:eastAsia="es-MX"/>
        </w:rPr>
        <w:t>(ii)</w:t>
      </w:r>
      <w:r w:rsidRPr="003E425B">
        <w:rPr>
          <w:rFonts w:ascii="Times New Roman" w:hAnsi="Times New Roman"/>
          <w:sz w:val="28"/>
          <w:lang w:eastAsia="es-MX"/>
        </w:rPr>
        <w:t xml:space="preserve"> ordenar las finanzas públicas, </w:t>
      </w:r>
      <w:r w:rsidRPr="003E425B">
        <w:rPr>
          <w:rFonts w:ascii="Times New Roman" w:hAnsi="Times New Roman"/>
          <w:i/>
          <w:iCs/>
          <w:sz w:val="28"/>
          <w:lang w:eastAsia="es-MX"/>
        </w:rPr>
        <w:t>(iii)</w:t>
      </w:r>
      <w:r w:rsidRPr="003E425B">
        <w:rPr>
          <w:rFonts w:ascii="Times New Roman" w:hAnsi="Times New Roman"/>
          <w:sz w:val="28"/>
          <w:lang w:eastAsia="es-MX"/>
        </w:rPr>
        <w:t xml:space="preserve"> fortalecer la transparencia y control ciudadano en el trámite legislativo y </w:t>
      </w:r>
      <w:r w:rsidRPr="003E425B">
        <w:rPr>
          <w:rFonts w:ascii="Times New Roman" w:hAnsi="Times New Roman"/>
          <w:i/>
          <w:iCs/>
          <w:sz w:val="28"/>
          <w:lang w:eastAsia="es-MX"/>
        </w:rPr>
        <w:t>(iv)</w:t>
      </w:r>
      <w:r w:rsidRPr="003E425B">
        <w:rPr>
          <w:rFonts w:ascii="Times New Roman" w:hAnsi="Times New Roman"/>
          <w:sz w:val="28"/>
          <w:lang w:eastAsia="es-MX"/>
        </w:rPr>
        <w:t xml:space="preserve"> garantizar la aplicación efectiva de las ley</w:t>
      </w:r>
      <w:r w:rsidRPr="003E425B">
        <w:rPr>
          <w:rFonts w:ascii="Times New Roman" w:hAnsi="Times New Roman"/>
          <w:sz w:val="28"/>
          <w:lang w:eastAsia="es-MX"/>
        </w:rPr>
        <w:t>es</w:t>
      </w:r>
      <w:r w:rsidRPr="003E425B">
        <w:rPr>
          <w:rStyle w:val="Refdenotaalpie"/>
          <w:rFonts w:ascii="Times New Roman" w:hAnsi="Times New Roman"/>
          <w:sz w:val="28"/>
          <w:lang w:eastAsia="es-MX"/>
        </w:rPr>
        <w:footnoteReference w:id="222"/>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b/>
          <w:sz w:val="28"/>
        </w:rPr>
      </w:pPr>
    </w:p>
    <w:p w:rsidR="002860D7" w:rsidRPr="003E425B" w:rsidRDefault="003E425B" w:rsidP="000C6CC6">
      <w:pPr>
        <w:pStyle w:val="Prrafodelista"/>
        <w:numPr>
          <w:ilvl w:val="1"/>
          <w:numId w:val="25"/>
        </w:numPr>
        <w:spacing w:line="240" w:lineRule="auto"/>
        <w:ind w:left="851" w:hanging="851"/>
        <w:rPr>
          <w:rFonts w:ascii="Times New Roman" w:hAnsi="Times New Roman"/>
          <w:b/>
          <w:sz w:val="28"/>
        </w:rPr>
      </w:pPr>
      <w:r w:rsidRPr="003E425B">
        <w:rPr>
          <w:rFonts w:ascii="Times New Roman" w:hAnsi="Times New Roman"/>
          <w:i/>
          <w:iCs/>
          <w:sz w:val="28"/>
          <w:lang w:eastAsia="es-MX"/>
        </w:rPr>
        <w:t>Salvaguardar la estabilidad macroeconómica</w:t>
      </w:r>
      <w:r w:rsidRPr="003E425B">
        <w:rPr>
          <w:rFonts w:ascii="Times New Roman" w:hAnsi="Times New Roman"/>
          <w:sz w:val="28"/>
          <w:vertAlign w:val="superscript"/>
          <w:lang w:eastAsia="es-MX"/>
        </w:rPr>
        <w:footnoteReference w:id="223"/>
      </w:r>
      <w:r w:rsidRPr="003E425B">
        <w:rPr>
          <w:rFonts w:ascii="Times New Roman" w:hAnsi="Times New Roman"/>
          <w:i/>
          <w:iCs/>
          <w:sz w:val="28"/>
          <w:lang w:eastAsia="es-MX"/>
        </w:rPr>
        <w:t>.</w:t>
      </w:r>
      <w:r w:rsidRPr="003E425B">
        <w:rPr>
          <w:rFonts w:ascii="Times New Roman" w:hAnsi="Times New Roman"/>
          <w:sz w:val="28"/>
          <w:lang w:eastAsia="es-MX"/>
        </w:rPr>
        <w:t xml:space="preserve"> El análisis de impacto fiscal es un instrumento para garantizar la sostenibilidad fiscal</w:t>
      </w:r>
      <w:r w:rsidRPr="003E425B">
        <w:rPr>
          <w:rStyle w:val="Refdenotaalpie"/>
          <w:rFonts w:ascii="Times New Roman" w:hAnsi="Times New Roman"/>
          <w:sz w:val="28"/>
          <w:lang w:eastAsia="es-MX"/>
        </w:rPr>
        <w:footnoteReference w:id="224"/>
      </w:r>
      <w:r w:rsidRPr="003E425B">
        <w:rPr>
          <w:rFonts w:ascii="Times New Roman" w:hAnsi="Times New Roman"/>
          <w:sz w:val="28"/>
          <w:lang w:eastAsia="es-MX"/>
        </w:rPr>
        <w:t xml:space="preserve">. El artículo 334 de la Constitución consagra </w:t>
      </w:r>
      <w:r w:rsidRPr="003E425B">
        <w:rPr>
          <w:rFonts w:ascii="Times New Roman" w:hAnsi="Times New Roman"/>
          <w:sz w:val="28"/>
          <w:lang w:eastAsia="es-MX"/>
        </w:rPr>
        <w:t xml:space="preserve">la </w:t>
      </w:r>
      <w:r w:rsidRPr="003E425B">
        <w:rPr>
          <w:rFonts w:ascii="Times New Roman" w:hAnsi="Times New Roman"/>
          <w:sz w:val="28"/>
          <w:lang w:eastAsia="es-MX"/>
        </w:rPr>
        <w:t xml:space="preserve">sostenibilidad fiscal </w:t>
      </w:r>
      <w:r w:rsidRPr="003E425B">
        <w:rPr>
          <w:rFonts w:ascii="Times New Roman" w:hAnsi="Times New Roman"/>
          <w:sz w:val="28"/>
          <w:lang w:eastAsia="es-MX"/>
        </w:rPr>
        <w:t>como un criterio orientador</w:t>
      </w:r>
      <w:r w:rsidRPr="003E425B">
        <w:rPr>
          <w:rFonts w:ascii="Times New Roman" w:hAnsi="Times New Roman"/>
          <w:sz w:val="28"/>
          <w:lang w:eastAsia="es-MX"/>
        </w:rPr>
        <w:t xml:space="preserve"> </w:t>
      </w:r>
      <w:r w:rsidRPr="003E425B">
        <w:rPr>
          <w:rFonts w:ascii="Times New Roman" w:hAnsi="Times New Roman"/>
          <w:sz w:val="28"/>
          <w:lang w:eastAsia="es-MX"/>
        </w:rPr>
        <w:t>para las</w:t>
      </w:r>
      <w:r w:rsidRPr="003E425B">
        <w:rPr>
          <w:rFonts w:ascii="Times New Roman" w:hAnsi="Times New Roman"/>
          <w:sz w:val="28"/>
          <w:lang w:eastAsia="es-MX"/>
        </w:rPr>
        <w:t xml:space="preserve"> autorid</w:t>
      </w:r>
      <w:r w:rsidRPr="003E425B">
        <w:rPr>
          <w:rFonts w:ascii="Times New Roman" w:hAnsi="Times New Roman"/>
          <w:sz w:val="28"/>
          <w:lang w:eastAsia="es-MX"/>
        </w:rPr>
        <w:t>ades públicas</w:t>
      </w:r>
      <w:r w:rsidRPr="003E425B">
        <w:rPr>
          <w:rFonts w:ascii="Times New Roman" w:hAnsi="Times New Roman"/>
          <w:sz w:val="28"/>
          <w:lang w:eastAsia="es-MX"/>
        </w:rPr>
        <w:t xml:space="preserve"> que</w:t>
      </w:r>
      <w:r w:rsidRPr="003E425B">
        <w:rPr>
          <w:rFonts w:ascii="Times New Roman" w:hAnsi="Times New Roman"/>
          <w:sz w:val="28"/>
          <w:lang w:eastAsia="es-MX"/>
        </w:rPr>
        <w:t xml:space="preserve"> </w:t>
      </w:r>
      <w:r w:rsidRPr="003E425B">
        <w:rPr>
          <w:rFonts w:ascii="Times New Roman" w:hAnsi="Times New Roman"/>
          <w:sz w:val="28"/>
          <w:lang w:eastAsia="es-MX"/>
        </w:rPr>
        <w:t>“busca hacer efectivos, de manera progresiva y planificada, los fines del Estado, evitando el desequilibrio desmedido entre los gastos y los ingresos públicos</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225"/>
      </w:r>
      <w:r w:rsidRPr="003E425B">
        <w:rPr>
          <w:rFonts w:ascii="Times New Roman" w:hAnsi="Times New Roman"/>
          <w:sz w:val="28"/>
          <w:lang w:eastAsia="es-MX"/>
        </w:rPr>
        <w:t xml:space="preserve">. En virtud del criterio de sostenibilidad fiscal, </w:t>
      </w:r>
      <w:r w:rsidRPr="003E425B">
        <w:rPr>
          <w:rFonts w:ascii="Times New Roman" w:hAnsi="Times New Roman"/>
          <w:sz w:val="28"/>
          <w:lang w:eastAsia="es-MX"/>
        </w:rPr>
        <w:t>“el crecimiento del gasto d</w:t>
      </w:r>
      <w:r w:rsidRPr="003E425B">
        <w:rPr>
          <w:rFonts w:ascii="Times New Roman" w:hAnsi="Times New Roman"/>
          <w:sz w:val="28"/>
          <w:lang w:eastAsia="es-MX"/>
        </w:rPr>
        <w:t>ebe ser acorde con la evolución de los ingresos de largo plazo y debe ser una herramienta de estabilización del ciclo económico”</w:t>
      </w:r>
      <w:r w:rsidRPr="003E425B">
        <w:rPr>
          <w:rStyle w:val="Refdenotaalpie"/>
          <w:rFonts w:ascii="Times New Roman" w:hAnsi="Times New Roman"/>
          <w:sz w:val="28"/>
          <w:lang w:eastAsia="es-MX"/>
        </w:rPr>
        <w:footnoteReference w:id="226"/>
      </w:r>
      <w:r w:rsidRPr="003E425B">
        <w:rPr>
          <w:rFonts w:ascii="Times New Roman" w:hAnsi="Times New Roman"/>
          <w:sz w:val="28"/>
          <w:lang w:eastAsia="es-MX"/>
        </w:rPr>
        <w:t>. Lo anterior, con el propósito de “regularizar la brecha existente entre los ingresos y gastos de una economía”</w:t>
      </w:r>
      <w:r w:rsidRPr="003E425B">
        <w:rPr>
          <w:rFonts w:ascii="Times New Roman" w:hAnsi="Times New Roman"/>
          <w:sz w:val="28"/>
          <w:vertAlign w:val="superscript"/>
          <w:lang w:eastAsia="es-MX"/>
        </w:rPr>
        <w:footnoteReference w:id="227"/>
      </w:r>
      <w:r w:rsidRPr="003E425B">
        <w:rPr>
          <w:rFonts w:ascii="Times New Roman" w:hAnsi="Times New Roman"/>
          <w:sz w:val="28"/>
          <w:lang w:eastAsia="es-MX"/>
        </w:rPr>
        <w:t xml:space="preserve"> y reducir</w:t>
      </w:r>
      <w:r w:rsidRPr="003E425B">
        <w:rPr>
          <w:rFonts w:ascii="Times New Roman" w:hAnsi="Times New Roman"/>
          <w:sz w:val="28"/>
          <w:lang w:val="es-ES" w:eastAsia="es-MX"/>
        </w:rPr>
        <w:t xml:space="preserve"> el </w:t>
      </w:r>
      <w:r w:rsidRPr="003E425B">
        <w:rPr>
          <w:rFonts w:ascii="Times New Roman" w:hAnsi="Times New Roman"/>
          <w:sz w:val="28"/>
          <w:lang w:eastAsia="es-MX"/>
        </w:rPr>
        <w:t>déficit fiscal</w:t>
      </w:r>
      <w:r w:rsidRPr="003E425B">
        <w:rPr>
          <w:rFonts w:ascii="Times New Roman" w:hAnsi="Times New Roman"/>
          <w:sz w:val="28"/>
          <w:vertAlign w:val="superscript"/>
          <w:lang w:eastAsia="es-MX"/>
        </w:rPr>
        <w:footnoteReference w:id="228"/>
      </w:r>
      <w:r w:rsidRPr="003E425B">
        <w:rPr>
          <w:rFonts w:ascii="Times New Roman" w:hAnsi="Times New Roman"/>
          <w:sz w:val="28"/>
          <w:lang w:val="es-ES" w:eastAsia="es-MX"/>
        </w:rPr>
        <w:t>.</w:t>
      </w:r>
      <w:r w:rsidRPr="003E425B">
        <w:rPr>
          <w:rFonts w:ascii="Times New Roman" w:hAnsi="Times New Roman"/>
          <w:i/>
          <w:iCs/>
          <w:sz w:val="28"/>
          <w:lang w:eastAsia="es-MX"/>
        </w:rPr>
        <w:t xml:space="preserve"> </w:t>
      </w:r>
      <w:r w:rsidRPr="003E425B">
        <w:rPr>
          <w:rFonts w:ascii="Times New Roman" w:hAnsi="Times New Roman"/>
          <w:sz w:val="28"/>
          <w:lang w:eastAsia="es-MX"/>
        </w:rPr>
        <w:t>Al exigir que la aprobación de las leyes que ordenan gasto o conceden beneficios tributarios tengan en consideración la limitada capacidad</w:t>
      </w:r>
      <w:r w:rsidRPr="003E425B">
        <w:rPr>
          <w:rFonts w:ascii="Times New Roman" w:hAnsi="Times New Roman"/>
          <w:sz w:val="28"/>
          <w:lang w:eastAsia="es-MX"/>
        </w:rPr>
        <w:t xml:space="preserve"> del Estado</w:t>
      </w:r>
      <w:r w:rsidRPr="003E425B">
        <w:rPr>
          <w:rFonts w:ascii="Times New Roman" w:hAnsi="Times New Roman"/>
          <w:sz w:val="28"/>
          <w:lang w:eastAsia="es-MX"/>
        </w:rPr>
        <w:t xml:space="preserve"> para recaudar ingresos y para acceder a recursos de financiamiento, el artículo 7º de la </w:t>
      </w:r>
      <w:r w:rsidRPr="003E425B">
        <w:rPr>
          <w:rFonts w:ascii="Times New Roman" w:hAnsi="Times New Roman"/>
          <w:sz w:val="28"/>
          <w:lang w:eastAsia="es-MX"/>
        </w:rPr>
        <w:t>Ley 819 de 2003 busca que la política de gasto pueda mantenerse o sostenerse en el tiempo, sin incrementar la deuda pública</w:t>
      </w:r>
      <w:r w:rsidRPr="003E425B">
        <w:rPr>
          <w:rStyle w:val="Refdenotaalpie"/>
          <w:rFonts w:ascii="Times New Roman" w:hAnsi="Times New Roman"/>
          <w:sz w:val="28"/>
          <w:lang w:eastAsia="es-MX"/>
        </w:rPr>
        <w:footnoteReference w:id="229"/>
      </w:r>
      <w:r w:rsidRPr="003E425B">
        <w:rPr>
          <w:rFonts w:ascii="Times New Roman" w:hAnsi="Times New Roman"/>
          <w:sz w:val="28"/>
          <w:lang w:eastAsia="es-MX"/>
        </w:rPr>
        <w:t>.</w:t>
      </w:r>
    </w:p>
    <w:p w:rsidR="002860D7" w:rsidRPr="003E425B" w:rsidRDefault="003E425B" w:rsidP="000C6CC6">
      <w:pPr>
        <w:pStyle w:val="Prrafodelista"/>
        <w:numPr>
          <w:ilvl w:val="1"/>
          <w:numId w:val="25"/>
        </w:numPr>
        <w:spacing w:line="240" w:lineRule="auto"/>
        <w:ind w:left="851" w:hanging="851"/>
        <w:rPr>
          <w:rFonts w:ascii="Times New Roman" w:hAnsi="Times New Roman"/>
          <w:b/>
          <w:sz w:val="28"/>
        </w:rPr>
      </w:pPr>
      <w:r w:rsidRPr="003E425B">
        <w:rPr>
          <w:rFonts w:ascii="Times New Roman" w:hAnsi="Times New Roman"/>
          <w:i/>
          <w:iCs/>
          <w:sz w:val="28"/>
          <w:lang w:eastAsia="es-MX"/>
        </w:rPr>
        <w:t>Ordenar las finanzas públicas</w:t>
      </w:r>
      <w:r w:rsidRPr="003E425B">
        <w:rPr>
          <w:rFonts w:ascii="Times New Roman" w:hAnsi="Times New Roman"/>
          <w:sz w:val="28"/>
          <w:lang w:eastAsia="es-MX"/>
        </w:rPr>
        <w:t>. El análisis de impacto fiscal es un mecanismo para disciplinar las finanzas públicas</w:t>
      </w:r>
      <w:r w:rsidRPr="003E425B">
        <w:rPr>
          <w:rFonts w:ascii="Times New Roman" w:hAnsi="Times New Roman"/>
          <w:sz w:val="28"/>
          <w:vertAlign w:val="superscript"/>
          <w:lang w:eastAsia="es-MX"/>
        </w:rPr>
        <w:footnoteReference w:id="230"/>
      </w:r>
      <w:r w:rsidRPr="003E425B">
        <w:rPr>
          <w:rFonts w:ascii="Times New Roman" w:hAnsi="Times New Roman"/>
          <w:sz w:val="28"/>
          <w:lang w:eastAsia="es-MX"/>
        </w:rPr>
        <w:t>. Esto, porque</w:t>
      </w:r>
      <w:r w:rsidRPr="003E425B">
        <w:rPr>
          <w:rFonts w:ascii="Times New Roman" w:hAnsi="Times New Roman"/>
          <w:sz w:val="28"/>
          <w:lang w:eastAsia="es-MX"/>
        </w:rPr>
        <w:t xml:space="preserve"> asegura que las decisiones más importantes sobre la destinación de los recursos públicos “se adopten de manera responsable”</w:t>
      </w:r>
      <w:r w:rsidRPr="003E425B">
        <w:rPr>
          <w:rStyle w:val="Refdenotaalpie"/>
          <w:rFonts w:ascii="Times New Roman" w:hAnsi="Times New Roman"/>
          <w:sz w:val="28"/>
          <w:lang w:eastAsia="es-MX"/>
        </w:rPr>
        <w:footnoteReference w:id="231"/>
      </w:r>
      <w:r w:rsidRPr="003E425B">
        <w:rPr>
          <w:rFonts w:ascii="Times New Roman" w:hAnsi="Times New Roman"/>
          <w:sz w:val="28"/>
          <w:lang w:eastAsia="es-MX"/>
        </w:rPr>
        <w:t xml:space="preserve"> y</w:t>
      </w:r>
      <w:r w:rsidRPr="003E425B">
        <w:rPr>
          <w:rFonts w:ascii="Times New Roman" w:hAnsi="Times New Roman"/>
          <w:b/>
          <w:bCs/>
          <w:sz w:val="28"/>
          <w:lang w:val="es-ES" w:eastAsia="es-MX"/>
        </w:rPr>
        <w:t xml:space="preserve"> </w:t>
      </w:r>
      <w:r w:rsidRPr="003E425B">
        <w:rPr>
          <w:rFonts w:ascii="Times New Roman" w:hAnsi="Times New Roman"/>
          <w:bCs/>
          <w:sz w:val="28"/>
          <w:lang w:val="es-ES" w:eastAsia="es-MX"/>
        </w:rPr>
        <w:t>“estén en armonía con la situación económica del país y con la política económica trazada por las autoridades correspondientes”</w:t>
      </w:r>
      <w:r w:rsidRPr="003E425B">
        <w:rPr>
          <w:rStyle w:val="Refdenotaalpie"/>
          <w:rFonts w:ascii="Times New Roman" w:hAnsi="Times New Roman"/>
          <w:bCs/>
          <w:sz w:val="28"/>
          <w:lang w:val="es-ES" w:eastAsia="es-MX"/>
        </w:rPr>
        <w:footnoteReference w:id="232"/>
      </w:r>
      <w:r w:rsidRPr="003E425B">
        <w:rPr>
          <w:rFonts w:ascii="Times New Roman" w:hAnsi="Times New Roman"/>
          <w:bCs/>
          <w:sz w:val="28"/>
          <w:lang w:val="es-ES" w:eastAsia="es-MX"/>
        </w:rPr>
        <w:t>.</w:t>
      </w:r>
      <w:r w:rsidRPr="003E425B">
        <w:rPr>
          <w:rFonts w:ascii="Times New Roman" w:hAnsi="Times New Roman"/>
          <w:sz w:val="28"/>
          <w:lang w:eastAsia="es-MX"/>
        </w:rPr>
        <w:t xml:space="preserve"> El examen de los gastos que causa la implementación de las leyes y los recursos para financiarlos articula la política de gasto del Estado, debido a que contribuye a que el legislador elabore “normas financieramente sostenibles y fiscalmente realizables”</w:t>
      </w:r>
      <w:r w:rsidRPr="003E425B">
        <w:rPr>
          <w:rFonts w:ascii="Times New Roman" w:hAnsi="Times New Roman"/>
          <w:sz w:val="28"/>
          <w:vertAlign w:val="superscript"/>
          <w:lang w:eastAsia="es-MX"/>
        </w:rPr>
        <w:footnoteReference w:id="233"/>
      </w:r>
      <w:r w:rsidRPr="003E425B">
        <w:rPr>
          <w:rFonts w:ascii="Times New Roman" w:hAnsi="Times New Roman"/>
          <w:sz w:val="28"/>
          <w:lang w:eastAsia="es-MX"/>
        </w:rPr>
        <w:t xml:space="preserve"> que sean compatibles con el Marco Fiscal de Mediano Plazo.</w:t>
      </w:r>
    </w:p>
    <w:p w:rsidR="002860D7" w:rsidRPr="003E425B" w:rsidRDefault="003E425B" w:rsidP="000C6CC6">
      <w:pPr>
        <w:pStyle w:val="Prrafodelista"/>
        <w:numPr>
          <w:ilvl w:val="1"/>
          <w:numId w:val="25"/>
        </w:numPr>
        <w:spacing w:line="240" w:lineRule="auto"/>
        <w:ind w:left="851" w:hanging="851"/>
        <w:rPr>
          <w:rFonts w:ascii="Times New Roman" w:hAnsi="Times New Roman"/>
          <w:b/>
          <w:sz w:val="28"/>
        </w:rPr>
      </w:pPr>
      <w:r w:rsidRPr="003E425B">
        <w:rPr>
          <w:rFonts w:ascii="Times New Roman" w:hAnsi="Times New Roman"/>
          <w:i/>
          <w:iCs/>
          <w:sz w:val="28"/>
          <w:lang w:eastAsia="es-MX"/>
        </w:rPr>
        <w:t>Fortalecer la transparencia</w:t>
      </w:r>
      <w:r w:rsidRPr="003E425B">
        <w:rPr>
          <w:rFonts w:ascii="Times New Roman" w:hAnsi="Times New Roman"/>
          <w:sz w:val="28"/>
          <w:lang w:eastAsia="es-MX"/>
        </w:rPr>
        <w:t xml:space="preserve"> y </w:t>
      </w:r>
      <w:r w:rsidRPr="003E425B">
        <w:rPr>
          <w:rFonts w:ascii="Times New Roman" w:hAnsi="Times New Roman"/>
          <w:i/>
          <w:iCs/>
          <w:sz w:val="28"/>
          <w:lang w:eastAsia="es-MX"/>
        </w:rPr>
        <w:t>control ciudadano</w:t>
      </w:r>
      <w:r w:rsidRPr="003E425B">
        <w:rPr>
          <w:rFonts w:ascii="Times New Roman" w:hAnsi="Times New Roman"/>
          <w:sz w:val="28"/>
          <w:lang w:eastAsia="es-MX"/>
        </w:rPr>
        <w:t xml:space="preserve">. El análisis de impacto fiscal </w:t>
      </w:r>
      <w:bookmarkStart w:id="23" w:name="_Hlk163657735"/>
      <w:r w:rsidRPr="003E425B">
        <w:rPr>
          <w:rFonts w:ascii="Times New Roman" w:hAnsi="Times New Roman"/>
          <w:bCs/>
          <w:sz w:val="28"/>
          <w:lang w:val="es-ES" w:eastAsia="es-MX"/>
        </w:rPr>
        <w:t>busca que “la discusión sobre materias que impliquen una afectación al fisco se dé de la manera más abierta posible,</w:t>
      </w:r>
      <w:r w:rsidRPr="003E425B">
        <w:rPr>
          <w:rFonts w:ascii="Times New Roman" w:hAnsi="Times New Roman"/>
          <w:bCs/>
          <w:sz w:val="28"/>
          <w:lang w:val="es-ES" w:eastAsia="es-MX"/>
        </w:rPr>
        <w:t xml:space="preserve"> de modo tal que exista suficiente claridad y comprensión respecto de la forma en que el gasto creado por la norma (…) será financiado</w:t>
      </w:r>
      <w:bookmarkEnd w:id="23"/>
      <w:r w:rsidRPr="003E425B">
        <w:rPr>
          <w:rFonts w:ascii="Times New Roman" w:hAnsi="Times New Roman"/>
          <w:bCs/>
          <w:sz w:val="28"/>
          <w:lang w:val="es-ES" w:eastAsia="es-MX"/>
        </w:rPr>
        <w:t>”</w:t>
      </w:r>
      <w:r w:rsidRPr="003E425B">
        <w:rPr>
          <w:rStyle w:val="Refdenotaalpie"/>
          <w:rFonts w:ascii="Times New Roman" w:hAnsi="Times New Roman"/>
          <w:bCs/>
          <w:sz w:val="28"/>
          <w:lang w:val="es-ES" w:eastAsia="es-MX"/>
        </w:rPr>
        <w:footnoteReference w:id="234"/>
      </w:r>
      <w:r w:rsidRPr="003E425B">
        <w:rPr>
          <w:rFonts w:ascii="Times New Roman" w:hAnsi="Times New Roman"/>
          <w:bCs/>
          <w:sz w:val="28"/>
          <w:lang w:val="es-ES" w:eastAsia="es-MX"/>
        </w:rPr>
        <w:t>. En la exposición de motivos del proyecto de ley 230 de 2002, que a la postre se convirtió en la Ley 819 de 2003, se re</w:t>
      </w:r>
      <w:r w:rsidRPr="003E425B">
        <w:rPr>
          <w:rFonts w:ascii="Times New Roman" w:hAnsi="Times New Roman"/>
          <w:bCs/>
          <w:sz w:val="28"/>
          <w:lang w:val="es-ES" w:eastAsia="es-MX"/>
        </w:rPr>
        <w:t>saltó que:</w:t>
      </w:r>
    </w:p>
    <w:p w:rsidR="002860D7" w:rsidRPr="003E425B" w:rsidRDefault="003E425B" w:rsidP="00010108">
      <w:pPr>
        <w:pStyle w:val="Prrafodelista"/>
        <w:tabs>
          <w:tab w:val="left" w:pos="567"/>
        </w:tabs>
        <w:spacing w:line="240" w:lineRule="auto"/>
        <w:ind w:left="567"/>
        <w:rPr>
          <w:rFonts w:ascii="Times New Roman" w:hAnsi="Times New Roman"/>
          <w:b/>
          <w:sz w:val="28"/>
        </w:rPr>
      </w:pPr>
    </w:p>
    <w:p w:rsidR="002860D7" w:rsidRPr="003E425B" w:rsidRDefault="003E425B" w:rsidP="00010108">
      <w:pPr>
        <w:pStyle w:val="Prrafodelista"/>
        <w:tabs>
          <w:tab w:val="left" w:pos="567"/>
        </w:tabs>
        <w:spacing w:line="240" w:lineRule="auto"/>
        <w:ind w:left="1021" w:right="397"/>
        <w:rPr>
          <w:rFonts w:ascii="Times New Roman" w:hAnsi="Times New Roman"/>
          <w:bCs/>
          <w:sz w:val="28"/>
          <w:szCs w:val="20"/>
          <w:lang w:eastAsia="es-MX"/>
        </w:rPr>
      </w:pPr>
      <w:r w:rsidRPr="003E425B">
        <w:rPr>
          <w:rFonts w:ascii="Times New Roman" w:hAnsi="Times New Roman"/>
          <w:bCs/>
          <w:sz w:val="28"/>
          <w:szCs w:val="20"/>
          <w:lang w:val="es-ES" w:eastAsia="es-MX"/>
        </w:rPr>
        <w:t>“</w:t>
      </w:r>
      <w:r w:rsidRPr="003E425B">
        <w:rPr>
          <w:rFonts w:ascii="Times New Roman" w:hAnsi="Times New Roman"/>
          <w:bCs/>
          <w:sz w:val="28"/>
          <w:szCs w:val="20"/>
          <w:lang w:eastAsia="es-MX"/>
        </w:rPr>
        <w:t xml:space="preserve">[L]a opinión pública ha dejado de preocuparse únicamente por el nivel de impuestos, para mirar cuál es el destino y la eficiencia en el uso de los recursos públicos. El debate económico sobre la conveniencia de tal o cual gasto y sus </w:t>
      </w:r>
      <w:r w:rsidRPr="003E425B">
        <w:rPr>
          <w:rFonts w:ascii="Times New Roman" w:hAnsi="Times New Roman"/>
          <w:bCs/>
          <w:sz w:val="28"/>
          <w:szCs w:val="20"/>
          <w:lang w:eastAsia="es-MX"/>
        </w:rPr>
        <w:t>implicaciones para la política económica se ha popularizado. Así, el incremento en el endeudamiento del Gobierno, y el incremento futuro de impuestos que ello implica, se ha convertido en una preocupación general para los habitantes de todos los países. De</w:t>
      </w:r>
      <w:r w:rsidRPr="003E425B">
        <w:rPr>
          <w:rFonts w:ascii="Times New Roman" w:hAnsi="Times New Roman"/>
          <w:bCs/>
          <w:sz w:val="28"/>
          <w:szCs w:val="20"/>
          <w:lang w:eastAsia="es-MX"/>
        </w:rPr>
        <w:t xml:space="preserve"> ahí la importancia de contar con mecanismos que incrementen la transparencia y democraticen el debate fiscal.</w:t>
      </w:r>
    </w:p>
    <w:p w:rsidR="002860D7" w:rsidRPr="003E425B" w:rsidRDefault="003E425B" w:rsidP="00010108">
      <w:pPr>
        <w:pStyle w:val="Prrafodelista"/>
        <w:tabs>
          <w:tab w:val="left" w:pos="567"/>
        </w:tabs>
        <w:spacing w:line="240" w:lineRule="auto"/>
        <w:ind w:left="1021" w:right="397"/>
        <w:rPr>
          <w:rFonts w:ascii="Times New Roman" w:hAnsi="Times New Roman"/>
          <w:bCs/>
          <w:sz w:val="28"/>
          <w:szCs w:val="20"/>
          <w:lang w:eastAsia="es-MX"/>
        </w:rPr>
      </w:pPr>
    </w:p>
    <w:p w:rsidR="002860D7" w:rsidRPr="003E425B" w:rsidRDefault="003E425B" w:rsidP="00010108">
      <w:pPr>
        <w:pStyle w:val="Prrafodelista"/>
        <w:tabs>
          <w:tab w:val="left" w:pos="567"/>
        </w:tabs>
        <w:spacing w:line="240" w:lineRule="auto"/>
        <w:ind w:left="1021" w:right="397"/>
        <w:jc w:val="center"/>
        <w:rPr>
          <w:rFonts w:ascii="Times New Roman" w:hAnsi="Times New Roman"/>
          <w:bCs/>
          <w:sz w:val="28"/>
          <w:szCs w:val="20"/>
          <w:lang w:eastAsia="es-MX"/>
        </w:rPr>
      </w:pPr>
      <w:r w:rsidRPr="003E425B">
        <w:rPr>
          <w:rFonts w:ascii="Times New Roman" w:hAnsi="Times New Roman"/>
          <w:bCs/>
          <w:sz w:val="28"/>
          <w:szCs w:val="20"/>
          <w:lang w:eastAsia="es-MX"/>
        </w:rPr>
        <w:t>(…)</w:t>
      </w:r>
    </w:p>
    <w:p w:rsidR="002860D7" w:rsidRPr="003E425B" w:rsidRDefault="003E425B" w:rsidP="00010108">
      <w:pPr>
        <w:pStyle w:val="Prrafodelista"/>
        <w:tabs>
          <w:tab w:val="left" w:pos="567"/>
        </w:tabs>
        <w:spacing w:line="240" w:lineRule="auto"/>
        <w:ind w:left="1021" w:right="397"/>
        <w:rPr>
          <w:rFonts w:ascii="Times New Roman" w:hAnsi="Times New Roman"/>
          <w:bCs/>
          <w:sz w:val="28"/>
          <w:szCs w:val="20"/>
          <w:lang w:eastAsia="es-MX"/>
        </w:rPr>
      </w:pPr>
    </w:p>
    <w:p w:rsidR="002860D7" w:rsidRPr="003E425B" w:rsidRDefault="003E425B" w:rsidP="00010108">
      <w:pPr>
        <w:pStyle w:val="Prrafodelista"/>
        <w:tabs>
          <w:tab w:val="left" w:pos="567"/>
        </w:tabs>
        <w:spacing w:line="240" w:lineRule="auto"/>
        <w:ind w:left="1021" w:right="397"/>
        <w:rPr>
          <w:rFonts w:ascii="Times New Roman" w:hAnsi="Times New Roman"/>
          <w:bCs/>
          <w:sz w:val="28"/>
          <w:szCs w:val="20"/>
          <w:lang w:eastAsia="es-MX"/>
        </w:rPr>
      </w:pPr>
      <w:r w:rsidRPr="003E425B">
        <w:rPr>
          <w:rFonts w:ascii="Times New Roman" w:hAnsi="Times New Roman"/>
          <w:bCs/>
          <w:sz w:val="28"/>
          <w:szCs w:val="20"/>
          <w:lang w:eastAsia="es-MX"/>
        </w:rPr>
        <w:t xml:space="preserve">“En [ese] sentido, se aplica la necesidad de hacer explícito el impacto fiscal de las órdenes de gasto y exenciones tributarias contenidas </w:t>
      </w:r>
      <w:r w:rsidRPr="003E425B">
        <w:rPr>
          <w:rFonts w:ascii="Times New Roman" w:hAnsi="Times New Roman"/>
          <w:bCs/>
          <w:sz w:val="28"/>
          <w:szCs w:val="20"/>
          <w:lang w:eastAsia="es-MX"/>
        </w:rPr>
        <w:t>en las leyes, ordenanzas o acuerdos existentes. Esta norma evita que haya intereses particulares afectando la gestión de la administración estatal y fortalece la objetividad en la acción pública”</w:t>
      </w:r>
      <w:r w:rsidRPr="003E425B">
        <w:rPr>
          <w:rFonts w:ascii="Times New Roman" w:hAnsi="Times New Roman"/>
          <w:bCs/>
          <w:sz w:val="28"/>
          <w:szCs w:val="20"/>
          <w:vertAlign w:val="superscript"/>
          <w:lang w:eastAsia="es-MX"/>
        </w:rPr>
        <w:footnoteReference w:id="235"/>
      </w:r>
      <w:r w:rsidRPr="003E425B">
        <w:rPr>
          <w:rFonts w:ascii="Times New Roman" w:hAnsi="Times New Roman"/>
          <w:bCs/>
          <w:sz w:val="28"/>
          <w:szCs w:val="20"/>
          <w:lang w:eastAsia="es-MX"/>
        </w:rPr>
        <w:t>.</w:t>
      </w:r>
    </w:p>
    <w:p w:rsidR="002860D7" w:rsidRPr="003E425B" w:rsidRDefault="003E425B" w:rsidP="00010108">
      <w:pPr>
        <w:pStyle w:val="Prrafodelista"/>
        <w:tabs>
          <w:tab w:val="left" w:pos="567"/>
        </w:tabs>
        <w:spacing w:line="240" w:lineRule="auto"/>
        <w:ind w:left="567"/>
        <w:rPr>
          <w:rFonts w:ascii="Times New Roman" w:hAnsi="Times New Roman"/>
          <w:b/>
          <w:sz w:val="28"/>
        </w:rPr>
      </w:pPr>
    </w:p>
    <w:p w:rsidR="002860D7" w:rsidRPr="003E425B" w:rsidRDefault="003E425B" w:rsidP="000C6CC6">
      <w:pPr>
        <w:pStyle w:val="Prrafodelista"/>
        <w:numPr>
          <w:ilvl w:val="1"/>
          <w:numId w:val="25"/>
        </w:numPr>
        <w:spacing w:line="240" w:lineRule="auto"/>
        <w:ind w:left="851" w:hanging="851"/>
        <w:rPr>
          <w:rFonts w:ascii="Times New Roman" w:hAnsi="Times New Roman"/>
          <w:b/>
          <w:sz w:val="28"/>
        </w:rPr>
      </w:pPr>
      <w:r w:rsidRPr="003E425B">
        <w:rPr>
          <w:rFonts w:ascii="Times New Roman" w:hAnsi="Times New Roman"/>
          <w:i/>
          <w:iCs/>
          <w:sz w:val="28"/>
          <w:lang w:eastAsia="es-MX"/>
        </w:rPr>
        <w:t>Garantizar la aplicación efectiva de las leyes</w:t>
      </w:r>
      <w:r w:rsidRPr="003E425B">
        <w:rPr>
          <w:rFonts w:ascii="Times New Roman" w:hAnsi="Times New Roman"/>
          <w:sz w:val="28"/>
          <w:lang w:eastAsia="es-MX"/>
        </w:rPr>
        <w:t>. El anális</w:t>
      </w:r>
      <w:r w:rsidRPr="003E425B">
        <w:rPr>
          <w:rFonts w:ascii="Times New Roman" w:hAnsi="Times New Roman"/>
          <w:sz w:val="28"/>
          <w:lang w:eastAsia="es-MX"/>
        </w:rPr>
        <w:t>is de impacto fiscal contribuye a garantizar la efectiva aplicación de las leyes, por cuanto “disminuye el margen de incertidumbre respecto de la ejecución material de las previsiones legislativas”</w:t>
      </w:r>
      <w:r w:rsidRPr="003E425B">
        <w:rPr>
          <w:rFonts w:ascii="Times New Roman" w:hAnsi="Times New Roman"/>
          <w:sz w:val="28"/>
          <w:vertAlign w:val="superscript"/>
          <w:lang w:eastAsia="es-MX"/>
        </w:rPr>
        <w:footnoteReference w:id="236"/>
      </w:r>
      <w:r w:rsidRPr="003E425B">
        <w:rPr>
          <w:rFonts w:ascii="Times New Roman" w:hAnsi="Times New Roman"/>
          <w:sz w:val="28"/>
          <w:lang w:eastAsia="es-MX"/>
        </w:rPr>
        <w:t xml:space="preserve">. </w:t>
      </w:r>
      <w:r w:rsidRPr="003E425B">
        <w:rPr>
          <w:rFonts w:ascii="Times New Roman" w:hAnsi="Times New Roman"/>
          <w:sz w:val="28"/>
          <w:lang w:eastAsia="es-MX"/>
        </w:rPr>
        <w:t xml:space="preserve">Lo </w:t>
      </w:r>
      <w:r w:rsidRPr="003E425B">
        <w:rPr>
          <w:rFonts w:ascii="Times New Roman" w:hAnsi="Times New Roman"/>
          <w:sz w:val="28"/>
          <w:lang w:eastAsia="es-MX"/>
        </w:rPr>
        <w:t>anterior</w:t>
      </w:r>
      <w:r w:rsidRPr="003E425B">
        <w:rPr>
          <w:rFonts w:ascii="Times New Roman" w:hAnsi="Times New Roman"/>
          <w:sz w:val="28"/>
          <w:lang w:eastAsia="es-MX"/>
        </w:rPr>
        <w:t>, con miras</w:t>
      </w:r>
      <w:r w:rsidRPr="003E425B">
        <w:rPr>
          <w:rFonts w:ascii="Times New Roman" w:hAnsi="Times New Roman"/>
          <w:sz w:val="28"/>
          <w:lang w:eastAsia="es-MX"/>
        </w:rPr>
        <w:t xml:space="preserve"> “</w:t>
      </w:r>
      <w:r w:rsidRPr="003E425B">
        <w:rPr>
          <w:rFonts w:ascii="Times New Roman" w:hAnsi="Times New Roman"/>
          <w:sz w:val="28"/>
          <w:lang w:val="es-ES" w:eastAsia="es-MX"/>
        </w:rPr>
        <w:t>a la superación de esa tradición</w:t>
      </w:r>
      <w:r w:rsidRPr="003E425B">
        <w:rPr>
          <w:rFonts w:ascii="Times New Roman" w:hAnsi="Times New Roman"/>
          <w:sz w:val="28"/>
          <w:lang w:val="es-ES" w:eastAsia="es-MX"/>
        </w:rPr>
        <w:t xml:space="preserve"> existente en el país – de efectos tan deletéreos en el Estado Social de Derecho - que lleva a aprobar leyes sin que se incorporen en el diseño de las mismas los elementos necesarios –administrativos, presupuestales y técnicos- para asegurar su efectiva im</w:t>
      </w:r>
      <w:r w:rsidRPr="003E425B">
        <w:rPr>
          <w:rFonts w:ascii="Times New Roman" w:hAnsi="Times New Roman"/>
          <w:sz w:val="28"/>
          <w:lang w:val="es-ES" w:eastAsia="es-MX"/>
        </w:rPr>
        <w:t>plementación”</w:t>
      </w:r>
      <w:r w:rsidRPr="003E425B">
        <w:rPr>
          <w:rStyle w:val="Refdenotaalpie"/>
          <w:rFonts w:ascii="Times New Roman" w:hAnsi="Times New Roman"/>
          <w:sz w:val="28"/>
          <w:lang w:val="es-ES" w:eastAsia="es-MX"/>
        </w:rPr>
        <w:footnoteReference w:id="237"/>
      </w:r>
      <w:r w:rsidRPr="003E425B">
        <w:rPr>
          <w:rFonts w:ascii="Times New Roman" w:hAnsi="Times New Roman"/>
          <w:sz w:val="28"/>
          <w:lang w:val="es-ES" w:eastAsia="es-MX"/>
        </w:rPr>
        <w:t>.</w:t>
      </w:r>
    </w:p>
    <w:p w:rsidR="002860D7" w:rsidRPr="003E425B" w:rsidRDefault="003E425B" w:rsidP="00010108">
      <w:pPr>
        <w:pStyle w:val="Prrafodelista"/>
        <w:tabs>
          <w:tab w:val="left" w:pos="567"/>
        </w:tabs>
        <w:spacing w:line="240" w:lineRule="auto"/>
        <w:ind w:left="567"/>
        <w:rPr>
          <w:rFonts w:ascii="Times New Roman" w:hAnsi="Times New Roman"/>
          <w:b/>
          <w:sz w:val="28"/>
        </w:rPr>
      </w:pP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En síntesis, el análisis de impacto fiscal constituye un importante “instrumento de racionalización de la actividad legislativa”</w:t>
      </w:r>
      <w:r w:rsidRPr="003E425B">
        <w:rPr>
          <w:rFonts w:ascii="Times New Roman" w:hAnsi="Times New Roman"/>
          <w:sz w:val="28"/>
          <w:vertAlign w:val="superscript"/>
          <w:lang w:eastAsia="es-MX"/>
        </w:rPr>
        <w:footnoteReference w:id="238"/>
      </w:r>
      <w:r w:rsidRPr="003E425B">
        <w:rPr>
          <w:rFonts w:ascii="Times New Roman" w:hAnsi="Times New Roman"/>
          <w:sz w:val="28"/>
          <w:lang w:eastAsia="es-MX"/>
        </w:rPr>
        <w:t>. Esto es así, en tanto busca garantizar que exista una adecuada relación entre los fines buscados y los medio</w:t>
      </w:r>
      <w:r w:rsidRPr="003E425B">
        <w:rPr>
          <w:rFonts w:ascii="Times New Roman" w:hAnsi="Times New Roman"/>
          <w:sz w:val="28"/>
          <w:lang w:eastAsia="es-MX"/>
        </w:rPr>
        <w:t>s financieros disponibles para cumplirlos. El Gobierno Nacional, los congresistas y los ciudadanos deben estar en capacidad de conocer, mediante canales públicos, el tipo de efectos fiscales que suscitan las leyes</w:t>
      </w:r>
      <w:r w:rsidRPr="003E425B">
        <w:rPr>
          <w:rStyle w:val="Refdenotaalpie"/>
          <w:rFonts w:ascii="Times New Roman" w:hAnsi="Times New Roman"/>
          <w:sz w:val="28"/>
          <w:lang w:eastAsia="es-MX"/>
        </w:rPr>
        <w:footnoteReference w:id="239"/>
      </w:r>
      <w:r w:rsidRPr="003E425B">
        <w:rPr>
          <w:rFonts w:ascii="Times New Roman" w:hAnsi="Times New Roman"/>
          <w:sz w:val="28"/>
          <w:lang w:eastAsia="es-MX"/>
        </w:rPr>
        <w:t>. Esto es definitivo para valorar sus virt</w:t>
      </w:r>
      <w:r w:rsidRPr="003E425B">
        <w:rPr>
          <w:rFonts w:ascii="Times New Roman" w:hAnsi="Times New Roman"/>
          <w:sz w:val="28"/>
          <w:lang w:eastAsia="es-MX"/>
        </w:rPr>
        <w:t>udes y sus defectos, en un contexto que, como el actual y de los años venideros, impone priorizar y racionalizar el uso de recursos y tomar en consideración el marco fiscal</w:t>
      </w:r>
      <w:r w:rsidRPr="003E425B">
        <w:rPr>
          <w:rStyle w:val="Refdenotaalpie"/>
          <w:rFonts w:ascii="Times New Roman" w:hAnsi="Times New Roman"/>
          <w:sz w:val="28"/>
          <w:lang w:eastAsia="es-MX"/>
        </w:rPr>
        <w:footnoteReference w:id="240"/>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Ttulo4"/>
        <w:numPr>
          <w:ilvl w:val="0"/>
          <w:numId w:val="26"/>
        </w:numPr>
        <w:ind w:hanging="578"/>
        <w:rPr>
          <w:rFonts w:ascii="Times New Roman" w:hAnsi="Times New Roman" w:cs="Times New Roman"/>
          <w:sz w:val="28"/>
          <w:lang w:eastAsia="es-MX"/>
        </w:rPr>
      </w:pPr>
      <w:r w:rsidRPr="003E425B">
        <w:rPr>
          <w:rFonts w:ascii="Times New Roman" w:hAnsi="Times New Roman" w:cs="Times New Roman"/>
          <w:sz w:val="28"/>
          <w:lang w:eastAsia="es-MX"/>
        </w:rPr>
        <w:t xml:space="preserve">Presupuesto material de exigibilidad del análisis de impacto fiscal: la norma </w:t>
      </w:r>
      <w:r w:rsidRPr="003E425B">
        <w:rPr>
          <w:rFonts w:ascii="Times New Roman" w:hAnsi="Times New Roman" w:cs="Times New Roman"/>
          <w:sz w:val="28"/>
        </w:rPr>
        <w:t>o</w:t>
      </w:r>
      <w:r w:rsidRPr="003E425B">
        <w:rPr>
          <w:rFonts w:ascii="Times New Roman" w:hAnsi="Times New Roman" w:cs="Times New Roman"/>
          <w:sz w:val="28"/>
        </w:rPr>
        <w:t>rdena</w:t>
      </w:r>
      <w:r w:rsidRPr="003E425B">
        <w:rPr>
          <w:rFonts w:ascii="Times New Roman" w:hAnsi="Times New Roman" w:cs="Times New Roman"/>
          <w:sz w:val="28"/>
          <w:lang w:val="es-ES" w:eastAsia="es-MX"/>
        </w:rPr>
        <w:t xml:space="preserve"> gasto u otorga beneficios tributarios </w:t>
      </w:r>
    </w:p>
    <w:p w:rsidR="002860D7" w:rsidRPr="003E425B" w:rsidRDefault="003E425B" w:rsidP="00010108">
      <w:pPr>
        <w:pStyle w:val="Prrafodelista"/>
        <w:tabs>
          <w:tab w:val="left" w:pos="567"/>
        </w:tabs>
        <w:spacing w:line="240" w:lineRule="auto"/>
        <w:ind w:left="0"/>
        <w:rPr>
          <w:rFonts w:ascii="Times New Roman" w:hAnsi="Times New Roman"/>
          <w:b/>
          <w:sz w:val="28"/>
        </w:rPr>
      </w:pPr>
      <w:r w:rsidRPr="003E425B">
        <w:rPr>
          <w:rFonts w:ascii="Times New Roman" w:hAnsi="Times New Roman"/>
          <w:sz w:val="28"/>
          <w:lang w:eastAsia="es-MX"/>
        </w:rPr>
        <w:t xml:space="preserve"> </w:t>
      </w:r>
    </w:p>
    <w:p w:rsidR="002860D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El análisis de impacto fiscal no es un requisito de aprobación de todas las leyes. El inciso 1º del artículo 7 de la Ley 819 de 2003 dispone que el estudio de impacto fiscal sólo es exigible cuando la norma -l</w:t>
      </w:r>
      <w:r w:rsidRPr="003E425B">
        <w:rPr>
          <w:rFonts w:ascii="Times New Roman" w:hAnsi="Times New Roman"/>
          <w:sz w:val="28"/>
          <w:lang w:eastAsia="es-MX"/>
        </w:rPr>
        <w:t xml:space="preserve">ey, ordenanza o acuerdo- ordena gasto u otorga beneficios tributarios. El inciso 4º del mismo artículo, por su parte, prevé que los proyectos de ley de iniciativa gubernamental que “planteen un gasto adicional o una reducción de ingresos” deberán contener </w:t>
      </w:r>
      <w:r w:rsidRPr="003E425B">
        <w:rPr>
          <w:rFonts w:ascii="Times New Roman" w:hAnsi="Times New Roman"/>
          <w:sz w:val="28"/>
          <w:lang w:eastAsia="es-MX"/>
        </w:rPr>
        <w:t xml:space="preserve">la correspondiente fuente sustitutiva por disminución de gasto o aumento de ingresos, lo cual deberá ser analizado y aprobado por el MHCP. En tales términos, la Corte Constitucional ha reiterado que es </w:t>
      </w:r>
      <w:r w:rsidRPr="003E425B">
        <w:rPr>
          <w:rFonts w:ascii="Times New Roman" w:hAnsi="Times New Roman"/>
          <w:i/>
          <w:iCs/>
          <w:sz w:val="28"/>
          <w:lang w:eastAsia="es-MX"/>
        </w:rPr>
        <w:t>presupuesto material</w:t>
      </w:r>
      <w:r w:rsidRPr="003E425B">
        <w:rPr>
          <w:rFonts w:ascii="Times New Roman" w:hAnsi="Times New Roman"/>
          <w:sz w:val="28"/>
          <w:lang w:eastAsia="es-MX"/>
        </w:rPr>
        <w:t xml:space="preserve"> de exigibilidad del análisis de i</w:t>
      </w:r>
      <w:r w:rsidRPr="003E425B">
        <w:rPr>
          <w:rFonts w:ascii="Times New Roman" w:hAnsi="Times New Roman"/>
          <w:sz w:val="28"/>
          <w:lang w:eastAsia="es-MX"/>
        </w:rPr>
        <w:t xml:space="preserve">mpacto fiscal que la norma </w:t>
      </w:r>
      <w:r w:rsidRPr="003E425B">
        <w:rPr>
          <w:rFonts w:ascii="Times New Roman" w:hAnsi="Times New Roman"/>
          <w:sz w:val="28"/>
          <w:lang w:eastAsia="es-MX"/>
        </w:rPr>
        <w:t>otorgue beneficios tributarios, ordene gasto</w:t>
      </w:r>
      <w:r w:rsidRPr="003E425B">
        <w:rPr>
          <w:rFonts w:ascii="Times New Roman" w:hAnsi="Times New Roman"/>
          <w:sz w:val="28"/>
          <w:lang w:eastAsia="es-MX"/>
        </w:rPr>
        <w:t xml:space="preserve"> o prevea una reducción de ingresos</w:t>
      </w:r>
      <w:r w:rsidRPr="003E425B">
        <w:rPr>
          <w:rStyle w:val="Refdenotaalpie"/>
          <w:rFonts w:ascii="Times New Roman" w:hAnsi="Times New Roman"/>
          <w:sz w:val="28"/>
          <w:lang w:eastAsia="es-MX"/>
        </w:rPr>
        <w:footnoteReference w:id="241"/>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b/>
          <w:sz w:val="28"/>
        </w:rPr>
      </w:pPr>
    </w:p>
    <w:p w:rsidR="002C0FA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 xml:space="preserve">(i) </w:t>
      </w:r>
      <w:r w:rsidRPr="003E425B">
        <w:rPr>
          <w:rFonts w:ascii="Times New Roman" w:hAnsi="Times New Roman"/>
          <w:sz w:val="28"/>
          <w:u w:val="single"/>
          <w:lang w:eastAsia="es-MX"/>
        </w:rPr>
        <w:t>Beneficios tributarios</w:t>
      </w:r>
      <w:r w:rsidRPr="003E425B">
        <w:rPr>
          <w:rFonts w:ascii="Times New Roman" w:hAnsi="Times New Roman"/>
          <w:sz w:val="28"/>
          <w:lang w:eastAsia="es-MX"/>
        </w:rPr>
        <w:t xml:space="preserve">. Los beneficios tributarios son aquellas disposiciones tributarias que tienen “esencialmente el propósito de colocar </w:t>
      </w:r>
      <w:r w:rsidRPr="003E425B">
        <w:rPr>
          <w:rFonts w:ascii="Times New Roman" w:hAnsi="Times New Roman"/>
          <w:sz w:val="28"/>
          <w:lang w:eastAsia="es-MX"/>
        </w:rPr>
        <w:t>al sujeto o actividad destinataria de la misma, en una situación preferencial o de privilegio, con fines esencialmente extrafiscales”</w:t>
      </w:r>
      <w:r w:rsidRPr="003E425B">
        <w:rPr>
          <w:rFonts w:ascii="Times New Roman" w:hAnsi="Times New Roman"/>
          <w:sz w:val="28"/>
          <w:vertAlign w:val="superscript"/>
          <w:lang w:eastAsia="es-MX"/>
        </w:rPr>
        <w:footnoteReference w:id="242"/>
      </w:r>
      <w:r w:rsidRPr="003E425B">
        <w:rPr>
          <w:rFonts w:ascii="Times New Roman" w:hAnsi="Times New Roman"/>
          <w:sz w:val="28"/>
          <w:lang w:eastAsia="es-MX"/>
        </w:rPr>
        <w:t>. Constituyen beneficios tributarios, por ejemplo, las exenciones, las deducciones de base, los regímenes contributivos su</w:t>
      </w:r>
      <w:r w:rsidRPr="003E425B">
        <w:rPr>
          <w:rFonts w:ascii="Times New Roman" w:hAnsi="Times New Roman"/>
          <w:sz w:val="28"/>
          <w:lang w:eastAsia="es-MX"/>
        </w:rPr>
        <w:t>stitutivos, la suspensión temporal del recaudo, la concesión de incentivos tributarios y la devolución de impuestos</w:t>
      </w:r>
      <w:r w:rsidRPr="003E425B">
        <w:rPr>
          <w:rFonts w:ascii="Times New Roman" w:hAnsi="Times New Roman"/>
          <w:sz w:val="28"/>
          <w:vertAlign w:val="superscript"/>
          <w:lang w:eastAsia="es-MX"/>
        </w:rPr>
        <w:footnoteReference w:id="243"/>
      </w:r>
      <w:r w:rsidRPr="003E425B">
        <w:rPr>
          <w:rFonts w:ascii="Times New Roman" w:hAnsi="Times New Roman"/>
          <w:sz w:val="28"/>
          <w:lang w:eastAsia="es-MX"/>
        </w:rPr>
        <w:t>. Los beneficios tributarios tienen un impacto fiscal porque a pesar de que no suponen una erogación adicional, implican una reducción de in</w:t>
      </w:r>
      <w:r w:rsidRPr="003E425B">
        <w:rPr>
          <w:rFonts w:ascii="Times New Roman" w:hAnsi="Times New Roman"/>
          <w:sz w:val="28"/>
          <w:lang w:eastAsia="es-MX"/>
        </w:rPr>
        <w:t>gresos tributarios</w:t>
      </w:r>
      <w:r w:rsidRPr="003E425B">
        <w:rPr>
          <w:rStyle w:val="Refdenotaalpie"/>
          <w:rFonts w:ascii="Times New Roman" w:hAnsi="Times New Roman"/>
          <w:sz w:val="28"/>
          <w:lang w:eastAsia="es-MX"/>
        </w:rPr>
        <w:footnoteReference w:id="244"/>
      </w:r>
      <w:r w:rsidRPr="003E425B">
        <w:rPr>
          <w:rFonts w:ascii="Times New Roman" w:hAnsi="Times New Roman"/>
          <w:sz w:val="28"/>
          <w:lang w:eastAsia="es-MX"/>
        </w:rPr>
        <w:t xml:space="preserve">.  </w:t>
      </w:r>
    </w:p>
    <w:p w:rsidR="002C0FA7" w:rsidRPr="003E425B" w:rsidRDefault="003E425B" w:rsidP="00010108">
      <w:pPr>
        <w:pStyle w:val="Prrafodelista"/>
        <w:tabs>
          <w:tab w:val="left" w:pos="567"/>
        </w:tabs>
        <w:spacing w:line="240" w:lineRule="auto"/>
        <w:ind w:left="0"/>
        <w:rPr>
          <w:rFonts w:ascii="Times New Roman" w:hAnsi="Times New Roman"/>
          <w:b/>
          <w:sz w:val="28"/>
        </w:rPr>
      </w:pPr>
    </w:p>
    <w:p w:rsidR="002C0FA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 xml:space="preserve">(ii) </w:t>
      </w:r>
      <w:r w:rsidRPr="003E425B">
        <w:rPr>
          <w:rFonts w:ascii="Times New Roman" w:hAnsi="Times New Roman"/>
          <w:sz w:val="28"/>
          <w:u w:val="single"/>
          <w:lang w:eastAsia="es-MX"/>
        </w:rPr>
        <w:t>Ordenes de gasto</w:t>
      </w:r>
      <w:r w:rsidRPr="003E425B">
        <w:rPr>
          <w:rFonts w:ascii="Times New Roman" w:hAnsi="Times New Roman"/>
          <w:sz w:val="28"/>
          <w:lang w:eastAsia="es-MX"/>
        </w:rPr>
        <w:t>. Las normas que ordenan gasto</w:t>
      </w:r>
      <w:r w:rsidRPr="003E425B">
        <w:rPr>
          <w:rFonts w:ascii="Times New Roman" w:hAnsi="Times New Roman"/>
          <w:iCs/>
          <w:sz w:val="28"/>
          <w:lang w:eastAsia="es-MX"/>
        </w:rPr>
        <w:t>,</w:t>
      </w:r>
      <w:r w:rsidRPr="003E425B">
        <w:rPr>
          <w:rFonts w:ascii="Times New Roman" w:hAnsi="Times New Roman"/>
          <w:i/>
          <w:iCs/>
          <w:sz w:val="28"/>
          <w:lang w:eastAsia="es-MX"/>
        </w:rPr>
        <w:t xml:space="preserve"> </w:t>
      </w:r>
      <w:r w:rsidRPr="003E425B">
        <w:rPr>
          <w:rFonts w:ascii="Times New Roman" w:hAnsi="Times New Roman"/>
          <w:sz w:val="28"/>
          <w:lang w:eastAsia="es-MX"/>
        </w:rPr>
        <w:t>en los términos del artículo 7º de la Ley 819 de 2003, son aquellas</w:t>
      </w:r>
      <w:r w:rsidRPr="003E425B">
        <w:rPr>
          <w:rFonts w:ascii="Times New Roman" w:hAnsi="Times New Roman"/>
          <w:i/>
          <w:iCs/>
          <w:sz w:val="28"/>
          <w:lang w:eastAsia="es-MX"/>
        </w:rPr>
        <w:t xml:space="preserve"> </w:t>
      </w:r>
      <w:r w:rsidRPr="003E425B">
        <w:rPr>
          <w:rFonts w:ascii="Times New Roman" w:hAnsi="Times New Roman"/>
          <w:sz w:val="28"/>
          <w:lang w:eastAsia="es-MX"/>
        </w:rPr>
        <w:t>que “contienen un mandato imperativo de gasto y, por tanto, constituye[n] un título jurídico suficiente y oblig</w:t>
      </w:r>
      <w:r w:rsidRPr="003E425B">
        <w:rPr>
          <w:rFonts w:ascii="Times New Roman" w:hAnsi="Times New Roman"/>
          <w:sz w:val="28"/>
          <w:lang w:eastAsia="es-MX"/>
        </w:rPr>
        <w:t>atorio para la inclusión de una partida en la ley de presupuesto”</w:t>
      </w:r>
      <w:r w:rsidRPr="003E425B">
        <w:rPr>
          <w:rStyle w:val="Refdenotaalpie"/>
          <w:rFonts w:ascii="Times New Roman" w:hAnsi="Times New Roman"/>
          <w:sz w:val="28"/>
          <w:lang w:eastAsia="es-MX"/>
        </w:rPr>
        <w:footnoteReference w:id="245"/>
      </w:r>
      <w:r w:rsidRPr="003E425B">
        <w:rPr>
          <w:rFonts w:ascii="Times New Roman" w:hAnsi="Times New Roman"/>
          <w:sz w:val="28"/>
          <w:lang w:eastAsia="es-MX"/>
        </w:rPr>
        <w:t xml:space="preserve">. La Corte Constitucional ha aclarado que no son normas que ordenan gasto las que prevén una mera </w:t>
      </w:r>
      <w:r w:rsidRPr="003E425B">
        <w:rPr>
          <w:rFonts w:ascii="Times New Roman" w:hAnsi="Times New Roman"/>
          <w:i/>
          <w:sz w:val="28"/>
          <w:lang w:eastAsia="es-MX"/>
        </w:rPr>
        <w:t>habilitación</w:t>
      </w:r>
      <w:r w:rsidRPr="003E425B">
        <w:rPr>
          <w:rFonts w:ascii="Times New Roman" w:hAnsi="Times New Roman"/>
          <w:sz w:val="28"/>
          <w:lang w:eastAsia="es-MX"/>
        </w:rPr>
        <w:t xml:space="preserve"> o </w:t>
      </w:r>
      <w:r w:rsidRPr="003E425B">
        <w:rPr>
          <w:rFonts w:ascii="Times New Roman" w:hAnsi="Times New Roman"/>
          <w:i/>
          <w:sz w:val="28"/>
          <w:lang w:eastAsia="es-MX"/>
        </w:rPr>
        <w:t>autorización</w:t>
      </w:r>
      <w:r w:rsidRPr="003E425B">
        <w:rPr>
          <w:rFonts w:ascii="Times New Roman" w:hAnsi="Times New Roman"/>
          <w:sz w:val="28"/>
          <w:lang w:eastAsia="es-MX"/>
        </w:rPr>
        <w:t xml:space="preserve"> de gasto, que se puede o no incluir en el presupuesto, a discrec</w:t>
      </w:r>
      <w:r w:rsidRPr="003E425B">
        <w:rPr>
          <w:rFonts w:ascii="Times New Roman" w:hAnsi="Times New Roman"/>
          <w:sz w:val="28"/>
          <w:lang w:eastAsia="es-MX"/>
        </w:rPr>
        <w:t>ión del Gobierno Nacional</w:t>
      </w:r>
      <w:r w:rsidRPr="003E425B">
        <w:rPr>
          <w:rFonts w:ascii="Times New Roman" w:hAnsi="Times New Roman"/>
          <w:sz w:val="28"/>
          <w:vertAlign w:val="superscript"/>
          <w:lang w:eastAsia="es-MX"/>
        </w:rPr>
        <w:footnoteReference w:id="246"/>
      </w:r>
      <w:r w:rsidRPr="003E425B">
        <w:rPr>
          <w:rFonts w:ascii="Times New Roman" w:hAnsi="Times New Roman"/>
          <w:sz w:val="28"/>
          <w:lang w:eastAsia="es-MX"/>
        </w:rPr>
        <w:t>.</w:t>
      </w:r>
    </w:p>
    <w:p w:rsidR="002C0FA7" w:rsidRPr="003E425B" w:rsidRDefault="003E425B" w:rsidP="00010108">
      <w:pPr>
        <w:pStyle w:val="Prrafodelista"/>
        <w:tabs>
          <w:tab w:val="left" w:pos="567"/>
        </w:tabs>
        <w:spacing w:line="240" w:lineRule="auto"/>
        <w:ind w:left="0"/>
        <w:rPr>
          <w:rFonts w:ascii="Times New Roman" w:hAnsi="Times New Roman"/>
          <w:b/>
          <w:sz w:val="28"/>
        </w:rPr>
      </w:pPr>
    </w:p>
    <w:p w:rsidR="002C0FA7" w:rsidRPr="003E425B" w:rsidRDefault="003E425B" w:rsidP="000C6CC6">
      <w:pPr>
        <w:pStyle w:val="Prrafodelista"/>
        <w:numPr>
          <w:ilvl w:val="0"/>
          <w:numId w:val="25"/>
        </w:numPr>
        <w:tabs>
          <w:tab w:val="left" w:pos="567"/>
        </w:tabs>
        <w:spacing w:line="240" w:lineRule="auto"/>
        <w:ind w:left="0" w:firstLine="0"/>
        <w:rPr>
          <w:rFonts w:ascii="Times New Roman" w:hAnsi="Times New Roman"/>
          <w:b/>
          <w:sz w:val="28"/>
        </w:rPr>
      </w:pPr>
      <w:r w:rsidRPr="003E425B">
        <w:rPr>
          <w:rFonts w:ascii="Times New Roman" w:hAnsi="Times New Roman"/>
          <w:sz w:val="28"/>
          <w:lang w:eastAsia="es-MX"/>
        </w:rPr>
        <w:t xml:space="preserve">La Corte Constitucional ha desarrollado principalmente dos criterios para diferenciar las órdenes de gasto de las meras autorizaciones: </w:t>
      </w:r>
      <w:r w:rsidRPr="003E425B">
        <w:rPr>
          <w:rFonts w:ascii="Times New Roman" w:hAnsi="Times New Roman"/>
          <w:i/>
          <w:iCs/>
          <w:sz w:val="28"/>
          <w:lang w:eastAsia="es-MX"/>
        </w:rPr>
        <w:t>(i)</w:t>
      </w:r>
      <w:r w:rsidRPr="003E425B">
        <w:rPr>
          <w:rFonts w:ascii="Times New Roman" w:hAnsi="Times New Roman"/>
          <w:sz w:val="28"/>
          <w:lang w:eastAsia="es-MX"/>
        </w:rPr>
        <w:t xml:space="preserve"> gramatical (lenguaje imperativo o facultativo) y </w:t>
      </w:r>
      <w:r w:rsidRPr="003E425B">
        <w:rPr>
          <w:rFonts w:ascii="Times New Roman" w:hAnsi="Times New Roman"/>
          <w:i/>
          <w:iCs/>
          <w:sz w:val="28"/>
          <w:lang w:eastAsia="es-MX"/>
        </w:rPr>
        <w:t>(ii)</w:t>
      </w:r>
      <w:r w:rsidRPr="003E425B">
        <w:rPr>
          <w:rFonts w:ascii="Times New Roman" w:hAnsi="Times New Roman"/>
          <w:sz w:val="28"/>
          <w:lang w:eastAsia="es-MX"/>
        </w:rPr>
        <w:t xml:space="preserve"> funcional (nivel de concreción y </w:t>
      </w:r>
      <w:r w:rsidRPr="003E425B">
        <w:rPr>
          <w:rFonts w:ascii="Times New Roman" w:hAnsi="Times New Roman"/>
          <w:sz w:val="28"/>
          <w:lang w:eastAsia="es-MX"/>
        </w:rPr>
        <w:t>ejecutabilidad de la orden)</w:t>
      </w:r>
      <w:r w:rsidRPr="003E425B">
        <w:rPr>
          <w:rStyle w:val="Refdenotaalpie"/>
          <w:rFonts w:ascii="Times New Roman" w:hAnsi="Times New Roman"/>
          <w:sz w:val="28"/>
          <w:lang w:eastAsia="es-MX"/>
        </w:rPr>
        <w:footnoteReference w:id="247"/>
      </w:r>
      <w:r w:rsidRPr="003E425B">
        <w:rPr>
          <w:rFonts w:ascii="Times New Roman" w:hAnsi="Times New Roman"/>
          <w:sz w:val="28"/>
          <w:lang w:eastAsia="es-MX"/>
        </w:rPr>
        <w:t xml:space="preserve">: </w:t>
      </w:r>
    </w:p>
    <w:p w:rsidR="002C0FA7" w:rsidRPr="003E425B" w:rsidRDefault="003E425B" w:rsidP="00010108">
      <w:pPr>
        <w:pStyle w:val="Prrafodelista"/>
        <w:tabs>
          <w:tab w:val="left" w:pos="567"/>
        </w:tabs>
        <w:spacing w:line="240" w:lineRule="auto"/>
        <w:ind w:left="0"/>
        <w:rPr>
          <w:rFonts w:ascii="Times New Roman" w:hAnsi="Times New Roman"/>
          <w:b/>
          <w:sz w:val="28"/>
        </w:rPr>
      </w:pPr>
    </w:p>
    <w:p w:rsidR="009E37D5" w:rsidRPr="003E425B" w:rsidRDefault="003E425B" w:rsidP="009E37D5">
      <w:pPr>
        <w:pStyle w:val="Prrafodelista"/>
        <w:numPr>
          <w:ilvl w:val="1"/>
          <w:numId w:val="25"/>
        </w:numPr>
        <w:tabs>
          <w:tab w:val="left" w:pos="993"/>
          <w:tab w:val="left" w:pos="1276"/>
        </w:tabs>
        <w:spacing w:line="240" w:lineRule="auto"/>
        <w:ind w:left="794" w:hanging="794"/>
        <w:rPr>
          <w:rFonts w:ascii="Times New Roman" w:hAnsi="Times New Roman"/>
          <w:b/>
          <w:sz w:val="28"/>
        </w:rPr>
      </w:pPr>
      <w:r w:rsidRPr="003E425B">
        <w:rPr>
          <w:rFonts w:ascii="Times New Roman" w:hAnsi="Times New Roman"/>
          <w:i/>
          <w:iCs/>
          <w:sz w:val="28"/>
          <w:lang w:eastAsia="es-MX"/>
        </w:rPr>
        <w:t xml:space="preserve">Criterio gramatical. </w:t>
      </w:r>
      <w:r w:rsidRPr="003E425B">
        <w:rPr>
          <w:rFonts w:ascii="Times New Roman" w:hAnsi="Times New Roman"/>
          <w:sz w:val="28"/>
          <w:lang w:eastAsia="es-MX"/>
        </w:rPr>
        <w:t xml:space="preserve">El primer elemento para determinar la existencia de una orden de gasto es el carácter imperativo o facultativo del lenguaje de </w:t>
      </w:r>
      <w:r w:rsidRPr="003E425B">
        <w:rPr>
          <w:rFonts w:ascii="Times New Roman" w:hAnsi="Times New Roman"/>
          <w:sz w:val="28"/>
          <w:lang w:eastAsia="es-MX"/>
        </w:rPr>
        <w:t>la norma</w:t>
      </w:r>
      <w:r w:rsidRPr="003E425B">
        <w:rPr>
          <w:rStyle w:val="Refdenotaalpie"/>
          <w:rFonts w:ascii="Times New Roman" w:hAnsi="Times New Roman"/>
          <w:sz w:val="28"/>
          <w:lang w:eastAsia="es-MX"/>
        </w:rPr>
        <w:footnoteReference w:id="248"/>
      </w:r>
      <w:r w:rsidRPr="003E425B">
        <w:rPr>
          <w:rFonts w:ascii="Times New Roman" w:hAnsi="Times New Roman"/>
          <w:sz w:val="28"/>
          <w:lang w:eastAsia="es-MX"/>
        </w:rPr>
        <w:t>. El empleo de verbos que supongan una obligación de incluir una pa</w:t>
      </w:r>
      <w:r w:rsidRPr="003E425B">
        <w:rPr>
          <w:rFonts w:ascii="Times New Roman" w:hAnsi="Times New Roman"/>
          <w:sz w:val="28"/>
          <w:lang w:eastAsia="es-MX"/>
        </w:rPr>
        <w:t>rtida en el presupuesto es indicativo de la existencia de una orden de gasto. En contraste, el uso de expresiones facultativas, que implican que el gasto está condicionado al ejercicio discrecional de una facultad por parte del ejecutivo u otra entidad, es</w:t>
      </w:r>
      <w:r w:rsidRPr="003E425B">
        <w:rPr>
          <w:rFonts w:ascii="Times New Roman" w:hAnsi="Times New Roman"/>
          <w:sz w:val="28"/>
          <w:lang w:eastAsia="es-MX"/>
        </w:rPr>
        <w:t xml:space="preserve"> indicativa de la existencia de una mera autorización</w:t>
      </w:r>
      <w:r w:rsidRPr="003E425B">
        <w:rPr>
          <w:rStyle w:val="Refdenotaalpie"/>
          <w:rFonts w:ascii="Times New Roman" w:hAnsi="Times New Roman"/>
          <w:sz w:val="28"/>
          <w:lang w:eastAsia="es-MX"/>
        </w:rPr>
        <w:footnoteReference w:id="249"/>
      </w:r>
      <w:r w:rsidRPr="003E425B">
        <w:rPr>
          <w:rFonts w:ascii="Times New Roman" w:hAnsi="Times New Roman"/>
          <w:sz w:val="28"/>
          <w:lang w:eastAsia="es-MX"/>
        </w:rPr>
        <w:t xml:space="preserve">. </w:t>
      </w:r>
    </w:p>
    <w:p w:rsidR="002C0FA7" w:rsidRPr="003E425B" w:rsidRDefault="003E425B" w:rsidP="009E37D5">
      <w:pPr>
        <w:pStyle w:val="Prrafodelista"/>
        <w:numPr>
          <w:ilvl w:val="1"/>
          <w:numId w:val="25"/>
        </w:numPr>
        <w:tabs>
          <w:tab w:val="left" w:pos="993"/>
          <w:tab w:val="left" w:pos="1276"/>
        </w:tabs>
        <w:spacing w:line="240" w:lineRule="auto"/>
        <w:ind w:left="794" w:hanging="794"/>
        <w:rPr>
          <w:rFonts w:ascii="Times New Roman" w:hAnsi="Times New Roman"/>
          <w:b/>
          <w:sz w:val="28"/>
        </w:rPr>
      </w:pPr>
      <w:r w:rsidRPr="003E425B">
        <w:rPr>
          <w:rFonts w:ascii="Times New Roman" w:hAnsi="Times New Roman"/>
          <w:i/>
          <w:iCs/>
          <w:sz w:val="28"/>
          <w:lang w:eastAsia="es-MX"/>
        </w:rPr>
        <w:t>Criterio funcional</w:t>
      </w:r>
      <w:r w:rsidRPr="003E425B">
        <w:rPr>
          <w:rStyle w:val="Refdenotaalpie"/>
          <w:rFonts w:ascii="Times New Roman" w:hAnsi="Times New Roman"/>
          <w:iCs/>
          <w:sz w:val="28"/>
          <w:lang w:eastAsia="es-MX"/>
        </w:rPr>
        <w:footnoteReference w:id="250"/>
      </w:r>
      <w:r w:rsidRPr="003E425B">
        <w:rPr>
          <w:rFonts w:ascii="Times New Roman" w:hAnsi="Times New Roman"/>
          <w:i/>
          <w:iCs/>
          <w:sz w:val="28"/>
          <w:lang w:eastAsia="es-MX"/>
        </w:rPr>
        <w:t>.</w:t>
      </w:r>
      <w:r w:rsidRPr="003E425B">
        <w:rPr>
          <w:rFonts w:ascii="Times New Roman" w:hAnsi="Times New Roman"/>
          <w:sz w:val="28"/>
          <w:lang w:eastAsia="es-MX"/>
        </w:rPr>
        <w:t xml:space="preserve"> Las normas que ordenan gasto, se reitera, deben ser un título jurídico </w:t>
      </w:r>
      <w:r w:rsidRPr="003E425B">
        <w:rPr>
          <w:rFonts w:ascii="Times New Roman" w:hAnsi="Times New Roman"/>
          <w:sz w:val="28"/>
          <w:u w:val="single"/>
          <w:lang w:eastAsia="es-MX"/>
        </w:rPr>
        <w:t>suficiente</w:t>
      </w:r>
      <w:r w:rsidRPr="003E425B">
        <w:rPr>
          <w:rFonts w:ascii="Times New Roman" w:hAnsi="Times New Roman"/>
          <w:sz w:val="28"/>
          <w:lang w:eastAsia="es-MX"/>
        </w:rPr>
        <w:t xml:space="preserve"> para la inclusión de una partida en la ley de presupuesto. Esto implica que la orden de gasto debe ser concreta </w:t>
      </w:r>
      <w:r w:rsidRPr="003E425B">
        <w:rPr>
          <w:rFonts w:ascii="Times New Roman" w:hAnsi="Times New Roman"/>
          <w:sz w:val="28"/>
          <w:lang w:eastAsia="es-MX"/>
        </w:rPr>
        <w:t>y</w:t>
      </w:r>
      <w:r w:rsidRPr="003E425B">
        <w:rPr>
          <w:rFonts w:ascii="Times New Roman" w:hAnsi="Times New Roman"/>
          <w:sz w:val="28"/>
          <w:lang w:eastAsia="es-MX"/>
        </w:rPr>
        <w:t xml:space="preserve"> ejecutable y, por lo tanto, para </w:t>
      </w:r>
      <w:r w:rsidRPr="003E425B">
        <w:rPr>
          <w:rFonts w:ascii="Times New Roman" w:hAnsi="Times New Roman"/>
          <w:sz w:val="28"/>
          <w:lang w:eastAsia="es-MX"/>
        </w:rPr>
        <w:t>la inclusión de la partida</w:t>
      </w:r>
      <w:r w:rsidRPr="003E425B">
        <w:rPr>
          <w:rFonts w:ascii="Times New Roman" w:hAnsi="Times New Roman"/>
          <w:sz w:val="28"/>
          <w:lang w:eastAsia="es-MX"/>
        </w:rPr>
        <w:t xml:space="preserve"> en el presupuesto no debe requerirse un desarrollo normativo adicional legal o re</w:t>
      </w:r>
      <w:r w:rsidRPr="003E425B">
        <w:rPr>
          <w:rFonts w:ascii="Times New Roman" w:hAnsi="Times New Roman"/>
          <w:sz w:val="28"/>
          <w:lang w:eastAsia="es-MX"/>
        </w:rPr>
        <w:t>glamentario</w:t>
      </w:r>
      <w:r w:rsidRPr="003E425B">
        <w:rPr>
          <w:rStyle w:val="Refdenotaalpie"/>
          <w:rFonts w:ascii="Times New Roman" w:hAnsi="Times New Roman"/>
          <w:sz w:val="28"/>
          <w:lang w:eastAsia="es-MX"/>
        </w:rPr>
        <w:footnoteReference w:id="251"/>
      </w:r>
      <w:r w:rsidRPr="003E425B">
        <w:rPr>
          <w:rFonts w:ascii="Times New Roman" w:eastAsiaTheme="minorHAnsi" w:hAnsi="Times New Roman"/>
          <w:sz w:val="28"/>
          <w:shd w:val="clear" w:color="auto" w:fill="FFFFFF"/>
        </w:rPr>
        <w:t xml:space="preserve">. </w:t>
      </w:r>
      <w:r w:rsidRPr="003E425B">
        <w:rPr>
          <w:rFonts w:ascii="Times New Roman" w:hAnsi="Times New Roman"/>
          <w:sz w:val="28"/>
          <w:lang w:eastAsia="es-MX"/>
        </w:rPr>
        <w:t>De acuerdo con la jurisprudencia constitucional, para determinar si la norma es suficiente y concreta para la inclusión de la partida, o si por el contrario requiere de un desarrollo normativo adicional, debe llevarse a cabo una interpretació</w:t>
      </w:r>
      <w:r w:rsidRPr="003E425B">
        <w:rPr>
          <w:rFonts w:ascii="Times New Roman" w:hAnsi="Times New Roman"/>
          <w:sz w:val="28"/>
          <w:lang w:eastAsia="es-MX"/>
        </w:rPr>
        <w:t>n histórica, teleológica y sistemática del proyecto de ley y el contexto normativo en el que se inscribe</w:t>
      </w:r>
      <w:r w:rsidRPr="003E425B">
        <w:rPr>
          <w:rStyle w:val="Refdenotaalpie"/>
          <w:rFonts w:ascii="Times New Roman" w:hAnsi="Times New Roman"/>
          <w:sz w:val="28"/>
          <w:lang w:eastAsia="es-MX"/>
        </w:rPr>
        <w:footnoteReference w:id="252"/>
      </w:r>
      <w:r w:rsidRPr="003E425B">
        <w:rPr>
          <w:rFonts w:ascii="Times New Roman" w:hAnsi="Times New Roman"/>
          <w:sz w:val="28"/>
          <w:lang w:eastAsia="es-MX"/>
        </w:rPr>
        <w:t xml:space="preserve">. </w:t>
      </w:r>
      <w:r w:rsidRPr="003E425B">
        <w:rPr>
          <w:rFonts w:ascii="Times New Roman" w:hAnsi="Times New Roman"/>
          <w:sz w:val="28"/>
          <w:lang w:eastAsia="es-MX"/>
        </w:rPr>
        <w:t>Con todo, la Corte Constitucional ha aclarado que la existencia de una orden de gasto, en los términos del artíc</w:t>
      </w:r>
      <w:r w:rsidRPr="003E425B">
        <w:rPr>
          <w:rFonts w:ascii="Times New Roman" w:hAnsi="Times New Roman"/>
          <w:sz w:val="28"/>
          <w:lang w:eastAsia="es-MX"/>
        </w:rPr>
        <w:t>u</w:t>
      </w:r>
      <w:r w:rsidRPr="003E425B">
        <w:rPr>
          <w:rFonts w:ascii="Times New Roman" w:hAnsi="Times New Roman"/>
          <w:sz w:val="28"/>
          <w:lang w:eastAsia="es-MX"/>
        </w:rPr>
        <w:t>lo 7º de la Ley 819 de 2003, no impl</w:t>
      </w:r>
      <w:r w:rsidRPr="003E425B">
        <w:rPr>
          <w:rFonts w:ascii="Times New Roman" w:hAnsi="Times New Roman"/>
          <w:sz w:val="28"/>
          <w:lang w:eastAsia="es-MX"/>
        </w:rPr>
        <w:t xml:space="preserve">ica </w:t>
      </w:r>
      <w:r w:rsidRPr="003E425B">
        <w:rPr>
          <w:rFonts w:ascii="Times New Roman" w:hAnsi="Times New Roman"/>
          <w:sz w:val="28"/>
          <w:lang w:val="es-ES" w:eastAsia="es-MX"/>
        </w:rPr>
        <w:t>la exclusión de las competencias del Gobierno Nacional en materia presupuestal. Por la misma razón, el hecho de que el Presidente de la República ejerza tales competencias al incluir la partida no implican que la norma no prevea una orden de gasto. Las</w:t>
      </w:r>
      <w:r w:rsidRPr="003E425B">
        <w:rPr>
          <w:rFonts w:ascii="Times New Roman" w:hAnsi="Times New Roman"/>
          <w:sz w:val="28"/>
          <w:lang w:val="es-ES" w:eastAsia="es-MX"/>
        </w:rPr>
        <w:t xml:space="preserve"> competencias establecidas en la Constitución Política y el Estatuto Orgánico del Presupuesto operan de pleno derecho</w:t>
      </w:r>
      <w:r w:rsidRPr="003E425B">
        <w:rPr>
          <w:rStyle w:val="Refdenotaalpie"/>
          <w:rFonts w:ascii="Times New Roman" w:hAnsi="Times New Roman"/>
          <w:sz w:val="28"/>
          <w:lang w:val="es-ES" w:eastAsia="es-MX"/>
        </w:rPr>
        <w:footnoteReference w:id="253"/>
      </w:r>
      <w:r w:rsidRPr="003E425B">
        <w:rPr>
          <w:rFonts w:ascii="Times New Roman" w:hAnsi="Times New Roman"/>
          <w:sz w:val="28"/>
          <w:lang w:val="es-ES" w:eastAsia="es-MX"/>
        </w:rPr>
        <w:t xml:space="preserve">. </w:t>
      </w:r>
    </w:p>
    <w:p w:rsidR="002C0FA7" w:rsidRPr="003E425B" w:rsidRDefault="003E425B" w:rsidP="009E37D5">
      <w:pPr>
        <w:tabs>
          <w:tab w:val="left" w:pos="709"/>
        </w:tabs>
        <w:rPr>
          <w:rFonts w:ascii="Times New Roman" w:hAnsi="Times New Roman" w:cs="Times New Roman"/>
          <w:b/>
          <w:sz w:val="28"/>
        </w:rPr>
      </w:pPr>
    </w:p>
    <w:p w:rsidR="004F580A" w:rsidRPr="003E425B" w:rsidRDefault="003E425B" w:rsidP="000C6CC6">
      <w:pPr>
        <w:pStyle w:val="Prrafodelista"/>
        <w:numPr>
          <w:ilvl w:val="0"/>
          <w:numId w:val="25"/>
        </w:numPr>
        <w:tabs>
          <w:tab w:val="left" w:pos="0"/>
        </w:tabs>
        <w:spacing w:line="240" w:lineRule="auto"/>
        <w:ind w:left="0" w:firstLine="0"/>
        <w:rPr>
          <w:rFonts w:ascii="Times New Roman" w:hAnsi="Times New Roman"/>
          <w:b/>
          <w:sz w:val="28"/>
        </w:rPr>
      </w:pPr>
      <w:r w:rsidRPr="003E425B">
        <w:rPr>
          <w:rFonts w:ascii="Times New Roman" w:hAnsi="Times New Roman"/>
          <w:sz w:val="28"/>
          <w:lang w:eastAsia="es-MX"/>
        </w:rPr>
        <w:t xml:space="preserve">Con fundamento en estas reglas de decisión, </w:t>
      </w:r>
      <w:r w:rsidRPr="003E425B">
        <w:rPr>
          <w:rFonts w:ascii="Times New Roman" w:hAnsi="Times New Roman"/>
          <w:sz w:val="28"/>
          <w:lang w:eastAsia="es-MX"/>
        </w:rPr>
        <w:t>la Corte Constitucional</w:t>
      </w:r>
      <w:r w:rsidRPr="003E425B">
        <w:rPr>
          <w:rFonts w:ascii="Times New Roman" w:hAnsi="Times New Roman"/>
          <w:sz w:val="28"/>
          <w:lang w:eastAsia="es-MX"/>
        </w:rPr>
        <w:t xml:space="preserve"> ha identificado que constituyen órdenes de gasto, entre otras, las</w:t>
      </w:r>
      <w:r w:rsidRPr="003E425B">
        <w:rPr>
          <w:rFonts w:ascii="Times New Roman" w:hAnsi="Times New Roman"/>
          <w:sz w:val="28"/>
          <w:lang w:eastAsia="es-MX"/>
        </w:rPr>
        <w:t xml:space="preserve"> normas que implican, necesariamente, el</w:t>
      </w:r>
      <w:r w:rsidRPr="003E425B">
        <w:rPr>
          <w:rFonts w:ascii="Times New Roman" w:hAnsi="Times New Roman"/>
          <w:sz w:val="28"/>
        </w:rPr>
        <w:t xml:space="preserve"> incremento porcentual anual de una partida presupuestal</w:t>
      </w:r>
      <w:r w:rsidRPr="003E425B">
        <w:rPr>
          <w:rStyle w:val="Refdenotaalpie"/>
          <w:rFonts w:ascii="Times New Roman" w:hAnsi="Times New Roman"/>
          <w:sz w:val="28"/>
        </w:rPr>
        <w:footnoteReference w:id="254"/>
      </w:r>
      <w:r w:rsidRPr="003E425B">
        <w:rPr>
          <w:rFonts w:ascii="Times New Roman" w:hAnsi="Times New Roman"/>
          <w:sz w:val="28"/>
        </w:rPr>
        <w:t>,</w:t>
      </w:r>
      <w:r w:rsidRPr="003E425B">
        <w:rPr>
          <w:rFonts w:ascii="Times New Roman" w:hAnsi="Times New Roman"/>
          <w:sz w:val="28"/>
          <w:lang w:eastAsia="es-MX"/>
        </w:rPr>
        <w:t xml:space="preserve"> disponen el </w:t>
      </w:r>
      <w:r w:rsidRPr="003E425B">
        <w:rPr>
          <w:rFonts w:ascii="Times New Roman" w:hAnsi="Times New Roman"/>
          <w:sz w:val="28"/>
        </w:rPr>
        <w:t>aumento de la remuneración de un grupo de servidores públicos</w:t>
      </w:r>
      <w:r w:rsidRPr="003E425B">
        <w:rPr>
          <w:rStyle w:val="Refdenotaalpie"/>
          <w:rFonts w:ascii="Times New Roman" w:hAnsi="Times New Roman"/>
          <w:sz w:val="28"/>
        </w:rPr>
        <w:footnoteReference w:id="255"/>
      </w:r>
      <w:r w:rsidRPr="003E425B">
        <w:rPr>
          <w:rFonts w:ascii="Times New Roman" w:hAnsi="Times New Roman"/>
          <w:sz w:val="28"/>
        </w:rPr>
        <w:t xml:space="preserve"> o </w:t>
      </w:r>
      <w:r w:rsidRPr="003E425B">
        <w:rPr>
          <w:rFonts w:ascii="Times New Roman" w:hAnsi="Times New Roman"/>
          <w:sz w:val="28"/>
          <w:lang w:eastAsia="es-MX"/>
        </w:rPr>
        <w:t>crean nuevas entidades públicas, cargos o dependencias (ver sección</w:t>
      </w:r>
      <w:r w:rsidRPr="003E425B">
        <w:rPr>
          <w:rFonts w:ascii="Times New Roman" w:hAnsi="Times New Roman"/>
          <w:sz w:val="28"/>
          <w:lang w:eastAsia="es-MX"/>
        </w:rPr>
        <w:t xml:space="preserve"> </w:t>
      </w:r>
      <w:r w:rsidRPr="003E425B">
        <w:rPr>
          <w:rFonts w:ascii="Times New Roman" w:hAnsi="Times New Roman"/>
          <w:sz w:val="28"/>
          <w:lang w:eastAsia="es-MX"/>
        </w:rPr>
        <w:fldChar w:fldCharType="begin"/>
      </w:r>
      <w:r w:rsidRPr="003E425B">
        <w:rPr>
          <w:rFonts w:ascii="Times New Roman" w:hAnsi="Times New Roman"/>
          <w:sz w:val="28"/>
          <w:lang w:eastAsia="es-MX"/>
        </w:rPr>
        <w:instrText xml:space="preserve"> REF _Ref165</w:instrText>
      </w:r>
      <w:r w:rsidRPr="003E425B">
        <w:rPr>
          <w:rFonts w:ascii="Times New Roman" w:hAnsi="Times New Roman"/>
          <w:sz w:val="28"/>
          <w:lang w:eastAsia="es-MX"/>
        </w:rPr>
        <w:instrText xml:space="preserve">375426 \r \h  \* MERGEFORMAT </w:instrText>
      </w:r>
      <w:r w:rsidRPr="003E425B">
        <w:rPr>
          <w:rFonts w:ascii="Times New Roman" w:hAnsi="Times New Roman"/>
          <w:sz w:val="28"/>
          <w:lang w:eastAsia="es-MX"/>
        </w:rPr>
      </w:r>
      <w:r w:rsidRPr="003E425B">
        <w:rPr>
          <w:rFonts w:ascii="Times New Roman" w:hAnsi="Times New Roman"/>
          <w:sz w:val="28"/>
          <w:lang w:eastAsia="es-MX"/>
        </w:rPr>
        <w:fldChar w:fldCharType="separate"/>
      </w:r>
      <w:r w:rsidRPr="003E425B">
        <w:rPr>
          <w:rFonts w:ascii="Times New Roman" w:hAnsi="Times New Roman"/>
          <w:sz w:val="28"/>
          <w:lang w:eastAsia="es-MX"/>
        </w:rPr>
        <w:t>II</w:t>
      </w:r>
      <w:r w:rsidRPr="003E425B">
        <w:rPr>
          <w:rFonts w:ascii="Times New Roman" w:hAnsi="Times New Roman"/>
          <w:sz w:val="28"/>
          <w:lang w:eastAsia="es-MX"/>
        </w:rPr>
        <w:fldChar w:fldCharType="end"/>
      </w:r>
      <w:r w:rsidRPr="003E425B">
        <w:rPr>
          <w:rFonts w:ascii="Times New Roman" w:hAnsi="Times New Roman"/>
          <w:sz w:val="28"/>
          <w:lang w:eastAsia="es-MX"/>
        </w:rPr>
        <w:fldChar w:fldCharType="begin"/>
      </w:r>
      <w:r w:rsidRPr="003E425B">
        <w:rPr>
          <w:rFonts w:ascii="Times New Roman" w:hAnsi="Times New Roman"/>
          <w:sz w:val="28"/>
          <w:lang w:eastAsia="es-MX"/>
        </w:rPr>
        <w:instrText xml:space="preserve"> REF _Ref168490620 \r \h  \* MERGEFORMAT </w:instrText>
      </w:r>
      <w:r w:rsidRPr="003E425B">
        <w:rPr>
          <w:rFonts w:ascii="Times New Roman" w:hAnsi="Times New Roman"/>
          <w:sz w:val="28"/>
          <w:lang w:eastAsia="es-MX"/>
        </w:rPr>
      </w:r>
      <w:r w:rsidRPr="003E425B">
        <w:rPr>
          <w:rFonts w:ascii="Times New Roman" w:hAnsi="Times New Roman"/>
          <w:sz w:val="28"/>
          <w:lang w:eastAsia="es-MX"/>
        </w:rPr>
        <w:fldChar w:fldCharType="separate"/>
      </w:r>
      <w:r w:rsidRPr="003E425B">
        <w:rPr>
          <w:rFonts w:ascii="Times New Roman" w:hAnsi="Times New Roman"/>
          <w:sz w:val="28"/>
          <w:lang w:eastAsia="es-MX"/>
        </w:rPr>
        <w:t>4.2.1</w:t>
      </w:r>
      <w:r w:rsidRPr="003E425B">
        <w:rPr>
          <w:rFonts w:ascii="Times New Roman" w:hAnsi="Times New Roman"/>
          <w:sz w:val="28"/>
          <w:lang w:eastAsia="es-MX"/>
        </w:rPr>
        <w:fldChar w:fldCharType="end"/>
      </w:r>
      <w:r w:rsidRPr="003E425B">
        <w:rPr>
          <w:rFonts w:ascii="Times New Roman" w:hAnsi="Times New Roman"/>
          <w:sz w:val="28"/>
          <w:lang w:eastAsia="es-MX"/>
        </w:rPr>
        <w:fldChar w:fldCharType="begin"/>
      </w:r>
      <w:r w:rsidRPr="003E425B">
        <w:rPr>
          <w:rFonts w:ascii="Times New Roman" w:hAnsi="Times New Roman"/>
          <w:sz w:val="28"/>
          <w:lang w:eastAsia="es-MX"/>
        </w:rPr>
        <w:instrText xml:space="preserve"> REF _Ref165375454 \r \h  \* MERGEFORMAT </w:instrText>
      </w:r>
      <w:r w:rsidRPr="003E425B">
        <w:rPr>
          <w:rFonts w:ascii="Times New Roman" w:hAnsi="Times New Roman"/>
          <w:sz w:val="28"/>
          <w:lang w:eastAsia="es-MX"/>
        </w:rPr>
      </w:r>
      <w:r w:rsidRPr="003E425B">
        <w:rPr>
          <w:rFonts w:ascii="Times New Roman" w:hAnsi="Times New Roman"/>
          <w:sz w:val="28"/>
          <w:lang w:eastAsia="es-MX"/>
        </w:rPr>
        <w:fldChar w:fldCharType="separate"/>
      </w:r>
      <w:r w:rsidRPr="003E425B">
        <w:rPr>
          <w:rFonts w:ascii="Times New Roman" w:hAnsi="Times New Roman"/>
          <w:sz w:val="28"/>
          <w:lang w:eastAsia="es-MX"/>
        </w:rPr>
        <w:t>(iv)</w:t>
      </w:r>
      <w:r w:rsidRPr="003E425B">
        <w:rPr>
          <w:rFonts w:ascii="Times New Roman" w:hAnsi="Times New Roman"/>
          <w:sz w:val="28"/>
          <w:lang w:eastAsia="es-MX"/>
        </w:rPr>
        <w:fldChar w:fldCharType="end"/>
      </w:r>
      <w:r w:rsidRPr="003E425B">
        <w:rPr>
          <w:rFonts w:ascii="Times New Roman" w:hAnsi="Times New Roman"/>
          <w:sz w:val="28"/>
          <w:lang w:eastAsia="es-MX"/>
        </w:rPr>
        <w:t xml:space="preserve"> </w:t>
      </w:r>
      <w:r w:rsidRPr="003E425B">
        <w:rPr>
          <w:rFonts w:ascii="Times New Roman" w:hAnsi="Times New Roman"/>
          <w:i/>
          <w:iCs/>
          <w:sz w:val="28"/>
          <w:lang w:eastAsia="es-MX"/>
        </w:rPr>
        <w:t>infra</w:t>
      </w:r>
      <w:r w:rsidRPr="003E425B">
        <w:rPr>
          <w:rFonts w:ascii="Times New Roman" w:hAnsi="Times New Roman"/>
          <w:sz w:val="28"/>
          <w:lang w:eastAsia="es-MX"/>
        </w:rPr>
        <w:t xml:space="preserve">, párr. </w:t>
      </w:r>
      <w:r w:rsidRPr="003E425B">
        <w:rPr>
          <w:rFonts w:ascii="Times New Roman" w:hAnsi="Times New Roman"/>
          <w:sz w:val="28"/>
          <w:lang w:eastAsia="es-MX"/>
        </w:rPr>
        <w:fldChar w:fldCharType="begin"/>
      </w:r>
      <w:r w:rsidRPr="003E425B">
        <w:rPr>
          <w:rFonts w:ascii="Times New Roman" w:hAnsi="Times New Roman"/>
          <w:sz w:val="28"/>
          <w:lang w:eastAsia="es-MX"/>
        </w:rPr>
        <w:instrText xml:space="preserve"> REF _Ref165375467 \r \h </w:instrText>
      </w:r>
      <w:r w:rsidRPr="003E425B">
        <w:rPr>
          <w:rFonts w:ascii="Times New Roman" w:hAnsi="Times New Roman"/>
          <w:sz w:val="28"/>
          <w:lang w:eastAsia="es-MX"/>
        </w:rPr>
        <w:instrText xml:space="preserve"> \* MERGEFORMAT </w:instrText>
      </w:r>
      <w:r w:rsidRPr="003E425B">
        <w:rPr>
          <w:rFonts w:ascii="Times New Roman" w:hAnsi="Times New Roman"/>
          <w:sz w:val="28"/>
          <w:lang w:eastAsia="es-MX"/>
        </w:rPr>
      </w:r>
      <w:r w:rsidRPr="003E425B">
        <w:rPr>
          <w:rFonts w:ascii="Times New Roman" w:hAnsi="Times New Roman"/>
          <w:sz w:val="28"/>
          <w:lang w:eastAsia="es-MX"/>
        </w:rPr>
        <w:fldChar w:fldCharType="separate"/>
      </w:r>
      <w:r w:rsidRPr="003E425B">
        <w:rPr>
          <w:rFonts w:ascii="Times New Roman" w:hAnsi="Times New Roman"/>
          <w:sz w:val="28"/>
          <w:lang w:eastAsia="es-MX"/>
        </w:rPr>
        <w:t>153</w:t>
      </w:r>
      <w:r w:rsidRPr="003E425B">
        <w:rPr>
          <w:rFonts w:ascii="Times New Roman" w:hAnsi="Times New Roman"/>
          <w:sz w:val="28"/>
          <w:lang w:eastAsia="es-MX"/>
        </w:rPr>
        <w:fldChar w:fldCharType="end"/>
      </w:r>
      <w:r w:rsidRPr="003E425B">
        <w:rPr>
          <w:rFonts w:ascii="Times New Roman" w:hAnsi="Times New Roman"/>
          <w:sz w:val="28"/>
          <w:lang w:eastAsia="es-MX"/>
        </w:rPr>
        <w:t>-</w:t>
      </w:r>
      <w:r w:rsidRPr="003E425B">
        <w:rPr>
          <w:rFonts w:ascii="Times New Roman" w:hAnsi="Times New Roman"/>
          <w:sz w:val="28"/>
          <w:lang w:eastAsia="es-MX"/>
        </w:rPr>
        <w:fldChar w:fldCharType="begin"/>
      </w:r>
      <w:r w:rsidRPr="003E425B">
        <w:rPr>
          <w:rFonts w:ascii="Times New Roman" w:hAnsi="Times New Roman"/>
          <w:sz w:val="28"/>
          <w:lang w:eastAsia="es-MX"/>
        </w:rPr>
        <w:instrText xml:space="preserve"> REF _Ref165375477 \r \h </w:instrText>
      </w:r>
      <w:r w:rsidRPr="003E425B">
        <w:rPr>
          <w:rFonts w:ascii="Times New Roman" w:hAnsi="Times New Roman"/>
          <w:sz w:val="28"/>
          <w:lang w:eastAsia="es-MX"/>
        </w:rPr>
        <w:instrText xml:space="preserve"> \* MERGEFORMAT </w:instrText>
      </w:r>
      <w:r w:rsidRPr="003E425B">
        <w:rPr>
          <w:rFonts w:ascii="Times New Roman" w:hAnsi="Times New Roman"/>
          <w:sz w:val="28"/>
          <w:lang w:eastAsia="es-MX"/>
        </w:rPr>
      </w:r>
      <w:r w:rsidRPr="003E425B">
        <w:rPr>
          <w:rFonts w:ascii="Times New Roman" w:hAnsi="Times New Roman"/>
          <w:sz w:val="28"/>
          <w:lang w:eastAsia="es-MX"/>
        </w:rPr>
        <w:fldChar w:fldCharType="separate"/>
      </w:r>
      <w:r w:rsidRPr="003E425B">
        <w:rPr>
          <w:rFonts w:ascii="Times New Roman" w:hAnsi="Times New Roman"/>
          <w:sz w:val="28"/>
          <w:lang w:eastAsia="es-MX"/>
        </w:rPr>
        <w:t>165</w:t>
      </w:r>
      <w:r w:rsidRPr="003E425B">
        <w:rPr>
          <w:rFonts w:ascii="Times New Roman" w:hAnsi="Times New Roman"/>
          <w:sz w:val="28"/>
          <w:lang w:eastAsia="es-MX"/>
        </w:rPr>
        <w:fldChar w:fldCharType="end"/>
      </w:r>
      <w:r w:rsidRPr="003E425B">
        <w:rPr>
          <w:rFonts w:ascii="Times New Roman" w:hAnsi="Times New Roman"/>
          <w:sz w:val="28"/>
          <w:lang w:eastAsia="es-MX"/>
        </w:rPr>
        <w:t xml:space="preserve"> </w:t>
      </w:r>
      <w:r w:rsidRPr="003E425B">
        <w:rPr>
          <w:rFonts w:ascii="Times New Roman" w:hAnsi="Times New Roman"/>
          <w:i/>
          <w:iCs/>
          <w:sz w:val="28"/>
          <w:lang w:eastAsia="es-MX"/>
        </w:rPr>
        <w:t>infra</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256"/>
      </w:r>
      <w:r w:rsidRPr="003E425B">
        <w:rPr>
          <w:rFonts w:ascii="Times New Roman" w:hAnsi="Times New Roman"/>
          <w:sz w:val="28"/>
          <w:lang w:eastAsia="es-MX"/>
        </w:rPr>
        <w:t>. En contraste, este tribunal ha precisado que no constituyen órdenes de gasto aquellas no</w:t>
      </w:r>
      <w:r w:rsidRPr="003E425B">
        <w:rPr>
          <w:rFonts w:ascii="Times New Roman" w:hAnsi="Times New Roman"/>
          <w:sz w:val="28"/>
          <w:lang w:eastAsia="es-MX"/>
        </w:rPr>
        <w:t xml:space="preserve">rmas que: </w:t>
      </w:r>
      <w:r w:rsidRPr="003E425B">
        <w:rPr>
          <w:rFonts w:ascii="Times New Roman" w:hAnsi="Times New Roman"/>
          <w:i/>
          <w:iCs/>
          <w:sz w:val="28"/>
          <w:lang w:eastAsia="es-MX"/>
        </w:rPr>
        <w:t>(i)</w:t>
      </w:r>
      <w:r w:rsidRPr="003E425B">
        <w:rPr>
          <w:rFonts w:ascii="Times New Roman" w:hAnsi="Times New Roman"/>
          <w:sz w:val="28"/>
          <w:lang w:eastAsia="es-MX"/>
        </w:rPr>
        <w:t xml:space="preserve"> imponen deberes generales de financiación, “cuya materialización se deberá someter a las normas orgánicas sobre presupuesto”</w:t>
      </w:r>
      <w:r w:rsidRPr="003E425B">
        <w:rPr>
          <w:rFonts w:ascii="Times New Roman" w:hAnsi="Times New Roman"/>
          <w:sz w:val="28"/>
          <w:vertAlign w:val="superscript"/>
          <w:lang w:eastAsia="es-MX"/>
        </w:rPr>
        <w:footnoteReference w:id="257"/>
      </w:r>
      <w:r w:rsidRPr="003E425B">
        <w:rPr>
          <w:rFonts w:ascii="Times New Roman" w:hAnsi="Times New Roman"/>
          <w:sz w:val="28"/>
          <w:lang w:eastAsia="es-MX"/>
        </w:rPr>
        <w:t xml:space="preserve">, </w:t>
      </w:r>
      <w:r w:rsidRPr="003E425B">
        <w:rPr>
          <w:rFonts w:ascii="Times New Roman" w:hAnsi="Times New Roman"/>
          <w:i/>
          <w:iCs/>
          <w:sz w:val="28"/>
          <w:lang w:eastAsia="es-MX"/>
        </w:rPr>
        <w:t>(ii)</w:t>
      </w:r>
      <w:r w:rsidRPr="003E425B">
        <w:rPr>
          <w:rFonts w:ascii="Times New Roman" w:hAnsi="Times New Roman"/>
          <w:sz w:val="28"/>
          <w:lang w:eastAsia="es-MX"/>
        </w:rPr>
        <w:t xml:space="preserve"> ordenan la creación cargos o dependencias, pero disponen expresamente que su costo deberá cubrirse mediante arreglos presupuestales que llevará a cabo el ejecutivo</w:t>
      </w:r>
      <w:r w:rsidRPr="003E425B">
        <w:rPr>
          <w:rFonts w:ascii="Times New Roman" w:hAnsi="Times New Roman"/>
          <w:sz w:val="28"/>
          <w:vertAlign w:val="superscript"/>
          <w:lang w:eastAsia="es-MX"/>
        </w:rPr>
        <w:footnoteReference w:id="258"/>
      </w:r>
      <w:r w:rsidRPr="003E425B">
        <w:rPr>
          <w:rFonts w:ascii="Times New Roman" w:hAnsi="Times New Roman"/>
          <w:sz w:val="28"/>
          <w:lang w:eastAsia="es-MX"/>
        </w:rPr>
        <w:t xml:space="preserve">, </w:t>
      </w:r>
      <w:r w:rsidRPr="003E425B">
        <w:rPr>
          <w:rFonts w:ascii="Times New Roman" w:hAnsi="Times New Roman"/>
          <w:i/>
          <w:iCs/>
          <w:sz w:val="28"/>
          <w:lang w:eastAsia="es-MX"/>
        </w:rPr>
        <w:t>(iii)</w:t>
      </w:r>
      <w:r w:rsidRPr="003E425B">
        <w:rPr>
          <w:rFonts w:ascii="Times New Roman" w:hAnsi="Times New Roman"/>
          <w:sz w:val="28"/>
          <w:lang w:eastAsia="es-MX"/>
        </w:rPr>
        <w:t xml:space="preserve"> emplean un lenguaje general y abstracto</w:t>
      </w:r>
      <w:r w:rsidRPr="003E425B">
        <w:rPr>
          <w:rFonts w:ascii="Times New Roman" w:hAnsi="Times New Roman"/>
          <w:sz w:val="28"/>
          <w:vertAlign w:val="superscript"/>
          <w:lang w:eastAsia="es-MX"/>
        </w:rPr>
        <w:footnoteReference w:id="259"/>
      </w:r>
      <w:r w:rsidRPr="003E425B">
        <w:rPr>
          <w:rFonts w:ascii="Times New Roman" w:hAnsi="Times New Roman"/>
          <w:sz w:val="28"/>
          <w:lang w:eastAsia="es-MX"/>
        </w:rPr>
        <w:t xml:space="preserve"> y no definen de manera concreta “los encar</w:t>
      </w:r>
      <w:r w:rsidRPr="003E425B">
        <w:rPr>
          <w:rFonts w:ascii="Times New Roman" w:hAnsi="Times New Roman"/>
          <w:sz w:val="28"/>
          <w:lang w:eastAsia="es-MX"/>
        </w:rPr>
        <w:t>gados de cumplir la orden o la forma de hacerlo”</w:t>
      </w:r>
      <w:r w:rsidRPr="003E425B">
        <w:rPr>
          <w:rFonts w:ascii="Times New Roman" w:hAnsi="Times New Roman"/>
          <w:sz w:val="28"/>
          <w:vertAlign w:val="superscript"/>
          <w:lang w:eastAsia="es-MX"/>
        </w:rPr>
        <w:footnoteReference w:id="260"/>
      </w:r>
      <w:r w:rsidRPr="003E425B">
        <w:rPr>
          <w:rFonts w:ascii="Times New Roman" w:hAnsi="Times New Roman"/>
          <w:sz w:val="28"/>
          <w:lang w:eastAsia="es-MX"/>
        </w:rPr>
        <w:t xml:space="preserve">, </w:t>
      </w:r>
      <w:r w:rsidRPr="003E425B">
        <w:rPr>
          <w:rFonts w:ascii="Times New Roman" w:hAnsi="Times New Roman"/>
          <w:i/>
          <w:iCs/>
          <w:sz w:val="28"/>
          <w:lang w:eastAsia="es-MX"/>
        </w:rPr>
        <w:t>(iv)</w:t>
      </w:r>
      <w:r w:rsidRPr="003E425B">
        <w:rPr>
          <w:rFonts w:ascii="Times New Roman" w:hAnsi="Times New Roman"/>
          <w:sz w:val="28"/>
          <w:lang w:eastAsia="es-MX"/>
        </w:rPr>
        <w:t xml:space="preserve"> prevén que, para la inclusión del gasto, debe llevarse a cabo un proceso de implementación normativa progresivo -no inmediato</w:t>
      </w:r>
      <w:r w:rsidRPr="003E425B">
        <w:rPr>
          <w:rFonts w:ascii="Times New Roman" w:hAnsi="Times New Roman"/>
          <w:sz w:val="28"/>
          <w:vertAlign w:val="superscript"/>
          <w:lang w:eastAsia="es-MX"/>
        </w:rPr>
        <w:footnoteReference w:id="261"/>
      </w:r>
      <w:r w:rsidRPr="003E425B">
        <w:rPr>
          <w:rFonts w:ascii="Times New Roman" w:hAnsi="Times New Roman"/>
          <w:sz w:val="28"/>
          <w:lang w:eastAsia="es-MX"/>
        </w:rPr>
        <w:t>, cuya ejecución depende del ejecutivo</w:t>
      </w:r>
      <w:r w:rsidRPr="003E425B">
        <w:rPr>
          <w:rFonts w:ascii="Times New Roman" w:hAnsi="Times New Roman"/>
          <w:sz w:val="28"/>
          <w:vertAlign w:val="superscript"/>
          <w:lang w:eastAsia="es-MX"/>
        </w:rPr>
        <w:footnoteReference w:id="262"/>
      </w:r>
      <w:r w:rsidRPr="003E425B">
        <w:rPr>
          <w:rFonts w:ascii="Times New Roman" w:hAnsi="Times New Roman"/>
          <w:sz w:val="28"/>
          <w:lang w:eastAsia="es-MX"/>
        </w:rPr>
        <w:t xml:space="preserve">; y </w:t>
      </w:r>
      <w:r w:rsidRPr="003E425B">
        <w:rPr>
          <w:rFonts w:ascii="Times New Roman" w:hAnsi="Times New Roman"/>
          <w:i/>
          <w:sz w:val="28"/>
          <w:lang w:eastAsia="es-MX"/>
        </w:rPr>
        <w:t>(v)</w:t>
      </w:r>
      <w:r w:rsidRPr="003E425B">
        <w:rPr>
          <w:rFonts w:ascii="Times New Roman" w:hAnsi="Times New Roman"/>
          <w:sz w:val="28"/>
          <w:lang w:eastAsia="es-MX"/>
        </w:rPr>
        <w:t xml:space="preserve"> se limitan a reproducir “un</w:t>
      </w:r>
      <w:r w:rsidRPr="003E425B">
        <w:rPr>
          <w:rFonts w:ascii="Times New Roman" w:hAnsi="Times New Roman"/>
          <w:sz w:val="28"/>
          <w:lang w:eastAsia="es-MX"/>
        </w:rPr>
        <w:t xml:space="preserve"> mandato de gasto contenido en otra disposición anterior que no puede ser controlada por la Corte”</w:t>
      </w:r>
      <w:r w:rsidRPr="003E425B">
        <w:rPr>
          <w:rFonts w:ascii="Times New Roman" w:hAnsi="Times New Roman"/>
          <w:sz w:val="28"/>
          <w:vertAlign w:val="superscript"/>
          <w:lang w:eastAsia="es-MX"/>
        </w:rPr>
        <w:footnoteReference w:id="263"/>
      </w:r>
      <w:r w:rsidRPr="003E425B">
        <w:rPr>
          <w:rFonts w:ascii="Times New Roman" w:hAnsi="Times New Roman"/>
          <w:sz w:val="28"/>
          <w:lang w:eastAsia="es-MX"/>
        </w:rPr>
        <w:t xml:space="preserve">. </w:t>
      </w:r>
    </w:p>
    <w:p w:rsidR="004F580A" w:rsidRPr="003E425B" w:rsidRDefault="003E425B" w:rsidP="00010108">
      <w:pPr>
        <w:pStyle w:val="Prrafodelista"/>
        <w:tabs>
          <w:tab w:val="left" w:pos="0"/>
        </w:tabs>
        <w:spacing w:line="240" w:lineRule="auto"/>
        <w:ind w:left="0"/>
        <w:rPr>
          <w:rFonts w:ascii="Times New Roman" w:hAnsi="Times New Roman"/>
          <w:sz w:val="28"/>
          <w:lang w:eastAsia="es-MX"/>
        </w:rPr>
      </w:pPr>
    </w:p>
    <w:p w:rsidR="004F580A" w:rsidRPr="003E425B" w:rsidRDefault="003E425B" w:rsidP="00904A73">
      <w:pPr>
        <w:pStyle w:val="Ttulo4"/>
        <w:numPr>
          <w:ilvl w:val="0"/>
          <w:numId w:val="26"/>
        </w:numPr>
        <w:ind w:left="851" w:hanging="709"/>
        <w:rPr>
          <w:rFonts w:ascii="Times New Roman" w:hAnsi="Times New Roman" w:cs="Times New Roman"/>
          <w:sz w:val="28"/>
          <w:lang w:eastAsia="es-MX"/>
        </w:rPr>
      </w:pPr>
      <w:r w:rsidRPr="003E425B">
        <w:rPr>
          <w:rFonts w:ascii="Times New Roman" w:hAnsi="Times New Roman" w:cs="Times New Roman"/>
          <w:sz w:val="28"/>
          <w:lang w:eastAsia="es-MX"/>
        </w:rPr>
        <w:t xml:space="preserve">Deberes específicos a cargo del Congreso de la República, el Gobierno Nacional y el Ministerio de Hacienda y Crédito Público  </w:t>
      </w:r>
    </w:p>
    <w:p w:rsidR="004F580A" w:rsidRPr="003E425B" w:rsidRDefault="003E425B" w:rsidP="00010108">
      <w:pPr>
        <w:pStyle w:val="Prrafodelista"/>
        <w:tabs>
          <w:tab w:val="left" w:pos="0"/>
        </w:tabs>
        <w:spacing w:line="240" w:lineRule="auto"/>
        <w:ind w:left="0"/>
        <w:rPr>
          <w:rFonts w:ascii="Times New Roman" w:hAnsi="Times New Roman"/>
          <w:b/>
          <w:sz w:val="28"/>
        </w:rPr>
      </w:pPr>
    </w:p>
    <w:p w:rsidR="00E160E8" w:rsidRPr="003E425B" w:rsidRDefault="003E425B" w:rsidP="00593A64">
      <w:pPr>
        <w:pStyle w:val="Prrafodelista"/>
        <w:numPr>
          <w:ilvl w:val="0"/>
          <w:numId w:val="25"/>
        </w:numPr>
        <w:tabs>
          <w:tab w:val="left" w:pos="0"/>
        </w:tabs>
        <w:spacing w:line="240" w:lineRule="auto"/>
        <w:ind w:left="0" w:firstLine="0"/>
        <w:rPr>
          <w:rFonts w:ascii="Times New Roman" w:hAnsi="Times New Roman"/>
          <w:bCs/>
          <w:sz w:val="28"/>
        </w:rPr>
      </w:pPr>
      <w:r w:rsidRPr="003E425B">
        <w:rPr>
          <w:rFonts w:ascii="Times New Roman" w:hAnsi="Times New Roman"/>
          <w:bCs/>
          <w:sz w:val="28"/>
        </w:rPr>
        <w:t xml:space="preserve">El artículo 7º de la Ley 819 de 2003 prevé un </w:t>
      </w:r>
      <w:r w:rsidRPr="003E425B">
        <w:rPr>
          <w:rFonts w:ascii="Times New Roman" w:hAnsi="Times New Roman"/>
          <w:bCs/>
          <w:i/>
          <w:iCs/>
          <w:sz w:val="28"/>
        </w:rPr>
        <w:t xml:space="preserve">mandato general </w:t>
      </w:r>
      <w:r w:rsidRPr="003E425B">
        <w:rPr>
          <w:rFonts w:ascii="Times New Roman" w:hAnsi="Times New Roman"/>
          <w:bCs/>
          <w:sz w:val="28"/>
        </w:rPr>
        <w:t xml:space="preserve">de ineludible cumplimiento: efectuar el análisis del impacto fiscal de todos los proyectos de ley, ordenanza o acuerdo que prevean una orden de gasto, un beneficio tributario o una reducción de </w:t>
      </w:r>
      <w:r w:rsidRPr="003E425B">
        <w:rPr>
          <w:rFonts w:ascii="Times New Roman" w:hAnsi="Times New Roman"/>
          <w:bCs/>
          <w:sz w:val="28"/>
        </w:rPr>
        <w:t xml:space="preserve">ingresos. Lo anterior, a partir de tres “referentes básicos”: </w:t>
      </w:r>
      <w:r w:rsidRPr="003E425B">
        <w:rPr>
          <w:rFonts w:ascii="Times New Roman" w:hAnsi="Times New Roman"/>
          <w:bCs/>
          <w:i/>
          <w:iCs/>
          <w:sz w:val="28"/>
        </w:rPr>
        <w:t>(i)</w:t>
      </w:r>
      <w:r w:rsidRPr="003E425B">
        <w:rPr>
          <w:rFonts w:ascii="Times New Roman" w:hAnsi="Times New Roman"/>
          <w:bCs/>
          <w:sz w:val="28"/>
        </w:rPr>
        <w:t xml:space="preserve"> el costo fiscal de la medida, </w:t>
      </w:r>
      <w:r w:rsidRPr="003E425B">
        <w:rPr>
          <w:rFonts w:ascii="Times New Roman" w:hAnsi="Times New Roman"/>
          <w:bCs/>
          <w:i/>
          <w:iCs/>
          <w:sz w:val="28"/>
        </w:rPr>
        <w:t>(ii)</w:t>
      </w:r>
      <w:r w:rsidRPr="003E425B">
        <w:rPr>
          <w:rFonts w:ascii="Times New Roman" w:hAnsi="Times New Roman"/>
          <w:bCs/>
          <w:sz w:val="28"/>
        </w:rPr>
        <w:t xml:space="preserve"> la fuente de ingresos sustantiva y </w:t>
      </w:r>
      <w:r w:rsidRPr="003E425B">
        <w:rPr>
          <w:rFonts w:ascii="Times New Roman" w:hAnsi="Times New Roman"/>
          <w:bCs/>
          <w:i/>
          <w:iCs/>
          <w:sz w:val="28"/>
        </w:rPr>
        <w:t>(iii)</w:t>
      </w:r>
      <w:r w:rsidRPr="003E425B">
        <w:rPr>
          <w:rFonts w:ascii="Times New Roman" w:hAnsi="Times New Roman"/>
          <w:bCs/>
          <w:sz w:val="28"/>
        </w:rPr>
        <w:t xml:space="preserve"> la compatibilidad de la medida con el MFMP. Para cumplir con dicho mandato, </w:t>
      </w:r>
      <w:r w:rsidRPr="003E425B">
        <w:rPr>
          <w:rFonts w:ascii="Times New Roman" w:hAnsi="Times New Roman"/>
          <w:bCs/>
          <w:sz w:val="28"/>
        </w:rPr>
        <w:t>este artículo</w:t>
      </w:r>
      <w:r w:rsidRPr="003E425B">
        <w:rPr>
          <w:rFonts w:ascii="Times New Roman" w:hAnsi="Times New Roman"/>
          <w:sz w:val="28"/>
        </w:rPr>
        <w:t xml:space="preserve"> prevé deberes específico</w:t>
      </w:r>
      <w:r w:rsidRPr="003E425B">
        <w:rPr>
          <w:rFonts w:ascii="Times New Roman" w:hAnsi="Times New Roman"/>
          <w:sz w:val="28"/>
        </w:rPr>
        <w:t>s a cargo d</w:t>
      </w:r>
      <w:r w:rsidRPr="003E425B">
        <w:rPr>
          <w:rFonts w:ascii="Times New Roman" w:eastAsiaTheme="minorHAnsi" w:hAnsi="Times New Roman"/>
          <w:color w:val="auto"/>
          <w:sz w:val="28"/>
          <w:szCs w:val="22"/>
        </w:rPr>
        <w:t xml:space="preserve">el </w:t>
      </w:r>
      <w:r w:rsidRPr="003E425B">
        <w:rPr>
          <w:rFonts w:ascii="Times New Roman" w:hAnsi="Times New Roman"/>
          <w:sz w:val="28"/>
        </w:rPr>
        <w:t>Gobierno Nacional</w:t>
      </w:r>
      <w:r w:rsidRPr="003E425B">
        <w:rPr>
          <w:rFonts w:ascii="Times New Roman" w:hAnsi="Times New Roman"/>
          <w:sz w:val="28"/>
        </w:rPr>
        <w:t xml:space="preserve">, </w:t>
      </w:r>
      <w:r w:rsidRPr="003E425B">
        <w:rPr>
          <w:rFonts w:ascii="Times New Roman" w:hAnsi="Times New Roman"/>
          <w:sz w:val="28"/>
        </w:rPr>
        <w:t xml:space="preserve">el Ministerio de Hacienda y Crédito Público </w:t>
      </w:r>
      <w:r w:rsidRPr="003E425B">
        <w:rPr>
          <w:rFonts w:ascii="Times New Roman" w:hAnsi="Times New Roman"/>
          <w:sz w:val="28"/>
        </w:rPr>
        <w:t xml:space="preserve">y el Congreso </w:t>
      </w:r>
      <w:r w:rsidRPr="003E425B">
        <w:rPr>
          <w:rFonts w:ascii="Times New Roman" w:hAnsi="Times New Roman"/>
          <w:sz w:val="28"/>
        </w:rPr>
        <w:t>de la República en diferentes fases del procedimiento legislativo</w:t>
      </w:r>
      <w:r w:rsidRPr="003E425B">
        <w:rPr>
          <w:rFonts w:ascii="Times New Roman" w:hAnsi="Times New Roman"/>
          <w:sz w:val="28"/>
        </w:rPr>
        <w:t xml:space="preserve">, </w:t>
      </w:r>
      <w:r w:rsidRPr="003E425B">
        <w:rPr>
          <w:rFonts w:ascii="Times New Roman" w:hAnsi="Times New Roman"/>
          <w:sz w:val="28"/>
        </w:rPr>
        <w:t xml:space="preserve">los cuales buscan garantizar que el análisis de impacto fiscal satisfaga las finalidades constitucionales que persigue. </w:t>
      </w:r>
    </w:p>
    <w:p w:rsidR="00E160E8" w:rsidRPr="003E425B" w:rsidRDefault="003E425B" w:rsidP="00E160E8">
      <w:pPr>
        <w:pStyle w:val="Prrafodelista"/>
        <w:tabs>
          <w:tab w:val="left" w:pos="0"/>
        </w:tabs>
        <w:spacing w:line="240" w:lineRule="auto"/>
        <w:ind w:left="0"/>
        <w:rPr>
          <w:rFonts w:ascii="Times New Roman" w:hAnsi="Times New Roman"/>
          <w:bCs/>
          <w:sz w:val="28"/>
        </w:rPr>
      </w:pPr>
    </w:p>
    <w:p w:rsidR="002860D7" w:rsidRPr="003E425B" w:rsidRDefault="003E425B" w:rsidP="00593A64">
      <w:pPr>
        <w:pStyle w:val="Prrafodelista"/>
        <w:numPr>
          <w:ilvl w:val="0"/>
          <w:numId w:val="25"/>
        </w:numPr>
        <w:tabs>
          <w:tab w:val="left" w:pos="0"/>
        </w:tabs>
        <w:spacing w:line="240" w:lineRule="auto"/>
        <w:ind w:left="0" w:firstLine="0"/>
        <w:rPr>
          <w:rFonts w:ascii="Times New Roman" w:hAnsi="Times New Roman"/>
          <w:bCs/>
          <w:sz w:val="28"/>
        </w:rPr>
      </w:pPr>
      <w:r w:rsidRPr="003E425B">
        <w:rPr>
          <w:rFonts w:ascii="Times New Roman" w:hAnsi="Times New Roman"/>
          <w:sz w:val="28"/>
        </w:rPr>
        <w:t xml:space="preserve">El contenido específico de estos deberes, </w:t>
      </w:r>
      <w:r w:rsidRPr="003E425B">
        <w:rPr>
          <w:rFonts w:ascii="Times New Roman" w:hAnsi="Times New Roman"/>
          <w:sz w:val="28"/>
        </w:rPr>
        <w:t xml:space="preserve">así como </w:t>
      </w:r>
      <w:r w:rsidRPr="003E425B">
        <w:rPr>
          <w:rFonts w:ascii="Times New Roman" w:hAnsi="Times New Roman"/>
          <w:sz w:val="28"/>
        </w:rPr>
        <w:t>las consecuencias de su incumplimiento “varía en función del origen de la iniciativ</w:t>
      </w:r>
      <w:r w:rsidRPr="003E425B">
        <w:rPr>
          <w:rFonts w:ascii="Times New Roman" w:hAnsi="Times New Roman"/>
          <w:sz w:val="28"/>
        </w:rPr>
        <w:t>a”</w:t>
      </w:r>
      <w:r w:rsidRPr="003E425B">
        <w:rPr>
          <w:rFonts w:ascii="Times New Roman" w:hAnsi="Times New Roman"/>
          <w:sz w:val="28"/>
          <w:vertAlign w:val="superscript"/>
        </w:rPr>
        <w:footnoteReference w:id="264"/>
      </w:r>
      <w:r w:rsidRPr="003E425B">
        <w:rPr>
          <w:rFonts w:ascii="Times New Roman" w:hAnsi="Times New Roman"/>
          <w:sz w:val="28"/>
        </w:rPr>
        <w:t xml:space="preserve">, a saber: </w:t>
      </w:r>
      <w:r w:rsidRPr="003E425B">
        <w:rPr>
          <w:rFonts w:ascii="Times New Roman" w:hAnsi="Times New Roman"/>
          <w:i/>
          <w:sz w:val="28"/>
        </w:rPr>
        <w:t>(i)</w:t>
      </w:r>
      <w:r w:rsidRPr="003E425B">
        <w:rPr>
          <w:rFonts w:ascii="Times New Roman" w:hAnsi="Times New Roman"/>
          <w:sz w:val="28"/>
        </w:rPr>
        <w:t xml:space="preserve"> exclusiva del Gobierno Nacional, </w:t>
      </w:r>
      <w:r w:rsidRPr="003E425B">
        <w:rPr>
          <w:rFonts w:ascii="Times New Roman" w:hAnsi="Times New Roman"/>
          <w:i/>
          <w:iCs/>
          <w:sz w:val="28"/>
        </w:rPr>
        <w:t>(ii)</w:t>
      </w:r>
      <w:r w:rsidRPr="003E425B">
        <w:rPr>
          <w:rFonts w:ascii="Times New Roman" w:hAnsi="Times New Roman"/>
          <w:sz w:val="28"/>
        </w:rPr>
        <w:t xml:space="preserve"> legislativa o de otras ramas u órganos del poder público o </w:t>
      </w:r>
      <w:r w:rsidRPr="003E425B">
        <w:rPr>
          <w:rFonts w:ascii="Times New Roman" w:hAnsi="Times New Roman"/>
          <w:i/>
          <w:iCs/>
          <w:sz w:val="28"/>
        </w:rPr>
        <w:t>(iii)</w:t>
      </w:r>
      <w:r w:rsidRPr="003E425B">
        <w:rPr>
          <w:rFonts w:ascii="Times New Roman" w:hAnsi="Times New Roman"/>
          <w:sz w:val="28"/>
        </w:rPr>
        <w:t xml:space="preserve"> mixta, esto es, del Gobierno Nacional y el Congreso de la República. Habida cuenta del objeto de la presente demanda, a continuación, l</w:t>
      </w:r>
      <w:r w:rsidRPr="003E425B">
        <w:rPr>
          <w:rFonts w:ascii="Times New Roman" w:hAnsi="Times New Roman"/>
          <w:sz w:val="28"/>
        </w:rPr>
        <w:t>a Sala describirá</w:t>
      </w:r>
      <w:r w:rsidRPr="003E425B">
        <w:rPr>
          <w:rFonts w:ascii="Times New Roman" w:hAnsi="Times New Roman"/>
          <w:sz w:val="28"/>
        </w:rPr>
        <w:t xml:space="preserve"> el contenido de los deberes específicos y nivel de rigurosidad </w:t>
      </w:r>
      <w:r w:rsidRPr="003E425B">
        <w:rPr>
          <w:rFonts w:ascii="Times New Roman" w:hAnsi="Times New Roman"/>
          <w:sz w:val="28"/>
        </w:rPr>
        <w:t xml:space="preserve">de escrutinio por parte de la Corte, </w:t>
      </w:r>
      <w:r w:rsidRPr="003E425B">
        <w:rPr>
          <w:rFonts w:ascii="Times New Roman" w:hAnsi="Times New Roman"/>
          <w:sz w:val="28"/>
        </w:rPr>
        <w:t>con especial énfasis en las iniciativas de origen gubernamental.</w:t>
      </w:r>
    </w:p>
    <w:p w:rsidR="002860D7" w:rsidRPr="003E425B" w:rsidRDefault="003E425B" w:rsidP="00010108">
      <w:pPr>
        <w:rPr>
          <w:rFonts w:ascii="Times New Roman" w:hAnsi="Times New Roman" w:cs="Times New Roman"/>
          <w:sz w:val="28"/>
          <w:lang w:eastAsia="es-MX"/>
        </w:rPr>
      </w:pPr>
    </w:p>
    <w:p w:rsidR="002860D7" w:rsidRPr="003E425B" w:rsidRDefault="003E425B" w:rsidP="00AC729D">
      <w:pPr>
        <w:pStyle w:val="Ttulo5"/>
        <w:numPr>
          <w:ilvl w:val="0"/>
          <w:numId w:val="27"/>
        </w:numPr>
        <w:ind w:left="851" w:hanging="567"/>
        <w:rPr>
          <w:rFonts w:ascii="Times New Roman" w:hAnsi="Times New Roman" w:cs="Times New Roman"/>
          <w:sz w:val="28"/>
          <w:lang w:eastAsia="es-MX"/>
        </w:rPr>
      </w:pPr>
      <w:r w:rsidRPr="003E425B">
        <w:rPr>
          <w:rFonts w:ascii="Times New Roman" w:hAnsi="Times New Roman" w:cs="Times New Roman"/>
          <w:sz w:val="28"/>
          <w:lang w:eastAsia="es-MX"/>
        </w:rPr>
        <w:t xml:space="preserve">Deberes a cargo del Gobierno Nacional y el MHCP </w:t>
      </w:r>
    </w:p>
    <w:p w:rsidR="002860D7" w:rsidRPr="003E425B" w:rsidRDefault="003E425B" w:rsidP="00010108">
      <w:pPr>
        <w:rPr>
          <w:rFonts w:ascii="Times New Roman" w:hAnsi="Times New Roman" w:cs="Times New Roman"/>
          <w:b/>
          <w:bCs/>
          <w:sz w:val="28"/>
          <w:lang w:eastAsia="es-MX"/>
        </w:rPr>
      </w:pPr>
    </w:p>
    <w:p w:rsidR="002860D7" w:rsidRPr="003E425B" w:rsidRDefault="003E425B" w:rsidP="00D72EAA">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En los casos en los qu</w:t>
      </w:r>
      <w:r w:rsidRPr="003E425B">
        <w:rPr>
          <w:rFonts w:ascii="Times New Roman" w:hAnsi="Times New Roman"/>
          <w:sz w:val="28"/>
          <w:lang w:eastAsia="es-MX"/>
        </w:rPr>
        <w:t xml:space="preserve">e la iniciativa es gubernamental, el artículo 7º de la Ley 819 de 2003 impone dos deberes al ejecutivo: </w:t>
      </w:r>
      <w:r w:rsidRPr="003E425B">
        <w:rPr>
          <w:rFonts w:ascii="Times New Roman" w:hAnsi="Times New Roman"/>
          <w:i/>
          <w:sz w:val="28"/>
          <w:lang w:eastAsia="es-MX"/>
        </w:rPr>
        <w:t>(i)</w:t>
      </w:r>
      <w:r w:rsidRPr="003E425B">
        <w:rPr>
          <w:rFonts w:ascii="Times New Roman" w:hAnsi="Times New Roman"/>
          <w:sz w:val="28"/>
          <w:lang w:eastAsia="es-MX"/>
        </w:rPr>
        <w:t xml:space="preserve"> al Gobierno Nacional, el deber de identificar en la exposición de motivos, de forma detallada y precisa, los </w:t>
      </w:r>
      <w:r w:rsidRPr="003E425B">
        <w:rPr>
          <w:rFonts w:ascii="Times New Roman" w:hAnsi="Times New Roman"/>
          <w:sz w:val="28"/>
          <w:lang w:eastAsia="es-MX"/>
        </w:rPr>
        <w:t>referentes básicos del impacto</w:t>
      </w:r>
      <w:r w:rsidRPr="003E425B">
        <w:rPr>
          <w:rFonts w:ascii="Times New Roman" w:hAnsi="Times New Roman"/>
          <w:sz w:val="28"/>
          <w:lang w:eastAsia="es-MX"/>
        </w:rPr>
        <w:t xml:space="preserve"> fiscal y</w:t>
      </w:r>
      <w:r w:rsidRPr="003E425B">
        <w:rPr>
          <w:rFonts w:ascii="Times New Roman" w:hAnsi="Times New Roman"/>
          <w:sz w:val="28"/>
          <w:lang w:eastAsia="es-MX"/>
        </w:rPr>
        <w:t xml:space="preserve"> </w:t>
      </w:r>
      <w:r w:rsidRPr="003E425B">
        <w:rPr>
          <w:rFonts w:ascii="Times New Roman" w:hAnsi="Times New Roman"/>
          <w:i/>
          <w:sz w:val="28"/>
          <w:lang w:eastAsia="es-MX"/>
        </w:rPr>
        <w:t>(ii)</w:t>
      </w:r>
      <w:r w:rsidRPr="003E425B">
        <w:rPr>
          <w:rFonts w:ascii="Times New Roman" w:hAnsi="Times New Roman"/>
          <w:sz w:val="28"/>
          <w:lang w:eastAsia="es-MX"/>
        </w:rPr>
        <w:t xml:space="preserve"> al Ministerio de Hacienda y Crédito Público, el deber de presentar concepto. </w:t>
      </w:r>
    </w:p>
    <w:p w:rsidR="002860D7" w:rsidRPr="003E425B" w:rsidRDefault="003E425B" w:rsidP="00010108">
      <w:pPr>
        <w:rPr>
          <w:rFonts w:ascii="Times New Roman" w:hAnsi="Times New Roman" w:cs="Times New Roman"/>
          <w:b/>
          <w:bCs/>
          <w:sz w:val="28"/>
          <w:lang w:eastAsia="es-MX"/>
        </w:rPr>
      </w:pPr>
    </w:p>
    <w:p w:rsidR="002860D7" w:rsidRPr="003E425B" w:rsidRDefault="003E425B" w:rsidP="000C6CC6">
      <w:pPr>
        <w:pStyle w:val="Ttulo5"/>
        <w:numPr>
          <w:ilvl w:val="0"/>
          <w:numId w:val="24"/>
        </w:numPr>
        <w:rPr>
          <w:rFonts w:ascii="Times New Roman" w:hAnsi="Times New Roman" w:cs="Times New Roman"/>
          <w:sz w:val="28"/>
          <w:lang w:eastAsia="es-MX"/>
        </w:rPr>
      </w:pPr>
      <w:r w:rsidRPr="003E425B">
        <w:rPr>
          <w:rFonts w:ascii="Times New Roman" w:hAnsi="Times New Roman" w:cs="Times New Roman"/>
          <w:sz w:val="28"/>
          <w:lang w:eastAsia="es-MX"/>
        </w:rPr>
        <w:t xml:space="preserve">El análisis detallado y preciso del impacto fiscal en la exposición de motivos del proyecto de ley </w:t>
      </w:r>
    </w:p>
    <w:p w:rsidR="002860D7" w:rsidRPr="003E425B" w:rsidRDefault="003E425B" w:rsidP="00010108">
      <w:pPr>
        <w:rPr>
          <w:rFonts w:ascii="Times New Roman" w:hAnsi="Times New Roman" w:cs="Times New Roman"/>
          <w:b/>
          <w:bCs/>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El inciso 4º del artículo 7º de la Ley 819 de 2003 dispone que los pro</w:t>
      </w:r>
      <w:r w:rsidRPr="003E425B">
        <w:rPr>
          <w:rFonts w:ascii="Times New Roman" w:hAnsi="Times New Roman"/>
          <w:sz w:val="28"/>
          <w:lang w:eastAsia="es-MX"/>
        </w:rPr>
        <w:t xml:space="preserve">yectos de ley de iniciativa gubernamental, que planteen un gasto adicional o una reducción de ingresos, “deberán contener la correspondiente fuente sustitutiva por disminución de gasto o aumentos de ingresos, lo cual deberá ser analizado y aprobado por el </w:t>
      </w:r>
      <w:r w:rsidRPr="003E425B">
        <w:rPr>
          <w:rFonts w:ascii="Times New Roman" w:hAnsi="Times New Roman"/>
          <w:sz w:val="28"/>
          <w:lang w:eastAsia="es-MX"/>
        </w:rPr>
        <w:t>[MHCP]”. La Corte Constitucional ha reiterado que, cuando la iniciativa es gubernamental,</w:t>
      </w:r>
      <w:r w:rsidRPr="003E425B">
        <w:rPr>
          <w:rFonts w:ascii="Times New Roman" w:eastAsiaTheme="minorHAnsi" w:hAnsi="Times New Roman"/>
          <w:color w:val="auto"/>
          <w:sz w:val="28"/>
          <w:szCs w:val="22"/>
          <w:lang w:eastAsia="es-MX"/>
        </w:rPr>
        <w:t xml:space="preserve"> </w:t>
      </w:r>
      <w:r w:rsidRPr="003E425B">
        <w:rPr>
          <w:rFonts w:ascii="Times New Roman" w:hAnsi="Times New Roman"/>
          <w:sz w:val="28"/>
          <w:lang w:eastAsia="es-MX"/>
        </w:rPr>
        <w:t xml:space="preserve">el estándar de rigurosidad que debe cumplir el análisis de impacto fiscal es estricto. Esto implica que el Gobierno Nacional debe identificar de forma “detallada y </w:t>
      </w:r>
      <w:r w:rsidRPr="003E425B">
        <w:rPr>
          <w:rFonts w:ascii="Times New Roman" w:hAnsi="Times New Roman"/>
          <w:sz w:val="28"/>
          <w:lang w:eastAsia="es-MX"/>
        </w:rPr>
        <w:t>precisa”</w:t>
      </w:r>
      <w:r w:rsidRPr="003E425B">
        <w:rPr>
          <w:rStyle w:val="Refdenotaalpie"/>
          <w:rFonts w:ascii="Times New Roman" w:hAnsi="Times New Roman"/>
          <w:sz w:val="28"/>
          <w:lang w:eastAsia="es-MX"/>
        </w:rPr>
        <w:footnoteReference w:id="265"/>
      </w:r>
      <w:r w:rsidRPr="003E425B">
        <w:rPr>
          <w:rFonts w:ascii="Times New Roman" w:hAnsi="Times New Roman"/>
          <w:sz w:val="28"/>
          <w:lang w:eastAsia="es-MX"/>
        </w:rPr>
        <w:t xml:space="preserve"> los </w:t>
      </w:r>
      <w:r w:rsidRPr="003E425B">
        <w:rPr>
          <w:rFonts w:ascii="Times New Roman" w:hAnsi="Times New Roman"/>
          <w:sz w:val="28"/>
          <w:lang w:eastAsia="es-MX"/>
        </w:rPr>
        <w:t>referentes básicos del impacto fiscal.</w:t>
      </w:r>
      <w:r w:rsidRPr="003E425B">
        <w:rPr>
          <w:rFonts w:ascii="Times New Roman" w:hAnsi="Times New Roman"/>
          <w:sz w:val="28"/>
          <w:lang w:eastAsia="es-MX"/>
        </w:rPr>
        <w:t xml:space="preserve"> </w:t>
      </w:r>
      <w:r w:rsidRPr="003E425B">
        <w:rPr>
          <w:rFonts w:ascii="Times New Roman" w:hAnsi="Times New Roman"/>
          <w:iCs/>
          <w:sz w:val="28"/>
          <w:lang w:eastAsia="es-MX"/>
        </w:rPr>
        <w:t>Conforme al inciso 1º del artículo 7º de la Ley 819 de 200</w:t>
      </w:r>
      <w:r w:rsidRPr="003E425B">
        <w:rPr>
          <w:rFonts w:ascii="Times New Roman" w:hAnsi="Times New Roman"/>
          <w:iCs/>
          <w:sz w:val="28"/>
          <w:lang w:eastAsia="es-MX"/>
        </w:rPr>
        <w:t>3</w:t>
      </w:r>
      <w:r w:rsidRPr="003E425B">
        <w:rPr>
          <w:rFonts w:ascii="Times New Roman" w:hAnsi="Times New Roman"/>
          <w:iCs/>
          <w:sz w:val="28"/>
          <w:lang w:eastAsia="es-MX"/>
        </w:rPr>
        <w:t>, la obligación de identificar estos referentes básicos se hace extensible a los informes de ponencia para el debate y votación en las comisione</w:t>
      </w:r>
      <w:r w:rsidRPr="003E425B">
        <w:rPr>
          <w:rFonts w:ascii="Times New Roman" w:hAnsi="Times New Roman"/>
          <w:iCs/>
          <w:sz w:val="28"/>
          <w:lang w:eastAsia="es-MX"/>
        </w:rPr>
        <w:t>s y plenarias de</w:t>
      </w:r>
      <w:r w:rsidRPr="003E425B">
        <w:rPr>
          <w:rFonts w:ascii="Times New Roman" w:hAnsi="Times New Roman"/>
          <w:iCs/>
          <w:sz w:val="28"/>
          <w:lang w:eastAsia="es-MX"/>
        </w:rPr>
        <w:t>l senado de la República y la Cámara de Representantes</w:t>
      </w:r>
      <w:r w:rsidRPr="003E425B">
        <w:rPr>
          <w:rFonts w:ascii="Times New Roman" w:hAnsi="Times New Roman"/>
          <w:iCs/>
          <w:sz w:val="28"/>
          <w:lang w:eastAsia="es-MX"/>
        </w:rPr>
        <w:t>.</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 De acuerdo con la jurisprudencia constitucional, el nivel de rigurosidad exigible al análisis de impacto fiscal que presente el Gobierno Nacional en la exposición de motivos es estri</w:t>
      </w:r>
      <w:r w:rsidRPr="003E425B">
        <w:rPr>
          <w:rFonts w:ascii="Times New Roman" w:hAnsi="Times New Roman"/>
          <w:sz w:val="28"/>
          <w:lang w:eastAsia="es-MX"/>
        </w:rPr>
        <w:t>cto principalmente por tres razones. Primero, el Gobierno nacional “cuenta con la información relativa al impacto de las medidas en las finanzas públicas y su compatibilidad con el MFMP”. En particular, el MHCP “</w:t>
      </w:r>
      <w:r w:rsidRPr="003E425B">
        <w:rPr>
          <w:rFonts w:ascii="Times New Roman" w:hAnsi="Times New Roman"/>
          <w:sz w:val="28"/>
          <w:lang w:val="es-ES" w:eastAsia="es-MX"/>
        </w:rPr>
        <w:t>cuenta con los datos, los equipos de funcion</w:t>
      </w:r>
      <w:r w:rsidRPr="003E425B">
        <w:rPr>
          <w:rFonts w:ascii="Times New Roman" w:hAnsi="Times New Roman"/>
          <w:sz w:val="28"/>
          <w:lang w:val="es-ES" w:eastAsia="es-MX"/>
        </w:rPr>
        <w:t>arios y la experticia en materia económica”</w:t>
      </w:r>
      <w:r w:rsidRPr="003E425B">
        <w:rPr>
          <w:rFonts w:ascii="Times New Roman" w:hAnsi="Times New Roman"/>
          <w:sz w:val="28"/>
          <w:vertAlign w:val="superscript"/>
          <w:lang w:val="es-ES" w:eastAsia="es-MX"/>
        </w:rPr>
        <w:footnoteReference w:id="266"/>
      </w:r>
      <w:r w:rsidRPr="003E425B">
        <w:rPr>
          <w:rFonts w:ascii="Times New Roman" w:hAnsi="Times New Roman"/>
          <w:sz w:val="28"/>
          <w:lang w:val="es-ES" w:eastAsia="es-MX"/>
        </w:rPr>
        <w:t>. Segundo,</w:t>
      </w:r>
      <w:r w:rsidRPr="003E425B">
        <w:rPr>
          <w:rFonts w:ascii="Times New Roman" w:hAnsi="Times New Roman"/>
          <w:i/>
          <w:iCs/>
          <w:sz w:val="28"/>
          <w:lang w:val="es-ES" w:eastAsia="es-MX"/>
        </w:rPr>
        <w:t xml:space="preserve"> </w:t>
      </w:r>
      <w:r w:rsidRPr="003E425B">
        <w:rPr>
          <w:rFonts w:ascii="Times New Roman" w:hAnsi="Times New Roman"/>
          <w:sz w:val="28"/>
          <w:lang w:val="es-ES" w:eastAsia="es-MX"/>
        </w:rPr>
        <w:t>e</w:t>
      </w:r>
      <w:r w:rsidRPr="003E425B">
        <w:rPr>
          <w:rFonts w:ascii="Times New Roman" w:hAnsi="Times New Roman"/>
          <w:sz w:val="28"/>
          <w:lang w:eastAsia="es-MX"/>
        </w:rPr>
        <w:t>l cumplimiento de esta obligación por parte del Gobierno Nacional es indispensable “para que el Congreso pueda realizar el debate del proyecto con la suficiente ilustración acerca de sus implicaciones</w:t>
      </w:r>
      <w:r w:rsidRPr="003E425B">
        <w:rPr>
          <w:rFonts w:ascii="Times New Roman" w:hAnsi="Times New Roman"/>
          <w:sz w:val="28"/>
          <w:lang w:eastAsia="es-MX"/>
        </w:rPr>
        <w:t xml:space="preserve"> fiscales”</w:t>
      </w:r>
      <w:r w:rsidRPr="003E425B">
        <w:rPr>
          <w:rFonts w:ascii="Times New Roman" w:hAnsi="Times New Roman"/>
          <w:sz w:val="28"/>
          <w:vertAlign w:val="superscript"/>
          <w:lang w:eastAsia="es-MX"/>
        </w:rPr>
        <w:footnoteReference w:id="267"/>
      </w:r>
      <w:r w:rsidRPr="003E425B">
        <w:rPr>
          <w:rFonts w:ascii="Times New Roman" w:hAnsi="Times New Roman"/>
          <w:sz w:val="28"/>
          <w:lang w:eastAsia="es-MX"/>
        </w:rPr>
        <w:t>.</w:t>
      </w:r>
      <w:r w:rsidRPr="003E425B">
        <w:rPr>
          <w:rFonts w:ascii="Times New Roman" w:eastAsia="Times New Roman" w:hAnsi="Times New Roman"/>
          <w:color w:val="000000" w:themeColor="text1"/>
          <w:sz w:val="28"/>
          <w:lang w:val="es-ES" w:eastAsia="es-ES"/>
        </w:rPr>
        <w:t xml:space="preserve"> </w:t>
      </w:r>
      <w:r w:rsidRPr="003E425B">
        <w:rPr>
          <w:rFonts w:ascii="Times New Roman" w:hAnsi="Times New Roman"/>
          <w:sz w:val="28"/>
          <w:lang w:val="es-ES" w:eastAsia="es-MX"/>
        </w:rPr>
        <w:t>Tercero,</w:t>
      </w:r>
      <w:r w:rsidRPr="003E425B">
        <w:rPr>
          <w:rFonts w:ascii="Times New Roman" w:hAnsi="Times New Roman"/>
          <w:i/>
          <w:iCs/>
          <w:sz w:val="28"/>
          <w:lang w:val="es-ES" w:eastAsia="es-MX"/>
        </w:rPr>
        <w:t xml:space="preserve"> </w:t>
      </w:r>
      <w:r w:rsidRPr="003E425B">
        <w:rPr>
          <w:rFonts w:ascii="Times New Roman" w:hAnsi="Times New Roman"/>
          <w:sz w:val="28"/>
          <w:lang w:val="es-ES" w:eastAsia="es-MX"/>
        </w:rPr>
        <w:t>los poderes del Gobierno Nacional en materia de gasto público “se verían reforzados en detrimento del Congreso si, a pesar de contar con la información relacionada con la consistencia del impacto fiscal y de la fuente de financiamient</w:t>
      </w:r>
      <w:r w:rsidRPr="003E425B">
        <w:rPr>
          <w:rFonts w:ascii="Times New Roman" w:hAnsi="Times New Roman"/>
          <w:sz w:val="28"/>
          <w:lang w:val="es-ES" w:eastAsia="es-MX"/>
        </w:rPr>
        <w:t>o de un proyecto de ley de su iniciativa, al igual que sobre la compatibilidad del mismo con el [MFMP],</w:t>
      </w:r>
      <w:r w:rsidRPr="003E425B">
        <w:rPr>
          <w:rFonts w:ascii="Times New Roman" w:hAnsi="Times New Roman"/>
          <w:i/>
          <w:iCs/>
          <w:sz w:val="28"/>
          <w:lang w:val="es-ES" w:eastAsia="es-MX"/>
        </w:rPr>
        <w:t xml:space="preserve"> </w:t>
      </w:r>
      <w:r w:rsidRPr="003E425B">
        <w:rPr>
          <w:rFonts w:ascii="Times New Roman" w:hAnsi="Times New Roman"/>
          <w:sz w:val="28"/>
          <w:lang w:val="es-ES" w:eastAsia="es-MX"/>
        </w:rPr>
        <w:t>no estuviera obligado a proporcionarla a los congresistas”</w:t>
      </w:r>
      <w:r w:rsidRPr="003E425B">
        <w:rPr>
          <w:rFonts w:ascii="Times New Roman" w:hAnsi="Times New Roman"/>
          <w:sz w:val="28"/>
          <w:vertAlign w:val="superscript"/>
          <w:lang w:val="es-ES" w:eastAsia="es-MX"/>
        </w:rPr>
        <w:footnoteReference w:id="268"/>
      </w:r>
      <w:r w:rsidRPr="003E425B">
        <w:rPr>
          <w:rFonts w:ascii="Times New Roman" w:hAnsi="Times New Roman"/>
          <w:sz w:val="28"/>
          <w:vertAlign w:val="superscript"/>
          <w:lang w:val="es-ES" w:eastAsia="es-MX"/>
        </w:rPr>
        <w:t>.</w:t>
      </w:r>
      <w:r w:rsidRPr="003E425B">
        <w:rPr>
          <w:rFonts w:ascii="Times New Roman" w:hAnsi="Times New Roman"/>
          <w:sz w:val="28"/>
          <w:lang w:val="es-ES"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rPr>
        <w:t>De acuerdo con la jurisprudencia constitucional</w:t>
      </w:r>
      <w:r w:rsidRPr="003E425B">
        <w:rPr>
          <w:rFonts w:ascii="Times New Roman" w:hAnsi="Times New Roman"/>
          <w:sz w:val="28"/>
        </w:rPr>
        <w:t xml:space="preserve">, </w:t>
      </w:r>
      <w:r w:rsidRPr="003E425B">
        <w:rPr>
          <w:rFonts w:ascii="Times New Roman" w:hAnsi="Times New Roman"/>
          <w:sz w:val="28"/>
        </w:rPr>
        <w:t>conforme a los inciso</w:t>
      </w:r>
      <w:r w:rsidRPr="003E425B">
        <w:rPr>
          <w:rFonts w:ascii="Times New Roman" w:hAnsi="Times New Roman"/>
          <w:sz w:val="28"/>
        </w:rPr>
        <w:t>s</w:t>
      </w:r>
      <w:r w:rsidRPr="003E425B">
        <w:rPr>
          <w:rFonts w:ascii="Times New Roman" w:hAnsi="Times New Roman"/>
          <w:sz w:val="28"/>
        </w:rPr>
        <w:t xml:space="preserve"> 1º y 4º del artículo 7º de la Ley 819 de 2004, la exposición de motivos y las ponencias para debate</w:t>
      </w:r>
      <w:r w:rsidRPr="003E425B">
        <w:rPr>
          <w:rFonts w:ascii="Times New Roman" w:hAnsi="Times New Roman"/>
          <w:sz w:val="28"/>
        </w:rPr>
        <w:t xml:space="preserve"> debe</w:t>
      </w:r>
      <w:r w:rsidRPr="003E425B">
        <w:rPr>
          <w:rFonts w:ascii="Times New Roman" w:hAnsi="Times New Roman"/>
          <w:sz w:val="28"/>
        </w:rPr>
        <w:t xml:space="preserve"> contener una estimación razonable </w:t>
      </w:r>
      <w:r w:rsidRPr="003E425B">
        <w:rPr>
          <w:rFonts w:ascii="Times New Roman" w:hAnsi="Times New Roman"/>
          <w:sz w:val="28"/>
        </w:rPr>
        <w:t>del costo fiscal de la iniciativa</w:t>
      </w:r>
      <w:r w:rsidRPr="003E425B">
        <w:rPr>
          <w:rFonts w:ascii="Times New Roman" w:hAnsi="Times New Roman"/>
          <w:sz w:val="28"/>
        </w:rPr>
        <w:t xml:space="preserve"> e identificar</w:t>
      </w:r>
      <w:r w:rsidRPr="003E425B">
        <w:rPr>
          <w:rFonts w:ascii="Times New Roman" w:hAnsi="Times New Roman"/>
          <w:sz w:val="28"/>
        </w:rPr>
        <w:t>, por lo menos de forma somera,</w:t>
      </w:r>
      <w:r w:rsidRPr="003E425B">
        <w:rPr>
          <w:rFonts w:ascii="Times New Roman" w:hAnsi="Times New Roman"/>
          <w:sz w:val="28"/>
        </w:rPr>
        <w:t xml:space="preserve"> la fuente de ingreso sustitutiva</w:t>
      </w:r>
      <w:r w:rsidRPr="003E425B">
        <w:rPr>
          <w:rStyle w:val="Refdenotaalpie"/>
          <w:rFonts w:ascii="Times New Roman" w:hAnsi="Times New Roman"/>
          <w:sz w:val="28"/>
        </w:rPr>
        <w:footnoteReference w:id="269"/>
      </w:r>
      <w:r w:rsidRPr="003E425B">
        <w:rPr>
          <w:rFonts w:ascii="Times New Roman" w:hAnsi="Times New Roman"/>
          <w:sz w:val="28"/>
        </w:rPr>
        <w:t>. Al</w:t>
      </w:r>
      <w:r w:rsidRPr="003E425B">
        <w:rPr>
          <w:rFonts w:ascii="Times New Roman" w:hAnsi="Times New Roman"/>
          <w:sz w:val="28"/>
        </w:rPr>
        <w:t xml:space="preserve"> respecto, la Corte Constitucional ha indicado que:</w:t>
      </w:r>
    </w:p>
    <w:p w:rsidR="002860D7" w:rsidRPr="003E425B" w:rsidRDefault="003E425B" w:rsidP="00010108">
      <w:pPr>
        <w:rPr>
          <w:rFonts w:ascii="Times New Roman" w:hAnsi="Times New Roman" w:cs="Times New Roman"/>
          <w:sz w:val="28"/>
        </w:rPr>
      </w:pPr>
    </w:p>
    <w:p w:rsidR="00DE6373" w:rsidRPr="003E425B" w:rsidRDefault="003E425B" w:rsidP="00D46C88">
      <w:pPr>
        <w:pStyle w:val="Prrafodelista"/>
        <w:numPr>
          <w:ilvl w:val="1"/>
          <w:numId w:val="25"/>
        </w:numPr>
        <w:tabs>
          <w:tab w:val="left" w:pos="0"/>
        </w:tabs>
        <w:spacing w:line="240" w:lineRule="auto"/>
        <w:ind w:left="993" w:hanging="934"/>
        <w:rPr>
          <w:rFonts w:ascii="Times New Roman" w:hAnsi="Times New Roman"/>
          <w:sz w:val="28"/>
          <w:lang w:eastAsia="es-MX"/>
        </w:rPr>
      </w:pPr>
      <w:r w:rsidRPr="003E425B">
        <w:rPr>
          <w:rFonts w:ascii="Times New Roman" w:hAnsi="Times New Roman"/>
          <w:i/>
          <w:iCs/>
          <w:sz w:val="28"/>
        </w:rPr>
        <w:t>Estimación del costo</w:t>
      </w:r>
      <w:r w:rsidRPr="003E425B">
        <w:rPr>
          <w:rFonts w:ascii="Times New Roman" w:hAnsi="Times New Roman"/>
          <w:sz w:val="28"/>
        </w:rPr>
        <w:t xml:space="preserve">. </w:t>
      </w:r>
      <w:r w:rsidRPr="003E425B">
        <w:rPr>
          <w:rFonts w:ascii="Times New Roman" w:hAnsi="Times New Roman"/>
          <w:sz w:val="28"/>
        </w:rPr>
        <w:t>La exposición de motivos y los informes de ponencias</w:t>
      </w:r>
      <w:r w:rsidRPr="003E425B">
        <w:rPr>
          <w:rFonts w:ascii="Times New Roman" w:hAnsi="Times New Roman"/>
          <w:sz w:val="28"/>
        </w:rPr>
        <w:t xml:space="preserve"> deben presentar una estimación “fundada”, y “confiable”</w:t>
      </w:r>
      <w:r w:rsidRPr="003E425B">
        <w:rPr>
          <w:rFonts w:ascii="Times New Roman" w:hAnsi="Times New Roman"/>
          <w:iCs/>
          <w:sz w:val="28"/>
          <w:vertAlign w:val="superscript"/>
        </w:rPr>
        <w:t xml:space="preserve"> </w:t>
      </w:r>
      <w:r w:rsidRPr="003E425B">
        <w:rPr>
          <w:rFonts w:ascii="Times New Roman" w:hAnsi="Times New Roman"/>
          <w:iCs/>
          <w:sz w:val="28"/>
          <w:vertAlign w:val="superscript"/>
        </w:rPr>
        <w:footnoteReference w:id="270"/>
      </w:r>
      <w:r w:rsidRPr="003E425B">
        <w:rPr>
          <w:rFonts w:ascii="Times New Roman" w:hAnsi="Times New Roman"/>
          <w:sz w:val="28"/>
        </w:rPr>
        <w:t xml:space="preserve">  de los costos fiscales de la iniciativa. Esta estimación, además, deb</w:t>
      </w:r>
      <w:r w:rsidRPr="003E425B">
        <w:rPr>
          <w:rFonts w:ascii="Times New Roman" w:hAnsi="Times New Roman"/>
          <w:sz w:val="28"/>
        </w:rPr>
        <w:t>e ser clara</w:t>
      </w:r>
      <w:r w:rsidRPr="003E425B">
        <w:rPr>
          <w:rFonts w:ascii="Times New Roman" w:hAnsi="Times New Roman"/>
          <w:iCs/>
          <w:sz w:val="28"/>
          <w:vertAlign w:val="superscript"/>
        </w:rPr>
        <w:footnoteReference w:id="271"/>
      </w:r>
      <w:r w:rsidRPr="003E425B">
        <w:rPr>
          <w:rFonts w:ascii="Times New Roman" w:hAnsi="Times New Roman"/>
          <w:sz w:val="28"/>
        </w:rPr>
        <w:t xml:space="preserve">, lo que supone que el Gobierno Nacional y los ponentes deben </w:t>
      </w:r>
      <w:r w:rsidRPr="003E425B">
        <w:rPr>
          <w:rFonts w:ascii="Times New Roman" w:hAnsi="Times New Roman"/>
          <w:i/>
          <w:sz w:val="28"/>
        </w:rPr>
        <w:t>(i)</w:t>
      </w:r>
      <w:r w:rsidRPr="003E425B">
        <w:rPr>
          <w:rFonts w:ascii="Times New Roman" w:hAnsi="Times New Roman"/>
          <w:sz w:val="28"/>
        </w:rPr>
        <w:t xml:space="preserve"> explicar, así sea de forma mínima, el </w:t>
      </w:r>
      <w:r w:rsidRPr="003E425B">
        <w:rPr>
          <w:rFonts w:ascii="Times New Roman" w:hAnsi="Times New Roman"/>
          <w:sz w:val="28"/>
          <w:lang w:eastAsia="es-MX"/>
        </w:rPr>
        <w:t>fundamento</w:t>
      </w:r>
      <w:r w:rsidRPr="003E425B">
        <w:rPr>
          <w:rFonts w:ascii="Times New Roman" w:hAnsi="Times New Roman"/>
          <w:sz w:val="28"/>
        </w:rPr>
        <w:t xml:space="preserve"> técnico de la estimación</w:t>
      </w:r>
      <w:r w:rsidRPr="003E425B">
        <w:rPr>
          <w:rStyle w:val="Refdenotaalpie"/>
          <w:rFonts w:ascii="Times New Roman" w:hAnsi="Times New Roman"/>
          <w:sz w:val="28"/>
        </w:rPr>
        <w:footnoteReference w:id="272"/>
      </w:r>
      <w:r w:rsidRPr="003E425B">
        <w:rPr>
          <w:rFonts w:ascii="Times New Roman" w:hAnsi="Times New Roman"/>
          <w:sz w:val="28"/>
        </w:rPr>
        <w:t xml:space="preserve"> y </w:t>
      </w:r>
      <w:r w:rsidRPr="003E425B">
        <w:rPr>
          <w:rFonts w:ascii="Times New Roman" w:hAnsi="Times New Roman"/>
          <w:i/>
          <w:sz w:val="28"/>
        </w:rPr>
        <w:t>(ii)</w:t>
      </w:r>
      <w:r w:rsidRPr="003E425B">
        <w:rPr>
          <w:rFonts w:ascii="Times New Roman" w:hAnsi="Times New Roman"/>
          <w:sz w:val="28"/>
        </w:rPr>
        <w:t xml:space="preserve"> evitar presentar estimaciones “divergentes” o en exceso abstractas</w:t>
      </w:r>
      <w:r w:rsidRPr="003E425B">
        <w:rPr>
          <w:rStyle w:val="Refdenotaalpie"/>
          <w:rFonts w:ascii="Times New Roman" w:hAnsi="Times New Roman"/>
          <w:sz w:val="28"/>
        </w:rPr>
        <w:footnoteReference w:id="273"/>
      </w:r>
      <w:r w:rsidRPr="003E425B">
        <w:rPr>
          <w:rFonts w:ascii="Times New Roman" w:hAnsi="Times New Roman"/>
          <w:sz w:val="28"/>
        </w:rPr>
        <w:t xml:space="preserve">. </w:t>
      </w:r>
      <w:r w:rsidRPr="003E425B">
        <w:rPr>
          <w:rFonts w:ascii="Times New Roman" w:hAnsi="Times New Roman"/>
          <w:sz w:val="28"/>
        </w:rPr>
        <w:t>Con todo, la Corte ha recon</w:t>
      </w:r>
      <w:r w:rsidRPr="003E425B">
        <w:rPr>
          <w:rFonts w:ascii="Times New Roman" w:hAnsi="Times New Roman"/>
          <w:sz w:val="28"/>
        </w:rPr>
        <w:t xml:space="preserve">ocido que la estimación del costo fiscal </w:t>
      </w:r>
      <w:r w:rsidRPr="003E425B">
        <w:rPr>
          <w:rFonts w:ascii="Times New Roman" w:hAnsi="Times New Roman"/>
          <w:sz w:val="28"/>
          <w:lang w:val="es-ES"/>
        </w:rPr>
        <w:t>“podrá tener grados de especificidad diferenciados”</w:t>
      </w:r>
      <w:r w:rsidRPr="003E425B">
        <w:rPr>
          <w:rStyle w:val="Refdenotaalpie"/>
          <w:rFonts w:ascii="Times New Roman" w:hAnsi="Times New Roman"/>
          <w:sz w:val="28"/>
          <w:lang w:val="es-ES"/>
        </w:rPr>
        <w:footnoteReference w:id="274"/>
      </w:r>
      <w:r w:rsidRPr="003E425B">
        <w:rPr>
          <w:rFonts w:ascii="Times New Roman" w:hAnsi="Times New Roman"/>
          <w:sz w:val="28"/>
          <w:lang w:val="es-ES"/>
        </w:rPr>
        <w:t xml:space="preserve">, en función de, entre otras, las siguientes variables: </w:t>
      </w:r>
      <w:r w:rsidRPr="003E425B">
        <w:rPr>
          <w:rFonts w:ascii="Times New Roman" w:hAnsi="Times New Roman"/>
          <w:i/>
          <w:iCs/>
          <w:sz w:val="28"/>
          <w:lang w:val="es-ES"/>
        </w:rPr>
        <w:t>(i)</w:t>
      </w:r>
      <w:r w:rsidRPr="003E425B">
        <w:rPr>
          <w:rFonts w:ascii="Times New Roman" w:hAnsi="Times New Roman"/>
          <w:sz w:val="28"/>
          <w:lang w:val="es-ES"/>
        </w:rPr>
        <w:t xml:space="preserve"> la naturaleza de la regulación, </w:t>
      </w:r>
      <w:r w:rsidRPr="003E425B">
        <w:rPr>
          <w:rFonts w:ascii="Times New Roman" w:hAnsi="Times New Roman"/>
          <w:i/>
          <w:iCs/>
          <w:sz w:val="28"/>
          <w:lang w:val="es-ES"/>
        </w:rPr>
        <w:t>(ii)</w:t>
      </w:r>
      <w:r w:rsidRPr="003E425B">
        <w:rPr>
          <w:rFonts w:ascii="Times New Roman" w:hAnsi="Times New Roman"/>
          <w:sz w:val="28"/>
          <w:lang w:val="es-ES"/>
        </w:rPr>
        <w:t xml:space="preserve"> la mayor o menor fiabilidad de los supuestos económicos en los que</w:t>
      </w:r>
      <w:r w:rsidRPr="003E425B">
        <w:rPr>
          <w:rFonts w:ascii="Times New Roman" w:hAnsi="Times New Roman"/>
          <w:sz w:val="28"/>
          <w:lang w:val="es-ES"/>
        </w:rPr>
        <w:t xml:space="preserve"> se funda y </w:t>
      </w:r>
      <w:r w:rsidRPr="003E425B">
        <w:rPr>
          <w:rFonts w:ascii="Times New Roman" w:hAnsi="Times New Roman"/>
          <w:i/>
          <w:iCs/>
          <w:sz w:val="28"/>
          <w:lang w:val="es-ES"/>
        </w:rPr>
        <w:t>(iii)</w:t>
      </w:r>
      <w:r w:rsidRPr="003E425B">
        <w:rPr>
          <w:rFonts w:ascii="Times New Roman" w:hAnsi="Times New Roman"/>
          <w:sz w:val="28"/>
          <w:lang w:val="es-ES"/>
        </w:rPr>
        <w:t xml:space="preserve"> </w:t>
      </w:r>
      <w:r w:rsidRPr="003E425B">
        <w:rPr>
          <w:rFonts w:ascii="Times New Roman" w:hAnsi="Times New Roman"/>
          <w:sz w:val="28"/>
        </w:rPr>
        <w:t>el nivel de incidencia de la norma o iniciativa en las finanzas públicas</w:t>
      </w:r>
      <w:r w:rsidRPr="003E425B">
        <w:rPr>
          <w:rStyle w:val="Refdenotaalpie"/>
          <w:rFonts w:ascii="Times New Roman" w:hAnsi="Times New Roman"/>
          <w:sz w:val="28"/>
        </w:rPr>
        <w:footnoteReference w:id="275"/>
      </w:r>
      <w:r w:rsidRPr="003E425B">
        <w:rPr>
          <w:rFonts w:ascii="Times New Roman" w:hAnsi="Times New Roman"/>
          <w:sz w:val="28"/>
        </w:rPr>
        <w:t>.</w:t>
      </w:r>
    </w:p>
    <w:p w:rsidR="002860D7" w:rsidRPr="003E425B" w:rsidRDefault="003E425B" w:rsidP="00D46C88">
      <w:pPr>
        <w:pStyle w:val="Prrafodelista"/>
        <w:numPr>
          <w:ilvl w:val="1"/>
          <w:numId w:val="25"/>
        </w:numPr>
        <w:tabs>
          <w:tab w:val="left" w:pos="0"/>
        </w:tabs>
        <w:spacing w:line="240" w:lineRule="auto"/>
        <w:ind w:left="993" w:hanging="934"/>
        <w:rPr>
          <w:rFonts w:ascii="Times New Roman" w:hAnsi="Times New Roman"/>
          <w:sz w:val="28"/>
          <w:lang w:eastAsia="es-MX"/>
        </w:rPr>
      </w:pPr>
      <w:r w:rsidRPr="003E425B">
        <w:rPr>
          <w:rFonts w:ascii="Times New Roman" w:hAnsi="Times New Roman"/>
          <w:i/>
          <w:iCs/>
          <w:sz w:val="28"/>
        </w:rPr>
        <w:t xml:space="preserve">Identificación de la fuente sustitutiva. </w:t>
      </w:r>
      <w:r w:rsidRPr="003E425B">
        <w:rPr>
          <w:rFonts w:ascii="Times New Roman" w:hAnsi="Times New Roman"/>
          <w:sz w:val="28"/>
        </w:rPr>
        <w:t>El Gobierno Nacional y los ponentes deben identificar, al menos someramente,</w:t>
      </w:r>
      <w:r w:rsidRPr="003E425B">
        <w:rPr>
          <w:rFonts w:ascii="Times New Roman" w:hAnsi="Times New Roman"/>
          <w:i/>
          <w:iCs/>
          <w:sz w:val="28"/>
        </w:rPr>
        <w:t xml:space="preserve"> </w:t>
      </w:r>
      <w:r w:rsidRPr="003E425B">
        <w:rPr>
          <w:rFonts w:ascii="Times New Roman" w:hAnsi="Times New Roman"/>
          <w:sz w:val="28"/>
        </w:rPr>
        <w:t>la fuente de financiación de los costos de la</w:t>
      </w:r>
      <w:r w:rsidRPr="003E425B">
        <w:rPr>
          <w:rFonts w:ascii="Times New Roman" w:hAnsi="Times New Roman"/>
          <w:sz w:val="28"/>
        </w:rPr>
        <w:t xml:space="preserve"> iniciativa, esto es, el “origen de los ingresos adicionales con los que se financiarían”</w:t>
      </w:r>
      <w:r w:rsidRPr="003E425B">
        <w:rPr>
          <w:rFonts w:ascii="Times New Roman" w:hAnsi="Times New Roman"/>
          <w:sz w:val="28"/>
          <w:vertAlign w:val="superscript"/>
        </w:rPr>
        <w:footnoteReference w:id="276"/>
      </w:r>
      <w:r w:rsidRPr="003E425B">
        <w:rPr>
          <w:rFonts w:ascii="Times New Roman" w:hAnsi="Times New Roman"/>
          <w:sz w:val="28"/>
        </w:rPr>
        <w:t xml:space="preserve"> los gastos o beneficios tributarios. La Corte Constitucional ha </w:t>
      </w:r>
      <w:r w:rsidRPr="003E425B">
        <w:rPr>
          <w:rFonts w:ascii="Times New Roman" w:hAnsi="Times New Roman"/>
          <w:iCs/>
          <w:sz w:val="28"/>
          <w:lang w:eastAsia="es-MX"/>
        </w:rPr>
        <w:t>encontrado</w:t>
      </w:r>
      <w:r w:rsidRPr="003E425B">
        <w:rPr>
          <w:rFonts w:ascii="Times New Roman" w:hAnsi="Times New Roman"/>
          <w:sz w:val="28"/>
        </w:rPr>
        <w:t xml:space="preserve"> cumplido este requisito cuando, entre otras, </w:t>
      </w:r>
      <w:r w:rsidRPr="003E425B">
        <w:rPr>
          <w:rFonts w:ascii="Times New Roman" w:hAnsi="Times New Roman"/>
          <w:sz w:val="28"/>
        </w:rPr>
        <w:t xml:space="preserve">en </w:t>
      </w:r>
      <w:r w:rsidRPr="003E425B">
        <w:rPr>
          <w:rFonts w:ascii="Times New Roman" w:hAnsi="Times New Roman"/>
          <w:sz w:val="28"/>
        </w:rPr>
        <w:t>la exposición de motivos</w:t>
      </w:r>
      <w:r w:rsidRPr="003E425B">
        <w:rPr>
          <w:rFonts w:ascii="Times New Roman" w:hAnsi="Times New Roman"/>
          <w:sz w:val="28"/>
        </w:rPr>
        <w:t>, el informe de po</w:t>
      </w:r>
      <w:r w:rsidRPr="003E425B">
        <w:rPr>
          <w:rFonts w:ascii="Times New Roman" w:hAnsi="Times New Roman"/>
          <w:sz w:val="28"/>
        </w:rPr>
        <w:t>nencia</w:t>
      </w:r>
      <w:r w:rsidRPr="003E425B">
        <w:rPr>
          <w:rFonts w:ascii="Times New Roman" w:hAnsi="Times New Roman"/>
          <w:sz w:val="28"/>
        </w:rPr>
        <w:t xml:space="preserve"> o el articulado</w:t>
      </w:r>
      <w:r w:rsidRPr="003E425B">
        <w:rPr>
          <w:rFonts w:ascii="Times New Roman" w:hAnsi="Times New Roman"/>
          <w:sz w:val="28"/>
        </w:rPr>
        <w:t xml:space="preserve"> del proyecto de ley</w:t>
      </w:r>
      <w:r w:rsidRPr="003E425B">
        <w:rPr>
          <w:rFonts w:ascii="Times New Roman" w:hAnsi="Times New Roman"/>
          <w:sz w:val="28"/>
        </w:rPr>
        <w:t xml:space="preserve"> </w:t>
      </w:r>
      <w:r w:rsidRPr="003E425B">
        <w:rPr>
          <w:rFonts w:ascii="Times New Roman" w:hAnsi="Times New Roman"/>
          <w:i/>
          <w:iCs/>
          <w:sz w:val="28"/>
        </w:rPr>
        <w:t>(i)</w:t>
      </w:r>
      <w:r w:rsidRPr="003E425B">
        <w:rPr>
          <w:rFonts w:ascii="Times New Roman" w:hAnsi="Times New Roman"/>
          <w:sz w:val="28"/>
        </w:rPr>
        <w:t xml:space="preserve"> identifica</w:t>
      </w:r>
      <w:r w:rsidRPr="003E425B">
        <w:rPr>
          <w:rFonts w:ascii="Times New Roman" w:hAnsi="Times New Roman"/>
          <w:sz w:val="28"/>
        </w:rPr>
        <w:t>n</w:t>
      </w:r>
      <w:r w:rsidRPr="003E425B">
        <w:rPr>
          <w:rFonts w:ascii="Times New Roman" w:hAnsi="Times New Roman"/>
          <w:sz w:val="28"/>
        </w:rPr>
        <w:t xml:space="preserve"> las partidas específicas del presupuesto que se usarían para financiar la medida</w:t>
      </w:r>
      <w:r w:rsidRPr="003E425B">
        <w:rPr>
          <w:rFonts w:ascii="Times New Roman" w:hAnsi="Times New Roman"/>
          <w:iCs/>
          <w:sz w:val="28"/>
          <w:vertAlign w:val="superscript"/>
        </w:rPr>
        <w:footnoteReference w:id="277"/>
      </w:r>
      <w:r w:rsidRPr="003E425B">
        <w:rPr>
          <w:rFonts w:ascii="Times New Roman" w:hAnsi="Times New Roman"/>
          <w:sz w:val="28"/>
        </w:rPr>
        <w:t xml:space="preserve">, </w:t>
      </w:r>
      <w:r w:rsidRPr="003E425B">
        <w:rPr>
          <w:rFonts w:ascii="Times New Roman" w:hAnsi="Times New Roman"/>
          <w:i/>
          <w:iCs/>
          <w:sz w:val="28"/>
        </w:rPr>
        <w:t>(ii)</w:t>
      </w:r>
      <w:r w:rsidRPr="003E425B">
        <w:rPr>
          <w:rFonts w:ascii="Times New Roman" w:hAnsi="Times New Roman"/>
          <w:sz w:val="28"/>
        </w:rPr>
        <w:t xml:space="preserve"> especifica</w:t>
      </w:r>
      <w:r w:rsidRPr="003E425B">
        <w:rPr>
          <w:rFonts w:ascii="Times New Roman" w:hAnsi="Times New Roman"/>
          <w:sz w:val="28"/>
        </w:rPr>
        <w:t>n</w:t>
      </w:r>
      <w:r w:rsidRPr="003E425B">
        <w:rPr>
          <w:rFonts w:ascii="Times New Roman" w:hAnsi="Times New Roman"/>
          <w:sz w:val="28"/>
        </w:rPr>
        <w:t xml:space="preserve"> de forma concreta los fondos de los cuales provendrían los recursos (</w:t>
      </w:r>
      <w:r w:rsidRPr="003E425B">
        <w:rPr>
          <w:rFonts w:ascii="Times New Roman" w:hAnsi="Times New Roman"/>
          <w:i/>
          <w:iCs/>
          <w:sz w:val="28"/>
        </w:rPr>
        <w:t>vgr</w:t>
      </w:r>
      <w:r w:rsidRPr="003E425B">
        <w:rPr>
          <w:rFonts w:ascii="Times New Roman" w:hAnsi="Times New Roman"/>
          <w:sz w:val="28"/>
        </w:rPr>
        <w:t>., Fosyga</w:t>
      </w:r>
      <w:r w:rsidRPr="003E425B">
        <w:rPr>
          <w:rFonts w:ascii="Times New Roman" w:hAnsi="Times New Roman"/>
          <w:iCs/>
          <w:sz w:val="28"/>
          <w:vertAlign w:val="superscript"/>
        </w:rPr>
        <w:footnoteReference w:id="278"/>
      </w:r>
      <w:r w:rsidRPr="003E425B">
        <w:rPr>
          <w:rFonts w:ascii="Times New Roman" w:hAnsi="Times New Roman"/>
          <w:sz w:val="28"/>
        </w:rPr>
        <w:t>, Fondo para la</w:t>
      </w:r>
      <w:r w:rsidRPr="003E425B">
        <w:rPr>
          <w:rFonts w:ascii="Times New Roman" w:hAnsi="Times New Roman"/>
          <w:sz w:val="28"/>
        </w:rPr>
        <w:t xml:space="preserve"> Modernización, Descongestión y Bienestar de la Administración de Justicia</w:t>
      </w:r>
      <w:r w:rsidRPr="003E425B">
        <w:rPr>
          <w:rFonts w:ascii="Times New Roman" w:hAnsi="Times New Roman"/>
          <w:iCs/>
          <w:sz w:val="28"/>
          <w:vertAlign w:val="superscript"/>
        </w:rPr>
        <w:footnoteReference w:id="279"/>
      </w:r>
      <w:r w:rsidRPr="003E425B">
        <w:rPr>
          <w:rFonts w:ascii="Times New Roman" w:hAnsi="Times New Roman"/>
          <w:sz w:val="28"/>
        </w:rPr>
        <w:t>, el Fondo de Financiación Política</w:t>
      </w:r>
      <w:r w:rsidRPr="003E425B">
        <w:rPr>
          <w:rFonts w:ascii="Times New Roman" w:hAnsi="Times New Roman"/>
          <w:iCs/>
          <w:sz w:val="28"/>
          <w:vertAlign w:val="superscript"/>
        </w:rPr>
        <w:footnoteReference w:id="280"/>
      </w:r>
      <w:r w:rsidRPr="003E425B">
        <w:rPr>
          <w:rFonts w:ascii="Times New Roman" w:hAnsi="Times New Roman"/>
          <w:sz w:val="28"/>
        </w:rPr>
        <w:t xml:space="preserve"> y el </w:t>
      </w:r>
      <w:r w:rsidRPr="003E425B">
        <w:rPr>
          <w:rFonts w:ascii="Times New Roman" w:hAnsi="Times New Roman"/>
          <w:sz w:val="28"/>
          <w:lang w:val="es-ES"/>
        </w:rPr>
        <w:t>Fondo Rotatorio del Ministerio de Relaciones</w:t>
      </w:r>
      <w:r w:rsidRPr="003E425B">
        <w:rPr>
          <w:rStyle w:val="Refdenotaalpie"/>
          <w:rFonts w:ascii="Times New Roman" w:hAnsi="Times New Roman"/>
          <w:sz w:val="28"/>
          <w:lang w:val="es-ES"/>
        </w:rPr>
        <w:footnoteReference w:id="281"/>
      </w:r>
      <w:r w:rsidRPr="003E425B">
        <w:rPr>
          <w:rFonts w:ascii="Times New Roman" w:hAnsi="Times New Roman"/>
          <w:sz w:val="28"/>
          <w:lang w:val="es-ES"/>
        </w:rPr>
        <w:t>) y</w:t>
      </w:r>
      <w:r w:rsidRPr="003E425B">
        <w:rPr>
          <w:rFonts w:ascii="Times New Roman" w:hAnsi="Times New Roman"/>
          <w:sz w:val="28"/>
        </w:rPr>
        <w:t xml:space="preserve"> </w:t>
      </w:r>
      <w:r w:rsidRPr="003E425B">
        <w:rPr>
          <w:rFonts w:ascii="Times New Roman" w:hAnsi="Times New Roman"/>
          <w:i/>
          <w:iCs/>
          <w:sz w:val="28"/>
        </w:rPr>
        <w:t>(iii)</w:t>
      </w:r>
      <w:r w:rsidRPr="003E425B">
        <w:rPr>
          <w:rFonts w:ascii="Times New Roman" w:hAnsi="Times New Roman"/>
          <w:sz w:val="28"/>
        </w:rPr>
        <w:t xml:space="preserve"> precisan que el gasto se financiaría mediante arreglos presupuestales y “el ahorro q</w:t>
      </w:r>
      <w:r w:rsidRPr="003E425B">
        <w:rPr>
          <w:rFonts w:ascii="Times New Roman" w:hAnsi="Times New Roman"/>
          <w:sz w:val="28"/>
        </w:rPr>
        <w:t>ue se generaría con la supresión o modificación de otras dependencias”</w:t>
      </w:r>
      <w:r w:rsidRPr="003E425B">
        <w:rPr>
          <w:rFonts w:ascii="Times New Roman" w:hAnsi="Times New Roman"/>
          <w:iCs/>
          <w:sz w:val="28"/>
          <w:vertAlign w:val="superscript"/>
        </w:rPr>
        <w:footnoteReference w:id="282"/>
      </w:r>
      <w:r w:rsidRPr="003E425B">
        <w:rPr>
          <w:rFonts w:ascii="Times New Roman" w:hAnsi="Times New Roman"/>
          <w:sz w:val="28"/>
        </w:rPr>
        <w:t xml:space="preserve"> del Estado.</w:t>
      </w:r>
      <w:r w:rsidRPr="003E425B">
        <w:rPr>
          <w:rFonts w:ascii="Times New Roman" w:hAnsi="Times New Roman"/>
          <w:sz w:val="28"/>
          <w:lang w:eastAsia="es-MX"/>
        </w:rPr>
        <w:t xml:space="preserve"> </w:t>
      </w:r>
      <w:r w:rsidRPr="003E425B">
        <w:rPr>
          <w:rFonts w:ascii="Times New Roman" w:hAnsi="Times New Roman"/>
          <w:sz w:val="28"/>
        </w:rPr>
        <w:t>En contraste, la Corte Constitucional ha sostenido que el deber de identificación de la fuente de ingreso adicional no se suple cuando en la exposición de motivos, o durant</w:t>
      </w:r>
      <w:r w:rsidRPr="003E425B">
        <w:rPr>
          <w:rFonts w:ascii="Times New Roman" w:hAnsi="Times New Roman"/>
          <w:sz w:val="28"/>
        </w:rPr>
        <w:t>e el trámite legislativo se indica, de forma general y abstracta, que las medidas se financiarán con recursos del Presupuesto General de la Nación</w:t>
      </w:r>
      <w:r w:rsidRPr="003E425B">
        <w:rPr>
          <w:rStyle w:val="Refdenotaalpie"/>
          <w:rFonts w:ascii="Times New Roman" w:hAnsi="Times New Roman"/>
          <w:sz w:val="28"/>
        </w:rPr>
        <w:footnoteReference w:id="283"/>
      </w:r>
      <w:r w:rsidRPr="003E425B">
        <w:rPr>
          <w:rFonts w:ascii="Times New Roman" w:hAnsi="Times New Roman"/>
          <w:sz w:val="28"/>
        </w:rPr>
        <w:t xml:space="preserve">. </w:t>
      </w:r>
      <w:r w:rsidRPr="003E425B">
        <w:rPr>
          <w:rFonts w:ascii="Times New Roman" w:hAnsi="Times New Roman"/>
          <w:sz w:val="28"/>
        </w:rPr>
        <w:t xml:space="preserve">Lo anterior, en el entendido de que el Presupuesto General de la Nación no es una fuente de ingreso. </w:t>
      </w:r>
    </w:p>
    <w:p w:rsidR="002860D7" w:rsidRPr="003E425B" w:rsidRDefault="003E425B" w:rsidP="00010108">
      <w:pPr>
        <w:tabs>
          <w:tab w:val="left" w:pos="567"/>
        </w:tabs>
        <w:rPr>
          <w:rFonts w:ascii="Times New Roman" w:hAnsi="Times New Roman" w:cs="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La e</w:t>
      </w:r>
      <w:r w:rsidRPr="003E425B">
        <w:rPr>
          <w:rFonts w:ascii="Times New Roman" w:hAnsi="Times New Roman"/>
          <w:sz w:val="28"/>
          <w:lang w:eastAsia="es-MX"/>
        </w:rPr>
        <w:t>stimación</w:t>
      </w:r>
      <w:r w:rsidRPr="003E425B">
        <w:rPr>
          <w:rFonts w:ascii="Times New Roman" w:hAnsi="Times New Roman"/>
          <w:sz w:val="28"/>
          <w:lang w:eastAsia="es-MX"/>
        </w:rPr>
        <w:t xml:space="preserve"> clara y fundada</w:t>
      </w:r>
      <w:r w:rsidRPr="003E425B">
        <w:rPr>
          <w:rFonts w:ascii="Times New Roman" w:hAnsi="Times New Roman"/>
          <w:sz w:val="28"/>
          <w:lang w:eastAsia="es-MX"/>
        </w:rPr>
        <w:t xml:space="preserve"> de los costos fiscales, así como la identificación de la fuente de financiación, buscan garantizar que el legislador cuente</w:t>
      </w:r>
      <w:r w:rsidRPr="003E425B">
        <w:rPr>
          <w:rFonts w:ascii="Times New Roman" w:eastAsia="Times New Roman" w:hAnsi="Times New Roman"/>
          <w:i/>
          <w:iCs/>
          <w:color w:val="auto"/>
          <w:sz w:val="28"/>
          <w:lang w:val="es-ES_tradnl"/>
        </w:rPr>
        <w:t xml:space="preserve"> </w:t>
      </w:r>
      <w:r w:rsidRPr="003E425B">
        <w:rPr>
          <w:rFonts w:ascii="Times New Roman" w:hAnsi="Times New Roman"/>
          <w:iCs/>
          <w:sz w:val="28"/>
          <w:lang w:val="es-ES_tradnl" w:eastAsia="es-MX"/>
        </w:rPr>
        <w:t>con la suficiente ilustración sobre las implicaciones fiscales de la norma</w:t>
      </w:r>
      <w:r w:rsidRPr="003E425B">
        <w:rPr>
          <w:rFonts w:ascii="Times New Roman" w:hAnsi="Times New Roman"/>
          <w:sz w:val="28"/>
          <w:vertAlign w:val="superscript"/>
          <w:lang w:val="es-ES_tradnl" w:eastAsia="es-MX"/>
        </w:rPr>
        <w:footnoteReference w:id="284"/>
      </w:r>
      <w:r w:rsidRPr="003E425B">
        <w:rPr>
          <w:rFonts w:ascii="Times New Roman" w:hAnsi="Times New Roman"/>
          <w:iCs/>
          <w:sz w:val="28"/>
          <w:lang w:val="es-ES_tradnl" w:eastAsia="es-MX"/>
        </w:rPr>
        <w:t xml:space="preserve"> y </w:t>
      </w:r>
      <w:r w:rsidRPr="003E425B">
        <w:rPr>
          <w:rFonts w:ascii="Times New Roman" w:hAnsi="Times New Roman"/>
          <w:iCs/>
          <w:sz w:val="28"/>
          <w:lang w:eastAsia="es-MX"/>
        </w:rPr>
        <w:t xml:space="preserve">pueda “debatir y decidir de </w:t>
      </w:r>
      <w:r w:rsidRPr="003E425B">
        <w:rPr>
          <w:rFonts w:ascii="Times New Roman" w:hAnsi="Times New Roman"/>
          <w:iCs/>
          <w:sz w:val="28"/>
          <w:lang w:eastAsia="es-MX"/>
        </w:rPr>
        <w:t>manera informada”</w:t>
      </w:r>
      <w:r w:rsidRPr="003E425B">
        <w:rPr>
          <w:rFonts w:ascii="Times New Roman" w:hAnsi="Times New Roman"/>
          <w:iCs/>
          <w:sz w:val="28"/>
          <w:vertAlign w:val="superscript"/>
          <w:lang w:eastAsia="es-MX"/>
        </w:rPr>
        <w:footnoteReference w:id="285"/>
      </w:r>
      <w:r w:rsidRPr="003E425B">
        <w:rPr>
          <w:rFonts w:ascii="Times New Roman" w:hAnsi="Times New Roman"/>
          <w:iCs/>
          <w:sz w:val="28"/>
          <w:lang w:eastAsia="es-MX"/>
        </w:rPr>
        <w:t xml:space="preserve">. </w:t>
      </w:r>
    </w:p>
    <w:p w:rsidR="00BD7391" w:rsidRPr="003E425B" w:rsidRDefault="003E425B" w:rsidP="00BD7391">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Ttulo5"/>
        <w:numPr>
          <w:ilvl w:val="0"/>
          <w:numId w:val="24"/>
        </w:numPr>
        <w:rPr>
          <w:rFonts w:ascii="Times New Roman" w:hAnsi="Times New Roman" w:cs="Times New Roman"/>
          <w:sz w:val="28"/>
          <w:lang w:eastAsia="es-MX"/>
        </w:rPr>
      </w:pPr>
      <w:r w:rsidRPr="003E425B">
        <w:rPr>
          <w:rFonts w:ascii="Times New Roman" w:hAnsi="Times New Roman" w:cs="Times New Roman"/>
          <w:sz w:val="28"/>
          <w:lang w:eastAsia="es-MX"/>
        </w:rPr>
        <w:t xml:space="preserve">El concepto del MHCP </w:t>
      </w:r>
    </w:p>
    <w:p w:rsidR="002860D7" w:rsidRPr="003E425B" w:rsidRDefault="003E425B" w:rsidP="00010108">
      <w:pPr>
        <w:tabs>
          <w:tab w:val="left" w:pos="567"/>
        </w:tabs>
        <w:rPr>
          <w:rFonts w:ascii="Times New Roman" w:hAnsi="Times New Roman" w:cs="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El inciso 3º del artículo 7º de la Ley 819 de 2003 instituye que el MHCP, en cualquier tiempo durante el respectivo trámite en el Congreso de la República, deberá rendir concepto frente al impacto fiscal de la n</w:t>
      </w:r>
      <w:r w:rsidRPr="003E425B">
        <w:rPr>
          <w:rFonts w:ascii="Times New Roman" w:hAnsi="Times New Roman"/>
          <w:sz w:val="28"/>
          <w:lang w:eastAsia="es-MX"/>
        </w:rPr>
        <w:t>orma. De acuerdo con la jurisprudencia constitucional, el objeto del concepto es que el MHCP valide las estimaciones y valoraciones sobre el impacto fiscal de la iniciativa y señale si, en su criterio, es compatible con el Marco Fiscal de Mediano Plazo. La</w:t>
      </w:r>
      <w:r w:rsidRPr="003E425B">
        <w:rPr>
          <w:rFonts w:ascii="Times New Roman" w:hAnsi="Times New Roman"/>
          <w:sz w:val="28"/>
          <w:lang w:eastAsia="es-MX"/>
        </w:rPr>
        <w:t xml:space="preserve"> Corte Constitucional ha enfatizado que, habida cuenta de su experticia y funciones legales, el MHCP “debe realizar un estudio serio, detallado, sustentado y concreto de los efectos económicos de la propuesta”</w:t>
      </w:r>
      <w:r w:rsidRPr="003E425B">
        <w:rPr>
          <w:rFonts w:ascii="Times New Roman" w:hAnsi="Times New Roman"/>
          <w:sz w:val="28"/>
          <w:vertAlign w:val="superscript"/>
          <w:lang w:eastAsia="es-MX"/>
        </w:rPr>
        <w:footnoteReference w:id="286"/>
      </w:r>
      <w:r w:rsidRPr="003E425B">
        <w:rPr>
          <w:rFonts w:ascii="Times New Roman" w:hAnsi="Times New Roman"/>
          <w:sz w:val="28"/>
          <w:lang w:eastAsia="es-MX"/>
        </w:rPr>
        <w:t>. De lo contrario, una intervención del MHCP q</w:t>
      </w:r>
      <w:r w:rsidRPr="003E425B">
        <w:rPr>
          <w:rFonts w:ascii="Times New Roman" w:hAnsi="Times New Roman"/>
          <w:sz w:val="28"/>
          <w:lang w:eastAsia="es-MX"/>
        </w:rPr>
        <w:t>ue no evalúe con suficiencia el impacto fiscal, así como la compatibilidad de la iniciativa con el Marco Fiscal de Mediano Plazo, “no se puede entender como un concepto en los términos del artículo 7 de la Ley 819 de 2003”</w:t>
      </w:r>
      <w:r w:rsidRPr="003E425B">
        <w:rPr>
          <w:rFonts w:ascii="Times New Roman" w:hAnsi="Times New Roman"/>
          <w:iCs/>
          <w:sz w:val="28"/>
          <w:vertAlign w:val="superscript"/>
          <w:lang w:eastAsia="es-MX"/>
        </w:rPr>
        <w:footnoteReference w:id="287"/>
      </w:r>
      <w:r w:rsidRPr="003E425B">
        <w:rPr>
          <w:rFonts w:ascii="Times New Roman" w:hAnsi="Times New Roman"/>
          <w:sz w:val="28"/>
          <w:lang w:eastAsia="es-MX"/>
        </w:rPr>
        <w:t xml:space="preserve">. El concepto debe ser publicado </w:t>
      </w:r>
      <w:r w:rsidRPr="003E425B">
        <w:rPr>
          <w:rFonts w:ascii="Times New Roman" w:hAnsi="Times New Roman"/>
          <w:sz w:val="28"/>
          <w:lang w:eastAsia="es-MX"/>
        </w:rPr>
        <w:t xml:space="preserve">en la Gaceta del Congreso, con el fin de que los congresistas y la ciudadanía puedan conocerlo y así garantizar los principios de publicidad y transparencia en el procedimiento legislativo.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La Corte Constitucional ha identificado cuatro alternativas para</w:t>
      </w:r>
      <w:r w:rsidRPr="003E425B">
        <w:rPr>
          <w:rFonts w:ascii="Times New Roman" w:hAnsi="Times New Roman"/>
          <w:sz w:val="28"/>
          <w:lang w:eastAsia="es-MX"/>
        </w:rPr>
        <w:t xml:space="preserve"> que el MHCP presente el concepto: </w:t>
      </w:r>
    </w:p>
    <w:p w:rsidR="002860D7" w:rsidRPr="003E425B" w:rsidRDefault="003E425B" w:rsidP="00010108">
      <w:pPr>
        <w:rPr>
          <w:rFonts w:ascii="Times New Roman" w:hAnsi="Times New Roman" w:cs="Times New Roman"/>
          <w:sz w:val="28"/>
          <w:lang w:eastAsia="es-MX"/>
        </w:rPr>
      </w:pPr>
    </w:p>
    <w:tbl>
      <w:tblPr>
        <w:tblStyle w:val="Tablaconcuadrcula"/>
        <w:tblW w:w="5000" w:type="pct"/>
        <w:tblLook w:val="04A0" w:firstRow="1" w:lastRow="0" w:firstColumn="1" w:lastColumn="0" w:noHBand="0" w:noVBand="1"/>
      </w:tblPr>
      <w:tblGrid>
        <w:gridCol w:w="1413"/>
        <w:gridCol w:w="7417"/>
      </w:tblGrid>
      <w:tr w:rsidR="002860D7" w:rsidRPr="003E425B" w:rsidTr="00E4520F">
        <w:tc>
          <w:tcPr>
            <w:tcW w:w="5000" w:type="pct"/>
            <w:gridSpan w:val="2"/>
            <w:shd w:val="clear" w:color="auto" w:fill="D9D9D9" w:themeFill="background1" w:themeFillShade="D9"/>
          </w:tcPr>
          <w:p w:rsidR="002860D7" w:rsidRPr="003E425B" w:rsidRDefault="003E425B" w:rsidP="00010108">
            <w:pPr>
              <w:tabs>
                <w:tab w:val="left" w:pos="567"/>
              </w:tabs>
              <w:jc w:val="center"/>
              <w:rPr>
                <w:rFonts w:ascii="Times New Roman" w:hAnsi="Times New Roman" w:cs="Times New Roman"/>
                <w:b/>
                <w:bCs/>
                <w:sz w:val="28"/>
                <w:szCs w:val="20"/>
                <w:lang w:eastAsia="es-MX"/>
              </w:rPr>
            </w:pPr>
            <w:r w:rsidRPr="003E425B">
              <w:rPr>
                <w:rFonts w:ascii="Times New Roman" w:hAnsi="Times New Roman" w:cs="Times New Roman"/>
                <w:b/>
                <w:bCs/>
                <w:sz w:val="28"/>
                <w:szCs w:val="20"/>
                <w:lang w:eastAsia="es-MX"/>
              </w:rPr>
              <w:t>Concepto del MHCP</w:t>
            </w:r>
          </w:p>
        </w:tc>
      </w:tr>
      <w:tr w:rsidR="002860D7" w:rsidRPr="003E425B" w:rsidTr="00E4520F">
        <w:tc>
          <w:tcPr>
            <w:tcW w:w="800" w:type="pct"/>
            <w:shd w:val="clear" w:color="auto" w:fill="D9D9D9" w:themeFill="background1" w:themeFillShade="D9"/>
            <w:vAlign w:val="center"/>
          </w:tcPr>
          <w:p w:rsidR="002860D7" w:rsidRPr="003E425B" w:rsidRDefault="003E425B" w:rsidP="00010108">
            <w:pPr>
              <w:tabs>
                <w:tab w:val="left" w:pos="567"/>
              </w:tabs>
              <w:jc w:val="center"/>
              <w:rPr>
                <w:rFonts w:ascii="Times New Roman" w:hAnsi="Times New Roman" w:cs="Times New Roman"/>
                <w:b/>
                <w:bCs/>
                <w:sz w:val="28"/>
                <w:szCs w:val="20"/>
                <w:lang w:eastAsia="es-MX"/>
              </w:rPr>
            </w:pPr>
            <w:r w:rsidRPr="003E425B">
              <w:rPr>
                <w:rFonts w:ascii="Times New Roman" w:hAnsi="Times New Roman" w:cs="Times New Roman"/>
                <w:b/>
                <w:bCs/>
                <w:sz w:val="28"/>
                <w:szCs w:val="20"/>
                <w:lang w:eastAsia="es-MX"/>
              </w:rPr>
              <w:t>Alternativa 1</w:t>
            </w:r>
          </w:p>
        </w:tc>
        <w:tc>
          <w:tcPr>
            <w:tcW w:w="4200" w:type="pct"/>
          </w:tcPr>
          <w:p w:rsidR="002860D7" w:rsidRPr="003E425B" w:rsidRDefault="003E425B" w:rsidP="00010108">
            <w:pPr>
              <w:tabs>
                <w:tab w:val="left" w:pos="567"/>
              </w:tabs>
              <w:rPr>
                <w:rFonts w:ascii="Times New Roman" w:hAnsi="Times New Roman" w:cs="Times New Roman"/>
                <w:sz w:val="28"/>
                <w:szCs w:val="20"/>
                <w:lang w:eastAsia="es-MX"/>
              </w:rPr>
            </w:pPr>
            <w:r w:rsidRPr="003E425B">
              <w:rPr>
                <w:rFonts w:ascii="Times New Roman" w:hAnsi="Times New Roman" w:cs="Times New Roman"/>
                <w:sz w:val="28"/>
                <w:szCs w:val="20"/>
                <w:lang w:eastAsia="es-MX"/>
              </w:rPr>
              <w:t xml:space="preserve">Conforme al artículo 115 de la Constitución, el </w:t>
            </w:r>
            <w:r w:rsidRPr="003E425B">
              <w:rPr>
                <w:rFonts w:ascii="Times New Roman" w:hAnsi="Times New Roman" w:cs="Times New Roman"/>
                <w:sz w:val="28"/>
                <w:szCs w:val="20"/>
                <w:lang w:eastAsia="es-MX"/>
              </w:rPr>
              <w:t>P</w:t>
            </w:r>
            <w:r w:rsidRPr="003E425B">
              <w:rPr>
                <w:rFonts w:ascii="Times New Roman" w:hAnsi="Times New Roman" w:cs="Times New Roman"/>
                <w:sz w:val="28"/>
                <w:szCs w:val="20"/>
                <w:lang w:eastAsia="es-MX"/>
              </w:rPr>
              <w:t>residente</w:t>
            </w:r>
            <w:r w:rsidRPr="003E425B">
              <w:rPr>
                <w:rFonts w:ascii="Times New Roman" w:hAnsi="Times New Roman" w:cs="Times New Roman"/>
                <w:sz w:val="28"/>
                <w:szCs w:val="20"/>
                <w:lang w:eastAsia="es-MX"/>
              </w:rPr>
              <w:t xml:space="preserve"> de la República y un ministro o un director de departamento, “en cada negocio particular, constituyen el Gobierno”. En tales términos, en aquellos casos en los que el MHCP radica el proyecto de ley de forma individual o en conjunto con otros ministerios y</w:t>
            </w:r>
            <w:r w:rsidRPr="003E425B">
              <w:rPr>
                <w:rFonts w:ascii="Times New Roman" w:hAnsi="Times New Roman" w:cs="Times New Roman"/>
                <w:sz w:val="28"/>
                <w:szCs w:val="20"/>
                <w:lang w:eastAsia="es-MX"/>
              </w:rPr>
              <w:t xml:space="preserve"> presenta el análisis de impacto fiscal en la exposición de motivos, no es necesario que presente un nuevo concepto durante el trámite legislativo.</w:t>
            </w:r>
          </w:p>
        </w:tc>
      </w:tr>
      <w:tr w:rsidR="002860D7" w:rsidRPr="003E425B" w:rsidTr="00E4520F">
        <w:tc>
          <w:tcPr>
            <w:tcW w:w="800" w:type="pct"/>
            <w:shd w:val="clear" w:color="auto" w:fill="D9D9D9" w:themeFill="background1" w:themeFillShade="D9"/>
            <w:vAlign w:val="center"/>
          </w:tcPr>
          <w:p w:rsidR="002860D7" w:rsidRPr="003E425B" w:rsidRDefault="003E425B" w:rsidP="00010108">
            <w:pPr>
              <w:tabs>
                <w:tab w:val="left" w:pos="567"/>
              </w:tabs>
              <w:jc w:val="center"/>
              <w:rPr>
                <w:rFonts w:ascii="Times New Roman" w:hAnsi="Times New Roman" w:cs="Times New Roman"/>
                <w:b/>
                <w:bCs/>
                <w:sz w:val="28"/>
                <w:szCs w:val="20"/>
                <w:lang w:eastAsia="es-MX"/>
              </w:rPr>
            </w:pPr>
            <w:r w:rsidRPr="003E425B">
              <w:rPr>
                <w:rFonts w:ascii="Times New Roman" w:hAnsi="Times New Roman" w:cs="Times New Roman"/>
                <w:b/>
                <w:bCs/>
                <w:sz w:val="28"/>
                <w:szCs w:val="20"/>
                <w:lang w:eastAsia="es-MX"/>
              </w:rPr>
              <w:t>Alternativa 2</w:t>
            </w:r>
          </w:p>
        </w:tc>
        <w:tc>
          <w:tcPr>
            <w:tcW w:w="4200" w:type="pct"/>
          </w:tcPr>
          <w:p w:rsidR="002860D7" w:rsidRPr="003E425B" w:rsidRDefault="003E425B" w:rsidP="00010108">
            <w:pPr>
              <w:tabs>
                <w:tab w:val="left" w:pos="567"/>
              </w:tabs>
              <w:rPr>
                <w:rFonts w:ascii="Times New Roman" w:hAnsi="Times New Roman" w:cs="Times New Roman"/>
                <w:sz w:val="28"/>
                <w:szCs w:val="20"/>
                <w:lang w:eastAsia="es-MX"/>
              </w:rPr>
            </w:pPr>
            <w:r w:rsidRPr="003E425B">
              <w:rPr>
                <w:rFonts w:ascii="Times New Roman" w:hAnsi="Times New Roman" w:cs="Times New Roman"/>
                <w:sz w:val="28"/>
                <w:szCs w:val="20"/>
                <w:lang w:eastAsia="es-MX"/>
              </w:rPr>
              <w:t xml:space="preserve">El MHCP presenta el concepto por </w:t>
            </w:r>
            <w:r w:rsidRPr="003E425B">
              <w:rPr>
                <w:rFonts w:ascii="Times New Roman" w:hAnsi="Times New Roman" w:cs="Times New Roman"/>
                <w:i/>
                <w:sz w:val="28"/>
                <w:szCs w:val="20"/>
                <w:lang w:eastAsia="es-MX"/>
              </w:rPr>
              <w:t>escrito</w:t>
            </w:r>
            <w:r w:rsidRPr="003E425B">
              <w:rPr>
                <w:rFonts w:ascii="Times New Roman" w:hAnsi="Times New Roman" w:cs="Times New Roman"/>
                <w:sz w:val="28"/>
                <w:szCs w:val="20"/>
                <w:lang w:eastAsia="es-MX"/>
              </w:rPr>
              <w:t xml:space="preserve"> durante el trámite legislativo conforme al inciso 3º</w:t>
            </w:r>
            <w:r w:rsidRPr="003E425B">
              <w:rPr>
                <w:rFonts w:ascii="Times New Roman" w:hAnsi="Times New Roman" w:cs="Times New Roman"/>
                <w:sz w:val="28"/>
                <w:szCs w:val="20"/>
                <w:lang w:eastAsia="es-MX"/>
              </w:rPr>
              <w:t xml:space="preserve"> del artículo 7º de la Ley 819 de 2003. </w:t>
            </w:r>
          </w:p>
        </w:tc>
      </w:tr>
      <w:tr w:rsidR="002860D7" w:rsidRPr="003E425B" w:rsidTr="00E4520F">
        <w:tc>
          <w:tcPr>
            <w:tcW w:w="800" w:type="pct"/>
            <w:shd w:val="clear" w:color="auto" w:fill="D9D9D9" w:themeFill="background1" w:themeFillShade="D9"/>
            <w:vAlign w:val="center"/>
          </w:tcPr>
          <w:p w:rsidR="002860D7" w:rsidRPr="003E425B" w:rsidRDefault="003E425B" w:rsidP="00010108">
            <w:pPr>
              <w:tabs>
                <w:tab w:val="left" w:pos="567"/>
              </w:tabs>
              <w:jc w:val="center"/>
              <w:rPr>
                <w:rFonts w:ascii="Times New Roman" w:hAnsi="Times New Roman" w:cs="Times New Roman"/>
                <w:b/>
                <w:bCs/>
                <w:sz w:val="28"/>
                <w:szCs w:val="20"/>
                <w:lang w:eastAsia="es-MX"/>
              </w:rPr>
            </w:pPr>
            <w:r w:rsidRPr="003E425B">
              <w:rPr>
                <w:rFonts w:ascii="Times New Roman" w:hAnsi="Times New Roman" w:cs="Times New Roman"/>
                <w:b/>
                <w:bCs/>
                <w:sz w:val="28"/>
                <w:szCs w:val="20"/>
                <w:lang w:eastAsia="es-MX"/>
              </w:rPr>
              <w:t>Alternativa 3</w:t>
            </w:r>
          </w:p>
        </w:tc>
        <w:tc>
          <w:tcPr>
            <w:tcW w:w="4200" w:type="pct"/>
          </w:tcPr>
          <w:p w:rsidR="002860D7" w:rsidRPr="003E425B" w:rsidRDefault="003E425B" w:rsidP="00010108">
            <w:pPr>
              <w:tabs>
                <w:tab w:val="left" w:pos="567"/>
              </w:tabs>
              <w:rPr>
                <w:rFonts w:ascii="Times New Roman" w:hAnsi="Times New Roman" w:cs="Times New Roman"/>
                <w:sz w:val="28"/>
                <w:szCs w:val="20"/>
                <w:lang w:eastAsia="es-MX"/>
              </w:rPr>
            </w:pPr>
            <w:r w:rsidRPr="003E425B">
              <w:rPr>
                <w:rFonts w:ascii="Times New Roman" w:hAnsi="Times New Roman" w:cs="Times New Roman"/>
                <w:sz w:val="28"/>
                <w:szCs w:val="20"/>
                <w:lang w:eastAsia="es-MX"/>
              </w:rPr>
              <w:t>El MHCP no radica el proyecto de ley y no presenta concepto por escrito. Sin embargo, el Gobierno Nacional demuestra que, previo a la presentación del proyecto de ley, el MHCP “</w:t>
            </w:r>
            <w:r w:rsidRPr="003E425B">
              <w:rPr>
                <w:rFonts w:ascii="Times New Roman" w:hAnsi="Times New Roman" w:cs="Times New Roman"/>
                <w:i/>
                <w:iCs/>
                <w:sz w:val="28"/>
                <w:szCs w:val="20"/>
                <w:lang w:eastAsia="es-MX"/>
              </w:rPr>
              <w:t xml:space="preserve">analizó </w:t>
            </w:r>
            <w:r w:rsidRPr="003E425B">
              <w:rPr>
                <w:rFonts w:ascii="Times New Roman" w:hAnsi="Times New Roman" w:cs="Times New Roman"/>
                <w:sz w:val="28"/>
                <w:szCs w:val="20"/>
                <w:lang w:eastAsia="es-MX"/>
              </w:rPr>
              <w:t xml:space="preserve">y </w:t>
            </w:r>
            <w:r w:rsidRPr="003E425B">
              <w:rPr>
                <w:rFonts w:ascii="Times New Roman" w:hAnsi="Times New Roman" w:cs="Times New Roman"/>
                <w:i/>
                <w:iCs/>
                <w:sz w:val="28"/>
                <w:szCs w:val="20"/>
                <w:lang w:eastAsia="es-MX"/>
              </w:rPr>
              <w:t xml:space="preserve">aprobó </w:t>
            </w:r>
            <w:r w:rsidRPr="003E425B">
              <w:rPr>
                <w:rFonts w:ascii="Times New Roman" w:hAnsi="Times New Roman" w:cs="Times New Roman"/>
                <w:sz w:val="28"/>
                <w:szCs w:val="20"/>
                <w:lang w:eastAsia="es-MX"/>
              </w:rPr>
              <w:t>la cor</w:t>
            </w:r>
            <w:r w:rsidRPr="003E425B">
              <w:rPr>
                <w:rFonts w:ascii="Times New Roman" w:hAnsi="Times New Roman" w:cs="Times New Roman"/>
                <w:sz w:val="28"/>
                <w:szCs w:val="20"/>
                <w:lang w:eastAsia="es-MX"/>
              </w:rPr>
              <w:t>respondiente fuente sustitutiva por disminución de gasto o aumentos de ingresos, prevista en el proyecto de ley”</w:t>
            </w:r>
            <w:r w:rsidRPr="003E425B">
              <w:rPr>
                <w:rStyle w:val="Refdenotaalpie"/>
                <w:rFonts w:ascii="Times New Roman" w:hAnsi="Times New Roman" w:cs="Times New Roman"/>
                <w:sz w:val="28"/>
                <w:szCs w:val="20"/>
                <w:lang w:eastAsia="es-MX"/>
              </w:rPr>
              <w:footnoteReference w:id="288"/>
            </w:r>
            <w:r w:rsidRPr="003E425B">
              <w:rPr>
                <w:rFonts w:ascii="Times New Roman" w:hAnsi="Times New Roman" w:cs="Times New Roman"/>
                <w:sz w:val="28"/>
                <w:szCs w:val="20"/>
                <w:lang w:eastAsia="es-MX"/>
              </w:rPr>
              <w:t xml:space="preserve">. </w:t>
            </w:r>
          </w:p>
        </w:tc>
      </w:tr>
      <w:tr w:rsidR="002860D7" w:rsidRPr="003E425B" w:rsidTr="00E4520F">
        <w:tc>
          <w:tcPr>
            <w:tcW w:w="800" w:type="pct"/>
            <w:shd w:val="clear" w:color="auto" w:fill="D9D9D9" w:themeFill="background1" w:themeFillShade="D9"/>
            <w:vAlign w:val="center"/>
          </w:tcPr>
          <w:p w:rsidR="002860D7" w:rsidRPr="003E425B" w:rsidRDefault="003E425B" w:rsidP="00010108">
            <w:pPr>
              <w:tabs>
                <w:tab w:val="left" w:pos="567"/>
              </w:tabs>
              <w:jc w:val="center"/>
              <w:rPr>
                <w:rFonts w:ascii="Times New Roman" w:hAnsi="Times New Roman" w:cs="Times New Roman"/>
                <w:b/>
                <w:bCs/>
                <w:sz w:val="28"/>
                <w:szCs w:val="20"/>
                <w:lang w:eastAsia="es-MX"/>
              </w:rPr>
            </w:pPr>
            <w:r w:rsidRPr="003E425B">
              <w:rPr>
                <w:rFonts w:ascii="Times New Roman" w:hAnsi="Times New Roman" w:cs="Times New Roman"/>
                <w:b/>
                <w:bCs/>
                <w:sz w:val="28"/>
                <w:szCs w:val="20"/>
                <w:lang w:eastAsia="es-MX"/>
              </w:rPr>
              <w:t>Alternativa 4</w:t>
            </w:r>
          </w:p>
        </w:tc>
        <w:tc>
          <w:tcPr>
            <w:tcW w:w="4200" w:type="pct"/>
          </w:tcPr>
          <w:p w:rsidR="002860D7" w:rsidRPr="003E425B" w:rsidRDefault="003E425B" w:rsidP="00010108">
            <w:pPr>
              <w:tabs>
                <w:tab w:val="left" w:pos="567"/>
              </w:tabs>
              <w:rPr>
                <w:rFonts w:ascii="Times New Roman" w:hAnsi="Times New Roman" w:cs="Times New Roman"/>
                <w:sz w:val="28"/>
                <w:szCs w:val="20"/>
                <w:lang w:eastAsia="es-MX"/>
              </w:rPr>
            </w:pPr>
            <w:r w:rsidRPr="003E425B">
              <w:rPr>
                <w:rFonts w:ascii="Times New Roman" w:hAnsi="Times New Roman" w:cs="Times New Roman"/>
                <w:sz w:val="28"/>
                <w:szCs w:val="20"/>
                <w:lang w:eastAsia="es-MX"/>
              </w:rPr>
              <w:t>El MHCP no presenta un concepto escrito y tampoco se demuestra que, antes de la radicación del proyecto de ley, hubiera anali</w:t>
            </w:r>
            <w:r w:rsidRPr="003E425B">
              <w:rPr>
                <w:rFonts w:ascii="Times New Roman" w:hAnsi="Times New Roman" w:cs="Times New Roman"/>
                <w:sz w:val="28"/>
                <w:szCs w:val="20"/>
                <w:lang w:eastAsia="es-MX"/>
              </w:rPr>
              <w:t>zado o aprobado el impacto fiscal. Sin embargo, el MHCP “hace una exposición oral durante una sesión en comisión o en la plenaria de alguna de las dos cámaras, informando sobre el costo fiscal de la iniciativa, sus fuentes de financiamiento y su compatibil</w:t>
            </w:r>
            <w:r w:rsidRPr="003E425B">
              <w:rPr>
                <w:rFonts w:ascii="Times New Roman" w:hAnsi="Times New Roman" w:cs="Times New Roman"/>
                <w:sz w:val="28"/>
                <w:szCs w:val="20"/>
                <w:lang w:eastAsia="es-MX"/>
              </w:rPr>
              <w:t>idad con el Marco Fiscal de Mediano Plazo”</w:t>
            </w:r>
            <w:r w:rsidRPr="003E425B">
              <w:rPr>
                <w:rStyle w:val="Refdenotaalpie"/>
                <w:rFonts w:ascii="Times New Roman" w:hAnsi="Times New Roman" w:cs="Times New Roman"/>
                <w:sz w:val="28"/>
                <w:szCs w:val="20"/>
                <w:lang w:eastAsia="es-MX"/>
              </w:rPr>
              <w:footnoteReference w:id="289"/>
            </w:r>
            <w:r w:rsidRPr="003E425B">
              <w:rPr>
                <w:rFonts w:ascii="Times New Roman" w:hAnsi="Times New Roman" w:cs="Times New Roman"/>
                <w:sz w:val="28"/>
                <w:szCs w:val="20"/>
                <w:lang w:eastAsia="es-MX"/>
              </w:rPr>
              <w:t xml:space="preserve">. </w:t>
            </w:r>
          </w:p>
        </w:tc>
      </w:tr>
    </w:tbl>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En los proyectos de ley de iniciativa gubernamental, </w:t>
      </w:r>
      <w:r w:rsidRPr="003E425B">
        <w:rPr>
          <w:rFonts w:ascii="Times New Roman" w:hAnsi="Times New Roman"/>
          <w:sz w:val="28"/>
          <w:lang w:val="es-ES" w:eastAsia="es-MX"/>
        </w:rPr>
        <w:t>el incumplimiento del deber del MHCP de presentar concepto “configura un vicio de trámite insubsanable”</w:t>
      </w:r>
      <w:r w:rsidRPr="003E425B">
        <w:rPr>
          <w:rStyle w:val="Refdenotaalpie"/>
          <w:rFonts w:ascii="Times New Roman" w:hAnsi="Times New Roman"/>
          <w:sz w:val="28"/>
          <w:lang w:val="es-ES" w:eastAsia="es-MX"/>
        </w:rPr>
        <w:footnoteReference w:id="290"/>
      </w:r>
      <w:r w:rsidRPr="003E425B">
        <w:rPr>
          <w:rFonts w:ascii="Times New Roman" w:hAnsi="Times New Roman"/>
          <w:sz w:val="28"/>
          <w:lang w:val="es-ES" w:eastAsia="es-MX"/>
        </w:rPr>
        <w:t xml:space="preserve">. Lo anterior, en el entendido de que afecta la </w:t>
      </w:r>
      <w:r w:rsidRPr="003E425B">
        <w:rPr>
          <w:rFonts w:ascii="Times New Roman" w:hAnsi="Times New Roman"/>
          <w:sz w:val="28"/>
          <w:lang w:val="es-ES" w:eastAsia="es-MX"/>
        </w:rPr>
        <w:t>deliberación legislativa sobre las implicaciones fiscales de la iniciativa</w:t>
      </w:r>
      <w:r w:rsidRPr="003E425B">
        <w:rPr>
          <w:rFonts w:ascii="Times New Roman" w:hAnsi="Times New Roman"/>
          <w:sz w:val="28"/>
          <w:vertAlign w:val="superscript"/>
          <w:lang w:val="es-ES" w:eastAsia="es-MX"/>
        </w:rPr>
        <w:footnoteReference w:id="291"/>
      </w:r>
      <w:r w:rsidRPr="003E425B">
        <w:rPr>
          <w:rFonts w:ascii="Times New Roman" w:hAnsi="Times New Roman"/>
          <w:sz w:val="28"/>
          <w:lang w:val="es-ES" w:eastAsia="es-MX"/>
        </w:rPr>
        <w:t xml:space="preserve">. </w:t>
      </w:r>
      <w:r w:rsidRPr="003E425B">
        <w:rPr>
          <w:rFonts w:ascii="Times New Roman" w:hAnsi="Times New Roman"/>
          <w:sz w:val="28"/>
          <w:lang w:eastAsia="es-MX"/>
        </w:rPr>
        <w:t>Con fundamento en estas consideraciones, la Corte Constitucional ha declarado inconstitucionales leyes al constatar que el MHCP</w:t>
      </w:r>
      <w:r w:rsidRPr="003E425B">
        <w:rPr>
          <w:rFonts w:ascii="Times New Roman" w:hAnsi="Times New Roman"/>
          <w:sz w:val="28"/>
          <w:lang w:eastAsia="es-MX"/>
        </w:rPr>
        <w:t xml:space="preserve"> no presentó el concepto o el concepto no tenía un estudio serio y detallado del impacto fiscal, puesto que se limitaba a indicar, de forma genérica, que el costo fiscal era compatible con el Plan Nacional de Desarrollo o el Marco Fiscal de Mediano Plazo, </w:t>
      </w:r>
      <w:r w:rsidRPr="003E425B">
        <w:rPr>
          <w:rFonts w:ascii="Times New Roman" w:hAnsi="Times New Roman"/>
          <w:sz w:val="28"/>
          <w:lang w:eastAsia="es-MX"/>
        </w:rPr>
        <w:t>sin exponer una mínima explicación</w:t>
      </w:r>
      <w:r w:rsidRPr="003E425B">
        <w:rPr>
          <w:rStyle w:val="Refdenotaalpie"/>
          <w:rFonts w:ascii="Times New Roman" w:hAnsi="Times New Roman"/>
          <w:sz w:val="28"/>
          <w:lang w:eastAsia="es-MX"/>
        </w:rPr>
        <w:footnoteReference w:id="292"/>
      </w:r>
      <w:r w:rsidRPr="003E425B">
        <w:rPr>
          <w:rFonts w:ascii="Times New Roman" w:hAnsi="Times New Roman"/>
          <w:sz w:val="28"/>
          <w:lang w:eastAsia="es-MX"/>
        </w:rPr>
        <w:t>.</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8C16BD">
      <w:pPr>
        <w:pStyle w:val="Ttulo4"/>
        <w:numPr>
          <w:ilvl w:val="0"/>
          <w:numId w:val="27"/>
        </w:numPr>
        <w:ind w:left="709" w:hanging="567"/>
        <w:rPr>
          <w:rFonts w:ascii="Times New Roman" w:hAnsi="Times New Roman" w:cs="Times New Roman"/>
          <w:sz w:val="28"/>
          <w:lang w:eastAsia="es-MX"/>
        </w:rPr>
      </w:pPr>
      <w:r w:rsidRPr="003E425B">
        <w:rPr>
          <w:rFonts w:ascii="Times New Roman" w:hAnsi="Times New Roman" w:cs="Times New Roman"/>
          <w:sz w:val="28"/>
          <w:lang w:eastAsia="es-MX"/>
        </w:rPr>
        <w:t xml:space="preserve">El deber del Congreso de la República de deliberar sobre el impacto fiscal de la </w:t>
      </w:r>
      <w:r w:rsidRPr="003E425B">
        <w:rPr>
          <w:rFonts w:ascii="Times New Roman" w:hAnsi="Times New Roman" w:cs="Times New Roman"/>
          <w:sz w:val="28"/>
          <w:lang w:eastAsia="es-MX"/>
        </w:rPr>
        <w:t>iniciativa</w:t>
      </w:r>
    </w:p>
    <w:p w:rsidR="002860D7" w:rsidRPr="003E425B" w:rsidRDefault="003E425B" w:rsidP="00010108">
      <w:pPr>
        <w:rPr>
          <w:rFonts w:ascii="Times New Roman" w:hAnsi="Times New Roman" w:cs="Times New Roman"/>
          <w:sz w:val="28"/>
          <w:bdr w:val="none" w:sz="0" w:space="0" w:color="auto" w:frame="1"/>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El Congreso de la República debe </w:t>
      </w:r>
      <w:r w:rsidRPr="003E425B">
        <w:rPr>
          <w:rFonts w:ascii="Times New Roman" w:hAnsi="Times New Roman"/>
          <w:iCs/>
          <w:sz w:val="28"/>
          <w:lang w:eastAsia="es-MX"/>
        </w:rPr>
        <w:t>estudiar y discutir el concepto del MHCP y deliberar sobre los referentes básicos del impact</w:t>
      </w:r>
      <w:r w:rsidRPr="003E425B">
        <w:rPr>
          <w:rFonts w:ascii="Times New Roman" w:hAnsi="Times New Roman"/>
          <w:iCs/>
          <w:sz w:val="28"/>
          <w:lang w:eastAsia="es-MX"/>
        </w:rPr>
        <w:t>o fiscal</w:t>
      </w:r>
      <w:r w:rsidRPr="003E425B">
        <w:rPr>
          <w:rStyle w:val="Refdenotaalpie"/>
          <w:rFonts w:ascii="Times New Roman" w:hAnsi="Times New Roman"/>
          <w:iCs/>
          <w:sz w:val="28"/>
          <w:lang w:eastAsia="es-MX"/>
        </w:rPr>
        <w:footnoteReference w:id="293"/>
      </w:r>
      <w:r w:rsidRPr="003E425B">
        <w:rPr>
          <w:rFonts w:ascii="Times New Roman" w:hAnsi="Times New Roman"/>
          <w:iCs/>
          <w:sz w:val="28"/>
          <w:lang w:eastAsia="es-MX"/>
        </w:rPr>
        <w:t>.</w:t>
      </w:r>
      <w:r w:rsidRPr="003E425B">
        <w:rPr>
          <w:rFonts w:ascii="Times New Roman" w:hAnsi="Times New Roman"/>
          <w:i/>
          <w:sz w:val="28"/>
          <w:lang w:eastAsia="es-MX"/>
        </w:rPr>
        <w:t xml:space="preserve"> </w:t>
      </w:r>
      <w:r w:rsidRPr="003E425B">
        <w:rPr>
          <w:rFonts w:ascii="Times New Roman" w:hAnsi="Times New Roman"/>
          <w:iCs/>
          <w:sz w:val="28"/>
          <w:lang w:eastAsia="es-MX"/>
        </w:rPr>
        <w:t xml:space="preserve">La Corte Constitucional ha aclarado, sin embargo, </w:t>
      </w:r>
      <w:r w:rsidRPr="003E425B">
        <w:rPr>
          <w:rFonts w:ascii="Times New Roman" w:hAnsi="Times New Roman"/>
          <w:sz w:val="28"/>
          <w:lang w:eastAsia="es-MX"/>
        </w:rPr>
        <w:t>que el concepto del MHCP no es vinculante</w:t>
      </w:r>
      <w:r w:rsidRPr="003E425B">
        <w:rPr>
          <w:rFonts w:ascii="Times New Roman" w:hAnsi="Times New Roman"/>
          <w:sz w:val="28"/>
          <w:vertAlign w:val="superscript"/>
          <w:lang w:eastAsia="es-MX"/>
        </w:rPr>
        <w:footnoteReference w:id="294"/>
      </w:r>
      <w:r w:rsidRPr="003E425B">
        <w:rPr>
          <w:rFonts w:ascii="Times New Roman" w:hAnsi="Times New Roman"/>
          <w:sz w:val="28"/>
          <w:lang w:eastAsia="es-MX"/>
        </w:rPr>
        <w:t>. En tales términos, el Congreso de la República no tiene el deber de “acatar estrictamente lo recomendado”</w:t>
      </w:r>
      <w:r w:rsidRPr="003E425B">
        <w:rPr>
          <w:rFonts w:ascii="Times New Roman" w:hAnsi="Times New Roman"/>
          <w:sz w:val="28"/>
          <w:vertAlign w:val="superscript"/>
          <w:lang w:eastAsia="es-MX"/>
        </w:rPr>
        <w:footnoteReference w:id="295"/>
      </w:r>
      <w:r w:rsidRPr="003E425B">
        <w:rPr>
          <w:rFonts w:ascii="Times New Roman" w:hAnsi="Times New Roman"/>
          <w:sz w:val="28"/>
          <w:lang w:eastAsia="es-MX"/>
        </w:rPr>
        <w:t xml:space="preserve"> por el MHCP: no está obligado a archivar el </w:t>
      </w:r>
      <w:r w:rsidRPr="003E425B">
        <w:rPr>
          <w:rFonts w:ascii="Times New Roman" w:hAnsi="Times New Roman"/>
          <w:sz w:val="28"/>
          <w:lang w:eastAsia="es-MX"/>
        </w:rPr>
        <w:t>proyecto de ley si el concepto es desfavorable y tampoco debe aprobarlo, si el concepto es favorable. El MHCP tiene “la carga de convencer al Legislador sobre la conveniencia o inconveniencia fiscal de la iniciativa”</w:t>
      </w:r>
      <w:r w:rsidRPr="003E425B">
        <w:rPr>
          <w:rFonts w:ascii="Times New Roman" w:hAnsi="Times New Roman"/>
          <w:sz w:val="28"/>
          <w:vertAlign w:val="superscript"/>
          <w:lang w:eastAsia="es-MX"/>
        </w:rPr>
        <w:footnoteReference w:id="296"/>
      </w:r>
      <w:r w:rsidRPr="003E425B">
        <w:rPr>
          <w:rFonts w:ascii="Times New Roman" w:hAnsi="Times New Roman"/>
          <w:sz w:val="28"/>
          <w:lang w:eastAsia="es-MX"/>
        </w:rPr>
        <w:t xml:space="preserve">, sin embargo, en virtud del principio </w:t>
      </w:r>
      <w:r w:rsidRPr="003E425B">
        <w:rPr>
          <w:rFonts w:ascii="Times New Roman" w:hAnsi="Times New Roman"/>
          <w:sz w:val="28"/>
          <w:lang w:eastAsia="es-MX"/>
        </w:rPr>
        <w:t>de separación de poderes, en ningún escenario el concepto puede constituir una barrera infranqueable para que el Congreso de la República ejerza su función legislativa de forma autónoma</w:t>
      </w:r>
      <w:r w:rsidRPr="003E425B">
        <w:rPr>
          <w:rStyle w:val="Refdenotaalpie"/>
          <w:rFonts w:ascii="Times New Roman" w:hAnsi="Times New Roman"/>
          <w:sz w:val="28"/>
          <w:lang w:eastAsia="es-MX"/>
        </w:rPr>
        <w:footnoteReference w:id="297"/>
      </w:r>
      <w:r w:rsidRPr="003E425B">
        <w:rPr>
          <w:rFonts w:ascii="Times New Roman" w:hAnsi="Times New Roman"/>
          <w:sz w:val="28"/>
          <w:lang w:eastAsia="es-MX"/>
        </w:rPr>
        <w:t>.</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De acuerdo con la jurisprudencia constitucional, al examinar el cum</w:t>
      </w:r>
      <w:r w:rsidRPr="003E425B">
        <w:rPr>
          <w:rFonts w:ascii="Times New Roman" w:hAnsi="Times New Roman"/>
          <w:sz w:val="28"/>
          <w:lang w:eastAsia="es-MX"/>
        </w:rPr>
        <w:t>plimiento de las cargas deliberativas a cargo del Congreso de la República, no le corresponde a la Corte Constitucional llevar a cabo un “control constitucional a la </w:t>
      </w:r>
      <w:r w:rsidRPr="003E425B">
        <w:rPr>
          <w:rFonts w:ascii="Times New Roman" w:hAnsi="Times New Roman"/>
          <w:i/>
          <w:iCs/>
          <w:sz w:val="28"/>
          <w:lang w:eastAsia="es-MX"/>
        </w:rPr>
        <w:t>calidad</w:t>
      </w:r>
      <w:r w:rsidRPr="003E425B">
        <w:rPr>
          <w:rFonts w:ascii="Times New Roman" w:hAnsi="Times New Roman"/>
          <w:sz w:val="28"/>
          <w:lang w:eastAsia="es-MX"/>
        </w:rPr>
        <w:t> del debate”</w:t>
      </w:r>
      <w:r w:rsidRPr="003E425B">
        <w:rPr>
          <w:rStyle w:val="Refdenotaalpie"/>
          <w:rFonts w:ascii="Times New Roman" w:hAnsi="Times New Roman"/>
          <w:sz w:val="28"/>
          <w:lang w:eastAsia="es-MX"/>
        </w:rPr>
        <w:footnoteReference w:id="298"/>
      </w:r>
      <w:r w:rsidRPr="003E425B">
        <w:rPr>
          <w:rFonts w:ascii="Times New Roman" w:hAnsi="Times New Roman"/>
          <w:sz w:val="28"/>
          <w:lang w:eastAsia="es-MX"/>
        </w:rPr>
        <w:t>.</w:t>
      </w:r>
      <w:r w:rsidRPr="003E425B">
        <w:rPr>
          <w:rFonts w:ascii="Times New Roman" w:hAnsi="Times New Roman"/>
          <w:sz w:val="28"/>
          <w:lang w:eastAsia="es-MX"/>
        </w:rPr>
        <w:t xml:space="preserve"> Con todo, este tribunal</w:t>
      </w:r>
      <w:r w:rsidRPr="003E425B">
        <w:rPr>
          <w:rFonts w:ascii="Times New Roman" w:hAnsi="Times New Roman"/>
          <w:sz w:val="28"/>
          <w:lang w:eastAsia="es-MX"/>
        </w:rPr>
        <w:t xml:space="preserve"> ha enfatizado que</w:t>
      </w:r>
      <w:r w:rsidRPr="003E425B">
        <w:rPr>
          <w:rFonts w:ascii="Times New Roman" w:hAnsi="Times New Roman"/>
          <w:sz w:val="28"/>
          <w:lang w:eastAsia="es-MX"/>
        </w:rPr>
        <w:t xml:space="preserve"> </w:t>
      </w:r>
      <w:r w:rsidRPr="003E425B">
        <w:rPr>
          <w:rFonts w:ascii="Times New Roman" w:hAnsi="Times New Roman"/>
          <w:sz w:val="28"/>
          <w:lang w:eastAsia="es-MX"/>
        </w:rPr>
        <w:t>l</w:t>
      </w:r>
      <w:r w:rsidRPr="003E425B">
        <w:rPr>
          <w:rFonts w:ascii="Times New Roman" w:hAnsi="Times New Roman"/>
          <w:sz w:val="28"/>
          <w:lang w:eastAsia="es-MX"/>
        </w:rPr>
        <w:t xml:space="preserve">a carga de deliberación </w:t>
      </w:r>
      <w:r w:rsidRPr="003E425B">
        <w:rPr>
          <w:rFonts w:ascii="Times New Roman" w:hAnsi="Times New Roman"/>
          <w:sz w:val="28"/>
          <w:lang w:eastAsia="es-MX"/>
        </w:rPr>
        <w:t>no es una simple formalidad. Para cumplir con las finalidades constitucionales que persigue el artículo 7º de la Ley 819 de 2003, debe existir -y la Corte debe constatarlo- una deliberación “mínima”</w:t>
      </w:r>
      <w:r w:rsidRPr="003E425B">
        <w:rPr>
          <w:rStyle w:val="Refdenotaalpie"/>
          <w:rFonts w:ascii="Times New Roman" w:hAnsi="Times New Roman"/>
          <w:sz w:val="28"/>
          <w:lang w:eastAsia="es-MX"/>
        </w:rPr>
        <w:footnoteReference w:id="299"/>
      </w:r>
      <w:r w:rsidRPr="003E425B">
        <w:rPr>
          <w:rFonts w:ascii="Times New Roman" w:hAnsi="Times New Roman"/>
          <w:sz w:val="28"/>
          <w:lang w:eastAsia="es-MX"/>
        </w:rPr>
        <w:t xml:space="preserve"> o por lo menos “somera”</w:t>
      </w:r>
      <w:r w:rsidRPr="003E425B">
        <w:rPr>
          <w:rStyle w:val="Refdenotaalpie"/>
          <w:rFonts w:ascii="Times New Roman" w:hAnsi="Times New Roman"/>
          <w:sz w:val="28"/>
          <w:lang w:eastAsia="es-MX"/>
        </w:rPr>
        <w:footnoteReference w:id="300"/>
      </w:r>
      <w:r w:rsidRPr="003E425B">
        <w:rPr>
          <w:rFonts w:ascii="Times New Roman" w:hAnsi="Times New Roman"/>
          <w:sz w:val="28"/>
          <w:lang w:eastAsia="es-MX"/>
        </w:rPr>
        <w:t xml:space="preserve"> sobre el concepto del MHCP y, e</w:t>
      </w:r>
      <w:r w:rsidRPr="003E425B">
        <w:rPr>
          <w:rFonts w:ascii="Times New Roman" w:hAnsi="Times New Roman"/>
          <w:sz w:val="28"/>
          <w:lang w:eastAsia="es-MX"/>
        </w:rPr>
        <w:t>n concreto, sobre los referentes básicos del impacto fiscal. Una deliberación abiertamente deficitaria “priva de todo contenido el carácter orientador del criterio de sostenibilidad fiscal, que, a pesar de no ofrecer referentes de validez material específi</w:t>
      </w:r>
      <w:r w:rsidRPr="003E425B">
        <w:rPr>
          <w:rFonts w:ascii="Times New Roman" w:hAnsi="Times New Roman"/>
          <w:sz w:val="28"/>
          <w:lang w:eastAsia="es-MX"/>
        </w:rPr>
        <w:t>cos, sí establece una pauta de acción al momento en que los órganos toman la decisión de aprobar o improbar medidas con algún impacto fiscal”</w:t>
      </w:r>
      <w:r w:rsidRPr="003E425B">
        <w:rPr>
          <w:rStyle w:val="Refdenotaalpie"/>
          <w:rFonts w:ascii="Times New Roman" w:hAnsi="Times New Roman"/>
          <w:sz w:val="28"/>
          <w:lang w:eastAsia="es-MX"/>
        </w:rPr>
        <w:footnoteReference w:id="301"/>
      </w:r>
      <w:r w:rsidRPr="003E425B">
        <w:rPr>
          <w:rFonts w:ascii="Times New Roman" w:hAnsi="Times New Roman"/>
          <w:sz w:val="28"/>
          <w:lang w:eastAsia="es-MX"/>
        </w:rPr>
        <w:t xml:space="preserve">. </w:t>
      </w:r>
    </w:p>
    <w:p w:rsidR="000F2113" w:rsidRPr="003E425B" w:rsidRDefault="003E425B" w:rsidP="000F2113">
      <w:pPr>
        <w:pStyle w:val="Prrafodelista"/>
        <w:tabs>
          <w:tab w:val="left" w:pos="567"/>
        </w:tabs>
        <w:spacing w:line="240" w:lineRule="auto"/>
        <w:ind w:left="0"/>
        <w:rPr>
          <w:rFonts w:ascii="Times New Roman" w:hAnsi="Times New Roman"/>
          <w:sz w:val="28"/>
          <w:lang w:eastAsia="es-MX"/>
        </w:rPr>
      </w:pPr>
    </w:p>
    <w:p w:rsidR="002644B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val="es-ES" w:eastAsia="es-MX"/>
        </w:rPr>
        <w:t>En síntesis,</w:t>
      </w:r>
      <w:r w:rsidRPr="003E425B">
        <w:rPr>
          <w:rFonts w:ascii="Times New Roman" w:hAnsi="Times New Roman"/>
          <w:sz w:val="28"/>
          <w:lang w:val="es-ES" w:eastAsia="es-MX"/>
        </w:rPr>
        <w:t xml:space="preserve"> el artículo 7º</w:t>
      </w:r>
      <w:r w:rsidRPr="003E425B">
        <w:rPr>
          <w:rFonts w:ascii="Times New Roman" w:hAnsi="Times New Roman"/>
          <w:sz w:val="28"/>
          <w:lang w:val="es-ES" w:eastAsia="es-MX"/>
        </w:rPr>
        <w:t xml:space="preserve"> </w:t>
      </w:r>
      <w:r w:rsidRPr="003E425B">
        <w:rPr>
          <w:rFonts w:ascii="Times New Roman" w:hAnsi="Times New Roman"/>
          <w:sz w:val="28"/>
          <w:lang w:val="es-ES" w:eastAsia="es-MX"/>
        </w:rPr>
        <w:t xml:space="preserve">de la Ley 819 de 2003 </w:t>
      </w:r>
      <w:r w:rsidRPr="003E425B">
        <w:rPr>
          <w:rFonts w:ascii="Times New Roman" w:hAnsi="Times New Roman"/>
          <w:sz w:val="28"/>
          <w:lang w:val="es-ES" w:eastAsia="es-MX"/>
        </w:rPr>
        <w:t xml:space="preserve">impone </w:t>
      </w:r>
      <w:r w:rsidRPr="003E425B">
        <w:rPr>
          <w:rFonts w:ascii="Times New Roman" w:hAnsi="Times New Roman"/>
          <w:sz w:val="28"/>
          <w:lang w:val="es-ES" w:eastAsia="es-MX"/>
        </w:rPr>
        <w:t xml:space="preserve">la obligación de </w:t>
      </w:r>
      <w:r w:rsidRPr="003E425B">
        <w:rPr>
          <w:rFonts w:ascii="Times New Roman" w:hAnsi="Times New Roman"/>
          <w:sz w:val="28"/>
          <w:lang w:val="es-ES" w:eastAsia="es-MX"/>
        </w:rPr>
        <w:t>analizar</w:t>
      </w:r>
      <w:r w:rsidRPr="003E425B">
        <w:rPr>
          <w:rFonts w:ascii="Times New Roman" w:hAnsi="Times New Roman"/>
          <w:sz w:val="28"/>
          <w:lang w:val="es-ES" w:eastAsia="es-MX"/>
        </w:rPr>
        <w:t xml:space="preserve"> de impacto fiscal de las no</w:t>
      </w:r>
      <w:r w:rsidRPr="003E425B">
        <w:rPr>
          <w:rFonts w:ascii="Times New Roman" w:hAnsi="Times New Roman"/>
          <w:sz w:val="28"/>
          <w:lang w:val="es-ES" w:eastAsia="es-MX"/>
        </w:rPr>
        <w:t xml:space="preserve">rmas que ordenen gasto </w:t>
      </w:r>
      <w:r w:rsidRPr="003E425B">
        <w:rPr>
          <w:rFonts w:ascii="Times New Roman" w:hAnsi="Times New Roman"/>
          <w:sz w:val="28"/>
          <w:lang w:val="es-ES" w:eastAsia="es-MX"/>
        </w:rPr>
        <w:t>o conceden beneficios tributarios</w:t>
      </w:r>
      <w:r w:rsidRPr="003E425B">
        <w:rPr>
          <w:rFonts w:ascii="Times New Roman" w:hAnsi="Times New Roman"/>
          <w:sz w:val="28"/>
          <w:lang w:val="es-ES" w:eastAsia="es-MX"/>
        </w:rPr>
        <w:t xml:space="preserve">. Esta obligación tiene </w:t>
      </w:r>
      <w:r w:rsidRPr="003E425B">
        <w:rPr>
          <w:rFonts w:ascii="Times New Roman" w:hAnsi="Times New Roman"/>
          <w:sz w:val="28"/>
          <w:lang w:val="es-ES" w:eastAsia="es-MX"/>
        </w:rPr>
        <w:t>naturaleza</w:t>
      </w:r>
      <w:r w:rsidRPr="003E425B">
        <w:rPr>
          <w:rFonts w:ascii="Times New Roman" w:hAnsi="Times New Roman"/>
          <w:sz w:val="28"/>
          <w:lang w:val="es-ES" w:eastAsia="es-MX"/>
        </w:rPr>
        <w:t xml:space="preserve"> </w:t>
      </w:r>
      <w:r w:rsidRPr="003E425B">
        <w:rPr>
          <w:rFonts w:ascii="Times New Roman" w:hAnsi="Times New Roman"/>
          <w:sz w:val="28"/>
          <w:lang w:val="es-ES" w:eastAsia="es-MX"/>
        </w:rPr>
        <w:t xml:space="preserve">eminentemente </w:t>
      </w:r>
      <w:r w:rsidRPr="003E425B">
        <w:rPr>
          <w:rFonts w:ascii="Times New Roman" w:hAnsi="Times New Roman"/>
          <w:sz w:val="28"/>
          <w:lang w:val="es-ES" w:eastAsia="es-MX"/>
        </w:rPr>
        <w:t>procesal</w:t>
      </w:r>
      <w:r w:rsidRPr="003E425B">
        <w:rPr>
          <w:rFonts w:ascii="Times New Roman" w:hAnsi="Times New Roman"/>
          <w:sz w:val="28"/>
          <w:lang w:val="es-ES" w:eastAsia="es-MX"/>
        </w:rPr>
        <w:t xml:space="preserve"> y </w:t>
      </w:r>
      <w:r w:rsidRPr="003E425B">
        <w:rPr>
          <w:rFonts w:ascii="Times New Roman" w:hAnsi="Times New Roman"/>
          <w:sz w:val="28"/>
          <w:lang w:val="es-ES" w:eastAsia="es-MX"/>
        </w:rPr>
        <w:t xml:space="preserve">deliberativa </w:t>
      </w:r>
      <w:r w:rsidRPr="003E425B">
        <w:rPr>
          <w:rFonts w:ascii="Times New Roman" w:hAnsi="Times New Roman"/>
          <w:sz w:val="28"/>
          <w:lang w:val="es-ES" w:eastAsia="es-MX"/>
        </w:rPr>
        <w:t xml:space="preserve">-no sustantiva- </w:t>
      </w:r>
      <w:r w:rsidRPr="003E425B">
        <w:rPr>
          <w:rFonts w:ascii="Times New Roman" w:hAnsi="Times New Roman"/>
          <w:sz w:val="28"/>
          <w:lang w:val="es-ES" w:eastAsia="es-MX"/>
        </w:rPr>
        <w:t xml:space="preserve">de la que se derivan </w:t>
      </w:r>
      <w:r w:rsidRPr="003E425B">
        <w:rPr>
          <w:rFonts w:ascii="Times New Roman" w:hAnsi="Times New Roman"/>
          <w:sz w:val="28"/>
          <w:lang w:val="es-ES" w:eastAsia="es-MX"/>
        </w:rPr>
        <w:t>deberes específicos</w:t>
      </w:r>
      <w:r w:rsidRPr="003E425B">
        <w:rPr>
          <w:rFonts w:ascii="Times New Roman" w:hAnsi="Times New Roman"/>
          <w:sz w:val="28"/>
          <w:lang w:eastAsia="es-MX"/>
        </w:rPr>
        <w:t xml:space="preserve"> “de </w:t>
      </w:r>
      <w:r w:rsidRPr="003E425B">
        <w:rPr>
          <w:rFonts w:ascii="Times New Roman" w:hAnsi="Times New Roman"/>
          <w:i/>
          <w:iCs/>
          <w:sz w:val="28"/>
          <w:lang w:eastAsia="es-MX"/>
        </w:rPr>
        <w:t>valoración, explicación y discusión</w:t>
      </w:r>
      <w:r w:rsidRPr="003E425B">
        <w:rPr>
          <w:rFonts w:ascii="Times New Roman" w:hAnsi="Times New Roman"/>
          <w:sz w:val="28"/>
          <w:lang w:eastAsia="es-MX"/>
        </w:rPr>
        <w:t> de las incidencias fiscales</w:t>
      </w:r>
      <w:r w:rsidRPr="003E425B">
        <w:rPr>
          <w:rFonts w:ascii="Times New Roman" w:hAnsi="Times New Roman"/>
          <w:sz w:val="28"/>
          <w:lang w:eastAsia="es-MX"/>
        </w:rPr>
        <w:t xml:space="preserve"> de las medidas</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02"/>
      </w:r>
      <w:r w:rsidRPr="003E425B">
        <w:rPr>
          <w:rFonts w:ascii="Times New Roman" w:hAnsi="Times New Roman"/>
          <w:sz w:val="28"/>
          <w:lang w:eastAsia="es-MX"/>
        </w:rPr>
        <w:t>, a cargo del Gobierno Nacional, el MHCP y el Congreso de la República</w:t>
      </w:r>
      <w:r w:rsidRPr="003E425B">
        <w:rPr>
          <w:rFonts w:ascii="Times New Roman" w:hAnsi="Times New Roman"/>
          <w:sz w:val="28"/>
          <w:lang w:eastAsia="es-MX"/>
        </w:rPr>
        <w:t xml:space="preserve">. </w:t>
      </w:r>
      <w:r w:rsidRPr="003E425B">
        <w:rPr>
          <w:rFonts w:ascii="Times New Roman" w:hAnsi="Times New Roman"/>
          <w:sz w:val="28"/>
          <w:lang w:eastAsia="es-MX"/>
        </w:rPr>
        <w:t>El</w:t>
      </w:r>
      <w:r w:rsidRPr="003E425B">
        <w:rPr>
          <w:rFonts w:ascii="Times New Roman" w:hAnsi="Times New Roman"/>
          <w:sz w:val="28"/>
          <w:lang w:eastAsia="es-MX"/>
        </w:rPr>
        <w:t xml:space="preserve"> propósito </w:t>
      </w:r>
      <w:r w:rsidRPr="003E425B">
        <w:rPr>
          <w:rFonts w:ascii="Times New Roman" w:hAnsi="Times New Roman"/>
          <w:sz w:val="28"/>
          <w:lang w:eastAsia="es-MX"/>
        </w:rPr>
        <w:t xml:space="preserve">de estos deberes y, en términos generales, de la obligación de analizar el impacto fiscal, </w:t>
      </w:r>
      <w:r w:rsidRPr="003E425B">
        <w:rPr>
          <w:rFonts w:ascii="Times New Roman" w:hAnsi="Times New Roman"/>
          <w:sz w:val="28"/>
          <w:lang w:eastAsia="es-MX"/>
        </w:rPr>
        <w:t>es a</w:t>
      </w:r>
      <w:r w:rsidRPr="003E425B">
        <w:rPr>
          <w:rFonts w:ascii="Times New Roman" w:hAnsi="Times New Roman"/>
          <w:sz w:val="28"/>
          <w:lang w:eastAsia="es-MX"/>
        </w:rPr>
        <w:t>segurar que las decisiones más importantes sobre la destina</w:t>
      </w:r>
      <w:r w:rsidRPr="003E425B">
        <w:rPr>
          <w:rFonts w:ascii="Times New Roman" w:hAnsi="Times New Roman"/>
          <w:sz w:val="28"/>
          <w:lang w:eastAsia="es-MX"/>
        </w:rPr>
        <w:t>ción de los recursos públicos se adopten de manera responsable</w:t>
      </w:r>
      <w:r w:rsidRPr="003E425B">
        <w:rPr>
          <w:rFonts w:ascii="Times New Roman" w:hAnsi="Times New Roman"/>
          <w:sz w:val="28"/>
          <w:lang w:eastAsia="es-MX"/>
        </w:rPr>
        <w:t xml:space="preserve"> e informad</w:t>
      </w:r>
      <w:r w:rsidRPr="003E425B">
        <w:rPr>
          <w:rFonts w:ascii="Times New Roman" w:hAnsi="Times New Roman"/>
          <w:sz w:val="28"/>
          <w:lang w:eastAsia="es-MX"/>
        </w:rPr>
        <w:t>a</w:t>
      </w:r>
      <w:r w:rsidRPr="003E425B">
        <w:rPr>
          <w:rFonts w:ascii="Times New Roman" w:hAnsi="Times New Roman"/>
          <w:sz w:val="28"/>
          <w:lang w:eastAsia="es-MX"/>
        </w:rPr>
        <w:t xml:space="preserve">, </w:t>
      </w:r>
      <w:r w:rsidRPr="003E425B">
        <w:rPr>
          <w:rFonts w:ascii="Times New Roman" w:hAnsi="Times New Roman"/>
          <w:sz w:val="28"/>
          <w:lang w:eastAsia="es-MX"/>
        </w:rPr>
        <w:t>“</w:t>
      </w:r>
      <w:r w:rsidRPr="003E425B">
        <w:rPr>
          <w:rFonts w:ascii="Times New Roman" w:hAnsi="Times New Roman"/>
          <w:sz w:val="28"/>
          <w:lang w:eastAsia="es-MX"/>
        </w:rPr>
        <w:t>con el fin de que contribuyan efectivamente a la realización de los fines del estado previstos en el artículo 2º de la Constitución y, en particular, que aseguren la realización e</w:t>
      </w:r>
      <w:r w:rsidRPr="003E425B">
        <w:rPr>
          <w:rFonts w:ascii="Times New Roman" w:hAnsi="Times New Roman"/>
          <w:sz w:val="28"/>
          <w:lang w:eastAsia="es-MX"/>
        </w:rPr>
        <w:t>fectiva de los derechos constitucionales que en ella se reconocen</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03"/>
      </w:r>
      <w:r w:rsidRPr="003E425B">
        <w:rPr>
          <w:rFonts w:ascii="Times New Roman" w:hAnsi="Times New Roman"/>
          <w:sz w:val="28"/>
          <w:lang w:eastAsia="es-MX"/>
        </w:rPr>
        <w:t>. </w:t>
      </w:r>
    </w:p>
    <w:p w:rsidR="002644B7" w:rsidRPr="003E425B" w:rsidRDefault="003E425B" w:rsidP="00743D26">
      <w:pPr>
        <w:rPr>
          <w:rFonts w:ascii="Times New Roman" w:hAnsi="Times New Roman" w:cs="Times New Roman"/>
          <w:sz w:val="28"/>
          <w:lang w:val="es-ES" w:eastAsia="es-MX"/>
        </w:rPr>
      </w:pPr>
    </w:p>
    <w:p w:rsidR="000F2113"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En atención a la naturaleza procesal-deliberativa de la obligación de llevar a cabo el análisis de impacto fiscal, </w:t>
      </w:r>
      <w:r w:rsidRPr="003E425B">
        <w:rPr>
          <w:rFonts w:ascii="Times New Roman" w:hAnsi="Times New Roman"/>
          <w:sz w:val="28"/>
          <w:lang w:eastAsia="es-MX"/>
        </w:rPr>
        <w:t xml:space="preserve">al </w:t>
      </w:r>
      <w:r w:rsidRPr="003E425B">
        <w:rPr>
          <w:rFonts w:ascii="Times New Roman" w:hAnsi="Times New Roman"/>
          <w:sz w:val="28"/>
          <w:lang w:eastAsia="es-MX"/>
        </w:rPr>
        <w:t xml:space="preserve">examinar </w:t>
      </w:r>
      <w:r w:rsidRPr="003E425B">
        <w:rPr>
          <w:rFonts w:ascii="Times New Roman" w:hAnsi="Times New Roman"/>
          <w:sz w:val="28"/>
          <w:lang w:eastAsia="es-MX"/>
        </w:rPr>
        <w:t>el cumplimiento de las exigencias previstas en el artíc</w:t>
      </w:r>
      <w:r w:rsidRPr="003E425B">
        <w:rPr>
          <w:rFonts w:ascii="Times New Roman" w:hAnsi="Times New Roman"/>
          <w:sz w:val="28"/>
          <w:lang w:eastAsia="es-MX"/>
        </w:rPr>
        <w:t>u</w:t>
      </w:r>
      <w:r w:rsidRPr="003E425B">
        <w:rPr>
          <w:rFonts w:ascii="Times New Roman" w:hAnsi="Times New Roman"/>
          <w:sz w:val="28"/>
          <w:lang w:eastAsia="es-MX"/>
        </w:rPr>
        <w:t>lo</w:t>
      </w:r>
      <w:r w:rsidRPr="003E425B">
        <w:rPr>
          <w:rFonts w:ascii="Times New Roman" w:hAnsi="Times New Roman"/>
          <w:sz w:val="28"/>
          <w:lang w:eastAsia="es-MX"/>
        </w:rPr>
        <w:t xml:space="preserve"> 7º de la Ley 819 de 2003, no le corresponde a la Corte </w:t>
      </w:r>
      <w:r w:rsidRPr="003E425B">
        <w:rPr>
          <w:rFonts w:ascii="Times New Roman" w:hAnsi="Times New Roman"/>
          <w:sz w:val="28"/>
          <w:lang w:eastAsia="es-MX"/>
        </w:rPr>
        <w:t xml:space="preserve">“realizar valoraciones de la utilidad y oportunidad del gasto, ni comparar su cuantía con el marco fiscal de mediano plazo”. </w:t>
      </w:r>
      <w:r w:rsidRPr="003E425B">
        <w:rPr>
          <w:rFonts w:ascii="Times New Roman" w:hAnsi="Times New Roman"/>
          <w:sz w:val="28"/>
          <w:lang w:eastAsia="es-MX"/>
        </w:rPr>
        <w:t>Asimismo, la Corte debe ser cuidados</w:t>
      </w:r>
      <w:r w:rsidRPr="003E425B">
        <w:rPr>
          <w:rFonts w:ascii="Times New Roman" w:hAnsi="Times New Roman"/>
          <w:sz w:val="28"/>
          <w:lang w:eastAsia="es-MX"/>
        </w:rPr>
        <w:t>a</w:t>
      </w:r>
      <w:r w:rsidRPr="003E425B">
        <w:rPr>
          <w:rFonts w:ascii="Times New Roman" w:hAnsi="Times New Roman"/>
          <w:sz w:val="28"/>
          <w:lang w:eastAsia="es-MX"/>
        </w:rPr>
        <w:t xml:space="preserve"> </w:t>
      </w:r>
      <w:r w:rsidRPr="003E425B">
        <w:rPr>
          <w:rFonts w:ascii="Times New Roman" w:hAnsi="Times New Roman"/>
          <w:sz w:val="28"/>
          <w:lang w:eastAsia="es-MX"/>
        </w:rPr>
        <w:t>para que, aun en los casos en los que</w:t>
      </w:r>
      <w:r w:rsidRPr="003E425B">
        <w:rPr>
          <w:rFonts w:ascii="Times New Roman" w:hAnsi="Times New Roman"/>
          <w:sz w:val="28"/>
          <w:lang w:eastAsia="es-MX"/>
        </w:rPr>
        <w:t xml:space="preserve"> el estándar de escrutinio es riguroso po</w:t>
      </w:r>
      <w:r w:rsidRPr="003E425B">
        <w:rPr>
          <w:rFonts w:ascii="Times New Roman" w:hAnsi="Times New Roman"/>
          <w:sz w:val="28"/>
          <w:lang w:eastAsia="es-MX"/>
        </w:rPr>
        <w:t>r</w:t>
      </w:r>
      <w:r w:rsidRPr="003E425B">
        <w:rPr>
          <w:rFonts w:ascii="Times New Roman" w:hAnsi="Times New Roman"/>
          <w:sz w:val="28"/>
          <w:lang w:eastAsia="es-MX"/>
        </w:rPr>
        <w:t xml:space="preserve"> ser de iniciativa gubernamental, no imponga cargas </w:t>
      </w:r>
      <w:r w:rsidRPr="003E425B">
        <w:rPr>
          <w:rFonts w:ascii="Times New Roman" w:hAnsi="Times New Roman"/>
          <w:sz w:val="28"/>
          <w:lang w:eastAsia="es-MX"/>
        </w:rPr>
        <w:t xml:space="preserve">imposibles de cumplir </w:t>
      </w:r>
      <w:r w:rsidRPr="003E425B">
        <w:rPr>
          <w:rFonts w:ascii="Times New Roman" w:hAnsi="Times New Roman"/>
          <w:sz w:val="28"/>
          <w:lang w:eastAsia="es-MX"/>
        </w:rPr>
        <w:t xml:space="preserve">al Gobierno Nacional </w:t>
      </w:r>
      <w:r w:rsidRPr="003E425B">
        <w:rPr>
          <w:rFonts w:ascii="Times New Roman" w:hAnsi="Times New Roman"/>
          <w:sz w:val="28"/>
          <w:lang w:eastAsia="es-MX"/>
        </w:rPr>
        <w:t xml:space="preserve">y no cree </w:t>
      </w:r>
      <w:r w:rsidRPr="003E425B">
        <w:rPr>
          <w:rFonts w:ascii="Times New Roman" w:hAnsi="Times New Roman"/>
          <w:sz w:val="28"/>
          <w:lang w:val="es-ES" w:eastAsia="es-MX"/>
        </w:rPr>
        <w:t>“barreras insalvables en el ejercicio de la función legislativa”</w:t>
      </w:r>
      <w:r w:rsidRPr="003E425B">
        <w:rPr>
          <w:rFonts w:ascii="Times New Roman" w:hAnsi="Times New Roman"/>
          <w:sz w:val="28"/>
          <w:vertAlign w:val="superscript"/>
          <w:lang w:val="es-ES" w:eastAsia="es-MX"/>
        </w:rPr>
        <w:footnoteReference w:id="304"/>
      </w:r>
      <w:r w:rsidRPr="003E425B">
        <w:rPr>
          <w:rFonts w:ascii="Times New Roman" w:hAnsi="Times New Roman"/>
          <w:sz w:val="28"/>
          <w:lang w:val="es-ES" w:eastAsia="es-MX"/>
        </w:rPr>
        <w:t>.</w:t>
      </w:r>
      <w:r w:rsidRPr="003E425B">
        <w:rPr>
          <w:rFonts w:ascii="Times New Roman" w:hAnsi="Times New Roman"/>
          <w:sz w:val="28"/>
          <w:lang w:val="es-ES" w:eastAsia="es-MX"/>
        </w:rPr>
        <w:t xml:space="preserve"> </w:t>
      </w:r>
      <w:r w:rsidRPr="003E425B">
        <w:rPr>
          <w:rFonts w:ascii="Times New Roman" w:hAnsi="Times New Roman"/>
          <w:sz w:val="28"/>
          <w:lang w:eastAsia="es-MX"/>
        </w:rPr>
        <w:t>La</w:t>
      </w:r>
      <w:r w:rsidRPr="003E425B">
        <w:rPr>
          <w:rFonts w:ascii="Times New Roman" w:hAnsi="Times New Roman"/>
          <w:sz w:val="28"/>
          <w:lang w:eastAsia="es-MX"/>
        </w:rPr>
        <w:t xml:space="preserve"> </w:t>
      </w:r>
      <w:r w:rsidRPr="003E425B">
        <w:rPr>
          <w:rFonts w:ascii="Times New Roman" w:hAnsi="Times New Roman"/>
          <w:sz w:val="28"/>
          <w:lang w:eastAsia="es-MX"/>
        </w:rPr>
        <w:t xml:space="preserve">labor </w:t>
      </w:r>
      <w:r w:rsidRPr="003E425B">
        <w:rPr>
          <w:rFonts w:ascii="Times New Roman" w:hAnsi="Times New Roman"/>
          <w:sz w:val="28"/>
          <w:lang w:eastAsia="es-MX"/>
        </w:rPr>
        <w:t>de la Corte se</w:t>
      </w:r>
      <w:r w:rsidRPr="003E425B">
        <w:rPr>
          <w:rFonts w:ascii="Times New Roman" w:hAnsi="Times New Roman"/>
          <w:sz w:val="28"/>
          <w:lang w:eastAsia="es-MX"/>
        </w:rPr>
        <w:t xml:space="preserve"> circunscribe a </w:t>
      </w:r>
      <w:r w:rsidRPr="003E425B">
        <w:rPr>
          <w:rFonts w:ascii="Times New Roman" w:hAnsi="Times New Roman"/>
          <w:sz w:val="28"/>
          <w:lang w:eastAsia="es-MX"/>
        </w:rPr>
        <w:t>con</w:t>
      </w:r>
      <w:r w:rsidRPr="003E425B">
        <w:rPr>
          <w:rFonts w:ascii="Times New Roman" w:hAnsi="Times New Roman"/>
          <w:sz w:val="28"/>
          <w:lang w:eastAsia="es-MX"/>
        </w:rPr>
        <w:t>s</w:t>
      </w:r>
      <w:r w:rsidRPr="003E425B">
        <w:rPr>
          <w:rFonts w:ascii="Times New Roman" w:hAnsi="Times New Roman"/>
          <w:sz w:val="28"/>
          <w:lang w:eastAsia="es-MX"/>
        </w:rPr>
        <w:t>tatar</w:t>
      </w:r>
      <w:r w:rsidRPr="003E425B">
        <w:rPr>
          <w:rFonts w:ascii="Times New Roman" w:hAnsi="Times New Roman"/>
          <w:sz w:val="28"/>
          <w:lang w:eastAsia="es-MX"/>
        </w:rPr>
        <w:t xml:space="preserve">, a partir de un análisis global del trámite legislativo, </w:t>
      </w:r>
      <w:r w:rsidRPr="003E425B">
        <w:rPr>
          <w:rFonts w:ascii="Times New Roman" w:hAnsi="Times New Roman"/>
          <w:sz w:val="28"/>
          <w:lang w:eastAsia="es-MX"/>
        </w:rPr>
        <w:t>que el Gobierno Nacional, el MCHP y el Congreso, al amparo del principio de colaboración armónica</w:t>
      </w:r>
      <w:r w:rsidRPr="003E425B">
        <w:rPr>
          <w:rFonts w:ascii="Times New Roman" w:hAnsi="Times New Roman"/>
          <w:sz w:val="28"/>
          <w:lang w:eastAsia="es-MX"/>
        </w:rPr>
        <w:t>,</w:t>
      </w:r>
      <w:r w:rsidRPr="003E425B">
        <w:rPr>
          <w:rFonts w:ascii="Times New Roman" w:hAnsi="Times New Roman"/>
          <w:sz w:val="28"/>
          <w:lang w:eastAsia="es-MX"/>
        </w:rPr>
        <w:t xml:space="preserve"> tuvier</w:t>
      </w:r>
      <w:r w:rsidRPr="003E425B">
        <w:rPr>
          <w:rFonts w:ascii="Times New Roman" w:hAnsi="Times New Roman"/>
          <w:sz w:val="28"/>
          <w:lang w:eastAsia="es-MX"/>
        </w:rPr>
        <w:t>o</w:t>
      </w:r>
      <w:r w:rsidRPr="003E425B">
        <w:rPr>
          <w:rFonts w:ascii="Times New Roman" w:hAnsi="Times New Roman"/>
          <w:sz w:val="28"/>
          <w:lang w:eastAsia="es-MX"/>
        </w:rPr>
        <w:t xml:space="preserve">n </w:t>
      </w:r>
      <w:r w:rsidRPr="003E425B">
        <w:rPr>
          <w:rFonts w:ascii="Times New Roman" w:hAnsi="Times New Roman"/>
          <w:sz w:val="28"/>
          <w:lang w:val="es-ES" w:eastAsia="es-MX"/>
        </w:rPr>
        <w:t>en cuenta las realidades macroeconómicas y l</w:t>
      </w:r>
      <w:r w:rsidRPr="003E425B">
        <w:rPr>
          <w:rFonts w:ascii="Times New Roman" w:hAnsi="Times New Roman"/>
          <w:sz w:val="28"/>
          <w:lang w:val="es-ES" w:eastAsia="es-MX"/>
        </w:rPr>
        <w:t>os referentes básicos de la</w:t>
      </w:r>
      <w:r w:rsidRPr="003E425B">
        <w:rPr>
          <w:rFonts w:ascii="Times New Roman" w:hAnsi="Times New Roman"/>
          <w:sz w:val="28"/>
          <w:lang w:val="es-ES" w:eastAsia="es-MX"/>
        </w:rPr>
        <w:t xml:space="preserve"> incidencia f</w:t>
      </w:r>
      <w:r w:rsidRPr="003E425B">
        <w:rPr>
          <w:rFonts w:ascii="Times New Roman" w:hAnsi="Times New Roman"/>
          <w:sz w:val="28"/>
          <w:lang w:val="es-ES" w:eastAsia="es-MX"/>
        </w:rPr>
        <w:t xml:space="preserve">iscal de </w:t>
      </w:r>
      <w:r w:rsidRPr="003E425B">
        <w:rPr>
          <w:rFonts w:ascii="Times New Roman" w:hAnsi="Times New Roman"/>
          <w:sz w:val="28"/>
          <w:lang w:val="es-ES" w:eastAsia="es-MX"/>
        </w:rPr>
        <w:t>la iniciativa</w:t>
      </w:r>
      <w:r w:rsidRPr="003E425B">
        <w:rPr>
          <w:rFonts w:ascii="Times New Roman" w:hAnsi="Times New Roman"/>
          <w:sz w:val="28"/>
          <w:lang w:val="es-ES"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Ttulo4"/>
        <w:numPr>
          <w:ilvl w:val="0"/>
          <w:numId w:val="23"/>
        </w:numPr>
        <w:ind w:hanging="578"/>
        <w:rPr>
          <w:rFonts w:ascii="Times New Roman" w:hAnsi="Times New Roman" w:cs="Times New Roman"/>
          <w:sz w:val="28"/>
          <w:lang w:eastAsia="es-MX"/>
        </w:rPr>
      </w:pPr>
      <w:bookmarkStart w:id="24" w:name="_Ref165375454"/>
      <w:r w:rsidRPr="003E425B">
        <w:rPr>
          <w:rFonts w:ascii="Times New Roman" w:hAnsi="Times New Roman" w:cs="Times New Roman"/>
          <w:sz w:val="28"/>
          <w:lang w:eastAsia="es-MX"/>
        </w:rPr>
        <w:t>El análisis de impacto fiscal en proyectos de ley que proponen la creación de entidades públicas, dependencias o cargos públicos</w:t>
      </w:r>
      <w:bookmarkEnd w:id="24"/>
    </w:p>
    <w:p w:rsidR="002860D7" w:rsidRPr="003E425B" w:rsidRDefault="003E425B" w:rsidP="00010108">
      <w:pPr>
        <w:tabs>
          <w:tab w:val="left" w:pos="567"/>
        </w:tabs>
        <w:rPr>
          <w:rFonts w:ascii="Times New Roman" w:hAnsi="Times New Roman" w:cs="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bookmarkStart w:id="25" w:name="_Ref165375467"/>
      <w:r w:rsidRPr="003E425B">
        <w:rPr>
          <w:rFonts w:ascii="Times New Roman" w:hAnsi="Times New Roman"/>
          <w:sz w:val="28"/>
          <w:lang w:eastAsia="es-MX"/>
        </w:rPr>
        <w:t xml:space="preserve">La Corte Constitucional ha examinado el alcance de la obligación de llevar a cabo el análisis de impacto fiscal de proyectos de ley que crean entidades, dependencias o cargos públicos. En estas decisiones, ha desarrollado criterios para determinar </w:t>
      </w:r>
      <w:r w:rsidRPr="003E425B">
        <w:rPr>
          <w:rFonts w:ascii="Times New Roman" w:hAnsi="Times New Roman"/>
          <w:i/>
          <w:iCs/>
          <w:sz w:val="28"/>
          <w:lang w:eastAsia="es-MX"/>
        </w:rPr>
        <w:t xml:space="preserve">(i) </w:t>
      </w:r>
      <w:r w:rsidRPr="003E425B">
        <w:rPr>
          <w:rFonts w:ascii="Times New Roman" w:hAnsi="Times New Roman"/>
          <w:sz w:val="28"/>
          <w:lang w:eastAsia="es-MX"/>
        </w:rPr>
        <w:t>en q</w:t>
      </w:r>
      <w:r w:rsidRPr="003E425B">
        <w:rPr>
          <w:rFonts w:ascii="Times New Roman" w:hAnsi="Times New Roman"/>
          <w:sz w:val="28"/>
          <w:lang w:eastAsia="es-MX"/>
        </w:rPr>
        <w:t xml:space="preserve">ué casos la creación de una entidad constituye una orden de gasto y </w:t>
      </w:r>
      <w:r w:rsidRPr="003E425B">
        <w:rPr>
          <w:rFonts w:ascii="Times New Roman" w:hAnsi="Times New Roman"/>
          <w:i/>
          <w:iCs/>
          <w:sz w:val="28"/>
          <w:lang w:eastAsia="es-MX"/>
        </w:rPr>
        <w:t>(ii)</w:t>
      </w:r>
      <w:r w:rsidRPr="003E425B">
        <w:rPr>
          <w:rFonts w:ascii="Times New Roman" w:hAnsi="Times New Roman"/>
          <w:sz w:val="28"/>
          <w:lang w:eastAsia="es-MX"/>
        </w:rPr>
        <w:t xml:space="preserve"> el alcance de las obligaciones exigibles al Gobierno Nacional, el MHCP y el Congreso de la República en relación con la identificación y estimación de los referentes básicos del impac</w:t>
      </w:r>
      <w:r w:rsidRPr="003E425B">
        <w:rPr>
          <w:rFonts w:ascii="Times New Roman" w:hAnsi="Times New Roman"/>
          <w:sz w:val="28"/>
          <w:lang w:eastAsia="es-MX"/>
        </w:rPr>
        <w:t>to fiscal. Habida cuenta de que la ley objeto de control en este caso crea el Ministerio de Igualdad y Equidad como organismo de la administración pública nacional, a continuación, la Sala Plena presenta un resumen de esta línea jurisprudencial. En particu</w:t>
      </w:r>
      <w:r w:rsidRPr="003E425B">
        <w:rPr>
          <w:rFonts w:ascii="Times New Roman" w:hAnsi="Times New Roman"/>
          <w:sz w:val="28"/>
          <w:lang w:eastAsia="es-MX"/>
        </w:rPr>
        <w:t>lar, por su similitud con el problema jurídico que corresponde resolver en este caso, la Sala Plena resalta las sentencias C-955 de 2007, C-1011 de 2018, C-540 de 2012, C-154 de 2016, C-133 de 2022 y C-134 de 2023:</w:t>
      </w:r>
      <w:bookmarkEnd w:id="25"/>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i/>
          <w:iCs/>
          <w:sz w:val="28"/>
          <w:lang w:eastAsia="es-MX"/>
        </w:rPr>
        <w:t>Sentencia C-955 de 2007</w:t>
      </w:r>
      <w:r w:rsidRPr="003E425B">
        <w:rPr>
          <w:rFonts w:ascii="Times New Roman" w:hAnsi="Times New Roman"/>
          <w:sz w:val="28"/>
          <w:lang w:eastAsia="es-MX"/>
        </w:rPr>
        <w:t>. La Corte Constitucional examinó, entre otras, los artículos 3º y 8 de la Ley 1122 de 2007, por medio de los cuales el legislador dispuso la creación de la Comisión de Regulación en Salud (CRES) y previó que la entidad se financiaría con “recursos del Fos</w:t>
      </w:r>
      <w:r w:rsidRPr="003E425B">
        <w:rPr>
          <w:rFonts w:ascii="Times New Roman" w:hAnsi="Times New Roman"/>
          <w:sz w:val="28"/>
          <w:lang w:eastAsia="es-MX"/>
        </w:rPr>
        <w:t>yga incluyendo la remuneración de los Comisionados, la Secretaría Técnica y los costos de los estudios técnicos necesarios”. Los demandantes argumentaban que estas disposiciones eran inconstitucionales, porque en el procedimiento legislativo no se cumplier</w:t>
      </w:r>
      <w:r w:rsidRPr="003E425B">
        <w:rPr>
          <w:rFonts w:ascii="Times New Roman" w:hAnsi="Times New Roman"/>
          <w:sz w:val="28"/>
          <w:lang w:eastAsia="es-MX"/>
        </w:rPr>
        <w:t xml:space="preserve">on los deberes que se derivan del artículo 7º de la Ley 819 de 2013. </w:t>
      </w:r>
    </w:p>
    <w:p w:rsidR="002860D7" w:rsidRPr="003E425B" w:rsidRDefault="003E425B" w:rsidP="002F26DC">
      <w:pPr>
        <w:rPr>
          <w:rFonts w:ascii="Times New Roman" w:hAnsi="Times New Roman" w:cs="Times New Roman"/>
          <w:sz w:val="28"/>
          <w:lang w:eastAsia="es-MX"/>
        </w:rPr>
      </w:pPr>
    </w:p>
    <w:p w:rsidR="002860D7" w:rsidRPr="003E425B" w:rsidRDefault="003E425B" w:rsidP="00D46C88">
      <w:pPr>
        <w:pStyle w:val="Prrafodelista"/>
        <w:numPr>
          <w:ilvl w:val="0"/>
          <w:numId w:val="25"/>
        </w:numPr>
        <w:tabs>
          <w:tab w:val="left" w:pos="0"/>
        </w:tabs>
        <w:spacing w:line="240" w:lineRule="auto"/>
        <w:ind w:left="0" w:firstLine="0"/>
        <w:rPr>
          <w:rFonts w:ascii="Times New Roman" w:hAnsi="Times New Roman"/>
          <w:sz w:val="28"/>
          <w:lang w:eastAsia="es-MX"/>
        </w:rPr>
      </w:pPr>
      <w:r w:rsidRPr="003E425B">
        <w:rPr>
          <w:rFonts w:ascii="Times New Roman" w:hAnsi="Times New Roman"/>
          <w:sz w:val="28"/>
          <w:lang w:eastAsia="es-MX"/>
        </w:rPr>
        <w:t>La Corte Constitucional consideró que los artículos 3º y 8º preveían una orden de gasto, porque no existía duda de que la creación de la CRES ciertamente comportaba una erogación presup</w:t>
      </w:r>
      <w:r w:rsidRPr="003E425B">
        <w:rPr>
          <w:rFonts w:ascii="Times New Roman" w:hAnsi="Times New Roman"/>
          <w:sz w:val="28"/>
          <w:lang w:eastAsia="es-MX"/>
        </w:rPr>
        <w:t xml:space="preserve">uestal. Sin embargo, a diferencia de lo sostenido por los demandantes, concluyó que en el trámite legislativo se cumplió con la obligación de analizar el impacto fiscal de la medida. Esto, porque, de un lado, el Congreso de la República </w:t>
      </w:r>
      <w:r w:rsidRPr="003E425B">
        <w:rPr>
          <w:rFonts w:ascii="Times New Roman" w:hAnsi="Times New Roman"/>
          <w:i/>
          <w:sz w:val="28"/>
          <w:lang w:eastAsia="es-MX"/>
        </w:rPr>
        <w:t>(i)</w:t>
      </w:r>
      <w:r w:rsidRPr="003E425B">
        <w:rPr>
          <w:rFonts w:ascii="Times New Roman" w:hAnsi="Times New Roman"/>
          <w:sz w:val="28"/>
          <w:lang w:eastAsia="es-MX"/>
        </w:rPr>
        <w:t xml:space="preserve"> estudió los cos</w:t>
      </w:r>
      <w:r w:rsidRPr="003E425B">
        <w:rPr>
          <w:rFonts w:ascii="Times New Roman" w:hAnsi="Times New Roman"/>
          <w:sz w:val="28"/>
          <w:lang w:eastAsia="es-MX"/>
        </w:rPr>
        <w:t xml:space="preserve">tos fiscales que la creación de la CRES implicaba y </w:t>
      </w:r>
      <w:r w:rsidRPr="003E425B">
        <w:rPr>
          <w:rFonts w:ascii="Times New Roman" w:hAnsi="Times New Roman"/>
          <w:i/>
          <w:iCs/>
          <w:sz w:val="28"/>
          <w:lang w:eastAsia="es-MX"/>
        </w:rPr>
        <w:t>(ii)</w:t>
      </w:r>
      <w:r w:rsidRPr="003E425B">
        <w:rPr>
          <w:rFonts w:ascii="Times New Roman" w:hAnsi="Times New Roman"/>
          <w:sz w:val="28"/>
          <w:lang w:eastAsia="es-MX"/>
        </w:rPr>
        <w:t xml:space="preserve"> dispuso expresamente que dichos costos de creación “</w:t>
      </w:r>
      <w:r w:rsidRPr="003E425B">
        <w:rPr>
          <w:rFonts w:ascii="Times New Roman" w:hAnsi="Times New Roman"/>
          <w:sz w:val="28"/>
          <w:lang w:val="es-ES" w:eastAsia="es-MX"/>
        </w:rPr>
        <w:t>se cubrirían con cargo al FOSYGA, fondo que a su vez se vería incrementado por el aumento en las cotizaciones que sería decretado”. Por otra parte,</w:t>
      </w:r>
      <w:r w:rsidRPr="003E425B">
        <w:rPr>
          <w:rFonts w:ascii="Times New Roman" w:hAnsi="Times New Roman"/>
          <w:sz w:val="28"/>
          <w:lang w:val="es-ES" w:eastAsia="es-MX"/>
        </w:rPr>
        <w:t xml:space="preserve"> el MHCP intervino en el procedimiento legislativo “sin refutar dichas valoraciones, y (…) posteriormente emitió un concepto certificando que el proyecto de ley definía las fuentes para financiar los gastos que generaría específicamente la creación de la C</w:t>
      </w:r>
      <w:r w:rsidRPr="003E425B">
        <w:rPr>
          <w:rFonts w:ascii="Times New Roman" w:hAnsi="Times New Roman"/>
          <w:sz w:val="28"/>
          <w:lang w:val="es-ES" w:eastAsia="es-MX"/>
        </w:rPr>
        <w:t xml:space="preserve">omisión de Regulación en Salud”. </w:t>
      </w:r>
    </w:p>
    <w:p w:rsidR="002860D7" w:rsidRPr="003E425B" w:rsidRDefault="003E425B" w:rsidP="00010108">
      <w:pPr>
        <w:rPr>
          <w:rFonts w:ascii="Times New Roman" w:hAnsi="Times New Roman" w:cs="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iCs/>
          <w:sz w:val="28"/>
          <w:lang w:eastAsia="es-MX"/>
        </w:rPr>
      </w:pPr>
      <w:r w:rsidRPr="003E425B">
        <w:rPr>
          <w:rFonts w:ascii="Times New Roman" w:hAnsi="Times New Roman"/>
          <w:i/>
          <w:iCs/>
          <w:sz w:val="28"/>
          <w:lang w:eastAsia="es-MX"/>
        </w:rPr>
        <w:t>C-1011 de 2008</w:t>
      </w:r>
      <w:r w:rsidRPr="003E425B">
        <w:rPr>
          <w:rFonts w:ascii="Times New Roman" w:hAnsi="Times New Roman"/>
          <w:sz w:val="28"/>
          <w:lang w:eastAsia="es-MX"/>
        </w:rPr>
        <w:t xml:space="preserve">. La Corte Constitucional llevó a cabo el control constitucional automático del </w:t>
      </w:r>
      <w:r w:rsidRPr="003E425B">
        <w:rPr>
          <w:rFonts w:ascii="Times New Roman" w:hAnsi="Times New Roman"/>
          <w:bCs/>
          <w:sz w:val="28"/>
          <w:lang w:eastAsia="es-MX"/>
        </w:rPr>
        <w:t xml:space="preserve">Proyecto de Ley Estatutaria No. 27/06 Senado – 221/07 Cámara (Acum. 05/06 Senado) </w:t>
      </w:r>
      <w:r w:rsidRPr="003E425B">
        <w:rPr>
          <w:rFonts w:ascii="Times New Roman" w:hAnsi="Times New Roman"/>
          <w:bCs/>
          <w:iCs/>
          <w:sz w:val="28"/>
          <w:lang w:eastAsia="es-MX"/>
        </w:rPr>
        <w:t>“por la cual se dictan las disposiciones gene</w:t>
      </w:r>
      <w:r w:rsidRPr="003E425B">
        <w:rPr>
          <w:rFonts w:ascii="Times New Roman" w:hAnsi="Times New Roman"/>
          <w:bCs/>
          <w:iCs/>
          <w:sz w:val="28"/>
          <w:lang w:eastAsia="es-MX"/>
        </w:rPr>
        <w:t>rales del hábeas data (…)”. El artículo 20 del proyecto de ley disponía que, en el término de seis meses siguientes a la entrada en vig</w:t>
      </w:r>
      <w:r w:rsidRPr="003E425B">
        <w:rPr>
          <w:rFonts w:ascii="Times New Roman" w:hAnsi="Times New Roman"/>
          <w:bCs/>
          <w:iCs/>
          <w:sz w:val="28"/>
          <w:lang w:eastAsia="es-MX"/>
        </w:rPr>
        <w:t>or</w:t>
      </w:r>
      <w:r w:rsidRPr="003E425B">
        <w:rPr>
          <w:rFonts w:ascii="Times New Roman" w:hAnsi="Times New Roman"/>
          <w:bCs/>
          <w:iCs/>
          <w:sz w:val="28"/>
          <w:lang w:eastAsia="es-MX"/>
        </w:rPr>
        <w:t xml:space="preserve"> de la ley, el Gobierno Nacional adoptaría las medidas necesarias para “adecuar la estructura de las Superintendencias </w:t>
      </w:r>
      <w:r w:rsidRPr="003E425B">
        <w:rPr>
          <w:rFonts w:ascii="Times New Roman" w:hAnsi="Times New Roman"/>
          <w:bCs/>
          <w:iCs/>
          <w:sz w:val="28"/>
          <w:lang w:eastAsia="es-MX"/>
        </w:rPr>
        <w:t>de Industria, Comercio y Financiera, dotándolas de la capacidad presupuestal y técnica necesaria para cumplir con dichas funciones [vigilancia y sanción]”. La Corte consideró que la norma no establecía “un mandato imperativo de gasto público o una orden co</w:t>
      </w:r>
      <w:r w:rsidRPr="003E425B">
        <w:rPr>
          <w:rFonts w:ascii="Times New Roman" w:hAnsi="Times New Roman"/>
          <w:bCs/>
          <w:iCs/>
          <w:sz w:val="28"/>
          <w:lang w:eastAsia="es-MX"/>
        </w:rPr>
        <w:t>ncreta de erogación a cargo del Estado, sino que, en contrario, se limita[ba] a autorizar al Gobierno Nacional para que reali[zara] los arreglos presupuestales a fin de dotar a las Superintendencias Financiera y de Industria y Comercio de los recursos para</w:t>
      </w:r>
      <w:r w:rsidRPr="003E425B">
        <w:rPr>
          <w:rFonts w:ascii="Times New Roman" w:hAnsi="Times New Roman"/>
          <w:bCs/>
          <w:iCs/>
          <w:sz w:val="28"/>
          <w:lang w:eastAsia="es-MX"/>
        </w:rPr>
        <w:t xml:space="preserve"> cumplir con las funciones que le adscribe la ley estatutaria”. Por esta razón, consideró que el análisis de impacto fiscal no era exigible. </w:t>
      </w:r>
    </w:p>
    <w:p w:rsidR="002860D7" w:rsidRPr="003E425B" w:rsidRDefault="003E425B" w:rsidP="00010108">
      <w:pPr>
        <w:rPr>
          <w:rFonts w:ascii="Times New Roman" w:hAnsi="Times New Roman" w:cs="Times New Roman"/>
          <w:iCs/>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
          <w:iCs/>
          <w:sz w:val="28"/>
          <w:lang w:eastAsia="es-MX"/>
        </w:rPr>
        <w:t>Sentencia C-540 de 2012</w:t>
      </w:r>
      <w:r w:rsidRPr="003E425B">
        <w:rPr>
          <w:rFonts w:ascii="Times New Roman" w:hAnsi="Times New Roman"/>
          <w:sz w:val="28"/>
          <w:lang w:eastAsia="es-MX"/>
        </w:rPr>
        <w:t>. La Corte llevó a cabo el control automático de constitucionalidad del Proyecto de Ley Es</w:t>
      </w:r>
      <w:r w:rsidRPr="003E425B">
        <w:rPr>
          <w:rFonts w:ascii="Times New Roman" w:hAnsi="Times New Roman"/>
          <w:sz w:val="28"/>
          <w:lang w:eastAsia="es-MX"/>
        </w:rPr>
        <w:t>tatutaria No. 263 de 2011 (Senado), 195 de 2011 (Cámara), “por medio del cual se expiden normas para fortalecer el marco jurídico que permite a los organismos que llevan a cabo actividades de inteligencia y contrainteligencia cumplir con su misión constitu</w:t>
      </w:r>
      <w:r w:rsidRPr="003E425B">
        <w:rPr>
          <w:rFonts w:ascii="Times New Roman" w:hAnsi="Times New Roman"/>
          <w:sz w:val="28"/>
          <w:lang w:eastAsia="es-MX"/>
        </w:rPr>
        <w:t xml:space="preserve">cional y legal, y se dictan otras disposiciones”. La Sala Plena advirtió que el artículo 20 del proyecto de ley creaba la Comisión Legal de Seguimiento a las Actividades de Inteligencia y Contrainteligencia, lo que “implica una erogación presupuestal”. En </w:t>
      </w:r>
      <w:r w:rsidRPr="003E425B">
        <w:rPr>
          <w:rFonts w:ascii="Times New Roman" w:hAnsi="Times New Roman"/>
          <w:sz w:val="28"/>
          <w:lang w:eastAsia="es-MX"/>
        </w:rPr>
        <w:t>este sentido, consideró que era exigible la obligación prevista en el artículo 7º de la Ley 819 de 2003. Con todo, l</w:t>
      </w:r>
      <w:r w:rsidRPr="003E425B">
        <w:rPr>
          <w:rFonts w:ascii="Times New Roman" w:hAnsi="Times New Roman"/>
          <w:sz w:val="28"/>
          <w:lang w:val="es-ES" w:eastAsia="es-MX"/>
        </w:rPr>
        <w:t xml:space="preserve">a Corte encontró que esta obligación se satisfizo porque </w:t>
      </w:r>
      <w:r w:rsidRPr="003E425B">
        <w:rPr>
          <w:rFonts w:ascii="Times New Roman" w:hAnsi="Times New Roman"/>
          <w:i/>
          <w:iCs/>
          <w:sz w:val="28"/>
          <w:lang w:val="es-ES" w:eastAsia="es-MX"/>
        </w:rPr>
        <w:t>(i)</w:t>
      </w:r>
      <w:r w:rsidRPr="003E425B">
        <w:rPr>
          <w:rFonts w:ascii="Times New Roman" w:hAnsi="Times New Roman"/>
          <w:sz w:val="28"/>
          <w:lang w:eastAsia="es-MX"/>
        </w:rPr>
        <w:t xml:space="preserve"> los congresistas deliberaron sobre el impacto fiscal del proyecto y </w:t>
      </w:r>
      <w:r w:rsidRPr="003E425B">
        <w:rPr>
          <w:rFonts w:ascii="Times New Roman" w:hAnsi="Times New Roman"/>
          <w:i/>
          <w:iCs/>
          <w:sz w:val="28"/>
          <w:lang w:eastAsia="es-MX"/>
        </w:rPr>
        <w:t>(ii)</w:t>
      </w:r>
      <w:r w:rsidRPr="003E425B">
        <w:rPr>
          <w:rFonts w:ascii="Times New Roman" w:hAnsi="Times New Roman"/>
          <w:sz w:val="28"/>
          <w:lang w:eastAsia="es-MX"/>
        </w:rPr>
        <w:t xml:space="preserve"> el MHC</w:t>
      </w:r>
      <w:r w:rsidRPr="003E425B">
        <w:rPr>
          <w:rFonts w:ascii="Times New Roman" w:hAnsi="Times New Roman"/>
          <w:sz w:val="28"/>
          <w:lang w:eastAsia="es-MX"/>
        </w:rPr>
        <w:t>P otorgó el aval respecto de la erogación que generaba la creación de la comisión.</w:t>
      </w:r>
    </w:p>
    <w:p w:rsidR="002860D7" w:rsidRPr="003E425B" w:rsidRDefault="003E425B" w:rsidP="00010108">
      <w:pPr>
        <w:rPr>
          <w:rFonts w:ascii="Times New Roman" w:hAnsi="Times New Roman" w:cs="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
          <w:iCs/>
          <w:sz w:val="28"/>
          <w:lang w:eastAsia="es-MX"/>
        </w:rPr>
        <w:t>Sentencia C-154 de 2016</w:t>
      </w:r>
      <w:r w:rsidRPr="003E425B">
        <w:rPr>
          <w:rFonts w:ascii="Times New Roman" w:hAnsi="Times New Roman"/>
          <w:sz w:val="28"/>
          <w:lang w:eastAsia="es-MX"/>
        </w:rPr>
        <w:t>. La Corte Constitucional llevó a cabo el control automático de constitucionalidad del Proyecto de Ley Estatutaria número 187 de 2014 Cámara y número</w:t>
      </w:r>
      <w:r w:rsidRPr="003E425B">
        <w:rPr>
          <w:rFonts w:ascii="Times New Roman" w:hAnsi="Times New Roman"/>
          <w:sz w:val="28"/>
          <w:lang w:eastAsia="es-MX"/>
        </w:rPr>
        <w:t xml:space="preserve"> 078 de 2014 Senado, “[p]or la cual se modifican los artículos 15 y 16 de la Ley 270 de 1996, Estatutaria de la Administración de Justicia”. El artículo 2º de la norma creó cuatro Salas de Descongestión Laboral en la Corte Suprema de Justicia. Por su parte</w:t>
      </w:r>
      <w:r w:rsidRPr="003E425B">
        <w:rPr>
          <w:rFonts w:ascii="Times New Roman" w:hAnsi="Times New Roman"/>
          <w:sz w:val="28"/>
          <w:lang w:eastAsia="es-MX"/>
        </w:rPr>
        <w:t>, el artículo 3º dispuso que los recursos para su creación “provendrían de los ahorros que se generaran por la supresión o modificación de otras dependencias de la Rama Judicial que autorice la Constitución o la ley, manteniendo los cupos vigentes de gasto</w:t>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lang w:eastAsia="es-MX"/>
        </w:rPr>
        <w:t>La Corte Constitucional constató que el artículo 2º preveía una orden de gasto imperativa, por lo que resultaba exigible el análisis de impacto fiscal. Con todo, la Sala Plena declaró la constitucionalidad de la norma porque comprobó que “durante todo</w:t>
      </w:r>
      <w:r w:rsidRPr="003E425B">
        <w:rPr>
          <w:rFonts w:ascii="Times New Roman" w:hAnsi="Times New Roman"/>
          <w:sz w:val="28"/>
          <w:lang w:eastAsia="es-MX"/>
        </w:rPr>
        <w:t xml:space="preserve"> el trámite legislativo, las ponencias que sirvieron de fundamento a los debates tanto en comisión como en Plenaria tuvieron en cuenta este aspecto fiscal”. En dichos documentos, se incluyó una sección denominada “valoración del costo” que precisaba el “</w:t>
      </w:r>
      <w:r w:rsidRPr="003E425B">
        <w:rPr>
          <w:rFonts w:ascii="Times New Roman" w:hAnsi="Times New Roman"/>
          <w:sz w:val="28"/>
          <w:lang w:val="es-ES_tradnl" w:eastAsia="es-MX"/>
        </w:rPr>
        <w:t>va</w:t>
      </w:r>
      <w:r w:rsidRPr="003E425B">
        <w:rPr>
          <w:rFonts w:ascii="Times New Roman" w:hAnsi="Times New Roman"/>
          <w:sz w:val="28"/>
          <w:lang w:val="es-ES_tradnl" w:eastAsia="es-MX"/>
        </w:rPr>
        <w:t xml:space="preserve">lor de cada uno de los cargos que conformaría las 4 salas de descongestión y su proyección anual”. Además, el </w:t>
      </w:r>
      <w:r w:rsidRPr="003E425B">
        <w:rPr>
          <w:rFonts w:ascii="Times New Roman" w:hAnsi="Times New Roman"/>
          <w:sz w:val="28"/>
          <w:lang w:eastAsia="es-MX"/>
        </w:rPr>
        <w:t>Gobierno Nacional, a través del MHCP, estimó el costo de la implementación de la iniciativa legislativa. Por otra parte, la Corte Constitucional e</w:t>
      </w:r>
      <w:r w:rsidRPr="003E425B">
        <w:rPr>
          <w:rFonts w:ascii="Times New Roman" w:hAnsi="Times New Roman"/>
          <w:sz w:val="28"/>
          <w:lang w:eastAsia="es-MX"/>
        </w:rPr>
        <w:t xml:space="preserve">ncontró que, en el marco del procedimiento legislativo, los congresistas precisaron que la fuente de ingresos adicional para financiar las salas de descongestión provendría del Fondo para la Modernización, Descongestión y Bienestar de la Administración de </w:t>
      </w:r>
      <w:r w:rsidRPr="003E425B">
        <w:rPr>
          <w:rFonts w:ascii="Times New Roman" w:hAnsi="Times New Roman"/>
          <w:sz w:val="28"/>
          <w:lang w:eastAsia="es-MX"/>
        </w:rPr>
        <w:t xml:space="preserve">Justicia. </w:t>
      </w:r>
    </w:p>
    <w:p w:rsidR="002860D7" w:rsidRPr="003E425B" w:rsidRDefault="003E425B" w:rsidP="00010108">
      <w:pPr>
        <w:rPr>
          <w:rFonts w:ascii="Times New Roman" w:hAnsi="Times New Roman" w:cs="Times New Roman"/>
          <w:iCs/>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
          <w:sz w:val="28"/>
          <w:lang w:eastAsia="es-MX"/>
        </w:rPr>
        <w:t>Sentencia C-051 de 2018</w:t>
      </w:r>
      <w:r w:rsidRPr="003E425B">
        <w:rPr>
          <w:rFonts w:ascii="Times New Roman" w:hAnsi="Times New Roman"/>
          <w:sz w:val="28"/>
          <w:lang w:eastAsia="es-MX"/>
        </w:rPr>
        <w:t>. La Corte Constitucional examinó la constitucionalidad del Proyecto de Ley 122 de 2016 Senado y 211 de 2016 Cámara, objetado por el Gobierno nacional, “</w:t>
      </w:r>
      <w:r w:rsidRPr="003E425B">
        <w:rPr>
          <w:rFonts w:ascii="Times New Roman" w:hAnsi="Times New Roman"/>
          <w:iCs/>
          <w:sz w:val="28"/>
          <w:lang w:val="es-ES_tradnl" w:eastAsia="es-MX"/>
        </w:rPr>
        <w:t xml:space="preserve">[p]or la cual se establece la naturaleza y régimen jurídico de la </w:t>
      </w:r>
      <w:r w:rsidRPr="003E425B">
        <w:rPr>
          <w:rFonts w:ascii="Times New Roman" w:hAnsi="Times New Roman"/>
          <w:iCs/>
          <w:sz w:val="28"/>
          <w:lang w:val="es-ES_tradnl" w:eastAsia="es-MX"/>
        </w:rPr>
        <w:t>Fundación Universitaria Internacional del Trópico Americano”</w:t>
      </w:r>
      <w:r w:rsidRPr="003E425B">
        <w:rPr>
          <w:rFonts w:ascii="Times New Roman" w:hAnsi="Times New Roman"/>
          <w:i/>
          <w:iCs/>
          <w:sz w:val="28"/>
          <w:lang w:val="es-ES_tradnl" w:eastAsia="es-MX"/>
        </w:rPr>
        <w:t xml:space="preserve">. </w:t>
      </w:r>
      <w:r w:rsidRPr="003E425B">
        <w:rPr>
          <w:rFonts w:ascii="Times New Roman" w:hAnsi="Times New Roman"/>
          <w:iCs/>
          <w:sz w:val="28"/>
          <w:lang w:val="es-ES_tradnl" w:eastAsia="es-MX"/>
        </w:rPr>
        <w:t xml:space="preserve">El Gobierno Nacional objetó por inconstitucional el proyecto de ley por “falta de cumplimiento de análisis fiscal”. En su criterio, </w:t>
      </w:r>
      <w:r w:rsidRPr="003E425B">
        <w:rPr>
          <w:rFonts w:ascii="Times New Roman" w:hAnsi="Times New Roman"/>
          <w:iCs/>
          <w:sz w:val="28"/>
          <w:lang w:val="es-ES_tradnl" w:eastAsia="es-MX"/>
        </w:rPr>
        <w:t xml:space="preserve">en </w:t>
      </w:r>
      <w:r w:rsidRPr="003E425B">
        <w:rPr>
          <w:rFonts w:ascii="Times New Roman" w:hAnsi="Times New Roman"/>
          <w:iCs/>
          <w:sz w:val="28"/>
          <w:lang w:val="es-ES_tradnl" w:eastAsia="es-MX"/>
        </w:rPr>
        <w:t xml:space="preserve">la norma el Congreso de la República había desconocido </w:t>
      </w:r>
      <w:r w:rsidRPr="003E425B">
        <w:rPr>
          <w:rFonts w:ascii="Times New Roman" w:hAnsi="Times New Roman"/>
          <w:iCs/>
          <w:sz w:val="28"/>
          <w:lang w:eastAsia="es-MX"/>
        </w:rPr>
        <w:t xml:space="preserve">los </w:t>
      </w:r>
      <w:r w:rsidRPr="003E425B">
        <w:rPr>
          <w:rFonts w:ascii="Times New Roman" w:hAnsi="Times New Roman"/>
          <w:iCs/>
          <w:sz w:val="28"/>
          <w:lang w:eastAsia="es-MX"/>
        </w:rPr>
        <w:t>artículos 334 C.P. y 7 de la Ley 819 de 2003, debido a que en el trámite legislativo “no se analizaron los costos fiscales de la medida que se pretende adoptar, pese a que genera un impacto considerable en las finanzas públicas (…) pues creaba una universi</w:t>
      </w:r>
      <w:r w:rsidRPr="003E425B">
        <w:rPr>
          <w:rFonts w:ascii="Times New Roman" w:hAnsi="Times New Roman"/>
          <w:iCs/>
          <w:sz w:val="28"/>
          <w:lang w:eastAsia="es-MX"/>
        </w:rPr>
        <w:t xml:space="preserve">dad pública”. </w:t>
      </w:r>
    </w:p>
    <w:p w:rsidR="002860D7" w:rsidRPr="003E425B" w:rsidRDefault="003E425B" w:rsidP="00010108">
      <w:pPr>
        <w:rPr>
          <w:rFonts w:ascii="Times New Roman" w:hAnsi="Times New Roman" w:cs="Times New Roman"/>
          <w:iCs/>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Cs/>
          <w:sz w:val="28"/>
          <w:lang w:eastAsia="es-MX"/>
        </w:rPr>
        <w:t>La Corte Constitucional consideró que el análisis de impacto fiscal no era exigible, puesto que la ley no preveía una orden de gasto, sino una mera autorización. Esto último, porque los artículos 1 y 2º disponían de forma expresa que el obj</w:t>
      </w:r>
      <w:r w:rsidRPr="003E425B">
        <w:rPr>
          <w:rFonts w:ascii="Times New Roman" w:hAnsi="Times New Roman"/>
          <w:iCs/>
          <w:sz w:val="28"/>
          <w:lang w:eastAsia="es-MX"/>
        </w:rPr>
        <w:t xml:space="preserve">eto del proyecto de ley era “autorizar a </w:t>
      </w:r>
      <w:r w:rsidRPr="003E425B">
        <w:rPr>
          <w:rFonts w:ascii="Times New Roman" w:hAnsi="Times New Roman"/>
          <w:iCs/>
          <w:sz w:val="28"/>
          <w:lang w:val="es-ES_tradnl" w:eastAsia="es-MX"/>
        </w:rPr>
        <w:t>la Asamblea del departamento de Casanare a oficializar e incorporar en la estructura administrativa del departamento a la Fundación Universitaria Internacional del Trópico Americano”. En este sentido, concluyó que l</w:t>
      </w:r>
      <w:r w:rsidRPr="003E425B">
        <w:rPr>
          <w:rFonts w:ascii="Times New Roman" w:hAnsi="Times New Roman"/>
          <w:iCs/>
          <w:sz w:val="28"/>
          <w:lang w:val="es-ES_tradnl" w:eastAsia="es-MX"/>
        </w:rPr>
        <w:t xml:space="preserve">a norma no </w:t>
      </w:r>
      <w:r w:rsidRPr="003E425B">
        <w:rPr>
          <w:rFonts w:ascii="Times New Roman" w:hAnsi="Times New Roman"/>
          <w:iCs/>
          <w:sz w:val="28"/>
          <w:lang w:eastAsia="es-MX"/>
        </w:rPr>
        <w:t xml:space="preserve">“constituye, transforma ni otorga carácter público al Centro Educativo en mención”, sino que únicamente “pretende de manera general establecer la naturaleza y régimen jurídico de la Fundación Universitaria Internacional del Trópico Americano”.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
          <w:iCs/>
          <w:sz w:val="28"/>
          <w:lang w:eastAsia="es-MX"/>
        </w:rPr>
        <w:t>Sentencia C-133 de 2022</w:t>
      </w:r>
      <w:r w:rsidRPr="003E425B">
        <w:rPr>
          <w:rFonts w:ascii="Times New Roman" w:hAnsi="Times New Roman"/>
          <w:sz w:val="28"/>
          <w:lang w:eastAsia="es-MX"/>
        </w:rPr>
        <w:t>. La Corte Constitucional llevó a cabo el control automático de constitucionalidad del Proyecto de Ley Estatutaria No. 234 de 2020 Senado, 409 de 2020 Cámara, “por la cual se expide el Código Electoral Colombiano y se dictan otras d</w:t>
      </w:r>
      <w:r w:rsidRPr="003E425B">
        <w:rPr>
          <w:rFonts w:ascii="Times New Roman" w:hAnsi="Times New Roman"/>
          <w:sz w:val="28"/>
          <w:lang w:eastAsia="es-MX"/>
        </w:rPr>
        <w:t xml:space="preserve">isposiciones”. La Corte Constitucional consideró que las siguientes disposiciones constituían “no solo </w:t>
      </w:r>
      <w:r w:rsidRPr="003E425B">
        <w:rPr>
          <w:rFonts w:ascii="Times New Roman" w:hAnsi="Times New Roman"/>
          <w:i/>
          <w:iCs/>
          <w:sz w:val="28"/>
          <w:lang w:eastAsia="es-MX"/>
        </w:rPr>
        <w:t xml:space="preserve">autorizaciones </w:t>
      </w:r>
      <w:r w:rsidRPr="003E425B">
        <w:rPr>
          <w:rFonts w:ascii="Times New Roman" w:hAnsi="Times New Roman"/>
          <w:sz w:val="28"/>
          <w:lang w:eastAsia="es-MX"/>
        </w:rPr>
        <w:t xml:space="preserve">sino verdaderas </w:t>
      </w:r>
      <w:r w:rsidRPr="003E425B">
        <w:rPr>
          <w:rFonts w:ascii="Times New Roman" w:hAnsi="Times New Roman"/>
          <w:i/>
          <w:iCs/>
          <w:sz w:val="28"/>
          <w:lang w:eastAsia="es-MX"/>
        </w:rPr>
        <w:t>órdenes de gasto</w:t>
      </w:r>
      <w:r w:rsidRPr="003E425B">
        <w:rPr>
          <w:rFonts w:ascii="Times New Roman" w:hAnsi="Times New Roman"/>
          <w:sz w:val="28"/>
          <w:lang w:eastAsia="es-MX"/>
        </w:rPr>
        <w:t xml:space="preserve">” y, por lo tanto, para su aprobación debía haberse cumplido con la obligación prevista en el artículo 7º </w:t>
      </w:r>
      <w:r w:rsidRPr="003E425B">
        <w:rPr>
          <w:rFonts w:ascii="Times New Roman" w:hAnsi="Times New Roman"/>
          <w:sz w:val="28"/>
          <w:lang w:eastAsia="es-MX"/>
        </w:rPr>
        <w:t xml:space="preserve">de la Ley 819 de 2003: </w:t>
      </w:r>
      <w:r w:rsidRPr="003E425B">
        <w:rPr>
          <w:rFonts w:ascii="Times New Roman" w:hAnsi="Times New Roman"/>
          <w:i/>
          <w:iCs/>
          <w:sz w:val="28"/>
          <w:lang w:eastAsia="es-MX"/>
        </w:rPr>
        <w:t>(i)</w:t>
      </w:r>
      <w:r w:rsidRPr="003E425B">
        <w:rPr>
          <w:rFonts w:ascii="Times New Roman" w:hAnsi="Times New Roman"/>
          <w:sz w:val="28"/>
          <w:lang w:eastAsia="es-MX"/>
        </w:rPr>
        <w:t xml:space="preserve"> los artículos 13, 24 y 25, los cuales disponían ajustes a la nómina con la creación de nuevos servidores, </w:t>
      </w:r>
      <w:r w:rsidRPr="003E425B">
        <w:rPr>
          <w:rFonts w:ascii="Times New Roman" w:hAnsi="Times New Roman"/>
          <w:i/>
          <w:iCs/>
          <w:sz w:val="28"/>
          <w:lang w:eastAsia="es-MX"/>
        </w:rPr>
        <w:t>(ii)</w:t>
      </w:r>
      <w:r w:rsidRPr="003E425B">
        <w:rPr>
          <w:rFonts w:ascii="Times New Roman" w:hAnsi="Times New Roman"/>
          <w:sz w:val="28"/>
          <w:lang w:eastAsia="es-MX"/>
        </w:rPr>
        <w:t xml:space="preserve"> el artículo 15, el cual autorizaba reconfigurar los órganos existentes, como sucede por ejemplo con el CNE, al cual se</w:t>
      </w:r>
      <w:r w:rsidRPr="003E425B">
        <w:rPr>
          <w:rFonts w:ascii="Times New Roman" w:hAnsi="Times New Roman"/>
          <w:sz w:val="28"/>
          <w:lang w:eastAsia="es-MX"/>
        </w:rPr>
        <w:t xml:space="preserve"> le permitía, previa modificación de su reglamento interno, “(…) crear salas de instrucción, unipersonales o plurales, de primera y segunda instancia, manteniendo el esquema de nueve (9) magistrados pero separados en cada una de las instancias” (art. 15, p</w:t>
      </w:r>
      <w:r w:rsidRPr="003E425B">
        <w:rPr>
          <w:rFonts w:ascii="Times New Roman" w:hAnsi="Times New Roman"/>
          <w:sz w:val="28"/>
          <w:lang w:eastAsia="es-MX"/>
        </w:rPr>
        <w:t xml:space="preserve">ar 5) y </w:t>
      </w:r>
      <w:r w:rsidRPr="003E425B">
        <w:rPr>
          <w:rFonts w:ascii="Times New Roman" w:hAnsi="Times New Roman"/>
          <w:i/>
          <w:iCs/>
          <w:sz w:val="28"/>
          <w:lang w:eastAsia="es-MX"/>
        </w:rPr>
        <w:t>(iii)</w:t>
      </w:r>
      <w:r w:rsidRPr="003E425B">
        <w:rPr>
          <w:rFonts w:ascii="Times New Roman" w:hAnsi="Times New Roman"/>
          <w:sz w:val="28"/>
          <w:lang w:eastAsia="es-MX"/>
        </w:rPr>
        <w:t xml:space="preserve"> el artículo 272, el cual vinculaba los registradores en el nivel territorial a la estructura de planta de la RNEC.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rPr>
        <w:t xml:space="preserve">La Corte Constitucional encontró que el Congreso de la República no cumplió con el deber de </w:t>
      </w:r>
      <w:r w:rsidRPr="003E425B">
        <w:rPr>
          <w:rFonts w:ascii="Times New Roman" w:hAnsi="Times New Roman"/>
          <w:sz w:val="28"/>
        </w:rPr>
        <w:t>analizar</w:t>
      </w:r>
      <w:r w:rsidRPr="003E425B">
        <w:rPr>
          <w:rFonts w:ascii="Times New Roman" w:hAnsi="Times New Roman"/>
          <w:sz w:val="28"/>
        </w:rPr>
        <w:t xml:space="preserve"> el impacto fiscal de est</w:t>
      </w:r>
      <w:r w:rsidRPr="003E425B">
        <w:rPr>
          <w:rFonts w:ascii="Times New Roman" w:hAnsi="Times New Roman"/>
          <w:sz w:val="28"/>
        </w:rPr>
        <w:t>as medidas. La Sala Plena reconoció que el artículo 265 del proyecto de ley disponía que, en cada proyecto de ley anual de presupuesto que se presente al Congreso, se debían establecer las apropiaciones necesarias para cumplir con las órdenes de gasto y lo</w:t>
      </w:r>
      <w:r w:rsidRPr="003E425B">
        <w:rPr>
          <w:rFonts w:ascii="Times New Roman" w:hAnsi="Times New Roman"/>
          <w:sz w:val="28"/>
        </w:rPr>
        <w:t>s beneficios tributarios que se creaban con ocasión del nuevo Código Electoral. Sin embargo, consideró que tal disposición no permitía acreditar que se hubiera examinado el impacto fiscal de las medidas. En criterio de la Corte, esta disposición “no deja[b</w:t>
      </w:r>
      <w:r w:rsidRPr="003E425B">
        <w:rPr>
          <w:rFonts w:ascii="Times New Roman" w:hAnsi="Times New Roman"/>
          <w:sz w:val="28"/>
        </w:rPr>
        <w:t>a] de ser un mero título habilitante para cumplir con el principio de legalidad en la formulación del presupuesto anual, en los términos del artículo 346 superior; pero que, en realidad, no valora el impacto fiscal que se genera, ni plantea un referente bá</w:t>
      </w:r>
      <w:r w:rsidRPr="003E425B">
        <w:rPr>
          <w:rFonts w:ascii="Times New Roman" w:hAnsi="Times New Roman"/>
          <w:sz w:val="28"/>
        </w:rPr>
        <w:t>sico sobre lo que cuesta la reforma económicamente para el país y, peor aún, no brinda ni el detalle ni la precisión básica sobre las fuentes para asumir los compromisos que se asignan, como exigencias mínimas que se imponen cuando una iniciativa es propue</w:t>
      </w:r>
      <w:r w:rsidRPr="003E425B">
        <w:rPr>
          <w:rFonts w:ascii="Times New Roman" w:hAnsi="Times New Roman"/>
          <w:sz w:val="28"/>
        </w:rPr>
        <w:t xml:space="preserve">sta desde el Gobierno Nacional, como ocurre en el presente caso”. </w:t>
      </w:r>
    </w:p>
    <w:p w:rsidR="002860D7" w:rsidRPr="003E425B" w:rsidRDefault="003E425B" w:rsidP="00010108">
      <w:pPr>
        <w:rPr>
          <w:rFonts w:ascii="Times New Roman" w:hAnsi="Times New Roman" w:cs="Times New Roman"/>
          <w:iCs/>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
          <w:iCs/>
          <w:sz w:val="28"/>
          <w:lang w:eastAsia="es-MX"/>
        </w:rPr>
        <w:t>Sentencia C-134 de 2023</w:t>
      </w:r>
      <w:r w:rsidRPr="003E425B">
        <w:rPr>
          <w:rFonts w:ascii="Times New Roman" w:hAnsi="Times New Roman"/>
          <w:sz w:val="28"/>
          <w:lang w:eastAsia="es-MX"/>
        </w:rPr>
        <w:t xml:space="preserve">. En la sentencia C-134 de 2023, la Corte Constitucional examinó la constitucionalidad del </w:t>
      </w:r>
      <w:r w:rsidRPr="003E425B">
        <w:rPr>
          <w:rFonts w:ascii="Times New Roman" w:hAnsi="Times New Roman"/>
          <w:sz w:val="28"/>
          <w:lang w:val="es-ES" w:eastAsia="es-MX"/>
        </w:rPr>
        <w:t>Proyecto de Ley Estatutaria 295 de 2020 Cámara (acumulado con los proyecto</w:t>
      </w:r>
      <w:r w:rsidRPr="003E425B">
        <w:rPr>
          <w:rFonts w:ascii="Times New Roman" w:hAnsi="Times New Roman"/>
          <w:sz w:val="28"/>
          <w:lang w:val="es-ES" w:eastAsia="es-MX"/>
        </w:rPr>
        <w:t>s de ley 430 y 468 de 2020 Cámara) – 475 de 2021 Senado, “[p]or medio de la cual se modifica la ley 270 de 1996 – Estatutaria de la Administración de Justicia”. La Sala Plena advirtió que múltiples disposiciones del proyecto de ley disponían la creación de</w:t>
      </w:r>
      <w:r w:rsidRPr="003E425B">
        <w:rPr>
          <w:rFonts w:ascii="Times New Roman" w:hAnsi="Times New Roman"/>
          <w:sz w:val="28"/>
          <w:lang w:val="es-ES" w:eastAsia="es-MX"/>
        </w:rPr>
        <w:t xml:space="preserve"> dependencias, cargos o entidades en la Rama Judicial y examinó si </w:t>
      </w:r>
      <w:r w:rsidRPr="003E425B">
        <w:rPr>
          <w:rFonts w:ascii="Times New Roman" w:hAnsi="Times New Roman"/>
          <w:i/>
          <w:sz w:val="28"/>
          <w:lang w:val="es-ES" w:eastAsia="es-MX"/>
        </w:rPr>
        <w:t>(i)</w:t>
      </w:r>
      <w:r w:rsidRPr="003E425B">
        <w:rPr>
          <w:rFonts w:ascii="Times New Roman" w:hAnsi="Times New Roman"/>
          <w:sz w:val="28"/>
          <w:lang w:val="es-ES" w:eastAsia="es-MX"/>
        </w:rPr>
        <w:t xml:space="preserve"> estas normas constituían </w:t>
      </w:r>
      <w:r w:rsidRPr="003E425B">
        <w:rPr>
          <w:rFonts w:ascii="Times New Roman" w:hAnsi="Times New Roman"/>
          <w:sz w:val="28"/>
          <w:lang w:val="es-ES" w:eastAsia="es-MX"/>
        </w:rPr>
        <w:t>ó</w:t>
      </w:r>
      <w:r w:rsidRPr="003E425B">
        <w:rPr>
          <w:rFonts w:ascii="Times New Roman" w:hAnsi="Times New Roman"/>
          <w:sz w:val="28"/>
          <w:lang w:val="es-ES" w:eastAsia="es-MX"/>
        </w:rPr>
        <w:t xml:space="preserve">rdenes de gasto y </w:t>
      </w:r>
      <w:r w:rsidRPr="003E425B">
        <w:rPr>
          <w:rFonts w:ascii="Times New Roman" w:hAnsi="Times New Roman"/>
          <w:i/>
          <w:sz w:val="28"/>
          <w:lang w:val="es-ES" w:eastAsia="es-MX"/>
        </w:rPr>
        <w:t>(ii)</w:t>
      </w:r>
      <w:r w:rsidRPr="003E425B">
        <w:rPr>
          <w:rFonts w:ascii="Times New Roman" w:hAnsi="Times New Roman"/>
          <w:sz w:val="28"/>
          <w:lang w:val="es-ES" w:eastAsia="es-MX"/>
        </w:rPr>
        <w:t xml:space="preserve"> el Congreso de la República había cumplido con el deber de analizar el impacto fiscal, en los términos del artículo 7º de la Ley 819 de </w:t>
      </w:r>
      <w:r w:rsidRPr="003E425B">
        <w:rPr>
          <w:rFonts w:ascii="Times New Roman" w:hAnsi="Times New Roman"/>
          <w:sz w:val="28"/>
          <w:lang w:val="es-ES" w:eastAsia="es-MX"/>
        </w:rPr>
        <w:t xml:space="preserve">2003. </w:t>
      </w:r>
      <w:r w:rsidRPr="003E425B">
        <w:rPr>
          <w:rFonts w:ascii="Times New Roman" w:hAnsi="Times New Roman"/>
          <w:sz w:val="28"/>
          <w:lang w:eastAsia="es-MX"/>
        </w:rPr>
        <w:t xml:space="preserve">La Corte encontró que, entre otras, las siguientes disposiciones preveían una orden de gasto por lo que el análisis de impacto fiscal era exigible: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tbl>
      <w:tblPr>
        <w:tblStyle w:val="Tablaconcuadrcula"/>
        <w:tblW w:w="5000" w:type="pct"/>
        <w:tblLook w:val="04A0" w:firstRow="1" w:lastRow="0" w:firstColumn="1" w:lastColumn="0" w:noHBand="0" w:noVBand="1"/>
      </w:tblPr>
      <w:tblGrid>
        <w:gridCol w:w="1413"/>
        <w:gridCol w:w="7417"/>
      </w:tblGrid>
      <w:tr w:rsidR="002860D7" w:rsidRPr="003E425B" w:rsidTr="00E4520F">
        <w:tc>
          <w:tcPr>
            <w:tcW w:w="800"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p>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p>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p>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r w:rsidRPr="003E425B">
              <w:rPr>
                <w:rFonts w:ascii="Times New Roman" w:hAnsi="Times New Roman"/>
                <w:b/>
                <w:bCs/>
                <w:sz w:val="28"/>
                <w:szCs w:val="20"/>
                <w:lang w:val="es-ES" w:eastAsia="es-MX"/>
              </w:rPr>
              <w:t>Arts. 14 (</w:t>
            </w:r>
            <w:r w:rsidRPr="003E425B">
              <w:rPr>
                <w:rFonts w:ascii="Times New Roman" w:hAnsi="Times New Roman"/>
                <w:b/>
                <w:bCs/>
                <w:sz w:val="28"/>
                <w:szCs w:val="20"/>
                <w:lang w:eastAsia="es-MX"/>
              </w:rPr>
              <w:t>incisos 1° y 2°, y parágrafo)</w:t>
            </w:r>
            <w:r w:rsidRPr="003E425B">
              <w:rPr>
                <w:rFonts w:ascii="Times New Roman" w:hAnsi="Times New Roman"/>
                <w:b/>
                <w:bCs/>
                <w:sz w:val="28"/>
                <w:szCs w:val="20"/>
                <w:lang w:val="es-ES" w:eastAsia="es-MX"/>
              </w:rPr>
              <w:t xml:space="preserve"> y 15, literal (a)</w:t>
            </w:r>
          </w:p>
        </w:tc>
        <w:tc>
          <w:tcPr>
            <w:tcW w:w="4200" w:type="pct"/>
          </w:tcPr>
          <w:p w:rsidR="002860D7" w:rsidRPr="003E425B" w:rsidRDefault="003E425B" w:rsidP="00010108">
            <w:pPr>
              <w:pStyle w:val="Prrafodelista"/>
              <w:tabs>
                <w:tab w:val="left" w:pos="567"/>
              </w:tabs>
              <w:spacing w:line="240" w:lineRule="auto"/>
              <w:ind w:left="0"/>
              <w:rPr>
                <w:rFonts w:ascii="Times New Roman" w:hAnsi="Times New Roman"/>
                <w:sz w:val="28"/>
                <w:szCs w:val="20"/>
                <w:lang w:val="es-ES_tradnl" w:eastAsia="es-MX"/>
              </w:rPr>
            </w:pPr>
            <w:r w:rsidRPr="003E425B">
              <w:rPr>
                <w:rFonts w:ascii="Times New Roman" w:hAnsi="Times New Roman"/>
                <w:sz w:val="28"/>
                <w:szCs w:val="20"/>
                <w:lang w:val="es-ES" w:eastAsia="es-MX"/>
              </w:rPr>
              <w:t>Estos artículos dispon</w:t>
            </w:r>
            <w:r w:rsidRPr="003E425B">
              <w:rPr>
                <w:rFonts w:ascii="Times New Roman" w:hAnsi="Times New Roman"/>
                <w:sz w:val="28"/>
                <w:szCs w:val="20"/>
                <w:lang w:val="es-ES" w:eastAsia="es-MX"/>
              </w:rPr>
              <w:t>ían</w:t>
            </w:r>
            <w:r w:rsidRPr="003E425B">
              <w:rPr>
                <w:rFonts w:ascii="Times New Roman" w:hAnsi="Times New Roman"/>
                <w:sz w:val="28"/>
                <w:szCs w:val="20"/>
                <w:lang w:val="es-ES" w:eastAsia="es-MX"/>
              </w:rPr>
              <w:t xml:space="preserve"> que </w:t>
            </w:r>
            <w:r w:rsidRPr="003E425B">
              <w:rPr>
                <w:rFonts w:ascii="Times New Roman" w:hAnsi="Times New Roman"/>
                <w:i/>
                <w:iCs/>
                <w:sz w:val="28"/>
                <w:szCs w:val="20"/>
                <w:lang w:eastAsia="es-MX"/>
              </w:rPr>
              <w:t>(i)</w:t>
            </w:r>
            <w:r w:rsidRPr="003E425B">
              <w:rPr>
                <w:rFonts w:ascii="Times New Roman" w:hAnsi="Times New Roman"/>
                <w:sz w:val="28"/>
                <w:szCs w:val="20"/>
                <w:lang w:eastAsia="es-MX"/>
              </w:rPr>
              <w:t xml:space="preserve"> la Sección Primera del Consejo de Estado pasará de tener 4 magistrados a tener 6 y </w:t>
            </w:r>
            <w:r w:rsidRPr="003E425B">
              <w:rPr>
                <w:rFonts w:ascii="Times New Roman" w:hAnsi="Times New Roman"/>
                <w:i/>
                <w:iCs/>
                <w:sz w:val="28"/>
                <w:szCs w:val="20"/>
                <w:lang w:eastAsia="es-MX"/>
              </w:rPr>
              <w:t>(ii)</w:t>
            </w:r>
            <w:r w:rsidRPr="003E425B">
              <w:rPr>
                <w:rFonts w:ascii="Times New Roman" w:eastAsiaTheme="minorEastAsia" w:hAnsi="Times New Roman"/>
                <w:color w:val="auto"/>
                <w:sz w:val="28"/>
              </w:rPr>
              <w:t xml:space="preserve"> </w:t>
            </w:r>
            <w:r w:rsidRPr="003E425B">
              <w:rPr>
                <w:rFonts w:ascii="Times New Roman" w:hAnsi="Times New Roman"/>
                <w:sz w:val="28"/>
                <w:szCs w:val="20"/>
                <w:lang w:eastAsia="es-MX"/>
              </w:rPr>
              <w:t>cada uno de los nuevos magistrados contará con un despacho, con la misma organización y estructura de los que ya existían. La Sala consideró que “ambas</w:t>
            </w:r>
            <w:r w:rsidRPr="003E425B">
              <w:rPr>
                <w:rFonts w:ascii="Times New Roman" w:hAnsi="Times New Roman"/>
                <w:sz w:val="28"/>
                <w:szCs w:val="20"/>
                <w:lang w:val="es-ES_tradnl" w:eastAsia="es-MX"/>
              </w:rPr>
              <w:t xml:space="preserve"> disposiciones i</w:t>
            </w:r>
            <w:r w:rsidRPr="003E425B">
              <w:rPr>
                <w:rFonts w:ascii="Times New Roman" w:hAnsi="Times New Roman"/>
                <w:sz w:val="28"/>
                <w:szCs w:val="20"/>
                <w:lang w:val="es-ES_tradnl" w:eastAsia="es-MX"/>
              </w:rPr>
              <w:t>ncrementan, como se puede apreciar, el cuerpo de servidores públicos del Consejo de Estado, de manera que es razonable inferir –en coherencia con lo antes expuesto—que aparejan una orden de gasto”. La Sala Pena consideró que, en un contexto de limitación d</w:t>
            </w:r>
            <w:r w:rsidRPr="003E425B">
              <w:rPr>
                <w:rFonts w:ascii="Times New Roman" w:hAnsi="Times New Roman"/>
                <w:sz w:val="28"/>
                <w:szCs w:val="20"/>
                <w:lang w:val="es-ES_tradnl" w:eastAsia="es-MX"/>
              </w:rPr>
              <w:t>e recursos presupuestales, como el que denunció el Consejo Superior de la Judicatura a lo largo del procedimiento legislativo, “resulta objetivamente improbable que una medida como esta se pueda implementar con un simple arreglo de redistribución presupues</w:t>
            </w:r>
            <w:r w:rsidRPr="003E425B">
              <w:rPr>
                <w:rFonts w:ascii="Times New Roman" w:hAnsi="Times New Roman"/>
                <w:sz w:val="28"/>
                <w:szCs w:val="20"/>
                <w:lang w:val="es-ES_tradnl" w:eastAsia="es-MX"/>
              </w:rPr>
              <w:t xml:space="preserve">tal”. </w:t>
            </w:r>
          </w:p>
        </w:tc>
      </w:tr>
      <w:tr w:rsidR="002860D7" w:rsidRPr="003E425B" w:rsidTr="00E4520F">
        <w:tc>
          <w:tcPr>
            <w:tcW w:w="800"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p>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p>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p>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val="es-ES" w:eastAsia="es-MX"/>
              </w:rPr>
            </w:pPr>
            <w:r w:rsidRPr="003E425B">
              <w:rPr>
                <w:rFonts w:ascii="Times New Roman" w:hAnsi="Times New Roman"/>
                <w:b/>
                <w:bCs/>
                <w:sz w:val="28"/>
                <w:szCs w:val="20"/>
                <w:lang w:val="es-ES" w:eastAsia="es-MX"/>
              </w:rPr>
              <w:t xml:space="preserve">Art. 43, parágrafo </w:t>
            </w:r>
          </w:p>
        </w:tc>
        <w:tc>
          <w:tcPr>
            <w:tcW w:w="4200" w:type="pct"/>
          </w:tcPr>
          <w:p w:rsidR="002860D7" w:rsidRPr="003E425B" w:rsidRDefault="003E425B" w:rsidP="00010108">
            <w:pPr>
              <w:pStyle w:val="Prrafodelista"/>
              <w:tabs>
                <w:tab w:val="left" w:pos="567"/>
              </w:tabs>
              <w:spacing w:line="240" w:lineRule="auto"/>
              <w:ind w:left="0"/>
              <w:rPr>
                <w:rFonts w:ascii="Times New Roman" w:hAnsi="Times New Roman"/>
                <w:sz w:val="28"/>
                <w:szCs w:val="20"/>
                <w:lang w:val="es-ES" w:eastAsia="es-MX"/>
              </w:rPr>
            </w:pPr>
            <w:r w:rsidRPr="003E425B">
              <w:rPr>
                <w:rFonts w:ascii="Times New Roman" w:hAnsi="Times New Roman"/>
                <w:sz w:val="28"/>
                <w:szCs w:val="20"/>
                <w:lang w:eastAsia="es-MX"/>
              </w:rPr>
              <w:t>El parágrafo segundo del artículo 43 precept</w:t>
            </w:r>
            <w:r w:rsidRPr="003E425B">
              <w:rPr>
                <w:rFonts w:ascii="Times New Roman" w:hAnsi="Times New Roman"/>
                <w:sz w:val="28"/>
                <w:szCs w:val="20"/>
                <w:lang w:eastAsia="es-MX"/>
              </w:rPr>
              <w:t>uaba</w:t>
            </w:r>
            <w:r w:rsidRPr="003E425B">
              <w:rPr>
                <w:rFonts w:ascii="Times New Roman" w:hAnsi="Times New Roman"/>
                <w:sz w:val="28"/>
                <w:szCs w:val="20"/>
                <w:lang w:eastAsia="es-MX"/>
              </w:rPr>
              <w:t xml:space="preserve"> que, para cumplir las funciones de la Comisión Interinstitucional, los presidentes de la Corte Suprema de Justicia, Consejo de Estado, Corte Constitucional y Comisión Nacional de Disciplina Judicial tendrán, cada uno, la asistencia de un abogado profesion</w:t>
            </w:r>
            <w:r w:rsidRPr="003E425B">
              <w:rPr>
                <w:rFonts w:ascii="Times New Roman" w:hAnsi="Times New Roman"/>
                <w:sz w:val="28"/>
                <w:szCs w:val="20"/>
                <w:lang w:eastAsia="es-MX"/>
              </w:rPr>
              <w:t>al especializado grado 33, adscrito a la presidencia de cada corporación. La Corte consideró que este artículo preveía una orden de gasto, porque la asignación de un profesional especializado grado 33 a cada uno de los presidentes de las Corporaciones allí</w:t>
            </w:r>
            <w:r w:rsidRPr="003E425B">
              <w:rPr>
                <w:rFonts w:ascii="Times New Roman" w:hAnsi="Times New Roman"/>
                <w:sz w:val="28"/>
                <w:szCs w:val="20"/>
                <w:lang w:eastAsia="es-MX"/>
              </w:rPr>
              <w:t xml:space="preserve"> referidas, no implicaba “cambiar las funciones de un profesional ya existente en la planta, sino crear un cargo especial que cumpla con estas funciones”. </w:t>
            </w:r>
          </w:p>
        </w:tc>
      </w:tr>
    </w:tbl>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bookmarkStart w:id="26" w:name="_Ref165375477"/>
      <w:r w:rsidRPr="003E425B">
        <w:rPr>
          <w:rFonts w:ascii="Times New Roman" w:hAnsi="Times New Roman"/>
          <w:sz w:val="28"/>
          <w:lang w:eastAsia="es-MX"/>
        </w:rPr>
        <w:t xml:space="preserve">La Sala Plena consideró que los incisos, literales y parágrafos de los artículos 14, 15 y 43 citados eran inconstitucionales por desconocer el artículo 7º de la Ley 819 de 2003. Esto, porque a pesar de contener </w:t>
      </w:r>
      <w:r w:rsidRPr="003E425B">
        <w:rPr>
          <w:rFonts w:ascii="Times New Roman" w:hAnsi="Times New Roman"/>
          <w:sz w:val="28"/>
          <w:lang w:eastAsia="es-MX"/>
        </w:rPr>
        <w:t>ó</w:t>
      </w:r>
      <w:r w:rsidRPr="003E425B">
        <w:rPr>
          <w:rFonts w:ascii="Times New Roman" w:hAnsi="Times New Roman"/>
          <w:sz w:val="28"/>
          <w:lang w:eastAsia="es-MX"/>
        </w:rPr>
        <w:t xml:space="preserve">rdenes de gasto, “no se observa que, en las </w:t>
      </w:r>
      <w:r w:rsidRPr="003E425B">
        <w:rPr>
          <w:rFonts w:ascii="Times New Roman" w:hAnsi="Times New Roman"/>
          <w:sz w:val="28"/>
          <w:lang w:eastAsia="es-MX"/>
        </w:rPr>
        <w:t>iniciativas, en los informes de ponencia o en los debates, se haya hecho una estimación específica de las implicaciones fiscales (…) o se haya señalado una fuente adicional de financiación de dichos costos”.</w:t>
      </w:r>
      <w:bookmarkEnd w:id="26"/>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r w:rsidRPr="003E425B">
        <w:rPr>
          <w:rFonts w:ascii="Times New Roman" w:hAnsi="Times New Roman"/>
          <w:sz w:val="28"/>
          <w:lang w:eastAsia="es-MX"/>
        </w:rPr>
        <w:t xml:space="preserve"> </w:t>
      </w: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b/>
          <w:sz w:val="28"/>
          <w:u w:val="single"/>
          <w:lang w:eastAsia="es-MX"/>
        </w:rPr>
        <w:t>Síntesis de las reglas de decisión</w:t>
      </w:r>
      <w:r w:rsidRPr="003E425B">
        <w:rPr>
          <w:rFonts w:ascii="Times New Roman" w:hAnsi="Times New Roman"/>
          <w:sz w:val="28"/>
          <w:lang w:eastAsia="es-MX"/>
        </w:rPr>
        <w:t>. La siguien</w:t>
      </w:r>
      <w:r w:rsidRPr="003E425B">
        <w:rPr>
          <w:rFonts w:ascii="Times New Roman" w:hAnsi="Times New Roman"/>
          <w:sz w:val="28"/>
          <w:lang w:eastAsia="es-MX"/>
        </w:rPr>
        <w:t xml:space="preserve">te tabla sintetiza las reglas de decisión sobre el análisis de impacto fiscal relevantes para resolver la presente demanda de constitucionalidad: </w:t>
      </w:r>
    </w:p>
    <w:p w:rsidR="002860D7" w:rsidRPr="003E425B" w:rsidRDefault="003E425B" w:rsidP="00010108">
      <w:pPr>
        <w:pStyle w:val="Prrafodelista"/>
        <w:tabs>
          <w:tab w:val="left" w:pos="567"/>
        </w:tabs>
        <w:spacing w:line="240" w:lineRule="auto"/>
        <w:ind w:left="0"/>
        <w:rPr>
          <w:rFonts w:ascii="Times New Roman" w:hAnsi="Times New Roman"/>
          <w:b/>
          <w:sz w:val="28"/>
          <w:u w:val="single"/>
          <w:lang w:eastAsia="es-MX"/>
        </w:rPr>
      </w:pPr>
    </w:p>
    <w:p w:rsidR="00185793" w:rsidRPr="003E425B" w:rsidRDefault="003E425B" w:rsidP="00010108">
      <w:pPr>
        <w:pStyle w:val="Prrafodelista"/>
        <w:tabs>
          <w:tab w:val="left" w:pos="567"/>
        </w:tabs>
        <w:spacing w:line="240" w:lineRule="auto"/>
        <w:ind w:left="0"/>
        <w:rPr>
          <w:rFonts w:ascii="Times New Roman" w:hAnsi="Times New Roman"/>
          <w:b/>
          <w:sz w:val="28"/>
          <w:u w:val="single"/>
          <w:lang w:eastAsia="es-MX"/>
        </w:rPr>
      </w:pPr>
    </w:p>
    <w:tbl>
      <w:tblPr>
        <w:tblStyle w:val="Tablaconcuadrcula"/>
        <w:tblW w:w="5000" w:type="pct"/>
        <w:tblLook w:val="04A0" w:firstRow="1" w:lastRow="0" w:firstColumn="1" w:lastColumn="0" w:noHBand="0" w:noVBand="1"/>
      </w:tblPr>
      <w:tblGrid>
        <w:gridCol w:w="8830"/>
      </w:tblGrid>
      <w:tr w:rsidR="002860D7" w:rsidRPr="003E425B" w:rsidTr="00E4520F">
        <w:tc>
          <w:tcPr>
            <w:tcW w:w="5000"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Obligación de evaluar el impacto fiscal de medidas legislativas</w:t>
            </w:r>
          </w:p>
        </w:tc>
      </w:tr>
      <w:tr w:rsidR="002860D7" w:rsidRPr="003E425B" w:rsidTr="00E4520F">
        <w:tc>
          <w:tcPr>
            <w:tcW w:w="5000" w:type="pct"/>
          </w:tcPr>
          <w:p w:rsidR="002860D7" w:rsidRPr="003E425B" w:rsidRDefault="003E425B" w:rsidP="000C6CC6">
            <w:pPr>
              <w:pStyle w:val="Prrafodelista"/>
              <w:numPr>
                <w:ilvl w:val="0"/>
                <w:numId w:val="29"/>
              </w:numPr>
              <w:tabs>
                <w:tab w:val="left" w:pos="311"/>
              </w:tabs>
              <w:spacing w:line="240" w:lineRule="auto"/>
              <w:ind w:left="311" w:hanging="311"/>
              <w:rPr>
                <w:rFonts w:ascii="Times New Roman" w:hAnsi="Times New Roman"/>
                <w:sz w:val="28"/>
                <w:szCs w:val="20"/>
                <w:lang w:eastAsia="es-MX"/>
              </w:rPr>
            </w:pPr>
            <w:r w:rsidRPr="003E425B">
              <w:rPr>
                <w:rFonts w:ascii="Times New Roman" w:hAnsi="Times New Roman"/>
                <w:sz w:val="28"/>
                <w:szCs w:val="20"/>
                <w:lang w:eastAsia="es-MX"/>
              </w:rPr>
              <w:t>El artículo 7º de la Ley 819 de 2003 prevé</w:t>
            </w:r>
            <w:r w:rsidRPr="003E425B">
              <w:rPr>
                <w:rFonts w:ascii="Times New Roman" w:hAnsi="Times New Roman"/>
                <w:sz w:val="28"/>
                <w:szCs w:val="20"/>
                <w:lang w:eastAsia="es-MX"/>
              </w:rPr>
              <w:t xml:space="preserve"> un requisito orgánico para la aprobación de las leyes que ordenen gasto o concedan beneficios tributarios: efectuar el análisis del impacto fiscal</w:t>
            </w:r>
            <w:r w:rsidRPr="003E425B">
              <w:rPr>
                <w:rFonts w:ascii="Times New Roman" w:hAnsi="Times New Roman"/>
                <w:sz w:val="28"/>
                <w:szCs w:val="20"/>
                <w:lang w:eastAsia="es-MX"/>
              </w:rPr>
              <w:t xml:space="preserve">, a partir de tres referentes básicos: </w:t>
            </w:r>
            <w:r w:rsidRPr="003E425B">
              <w:rPr>
                <w:rFonts w:ascii="Times New Roman" w:hAnsi="Times New Roman"/>
                <w:i/>
                <w:iCs/>
                <w:sz w:val="28"/>
                <w:szCs w:val="20"/>
                <w:lang w:eastAsia="es-MX"/>
              </w:rPr>
              <w:t>(i)</w:t>
            </w:r>
            <w:r w:rsidRPr="003E425B">
              <w:rPr>
                <w:rFonts w:ascii="Times New Roman" w:hAnsi="Times New Roman"/>
                <w:sz w:val="28"/>
                <w:szCs w:val="20"/>
                <w:lang w:eastAsia="es-MX"/>
              </w:rPr>
              <w:t xml:space="preserve"> el costo fiscal de la medida, </w:t>
            </w:r>
            <w:r w:rsidRPr="003E425B">
              <w:rPr>
                <w:rFonts w:ascii="Times New Roman" w:hAnsi="Times New Roman"/>
                <w:i/>
                <w:iCs/>
                <w:sz w:val="28"/>
                <w:szCs w:val="20"/>
                <w:lang w:eastAsia="es-MX"/>
              </w:rPr>
              <w:t>(ii)</w:t>
            </w:r>
            <w:r w:rsidRPr="003E425B">
              <w:rPr>
                <w:rFonts w:ascii="Times New Roman" w:hAnsi="Times New Roman"/>
                <w:sz w:val="28"/>
                <w:szCs w:val="20"/>
                <w:lang w:eastAsia="es-MX"/>
              </w:rPr>
              <w:t xml:space="preserve"> la fuente de ingresos sustituti</w:t>
            </w:r>
            <w:r w:rsidRPr="003E425B">
              <w:rPr>
                <w:rFonts w:ascii="Times New Roman" w:hAnsi="Times New Roman"/>
                <w:sz w:val="28"/>
                <w:szCs w:val="20"/>
                <w:lang w:eastAsia="es-MX"/>
              </w:rPr>
              <w:t xml:space="preserve">va y </w:t>
            </w:r>
            <w:r w:rsidRPr="003E425B">
              <w:rPr>
                <w:rFonts w:ascii="Times New Roman" w:hAnsi="Times New Roman"/>
                <w:i/>
                <w:iCs/>
                <w:sz w:val="28"/>
                <w:szCs w:val="20"/>
                <w:lang w:eastAsia="es-MX"/>
              </w:rPr>
              <w:t>(iii)</w:t>
            </w:r>
            <w:r w:rsidRPr="003E425B">
              <w:rPr>
                <w:rFonts w:ascii="Times New Roman" w:hAnsi="Times New Roman"/>
                <w:sz w:val="28"/>
                <w:szCs w:val="20"/>
                <w:lang w:eastAsia="es-MX"/>
              </w:rPr>
              <w:t xml:space="preserve"> la compatibilidad de la medida con el MFMP.</w:t>
            </w:r>
            <w:r w:rsidRPr="003E425B">
              <w:rPr>
                <w:rFonts w:ascii="Times New Roman" w:hAnsi="Times New Roman"/>
                <w:sz w:val="28"/>
                <w:szCs w:val="20"/>
                <w:lang w:eastAsia="es-MX"/>
              </w:rPr>
              <w:t xml:space="preserve"> </w:t>
            </w:r>
            <w:r w:rsidRPr="003E425B">
              <w:rPr>
                <w:rFonts w:ascii="Times New Roman" w:hAnsi="Times New Roman"/>
                <w:sz w:val="28"/>
                <w:szCs w:val="20"/>
                <w:lang w:eastAsia="es-MX"/>
              </w:rPr>
              <w:t xml:space="preserve">La obligación de analizar el impacto fiscal </w:t>
            </w:r>
            <w:r w:rsidRPr="003E425B">
              <w:rPr>
                <w:rFonts w:ascii="Times New Roman" w:hAnsi="Times New Roman"/>
                <w:sz w:val="28"/>
                <w:szCs w:val="20"/>
                <w:lang w:eastAsia="es-MX"/>
              </w:rPr>
              <w:t>tiene naturaleza procesal y deliberativa, no sustantiva.</w:t>
            </w:r>
            <w:r w:rsidRPr="003E425B">
              <w:rPr>
                <w:rFonts w:ascii="Times New Roman" w:hAnsi="Times New Roman"/>
                <w:sz w:val="28"/>
                <w:szCs w:val="20"/>
                <w:lang w:eastAsia="es-MX"/>
              </w:rPr>
              <w:t xml:space="preserve"> </w:t>
            </w:r>
          </w:p>
          <w:p w:rsidR="002860D7" w:rsidRPr="003E425B" w:rsidRDefault="003E425B" w:rsidP="000C6CC6">
            <w:pPr>
              <w:pStyle w:val="Prrafodelista"/>
              <w:numPr>
                <w:ilvl w:val="0"/>
                <w:numId w:val="29"/>
              </w:numPr>
              <w:tabs>
                <w:tab w:val="left" w:pos="311"/>
              </w:tabs>
              <w:spacing w:line="240" w:lineRule="auto"/>
              <w:ind w:left="311" w:hanging="311"/>
              <w:rPr>
                <w:rFonts w:ascii="Times New Roman" w:hAnsi="Times New Roman"/>
                <w:sz w:val="28"/>
                <w:szCs w:val="20"/>
                <w:lang w:eastAsia="es-MX"/>
              </w:rPr>
            </w:pPr>
            <w:r w:rsidRPr="003E425B">
              <w:rPr>
                <w:rFonts w:ascii="Times New Roman" w:hAnsi="Times New Roman"/>
                <w:sz w:val="28"/>
                <w:szCs w:val="20"/>
                <w:lang w:eastAsia="es-MX"/>
              </w:rPr>
              <w:t xml:space="preserve">El análisis de </w:t>
            </w:r>
            <w:r w:rsidRPr="003E425B">
              <w:rPr>
                <w:rFonts w:ascii="Times New Roman" w:hAnsi="Times New Roman"/>
                <w:sz w:val="28"/>
                <w:szCs w:val="20"/>
                <w:lang w:eastAsia="es-MX"/>
              </w:rPr>
              <w:t>impacto</w:t>
            </w:r>
            <w:r w:rsidRPr="003E425B">
              <w:rPr>
                <w:rFonts w:ascii="Times New Roman" w:hAnsi="Times New Roman"/>
                <w:sz w:val="28"/>
                <w:szCs w:val="20"/>
                <w:lang w:eastAsia="es-MX"/>
              </w:rPr>
              <w:t xml:space="preserve"> es exigible </w:t>
            </w:r>
            <w:r w:rsidRPr="003E425B">
              <w:rPr>
                <w:rFonts w:ascii="Times New Roman" w:hAnsi="Times New Roman"/>
                <w:sz w:val="28"/>
                <w:szCs w:val="20"/>
                <w:lang w:eastAsia="es-MX"/>
              </w:rPr>
              <w:t xml:space="preserve">a las normas que ordenen gasto o concedan beneficios tributarios. Este es su presupuesto material de </w:t>
            </w:r>
            <w:r w:rsidRPr="003E425B">
              <w:rPr>
                <w:rFonts w:ascii="Times New Roman" w:hAnsi="Times New Roman"/>
                <w:sz w:val="28"/>
                <w:szCs w:val="20"/>
                <w:lang w:eastAsia="es-MX"/>
              </w:rPr>
              <w:t>exigibilidad</w:t>
            </w:r>
            <w:r w:rsidRPr="003E425B">
              <w:rPr>
                <w:rFonts w:ascii="Times New Roman" w:hAnsi="Times New Roman"/>
                <w:sz w:val="28"/>
                <w:szCs w:val="20"/>
                <w:lang w:eastAsia="es-MX"/>
              </w:rPr>
              <w:t xml:space="preserve">. </w:t>
            </w:r>
            <w:r w:rsidRPr="003E425B">
              <w:rPr>
                <w:rFonts w:ascii="Times New Roman" w:hAnsi="Times New Roman"/>
                <w:sz w:val="28"/>
                <w:szCs w:val="20"/>
                <w:lang w:eastAsia="es-MX"/>
              </w:rPr>
              <w:t>Las órdenes de gasto, en los términos del artículo 7º de la Ley 819 de 2003, son aquellas normas</w:t>
            </w:r>
            <w:r w:rsidRPr="003E425B">
              <w:rPr>
                <w:rFonts w:ascii="Times New Roman" w:hAnsi="Times New Roman"/>
                <w:sz w:val="28"/>
                <w:szCs w:val="20"/>
                <w:lang w:eastAsia="es-MX"/>
              </w:rPr>
              <w:t xml:space="preserve"> que</w:t>
            </w:r>
            <w:r w:rsidRPr="003E425B">
              <w:rPr>
                <w:rFonts w:ascii="Times New Roman" w:hAnsi="Times New Roman"/>
                <w:sz w:val="28"/>
                <w:szCs w:val="20"/>
                <w:lang w:eastAsia="es-MX"/>
              </w:rPr>
              <w:t xml:space="preserve"> constituyen un título jurídico suficient</w:t>
            </w:r>
            <w:r w:rsidRPr="003E425B">
              <w:rPr>
                <w:rFonts w:ascii="Times New Roman" w:hAnsi="Times New Roman"/>
                <w:sz w:val="28"/>
                <w:szCs w:val="20"/>
                <w:lang w:eastAsia="es-MX"/>
              </w:rPr>
              <w:t xml:space="preserve">e y obligatorio para la inclusión de una partida en la ley de presupuesto. La Corte Constitucional ha desarrollado principalmente dos criterios para diferenciar las órdenes de gasto de las meras autorizaciones: </w:t>
            </w:r>
            <w:r w:rsidRPr="003E425B">
              <w:rPr>
                <w:rFonts w:ascii="Times New Roman" w:hAnsi="Times New Roman"/>
                <w:i/>
                <w:iCs/>
                <w:sz w:val="28"/>
                <w:szCs w:val="20"/>
                <w:lang w:eastAsia="es-MX"/>
              </w:rPr>
              <w:t>(i)</w:t>
            </w:r>
            <w:r w:rsidRPr="003E425B">
              <w:rPr>
                <w:rFonts w:ascii="Times New Roman" w:hAnsi="Times New Roman"/>
                <w:sz w:val="28"/>
                <w:szCs w:val="20"/>
                <w:lang w:eastAsia="es-MX"/>
              </w:rPr>
              <w:t xml:space="preserve"> gramatical (lenguaje imperativo o faculta</w:t>
            </w:r>
            <w:r w:rsidRPr="003E425B">
              <w:rPr>
                <w:rFonts w:ascii="Times New Roman" w:hAnsi="Times New Roman"/>
                <w:sz w:val="28"/>
                <w:szCs w:val="20"/>
                <w:lang w:eastAsia="es-MX"/>
              </w:rPr>
              <w:t xml:space="preserve">tivo) y </w:t>
            </w:r>
            <w:r w:rsidRPr="003E425B">
              <w:rPr>
                <w:rFonts w:ascii="Times New Roman" w:hAnsi="Times New Roman"/>
                <w:i/>
                <w:iCs/>
                <w:sz w:val="28"/>
                <w:szCs w:val="20"/>
                <w:lang w:eastAsia="es-MX"/>
              </w:rPr>
              <w:t>(ii)</w:t>
            </w:r>
            <w:r w:rsidRPr="003E425B">
              <w:rPr>
                <w:rFonts w:ascii="Times New Roman" w:hAnsi="Times New Roman"/>
                <w:sz w:val="28"/>
                <w:szCs w:val="20"/>
                <w:lang w:eastAsia="es-MX"/>
              </w:rPr>
              <w:t xml:space="preserve"> funcional (nivel de concreción y ejecutabilidad de la orden). De acuerdo con la jurisprudencia constitucional reiterada, las leyes que disponen la creación de entidades públicas constituyen órdenes de gasto siempre que su puesta en funcionamie</w:t>
            </w:r>
            <w:r w:rsidRPr="003E425B">
              <w:rPr>
                <w:rFonts w:ascii="Times New Roman" w:hAnsi="Times New Roman"/>
                <w:sz w:val="28"/>
                <w:szCs w:val="20"/>
                <w:lang w:eastAsia="es-MX"/>
              </w:rPr>
              <w:t xml:space="preserve">nto implique, necesariamente, erogaciones presupuestales adicionales. </w:t>
            </w:r>
          </w:p>
          <w:p w:rsidR="002860D7" w:rsidRPr="003E425B" w:rsidRDefault="003E425B" w:rsidP="000C6CC6">
            <w:pPr>
              <w:pStyle w:val="Prrafodelista"/>
              <w:numPr>
                <w:ilvl w:val="0"/>
                <w:numId w:val="29"/>
              </w:numPr>
              <w:tabs>
                <w:tab w:val="left" w:pos="311"/>
              </w:tabs>
              <w:spacing w:line="240" w:lineRule="auto"/>
              <w:ind w:left="311" w:hanging="311"/>
              <w:rPr>
                <w:rFonts w:ascii="Times New Roman" w:hAnsi="Times New Roman"/>
                <w:sz w:val="28"/>
                <w:szCs w:val="20"/>
                <w:lang w:eastAsia="es-MX"/>
              </w:rPr>
            </w:pPr>
            <w:r w:rsidRPr="003E425B">
              <w:rPr>
                <w:rFonts w:ascii="Times New Roman" w:hAnsi="Times New Roman"/>
                <w:sz w:val="28"/>
                <w:szCs w:val="20"/>
                <w:lang w:eastAsia="es-MX"/>
              </w:rPr>
              <w:t xml:space="preserve">El artículo 7º de la Ley 819 de 2003 </w:t>
            </w:r>
            <w:r w:rsidRPr="003E425B">
              <w:rPr>
                <w:rFonts w:ascii="Times New Roman" w:hAnsi="Times New Roman"/>
                <w:sz w:val="28"/>
                <w:szCs w:val="20"/>
                <w:lang w:eastAsia="es-MX"/>
              </w:rPr>
              <w:t>prevé</w:t>
            </w:r>
            <w:r w:rsidRPr="003E425B">
              <w:rPr>
                <w:rFonts w:ascii="Times New Roman" w:hAnsi="Times New Roman"/>
                <w:sz w:val="28"/>
                <w:szCs w:val="20"/>
                <w:lang w:eastAsia="es-MX"/>
              </w:rPr>
              <w:t xml:space="preserve"> </w:t>
            </w:r>
            <w:r w:rsidRPr="003E425B">
              <w:rPr>
                <w:rFonts w:ascii="Times New Roman" w:hAnsi="Times New Roman"/>
                <w:sz w:val="28"/>
                <w:szCs w:val="20"/>
                <w:lang w:eastAsia="es-MX"/>
              </w:rPr>
              <w:t>deberes específicos a cargo del Congreso de la República, el Gobierno Nacional y el Ministerio de Hacienda y Crédito Público, los cuales buscan garantizar que el análisis de impacto fiscal satisfaga las finalidades constitucionales que persigue. El conteni</w:t>
            </w:r>
            <w:r w:rsidRPr="003E425B">
              <w:rPr>
                <w:rFonts w:ascii="Times New Roman" w:hAnsi="Times New Roman"/>
                <w:sz w:val="28"/>
                <w:szCs w:val="20"/>
                <w:lang w:eastAsia="es-MX"/>
              </w:rPr>
              <w:t xml:space="preserve">do específico de estos deberes, las consecuencias de su incumplimiento y el nivel de rigurosidad exigible a la estimación de los referentes básicos del impacto varía en función de la iniciativa: </w:t>
            </w:r>
            <w:r w:rsidRPr="003E425B">
              <w:rPr>
                <w:rFonts w:ascii="Times New Roman" w:hAnsi="Times New Roman"/>
                <w:i/>
                <w:sz w:val="28"/>
                <w:szCs w:val="20"/>
                <w:lang w:eastAsia="es-MX"/>
              </w:rPr>
              <w:t>(i)</w:t>
            </w:r>
            <w:r w:rsidRPr="003E425B">
              <w:rPr>
                <w:rFonts w:ascii="Times New Roman" w:hAnsi="Times New Roman"/>
                <w:sz w:val="28"/>
                <w:szCs w:val="20"/>
                <w:lang w:eastAsia="es-MX"/>
              </w:rPr>
              <w:t xml:space="preserve"> exclusiva del Gobierno Nacional, </w:t>
            </w:r>
            <w:r w:rsidRPr="003E425B">
              <w:rPr>
                <w:rFonts w:ascii="Times New Roman" w:hAnsi="Times New Roman"/>
                <w:i/>
                <w:iCs/>
                <w:sz w:val="28"/>
                <w:szCs w:val="20"/>
                <w:lang w:eastAsia="es-MX"/>
              </w:rPr>
              <w:t>(ii)</w:t>
            </w:r>
            <w:r w:rsidRPr="003E425B">
              <w:rPr>
                <w:rFonts w:ascii="Times New Roman" w:hAnsi="Times New Roman"/>
                <w:sz w:val="28"/>
                <w:szCs w:val="20"/>
                <w:lang w:eastAsia="es-MX"/>
              </w:rPr>
              <w:t xml:space="preserve"> legislativa o de ot</w:t>
            </w:r>
            <w:r w:rsidRPr="003E425B">
              <w:rPr>
                <w:rFonts w:ascii="Times New Roman" w:hAnsi="Times New Roman"/>
                <w:sz w:val="28"/>
                <w:szCs w:val="20"/>
                <w:lang w:eastAsia="es-MX"/>
              </w:rPr>
              <w:t xml:space="preserve">ras ramas u órganos del poder público o </w:t>
            </w:r>
            <w:r w:rsidRPr="003E425B">
              <w:rPr>
                <w:rFonts w:ascii="Times New Roman" w:hAnsi="Times New Roman"/>
                <w:i/>
                <w:iCs/>
                <w:sz w:val="28"/>
                <w:szCs w:val="20"/>
                <w:lang w:eastAsia="es-MX"/>
              </w:rPr>
              <w:t>(iii)</w:t>
            </w:r>
            <w:r w:rsidRPr="003E425B">
              <w:rPr>
                <w:rFonts w:ascii="Times New Roman" w:hAnsi="Times New Roman"/>
                <w:sz w:val="28"/>
                <w:szCs w:val="20"/>
                <w:lang w:eastAsia="es-MX"/>
              </w:rPr>
              <w:t xml:space="preserve"> mixta, esto es, del Gobierno Nacional y el Congreso de la República.</w:t>
            </w:r>
          </w:p>
          <w:p w:rsidR="002860D7" w:rsidRPr="003E425B" w:rsidRDefault="003E425B" w:rsidP="000C6CC6">
            <w:pPr>
              <w:pStyle w:val="Prrafodelista"/>
              <w:numPr>
                <w:ilvl w:val="0"/>
                <w:numId w:val="29"/>
              </w:numPr>
              <w:tabs>
                <w:tab w:val="left" w:pos="311"/>
              </w:tabs>
              <w:spacing w:line="240" w:lineRule="auto"/>
              <w:ind w:left="311" w:hanging="311"/>
              <w:rPr>
                <w:rFonts w:ascii="Times New Roman" w:hAnsi="Times New Roman"/>
                <w:sz w:val="28"/>
                <w:szCs w:val="20"/>
                <w:lang w:eastAsia="es-MX"/>
              </w:rPr>
            </w:pPr>
            <w:r w:rsidRPr="003E425B">
              <w:rPr>
                <w:rFonts w:ascii="Times New Roman" w:hAnsi="Times New Roman"/>
                <w:sz w:val="28"/>
                <w:szCs w:val="20"/>
                <w:lang w:eastAsia="es-MX"/>
              </w:rPr>
              <w:t xml:space="preserve">En los eventos en los que la iniciativa es gubernamental: </w:t>
            </w:r>
          </w:p>
          <w:p w:rsidR="002860D7" w:rsidRPr="003E425B" w:rsidRDefault="003E425B" w:rsidP="000C6CC6">
            <w:pPr>
              <w:pStyle w:val="Prrafodelista"/>
              <w:numPr>
                <w:ilvl w:val="0"/>
                <w:numId w:val="30"/>
              </w:numPr>
              <w:tabs>
                <w:tab w:val="left" w:pos="311"/>
              </w:tabs>
              <w:spacing w:line="240" w:lineRule="auto"/>
              <w:ind w:left="739" w:hanging="428"/>
              <w:rPr>
                <w:rFonts w:ascii="Times New Roman" w:hAnsi="Times New Roman"/>
                <w:sz w:val="28"/>
                <w:szCs w:val="20"/>
                <w:lang w:eastAsia="es-MX"/>
              </w:rPr>
            </w:pPr>
            <w:r w:rsidRPr="003E425B">
              <w:rPr>
                <w:rFonts w:ascii="Times New Roman" w:hAnsi="Times New Roman"/>
                <w:sz w:val="28"/>
                <w:szCs w:val="20"/>
                <w:lang w:eastAsia="es-MX"/>
              </w:rPr>
              <w:t>El Gobierno Nacional debe presentar el análisis de impacto fiscal en la exposición</w:t>
            </w:r>
            <w:r w:rsidRPr="003E425B">
              <w:rPr>
                <w:rFonts w:ascii="Times New Roman" w:hAnsi="Times New Roman"/>
                <w:sz w:val="28"/>
                <w:szCs w:val="20"/>
                <w:lang w:eastAsia="es-MX"/>
              </w:rPr>
              <w:t xml:space="preserve"> de motivos</w:t>
            </w:r>
            <w:r w:rsidRPr="003E425B">
              <w:rPr>
                <w:rFonts w:ascii="Times New Roman" w:hAnsi="Times New Roman"/>
                <w:sz w:val="28"/>
                <w:szCs w:val="20"/>
                <w:lang w:eastAsia="es-MX"/>
              </w:rPr>
              <w:t xml:space="preserve">, lo que implica que debe </w:t>
            </w:r>
            <w:r w:rsidRPr="003E425B">
              <w:rPr>
                <w:rFonts w:ascii="Times New Roman" w:hAnsi="Times New Roman"/>
                <w:i/>
                <w:iCs/>
                <w:sz w:val="28"/>
                <w:szCs w:val="20"/>
                <w:lang w:eastAsia="es-MX"/>
              </w:rPr>
              <w:t>(a)</w:t>
            </w:r>
            <w:r w:rsidRPr="003E425B">
              <w:rPr>
                <w:rFonts w:ascii="Times New Roman" w:hAnsi="Times New Roman"/>
                <w:sz w:val="28"/>
                <w:szCs w:val="20"/>
                <w:lang w:eastAsia="es-MX"/>
              </w:rPr>
              <w:t xml:space="preserve"> estimar el costo fiscal forma </w:t>
            </w:r>
            <w:r w:rsidRPr="003E425B">
              <w:rPr>
                <w:rFonts w:ascii="Times New Roman" w:hAnsi="Times New Roman"/>
                <w:sz w:val="28"/>
                <w:szCs w:val="20"/>
                <w:lang w:eastAsia="es-MX"/>
              </w:rPr>
              <w:t xml:space="preserve">detallada, </w:t>
            </w:r>
            <w:r w:rsidRPr="003E425B">
              <w:rPr>
                <w:rFonts w:ascii="Times New Roman" w:hAnsi="Times New Roman"/>
                <w:sz w:val="28"/>
                <w:szCs w:val="20"/>
                <w:lang w:eastAsia="es-MX"/>
              </w:rPr>
              <w:t xml:space="preserve">clara y fundada y </w:t>
            </w:r>
            <w:r w:rsidRPr="003E425B">
              <w:rPr>
                <w:rFonts w:ascii="Times New Roman" w:hAnsi="Times New Roman"/>
                <w:i/>
                <w:iCs/>
                <w:sz w:val="28"/>
                <w:szCs w:val="20"/>
                <w:lang w:eastAsia="es-MX"/>
              </w:rPr>
              <w:t>(b)</w:t>
            </w:r>
            <w:r w:rsidRPr="003E425B">
              <w:rPr>
                <w:rFonts w:ascii="Times New Roman" w:hAnsi="Times New Roman"/>
                <w:sz w:val="28"/>
                <w:szCs w:val="20"/>
                <w:lang w:eastAsia="es-MX"/>
              </w:rPr>
              <w:t xml:space="preserve"> identificar</w:t>
            </w:r>
            <w:r w:rsidRPr="003E425B">
              <w:rPr>
                <w:rFonts w:ascii="Times New Roman" w:hAnsi="Times New Roman"/>
                <w:sz w:val="28"/>
                <w:szCs w:val="20"/>
                <w:lang w:eastAsia="es-MX"/>
              </w:rPr>
              <w:t>, por lo menos de forma somera,</w:t>
            </w:r>
            <w:r w:rsidRPr="003E425B">
              <w:rPr>
                <w:rFonts w:ascii="Times New Roman" w:hAnsi="Times New Roman"/>
                <w:sz w:val="28"/>
                <w:szCs w:val="20"/>
                <w:lang w:eastAsia="es-MX"/>
              </w:rPr>
              <w:t xml:space="preserve"> la fuente de ingreso sustitutiva</w:t>
            </w:r>
            <w:r w:rsidRPr="003E425B">
              <w:rPr>
                <w:rFonts w:ascii="Times New Roman" w:hAnsi="Times New Roman"/>
                <w:sz w:val="28"/>
                <w:szCs w:val="20"/>
                <w:lang w:eastAsia="es-MX"/>
              </w:rPr>
              <w:t>. Este análisis debe igualmente incluirse en los informes de ponencia para ca</w:t>
            </w:r>
            <w:r w:rsidRPr="003E425B">
              <w:rPr>
                <w:rFonts w:ascii="Times New Roman" w:hAnsi="Times New Roman"/>
                <w:sz w:val="28"/>
                <w:szCs w:val="20"/>
                <w:lang w:eastAsia="es-MX"/>
              </w:rPr>
              <w:t xml:space="preserve">da debate en el Congreso de la República.  </w:t>
            </w:r>
          </w:p>
          <w:p w:rsidR="002860D7" w:rsidRPr="003E425B" w:rsidRDefault="003E425B" w:rsidP="000C6CC6">
            <w:pPr>
              <w:pStyle w:val="Prrafodelista"/>
              <w:numPr>
                <w:ilvl w:val="0"/>
                <w:numId w:val="30"/>
              </w:numPr>
              <w:tabs>
                <w:tab w:val="left" w:pos="311"/>
              </w:tabs>
              <w:spacing w:line="240" w:lineRule="auto"/>
              <w:ind w:left="739" w:hanging="428"/>
              <w:rPr>
                <w:rFonts w:ascii="Times New Roman" w:hAnsi="Times New Roman"/>
                <w:sz w:val="28"/>
                <w:szCs w:val="20"/>
                <w:lang w:eastAsia="es-MX"/>
              </w:rPr>
            </w:pPr>
            <w:r w:rsidRPr="003E425B">
              <w:rPr>
                <w:rFonts w:ascii="Times New Roman" w:hAnsi="Times New Roman"/>
                <w:sz w:val="28"/>
                <w:szCs w:val="20"/>
                <w:lang w:eastAsia="es-MX"/>
              </w:rPr>
              <w:t>El MHCP debe presentar concepto</w:t>
            </w:r>
            <w:r w:rsidRPr="003E425B">
              <w:rPr>
                <w:rFonts w:ascii="Times New Roman" w:hAnsi="Times New Roman"/>
                <w:sz w:val="28"/>
                <w:szCs w:val="20"/>
                <w:lang w:eastAsia="es-MX"/>
              </w:rPr>
              <w:t>, cuyo objeto es constatar la compatibilidad de la iniciativa con el MFMP</w:t>
            </w:r>
            <w:r w:rsidRPr="003E425B">
              <w:rPr>
                <w:rFonts w:ascii="Times New Roman" w:hAnsi="Times New Roman"/>
                <w:sz w:val="28"/>
                <w:szCs w:val="20"/>
                <w:lang w:eastAsia="es-MX"/>
              </w:rPr>
              <w:t xml:space="preserve">. El incumplimiento de este deber constituye un vicio insubsanable de procedimiento. </w:t>
            </w:r>
          </w:p>
          <w:p w:rsidR="001A2F3D" w:rsidRPr="003E425B" w:rsidRDefault="003E425B" w:rsidP="000C6CC6">
            <w:pPr>
              <w:pStyle w:val="Prrafodelista"/>
              <w:numPr>
                <w:ilvl w:val="0"/>
                <w:numId w:val="30"/>
              </w:numPr>
              <w:tabs>
                <w:tab w:val="left" w:pos="311"/>
              </w:tabs>
              <w:spacing w:line="240" w:lineRule="auto"/>
              <w:ind w:left="739" w:hanging="428"/>
              <w:rPr>
                <w:rFonts w:ascii="Times New Roman" w:hAnsi="Times New Roman"/>
                <w:sz w:val="28"/>
                <w:szCs w:val="20"/>
                <w:lang w:eastAsia="es-MX"/>
              </w:rPr>
            </w:pPr>
            <w:r w:rsidRPr="003E425B">
              <w:rPr>
                <w:rFonts w:ascii="Times New Roman" w:hAnsi="Times New Roman"/>
                <w:sz w:val="28"/>
                <w:szCs w:val="20"/>
                <w:lang w:eastAsia="es-MX"/>
              </w:rPr>
              <w:t>El Congreso de la Repú</w:t>
            </w:r>
            <w:r w:rsidRPr="003E425B">
              <w:rPr>
                <w:rFonts w:ascii="Times New Roman" w:hAnsi="Times New Roman"/>
                <w:sz w:val="28"/>
                <w:szCs w:val="20"/>
                <w:lang w:eastAsia="es-MX"/>
              </w:rPr>
              <w:t>blica debe estudiar y deliberar sobre el concepto del MHCP y, en términos globales, sobre el impacto fiscal de la iniciativa. El concepto, sin embargo, no es vinculante.</w:t>
            </w:r>
          </w:p>
          <w:p w:rsidR="002860D7" w:rsidRPr="003E425B" w:rsidRDefault="003E425B" w:rsidP="00BB3633">
            <w:pPr>
              <w:pStyle w:val="Prrafodelista"/>
              <w:numPr>
                <w:ilvl w:val="0"/>
                <w:numId w:val="29"/>
              </w:numPr>
              <w:tabs>
                <w:tab w:val="left" w:pos="311"/>
              </w:tabs>
              <w:spacing w:line="240" w:lineRule="auto"/>
              <w:ind w:left="357" w:hanging="357"/>
              <w:rPr>
                <w:rFonts w:ascii="Times New Roman" w:hAnsi="Times New Roman"/>
                <w:sz w:val="28"/>
                <w:szCs w:val="20"/>
                <w:lang w:eastAsia="es-MX"/>
              </w:rPr>
            </w:pPr>
            <w:r w:rsidRPr="003E425B">
              <w:rPr>
                <w:rFonts w:ascii="Times New Roman" w:hAnsi="Times New Roman"/>
                <w:sz w:val="28"/>
                <w:szCs w:val="20"/>
                <w:lang w:eastAsia="es-MX"/>
              </w:rPr>
              <w:t xml:space="preserve"> </w:t>
            </w:r>
            <w:r w:rsidRPr="003E425B">
              <w:rPr>
                <w:rFonts w:ascii="Times New Roman" w:hAnsi="Times New Roman"/>
                <w:sz w:val="28"/>
                <w:szCs w:val="20"/>
                <w:lang w:eastAsia="es-MX"/>
              </w:rPr>
              <w:t>En atención a la naturaleza procesal</w:t>
            </w:r>
            <w:r w:rsidRPr="003E425B">
              <w:rPr>
                <w:rFonts w:ascii="Times New Roman" w:hAnsi="Times New Roman"/>
                <w:sz w:val="28"/>
                <w:szCs w:val="20"/>
                <w:lang w:eastAsia="es-MX"/>
              </w:rPr>
              <w:t xml:space="preserve"> y </w:t>
            </w:r>
            <w:r w:rsidRPr="003E425B">
              <w:rPr>
                <w:rFonts w:ascii="Times New Roman" w:hAnsi="Times New Roman"/>
                <w:sz w:val="28"/>
                <w:szCs w:val="20"/>
                <w:lang w:eastAsia="es-MX"/>
              </w:rPr>
              <w:t>deliberativa de la obligación de llevar a cabo</w:t>
            </w:r>
            <w:r w:rsidRPr="003E425B">
              <w:rPr>
                <w:rFonts w:ascii="Times New Roman" w:hAnsi="Times New Roman"/>
                <w:sz w:val="28"/>
                <w:szCs w:val="20"/>
                <w:lang w:eastAsia="es-MX"/>
              </w:rPr>
              <w:t xml:space="preserve"> el análisis de impacto fiscal, al estudiar el cumplimiento de las exigencias previstas en el artículo 7º de la Ley 819 de 2003, no le corresponde a la Corte realizar valoraciones de la utilidad y oportunidad del gasto, ni comparar su cuantía con el marco </w:t>
            </w:r>
            <w:r w:rsidRPr="003E425B">
              <w:rPr>
                <w:rFonts w:ascii="Times New Roman" w:hAnsi="Times New Roman"/>
                <w:sz w:val="28"/>
                <w:szCs w:val="20"/>
                <w:lang w:eastAsia="es-MX"/>
              </w:rPr>
              <w:t xml:space="preserve">fiscal de mediano plazo. La labor de la Corte se circunscribe a constatar, a partir de un análisis global del trámite legislativo, que el Gobierno Nacional, el MCHP y el Congreso, al amparo del principio de colaboración armónica, tuvieron </w:t>
            </w:r>
            <w:r w:rsidRPr="003E425B">
              <w:rPr>
                <w:rFonts w:ascii="Times New Roman" w:hAnsi="Times New Roman"/>
                <w:sz w:val="28"/>
                <w:szCs w:val="20"/>
                <w:lang w:val="es-ES" w:eastAsia="es-MX"/>
              </w:rPr>
              <w:t>en cuenta las rea</w:t>
            </w:r>
            <w:r w:rsidRPr="003E425B">
              <w:rPr>
                <w:rFonts w:ascii="Times New Roman" w:hAnsi="Times New Roman"/>
                <w:sz w:val="28"/>
                <w:szCs w:val="20"/>
                <w:lang w:val="es-ES" w:eastAsia="es-MX"/>
              </w:rPr>
              <w:t>lidades macroeconómicas y los referentes básicos de la incidencia fiscal de la iniciativa.</w:t>
            </w:r>
            <w:r w:rsidRPr="003E425B">
              <w:rPr>
                <w:rFonts w:ascii="Times New Roman" w:hAnsi="Times New Roman"/>
                <w:sz w:val="28"/>
                <w:szCs w:val="20"/>
                <w:lang w:val="es-ES" w:eastAsia="es-MX"/>
              </w:rPr>
              <w:t xml:space="preserve"> </w:t>
            </w:r>
          </w:p>
        </w:tc>
      </w:tr>
    </w:tbl>
    <w:p w:rsidR="00DE7725" w:rsidRPr="003E425B" w:rsidRDefault="003E425B" w:rsidP="00010108">
      <w:pPr>
        <w:rPr>
          <w:rFonts w:ascii="Times New Roman" w:hAnsi="Times New Roman" w:cs="Times New Roman"/>
          <w:sz w:val="28"/>
        </w:rPr>
      </w:pPr>
    </w:p>
    <w:p w:rsidR="00DE7725" w:rsidRPr="003E425B" w:rsidRDefault="003E425B" w:rsidP="00010108">
      <w:pPr>
        <w:pStyle w:val="Ttulo2"/>
        <w:numPr>
          <w:ilvl w:val="2"/>
          <w:numId w:val="14"/>
        </w:numPr>
        <w:ind w:left="1276" w:hanging="567"/>
        <w:rPr>
          <w:rFonts w:ascii="Times New Roman" w:hAnsi="Times New Roman" w:cs="Times New Roman"/>
          <w:bCs/>
          <w:sz w:val="28"/>
        </w:rPr>
      </w:pPr>
      <w:bookmarkStart w:id="27" w:name="_Ref168477306"/>
      <w:r w:rsidRPr="003E425B">
        <w:rPr>
          <w:rFonts w:ascii="Times New Roman" w:hAnsi="Times New Roman" w:cs="Times New Roman"/>
          <w:bCs/>
          <w:sz w:val="28"/>
        </w:rPr>
        <w:t>Caso concreto</w:t>
      </w:r>
      <w:bookmarkEnd w:id="27"/>
      <w:r w:rsidRPr="003E425B">
        <w:rPr>
          <w:rFonts w:ascii="Times New Roman" w:hAnsi="Times New Roman" w:cs="Times New Roman"/>
          <w:bCs/>
          <w:sz w:val="28"/>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iCs/>
          <w:sz w:val="28"/>
          <w:lang w:eastAsia="es-MX"/>
        </w:rPr>
        <w:t xml:space="preserve">En la presente sección, la Corte Constitucional examinará si, </w:t>
      </w:r>
      <w:r w:rsidRPr="003E425B">
        <w:rPr>
          <w:rFonts w:ascii="Times New Roman" w:hAnsi="Times New Roman"/>
          <w:bCs/>
          <w:iCs/>
          <w:sz w:val="28"/>
          <w:lang w:eastAsia="es-MX"/>
        </w:rPr>
        <w:t xml:space="preserve">en el trámite legislativo que culminó en la aprobación de la Ley 2281 de 2023, se </w:t>
      </w:r>
      <w:r w:rsidRPr="003E425B">
        <w:rPr>
          <w:rFonts w:ascii="Times New Roman" w:hAnsi="Times New Roman"/>
          <w:bCs/>
          <w:iCs/>
          <w:sz w:val="28"/>
          <w:lang w:eastAsia="es-MX"/>
        </w:rPr>
        <w:t>analizó el impacto fiscal de la creación del Ministerio de Igualdad y Equidad</w:t>
      </w:r>
      <w:r w:rsidRPr="003E425B">
        <w:rPr>
          <w:rFonts w:ascii="Times New Roman" w:hAnsi="Times New Roman"/>
          <w:bCs/>
          <w:iCs/>
          <w:sz w:val="28"/>
          <w:lang w:eastAsia="es-MX"/>
        </w:rPr>
        <w:t>,</w:t>
      </w:r>
      <w:r w:rsidRPr="003E425B">
        <w:rPr>
          <w:rFonts w:ascii="Times New Roman" w:hAnsi="Times New Roman"/>
          <w:bCs/>
          <w:iCs/>
          <w:sz w:val="28"/>
          <w:lang w:eastAsia="es-MX"/>
        </w:rPr>
        <w:t xml:space="preserve"> conforme a las exigencias previstas en el artículo 7º de la Ley 819 de 2003</w:t>
      </w:r>
      <w:r w:rsidRPr="003E425B">
        <w:rPr>
          <w:rFonts w:ascii="Times New Roman" w:hAnsi="Times New Roman"/>
          <w:iCs/>
          <w:sz w:val="28"/>
          <w:lang w:eastAsia="es-MX"/>
        </w:rPr>
        <w:t>. A dichos efectos, la Sala Plena empleará la metodología que ha sido desarrollada por la jurisprudenc</w:t>
      </w:r>
      <w:r w:rsidRPr="003E425B">
        <w:rPr>
          <w:rFonts w:ascii="Times New Roman" w:hAnsi="Times New Roman"/>
          <w:iCs/>
          <w:sz w:val="28"/>
          <w:lang w:eastAsia="es-MX"/>
        </w:rPr>
        <w:t>ia constitucional, la cual consta de tres etapas:</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1"/>
          <w:numId w:val="28"/>
        </w:numPr>
        <w:tabs>
          <w:tab w:val="left" w:pos="851"/>
        </w:tabs>
        <w:spacing w:line="240" w:lineRule="auto"/>
        <w:ind w:left="851" w:hanging="851"/>
        <w:rPr>
          <w:rFonts w:ascii="Times New Roman" w:hAnsi="Times New Roman"/>
          <w:sz w:val="28"/>
          <w:lang w:eastAsia="es-MX"/>
        </w:rPr>
      </w:pPr>
      <w:r w:rsidRPr="003E425B">
        <w:rPr>
          <w:rFonts w:ascii="Times New Roman" w:hAnsi="Times New Roman"/>
          <w:i/>
          <w:iCs/>
          <w:sz w:val="28"/>
          <w:lang w:eastAsia="es-MX"/>
        </w:rPr>
        <w:t>Etapa 1</w:t>
      </w:r>
      <w:r w:rsidRPr="003E425B">
        <w:rPr>
          <w:rFonts w:ascii="Times New Roman" w:hAnsi="Times New Roman"/>
          <w:iCs/>
          <w:sz w:val="28"/>
          <w:lang w:eastAsia="es-MX"/>
        </w:rPr>
        <w:t xml:space="preserve">. La Corte Constitucional debe constatar el presupuesto material de exigibilidad del análisis de impacto fiscal. Esto es, verificar que la ley prevea una orden de gasto o conceda un beneficio </w:t>
      </w:r>
      <w:r w:rsidRPr="003E425B">
        <w:rPr>
          <w:rFonts w:ascii="Times New Roman" w:hAnsi="Times New Roman"/>
          <w:iCs/>
          <w:sz w:val="28"/>
          <w:lang w:eastAsia="es-MX"/>
        </w:rPr>
        <w:t>tributario. Si la ley no prevé una orden de gasto o concede un beneficio tributario, debe concluirse que el artículo 7º de la Ley 819 de 2003 no es aplicable. En contraste, si se constata que la norma tiene un costo fiscal, la Sala Plena debe continuar con</w:t>
      </w:r>
      <w:r w:rsidRPr="003E425B">
        <w:rPr>
          <w:rFonts w:ascii="Times New Roman" w:hAnsi="Times New Roman"/>
          <w:iCs/>
          <w:sz w:val="28"/>
          <w:lang w:eastAsia="es-MX"/>
        </w:rPr>
        <w:t xml:space="preserve"> el juicio.</w:t>
      </w:r>
    </w:p>
    <w:p w:rsidR="002860D7" w:rsidRPr="003E425B" w:rsidRDefault="003E425B" w:rsidP="000C6CC6">
      <w:pPr>
        <w:pStyle w:val="Prrafodelista"/>
        <w:numPr>
          <w:ilvl w:val="1"/>
          <w:numId w:val="28"/>
        </w:numPr>
        <w:tabs>
          <w:tab w:val="left" w:pos="851"/>
        </w:tabs>
        <w:spacing w:line="240" w:lineRule="auto"/>
        <w:ind w:left="851" w:hanging="851"/>
        <w:rPr>
          <w:rFonts w:ascii="Times New Roman" w:hAnsi="Times New Roman"/>
          <w:sz w:val="28"/>
          <w:lang w:eastAsia="es-MX"/>
        </w:rPr>
      </w:pPr>
      <w:r w:rsidRPr="003E425B">
        <w:rPr>
          <w:rFonts w:ascii="Times New Roman" w:hAnsi="Times New Roman"/>
          <w:i/>
          <w:iCs/>
          <w:sz w:val="28"/>
          <w:lang w:eastAsia="es-MX"/>
        </w:rPr>
        <w:t>Etapa 2</w:t>
      </w:r>
      <w:r w:rsidRPr="003E425B">
        <w:rPr>
          <w:rFonts w:ascii="Times New Roman" w:hAnsi="Times New Roman"/>
          <w:iCs/>
          <w:sz w:val="28"/>
          <w:lang w:eastAsia="es-MX"/>
        </w:rPr>
        <w:t xml:space="preserve">. La Corte Constitucional debe determinar si el origen de la iniciativa es: </w:t>
      </w:r>
      <w:r w:rsidRPr="003E425B">
        <w:rPr>
          <w:rFonts w:ascii="Times New Roman" w:hAnsi="Times New Roman"/>
          <w:i/>
          <w:iCs/>
          <w:sz w:val="28"/>
          <w:lang w:eastAsia="es-MX"/>
        </w:rPr>
        <w:t>(i)</w:t>
      </w:r>
      <w:r w:rsidRPr="003E425B">
        <w:rPr>
          <w:rFonts w:ascii="Times New Roman" w:hAnsi="Times New Roman"/>
          <w:iCs/>
          <w:sz w:val="28"/>
          <w:lang w:eastAsia="es-MX"/>
        </w:rPr>
        <w:t xml:space="preserve"> exclusiva del Gobierno Nacional, </w:t>
      </w:r>
      <w:r w:rsidRPr="003E425B">
        <w:rPr>
          <w:rFonts w:ascii="Times New Roman" w:hAnsi="Times New Roman"/>
          <w:i/>
          <w:iCs/>
          <w:sz w:val="28"/>
          <w:lang w:eastAsia="es-MX"/>
        </w:rPr>
        <w:t>(ii)</w:t>
      </w:r>
      <w:r w:rsidRPr="003E425B">
        <w:rPr>
          <w:rFonts w:ascii="Times New Roman" w:hAnsi="Times New Roman"/>
          <w:iCs/>
          <w:sz w:val="28"/>
          <w:lang w:eastAsia="es-MX"/>
        </w:rPr>
        <w:t xml:space="preserve"> legislativa o de otras ramas u órganos del poder público o </w:t>
      </w:r>
      <w:r w:rsidRPr="003E425B">
        <w:rPr>
          <w:rFonts w:ascii="Times New Roman" w:hAnsi="Times New Roman"/>
          <w:i/>
          <w:iCs/>
          <w:sz w:val="28"/>
          <w:lang w:eastAsia="es-MX"/>
        </w:rPr>
        <w:t>(iii)</w:t>
      </w:r>
      <w:r w:rsidRPr="003E425B">
        <w:rPr>
          <w:rFonts w:ascii="Times New Roman" w:hAnsi="Times New Roman"/>
          <w:iCs/>
          <w:sz w:val="28"/>
          <w:lang w:eastAsia="es-MX"/>
        </w:rPr>
        <w:t xml:space="preserve"> mixta, esto es, del Gobierno Nacional y el Congreso de</w:t>
      </w:r>
      <w:r w:rsidRPr="003E425B">
        <w:rPr>
          <w:rFonts w:ascii="Times New Roman" w:hAnsi="Times New Roman"/>
          <w:iCs/>
          <w:sz w:val="28"/>
          <w:lang w:eastAsia="es-MX"/>
        </w:rPr>
        <w:t xml:space="preserve"> la República. Esto, con el propósito de determinar el nivel de rigurosidad del escrutinio. </w:t>
      </w:r>
    </w:p>
    <w:p w:rsidR="002860D7" w:rsidRPr="003E425B" w:rsidRDefault="003E425B" w:rsidP="000C6CC6">
      <w:pPr>
        <w:pStyle w:val="Prrafodelista"/>
        <w:numPr>
          <w:ilvl w:val="1"/>
          <w:numId w:val="28"/>
        </w:numPr>
        <w:tabs>
          <w:tab w:val="left" w:pos="851"/>
        </w:tabs>
        <w:spacing w:line="240" w:lineRule="auto"/>
        <w:ind w:left="851" w:hanging="851"/>
        <w:rPr>
          <w:rFonts w:ascii="Times New Roman" w:hAnsi="Times New Roman"/>
          <w:sz w:val="28"/>
          <w:lang w:eastAsia="es-MX"/>
        </w:rPr>
      </w:pPr>
      <w:r w:rsidRPr="003E425B">
        <w:rPr>
          <w:rFonts w:ascii="Times New Roman" w:hAnsi="Times New Roman"/>
          <w:i/>
          <w:iCs/>
          <w:sz w:val="28"/>
          <w:lang w:eastAsia="es-MX"/>
        </w:rPr>
        <w:t>Etapa 3</w:t>
      </w:r>
      <w:r w:rsidRPr="003E425B">
        <w:rPr>
          <w:rFonts w:ascii="Times New Roman" w:hAnsi="Times New Roman"/>
          <w:iCs/>
          <w:sz w:val="28"/>
          <w:lang w:eastAsia="es-MX"/>
        </w:rPr>
        <w:t>. La Corte Constitucional debe concluir si, en el trámite de aprobación de la iniciativa, se llevó a cabo un análisis de impacto fiscal. Lo anterior, confor</w:t>
      </w:r>
      <w:r w:rsidRPr="003E425B">
        <w:rPr>
          <w:rFonts w:ascii="Times New Roman" w:hAnsi="Times New Roman"/>
          <w:iCs/>
          <w:sz w:val="28"/>
          <w:lang w:eastAsia="es-MX"/>
        </w:rPr>
        <w:t xml:space="preserve">me a las exigencias y deberes previstos en el artículo 7º de la Ley 819 de 2003 y las reglas desarrolladas por la jurisprudencia constitucional.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D46C88">
      <w:pPr>
        <w:pStyle w:val="Prrafodelista"/>
        <w:numPr>
          <w:ilvl w:val="0"/>
          <w:numId w:val="28"/>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En tales términos, a continuación, la Sala Plena </w:t>
      </w:r>
      <w:r w:rsidRPr="003E425B">
        <w:rPr>
          <w:rFonts w:ascii="Times New Roman" w:hAnsi="Times New Roman"/>
          <w:i/>
          <w:sz w:val="28"/>
          <w:lang w:eastAsia="es-MX"/>
        </w:rPr>
        <w:t>(i)</w:t>
      </w:r>
      <w:r w:rsidRPr="003E425B">
        <w:rPr>
          <w:rFonts w:ascii="Times New Roman" w:hAnsi="Times New Roman"/>
          <w:sz w:val="28"/>
          <w:lang w:eastAsia="es-MX"/>
        </w:rPr>
        <w:t xml:space="preserve"> examinará si la Ley 2281 de 2023 prevé una orden de gast</w:t>
      </w:r>
      <w:r w:rsidRPr="003E425B">
        <w:rPr>
          <w:rFonts w:ascii="Times New Roman" w:hAnsi="Times New Roman"/>
          <w:sz w:val="28"/>
          <w:lang w:eastAsia="es-MX"/>
        </w:rPr>
        <w:t xml:space="preserve">o, </w:t>
      </w:r>
      <w:r w:rsidRPr="003E425B">
        <w:rPr>
          <w:rFonts w:ascii="Times New Roman" w:hAnsi="Times New Roman"/>
          <w:i/>
          <w:sz w:val="28"/>
          <w:lang w:eastAsia="es-MX"/>
        </w:rPr>
        <w:t>(ii)</w:t>
      </w:r>
      <w:r w:rsidRPr="003E425B">
        <w:rPr>
          <w:rFonts w:ascii="Times New Roman" w:hAnsi="Times New Roman"/>
          <w:sz w:val="28"/>
          <w:lang w:eastAsia="es-MX"/>
        </w:rPr>
        <w:t xml:space="preserve"> determinará el origen de la iniciativa y </w:t>
      </w:r>
      <w:r w:rsidRPr="003E425B">
        <w:rPr>
          <w:rFonts w:ascii="Times New Roman" w:hAnsi="Times New Roman"/>
          <w:i/>
          <w:sz w:val="28"/>
          <w:lang w:eastAsia="es-MX"/>
        </w:rPr>
        <w:t>(iii)</w:t>
      </w:r>
      <w:r w:rsidRPr="003E425B">
        <w:rPr>
          <w:rFonts w:ascii="Times New Roman" w:hAnsi="Times New Roman"/>
          <w:sz w:val="28"/>
          <w:lang w:eastAsia="es-MX"/>
        </w:rPr>
        <w:t xml:space="preserve"> evaluará </w:t>
      </w:r>
      <w:r w:rsidRPr="003E425B">
        <w:rPr>
          <w:rFonts w:ascii="Times New Roman" w:hAnsi="Times New Roman"/>
          <w:sz w:val="28"/>
          <w:lang w:eastAsia="es-MX"/>
        </w:rPr>
        <w:t>si en el trámite aprobación de la ley 2281 de 2023 se llevó a cabo el análisis de impacto fiscal,</w:t>
      </w:r>
      <w:r w:rsidRPr="003E425B">
        <w:rPr>
          <w:rFonts w:ascii="Times New Roman" w:hAnsi="Times New Roman"/>
          <w:sz w:val="28"/>
          <w:lang w:eastAsia="es-MX"/>
        </w:rPr>
        <w:t xml:space="preserve"> </w:t>
      </w:r>
      <w:r w:rsidRPr="003E425B">
        <w:rPr>
          <w:rFonts w:ascii="Times New Roman" w:hAnsi="Times New Roman"/>
          <w:sz w:val="28"/>
          <w:lang w:eastAsia="es-MX"/>
        </w:rPr>
        <w:t xml:space="preserve">conforme a las exigencias previstas en el </w:t>
      </w:r>
      <w:r w:rsidRPr="003E425B">
        <w:rPr>
          <w:rFonts w:ascii="Times New Roman" w:hAnsi="Times New Roman"/>
          <w:sz w:val="28"/>
          <w:lang w:eastAsia="es-MX"/>
        </w:rPr>
        <w:t xml:space="preserve">artículo 7 de la Ley 819 de 2003.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7543C3">
      <w:pPr>
        <w:pStyle w:val="Ttulo4"/>
        <w:numPr>
          <w:ilvl w:val="0"/>
          <w:numId w:val="31"/>
        </w:numPr>
        <w:ind w:left="993" w:hanging="633"/>
        <w:rPr>
          <w:rFonts w:ascii="Times New Roman" w:hAnsi="Times New Roman" w:cs="Times New Roman"/>
          <w:sz w:val="28"/>
          <w:lang w:eastAsia="es-MX"/>
        </w:rPr>
      </w:pPr>
      <w:bookmarkStart w:id="28" w:name="_Ref168477308"/>
      <w:r w:rsidRPr="003E425B">
        <w:rPr>
          <w:rFonts w:ascii="Times New Roman" w:hAnsi="Times New Roman" w:cs="Times New Roman"/>
          <w:sz w:val="28"/>
          <w:lang w:eastAsia="es-MX"/>
        </w:rPr>
        <w:t xml:space="preserve">La Ley 2281 de </w:t>
      </w:r>
      <w:r w:rsidRPr="003E425B">
        <w:rPr>
          <w:rFonts w:ascii="Times New Roman" w:hAnsi="Times New Roman" w:cs="Times New Roman"/>
          <w:sz w:val="28"/>
          <w:lang w:eastAsia="es-MX"/>
        </w:rPr>
        <w:t>2023 ordena gasto</w:t>
      </w:r>
      <w:bookmarkEnd w:id="28"/>
    </w:p>
    <w:p w:rsidR="002860D7" w:rsidRPr="003E425B" w:rsidRDefault="003E425B" w:rsidP="00010108">
      <w:pPr>
        <w:pStyle w:val="Prrafodelista"/>
        <w:tabs>
          <w:tab w:val="left" w:pos="567"/>
        </w:tabs>
        <w:spacing w:line="240" w:lineRule="auto"/>
        <w:ind w:left="0"/>
        <w:rPr>
          <w:rFonts w:ascii="Times New Roman" w:hAnsi="Times New Roman"/>
          <w:sz w:val="28"/>
          <w:lang w:val="es-ES"/>
        </w:rPr>
      </w:pPr>
    </w:p>
    <w:p w:rsidR="002860D7" w:rsidRPr="003E425B" w:rsidRDefault="003E425B" w:rsidP="00D46C88">
      <w:pPr>
        <w:pStyle w:val="Prrafodelista"/>
        <w:numPr>
          <w:ilvl w:val="0"/>
          <w:numId w:val="28"/>
        </w:numPr>
        <w:tabs>
          <w:tab w:val="left" w:pos="567"/>
        </w:tabs>
        <w:spacing w:line="240" w:lineRule="auto"/>
        <w:ind w:left="0" w:firstLine="0"/>
        <w:rPr>
          <w:rFonts w:ascii="Times New Roman" w:hAnsi="Times New Roman"/>
          <w:sz w:val="28"/>
          <w:lang w:val="es-ES"/>
        </w:rPr>
      </w:pPr>
      <w:r w:rsidRPr="003E425B">
        <w:rPr>
          <w:rFonts w:ascii="Times New Roman" w:hAnsi="Times New Roman"/>
          <w:iCs/>
          <w:sz w:val="28"/>
          <w:lang w:eastAsia="es-MX"/>
        </w:rPr>
        <w:t xml:space="preserve"> La Sala Plena considera que la Ley 22</w:t>
      </w:r>
      <w:r w:rsidRPr="003E425B">
        <w:rPr>
          <w:rFonts w:ascii="Times New Roman" w:hAnsi="Times New Roman"/>
          <w:iCs/>
          <w:sz w:val="28"/>
          <w:lang w:eastAsia="es-MX"/>
        </w:rPr>
        <w:t>8</w:t>
      </w:r>
      <w:r w:rsidRPr="003E425B">
        <w:rPr>
          <w:rFonts w:ascii="Times New Roman" w:hAnsi="Times New Roman"/>
          <w:iCs/>
          <w:sz w:val="28"/>
          <w:lang w:eastAsia="es-MX"/>
        </w:rPr>
        <w:t xml:space="preserve">1 de 2023 ordena gasto porque </w:t>
      </w:r>
      <w:r w:rsidRPr="003E425B">
        <w:rPr>
          <w:rFonts w:ascii="Times New Roman" w:hAnsi="Times New Roman"/>
          <w:i/>
          <w:iCs/>
          <w:sz w:val="28"/>
          <w:lang w:eastAsia="es-MX"/>
        </w:rPr>
        <w:t>(a)</w:t>
      </w:r>
      <w:r w:rsidRPr="003E425B">
        <w:rPr>
          <w:rFonts w:ascii="Times New Roman" w:hAnsi="Times New Roman"/>
          <w:iCs/>
          <w:sz w:val="28"/>
          <w:lang w:eastAsia="es-MX"/>
        </w:rPr>
        <w:t xml:space="preserve"> dispone la creación del Ministerio de Igualdad y Equidad y</w:t>
      </w:r>
      <w:r w:rsidRPr="003E425B">
        <w:rPr>
          <w:rFonts w:ascii="Times New Roman" w:hAnsi="Times New Roman"/>
          <w:sz w:val="28"/>
          <w:lang w:eastAsia="es-MX"/>
        </w:rPr>
        <w:t xml:space="preserve"> </w:t>
      </w:r>
      <w:r w:rsidRPr="003E425B">
        <w:rPr>
          <w:rFonts w:ascii="Times New Roman" w:hAnsi="Times New Roman"/>
          <w:i/>
          <w:sz w:val="28"/>
          <w:lang w:eastAsia="es-MX"/>
        </w:rPr>
        <w:t>(b)</w:t>
      </w:r>
      <w:r w:rsidRPr="003E425B">
        <w:rPr>
          <w:rFonts w:ascii="Times New Roman" w:hAnsi="Times New Roman"/>
          <w:sz w:val="28"/>
          <w:lang w:eastAsia="es-MX"/>
        </w:rPr>
        <w:t xml:space="preserve"> constituye un título jurídico obligatorio y suficiente para la inclusión de una partida en la ley de </w:t>
      </w:r>
      <w:r w:rsidRPr="003E425B">
        <w:rPr>
          <w:rFonts w:ascii="Times New Roman" w:hAnsi="Times New Roman"/>
          <w:sz w:val="28"/>
          <w:lang w:eastAsia="es-MX"/>
        </w:rPr>
        <w:t xml:space="preserve">presupuesto encaminada a su financiación. </w:t>
      </w:r>
    </w:p>
    <w:p w:rsidR="002860D7" w:rsidRPr="003E425B" w:rsidRDefault="003E425B" w:rsidP="00010108">
      <w:pPr>
        <w:pStyle w:val="Prrafodelista"/>
        <w:tabs>
          <w:tab w:val="left" w:pos="567"/>
        </w:tabs>
        <w:spacing w:line="240" w:lineRule="auto"/>
        <w:ind w:left="0"/>
        <w:rPr>
          <w:rFonts w:ascii="Times New Roman" w:hAnsi="Times New Roman"/>
          <w:sz w:val="28"/>
          <w:lang w:val="es-ES"/>
        </w:rPr>
      </w:pPr>
    </w:p>
    <w:p w:rsidR="002860D7" w:rsidRPr="003E425B" w:rsidRDefault="003E425B" w:rsidP="000C6CC6">
      <w:pPr>
        <w:pStyle w:val="Ttulo5"/>
        <w:numPr>
          <w:ilvl w:val="0"/>
          <w:numId w:val="32"/>
        </w:numPr>
        <w:ind w:left="851" w:hanging="567"/>
        <w:rPr>
          <w:rFonts w:ascii="Times New Roman" w:hAnsi="Times New Roman" w:cs="Times New Roman"/>
          <w:sz w:val="28"/>
          <w:lang w:val="es-ES"/>
        </w:rPr>
      </w:pPr>
      <w:r w:rsidRPr="003E425B">
        <w:rPr>
          <w:rFonts w:ascii="Times New Roman" w:hAnsi="Times New Roman" w:cs="Times New Roman"/>
          <w:sz w:val="28"/>
          <w:lang w:eastAsia="es-MX"/>
        </w:rPr>
        <w:t>La Ley 2281 de 2023 dispuso la creación del Ministerio de Igualdad y Equidad</w:t>
      </w:r>
    </w:p>
    <w:p w:rsidR="002860D7" w:rsidRPr="003E425B" w:rsidRDefault="003E425B" w:rsidP="00010108">
      <w:pPr>
        <w:rPr>
          <w:rFonts w:ascii="Times New Roman" w:hAnsi="Times New Roman" w:cs="Times New Roman"/>
          <w:sz w:val="28"/>
          <w:lang w:eastAsia="es-MX"/>
        </w:rPr>
      </w:pPr>
    </w:p>
    <w:p w:rsidR="002860D7" w:rsidRPr="003E425B" w:rsidRDefault="003E425B" w:rsidP="00997A0C">
      <w:pPr>
        <w:pStyle w:val="Prrafodelista"/>
        <w:numPr>
          <w:ilvl w:val="0"/>
          <w:numId w:val="28"/>
        </w:numPr>
        <w:tabs>
          <w:tab w:val="left" w:pos="567"/>
        </w:tabs>
        <w:spacing w:line="240" w:lineRule="auto"/>
        <w:ind w:left="0" w:firstLine="0"/>
        <w:rPr>
          <w:rFonts w:ascii="Times New Roman" w:hAnsi="Times New Roman"/>
          <w:sz w:val="28"/>
          <w:lang w:val="es-ES"/>
        </w:rPr>
      </w:pPr>
      <w:r w:rsidRPr="003E425B">
        <w:rPr>
          <w:rFonts w:ascii="Times New Roman" w:hAnsi="Times New Roman"/>
          <w:sz w:val="28"/>
          <w:lang w:eastAsia="es-MX"/>
        </w:rPr>
        <w:t xml:space="preserve">La Ley 2281 de 2023 dispuso la creación de </w:t>
      </w:r>
      <w:r w:rsidRPr="003E425B">
        <w:rPr>
          <w:rFonts w:ascii="Times New Roman" w:hAnsi="Times New Roman"/>
          <w:sz w:val="28"/>
          <w:lang w:eastAsia="es-MX"/>
        </w:rPr>
        <w:t>un organismo</w:t>
      </w:r>
      <w:r w:rsidRPr="003E425B">
        <w:rPr>
          <w:rFonts w:ascii="Times New Roman" w:hAnsi="Times New Roman"/>
          <w:sz w:val="28"/>
          <w:lang w:eastAsia="es-MX"/>
        </w:rPr>
        <w:t xml:space="preserve"> de la administración pública nacional: el Ministerio de Igualdad y Equidad. </w:t>
      </w:r>
      <w:r w:rsidRPr="003E425B">
        <w:rPr>
          <w:rFonts w:ascii="Times New Roman" w:hAnsi="Times New Roman"/>
          <w:sz w:val="28"/>
        </w:rPr>
        <w:t>En</w:t>
      </w:r>
      <w:r w:rsidRPr="003E425B">
        <w:rPr>
          <w:rFonts w:ascii="Times New Roman" w:hAnsi="Times New Roman"/>
          <w:sz w:val="28"/>
        </w:rPr>
        <w:t xml:space="preserve"> efecto, el artículo 1° prevé que el “objeto de la presente ley, en el marco del artículo 150 numeral </w:t>
      </w:r>
      <w:hyperlink r:id="rId11" w:anchor="150.n.7" w:history="1">
        <w:r w:rsidRPr="003E425B">
          <w:rPr>
            <w:rStyle w:val="Hipervnculo"/>
            <w:rFonts w:ascii="Times New Roman" w:hAnsi="Times New Roman"/>
            <w:color w:val="auto"/>
            <w:sz w:val="28"/>
            <w:u w:val="none"/>
          </w:rPr>
          <w:t>7</w:t>
        </w:r>
      </w:hyperlink>
      <w:r w:rsidRPr="003E425B">
        <w:rPr>
          <w:rFonts w:ascii="Times New Roman" w:hAnsi="Times New Roman"/>
          <w:color w:val="auto"/>
          <w:sz w:val="28"/>
        </w:rPr>
        <w:t> de la Constitución Política y el artículo </w:t>
      </w:r>
      <w:hyperlink r:id="rId12" w:anchor="50" w:history="1">
        <w:r w:rsidRPr="003E425B">
          <w:rPr>
            <w:rStyle w:val="Hipervnculo"/>
            <w:rFonts w:ascii="Times New Roman" w:hAnsi="Times New Roman"/>
            <w:color w:val="auto"/>
            <w:sz w:val="28"/>
            <w:u w:val="none"/>
          </w:rPr>
          <w:t>50</w:t>
        </w:r>
      </w:hyperlink>
      <w:r w:rsidRPr="003E425B">
        <w:rPr>
          <w:rFonts w:ascii="Times New Roman" w:hAnsi="Times New Roman"/>
          <w:sz w:val="28"/>
        </w:rPr>
        <w:t> de la Ley 489 de 1998, es la creación del Ministerio de Igualdad y Equidad y la adopción de los elementos de su estructura orgánica”. Por su parte, el artículo 2º dispon</w:t>
      </w:r>
      <w:r w:rsidRPr="003E425B">
        <w:rPr>
          <w:rFonts w:ascii="Times New Roman" w:hAnsi="Times New Roman"/>
          <w:sz w:val="28"/>
        </w:rPr>
        <w:t>e, con lenguaje imperativo: “</w:t>
      </w:r>
      <w:r w:rsidRPr="003E425B">
        <w:rPr>
          <w:rFonts w:ascii="Times New Roman" w:hAnsi="Times New Roman"/>
          <w:bCs/>
          <w:sz w:val="28"/>
        </w:rPr>
        <w:t xml:space="preserve">[c]réase </w:t>
      </w:r>
      <w:r w:rsidRPr="003E425B">
        <w:rPr>
          <w:rFonts w:ascii="Times New Roman" w:hAnsi="Times New Roman"/>
          <w:sz w:val="28"/>
        </w:rPr>
        <w:t>el Ministerio de Igualdad y Equidad</w:t>
      </w:r>
      <w:r w:rsidRPr="003E425B">
        <w:rPr>
          <w:rFonts w:ascii="Times New Roman" w:eastAsiaTheme="minorHAnsi" w:hAnsi="Times New Roman"/>
          <w:sz w:val="28"/>
          <w:szCs w:val="22"/>
          <w:shd w:val="clear" w:color="auto" w:fill="FFFFFF"/>
        </w:rPr>
        <w:t xml:space="preserve"> </w:t>
      </w:r>
      <w:r w:rsidRPr="003E425B">
        <w:rPr>
          <w:rFonts w:ascii="Times New Roman" w:hAnsi="Times New Roman"/>
          <w:sz w:val="28"/>
        </w:rPr>
        <w:t xml:space="preserve">como un organismo principal del sector central de la Rama Ejecutiva en el orden nacional, rector del Sector administrativo de Igualdad y Equidad y de sus entidades adscritas o </w:t>
      </w:r>
      <w:r w:rsidRPr="003E425B">
        <w:rPr>
          <w:rFonts w:ascii="Times New Roman" w:hAnsi="Times New Roman"/>
          <w:sz w:val="28"/>
        </w:rPr>
        <w:t>vinculadas, los órganos de asesoría, coordinación y articulación señalados legal o reglamentariamente”. Por último, el artículo 1</w:t>
      </w:r>
      <w:r w:rsidRPr="003E425B">
        <w:rPr>
          <w:rFonts w:ascii="Times New Roman" w:hAnsi="Times New Roman"/>
          <w:sz w:val="28"/>
        </w:rPr>
        <w:t>5</w:t>
      </w:r>
      <w:r w:rsidRPr="003E425B">
        <w:rPr>
          <w:rFonts w:ascii="Times New Roman" w:hAnsi="Times New Roman"/>
          <w:sz w:val="28"/>
        </w:rPr>
        <w:t xml:space="preserve"> modifica el artículo 17 de la Ley 1444 de 2011, el cual prevé el número, denominación y orden de precedencia de los ministeri</w:t>
      </w:r>
      <w:r w:rsidRPr="003E425B">
        <w:rPr>
          <w:rFonts w:ascii="Times New Roman" w:hAnsi="Times New Roman"/>
          <w:sz w:val="28"/>
        </w:rPr>
        <w:t xml:space="preserve">os. Lo anterior, con el objeto de incluir al Ministerio de Igualdad y Equidad en el numeral 19. </w:t>
      </w:r>
    </w:p>
    <w:p w:rsidR="002860D7" w:rsidRPr="003E425B" w:rsidRDefault="003E425B" w:rsidP="00010108">
      <w:pPr>
        <w:rPr>
          <w:rFonts w:ascii="Times New Roman" w:hAnsi="Times New Roman" w:cs="Times New Roman"/>
          <w:sz w:val="28"/>
          <w:lang w:val="es-ES"/>
        </w:rPr>
      </w:pPr>
    </w:p>
    <w:p w:rsidR="002860D7" w:rsidRPr="003E425B" w:rsidRDefault="003E425B" w:rsidP="00997A0C">
      <w:pPr>
        <w:pStyle w:val="Prrafodelista"/>
        <w:numPr>
          <w:ilvl w:val="0"/>
          <w:numId w:val="28"/>
        </w:numPr>
        <w:tabs>
          <w:tab w:val="left" w:pos="567"/>
        </w:tabs>
        <w:spacing w:line="240" w:lineRule="auto"/>
        <w:ind w:left="0" w:firstLine="0"/>
        <w:rPr>
          <w:rFonts w:ascii="Times New Roman" w:hAnsi="Times New Roman"/>
          <w:sz w:val="28"/>
        </w:rPr>
      </w:pPr>
      <w:r w:rsidRPr="003E425B">
        <w:rPr>
          <w:rFonts w:ascii="Times New Roman" w:hAnsi="Times New Roman"/>
          <w:sz w:val="28"/>
          <w:lang w:val="es-ES"/>
        </w:rPr>
        <w:t>La Sala advierte que no se requiere ningún desarrollo normativo -legal o reglamentario- adicional para la creación del Ministerio de Igualdad y Equidad. El ar</w:t>
      </w:r>
      <w:r w:rsidRPr="003E425B">
        <w:rPr>
          <w:rFonts w:ascii="Times New Roman" w:hAnsi="Times New Roman"/>
          <w:sz w:val="28"/>
          <w:lang w:val="es-ES"/>
        </w:rPr>
        <w:t xml:space="preserve">tículo 50 de la Ley 489 de 1998 establece que </w:t>
      </w:r>
      <w:r w:rsidRPr="003E425B">
        <w:rPr>
          <w:rFonts w:ascii="Times New Roman" w:hAnsi="Times New Roman"/>
          <w:sz w:val="28"/>
        </w:rPr>
        <w:t>la ley que disponga la creación de un organismo o entidad administrativa, como los ministerios, “deberá determinar sus objetivos y estructura orgánica” y “el soporte presupuestal de conformidad con los lineamie</w:t>
      </w:r>
      <w:r w:rsidRPr="003E425B">
        <w:rPr>
          <w:rFonts w:ascii="Times New Roman" w:hAnsi="Times New Roman"/>
          <w:sz w:val="28"/>
        </w:rPr>
        <w:t xml:space="preserve">ntos fiscales del Ministerio de Hacienda y Crédito Público”. Asimismo, precisa que la estructura orgánica de un organismo o entidad administrativa “comprende la determinación de los siguientes aspectos”: </w:t>
      </w:r>
      <w:r w:rsidRPr="003E425B">
        <w:rPr>
          <w:rFonts w:ascii="Times New Roman" w:hAnsi="Times New Roman"/>
          <w:i/>
          <w:sz w:val="28"/>
        </w:rPr>
        <w:t xml:space="preserve">(i) </w:t>
      </w:r>
      <w:r w:rsidRPr="003E425B">
        <w:rPr>
          <w:rFonts w:ascii="Times New Roman" w:hAnsi="Times New Roman"/>
          <w:sz w:val="28"/>
        </w:rPr>
        <w:t xml:space="preserve">la denominación, </w:t>
      </w:r>
      <w:r w:rsidRPr="003E425B">
        <w:rPr>
          <w:rFonts w:ascii="Times New Roman" w:hAnsi="Times New Roman"/>
          <w:i/>
          <w:sz w:val="28"/>
        </w:rPr>
        <w:t>(ii)</w:t>
      </w:r>
      <w:r w:rsidRPr="003E425B">
        <w:rPr>
          <w:rFonts w:ascii="Times New Roman" w:hAnsi="Times New Roman"/>
          <w:sz w:val="28"/>
        </w:rPr>
        <w:t xml:space="preserve"> la naturaleza jurídica y e</w:t>
      </w:r>
      <w:r w:rsidRPr="003E425B">
        <w:rPr>
          <w:rFonts w:ascii="Times New Roman" w:hAnsi="Times New Roman"/>
          <w:sz w:val="28"/>
        </w:rPr>
        <w:t xml:space="preserve">l consiguiente régimen jurídico, </w:t>
      </w:r>
      <w:r w:rsidRPr="003E425B">
        <w:rPr>
          <w:rFonts w:ascii="Times New Roman" w:hAnsi="Times New Roman"/>
          <w:i/>
          <w:sz w:val="28"/>
        </w:rPr>
        <w:t>(iii)</w:t>
      </w:r>
      <w:r w:rsidRPr="003E425B">
        <w:rPr>
          <w:rFonts w:ascii="Times New Roman" w:hAnsi="Times New Roman"/>
          <w:sz w:val="28"/>
        </w:rPr>
        <w:t xml:space="preserve"> la sede, </w:t>
      </w:r>
      <w:r w:rsidRPr="003E425B">
        <w:rPr>
          <w:rFonts w:ascii="Times New Roman" w:hAnsi="Times New Roman"/>
          <w:i/>
          <w:sz w:val="28"/>
        </w:rPr>
        <w:t>(iv)</w:t>
      </w:r>
      <w:r w:rsidRPr="003E425B">
        <w:rPr>
          <w:rFonts w:ascii="Times New Roman" w:hAnsi="Times New Roman"/>
          <w:sz w:val="28"/>
        </w:rPr>
        <w:t xml:space="preserve"> la integración de su patrimonio y </w:t>
      </w:r>
      <w:r w:rsidRPr="003E425B">
        <w:rPr>
          <w:rFonts w:ascii="Times New Roman" w:hAnsi="Times New Roman"/>
          <w:i/>
          <w:sz w:val="28"/>
        </w:rPr>
        <w:t>(v)</w:t>
      </w:r>
      <w:r w:rsidRPr="003E425B">
        <w:rPr>
          <w:rFonts w:ascii="Times New Roman" w:hAnsi="Times New Roman"/>
          <w:sz w:val="28"/>
        </w:rPr>
        <w:t xml:space="preserve"> el señalamiento de los órganos superiores de dirección y administración y la forma de integración y de designación de sus titulares. </w:t>
      </w:r>
    </w:p>
    <w:p w:rsidR="002860D7" w:rsidRPr="003E425B" w:rsidRDefault="003E425B" w:rsidP="00010108">
      <w:pPr>
        <w:rPr>
          <w:rFonts w:ascii="Times New Roman" w:hAnsi="Times New Roman" w:cs="Times New Roman"/>
          <w:sz w:val="28"/>
        </w:rPr>
      </w:pPr>
    </w:p>
    <w:p w:rsidR="002860D7" w:rsidRPr="003E425B" w:rsidRDefault="003E425B" w:rsidP="00997A0C">
      <w:pPr>
        <w:pStyle w:val="Prrafodelista"/>
        <w:numPr>
          <w:ilvl w:val="0"/>
          <w:numId w:val="28"/>
        </w:numPr>
        <w:tabs>
          <w:tab w:val="left" w:pos="567"/>
        </w:tabs>
        <w:spacing w:line="240" w:lineRule="auto"/>
        <w:ind w:left="0" w:firstLine="0"/>
        <w:rPr>
          <w:rFonts w:ascii="Times New Roman" w:hAnsi="Times New Roman"/>
          <w:sz w:val="28"/>
        </w:rPr>
      </w:pPr>
      <w:r w:rsidRPr="003E425B">
        <w:rPr>
          <w:rFonts w:ascii="Times New Roman" w:hAnsi="Times New Roman"/>
          <w:sz w:val="28"/>
        </w:rPr>
        <w:t xml:space="preserve">La Sala Plena constata que, tal y como se muestra en la siguiente tabla, la Ley 2281 de 2023 determinó los objetivos y estructura orgánica del Ministerio de Igualdad y Equidad: </w:t>
      </w:r>
    </w:p>
    <w:p w:rsidR="002860D7" w:rsidRPr="003E425B" w:rsidRDefault="003E425B" w:rsidP="00010108">
      <w:pPr>
        <w:rPr>
          <w:rFonts w:ascii="Times New Roman" w:hAnsi="Times New Roman" w:cs="Times New Roman"/>
          <w:sz w:val="28"/>
        </w:rPr>
      </w:pPr>
    </w:p>
    <w:tbl>
      <w:tblPr>
        <w:tblStyle w:val="Tablaconcuadrcula"/>
        <w:tblW w:w="5000" w:type="pct"/>
        <w:tblLook w:val="04A0" w:firstRow="1" w:lastRow="0" w:firstColumn="1" w:lastColumn="0" w:noHBand="0" w:noVBand="1"/>
      </w:tblPr>
      <w:tblGrid>
        <w:gridCol w:w="1505"/>
        <w:gridCol w:w="7325"/>
      </w:tblGrid>
      <w:tr w:rsidR="002860D7" w:rsidRPr="003E425B" w:rsidTr="00E4520F">
        <w:tc>
          <w:tcPr>
            <w:tcW w:w="5000" w:type="pct"/>
            <w:gridSpan w:val="2"/>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r w:rsidRPr="003E425B">
              <w:rPr>
                <w:rFonts w:ascii="Times New Roman" w:hAnsi="Times New Roman"/>
                <w:b/>
                <w:sz w:val="28"/>
                <w:szCs w:val="20"/>
              </w:rPr>
              <w:t>Ministerio de Igualdad y Equidad</w:t>
            </w:r>
          </w:p>
        </w:tc>
      </w:tr>
      <w:tr w:rsidR="002860D7" w:rsidRPr="003E425B" w:rsidTr="00E4520F">
        <w:tc>
          <w:tcPr>
            <w:tcW w:w="852"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r w:rsidRPr="003E425B">
              <w:rPr>
                <w:rFonts w:ascii="Times New Roman" w:hAnsi="Times New Roman"/>
                <w:b/>
                <w:sz w:val="28"/>
                <w:szCs w:val="20"/>
              </w:rPr>
              <w:t xml:space="preserve">Naturaleza </w:t>
            </w:r>
          </w:p>
        </w:tc>
        <w:tc>
          <w:tcPr>
            <w:tcW w:w="4148" w:type="pct"/>
          </w:tcPr>
          <w:p w:rsidR="002860D7" w:rsidRPr="003E425B" w:rsidRDefault="003E425B" w:rsidP="00010108">
            <w:pPr>
              <w:pStyle w:val="Prrafodelista"/>
              <w:tabs>
                <w:tab w:val="left" w:pos="567"/>
              </w:tabs>
              <w:spacing w:line="240" w:lineRule="auto"/>
              <w:ind w:left="0"/>
              <w:rPr>
                <w:rFonts w:ascii="Times New Roman" w:hAnsi="Times New Roman"/>
                <w:sz w:val="28"/>
                <w:szCs w:val="20"/>
              </w:rPr>
            </w:pPr>
            <w:r w:rsidRPr="003E425B">
              <w:rPr>
                <w:rFonts w:ascii="Times New Roman" w:hAnsi="Times New Roman"/>
                <w:sz w:val="28"/>
                <w:szCs w:val="20"/>
              </w:rPr>
              <w:t>El artículo 1º de la Ley 2281 d</w:t>
            </w:r>
            <w:r w:rsidRPr="003E425B">
              <w:rPr>
                <w:rFonts w:ascii="Times New Roman" w:hAnsi="Times New Roman"/>
                <w:sz w:val="28"/>
                <w:szCs w:val="20"/>
              </w:rPr>
              <w:t xml:space="preserve">e 2023 dispone que el Ministerio de Igualdad y Equidad es “un organismo principal del sector central de la Rama Ejecutiva en el orden nacional”. </w:t>
            </w:r>
          </w:p>
        </w:tc>
      </w:tr>
      <w:tr w:rsidR="002860D7" w:rsidRPr="003E425B" w:rsidTr="00E4520F">
        <w:tc>
          <w:tcPr>
            <w:tcW w:w="852"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r w:rsidRPr="003E425B">
              <w:rPr>
                <w:rFonts w:ascii="Times New Roman" w:hAnsi="Times New Roman"/>
                <w:b/>
                <w:sz w:val="28"/>
                <w:szCs w:val="20"/>
              </w:rPr>
              <w:t>Objetivo</w:t>
            </w:r>
          </w:p>
        </w:tc>
        <w:tc>
          <w:tcPr>
            <w:tcW w:w="4148" w:type="pct"/>
          </w:tcPr>
          <w:p w:rsidR="002860D7" w:rsidRPr="003E425B" w:rsidRDefault="003E425B" w:rsidP="00010108">
            <w:pPr>
              <w:pStyle w:val="Prrafodelista"/>
              <w:tabs>
                <w:tab w:val="left" w:pos="567"/>
              </w:tabs>
              <w:spacing w:line="240" w:lineRule="auto"/>
              <w:ind w:left="0"/>
              <w:rPr>
                <w:rFonts w:ascii="Times New Roman" w:hAnsi="Times New Roman"/>
                <w:sz w:val="28"/>
                <w:szCs w:val="20"/>
              </w:rPr>
            </w:pPr>
            <w:r w:rsidRPr="003E425B">
              <w:rPr>
                <w:rFonts w:ascii="Times New Roman" w:hAnsi="Times New Roman"/>
                <w:sz w:val="28"/>
                <w:szCs w:val="20"/>
              </w:rPr>
              <w:t>El artículo 3º de la Ley 2281 de 2023 dispone que el objetivo del Ministerio de la Igualdad y Equidad es diseñar, formular, adoptar, dirigir, coordinar, articular, ejecutar fortalecer y evaluar las políticas, planes, programas, estrategias, proyectos y med</w:t>
            </w:r>
            <w:r w:rsidRPr="003E425B">
              <w:rPr>
                <w:rFonts w:ascii="Times New Roman" w:hAnsi="Times New Roman"/>
                <w:sz w:val="28"/>
                <w:szCs w:val="20"/>
              </w:rPr>
              <w:t xml:space="preserve">idas para </w:t>
            </w:r>
            <w:r w:rsidRPr="003E425B">
              <w:rPr>
                <w:rFonts w:ascii="Times New Roman" w:hAnsi="Times New Roman"/>
                <w:i/>
                <w:sz w:val="28"/>
                <w:szCs w:val="20"/>
              </w:rPr>
              <w:t>(i)</w:t>
            </w:r>
            <w:r w:rsidRPr="003E425B">
              <w:rPr>
                <w:rFonts w:ascii="Times New Roman" w:hAnsi="Times New Roman"/>
                <w:sz w:val="28"/>
                <w:szCs w:val="20"/>
              </w:rPr>
              <w:t xml:space="preserve"> contribuir en la eliminación de las desigualdades económicas, políticas y sociales; </w:t>
            </w:r>
            <w:r w:rsidRPr="003E425B">
              <w:rPr>
                <w:rFonts w:ascii="Times New Roman" w:hAnsi="Times New Roman"/>
                <w:i/>
                <w:sz w:val="28"/>
                <w:szCs w:val="20"/>
              </w:rPr>
              <w:t>(ii)</w:t>
            </w:r>
            <w:r w:rsidRPr="003E425B">
              <w:rPr>
                <w:rFonts w:ascii="Times New Roman" w:hAnsi="Times New Roman"/>
                <w:sz w:val="28"/>
                <w:szCs w:val="20"/>
              </w:rPr>
              <w:t xml:space="preserve"> impulsar el goce del derecho a la igualdad; el cumplimiento de los principios de no discriminación y no regresividad y </w:t>
            </w:r>
            <w:r w:rsidRPr="003E425B">
              <w:rPr>
                <w:rFonts w:ascii="Times New Roman" w:hAnsi="Times New Roman"/>
                <w:i/>
                <w:sz w:val="28"/>
                <w:szCs w:val="20"/>
              </w:rPr>
              <w:t>(iii)</w:t>
            </w:r>
            <w:r w:rsidRPr="003E425B">
              <w:rPr>
                <w:rFonts w:ascii="Times New Roman" w:hAnsi="Times New Roman"/>
                <w:sz w:val="28"/>
                <w:szCs w:val="20"/>
              </w:rPr>
              <w:t xml:space="preserve"> defender los sujetos de espe</w:t>
            </w:r>
            <w:r w:rsidRPr="003E425B">
              <w:rPr>
                <w:rFonts w:ascii="Times New Roman" w:hAnsi="Times New Roman"/>
                <w:sz w:val="28"/>
                <w:szCs w:val="20"/>
              </w:rPr>
              <w:t>cial protección constitucional, de población vulnerable y de grupos históricamente discriminados o marginados, incorporando y adoptando los enfoques de derechos, de género, diferencial, étnico-racial e interseccional.</w:t>
            </w:r>
          </w:p>
        </w:tc>
      </w:tr>
      <w:tr w:rsidR="002860D7" w:rsidRPr="003E425B" w:rsidTr="00E4520F">
        <w:tc>
          <w:tcPr>
            <w:tcW w:w="852"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r w:rsidRPr="003E425B">
              <w:rPr>
                <w:rFonts w:ascii="Times New Roman" w:hAnsi="Times New Roman"/>
                <w:b/>
                <w:sz w:val="28"/>
                <w:szCs w:val="20"/>
              </w:rPr>
              <w:t>Funciones</w:t>
            </w:r>
          </w:p>
        </w:tc>
        <w:tc>
          <w:tcPr>
            <w:tcW w:w="4148" w:type="pct"/>
          </w:tcPr>
          <w:p w:rsidR="002860D7" w:rsidRPr="003E425B" w:rsidRDefault="003E425B" w:rsidP="00010108">
            <w:pPr>
              <w:tabs>
                <w:tab w:val="left" w:pos="567"/>
              </w:tabs>
              <w:rPr>
                <w:rFonts w:ascii="Times New Roman" w:eastAsia="Calibri" w:hAnsi="Times New Roman" w:cs="Times New Roman"/>
                <w:color w:val="000000"/>
                <w:sz w:val="28"/>
                <w:szCs w:val="20"/>
              </w:rPr>
            </w:pPr>
            <w:r w:rsidRPr="003E425B">
              <w:rPr>
                <w:rFonts w:ascii="Times New Roman" w:hAnsi="Times New Roman" w:cs="Times New Roman"/>
                <w:sz w:val="28"/>
                <w:szCs w:val="20"/>
              </w:rPr>
              <w:t>El artículo 4º de la Ley</w:t>
            </w:r>
            <w:r w:rsidRPr="003E425B">
              <w:rPr>
                <w:rFonts w:ascii="Times New Roman" w:hAnsi="Times New Roman" w:cs="Times New Roman"/>
                <w:sz w:val="28"/>
                <w:szCs w:val="20"/>
              </w:rPr>
              <w:t xml:space="preserve"> 2281 de 2023 enlista las funciones del Ministerio de Igualdad y Equidad las cuales incluyen, entre otras, </w:t>
            </w:r>
            <w:r w:rsidRPr="003E425B">
              <w:rPr>
                <w:rFonts w:ascii="Times New Roman" w:hAnsi="Times New Roman" w:cs="Times New Roman"/>
                <w:i/>
                <w:sz w:val="28"/>
                <w:szCs w:val="20"/>
              </w:rPr>
              <w:t>(i)</w:t>
            </w:r>
            <w:r w:rsidRPr="003E425B">
              <w:rPr>
                <w:rFonts w:ascii="Times New Roman" w:hAnsi="Times New Roman" w:cs="Times New Roman"/>
                <w:sz w:val="28"/>
                <w:szCs w:val="20"/>
              </w:rPr>
              <w:t xml:space="preserve"> a</w:t>
            </w:r>
            <w:r w:rsidRPr="003E425B">
              <w:rPr>
                <w:rFonts w:ascii="Times New Roman" w:eastAsia="Calibri" w:hAnsi="Times New Roman" w:cs="Times New Roman"/>
                <w:color w:val="000000"/>
                <w:sz w:val="28"/>
                <w:szCs w:val="20"/>
              </w:rPr>
              <w:t>doptar y ejecutar planes, programas, estrategias y proyectos para definir, gestionar y focalizar</w:t>
            </w:r>
            <w:r w:rsidRPr="003E425B">
              <w:rPr>
                <w:rFonts w:ascii="Times New Roman" w:eastAsia="Calibri" w:hAnsi="Times New Roman" w:cs="Times New Roman"/>
                <w:color w:val="000000"/>
                <w:sz w:val="28"/>
                <w:szCs w:val="20"/>
                <w:vertAlign w:val="superscript"/>
              </w:rPr>
              <w:t> </w:t>
            </w:r>
            <w:r w:rsidRPr="003E425B">
              <w:rPr>
                <w:rFonts w:ascii="Times New Roman" w:eastAsia="Calibri" w:hAnsi="Times New Roman" w:cs="Times New Roman"/>
                <w:color w:val="000000"/>
                <w:sz w:val="28"/>
                <w:szCs w:val="20"/>
              </w:rPr>
              <w:t xml:space="preserve">acciones dirigidas a la eliminación de todas las violencias contra las mujeres así como la eliminación de barreras económicas, sociales y políticas o de discriminación contra ellas, </w:t>
            </w:r>
            <w:r w:rsidRPr="003E425B">
              <w:rPr>
                <w:rFonts w:ascii="Times New Roman" w:eastAsia="Calibri" w:hAnsi="Times New Roman" w:cs="Times New Roman"/>
                <w:i/>
                <w:color w:val="000000"/>
                <w:sz w:val="28"/>
                <w:szCs w:val="20"/>
              </w:rPr>
              <w:t>(ii)</w:t>
            </w:r>
            <w:r w:rsidRPr="003E425B">
              <w:rPr>
                <w:rFonts w:ascii="Times New Roman" w:eastAsia="Calibri" w:hAnsi="Times New Roman" w:cs="Times New Roman"/>
                <w:color w:val="000000"/>
                <w:sz w:val="28"/>
                <w:szCs w:val="20"/>
              </w:rPr>
              <w:t xml:space="preserve"> f</w:t>
            </w:r>
            <w:r w:rsidRPr="003E425B">
              <w:rPr>
                <w:rFonts w:ascii="Times New Roman" w:hAnsi="Times New Roman" w:cs="Times New Roman"/>
                <w:sz w:val="28"/>
                <w:szCs w:val="20"/>
              </w:rPr>
              <w:t>ormular, adoptar y ejecutar planes, programas, estrategias y proyect</w:t>
            </w:r>
            <w:r w:rsidRPr="003E425B">
              <w:rPr>
                <w:rFonts w:ascii="Times New Roman" w:hAnsi="Times New Roman" w:cs="Times New Roman"/>
                <w:sz w:val="28"/>
                <w:szCs w:val="20"/>
              </w:rPr>
              <w:t xml:space="preserve">os para definir, gestionar y focalizar la oferta social de las entidades del Orden Nacional en el territorio, </w:t>
            </w:r>
            <w:r w:rsidRPr="003E425B">
              <w:rPr>
                <w:rFonts w:ascii="Times New Roman" w:hAnsi="Times New Roman" w:cs="Times New Roman"/>
                <w:i/>
                <w:sz w:val="28"/>
                <w:szCs w:val="20"/>
              </w:rPr>
              <w:t>(iii)</w:t>
            </w:r>
            <w:r w:rsidRPr="003E425B">
              <w:rPr>
                <w:rFonts w:ascii="Times New Roman" w:hAnsi="Times New Roman" w:cs="Times New Roman"/>
                <w:sz w:val="28"/>
                <w:szCs w:val="20"/>
              </w:rPr>
              <w:t xml:space="preserve"> dirigir y orientar la planeación del Sector Administrativo de Igualdad y Equidad para el cumplimiento de las funciones a su cargo. </w:t>
            </w:r>
          </w:p>
        </w:tc>
      </w:tr>
      <w:tr w:rsidR="002860D7" w:rsidRPr="003E425B" w:rsidTr="00E4520F">
        <w:tc>
          <w:tcPr>
            <w:tcW w:w="852"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r w:rsidRPr="003E425B">
              <w:rPr>
                <w:rFonts w:ascii="Times New Roman" w:hAnsi="Times New Roman"/>
                <w:b/>
                <w:sz w:val="28"/>
                <w:szCs w:val="20"/>
              </w:rPr>
              <w:t>Órganos</w:t>
            </w:r>
            <w:r w:rsidRPr="003E425B">
              <w:rPr>
                <w:rFonts w:ascii="Times New Roman" w:hAnsi="Times New Roman"/>
                <w:b/>
                <w:sz w:val="28"/>
                <w:szCs w:val="20"/>
              </w:rPr>
              <w:t xml:space="preserve"> de dirección y administración </w:t>
            </w:r>
          </w:p>
        </w:tc>
        <w:tc>
          <w:tcPr>
            <w:tcW w:w="4148" w:type="pct"/>
          </w:tcPr>
          <w:p w:rsidR="002860D7" w:rsidRPr="003E425B" w:rsidRDefault="003E425B" w:rsidP="00010108">
            <w:pPr>
              <w:tabs>
                <w:tab w:val="left" w:pos="567"/>
              </w:tabs>
              <w:rPr>
                <w:rFonts w:ascii="Times New Roman" w:hAnsi="Times New Roman" w:cs="Times New Roman"/>
                <w:sz w:val="28"/>
                <w:szCs w:val="20"/>
              </w:rPr>
            </w:pPr>
            <w:r w:rsidRPr="003E425B">
              <w:rPr>
                <w:rFonts w:ascii="Times New Roman" w:hAnsi="Times New Roman" w:cs="Times New Roman"/>
                <w:sz w:val="28"/>
                <w:szCs w:val="20"/>
              </w:rPr>
              <w:t xml:space="preserve">El artículo 11 de la Ley 2281 de 2023 describe la estructura interna del Ministerio de Igualdad y Equidad. En particular, señala </w:t>
            </w:r>
            <w:r w:rsidRPr="003E425B">
              <w:rPr>
                <w:rFonts w:ascii="Times New Roman" w:hAnsi="Times New Roman" w:cs="Times New Roman"/>
                <w:i/>
                <w:sz w:val="28"/>
                <w:szCs w:val="20"/>
              </w:rPr>
              <w:t>(i)</w:t>
            </w:r>
            <w:r w:rsidRPr="003E425B">
              <w:rPr>
                <w:rFonts w:ascii="Times New Roman" w:hAnsi="Times New Roman" w:cs="Times New Roman"/>
                <w:sz w:val="28"/>
                <w:szCs w:val="20"/>
              </w:rPr>
              <w:t xml:space="preserve"> las oficinas que integran el despacho de la Ministra o Ministro, </w:t>
            </w:r>
            <w:r w:rsidRPr="003E425B">
              <w:rPr>
                <w:rFonts w:ascii="Times New Roman" w:hAnsi="Times New Roman" w:cs="Times New Roman"/>
                <w:i/>
                <w:sz w:val="28"/>
                <w:szCs w:val="20"/>
              </w:rPr>
              <w:t>(ii)</w:t>
            </w:r>
            <w:r w:rsidRPr="003E425B">
              <w:rPr>
                <w:rFonts w:ascii="Times New Roman" w:hAnsi="Times New Roman" w:cs="Times New Roman"/>
                <w:sz w:val="28"/>
                <w:szCs w:val="20"/>
              </w:rPr>
              <w:t xml:space="preserve"> prevé que habrá tres </w:t>
            </w:r>
            <w:r w:rsidRPr="003E425B">
              <w:rPr>
                <w:rFonts w:ascii="Times New Roman" w:hAnsi="Times New Roman" w:cs="Times New Roman"/>
                <w:sz w:val="28"/>
                <w:szCs w:val="20"/>
              </w:rPr>
              <w:t xml:space="preserve">viceministerios, </w:t>
            </w:r>
            <w:r w:rsidRPr="003E425B">
              <w:rPr>
                <w:rFonts w:ascii="Times New Roman" w:hAnsi="Times New Roman" w:cs="Times New Roman"/>
                <w:i/>
                <w:sz w:val="28"/>
                <w:szCs w:val="20"/>
              </w:rPr>
              <w:t>(iii)</w:t>
            </w:r>
            <w:r w:rsidRPr="003E425B">
              <w:rPr>
                <w:rFonts w:ascii="Times New Roman" w:hAnsi="Times New Roman" w:cs="Times New Roman"/>
                <w:sz w:val="28"/>
                <w:szCs w:val="20"/>
              </w:rPr>
              <w:t xml:space="preserve"> identifica las subdirecciones de la Secretaría General y </w:t>
            </w:r>
            <w:r w:rsidRPr="003E425B">
              <w:rPr>
                <w:rFonts w:ascii="Times New Roman" w:hAnsi="Times New Roman" w:cs="Times New Roman"/>
                <w:i/>
                <w:sz w:val="28"/>
                <w:szCs w:val="20"/>
              </w:rPr>
              <w:t>(iv)</w:t>
            </w:r>
            <w:r w:rsidRPr="003E425B">
              <w:rPr>
                <w:rFonts w:ascii="Times New Roman" w:hAnsi="Times New Roman" w:cs="Times New Roman"/>
                <w:sz w:val="28"/>
                <w:szCs w:val="20"/>
              </w:rPr>
              <w:t xml:space="preserve"> enlista los órganos de asesoría y dirección. </w:t>
            </w:r>
          </w:p>
        </w:tc>
      </w:tr>
      <w:tr w:rsidR="002860D7" w:rsidRPr="003E425B" w:rsidTr="00E4520F">
        <w:tc>
          <w:tcPr>
            <w:tcW w:w="852" w:type="pct"/>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p>
          <w:p w:rsidR="002860D7" w:rsidRPr="003E425B" w:rsidRDefault="003E425B" w:rsidP="00010108">
            <w:pPr>
              <w:pStyle w:val="Prrafodelista"/>
              <w:tabs>
                <w:tab w:val="left" w:pos="567"/>
              </w:tabs>
              <w:spacing w:line="240" w:lineRule="auto"/>
              <w:ind w:left="0"/>
              <w:jc w:val="center"/>
              <w:rPr>
                <w:rFonts w:ascii="Times New Roman" w:hAnsi="Times New Roman"/>
                <w:b/>
                <w:sz w:val="28"/>
                <w:szCs w:val="20"/>
              </w:rPr>
            </w:pPr>
            <w:r w:rsidRPr="003E425B">
              <w:rPr>
                <w:rFonts w:ascii="Times New Roman" w:hAnsi="Times New Roman"/>
                <w:b/>
                <w:sz w:val="28"/>
                <w:szCs w:val="20"/>
              </w:rPr>
              <w:t xml:space="preserve">Presupuesto </w:t>
            </w:r>
          </w:p>
        </w:tc>
        <w:tc>
          <w:tcPr>
            <w:tcW w:w="4148" w:type="pct"/>
          </w:tcPr>
          <w:p w:rsidR="002860D7" w:rsidRPr="003E425B" w:rsidRDefault="003E425B" w:rsidP="00010108">
            <w:pPr>
              <w:tabs>
                <w:tab w:val="left" w:pos="567"/>
              </w:tabs>
              <w:rPr>
                <w:rFonts w:ascii="Times New Roman" w:hAnsi="Times New Roman" w:cs="Times New Roman"/>
                <w:sz w:val="28"/>
                <w:szCs w:val="20"/>
              </w:rPr>
            </w:pPr>
            <w:r w:rsidRPr="003E425B">
              <w:rPr>
                <w:rFonts w:ascii="Times New Roman" w:hAnsi="Times New Roman" w:cs="Times New Roman"/>
                <w:sz w:val="28"/>
                <w:szCs w:val="20"/>
              </w:rPr>
              <w:t xml:space="preserve">El artículo 8º dispone que el patrimonio del Ministerio de igualdad y Equidad estará conformado por </w:t>
            </w:r>
            <w:r w:rsidRPr="003E425B">
              <w:rPr>
                <w:rFonts w:ascii="Times New Roman" w:hAnsi="Times New Roman" w:cs="Times New Roman"/>
                <w:i/>
                <w:sz w:val="28"/>
                <w:szCs w:val="20"/>
              </w:rPr>
              <w:t>(i)</w:t>
            </w:r>
            <w:r w:rsidRPr="003E425B">
              <w:rPr>
                <w:rFonts w:ascii="Times New Roman" w:hAnsi="Times New Roman" w:cs="Times New Roman"/>
                <w:sz w:val="28"/>
                <w:szCs w:val="20"/>
              </w:rPr>
              <w:t xml:space="preserve"> las sumas que se apropien en el Presupuesto General de la Nación, </w:t>
            </w:r>
            <w:r w:rsidRPr="003E425B">
              <w:rPr>
                <w:rFonts w:ascii="Times New Roman" w:hAnsi="Times New Roman" w:cs="Times New Roman"/>
                <w:i/>
                <w:sz w:val="28"/>
                <w:szCs w:val="20"/>
              </w:rPr>
              <w:t>(ii)</w:t>
            </w:r>
            <w:r w:rsidRPr="003E425B">
              <w:rPr>
                <w:rFonts w:ascii="Times New Roman" w:hAnsi="Times New Roman" w:cs="Times New Roman"/>
                <w:sz w:val="28"/>
                <w:szCs w:val="20"/>
              </w:rPr>
              <w:t xml:space="preserve"> los bienes muebles e inmuebles que adquiera a cualquier título y </w:t>
            </w:r>
            <w:r w:rsidRPr="003E425B">
              <w:rPr>
                <w:rFonts w:ascii="Times New Roman" w:hAnsi="Times New Roman" w:cs="Times New Roman"/>
                <w:i/>
                <w:sz w:val="28"/>
                <w:szCs w:val="20"/>
              </w:rPr>
              <w:t>(iii)</w:t>
            </w:r>
            <w:r w:rsidRPr="003E425B">
              <w:rPr>
                <w:rFonts w:ascii="Times New Roman" w:hAnsi="Times New Roman" w:cs="Times New Roman"/>
                <w:sz w:val="28"/>
                <w:szCs w:val="20"/>
              </w:rPr>
              <w:t xml:space="preserve"> las sumas y los bienes muebles e inmuebles que le sean donados o cedidos por entidades públicas o privadas, nacio</w:t>
            </w:r>
            <w:r w:rsidRPr="003E425B">
              <w:rPr>
                <w:rFonts w:ascii="Times New Roman" w:hAnsi="Times New Roman" w:cs="Times New Roman"/>
                <w:sz w:val="28"/>
                <w:szCs w:val="20"/>
              </w:rPr>
              <w:t>nales o internacionales.</w:t>
            </w:r>
          </w:p>
        </w:tc>
      </w:tr>
    </w:tbl>
    <w:p w:rsidR="002860D7" w:rsidRPr="003E425B" w:rsidRDefault="003E425B" w:rsidP="00010108">
      <w:pPr>
        <w:tabs>
          <w:tab w:val="left" w:pos="567"/>
        </w:tabs>
        <w:rPr>
          <w:rFonts w:ascii="Times New Roman" w:hAnsi="Times New Roman" w:cs="Times New Roman"/>
          <w:sz w:val="28"/>
        </w:rPr>
      </w:pPr>
    </w:p>
    <w:p w:rsidR="002860D7" w:rsidRPr="003E425B" w:rsidRDefault="003E425B" w:rsidP="00997A0C">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rPr>
        <w:t>Ahora bien, la Sala Plena reconoce que el inciso final del artículo 11 de la Ley 2281 de 2023 dispone que “[e]n cumplimiento del objeto del Ministerio de Igualdad y Equidad, el Presidente de la República deberá integrar al Minist</w:t>
      </w:r>
      <w:r w:rsidRPr="003E425B">
        <w:rPr>
          <w:rFonts w:ascii="Times New Roman" w:hAnsi="Times New Roman"/>
          <w:sz w:val="28"/>
        </w:rPr>
        <w:t xml:space="preserve">erio de Igualdad y Equidad todas las áreas, dependencias y unidades administrativas, que sean necesarias para diseñar, formular, adoptar, dirigir, coordinar, articular, ejecutar y evaluar, las políticas, planes, programas, estrategias, proyectos y medidas </w:t>
      </w:r>
      <w:r w:rsidRPr="003E425B">
        <w:rPr>
          <w:rFonts w:ascii="Times New Roman" w:hAnsi="Times New Roman"/>
          <w:sz w:val="28"/>
        </w:rPr>
        <w:t xml:space="preserve">para contribuir en la eliminación de las desigualdades económicas, políticas y sociales; impulsar el goce del derecho a la igualdad y unificar la política de estado en materia de Igualdad y Equidad”.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997A0C">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rPr>
        <w:t xml:space="preserve">No obstante, a </w:t>
      </w:r>
      <w:r w:rsidRPr="003E425B">
        <w:rPr>
          <w:rFonts w:ascii="Times New Roman" w:hAnsi="Times New Roman"/>
          <w:sz w:val="28"/>
        </w:rPr>
        <w:t>diferencia de lo que sugieren algunos i</w:t>
      </w:r>
      <w:r w:rsidRPr="003E425B">
        <w:rPr>
          <w:rFonts w:ascii="Times New Roman" w:hAnsi="Times New Roman"/>
          <w:sz w:val="28"/>
        </w:rPr>
        <w:t>ntervinientes, la Corte considera que este inciso del artículo 11 no implica que la creación del Ministerio de Igualdad y Equidad esté sujeta al desarrollo reglamentario del Presidente de la República. Por el contrario, los artículos 1</w:t>
      </w:r>
      <w:r w:rsidRPr="003E425B">
        <w:rPr>
          <w:rFonts w:ascii="Times New Roman" w:hAnsi="Times New Roman"/>
          <w:sz w:val="28"/>
        </w:rPr>
        <w:t>º</w:t>
      </w:r>
      <w:r w:rsidRPr="003E425B">
        <w:rPr>
          <w:rFonts w:ascii="Times New Roman" w:hAnsi="Times New Roman"/>
          <w:sz w:val="28"/>
        </w:rPr>
        <w:t xml:space="preserve"> </w:t>
      </w:r>
      <w:r w:rsidRPr="003E425B">
        <w:rPr>
          <w:rFonts w:ascii="Times New Roman" w:hAnsi="Times New Roman"/>
          <w:sz w:val="28"/>
        </w:rPr>
        <w:t>y 2</w:t>
      </w:r>
      <w:r w:rsidRPr="003E425B">
        <w:rPr>
          <w:rFonts w:ascii="Times New Roman" w:hAnsi="Times New Roman"/>
          <w:sz w:val="28"/>
        </w:rPr>
        <w:t>º</w:t>
      </w:r>
      <w:r w:rsidRPr="003E425B">
        <w:rPr>
          <w:rFonts w:ascii="Times New Roman" w:hAnsi="Times New Roman"/>
          <w:sz w:val="28"/>
        </w:rPr>
        <w:t xml:space="preserve"> de la Ley 2281</w:t>
      </w:r>
      <w:r w:rsidRPr="003E425B">
        <w:rPr>
          <w:rFonts w:ascii="Times New Roman" w:hAnsi="Times New Roman"/>
          <w:sz w:val="28"/>
        </w:rPr>
        <w:t xml:space="preserve"> de 2023 disponen la creación de la entidad y el inciso final del artículo 11 de </w:t>
      </w:r>
      <w:r w:rsidRPr="003E425B">
        <w:rPr>
          <w:rFonts w:ascii="Times New Roman" w:hAnsi="Times New Roman"/>
          <w:sz w:val="28"/>
        </w:rPr>
        <w:t xml:space="preserve">esta Ley </w:t>
      </w:r>
      <w:r w:rsidRPr="003E425B">
        <w:rPr>
          <w:rFonts w:ascii="Times New Roman" w:hAnsi="Times New Roman"/>
          <w:sz w:val="28"/>
        </w:rPr>
        <w:t>sólo reitera la facultad constitucional del Presidente de la República prevista en los numerales 15 y 16 del artículo 189 de la Constitución. Estos numerales disponen</w:t>
      </w:r>
      <w:r w:rsidRPr="003E425B">
        <w:rPr>
          <w:rFonts w:ascii="Times New Roman" w:hAnsi="Times New Roman"/>
          <w:sz w:val="28"/>
        </w:rPr>
        <w:t xml:space="preserve"> que, en ejercicio de potestad reglamentaria, el Presidente de la República tiene competencia para </w:t>
      </w:r>
      <w:r w:rsidRPr="003E425B">
        <w:rPr>
          <w:rFonts w:ascii="Times New Roman" w:hAnsi="Times New Roman"/>
          <w:i/>
          <w:iCs/>
          <w:sz w:val="28"/>
        </w:rPr>
        <w:t>(i)</w:t>
      </w:r>
      <w:r w:rsidRPr="003E425B">
        <w:rPr>
          <w:rFonts w:ascii="Times New Roman" w:hAnsi="Times New Roman"/>
          <w:sz w:val="28"/>
        </w:rPr>
        <w:t xml:space="preserve"> “[s]uprimir o fusionar entidades u organismos administrativos nacionales de conformidad con la ley” y </w:t>
      </w:r>
      <w:r w:rsidRPr="003E425B">
        <w:rPr>
          <w:rFonts w:ascii="Times New Roman" w:hAnsi="Times New Roman"/>
          <w:i/>
          <w:iCs/>
          <w:sz w:val="28"/>
        </w:rPr>
        <w:t>(ii)</w:t>
      </w:r>
      <w:r w:rsidRPr="003E425B">
        <w:rPr>
          <w:rFonts w:ascii="Times New Roman" w:hAnsi="Times New Roman"/>
          <w:sz w:val="28"/>
        </w:rPr>
        <w:t xml:space="preserve"> “modificar la estructura de los Ministerios, Departamentos Administrativos y demás entidades u organismos administrativos nacionales”. Los artículos 52 y 54 de la Ley 489 de 1998 disponen los principios y requisitos conforme a los cuales el Presidente de </w:t>
      </w:r>
      <w:r w:rsidRPr="003E425B">
        <w:rPr>
          <w:rFonts w:ascii="Times New Roman" w:hAnsi="Times New Roman"/>
          <w:sz w:val="28"/>
        </w:rPr>
        <w:t xml:space="preserve">la República debe ejercer esta potestad.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CD28F9">
      <w:pPr>
        <w:pStyle w:val="Prrafodelista"/>
        <w:numPr>
          <w:ilvl w:val="0"/>
          <w:numId w:val="28"/>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Con fundamento en las anteriores consideraciones, la Sala Plena constata que </w:t>
      </w:r>
      <w:r w:rsidRPr="003E425B">
        <w:rPr>
          <w:rFonts w:ascii="Times New Roman" w:hAnsi="Times New Roman"/>
          <w:i/>
          <w:iCs/>
          <w:sz w:val="28"/>
          <w:lang w:eastAsia="es-MX"/>
        </w:rPr>
        <w:t>(i)</w:t>
      </w:r>
      <w:r w:rsidRPr="003E425B">
        <w:rPr>
          <w:rFonts w:ascii="Times New Roman" w:hAnsi="Times New Roman"/>
          <w:sz w:val="28"/>
          <w:lang w:eastAsia="es-MX"/>
        </w:rPr>
        <w:t xml:space="preserve"> </w:t>
      </w:r>
      <w:r w:rsidRPr="003E425B">
        <w:rPr>
          <w:rFonts w:ascii="Times New Roman" w:hAnsi="Times New Roman"/>
          <w:sz w:val="28"/>
          <w:lang w:eastAsia="es-MX"/>
        </w:rPr>
        <w:t>la Ley 2281 de 2023 creó el Ministerio de Igualdad y Equidad, fijó su naturaleza, objetivo, funciones, órganos de dirección y presup</w:t>
      </w:r>
      <w:r w:rsidRPr="003E425B">
        <w:rPr>
          <w:rFonts w:ascii="Times New Roman" w:hAnsi="Times New Roman"/>
          <w:sz w:val="28"/>
          <w:lang w:eastAsia="es-MX"/>
        </w:rPr>
        <w:t>uesto, entre otros</w:t>
      </w:r>
      <w:r w:rsidRPr="003E425B">
        <w:rPr>
          <w:rFonts w:ascii="Times New Roman" w:hAnsi="Times New Roman"/>
          <w:sz w:val="28"/>
          <w:lang w:eastAsia="es-MX"/>
        </w:rPr>
        <w:t xml:space="preserve">; </w:t>
      </w:r>
      <w:r w:rsidRPr="003E425B">
        <w:rPr>
          <w:rFonts w:ascii="Times New Roman" w:hAnsi="Times New Roman"/>
          <w:i/>
          <w:iCs/>
          <w:sz w:val="28"/>
          <w:lang w:eastAsia="es-MX"/>
        </w:rPr>
        <w:t>y (ii)</w:t>
      </w:r>
      <w:r w:rsidRPr="003E425B">
        <w:rPr>
          <w:rFonts w:ascii="Times New Roman" w:hAnsi="Times New Roman"/>
          <w:sz w:val="28"/>
          <w:lang w:eastAsia="es-MX"/>
        </w:rPr>
        <w:t xml:space="preserve"> </w:t>
      </w:r>
      <w:r w:rsidRPr="003E425B">
        <w:rPr>
          <w:rFonts w:ascii="Times New Roman" w:hAnsi="Times New Roman"/>
          <w:sz w:val="28"/>
          <w:lang w:eastAsia="es-MX"/>
        </w:rPr>
        <w:t>no se requiere ningún desarrollo normativo adicional para la creación de esta nueva entidad.</w:t>
      </w:r>
    </w:p>
    <w:p w:rsidR="002860D7" w:rsidRPr="003E425B" w:rsidRDefault="003E425B" w:rsidP="00010108">
      <w:pPr>
        <w:pStyle w:val="Prrafodelista"/>
        <w:tabs>
          <w:tab w:val="left" w:pos="567"/>
        </w:tabs>
        <w:spacing w:line="240" w:lineRule="auto"/>
        <w:ind w:left="0"/>
        <w:rPr>
          <w:rFonts w:ascii="Times New Roman" w:hAnsi="Times New Roman"/>
          <w:sz w:val="28"/>
        </w:rPr>
      </w:pPr>
    </w:p>
    <w:p w:rsidR="002860D7" w:rsidRPr="003E425B" w:rsidRDefault="003E425B" w:rsidP="000C6CC6">
      <w:pPr>
        <w:pStyle w:val="Ttulo5"/>
        <w:numPr>
          <w:ilvl w:val="0"/>
          <w:numId w:val="32"/>
        </w:numPr>
        <w:ind w:left="851" w:hanging="567"/>
        <w:rPr>
          <w:rFonts w:ascii="Times New Roman" w:hAnsi="Times New Roman" w:cs="Times New Roman"/>
          <w:sz w:val="28"/>
        </w:rPr>
      </w:pPr>
      <w:r w:rsidRPr="003E425B">
        <w:rPr>
          <w:rFonts w:ascii="Times New Roman" w:hAnsi="Times New Roman" w:cs="Times New Roman"/>
          <w:sz w:val="28"/>
        </w:rPr>
        <w:t xml:space="preserve">La </w:t>
      </w:r>
      <w:r w:rsidRPr="003E425B">
        <w:rPr>
          <w:rFonts w:ascii="Times New Roman" w:hAnsi="Times New Roman" w:cs="Times New Roman"/>
          <w:sz w:val="28"/>
        </w:rPr>
        <w:t>L</w:t>
      </w:r>
      <w:r w:rsidRPr="003E425B">
        <w:rPr>
          <w:rFonts w:ascii="Times New Roman" w:hAnsi="Times New Roman" w:cs="Times New Roman"/>
          <w:sz w:val="28"/>
        </w:rPr>
        <w:t>ey 2281 de 2023 constituye un título jurídico obligatorio y suficiente para la inclusión de una partida en la ley de presupuesto</w:t>
      </w:r>
    </w:p>
    <w:p w:rsidR="002860D7" w:rsidRPr="003E425B" w:rsidRDefault="003E425B" w:rsidP="00010108">
      <w:pPr>
        <w:tabs>
          <w:tab w:val="left" w:pos="567"/>
        </w:tabs>
        <w:rPr>
          <w:rFonts w:ascii="Times New Roman" w:hAnsi="Times New Roman" w:cs="Times New Roman"/>
          <w:sz w:val="28"/>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rPr>
      </w:pPr>
      <w:r w:rsidRPr="003E425B">
        <w:rPr>
          <w:rFonts w:ascii="Times New Roman" w:hAnsi="Times New Roman"/>
          <w:sz w:val="28"/>
        </w:rPr>
        <w:t>En criterio de la Sala, una interpretación literal, sistemática, teleológica, contextual e histórica permite concluir que la Ley 2281 de 2023 constituye un título jurídico suficiente para incluir una partida en la ley del presupuesto, no una simple autoriz</w:t>
      </w:r>
      <w:r w:rsidRPr="003E425B">
        <w:rPr>
          <w:rFonts w:ascii="Times New Roman" w:hAnsi="Times New Roman"/>
          <w:sz w:val="28"/>
        </w:rPr>
        <w:t xml:space="preserve">ación o habilitación. </w:t>
      </w:r>
    </w:p>
    <w:p w:rsidR="002860D7" w:rsidRPr="003E425B" w:rsidRDefault="003E425B" w:rsidP="00010108">
      <w:pPr>
        <w:pStyle w:val="Prrafodelista"/>
        <w:tabs>
          <w:tab w:val="left" w:pos="567"/>
        </w:tabs>
        <w:spacing w:line="240" w:lineRule="auto"/>
        <w:ind w:left="0"/>
        <w:rPr>
          <w:rFonts w:ascii="Times New Roman" w:hAnsi="Times New Roman"/>
          <w:sz w:val="28"/>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rPr>
      </w:pPr>
      <w:r w:rsidRPr="003E425B">
        <w:rPr>
          <w:rFonts w:ascii="Times New Roman" w:hAnsi="Times New Roman"/>
          <w:sz w:val="28"/>
        </w:rPr>
        <w:t>La Sala advierte que el artículo 8º de la Ley 2281 dispone que el patrimonio del Ministerio de Igualdad y Equidad estará integrado, entre otras, por “las sumas que se apropien en el Presupuesto General de la Nación”. Por otra parte,</w:t>
      </w:r>
      <w:r w:rsidRPr="003E425B">
        <w:rPr>
          <w:rFonts w:ascii="Times New Roman" w:hAnsi="Times New Roman"/>
          <w:sz w:val="28"/>
        </w:rPr>
        <w:t xml:space="preserve"> la creación del Ministerio de Igualdad y Equidad implica, necesariamente, una erogación presupuestal. Esto es así, porque de acuerdo con el Decreto 111 de 1996</w:t>
      </w:r>
      <w:r w:rsidRPr="003E425B">
        <w:rPr>
          <w:rStyle w:val="Refdenotaalpie"/>
          <w:rFonts w:ascii="Times New Roman" w:hAnsi="Times New Roman"/>
          <w:sz w:val="28"/>
        </w:rPr>
        <w:footnoteReference w:id="305"/>
      </w:r>
      <w:r w:rsidRPr="003E425B">
        <w:rPr>
          <w:rFonts w:ascii="Times New Roman" w:hAnsi="Times New Roman"/>
          <w:sz w:val="28"/>
        </w:rPr>
        <w:t xml:space="preserve"> y el Decreto 1068 de 2015</w:t>
      </w:r>
      <w:r w:rsidRPr="003E425B">
        <w:rPr>
          <w:rStyle w:val="Refdenotaalpie"/>
          <w:rFonts w:ascii="Times New Roman" w:hAnsi="Times New Roman"/>
          <w:sz w:val="28"/>
        </w:rPr>
        <w:footnoteReference w:id="306"/>
      </w:r>
      <w:r w:rsidRPr="003E425B">
        <w:rPr>
          <w:rFonts w:ascii="Times New Roman" w:hAnsi="Times New Roman"/>
          <w:sz w:val="28"/>
        </w:rPr>
        <w:t>, los presupuestos de las entidades públicas tienen, principalmente,</w:t>
      </w:r>
      <w:r w:rsidRPr="003E425B">
        <w:rPr>
          <w:rFonts w:ascii="Times New Roman" w:hAnsi="Times New Roman"/>
          <w:sz w:val="28"/>
        </w:rPr>
        <w:t xml:space="preserve"> tres tipos de gastos: </w:t>
      </w:r>
      <w:r w:rsidRPr="003E425B">
        <w:rPr>
          <w:rFonts w:ascii="Times New Roman" w:hAnsi="Times New Roman"/>
          <w:i/>
          <w:sz w:val="28"/>
        </w:rPr>
        <w:t>(i)</w:t>
      </w:r>
      <w:r w:rsidRPr="003E425B">
        <w:rPr>
          <w:rFonts w:ascii="Times New Roman" w:hAnsi="Times New Roman"/>
          <w:sz w:val="28"/>
        </w:rPr>
        <w:t xml:space="preserve"> funcionamiento, </w:t>
      </w:r>
      <w:r w:rsidRPr="003E425B">
        <w:rPr>
          <w:rFonts w:ascii="Times New Roman" w:hAnsi="Times New Roman"/>
          <w:i/>
          <w:sz w:val="28"/>
        </w:rPr>
        <w:t>(ii)</w:t>
      </w:r>
      <w:r w:rsidRPr="003E425B">
        <w:rPr>
          <w:rFonts w:ascii="Times New Roman" w:hAnsi="Times New Roman"/>
          <w:sz w:val="28"/>
        </w:rPr>
        <w:t xml:space="preserve"> servicio de la deuda pública e </w:t>
      </w:r>
      <w:r w:rsidRPr="003E425B">
        <w:rPr>
          <w:rFonts w:ascii="Times New Roman" w:hAnsi="Times New Roman"/>
          <w:i/>
          <w:sz w:val="28"/>
        </w:rPr>
        <w:t>(iii)</w:t>
      </w:r>
      <w:r w:rsidRPr="003E425B">
        <w:rPr>
          <w:rFonts w:ascii="Times New Roman" w:hAnsi="Times New Roman"/>
          <w:sz w:val="28"/>
        </w:rPr>
        <w:t xml:space="preserve"> inversión. Los gastos de funcionamiento incluyen, dependiendo de la entidad, los gastos generales, de personal, de adquisición de bienes y servicios y las transferencias c</w:t>
      </w:r>
      <w:r w:rsidRPr="003E425B">
        <w:rPr>
          <w:rFonts w:ascii="Times New Roman" w:hAnsi="Times New Roman"/>
          <w:sz w:val="28"/>
        </w:rPr>
        <w:t>orrientes</w:t>
      </w:r>
      <w:r w:rsidRPr="003E425B">
        <w:rPr>
          <w:rStyle w:val="Refdenotaalpie"/>
          <w:rFonts w:ascii="Times New Roman" w:hAnsi="Times New Roman"/>
          <w:sz w:val="28"/>
        </w:rPr>
        <w:footnoteReference w:id="307"/>
      </w:r>
      <w:r w:rsidRPr="003E425B">
        <w:rPr>
          <w:rFonts w:ascii="Times New Roman" w:hAnsi="Times New Roman"/>
          <w:sz w:val="28"/>
        </w:rPr>
        <w:t>. La Ley 2281 de 2023 crea un nuevo ministerio -Ministerio de Igualdad y Equidad- lo que implica que, por lo menos, deben disponerse partidas presupuestales para cubrir los gastos de funcionamiento, los cuales son indispensables para que entre en</w:t>
      </w:r>
      <w:r w:rsidRPr="003E425B">
        <w:rPr>
          <w:rFonts w:ascii="Times New Roman" w:hAnsi="Times New Roman"/>
          <w:sz w:val="28"/>
        </w:rPr>
        <w:t xml:space="preserve"> operación. </w:t>
      </w:r>
    </w:p>
    <w:p w:rsidR="002860D7" w:rsidRPr="003E425B" w:rsidRDefault="003E425B" w:rsidP="00010108">
      <w:pPr>
        <w:tabs>
          <w:tab w:val="left" w:pos="567"/>
        </w:tabs>
        <w:rPr>
          <w:rFonts w:ascii="Times New Roman" w:hAnsi="Times New Roman" w:cs="Times New Roman"/>
          <w:sz w:val="28"/>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lang w:eastAsia="es-MX"/>
        </w:rPr>
        <w:t>Ahora bien, algunos intervinientes argumentan que la creación del Ministerio de Igualdad y Equidad no supone, necesariamente, una erogación presupuestal y, por lo tanto, no constituye una orden de gasto en los términos del artículo 7º de la l</w:t>
      </w:r>
      <w:r w:rsidRPr="003E425B">
        <w:rPr>
          <w:rFonts w:ascii="Times New Roman" w:hAnsi="Times New Roman"/>
          <w:sz w:val="28"/>
          <w:lang w:eastAsia="es-MX"/>
        </w:rPr>
        <w:t>ey 819 de 2003. Al respecto, enfatizan que e</w:t>
      </w:r>
      <w:r w:rsidRPr="003E425B">
        <w:rPr>
          <w:rFonts w:ascii="Times New Roman" w:hAnsi="Times New Roman"/>
          <w:sz w:val="28"/>
          <w:lang w:val="es-ES" w:eastAsia="es-MX"/>
        </w:rPr>
        <w:t>l inciso 2° del artículo 13 de la ley dispone que “</w:t>
      </w:r>
      <w:r w:rsidRPr="003E425B">
        <w:rPr>
          <w:rFonts w:ascii="Times New Roman" w:hAnsi="Times New Roman"/>
          <w:sz w:val="28"/>
          <w:lang w:eastAsia="es-MX"/>
        </w:rPr>
        <w:t xml:space="preserve">[d]e </w:t>
      </w:r>
      <w:r w:rsidRPr="003E425B">
        <w:rPr>
          <w:rFonts w:ascii="Times New Roman" w:hAnsi="Times New Roman"/>
          <w:sz w:val="28"/>
        </w:rPr>
        <w:t>conformidad</w:t>
      </w:r>
      <w:r w:rsidRPr="003E425B">
        <w:rPr>
          <w:rFonts w:ascii="Times New Roman" w:hAnsi="Times New Roman"/>
          <w:sz w:val="28"/>
          <w:lang w:eastAsia="es-MX"/>
        </w:rPr>
        <w:t xml:space="preserve"> con los estudios que generen sobre el funcionamiento de la entidad por parte de la Función Pública y de acuerdo a la disponibilidad fiscal del p</w:t>
      </w:r>
      <w:r w:rsidRPr="003E425B">
        <w:rPr>
          <w:rFonts w:ascii="Times New Roman" w:hAnsi="Times New Roman"/>
          <w:sz w:val="28"/>
          <w:lang w:eastAsia="es-MX"/>
        </w:rPr>
        <w:t>aís y la existencia de recursos para tal propósito, se deberá garantizar el mínimo impacto fiscal de esta iniciativa</w:t>
      </w:r>
      <w:r w:rsidRPr="003E425B">
        <w:rPr>
          <w:rFonts w:ascii="Times New Roman" w:hAnsi="Times New Roman"/>
          <w:sz w:val="28"/>
          <w:lang w:val="es-ES" w:eastAsia="es-MX"/>
        </w:rPr>
        <w:t>”. Asimismo, resaltan que el artículo 12 de la ley confirió facultades extraordinarias al Presidente de la República para integrar el sector</w:t>
      </w:r>
      <w:r w:rsidRPr="003E425B">
        <w:rPr>
          <w:rFonts w:ascii="Times New Roman" w:hAnsi="Times New Roman"/>
          <w:sz w:val="28"/>
          <w:lang w:val="es-ES" w:eastAsia="es-MX"/>
        </w:rPr>
        <w:t xml:space="preserve"> administrativo, por lo que los gastos de la entidad dependerán del desarrollo normativo que expida el primer mandatario. Por otra parte, afirman que, en el trámite de aprobación legislativa, los ponentes y senadores de bancadas, así como el MHCP, indicaro</w:t>
      </w:r>
      <w:r w:rsidRPr="003E425B">
        <w:rPr>
          <w:rFonts w:ascii="Times New Roman" w:hAnsi="Times New Roman"/>
          <w:sz w:val="28"/>
          <w:lang w:val="es-ES" w:eastAsia="es-MX"/>
        </w:rPr>
        <w:t>n que el Ministerio de Igualdad y Equidad estaría integrado, principalmente, por personal y dependencias de entidades que ya existían. En tales términos, consideran que la Ley 2281 de 2023 no prevé en nuevo gasto en estricto sentido, sino que habilita al p</w:t>
      </w:r>
      <w:r w:rsidRPr="003E425B">
        <w:rPr>
          <w:rFonts w:ascii="Times New Roman" w:hAnsi="Times New Roman"/>
          <w:sz w:val="28"/>
          <w:lang w:val="es-ES" w:eastAsia="es-MX"/>
        </w:rPr>
        <w:t>residente de la República a hacer arreglos presupuestales para la financiación del ministerio.</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La Sala Plena no comparte la argumentación de los intervinientes, por las siguientes cuatro razones: </w:t>
      </w:r>
    </w:p>
    <w:p w:rsidR="002860D7" w:rsidRPr="003E425B" w:rsidRDefault="003E425B" w:rsidP="00010108">
      <w:pPr>
        <w:rPr>
          <w:rFonts w:ascii="Times New Roman" w:hAnsi="Times New Roman" w:cs="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u w:val="single"/>
          <w:lang w:eastAsia="es-MX"/>
        </w:rPr>
        <w:t>Primero</w:t>
      </w:r>
      <w:r w:rsidRPr="003E425B">
        <w:rPr>
          <w:rFonts w:ascii="Times New Roman" w:hAnsi="Times New Roman"/>
          <w:sz w:val="28"/>
          <w:lang w:eastAsia="es-MX"/>
        </w:rPr>
        <w:t xml:space="preserve">. El </w:t>
      </w:r>
      <w:r w:rsidRPr="003E425B">
        <w:rPr>
          <w:rFonts w:ascii="Times New Roman" w:hAnsi="Times New Roman"/>
          <w:sz w:val="28"/>
          <w:lang w:val="es-ES" w:eastAsia="es-MX"/>
        </w:rPr>
        <w:t xml:space="preserve">inciso 2° del artículo 13 </w:t>
      </w:r>
      <w:r w:rsidRPr="003E425B">
        <w:rPr>
          <w:rFonts w:ascii="Times New Roman" w:hAnsi="Times New Roman"/>
          <w:sz w:val="28"/>
          <w:lang w:val="es-ES" w:eastAsia="es-MX"/>
        </w:rPr>
        <w:t>de la Ley 2281 de 2</w:t>
      </w:r>
      <w:r w:rsidRPr="003E425B">
        <w:rPr>
          <w:rFonts w:ascii="Times New Roman" w:hAnsi="Times New Roman"/>
          <w:sz w:val="28"/>
          <w:lang w:val="es-ES" w:eastAsia="es-MX"/>
        </w:rPr>
        <w:t xml:space="preserve">023 </w:t>
      </w:r>
      <w:r w:rsidRPr="003E425B">
        <w:rPr>
          <w:rFonts w:ascii="Times New Roman" w:hAnsi="Times New Roman"/>
          <w:sz w:val="28"/>
          <w:lang w:val="es-ES" w:eastAsia="es-MX"/>
        </w:rPr>
        <w:t>únicamente prevé un mandato conforme al cual la entrada en funcionamiento del Ministerio de Igualdad y Equidad debe tener el menor impacto fiscal. Sin embargo, no dispone, como parecerían sugerirlo algunos intervinientes, que su creación no supondrá er</w:t>
      </w:r>
      <w:r w:rsidRPr="003E425B">
        <w:rPr>
          <w:rFonts w:ascii="Times New Roman" w:hAnsi="Times New Roman"/>
          <w:sz w:val="28"/>
          <w:lang w:val="es-ES" w:eastAsia="es-MX"/>
        </w:rPr>
        <w:t xml:space="preserve">ogaciones presupuestales. Por el contrario, en criterio de la Corte, este inciso reconoce que el Ministerio de Igualdad y Equidad tendrá efectivamente un costo fiscal, cosa distinta es que ordena que sea de la menor entidad posible. </w:t>
      </w:r>
    </w:p>
    <w:p w:rsidR="002860D7" w:rsidRPr="003E425B" w:rsidRDefault="003E425B" w:rsidP="00010108">
      <w:pPr>
        <w:rPr>
          <w:rFonts w:ascii="Times New Roman" w:hAnsi="Times New Roman" w:cs="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u w:val="single"/>
          <w:lang w:eastAsia="es-MX"/>
        </w:rPr>
        <w:t>Segundo</w:t>
      </w:r>
      <w:r w:rsidRPr="003E425B">
        <w:rPr>
          <w:rFonts w:ascii="Times New Roman" w:hAnsi="Times New Roman"/>
          <w:sz w:val="28"/>
          <w:lang w:eastAsia="es-MX"/>
        </w:rPr>
        <w:t>. No es cierto</w:t>
      </w:r>
      <w:r w:rsidRPr="003E425B">
        <w:rPr>
          <w:rFonts w:ascii="Times New Roman" w:hAnsi="Times New Roman"/>
          <w:sz w:val="28"/>
          <w:lang w:eastAsia="es-MX"/>
        </w:rPr>
        <w:t>, como lo aseguran los intervinientes, que la orden de gasto y el impacto fiscal de la creación del nuevo ministerio sólo se concretaría una vez el Presidente de la República ejerciera las facultades extraordinarias que le fueron conferidas mediante el art</w:t>
      </w:r>
      <w:r w:rsidRPr="003E425B">
        <w:rPr>
          <w:rFonts w:ascii="Times New Roman" w:hAnsi="Times New Roman"/>
          <w:sz w:val="28"/>
          <w:lang w:eastAsia="es-MX"/>
        </w:rPr>
        <w:t>ículo 12 de la Ley 2281 de 2023. E</w:t>
      </w:r>
      <w:r w:rsidRPr="003E425B">
        <w:rPr>
          <w:rFonts w:ascii="Times New Roman" w:hAnsi="Times New Roman"/>
          <w:sz w:val="28"/>
          <w:lang w:eastAsia="es-MX"/>
        </w:rPr>
        <w:t xml:space="preserve">sto es así, porque el objeto de las facultades extraordinarias está </w:t>
      </w:r>
      <w:r w:rsidRPr="003E425B">
        <w:rPr>
          <w:rFonts w:ascii="Times New Roman" w:hAnsi="Times New Roman"/>
          <w:sz w:val="28"/>
          <w:lang w:eastAsia="es-MX"/>
        </w:rPr>
        <w:t>relacionado con</w:t>
      </w:r>
      <w:r w:rsidRPr="003E425B">
        <w:rPr>
          <w:rFonts w:ascii="Times New Roman" w:hAnsi="Times New Roman"/>
          <w:sz w:val="28"/>
          <w:lang w:eastAsia="es-MX"/>
        </w:rPr>
        <w:t xml:space="preserve"> la integración del sector administrativo de igualdad y equidad, no con la creación del ministerio, que es cosa distinta. En efecto,</w:t>
      </w:r>
      <w:r w:rsidRPr="003E425B">
        <w:rPr>
          <w:rFonts w:ascii="Times New Roman" w:hAnsi="Times New Roman"/>
          <w:sz w:val="28"/>
          <w:lang w:eastAsia="es-MX"/>
        </w:rPr>
        <w:t xml:space="preserve"> el art</w:t>
      </w:r>
      <w:r w:rsidRPr="003E425B">
        <w:rPr>
          <w:rFonts w:ascii="Times New Roman" w:hAnsi="Times New Roman"/>
          <w:sz w:val="28"/>
          <w:lang w:eastAsia="es-MX"/>
        </w:rPr>
        <w:t xml:space="preserve">ículo 12 </w:t>
      </w:r>
      <w:r w:rsidRPr="003E425B">
        <w:rPr>
          <w:rFonts w:ascii="Times New Roman" w:hAnsi="Times New Roman"/>
          <w:sz w:val="28"/>
          <w:lang w:eastAsia="es-MX"/>
        </w:rPr>
        <w:t xml:space="preserve">dispone expresamente que se </w:t>
      </w:r>
      <w:r w:rsidRPr="003E425B">
        <w:rPr>
          <w:rFonts w:ascii="Times New Roman" w:hAnsi="Times New Roman"/>
          <w:sz w:val="28"/>
          <w:lang w:eastAsia="es-MX"/>
        </w:rPr>
        <w:t>confiere</w:t>
      </w:r>
      <w:r w:rsidRPr="003E425B">
        <w:rPr>
          <w:rFonts w:ascii="Times New Roman" w:hAnsi="Times New Roman"/>
          <w:sz w:val="28"/>
          <w:lang w:eastAsia="es-MX"/>
        </w:rPr>
        <w:t>n</w:t>
      </w:r>
      <w:r w:rsidRPr="003E425B">
        <w:rPr>
          <w:rFonts w:ascii="Times New Roman" w:hAnsi="Times New Roman"/>
          <w:sz w:val="28"/>
          <w:lang w:eastAsia="es-MX"/>
        </w:rPr>
        <w:t xml:space="preserve"> facultades extraordinarias al Presidente de la República </w:t>
      </w:r>
      <w:r w:rsidRPr="003E425B">
        <w:rPr>
          <w:rFonts w:ascii="Times New Roman" w:hAnsi="Times New Roman"/>
          <w:sz w:val="28"/>
          <w:lang w:eastAsia="es-MX"/>
        </w:rPr>
        <w:t xml:space="preserve">única y exclusivamente </w:t>
      </w:r>
      <w:r w:rsidRPr="003E425B">
        <w:rPr>
          <w:rFonts w:ascii="Times New Roman" w:hAnsi="Times New Roman"/>
          <w:sz w:val="28"/>
          <w:lang w:eastAsia="es-MX"/>
        </w:rPr>
        <w:t>“para expedir normas con fuerza material de ley dirigidas a integrar al Sector de Igualdad y Equidad con las entidades que defina como adscritas o vinculadas”. De acuerdo con la jurisprudencia constitucional y del Consejo de Estado, los conceptos de adscri</w:t>
      </w:r>
      <w:r w:rsidRPr="003E425B">
        <w:rPr>
          <w:rFonts w:ascii="Times New Roman" w:hAnsi="Times New Roman"/>
          <w:sz w:val="28"/>
          <w:lang w:eastAsia="es-MX"/>
        </w:rPr>
        <w:t>pción y vinculación hacen referencia “al grado de autonomía de que gozan [las entidades] en relación con el sector administrativo al que pertenecen”</w:t>
      </w:r>
      <w:r w:rsidRPr="003E425B">
        <w:rPr>
          <w:rStyle w:val="Refdenotaalpie"/>
          <w:rFonts w:ascii="Times New Roman" w:hAnsi="Times New Roman"/>
          <w:sz w:val="28"/>
          <w:lang w:eastAsia="es-MX"/>
        </w:rPr>
        <w:footnoteReference w:id="308"/>
      </w:r>
      <w:r w:rsidRPr="003E425B">
        <w:rPr>
          <w:rFonts w:ascii="Times New Roman" w:hAnsi="Times New Roman"/>
          <w:sz w:val="28"/>
          <w:lang w:eastAsia="es-MX"/>
        </w:rPr>
        <w:t>. En concreto, se refieren al “control de tutela no jerárquico al que se encuentran sometidas las entidades</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09"/>
      </w:r>
      <w:r w:rsidRPr="003E425B">
        <w:rPr>
          <w:rFonts w:ascii="Times New Roman" w:hAnsi="Times New Roman"/>
          <w:sz w:val="28"/>
          <w:lang w:eastAsia="es-MX"/>
        </w:rPr>
        <w:t xml:space="preserve"> respecto de la entidad u organismo que encabeza el sector (ministerio o departamento administrativo).</w:t>
      </w:r>
      <w:r w:rsidRPr="003E425B">
        <w:rPr>
          <w:rFonts w:ascii="Times New Roman" w:hAnsi="Times New Roman"/>
          <w:sz w:val="28"/>
          <w:lang w:eastAsia="es-MX"/>
        </w:rPr>
        <w:t xml:space="preserve"> Las entidades adscritas y vinculadas</w:t>
      </w:r>
      <w:r w:rsidRPr="003E425B">
        <w:rPr>
          <w:rFonts w:ascii="Times New Roman" w:hAnsi="Times New Roman"/>
          <w:sz w:val="28"/>
          <w:lang w:eastAsia="es-MX"/>
        </w:rPr>
        <w:t xml:space="preserve"> </w:t>
      </w:r>
      <w:r w:rsidRPr="003E425B">
        <w:rPr>
          <w:rFonts w:ascii="Times New Roman" w:hAnsi="Times New Roman"/>
          <w:sz w:val="28"/>
          <w:lang w:eastAsia="es-MX"/>
        </w:rPr>
        <w:t>no forman parte de la estructura del ministerio que encabeza el sector administrativo y, además, tienen un presupu</w:t>
      </w:r>
      <w:r w:rsidRPr="003E425B">
        <w:rPr>
          <w:rFonts w:ascii="Times New Roman" w:hAnsi="Times New Roman"/>
          <w:sz w:val="28"/>
          <w:lang w:eastAsia="es-MX"/>
        </w:rPr>
        <w:t xml:space="preserve">esto independiente. En tales términos, los decretos ley que el Presidente de la República expida en ejercicio de tales facultades extraordinarias </w:t>
      </w:r>
      <w:r w:rsidRPr="003E425B">
        <w:rPr>
          <w:rFonts w:ascii="Times New Roman" w:hAnsi="Times New Roman"/>
          <w:sz w:val="28"/>
          <w:lang w:eastAsia="es-MX"/>
        </w:rPr>
        <w:t>que le fueron conferidas por medio del artíc</w:t>
      </w:r>
      <w:r w:rsidRPr="003E425B">
        <w:rPr>
          <w:rFonts w:ascii="Times New Roman" w:hAnsi="Times New Roman"/>
          <w:sz w:val="28"/>
          <w:lang w:eastAsia="es-MX"/>
        </w:rPr>
        <w:t>u</w:t>
      </w:r>
      <w:r w:rsidRPr="003E425B">
        <w:rPr>
          <w:rFonts w:ascii="Times New Roman" w:hAnsi="Times New Roman"/>
          <w:sz w:val="28"/>
          <w:lang w:eastAsia="es-MX"/>
        </w:rPr>
        <w:t xml:space="preserve">lo 12 de la Ley 2281 de 2023 </w:t>
      </w:r>
      <w:r w:rsidRPr="003E425B">
        <w:rPr>
          <w:rFonts w:ascii="Times New Roman" w:hAnsi="Times New Roman"/>
          <w:sz w:val="28"/>
          <w:lang w:eastAsia="es-MX"/>
        </w:rPr>
        <w:t>en principio no guardan ninguna rela</w:t>
      </w:r>
      <w:r w:rsidRPr="003E425B">
        <w:rPr>
          <w:rFonts w:ascii="Times New Roman" w:hAnsi="Times New Roman"/>
          <w:sz w:val="28"/>
          <w:lang w:eastAsia="es-MX"/>
        </w:rPr>
        <w:t>ción con</w:t>
      </w:r>
      <w:r w:rsidRPr="003E425B">
        <w:rPr>
          <w:rFonts w:ascii="Times New Roman" w:hAnsi="Times New Roman"/>
          <w:sz w:val="28"/>
          <w:lang w:eastAsia="es-MX"/>
        </w:rPr>
        <w:t xml:space="preserve"> la creación ni el</w:t>
      </w:r>
      <w:r w:rsidRPr="003E425B">
        <w:rPr>
          <w:rFonts w:ascii="Times New Roman" w:hAnsi="Times New Roman"/>
          <w:sz w:val="28"/>
          <w:lang w:eastAsia="es-MX"/>
        </w:rPr>
        <w:t xml:space="preserve"> presupuesto y gastos de funcionamiento del Ministerio de Igualdad y Equidad.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AC246C"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u w:val="single"/>
          <w:lang w:eastAsia="es-MX"/>
        </w:rPr>
        <w:t>Tercero</w:t>
      </w:r>
      <w:r w:rsidRPr="003E425B">
        <w:rPr>
          <w:rFonts w:ascii="Times New Roman" w:hAnsi="Times New Roman"/>
          <w:sz w:val="28"/>
          <w:lang w:eastAsia="es-MX"/>
        </w:rPr>
        <w:t>. La Sala reconoce que, como ocurre con todos los ministerios, corresponde al Presidente de la República, en ejercicio de la potestad reglament</w:t>
      </w:r>
      <w:r w:rsidRPr="003E425B">
        <w:rPr>
          <w:rFonts w:ascii="Times New Roman" w:hAnsi="Times New Roman"/>
          <w:sz w:val="28"/>
          <w:lang w:eastAsia="es-MX"/>
        </w:rPr>
        <w:t>aria (art. 189 de la CP), establecer la planta de personal del Ministerio de Igualdad y Equidad, conforme a los requisitos previstos en, entre otras, la Ley 909 de 2004. En ejercicio de esta facultad, el Presidente de la República expidió el Decreto 1076 d</w:t>
      </w:r>
      <w:r w:rsidRPr="003E425B">
        <w:rPr>
          <w:rFonts w:ascii="Times New Roman" w:hAnsi="Times New Roman"/>
          <w:sz w:val="28"/>
          <w:lang w:eastAsia="es-MX"/>
        </w:rPr>
        <w:t xml:space="preserve">e 2023, “[p]or el cual se establece la Planta de Personal del Ministerio de Igualdad y Equidad y se dictan otras disposiciones”. La Sala Plena considera, sin embargo, que esto no supone que la Ley 2281 de 2023 no constituye una orden de gasto. </w:t>
      </w:r>
    </w:p>
    <w:p w:rsidR="00AC246C" w:rsidRPr="003E425B" w:rsidRDefault="003E425B" w:rsidP="00AC246C">
      <w:pPr>
        <w:pStyle w:val="Prrafodelista"/>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lang w:eastAsia="es-MX"/>
        </w:rPr>
        <w:t>La Sala Pl</w:t>
      </w:r>
      <w:r w:rsidRPr="003E425B">
        <w:rPr>
          <w:rFonts w:ascii="Times New Roman" w:hAnsi="Times New Roman"/>
          <w:sz w:val="28"/>
          <w:lang w:eastAsia="es-MX"/>
        </w:rPr>
        <w:t>ena reitera que, conforme a la jurisprudencia constitucional, e</w:t>
      </w:r>
      <w:r w:rsidRPr="003E425B">
        <w:rPr>
          <w:rFonts w:ascii="Times New Roman" w:hAnsi="Times New Roman"/>
          <w:sz w:val="28"/>
          <w:lang w:eastAsia="es-MX"/>
        </w:rPr>
        <w:t>l título jurídico para la inclusión de una partida presupuestal, de un lado, y el acto que la incluye en el Presupuesto General de la Nación, de otro, son distintos</w:t>
      </w:r>
      <w:r w:rsidRPr="003E425B">
        <w:rPr>
          <w:rFonts w:ascii="Times New Roman" w:hAnsi="Times New Roman"/>
          <w:sz w:val="28"/>
          <w:lang w:eastAsia="es-MX"/>
        </w:rPr>
        <w:t xml:space="preserve">. </w:t>
      </w:r>
      <w:r w:rsidRPr="003E425B">
        <w:rPr>
          <w:rFonts w:ascii="Times New Roman" w:hAnsi="Times New Roman"/>
          <w:sz w:val="28"/>
          <w:lang w:eastAsia="es-MX"/>
        </w:rPr>
        <w:t xml:space="preserve">Conforme los artículos 345 </w:t>
      </w:r>
      <w:r w:rsidRPr="003E425B">
        <w:rPr>
          <w:rFonts w:ascii="Times New Roman" w:hAnsi="Times New Roman"/>
          <w:sz w:val="28"/>
          <w:lang w:eastAsia="es-MX"/>
        </w:rPr>
        <w:t>y 346 de la Constitución Política y 38 del Decreto 111 de 1996</w:t>
      </w:r>
      <w:r w:rsidRPr="003E425B">
        <w:rPr>
          <w:rStyle w:val="Refdenotaalpie"/>
          <w:rFonts w:ascii="Times New Roman" w:hAnsi="Times New Roman"/>
          <w:sz w:val="28"/>
          <w:lang w:eastAsia="es-MX"/>
        </w:rPr>
        <w:footnoteReference w:id="310"/>
      </w:r>
      <w:r w:rsidRPr="003E425B">
        <w:rPr>
          <w:rFonts w:ascii="Times New Roman" w:hAnsi="Times New Roman"/>
          <w:sz w:val="28"/>
          <w:lang w:eastAsia="es-MX"/>
        </w:rPr>
        <w:t>, y la jurisprudencia constitucional, el primero -título jurídico- debe estar previsto en la ley</w:t>
      </w:r>
      <w:r w:rsidRPr="003E425B">
        <w:rPr>
          <w:rStyle w:val="Refdenotaalpie"/>
          <w:rFonts w:ascii="Times New Roman" w:hAnsi="Times New Roman"/>
          <w:sz w:val="28"/>
          <w:lang w:eastAsia="es-MX"/>
        </w:rPr>
        <w:footnoteReference w:id="311"/>
      </w:r>
      <w:r w:rsidRPr="003E425B">
        <w:rPr>
          <w:rFonts w:ascii="Times New Roman" w:hAnsi="Times New Roman"/>
          <w:sz w:val="28"/>
          <w:lang w:eastAsia="es-MX"/>
        </w:rPr>
        <w:t>. El segundo -inclusión- es un acto administrativo que dispone del pago</w:t>
      </w:r>
      <w:r w:rsidRPr="003E425B">
        <w:rPr>
          <w:rStyle w:val="Refdenotaalpie"/>
          <w:rFonts w:ascii="Times New Roman" w:hAnsi="Times New Roman"/>
          <w:sz w:val="28"/>
          <w:lang w:eastAsia="es-MX"/>
        </w:rPr>
        <w:footnoteReference w:id="312"/>
      </w:r>
      <w:r w:rsidRPr="003E425B">
        <w:rPr>
          <w:rFonts w:ascii="Times New Roman" w:hAnsi="Times New Roman"/>
          <w:sz w:val="28"/>
          <w:lang w:eastAsia="es-MX"/>
        </w:rPr>
        <w:t xml:space="preserve">. </w:t>
      </w:r>
      <w:r w:rsidRPr="003E425B">
        <w:rPr>
          <w:rFonts w:ascii="Times New Roman" w:hAnsi="Times New Roman"/>
          <w:sz w:val="28"/>
          <w:lang w:eastAsia="es-MX"/>
        </w:rPr>
        <w:t>La existencia de una o</w:t>
      </w:r>
      <w:r w:rsidRPr="003E425B">
        <w:rPr>
          <w:rFonts w:ascii="Times New Roman" w:hAnsi="Times New Roman"/>
          <w:sz w:val="28"/>
          <w:lang w:eastAsia="es-MX"/>
        </w:rPr>
        <w:t>rden de gasto en la ley en ningún caso excluye las competencias presupuestales del Presidente de la República</w:t>
      </w:r>
      <w:r w:rsidRPr="003E425B">
        <w:rPr>
          <w:rStyle w:val="Refdenotaalpie"/>
          <w:rFonts w:ascii="Times New Roman" w:hAnsi="Times New Roman"/>
          <w:sz w:val="28"/>
          <w:lang w:eastAsia="es-MX"/>
        </w:rPr>
        <w:footnoteReference w:id="313"/>
      </w:r>
      <w:r w:rsidRPr="003E425B">
        <w:rPr>
          <w:rFonts w:ascii="Times New Roman" w:hAnsi="Times New Roman"/>
          <w:sz w:val="28"/>
          <w:lang w:eastAsia="es-MX"/>
        </w:rPr>
        <w:t xml:space="preserve">. </w:t>
      </w:r>
      <w:r w:rsidRPr="003E425B">
        <w:rPr>
          <w:rFonts w:ascii="Times New Roman" w:hAnsi="Times New Roman"/>
          <w:sz w:val="28"/>
          <w:lang w:eastAsia="es-MX"/>
        </w:rPr>
        <w:t xml:space="preserve">En este caso, la Ley 2281 de 2023 constituía un título jurídico suficiente para la inclusión de una partida en el presupuesto. Cosa distinta es </w:t>
      </w:r>
      <w:r w:rsidRPr="003E425B">
        <w:rPr>
          <w:rFonts w:ascii="Times New Roman" w:hAnsi="Times New Roman"/>
          <w:sz w:val="28"/>
          <w:lang w:eastAsia="es-MX"/>
        </w:rPr>
        <w:t xml:space="preserve">que el </w:t>
      </w:r>
      <w:r w:rsidRPr="003E425B">
        <w:rPr>
          <w:rFonts w:ascii="Times New Roman" w:hAnsi="Times New Roman"/>
          <w:i/>
          <w:iCs/>
          <w:sz w:val="28"/>
          <w:lang w:eastAsia="es-MX"/>
        </w:rPr>
        <w:t>monto</w:t>
      </w:r>
      <w:r w:rsidRPr="003E425B">
        <w:rPr>
          <w:rFonts w:ascii="Times New Roman" w:hAnsi="Times New Roman"/>
          <w:sz w:val="28"/>
          <w:lang w:eastAsia="es-MX"/>
        </w:rPr>
        <w:t xml:space="preserve"> exacto de la partida sólo pudiera determinarse una vez el Presidente de la República, en ejercicio de la potestad reglamentaria, expidiera los decretos reglamentarios en los que definiera el número exacto de servidores y funcionarios de la ent</w:t>
      </w:r>
      <w:r w:rsidRPr="003E425B">
        <w:rPr>
          <w:rFonts w:ascii="Times New Roman" w:hAnsi="Times New Roman"/>
          <w:sz w:val="28"/>
          <w:lang w:eastAsia="es-MX"/>
        </w:rPr>
        <w:t xml:space="preserve">idad, así como los equipos e infraestructura para su funcionamiento.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eastAsia="es-MX"/>
        </w:rPr>
      </w:pPr>
      <w:r w:rsidRPr="003E425B">
        <w:rPr>
          <w:rFonts w:ascii="Times New Roman" w:hAnsi="Times New Roman"/>
          <w:sz w:val="28"/>
          <w:u w:val="single"/>
          <w:lang w:val="es-ES" w:eastAsia="es-MX"/>
        </w:rPr>
        <w:t>Cuarto</w:t>
      </w:r>
      <w:r w:rsidRPr="003E425B">
        <w:rPr>
          <w:rFonts w:ascii="Times New Roman" w:hAnsi="Times New Roman"/>
          <w:sz w:val="28"/>
          <w:lang w:val="es-ES" w:eastAsia="es-MX"/>
        </w:rPr>
        <w:t>. Por último, la Sala Plena considera que, contrario a los sostenido por los intervinientes, el trámite legislativo de adopción de la Ley 2281 de 2023 demuestra que, tanto el Gobi</w:t>
      </w:r>
      <w:r w:rsidRPr="003E425B">
        <w:rPr>
          <w:rFonts w:ascii="Times New Roman" w:hAnsi="Times New Roman"/>
          <w:sz w:val="28"/>
          <w:lang w:val="es-ES" w:eastAsia="es-MX"/>
        </w:rPr>
        <w:t xml:space="preserve">erno Nacional como los congresistas, reconocían que la creación del Ministerio de Igualdad y Equidad implicaba erogaciones presupuestales adicionales: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AC246C" w:rsidRPr="003E425B" w:rsidRDefault="003E425B" w:rsidP="000C6CC6">
      <w:pPr>
        <w:pStyle w:val="Prrafodelista"/>
        <w:numPr>
          <w:ilvl w:val="1"/>
          <w:numId w:val="33"/>
        </w:numPr>
        <w:spacing w:line="240" w:lineRule="auto"/>
        <w:ind w:left="851" w:hanging="851"/>
        <w:rPr>
          <w:rFonts w:ascii="Times New Roman" w:hAnsi="Times New Roman"/>
          <w:sz w:val="28"/>
          <w:lang w:eastAsia="es-MX"/>
        </w:rPr>
      </w:pPr>
      <w:r w:rsidRPr="003E425B">
        <w:rPr>
          <w:rFonts w:ascii="Times New Roman" w:hAnsi="Times New Roman"/>
          <w:sz w:val="28"/>
          <w:lang w:eastAsia="es-MX"/>
        </w:rPr>
        <w:t>Las ponencias que fueron presentadas a las comisiones y a la plenaria de la Cámara y el Senado reconocí</w:t>
      </w:r>
      <w:r w:rsidRPr="003E425B">
        <w:rPr>
          <w:rFonts w:ascii="Times New Roman" w:hAnsi="Times New Roman"/>
          <w:sz w:val="28"/>
          <w:lang w:eastAsia="es-MX"/>
        </w:rPr>
        <w:t>an que la creación del Ministerio de Igualdad y Equidad tendría un costo fiscal. En efecto, la ponencia positiva para debate en las comisiones conjuntas del Senado y la Cámara incluyó expresamente un acápite sobre el “impacto fiscal”</w:t>
      </w:r>
      <w:r w:rsidRPr="003E425B">
        <w:rPr>
          <w:rFonts w:ascii="Times New Roman" w:hAnsi="Times New Roman"/>
          <w:sz w:val="28"/>
          <w:vertAlign w:val="superscript"/>
          <w:lang w:eastAsia="es-MX"/>
        </w:rPr>
        <w:footnoteReference w:id="314"/>
      </w:r>
      <w:r w:rsidRPr="003E425B">
        <w:rPr>
          <w:rFonts w:ascii="Times New Roman" w:hAnsi="Times New Roman"/>
          <w:sz w:val="28"/>
          <w:lang w:eastAsia="es-MX"/>
        </w:rPr>
        <w:t xml:space="preserve"> de la medida legislativa. En este acápite, se indicaba que la creación del nuevo ministerio “</w:t>
      </w:r>
      <w:r w:rsidRPr="003E425B">
        <w:rPr>
          <w:rFonts w:ascii="Times New Roman" w:hAnsi="Times New Roman"/>
          <w:sz w:val="28"/>
          <w:lang w:val="es-ES" w:eastAsia="es-MX"/>
        </w:rPr>
        <w:t>demandaría recursos adicionales de la nación para su correcto funcionamiento</w:t>
      </w:r>
      <w:r w:rsidRPr="003E425B">
        <w:rPr>
          <w:rFonts w:ascii="Times New Roman" w:hAnsi="Times New Roman"/>
          <w:sz w:val="28"/>
          <w:lang w:eastAsia="es-MX"/>
        </w:rPr>
        <w:t>”</w:t>
      </w:r>
      <w:r w:rsidRPr="003E425B">
        <w:rPr>
          <w:rFonts w:ascii="Times New Roman" w:hAnsi="Times New Roman"/>
          <w:sz w:val="28"/>
          <w:vertAlign w:val="superscript"/>
          <w:lang w:eastAsia="es-MX"/>
        </w:rPr>
        <w:footnoteReference w:id="315"/>
      </w:r>
      <w:r w:rsidRPr="003E425B">
        <w:rPr>
          <w:rFonts w:ascii="Times New Roman" w:hAnsi="Times New Roman"/>
          <w:sz w:val="28"/>
          <w:lang w:eastAsia="es-MX"/>
        </w:rPr>
        <w:t>. Las ponencias para debate en las plenarias de la Cámara y el Senado también recono</w:t>
      </w:r>
      <w:r w:rsidRPr="003E425B">
        <w:rPr>
          <w:rFonts w:ascii="Times New Roman" w:hAnsi="Times New Roman"/>
          <w:sz w:val="28"/>
          <w:lang w:eastAsia="es-MX"/>
        </w:rPr>
        <w:t>cían que la iniciativa tendría un impacto y, precisamente por esa razón, los ponentes solicitaron al MHCP expedir concepto, conforme al inciso 3º del artículo 7º de la Ley 819 de 2003</w:t>
      </w:r>
      <w:r w:rsidRPr="003E425B">
        <w:rPr>
          <w:rStyle w:val="Refdenotaalpie"/>
          <w:rFonts w:ascii="Times New Roman" w:hAnsi="Times New Roman"/>
          <w:sz w:val="28"/>
          <w:lang w:eastAsia="es-MX"/>
        </w:rPr>
        <w:footnoteReference w:id="316"/>
      </w:r>
      <w:r w:rsidRPr="003E425B">
        <w:rPr>
          <w:rFonts w:ascii="Times New Roman" w:hAnsi="Times New Roman"/>
          <w:sz w:val="28"/>
          <w:lang w:eastAsia="es-MX"/>
        </w:rPr>
        <w:t>.</w:t>
      </w:r>
    </w:p>
    <w:p w:rsidR="002860D7" w:rsidRPr="003E425B" w:rsidRDefault="003E425B" w:rsidP="000C6CC6">
      <w:pPr>
        <w:pStyle w:val="Prrafodelista"/>
        <w:numPr>
          <w:ilvl w:val="1"/>
          <w:numId w:val="33"/>
        </w:numPr>
        <w:spacing w:line="240" w:lineRule="auto"/>
        <w:ind w:left="851" w:hanging="851"/>
        <w:rPr>
          <w:rFonts w:ascii="Times New Roman" w:hAnsi="Times New Roman"/>
          <w:sz w:val="28"/>
          <w:lang w:eastAsia="es-MX"/>
        </w:rPr>
      </w:pPr>
      <w:r w:rsidRPr="003E425B">
        <w:rPr>
          <w:rFonts w:ascii="Times New Roman" w:hAnsi="Times New Roman"/>
          <w:sz w:val="28"/>
          <w:lang w:eastAsia="es-MX"/>
        </w:rPr>
        <w:t xml:space="preserve">En el trámite legislativo, específicamente en la Plenaria del Senado, </w:t>
      </w:r>
      <w:r w:rsidRPr="003E425B">
        <w:rPr>
          <w:rFonts w:ascii="Times New Roman" w:hAnsi="Times New Roman"/>
          <w:sz w:val="28"/>
          <w:lang w:eastAsia="es-MX"/>
        </w:rPr>
        <w:t>la senadora Paloma Valencia presentó una proposición en la que solicitó incorporar un nuevo artículo, en el que se agregar</w:t>
      </w:r>
      <w:r w:rsidRPr="003E425B">
        <w:rPr>
          <w:rFonts w:ascii="Times New Roman" w:hAnsi="Times New Roman"/>
          <w:sz w:val="28"/>
          <w:lang w:eastAsia="es-MX"/>
        </w:rPr>
        <w:t>a</w:t>
      </w:r>
      <w:r w:rsidRPr="003E425B">
        <w:rPr>
          <w:rFonts w:ascii="Times New Roman" w:hAnsi="Times New Roman"/>
          <w:sz w:val="28"/>
          <w:lang w:eastAsia="es-MX"/>
        </w:rPr>
        <w:t xml:space="preserve"> que, “[e]n todo caso, para la integración del Sector Igualdad y Equidad no se podrá crear, ni aumentar, ningún gasto burocrático adi</w:t>
      </w:r>
      <w:r w:rsidRPr="003E425B">
        <w:rPr>
          <w:rFonts w:ascii="Times New Roman" w:hAnsi="Times New Roman"/>
          <w:sz w:val="28"/>
          <w:lang w:eastAsia="es-MX"/>
        </w:rPr>
        <w:t>cional al ya existente, ni se podrá incrementar los gastos de funcionamiento de ninguna entidad”</w:t>
      </w:r>
      <w:r w:rsidRPr="003E425B">
        <w:rPr>
          <w:rStyle w:val="Refdenotaalpie"/>
          <w:rFonts w:ascii="Times New Roman" w:hAnsi="Times New Roman"/>
          <w:sz w:val="28"/>
          <w:lang w:eastAsia="es-MX"/>
        </w:rPr>
        <w:footnoteReference w:id="317"/>
      </w:r>
      <w:r w:rsidRPr="003E425B">
        <w:rPr>
          <w:rFonts w:ascii="Times New Roman" w:hAnsi="Times New Roman"/>
          <w:sz w:val="28"/>
          <w:lang w:eastAsia="es-MX"/>
        </w:rPr>
        <w:t>. Esta proposición, sin embargo, fue negada por la plenaria del Senado</w:t>
      </w:r>
      <w:r w:rsidRPr="003E425B">
        <w:rPr>
          <w:rStyle w:val="Refdenotaalpie"/>
          <w:rFonts w:ascii="Times New Roman" w:hAnsi="Times New Roman"/>
          <w:sz w:val="28"/>
          <w:lang w:eastAsia="es-MX"/>
        </w:rPr>
        <w:footnoteReference w:id="318"/>
      </w:r>
      <w:r w:rsidRPr="003E425B">
        <w:rPr>
          <w:rFonts w:ascii="Times New Roman" w:hAnsi="Times New Roman"/>
          <w:sz w:val="28"/>
          <w:lang w:eastAsia="es-MX"/>
        </w:rPr>
        <w:t>, lo que demuestra que, al margen de los arreglos administrativos que pudieran efectuars</w:t>
      </w:r>
      <w:r w:rsidRPr="003E425B">
        <w:rPr>
          <w:rFonts w:ascii="Times New Roman" w:hAnsi="Times New Roman"/>
          <w:sz w:val="28"/>
          <w:lang w:eastAsia="es-MX"/>
        </w:rPr>
        <w:t xml:space="preserve">e para reducir el costo fiscal, los congresistas reconocían que el nuevo ministerio implicaría erogaciones presupuestales.  </w:t>
      </w:r>
    </w:p>
    <w:p w:rsidR="002860D7" w:rsidRPr="003E425B" w:rsidRDefault="003E425B" w:rsidP="00010108">
      <w:pPr>
        <w:pStyle w:val="Prrafodelista"/>
        <w:tabs>
          <w:tab w:val="left" w:pos="567"/>
        </w:tabs>
        <w:spacing w:line="240" w:lineRule="auto"/>
        <w:ind w:left="0"/>
        <w:rPr>
          <w:rFonts w:ascii="Times New Roman" w:hAnsi="Times New Roman"/>
          <w:sz w:val="28"/>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Cs/>
          <w:sz w:val="28"/>
          <w:lang w:eastAsia="es-MX"/>
        </w:rPr>
      </w:pPr>
      <w:r w:rsidRPr="003E425B">
        <w:rPr>
          <w:rFonts w:ascii="Times New Roman" w:hAnsi="Times New Roman"/>
          <w:sz w:val="28"/>
          <w:lang w:val="es-ES"/>
        </w:rPr>
        <w:t>En este sentido, la Sala Plena advierte que, tanto el texto de la Ley 2281 de 2023, como el trámite legislativo de aprobación, evidencian que la creación del Ministerio de Igualdad y Equidad implicaba gasto, en los términos del artículo 7º de la Ley 819 de</w:t>
      </w:r>
      <w:r w:rsidRPr="003E425B">
        <w:rPr>
          <w:rFonts w:ascii="Times New Roman" w:hAnsi="Times New Roman"/>
          <w:sz w:val="28"/>
          <w:lang w:val="es-ES"/>
        </w:rPr>
        <w:t xml:space="preserve"> 2003. Por lo tanto, el análisis de impacto fiscal era exigible.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Ttulo4"/>
        <w:numPr>
          <w:ilvl w:val="0"/>
          <w:numId w:val="34"/>
        </w:numPr>
        <w:ind w:hanging="578"/>
        <w:rPr>
          <w:rFonts w:ascii="Times New Roman" w:hAnsi="Times New Roman" w:cs="Times New Roman"/>
          <w:sz w:val="28"/>
          <w:lang w:eastAsia="es-MX"/>
        </w:rPr>
      </w:pPr>
      <w:r w:rsidRPr="003E425B">
        <w:rPr>
          <w:rFonts w:ascii="Times New Roman" w:hAnsi="Times New Roman" w:cs="Times New Roman"/>
          <w:sz w:val="28"/>
          <w:lang w:eastAsia="es-MX"/>
        </w:rPr>
        <w:t>La Ley 2281 de 2023 fue de iniciativa gubernamental</w:t>
      </w:r>
    </w:p>
    <w:p w:rsidR="002860D7" w:rsidRPr="003E425B" w:rsidRDefault="003E425B" w:rsidP="00010108">
      <w:pPr>
        <w:rPr>
          <w:rFonts w:ascii="Times New Roman" w:hAnsi="Times New Roman" w:cs="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La Sala considera que, por su contenido, el proyecto de ley número 261 de 2022 Cámara y 222 de 2022 Senado -que luego desembocó en la ap</w:t>
      </w:r>
      <w:r w:rsidRPr="003E425B">
        <w:rPr>
          <w:rFonts w:ascii="Times New Roman" w:hAnsi="Times New Roman"/>
          <w:sz w:val="28"/>
          <w:lang w:eastAsia="es-MX"/>
        </w:rPr>
        <w:t>robación de la Ley 228</w:t>
      </w:r>
      <w:r w:rsidRPr="003E425B">
        <w:rPr>
          <w:rFonts w:ascii="Times New Roman" w:hAnsi="Times New Roman"/>
          <w:sz w:val="28"/>
          <w:lang w:eastAsia="es-MX"/>
        </w:rPr>
        <w:t>1</w:t>
      </w:r>
      <w:r w:rsidRPr="003E425B">
        <w:rPr>
          <w:rFonts w:ascii="Times New Roman" w:hAnsi="Times New Roman"/>
          <w:sz w:val="28"/>
          <w:lang w:eastAsia="es-MX"/>
        </w:rPr>
        <w:t xml:space="preserve"> de 2023-, </w:t>
      </w:r>
      <w:r w:rsidRPr="003E425B">
        <w:rPr>
          <w:rFonts w:ascii="Times New Roman" w:hAnsi="Times New Roman"/>
          <w:sz w:val="28"/>
        </w:rPr>
        <w:t xml:space="preserve">era de iniciativa gubernamental. Esto es así, </w:t>
      </w:r>
      <w:r w:rsidRPr="003E425B">
        <w:rPr>
          <w:rFonts w:ascii="Times New Roman" w:hAnsi="Times New Roman"/>
          <w:sz w:val="28"/>
        </w:rPr>
        <w:t>porque</w:t>
      </w:r>
      <w:r w:rsidRPr="003E425B">
        <w:rPr>
          <w:rFonts w:ascii="Times New Roman" w:hAnsi="Times New Roman"/>
          <w:sz w:val="28"/>
        </w:rPr>
        <w:t xml:space="preserve"> </w:t>
      </w:r>
      <w:r w:rsidRPr="003E425B">
        <w:rPr>
          <w:rFonts w:ascii="Times New Roman" w:hAnsi="Times New Roman"/>
          <w:i/>
          <w:sz w:val="28"/>
        </w:rPr>
        <w:t xml:space="preserve">(a) </w:t>
      </w:r>
      <w:r w:rsidRPr="003E425B">
        <w:rPr>
          <w:rFonts w:ascii="Times New Roman" w:hAnsi="Times New Roman"/>
          <w:sz w:val="28"/>
        </w:rPr>
        <w:t xml:space="preserve">conforme al inciso 2º del artículo 154 de la Constitución, la iniciativa para crear ministerios es privativa y exclusiva del Gobierno Nacional, </w:t>
      </w:r>
      <w:r w:rsidRPr="003E425B">
        <w:rPr>
          <w:rFonts w:ascii="Times New Roman" w:hAnsi="Times New Roman"/>
          <w:sz w:val="28"/>
        </w:rPr>
        <w:t xml:space="preserve">y </w:t>
      </w:r>
      <w:r w:rsidRPr="003E425B">
        <w:rPr>
          <w:rFonts w:ascii="Times New Roman" w:hAnsi="Times New Roman"/>
          <w:i/>
          <w:sz w:val="28"/>
        </w:rPr>
        <w:t>(b)</w:t>
      </w:r>
      <w:r w:rsidRPr="003E425B">
        <w:rPr>
          <w:rFonts w:ascii="Times New Roman" w:hAnsi="Times New Roman"/>
          <w:sz w:val="28"/>
        </w:rPr>
        <w:t xml:space="preserve"> la exposición d</w:t>
      </w:r>
      <w:r w:rsidRPr="003E425B">
        <w:rPr>
          <w:rFonts w:ascii="Times New Roman" w:hAnsi="Times New Roman"/>
          <w:sz w:val="28"/>
        </w:rPr>
        <w:t>e motivos evidencia que la iniciativa para la creación del Ministerio de Igualdad y Equidad fue del Gobierno Nacional</w:t>
      </w:r>
      <w:r w:rsidRPr="003E425B">
        <w:rPr>
          <w:rFonts w:ascii="Times New Roman" w:hAnsi="Times New Roman"/>
          <w:sz w:val="28"/>
        </w:rPr>
        <w:t xml:space="preserve">. por lo demás, </w:t>
      </w:r>
      <w:r w:rsidRPr="003E425B">
        <w:rPr>
          <w:rFonts w:ascii="Times New Roman" w:hAnsi="Times New Roman"/>
          <w:i/>
          <w:sz w:val="28"/>
        </w:rPr>
        <w:t>(c)</w:t>
      </w:r>
      <w:r w:rsidRPr="003E425B">
        <w:rPr>
          <w:rFonts w:ascii="Times New Roman" w:hAnsi="Times New Roman"/>
          <w:sz w:val="28"/>
        </w:rPr>
        <w:t xml:space="preserve"> la simple firma del proyecto de ley y la exposición de motivos, por parte de algunos congresistas no muta</w:t>
      </w:r>
      <w:r w:rsidRPr="003E425B">
        <w:rPr>
          <w:rFonts w:ascii="Times New Roman" w:hAnsi="Times New Roman"/>
          <w:sz w:val="28"/>
        </w:rPr>
        <w:t>, por lo menos</w:t>
      </w:r>
      <w:r w:rsidRPr="003E425B">
        <w:rPr>
          <w:rFonts w:ascii="Times New Roman" w:hAnsi="Times New Roman"/>
          <w:sz w:val="28"/>
        </w:rPr>
        <w:t xml:space="preserve"> para efectos de determinar el estándar de rigurosidad aplicable al análisis de impacto fiscal, </w:t>
      </w:r>
      <w:r w:rsidRPr="003E425B">
        <w:rPr>
          <w:rFonts w:ascii="Times New Roman" w:hAnsi="Times New Roman"/>
          <w:sz w:val="28"/>
        </w:rPr>
        <w:t xml:space="preserve">la naturaleza de la iniciativa </w:t>
      </w:r>
      <w:r w:rsidRPr="003E425B">
        <w:rPr>
          <w:rFonts w:ascii="Times New Roman" w:hAnsi="Times New Roman"/>
          <w:sz w:val="28"/>
        </w:rPr>
        <w:t>-</w:t>
      </w:r>
      <w:r w:rsidRPr="003E425B">
        <w:rPr>
          <w:rFonts w:ascii="Times New Roman" w:hAnsi="Times New Roman"/>
          <w:sz w:val="28"/>
        </w:rPr>
        <w:t>de gubernamental a mixta</w:t>
      </w:r>
      <w:r w:rsidRPr="003E425B">
        <w:rPr>
          <w:rFonts w:ascii="Times New Roman" w:hAnsi="Times New Roman"/>
          <w:sz w:val="28"/>
        </w:rPr>
        <w:t>-</w:t>
      </w:r>
      <w:r w:rsidRPr="003E425B">
        <w:rPr>
          <w:rFonts w:ascii="Times New Roman" w:hAnsi="Times New Roman"/>
          <w:sz w:val="28"/>
        </w:rPr>
        <w:t xml:space="preserve">. A continuación, la Corte desarrolla cada uno de estos puntos: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Cs/>
          <w:sz w:val="28"/>
          <w:lang w:eastAsia="es-MX"/>
        </w:rPr>
      </w:pPr>
      <w:r w:rsidRPr="003E425B">
        <w:rPr>
          <w:rFonts w:ascii="Times New Roman" w:hAnsi="Times New Roman"/>
          <w:i/>
          <w:iCs/>
          <w:sz w:val="28"/>
          <w:lang w:eastAsia="es-MX"/>
        </w:rPr>
        <w:t>(a)</w:t>
      </w:r>
      <w:r w:rsidRPr="003E425B">
        <w:rPr>
          <w:rFonts w:ascii="Times New Roman" w:hAnsi="Times New Roman"/>
          <w:iCs/>
          <w:sz w:val="28"/>
          <w:lang w:eastAsia="es-MX"/>
        </w:rPr>
        <w:t xml:space="preserve"> El inciso 2º del artículo 154 de la Constitución prescribe que “sólo podrán ser dictadas o reformadas por iniciativa del Gobierno” las leyes a que se refieren, entre otros, el numeral 7º del artículo 150 de la Constitución.  Este numeral prevé que por ley</w:t>
      </w:r>
      <w:r w:rsidRPr="003E425B">
        <w:rPr>
          <w:rFonts w:ascii="Times New Roman" w:hAnsi="Times New Roman"/>
          <w:iCs/>
          <w:sz w:val="28"/>
          <w:lang w:eastAsia="es-MX"/>
        </w:rPr>
        <w:t xml:space="preserve"> se debe “[d]eterminar la estructura de la administración nacional y crear, suprimir o fusionar ministerios, departamentos administrativos, superintendencias, establecimientos públicos y otras entidades del orden nacional (…)”. </w:t>
      </w:r>
      <w:r w:rsidRPr="003E425B">
        <w:rPr>
          <w:rFonts w:ascii="Times New Roman" w:hAnsi="Times New Roman"/>
          <w:sz w:val="28"/>
          <w:lang w:eastAsia="es-MX"/>
        </w:rPr>
        <w:t>Con fundamento en estas disp</w:t>
      </w:r>
      <w:r w:rsidRPr="003E425B">
        <w:rPr>
          <w:rFonts w:ascii="Times New Roman" w:hAnsi="Times New Roman"/>
          <w:sz w:val="28"/>
          <w:lang w:eastAsia="es-MX"/>
        </w:rPr>
        <w:t xml:space="preserve">osiciones, la jurisprudencia constitucional ha precisado que la iniciativa para presentar proyectos de ley que busquen crear ministerios, así como otras entidades u organismos de la administración pública nacional, es de competencia </w:t>
      </w:r>
      <w:r w:rsidRPr="003E425B">
        <w:rPr>
          <w:rFonts w:ascii="Times New Roman" w:hAnsi="Times New Roman"/>
          <w:iCs/>
          <w:sz w:val="28"/>
          <w:lang w:eastAsia="es-MX"/>
        </w:rPr>
        <w:t>exclusiva</w:t>
      </w:r>
      <w:r w:rsidRPr="003E425B">
        <w:rPr>
          <w:rFonts w:ascii="Times New Roman" w:hAnsi="Times New Roman"/>
          <w:sz w:val="28"/>
          <w:lang w:eastAsia="es-MX"/>
        </w:rPr>
        <w:t xml:space="preserve"> y </w:t>
      </w:r>
      <w:r w:rsidRPr="003E425B">
        <w:rPr>
          <w:rFonts w:ascii="Times New Roman" w:hAnsi="Times New Roman"/>
          <w:iCs/>
          <w:sz w:val="28"/>
          <w:lang w:eastAsia="es-MX"/>
        </w:rPr>
        <w:t>privativa</w:t>
      </w:r>
      <w:r w:rsidRPr="003E425B">
        <w:rPr>
          <w:rFonts w:ascii="Times New Roman" w:hAnsi="Times New Roman"/>
          <w:sz w:val="28"/>
          <w:lang w:eastAsia="es-MX"/>
        </w:rPr>
        <w:t xml:space="preserve"> d</w:t>
      </w:r>
      <w:r w:rsidRPr="003E425B">
        <w:rPr>
          <w:rFonts w:ascii="Times New Roman" w:hAnsi="Times New Roman"/>
          <w:sz w:val="28"/>
          <w:lang w:eastAsia="es-MX"/>
        </w:rPr>
        <w:t>el Gobierno Nacional</w:t>
      </w:r>
      <w:r w:rsidRPr="003E425B">
        <w:rPr>
          <w:rStyle w:val="Refdenotaalpie"/>
          <w:rFonts w:ascii="Times New Roman" w:hAnsi="Times New Roman"/>
          <w:sz w:val="28"/>
          <w:lang w:eastAsia="es-MX"/>
        </w:rPr>
        <w:footnoteReference w:id="319"/>
      </w:r>
      <w:r w:rsidRPr="003E425B">
        <w:rPr>
          <w:rFonts w:ascii="Times New Roman" w:hAnsi="Times New Roman"/>
          <w:sz w:val="28"/>
          <w:lang w:eastAsia="es-MX"/>
        </w:rPr>
        <w:t xml:space="preserve">. Es </w:t>
      </w:r>
      <w:r w:rsidRPr="003E425B">
        <w:rPr>
          <w:rFonts w:ascii="Times New Roman" w:hAnsi="Times New Roman"/>
          <w:i/>
          <w:sz w:val="28"/>
          <w:lang w:eastAsia="es-MX"/>
        </w:rPr>
        <w:t>exclusiva</w:t>
      </w:r>
      <w:r w:rsidRPr="003E425B">
        <w:rPr>
          <w:rFonts w:ascii="Times New Roman" w:hAnsi="Times New Roman"/>
          <w:sz w:val="28"/>
          <w:lang w:eastAsia="es-MX"/>
        </w:rPr>
        <w:t xml:space="preserve">, porque </w:t>
      </w:r>
      <w:r w:rsidRPr="003E425B">
        <w:rPr>
          <w:rFonts w:ascii="Times New Roman" w:hAnsi="Times New Roman"/>
          <w:sz w:val="28"/>
        </w:rPr>
        <w:t>se prescinde de la intervención de cualquier otra autoridad para su ejercicio y</w:t>
      </w:r>
      <w:r w:rsidRPr="003E425B">
        <w:rPr>
          <w:rFonts w:ascii="Times New Roman" w:hAnsi="Times New Roman"/>
          <w:sz w:val="28"/>
          <w:lang w:eastAsia="es-MX"/>
        </w:rPr>
        <w:t xml:space="preserve"> </w:t>
      </w:r>
      <w:r w:rsidRPr="003E425B">
        <w:rPr>
          <w:rFonts w:ascii="Times New Roman" w:hAnsi="Times New Roman"/>
          <w:i/>
          <w:sz w:val="28"/>
          <w:lang w:eastAsia="es-MX"/>
        </w:rPr>
        <w:t>privativa</w:t>
      </w:r>
      <w:r w:rsidRPr="003E425B">
        <w:rPr>
          <w:rFonts w:ascii="Times New Roman" w:hAnsi="Times New Roman"/>
          <w:sz w:val="28"/>
          <w:lang w:eastAsia="es-MX"/>
        </w:rPr>
        <w:t xml:space="preserve">, por cuanto </w:t>
      </w:r>
      <w:r w:rsidRPr="003E425B">
        <w:rPr>
          <w:rFonts w:ascii="Times New Roman" w:hAnsi="Times New Roman"/>
          <w:sz w:val="28"/>
        </w:rPr>
        <w:t>sólo admite que su regulación se produzca con el consentimiento o aquiescencia del ejecutivo</w:t>
      </w:r>
      <w:r w:rsidRPr="003E425B">
        <w:rPr>
          <w:rStyle w:val="Refdenotaalpie"/>
          <w:rFonts w:ascii="Times New Roman" w:hAnsi="Times New Roman"/>
          <w:sz w:val="28"/>
        </w:rPr>
        <w:footnoteReference w:id="320"/>
      </w:r>
      <w:r w:rsidRPr="003E425B">
        <w:rPr>
          <w:rFonts w:ascii="Times New Roman" w:hAnsi="Times New Roman"/>
          <w:sz w:val="28"/>
        </w:rPr>
        <w:t>.</w:t>
      </w:r>
      <w:r w:rsidRPr="003E425B">
        <w:rPr>
          <w:rFonts w:ascii="Times New Roman" w:hAnsi="Times New Roman"/>
          <w:i/>
          <w:iCs/>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Cs/>
          <w:sz w:val="28"/>
          <w:lang w:eastAsia="es-MX"/>
        </w:rPr>
        <w:t>En este caso,</w:t>
      </w:r>
      <w:r w:rsidRPr="003E425B">
        <w:rPr>
          <w:rFonts w:ascii="Times New Roman" w:hAnsi="Times New Roman"/>
          <w:iCs/>
          <w:sz w:val="28"/>
          <w:lang w:eastAsia="es-MX"/>
        </w:rPr>
        <w:t xml:space="preserve"> el proyecto de ley tenía como objeto la creación del Ministerio de Igualdad y Equidad, que es un organismo de la administración pública nacional. Esto implica que, conforme al inciso 2º del artículo 154 de la Constitución y la jurisprudencia constituciona</w:t>
      </w:r>
      <w:r w:rsidRPr="003E425B">
        <w:rPr>
          <w:rFonts w:ascii="Times New Roman" w:hAnsi="Times New Roman"/>
          <w:iCs/>
          <w:sz w:val="28"/>
          <w:lang w:eastAsia="es-MX"/>
        </w:rPr>
        <w:t xml:space="preserve">l, la iniciativa era exclusiva y privativa del Gobierno Nacional.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
          <w:sz w:val="28"/>
          <w:lang w:eastAsia="es-MX"/>
        </w:rPr>
        <w:t>(b)</w:t>
      </w:r>
      <w:r w:rsidRPr="003E425B">
        <w:rPr>
          <w:rFonts w:ascii="Times New Roman" w:hAnsi="Times New Roman"/>
          <w:sz w:val="28"/>
          <w:lang w:eastAsia="es-MX"/>
        </w:rPr>
        <w:t xml:space="preserve"> La exposición de motivos evidencia que, desde el punto de vista fáctico, la iniciativa para la creación del Ministerio de Igualdad y Equidad fue, efectivamente, del Gobierno Nacional. </w:t>
      </w:r>
      <w:r w:rsidRPr="003E425B">
        <w:rPr>
          <w:rFonts w:ascii="Times New Roman" w:hAnsi="Times New Roman"/>
          <w:iCs/>
          <w:sz w:val="28"/>
          <w:lang w:eastAsia="es-MX"/>
        </w:rPr>
        <w:t>Al respecto, la Sala Plena resalta que</w:t>
      </w:r>
      <w:r w:rsidRPr="003E425B">
        <w:rPr>
          <w:rFonts w:ascii="Times New Roman" w:hAnsi="Times New Roman"/>
          <w:iCs/>
          <w:sz w:val="28"/>
          <w:lang w:eastAsia="es-MX"/>
        </w:rPr>
        <w:t xml:space="preserve"> la exposición de motivos del proyecto de ley que radicó el ministro del Interior, el señor </w:t>
      </w:r>
      <w:r w:rsidRPr="003E425B">
        <w:rPr>
          <w:rFonts w:ascii="Times New Roman" w:hAnsi="Times New Roman"/>
          <w:sz w:val="28"/>
          <w:lang w:eastAsia="es-MX"/>
        </w:rPr>
        <w:t>Hernando Alfonso Prada Gil</w:t>
      </w:r>
      <w:r w:rsidRPr="003E425B">
        <w:rPr>
          <w:rFonts w:ascii="Times New Roman" w:hAnsi="Times New Roman"/>
          <w:iCs/>
          <w:sz w:val="28"/>
          <w:lang w:eastAsia="es-MX"/>
        </w:rPr>
        <w:t xml:space="preserve">, </w:t>
      </w:r>
      <w:r w:rsidRPr="003E425B">
        <w:rPr>
          <w:rFonts w:ascii="Times New Roman" w:hAnsi="Times New Roman"/>
          <w:sz w:val="28"/>
          <w:lang w:eastAsia="es-MX"/>
        </w:rPr>
        <w:t>ind</w:t>
      </w:r>
      <w:r w:rsidRPr="003E425B">
        <w:rPr>
          <w:rFonts w:ascii="Times New Roman" w:hAnsi="Times New Roman"/>
          <w:sz w:val="28"/>
          <w:lang w:eastAsia="es-MX"/>
        </w:rPr>
        <w:t>i</w:t>
      </w:r>
      <w:r w:rsidRPr="003E425B">
        <w:rPr>
          <w:rFonts w:ascii="Times New Roman" w:hAnsi="Times New Roman"/>
          <w:sz w:val="28"/>
          <w:lang w:eastAsia="es-MX"/>
        </w:rPr>
        <w:t>caba</w:t>
      </w:r>
      <w:r w:rsidRPr="003E425B">
        <w:rPr>
          <w:rFonts w:ascii="Times New Roman" w:hAnsi="Times New Roman"/>
          <w:sz w:val="28"/>
          <w:lang w:eastAsia="es-MX"/>
        </w:rPr>
        <w:t xml:space="preserve"> que “el Gobierno Nacional somete a consideración del Congreso de la República, de conform</w:t>
      </w:r>
      <w:r w:rsidRPr="003E425B">
        <w:rPr>
          <w:rFonts w:ascii="Times New Roman" w:hAnsi="Times New Roman"/>
          <w:sz w:val="28"/>
          <w:lang w:eastAsia="es-MX"/>
        </w:rPr>
        <w:t>idad con el artículo 150 numeral 7 de la Constitución Política y el artículo 50 de la Ley 489 de 1998, (sic) tiene por objeto la creación del Ministerio de Igualdad y Equidad y la adopción de elementos de su estructura orgánica”</w:t>
      </w:r>
      <w:r w:rsidRPr="003E425B">
        <w:rPr>
          <w:rStyle w:val="Refdenotaalpie"/>
          <w:rFonts w:ascii="Times New Roman" w:hAnsi="Times New Roman"/>
          <w:sz w:val="28"/>
          <w:lang w:eastAsia="es-MX"/>
        </w:rPr>
        <w:footnoteReference w:id="321"/>
      </w:r>
      <w:r w:rsidRPr="003E425B">
        <w:rPr>
          <w:rFonts w:ascii="Times New Roman" w:hAnsi="Times New Roman"/>
          <w:sz w:val="28"/>
          <w:lang w:eastAsia="es-MX"/>
        </w:rPr>
        <w:t xml:space="preserve">. También </w:t>
      </w:r>
      <w:r w:rsidRPr="003E425B">
        <w:rPr>
          <w:rFonts w:ascii="Times New Roman" w:hAnsi="Times New Roman"/>
          <w:sz w:val="28"/>
          <w:lang w:eastAsia="es-MX"/>
        </w:rPr>
        <w:t>se reconocía</w:t>
      </w:r>
      <w:r w:rsidRPr="003E425B">
        <w:rPr>
          <w:rFonts w:ascii="Times New Roman" w:hAnsi="Times New Roman"/>
          <w:sz w:val="28"/>
          <w:lang w:eastAsia="es-MX"/>
        </w:rPr>
        <w:t xml:space="preserve"> que,</w:t>
      </w:r>
      <w:r w:rsidRPr="003E425B">
        <w:rPr>
          <w:rFonts w:ascii="Times New Roman" w:hAnsi="Times New Roman"/>
          <w:sz w:val="28"/>
          <w:lang w:eastAsia="es-MX"/>
        </w:rPr>
        <w:t xml:space="preserve"> “como quiera que se trata de una iniciativa de creación de un ministerio y que propende por organizar un sector de la Administración Pública y fortalecer su reglamentación, su presentación </w:t>
      </w:r>
      <w:r w:rsidRPr="003E425B">
        <w:rPr>
          <w:rFonts w:ascii="Times New Roman" w:hAnsi="Times New Roman"/>
          <w:b/>
          <w:bCs/>
          <w:sz w:val="28"/>
          <w:u w:val="single"/>
          <w:lang w:eastAsia="es-MX"/>
        </w:rPr>
        <w:t>compete de modo exclusivo y excluyente al ejecutivo</w:t>
      </w:r>
      <w:r w:rsidRPr="003E425B">
        <w:rPr>
          <w:rFonts w:ascii="Times New Roman" w:hAnsi="Times New Roman"/>
          <w:sz w:val="28"/>
          <w:lang w:eastAsia="es-MX"/>
        </w:rPr>
        <w:t xml:space="preserve">, razón por la </w:t>
      </w:r>
      <w:r w:rsidRPr="003E425B">
        <w:rPr>
          <w:rFonts w:ascii="Times New Roman" w:hAnsi="Times New Roman"/>
          <w:sz w:val="28"/>
          <w:lang w:eastAsia="es-MX"/>
        </w:rPr>
        <w:t>cual sólo puede ser dictada o reformada por iniciativa del Gobierno”</w:t>
      </w:r>
      <w:r w:rsidRPr="003E425B">
        <w:rPr>
          <w:rStyle w:val="Refdenotaalpie"/>
          <w:rFonts w:ascii="Times New Roman" w:hAnsi="Times New Roman"/>
          <w:sz w:val="28"/>
          <w:lang w:eastAsia="es-MX"/>
        </w:rPr>
        <w:footnoteReference w:id="322"/>
      </w:r>
      <w:r w:rsidRPr="003E425B">
        <w:rPr>
          <w:rFonts w:ascii="Times New Roman" w:hAnsi="Times New Roman"/>
          <w:sz w:val="28"/>
          <w:lang w:eastAsia="es-MX"/>
        </w:rPr>
        <w:t xml:space="preserve"> (resaltado fuera de texto).</w:t>
      </w:r>
    </w:p>
    <w:p w:rsidR="002860D7" w:rsidRPr="003E425B" w:rsidRDefault="003E425B" w:rsidP="00010108">
      <w:pPr>
        <w:pStyle w:val="Prrafodelista"/>
        <w:tabs>
          <w:tab w:val="left" w:pos="567"/>
        </w:tabs>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
          <w:sz w:val="28"/>
          <w:lang w:eastAsia="es-MX"/>
        </w:rPr>
        <w:t>(c)</w:t>
      </w:r>
      <w:r w:rsidRPr="003E425B">
        <w:rPr>
          <w:rFonts w:ascii="Times New Roman" w:hAnsi="Times New Roman"/>
          <w:sz w:val="28"/>
          <w:lang w:eastAsia="es-MX"/>
        </w:rPr>
        <w:t xml:space="preserve"> La Sala Plena reconoce que el proyecto de ley fue radicado por el Ministro del Interior, el señor Hernando Alfonso Prada Gil, acompañado del señor Presid</w:t>
      </w:r>
      <w:r w:rsidRPr="003E425B">
        <w:rPr>
          <w:rFonts w:ascii="Times New Roman" w:hAnsi="Times New Roman"/>
          <w:sz w:val="28"/>
          <w:lang w:eastAsia="es-MX"/>
        </w:rPr>
        <w:t>ente de la República doctor Gustavo Francisco Petro Urrego y la señora Vicepresidenta de la República doctora Francia Elena Márquez Mina. Asimismo, 37 congresistas suscribieron el proyecto</w:t>
      </w:r>
      <w:r w:rsidRPr="003E425B">
        <w:rPr>
          <w:rFonts w:ascii="Times New Roman" w:hAnsi="Times New Roman"/>
          <w:sz w:val="28"/>
          <w:lang w:eastAsia="es-MX"/>
        </w:rPr>
        <w:t xml:space="preserve"> de ley</w:t>
      </w:r>
      <w:r w:rsidRPr="003E425B">
        <w:rPr>
          <w:rStyle w:val="Refdenotaalpie"/>
          <w:rFonts w:ascii="Times New Roman" w:hAnsi="Times New Roman"/>
          <w:sz w:val="28"/>
          <w:lang w:eastAsia="es-MX"/>
        </w:rPr>
        <w:footnoteReference w:id="323"/>
      </w:r>
      <w:r w:rsidRPr="003E425B">
        <w:rPr>
          <w:rFonts w:ascii="Times New Roman" w:hAnsi="Times New Roman"/>
          <w:sz w:val="28"/>
          <w:lang w:eastAsia="es-MX"/>
        </w:rPr>
        <w:t xml:space="preserve">. </w:t>
      </w:r>
      <w:r w:rsidRPr="003E425B">
        <w:rPr>
          <w:rFonts w:ascii="Times New Roman" w:hAnsi="Times New Roman"/>
          <w:sz w:val="28"/>
          <w:lang w:eastAsia="es-MX"/>
        </w:rPr>
        <w:t xml:space="preserve">La Sala Plena reconoce que la Constitución y la </w:t>
      </w:r>
      <w:r w:rsidRPr="003E425B">
        <w:rPr>
          <w:rFonts w:ascii="Times New Roman" w:hAnsi="Times New Roman"/>
          <w:sz w:val="28"/>
          <w:lang w:eastAsia="es-MX"/>
        </w:rPr>
        <w:t>L</w:t>
      </w:r>
      <w:r w:rsidRPr="003E425B">
        <w:rPr>
          <w:rFonts w:ascii="Times New Roman" w:hAnsi="Times New Roman"/>
          <w:sz w:val="28"/>
          <w:lang w:eastAsia="es-MX"/>
        </w:rPr>
        <w:t xml:space="preserve">ey 5ª de 1992 permiten que los congresistas suscriban los proyectos de ley de iniciativa gubernamental que son radicados ante el Congreso de la República. </w:t>
      </w:r>
      <w:r w:rsidRPr="003E425B">
        <w:rPr>
          <w:rFonts w:ascii="Times New Roman" w:hAnsi="Times New Roman"/>
          <w:sz w:val="28"/>
          <w:lang w:eastAsia="es-MX"/>
        </w:rPr>
        <w:t>En criterio de la Corte, sin embargo, la firma de</w:t>
      </w:r>
      <w:r w:rsidRPr="003E425B">
        <w:rPr>
          <w:rFonts w:ascii="Times New Roman" w:hAnsi="Times New Roman"/>
          <w:sz w:val="28"/>
          <w:lang w:eastAsia="es-MX"/>
        </w:rPr>
        <w:t xml:space="preserve"> un</w:t>
      </w:r>
      <w:r w:rsidRPr="003E425B">
        <w:rPr>
          <w:rFonts w:ascii="Times New Roman" w:hAnsi="Times New Roman"/>
          <w:sz w:val="28"/>
          <w:lang w:eastAsia="es-MX"/>
        </w:rPr>
        <w:t xml:space="preserve"> proyecto </w:t>
      </w:r>
      <w:r w:rsidRPr="003E425B">
        <w:rPr>
          <w:rFonts w:ascii="Times New Roman" w:hAnsi="Times New Roman"/>
          <w:sz w:val="28"/>
          <w:lang w:eastAsia="es-MX"/>
        </w:rPr>
        <w:t>de ley de iniciativa privativa y exclus</w:t>
      </w:r>
      <w:r w:rsidRPr="003E425B">
        <w:rPr>
          <w:rFonts w:ascii="Times New Roman" w:hAnsi="Times New Roman"/>
          <w:sz w:val="28"/>
          <w:lang w:eastAsia="es-MX"/>
        </w:rPr>
        <w:t xml:space="preserve">iva </w:t>
      </w:r>
      <w:r w:rsidRPr="003E425B">
        <w:rPr>
          <w:rFonts w:ascii="Times New Roman" w:hAnsi="Times New Roman"/>
          <w:sz w:val="28"/>
          <w:lang w:eastAsia="es-MX"/>
        </w:rPr>
        <w:t>del Gobierno Nacional,</w:t>
      </w:r>
      <w:r w:rsidRPr="003E425B">
        <w:rPr>
          <w:rFonts w:ascii="Times New Roman" w:hAnsi="Times New Roman"/>
          <w:sz w:val="28"/>
          <w:lang w:eastAsia="es-MX"/>
        </w:rPr>
        <w:t xml:space="preserve"> </w:t>
      </w:r>
      <w:r w:rsidRPr="003E425B">
        <w:rPr>
          <w:rFonts w:ascii="Times New Roman" w:hAnsi="Times New Roman"/>
          <w:sz w:val="28"/>
          <w:lang w:eastAsia="es-MX"/>
        </w:rPr>
        <w:t xml:space="preserve">por parte de </w:t>
      </w:r>
      <w:r w:rsidRPr="003E425B">
        <w:rPr>
          <w:rFonts w:ascii="Times New Roman" w:hAnsi="Times New Roman"/>
          <w:sz w:val="28"/>
          <w:lang w:eastAsia="es-MX"/>
        </w:rPr>
        <w:t>algunos</w:t>
      </w:r>
      <w:r w:rsidRPr="003E425B">
        <w:rPr>
          <w:rFonts w:ascii="Times New Roman" w:hAnsi="Times New Roman"/>
          <w:sz w:val="28"/>
          <w:lang w:eastAsia="es-MX"/>
        </w:rPr>
        <w:t xml:space="preserve"> congresistas</w:t>
      </w:r>
      <w:r w:rsidRPr="003E425B">
        <w:rPr>
          <w:rFonts w:ascii="Times New Roman" w:hAnsi="Times New Roman"/>
          <w:sz w:val="28"/>
          <w:lang w:eastAsia="es-MX"/>
        </w:rPr>
        <w:t xml:space="preserve">, </w:t>
      </w:r>
      <w:r w:rsidRPr="003E425B">
        <w:rPr>
          <w:rFonts w:ascii="Times New Roman" w:hAnsi="Times New Roman"/>
          <w:sz w:val="28"/>
          <w:lang w:eastAsia="es-MX"/>
        </w:rPr>
        <w:t xml:space="preserve">no puede conducir a concluir que, </w:t>
      </w:r>
      <w:r w:rsidRPr="003E425B">
        <w:rPr>
          <w:rFonts w:ascii="Times New Roman" w:hAnsi="Times New Roman"/>
          <w:sz w:val="28"/>
          <w:lang w:eastAsia="es-MX"/>
        </w:rPr>
        <w:t xml:space="preserve">específicamente </w:t>
      </w:r>
      <w:r w:rsidRPr="003E425B">
        <w:rPr>
          <w:rFonts w:ascii="Times New Roman" w:hAnsi="Times New Roman"/>
          <w:sz w:val="28"/>
          <w:lang w:eastAsia="es-MX"/>
        </w:rPr>
        <w:t>para efectos de la aplicación del artículo 7º de la Ley 819 de 2003, la iniciativa es mixta</w:t>
      </w:r>
      <w:r w:rsidRPr="003E425B">
        <w:rPr>
          <w:rFonts w:ascii="Times New Roman" w:hAnsi="Times New Roman"/>
          <w:sz w:val="28"/>
          <w:lang w:eastAsia="es-MX"/>
        </w:rPr>
        <w:t xml:space="preserve"> y, por lo tanto, el nivel de rigurosidad aplicable a</w:t>
      </w:r>
      <w:r w:rsidRPr="003E425B">
        <w:rPr>
          <w:rFonts w:ascii="Times New Roman" w:hAnsi="Times New Roman"/>
          <w:sz w:val="28"/>
          <w:lang w:eastAsia="es-MX"/>
        </w:rPr>
        <w:t>l análisis de impacto fiscal es menos exigente</w:t>
      </w:r>
      <w:r w:rsidRPr="003E425B">
        <w:rPr>
          <w:rFonts w:ascii="Times New Roman" w:hAnsi="Times New Roman"/>
          <w:sz w:val="28"/>
          <w:lang w:eastAsia="es-MX"/>
        </w:rPr>
        <w:t xml:space="preserve">. Esto, por al menos dos razones. </w:t>
      </w:r>
    </w:p>
    <w:p w:rsidR="002860D7" w:rsidRPr="003E425B" w:rsidRDefault="003E425B" w:rsidP="00010108">
      <w:pPr>
        <w:pStyle w:val="Prrafodelista"/>
        <w:spacing w:line="240" w:lineRule="auto"/>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u w:val="single"/>
          <w:lang w:eastAsia="es-MX"/>
        </w:rPr>
        <w:t>Primero</w:t>
      </w:r>
      <w:r w:rsidRPr="003E425B">
        <w:rPr>
          <w:rFonts w:ascii="Times New Roman" w:hAnsi="Times New Roman"/>
          <w:sz w:val="28"/>
          <w:lang w:eastAsia="es-MX"/>
        </w:rPr>
        <w:t xml:space="preserve">. Interpretar que la simple firma del proyecto de ley o la exposición de motivos implica una mutación de la iniciativa -de gubernamental a mixta- desconocería </w:t>
      </w:r>
      <w:r w:rsidRPr="003E425B">
        <w:rPr>
          <w:rFonts w:ascii="Times New Roman" w:hAnsi="Times New Roman"/>
          <w:sz w:val="28"/>
          <w:lang w:eastAsia="es-MX"/>
        </w:rPr>
        <w:t>lo previ</w:t>
      </w:r>
      <w:r w:rsidRPr="003E425B">
        <w:rPr>
          <w:rFonts w:ascii="Times New Roman" w:hAnsi="Times New Roman"/>
          <w:sz w:val="28"/>
          <w:lang w:eastAsia="es-MX"/>
        </w:rPr>
        <w:t>sto en</w:t>
      </w:r>
      <w:r w:rsidRPr="003E425B">
        <w:rPr>
          <w:rFonts w:ascii="Times New Roman" w:hAnsi="Times New Roman"/>
          <w:sz w:val="28"/>
          <w:lang w:eastAsia="es-MX"/>
        </w:rPr>
        <w:t xml:space="preserve"> el inciso 2º del artículo 154 de la Constitución, que es una norma de orden público. Conforme a esta disposición, se reitera, la iniciativa para crear ministerios es exclusiva y privativa del Gobierno Nacional -no mixta o concurrente-. </w:t>
      </w:r>
      <w:r w:rsidRPr="003E425B">
        <w:rPr>
          <w:rFonts w:ascii="Times New Roman" w:hAnsi="Times New Roman"/>
          <w:sz w:val="28"/>
          <w:lang w:eastAsia="es-MX"/>
        </w:rPr>
        <w:t>En tales térm</w:t>
      </w:r>
      <w:r w:rsidRPr="003E425B">
        <w:rPr>
          <w:rFonts w:ascii="Times New Roman" w:hAnsi="Times New Roman"/>
          <w:sz w:val="28"/>
          <w:lang w:eastAsia="es-MX"/>
        </w:rPr>
        <w:t xml:space="preserve">inos, es constitucionalmente admisible que, al momento en que el Gobierno Nacional radique el proyecto de ley, congresistas suscriban la iniciativa. Sin embargo, esto no muta la titularidad de la iniciativa. </w:t>
      </w:r>
    </w:p>
    <w:p w:rsidR="002860D7" w:rsidRPr="003E425B" w:rsidRDefault="003E425B" w:rsidP="00010108">
      <w:pPr>
        <w:rPr>
          <w:rFonts w:ascii="Times New Roman" w:hAnsi="Times New Roman" w:cs="Times New Roman"/>
          <w:iCs/>
          <w:sz w:val="28"/>
          <w:lang w:eastAsia="es-MX"/>
        </w:rPr>
      </w:pPr>
    </w:p>
    <w:p w:rsidR="00A4095C"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Cs/>
          <w:sz w:val="28"/>
          <w:u w:val="single"/>
          <w:lang w:eastAsia="es-MX"/>
        </w:rPr>
        <w:t>Segundo</w:t>
      </w:r>
      <w:r w:rsidRPr="003E425B">
        <w:rPr>
          <w:rFonts w:ascii="Times New Roman" w:hAnsi="Times New Roman"/>
          <w:iCs/>
          <w:sz w:val="28"/>
          <w:lang w:eastAsia="es-MX"/>
        </w:rPr>
        <w:t xml:space="preserve">. Aceptar que, con la simple firma de </w:t>
      </w:r>
      <w:r w:rsidRPr="003E425B">
        <w:rPr>
          <w:rFonts w:ascii="Times New Roman" w:hAnsi="Times New Roman"/>
          <w:iCs/>
          <w:sz w:val="28"/>
          <w:lang w:eastAsia="es-MX"/>
        </w:rPr>
        <w:t>a</w:t>
      </w:r>
      <w:r w:rsidRPr="003E425B">
        <w:rPr>
          <w:rFonts w:ascii="Times New Roman" w:hAnsi="Times New Roman"/>
          <w:iCs/>
          <w:sz w:val="28"/>
          <w:lang w:eastAsia="es-MX"/>
        </w:rPr>
        <w:t>lgunos</w:t>
      </w:r>
      <w:r w:rsidRPr="003E425B">
        <w:rPr>
          <w:rFonts w:ascii="Times New Roman" w:hAnsi="Times New Roman"/>
          <w:iCs/>
          <w:sz w:val="28"/>
          <w:lang w:eastAsia="es-MX"/>
        </w:rPr>
        <w:t xml:space="preserve"> congresistas, es posible mutar el origen de la iniciativa, afecta gravemente las finalidades de la obligación de analizar el impacto fiscal de las leyes prevista en el artículo 7º de la </w:t>
      </w:r>
      <w:r w:rsidRPr="003E425B">
        <w:rPr>
          <w:rFonts w:ascii="Times New Roman" w:hAnsi="Times New Roman"/>
          <w:iCs/>
          <w:sz w:val="28"/>
          <w:lang w:eastAsia="es-MX"/>
        </w:rPr>
        <w:t>L</w:t>
      </w:r>
      <w:r w:rsidRPr="003E425B">
        <w:rPr>
          <w:rFonts w:ascii="Times New Roman" w:hAnsi="Times New Roman"/>
          <w:iCs/>
          <w:sz w:val="28"/>
          <w:lang w:eastAsia="es-MX"/>
        </w:rPr>
        <w:t>ey 819 de 2003. La Sala Plena reitera que, conforme a la ley y</w:t>
      </w:r>
      <w:r w:rsidRPr="003E425B">
        <w:rPr>
          <w:rFonts w:ascii="Times New Roman" w:hAnsi="Times New Roman"/>
          <w:iCs/>
          <w:sz w:val="28"/>
          <w:lang w:eastAsia="es-MX"/>
        </w:rPr>
        <w:t xml:space="preserve"> la jurisprudencia constitucional, del origen de la iniciativa dependen el alcance de los deberes a cargo del Gobierno Nacional y el Congreso de la República, así como el nivel de rigurosidad exigible al análisis de impacto fiscal. En los casos en los que </w:t>
      </w:r>
      <w:r w:rsidRPr="003E425B">
        <w:rPr>
          <w:rFonts w:ascii="Times New Roman" w:hAnsi="Times New Roman"/>
          <w:iCs/>
          <w:sz w:val="28"/>
          <w:lang w:eastAsia="es-MX"/>
        </w:rPr>
        <w:t xml:space="preserve">la iniciativa es gubernamental, el nivel de rigurosidad </w:t>
      </w:r>
      <w:r w:rsidRPr="003E425B">
        <w:rPr>
          <w:rFonts w:ascii="Times New Roman" w:hAnsi="Times New Roman"/>
          <w:iCs/>
          <w:sz w:val="28"/>
          <w:lang w:eastAsia="es-MX"/>
        </w:rPr>
        <w:t>es</w:t>
      </w:r>
      <w:r w:rsidRPr="003E425B">
        <w:rPr>
          <w:rFonts w:ascii="Times New Roman" w:hAnsi="Times New Roman"/>
          <w:iCs/>
          <w:sz w:val="28"/>
          <w:lang w:eastAsia="es-MX"/>
        </w:rPr>
        <w:t xml:space="preserve"> </w:t>
      </w:r>
      <w:r w:rsidRPr="003E425B">
        <w:rPr>
          <w:rFonts w:ascii="Times New Roman" w:hAnsi="Times New Roman"/>
          <w:iCs/>
          <w:sz w:val="28"/>
          <w:lang w:eastAsia="es-MX"/>
        </w:rPr>
        <w:t xml:space="preserve">siempre </w:t>
      </w:r>
      <w:r w:rsidRPr="003E425B">
        <w:rPr>
          <w:rFonts w:ascii="Times New Roman" w:hAnsi="Times New Roman"/>
          <w:iCs/>
          <w:sz w:val="28"/>
          <w:lang w:eastAsia="es-MX"/>
        </w:rPr>
        <w:t xml:space="preserve">estricto, lo que </w:t>
      </w:r>
      <w:r w:rsidRPr="003E425B">
        <w:rPr>
          <w:rFonts w:ascii="Times New Roman" w:hAnsi="Times New Roman"/>
          <w:iCs/>
          <w:sz w:val="28"/>
          <w:lang w:eastAsia="es-MX"/>
        </w:rPr>
        <w:t>supone que debe</w:t>
      </w:r>
      <w:r w:rsidRPr="003E425B">
        <w:rPr>
          <w:rFonts w:ascii="Times New Roman" w:hAnsi="Times New Roman"/>
          <w:iCs/>
          <w:sz w:val="28"/>
          <w:lang w:eastAsia="es-MX"/>
        </w:rPr>
        <w:t>n</w:t>
      </w:r>
      <w:r w:rsidRPr="003E425B">
        <w:rPr>
          <w:rFonts w:ascii="Times New Roman" w:hAnsi="Times New Roman"/>
          <w:iCs/>
          <w:sz w:val="28"/>
          <w:lang w:eastAsia="es-MX"/>
        </w:rPr>
        <w:t xml:space="preserve"> describirse </w:t>
      </w:r>
      <w:r w:rsidRPr="003E425B">
        <w:rPr>
          <w:rFonts w:ascii="Times New Roman" w:hAnsi="Times New Roman"/>
          <w:iCs/>
          <w:sz w:val="28"/>
          <w:lang w:eastAsia="es-MX"/>
        </w:rPr>
        <w:t xml:space="preserve">e identificarse </w:t>
      </w:r>
      <w:r w:rsidRPr="003E425B">
        <w:rPr>
          <w:rFonts w:ascii="Times New Roman" w:hAnsi="Times New Roman"/>
          <w:iCs/>
          <w:sz w:val="28"/>
          <w:lang w:eastAsia="es-MX"/>
        </w:rPr>
        <w:t>de forma detallada y precisa cada uno de los referentes básicos</w:t>
      </w:r>
      <w:r w:rsidRPr="003E425B">
        <w:rPr>
          <w:rFonts w:ascii="Times New Roman" w:hAnsi="Times New Roman"/>
          <w:iCs/>
          <w:sz w:val="28"/>
          <w:lang w:eastAsia="es-MX"/>
        </w:rPr>
        <w:t xml:space="preserve"> del análisis de impacto fiscal</w:t>
      </w:r>
      <w:r w:rsidRPr="003E425B">
        <w:rPr>
          <w:rFonts w:ascii="Times New Roman" w:hAnsi="Times New Roman"/>
          <w:iCs/>
          <w:sz w:val="28"/>
          <w:lang w:eastAsia="es-MX"/>
        </w:rPr>
        <w:t>.</w:t>
      </w:r>
      <w:r w:rsidRPr="003E425B">
        <w:rPr>
          <w:rFonts w:ascii="Times New Roman" w:hAnsi="Times New Roman"/>
          <w:iCs/>
          <w:sz w:val="28"/>
          <w:lang w:eastAsia="es-MX"/>
        </w:rPr>
        <w:t xml:space="preserve"> </w:t>
      </w:r>
      <w:r w:rsidRPr="003E425B">
        <w:rPr>
          <w:rFonts w:ascii="Times New Roman" w:hAnsi="Times New Roman"/>
          <w:iCs/>
          <w:sz w:val="28"/>
          <w:lang w:eastAsia="es-MX"/>
        </w:rPr>
        <w:t>Por su parte,</w:t>
      </w:r>
      <w:r w:rsidRPr="003E425B">
        <w:rPr>
          <w:rFonts w:ascii="Times New Roman" w:hAnsi="Times New Roman"/>
          <w:iCs/>
          <w:sz w:val="28"/>
          <w:lang w:eastAsia="es-MX"/>
        </w:rPr>
        <w:t xml:space="preserve"> en algun</w:t>
      </w:r>
      <w:r w:rsidRPr="003E425B">
        <w:rPr>
          <w:rFonts w:ascii="Times New Roman" w:hAnsi="Times New Roman"/>
          <w:iCs/>
          <w:sz w:val="28"/>
          <w:lang w:eastAsia="es-MX"/>
        </w:rPr>
        <w:t>a</w:t>
      </w:r>
      <w:r w:rsidRPr="003E425B">
        <w:rPr>
          <w:rFonts w:ascii="Times New Roman" w:hAnsi="Times New Roman"/>
          <w:iCs/>
          <w:sz w:val="28"/>
          <w:lang w:eastAsia="es-MX"/>
        </w:rPr>
        <w:t xml:space="preserve">s </w:t>
      </w:r>
      <w:r w:rsidRPr="003E425B">
        <w:rPr>
          <w:rFonts w:ascii="Times New Roman" w:hAnsi="Times New Roman"/>
          <w:iCs/>
          <w:sz w:val="28"/>
          <w:lang w:eastAsia="es-MX"/>
        </w:rPr>
        <w:t>decisiones</w:t>
      </w:r>
      <w:r w:rsidRPr="003E425B">
        <w:rPr>
          <w:rFonts w:ascii="Times New Roman" w:hAnsi="Times New Roman"/>
          <w:iCs/>
          <w:sz w:val="28"/>
          <w:lang w:eastAsia="es-MX"/>
        </w:rPr>
        <w:t xml:space="preserve"> </w:t>
      </w:r>
      <w:r w:rsidRPr="003E425B">
        <w:rPr>
          <w:rFonts w:ascii="Times New Roman" w:hAnsi="Times New Roman"/>
          <w:iCs/>
          <w:sz w:val="28"/>
          <w:lang w:eastAsia="es-MX"/>
        </w:rPr>
        <w:t xml:space="preserve">la Corte ha </w:t>
      </w:r>
      <w:r w:rsidRPr="003E425B">
        <w:rPr>
          <w:rFonts w:ascii="Times New Roman" w:hAnsi="Times New Roman"/>
          <w:iCs/>
          <w:sz w:val="28"/>
          <w:lang w:eastAsia="es-MX"/>
        </w:rPr>
        <w:t>sostenido</w:t>
      </w:r>
      <w:r w:rsidRPr="003E425B">
        <w:rPr>
          <w:rFonts w:ascii="Times New Roman" w:hAnsi="Times New Roman"/>
          <w:iCs/>
          <w:sz w:val="28"/>
          <w:lang w:eastAsia="es-MX"/>
        </w:rPr>
        <w:t xml:space="preserve"> </w:t>
      </w:r>
      <w:r w:rsidRPr="003E425B">
        <w:rPr>
          <w:rFonts w:ascii="Times New Roman" w:hAnsi="Times New Roman"/>
          <w:iCs/>
          <w:sz w:val="28"/>
          <w:lang w:eastAsia="es-MX"/>
        </w:rPr>
        <w:t>que</w:t>
      </w:r>
      <w:r w:rsidRPr="003E425B">
        <w:rPr>
          <w:rFonts w:ascii="Times New Roman" w:hAnsi="Times New Roman"/>
          <w:iCs/>
          <w:sz w:val="28"/>
          <w:lang w:eastAsia="es-MX"/>
        </w:rPr>
        <w:t xml:space="preserve"> en los casos de iniciativa mixta, </w:t>
      </w:r>
      <w:r w:rsidRPr="003E425B">
        <w:rPr>
          <w:rFonts w:ascii="Times New Roman" w:hAnsi="Times New Roman"/>
          <w:iCs/>
          <w:sz w:val="28"/>
          <w:lang w:eastAsia="es-MX"/>
        </w:rPr>
        <w:t xml:space="preserve">el cumplimiento </w:t>
      </w:r>
      <w:r w:rsidRPr="003E425B">
        <w:rPr>
          <w:rFonts w:ascii="Times New Roman" w:hAnsi="Times New Roman"/>
          <w:iCs/>
          <w:sz w:val="28"/>
          <w:lang w:eastAsia="es-MX"/>
        </w:rPr>
        <w:t xml:space="preserve">de la obligación de analizar el impacto fiscal de la medida </w:t>
      </w:r>
      <w:r w:rsidRPr="003E425B">
        <w:rPr>
          <w:rFonts w:ascii="Times New Roman" w:hAnsi="Times New Roman"/>
          <w:i/>
          <w:sz w:val="28"/>
          <w:lang w:eastAsia="es-MX"/>
        </w:rPr>
        <w:t>(i)</w:t>
      </w:r>
      <w:r w:rsidRPr="003E425B">
        <w:rPr>
          <w:rFonts w:ascii="Times New Roman" w:hAnsi="Times New Roman"/>
          <w:iCs/>
          <w:sz w:val="28"/>
          <w:lang w:eastAsia="es-MX"/>
        </w:rPr>
        <w:t xml:space="preserve"> </w:t>
      </w:r>
      <w:r w:rsidRPr="003E425B">
        <w:rPr>
          <w:rFonts w:ascii="Times New Roman" w:hAnsi="Times New Roman"/>
          <w:sz w:val="28"/>
          <w:lang w:eastAsia="es-MX"/>
        </w:rPr>
        <w:t>“se evalúa bajo un escrutinio deferente de las decisiones adoptadas”</w:t>
      </w:r>
      <w:r w:rsidRPr="003E425B">
        <w:rPr>
          <w:rStyle w:val="Refdenotaalpie"/>
          <w:rFonts w:ascii="Times New Roman" w:hAnsi="Times New Roman"/>
          <w:sz w:val="28"/>
          <w:lang w:eastAsia="es-MX"/>
        </w:rPr>
        <w:footnoteReference w:id="324"/>
      </w:r>
      <w:r w:rsidRPr="003E425B">
        <w:rPr>
          <w:rFonts w:ascii="Times New Roman" w:hAnsi="Times New Roman"/>
          <w:iCs/>
          <w:sz w:val="28"/>
          <w:lang w:eastAsia="es-MX"/>
        </w:rPr>
        <w:t xml:space="preserve"> o </w:t>
      </w:r>
      <w:r w:rsidRPr="003E425B">
        <w:rPr>
          <w:rFonts w:ascii="Times New Roman" w:hAnsi="Times New Roman"/>
          <w:i/>
          <w:sz w:val="28"/>
          <w:lang w:eastAsia="es-MX"/>
        </w:rPr>
        <w:t>(ii)</w:t>
      </w:r>
      <w:r w:rsidRPr="003E425B">
        <w:rPr>
          <w:rFonts w:ascii="Times New Roman" w:hAnsi="Times New Roman"/>
          <w:iCs/>
          <w:sz w:val="28"/>
          <w:lang w:eastAsia="es-MX"/>
        </w:rPr>
        <w:t xml:space="preserve"> </w:t>
      </w:r>
      <w:r w:rsidRPr="003E425B">
        <w:rPr>
          <w:rFonts w:ascii="Times New Roman" w:hAnsi="Times New Roman"/>
          <w:iCs/>
          <w:sz w:val="28"/>
          <w:lang w:eastAsia="es-MX"/>
        </w:rPr>
        <w:t>“debe ser valorado en el con</w:t>
      </w:r>
      <w:r w:rsidRPr="003E425B">
        <w:rPr>
          <w:rFonts w:ascii="Times New Roman" w:hAnsi="Times New Roman"/>
          <w:iCs/>
          <w:sz w:val="28"/>
          <w:lang w:eastAsia="es-MX"/>
        </w:rPr>
        <w:t>texto de las cargas exigibles a cada autoridad”</w:t>
      </w:r>
      <w:r w:rsidRPr="003E425B">
        <w:rPr>
          <w:rStyle w:val="Refdenotaalpie"/>
          <w:rFonts w:ascii="Times New Roman" w:hAnsi="Times New Roman"/>
          <w:iCs/>
          <w:sz w:val="28"/>
          <w:lang w:eastAsia="es-MX"/>
        </w:rPr>
        <w:footnoteReference w:id="325"/>
      </w:r>
      <w:r w:rsidRPr="003E425B">
        <w:rPr>
          <w:rFonts w:ascii="Times New Roman" w:hAnsi="Times New Roman"/>
          <w:iCs/>
          <w:sz w:val="28"/>
          <w:lang w:eastAsia="es-MX"/>
        </w:rPr>
        <w:t>.</w:t>
      </w:r>
      <w:r w:rsidRPr="003E425B">
        <w:rPr>
          <w:rFonts w:ascii="Times New Roman" w:hAnsi="Times New Roman"/>
          <w:iCs/>
          <w:sz w:val="28"/>
          <w:lang w:eastAsia="es-MX"/>
        </w:rPr>
        <w:t xml:space="preserve"> </w:t>
      </w:r>
      <w:r w:rsidRPr="003E425B">
        <w:rPr>
          <w:rFonts w:ascii="Times New Roman" w:hAnsi="Times New Roman"/>
          <w:iCs/>
          <w:sz w:val="28"/>
          <w:lang w:eastAsia="es-MX"/>
        </w:rPr>
        <w:t xml:space="preserve">Esto </w:t>
      </w:r>
      <w:r w:rsidRPr="003E425B">
        <w:rPr>
          <w:rFonts w:ascii="Times New Roman" w:hAnsi="Times New Roman"/>
          <w:iCs/>
          <w:sz w:val="28"/>
          <w:lang w:eastAsia="es-MX"/>
        </w:rPr>
        <w:t xml:space="preserve">último </w:t>
      </w:r>
      <w:r w:rsidRPr="003E425B">
        <w:rPr>
          <w:rFonts w:ascii="Times New Roman" w:hAnsi="Times New Roman"/>
          <w:iCs/>
          <w:sz w:val="28"/>
          <w:lang w:eastAsia="es-MX"/>
        </w:rPr>
        <w:t xml:space="preserve">implica que, </w:t>
      </w:r>
      <w:r w:rsidRPr="003E425B">
        <w:rPr>
          <w:rFonts w:ascii="Times New Roman" w:hAnsi="Times New Roman"/>
          <w:iCs/>
          <w:sz w:val="28"/>
          <w:lang w:eastAsia="es-MX"/>
        </w:rPr>
        <w:t xml:space="preserve">según la jurisprudencia constitucional, </w:t>
      </w:r>
      <w:r w:rsidRPr="003E425B">
        <w:rPr>
          <w:rFonts w:ascii="Times New Roman" w:hAnsi="Times New Roman"/>
          <w:iCs/>
          <w:sz w:val="28"/>
          <w:lang w:eastAsia="es-MX"/>
        </w:rPr>
        <w:t xml:space="preserve">en el caso del Congreso, “su iniciativa admite una consideración más flexible y menos exhaustiva del costo fiscal, siempre que exista una </w:t>
      </w:r>
      <w:r w:rsidRPr="003E425B">
        <w:rPr>
          <w:rFonts w:ascii="Times New Roman" w:hAnsi="Times New Roman"/>
          <w:iCs/>
          <w:sz w:val="28"/>
          <w:lang w:eastAsia="es-MX"/>
        </w:rPr>
        <w:t>consideración mínima al respecto, y que ella permita establecer los referentes básicos para analizar los efectos fiscales”</w:t>
      </w:r>
      <w:r w:rsidRPr="003E425B">
        <w:rPr>
          <w:rStyle w:val="Refdenotaalpie"/>
          <w:rFonts w:ascii="Times New Roman" w:hAnsi="Times New Roman"/>
          <w:iCs/>
          <w:sz w:val="28"/>
          <w:lang w:eastAsia="es-MX"/>
        </w:rPr>
        <w:footnoteReference w:id="326"/>
      </w:r>
      <w:r w:rsidRPr="003E425B">
        <w:rPr>
          <w:rFonts w:ascii="Times New Roman" w:hAnsi="Times New Roman"/>
          <w:iCs/>
          <w:sz w:val="28"/>
          <w:lang w:eastAsia="es-MX"/>
        </w:rPr>
        <w:t>. En contraste, en el caso del Gobierno, “dicha flexibilidad es menor, por la importancia principal que este órgano cumple, pues goza</w:t>
      </w:r>
      <w:r w:rsidRPr="003E425B">
        <w:rPr>
          <w:rFonts w:ascii="Times New Roman" w:hAnsi="Times New Roman"/>
          <w:iCs/>
          <w:sz w:val="28"/>
          <w:lang w:eastAsia="es-MX"/>
        </w:rPr>
        <w:t xml:space="preserve"> de la capacidad institucional necesaria para brindar la suficiente ilustración sobre la materia. De ahí que, se ha insistido, esta autoridad tiene la obligación de presentar al Congreso de manera detallada y precisa el análisis del impacto fiscal”</w:t>
      </w:r>
      <w:r w:rsidRPr="003E425B">
        <w:rPr>
          <w:rStyle w:val="Refdenotaalpie"/>
          <w:rFonts w:ascii="Times New Roman" w:hAnsi="Times New Roman"/>
          <w:iCs/>
          <w:sz w:val="28"/>
          <w:lang w:eastAsia="es-MX"/>
        </w:rPr>
        <w:footnoteReference w:id="327"/>
      </w:r>
      <w:r w:rsidRPr="003E425B">
        <w:rPr>
          <w:rFonts w:ascii="Times New Roman" w:hAnsi="Times New Roman"/>
          <w:iCs/>
          <w:sz w:val="28"/>
          <w:lang w:eastAsia="es-MX"/>
        </w:rPr>
        <w:t>.</w:t>
      </w:r>
      <w:r w:rsidRPr="003E425B">
        <w:rPr>
          <w:rFonts w:ascii="Times New Roman" w:hAnsi="Times New Roman"/>
          <w:iCs/>
          <w:sz w:val="28"/>
          <w:lang w:eastAsia="es-MX"/>
        </w:rPr>
        <w:t xml:space="preserve"> </w:t>
      </w:r>
    </w:p>
    <w:p w:rsidR="00A4095C" w:rsidRPr="003E425B" w:rsidRDefault="003E425B" w:rsidP="00A4095C">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Cs/>
          <w:sz w:val="28"/>
          <w:lang w:eastAsia="es-MX"/>
        </w:rPr>
        <w:t xml:space="preserve">En </w:t>
      </w:r>
      <w:r w:rsidRPr="003E425B">
        <w:rPr>
          <w:rFonts w:ascii="Times New Roman" w:hAnsi="Times New Roman"/>
          <w:iCs/>
          <w:sz w:val="28"/>
          <w:lang w:eastAsia="es-MX"/>
        </w:rPr>
        <w:t>este sentido, concluir que, en casos como estos, la iniciativa debe considerarse mixta, implicaría conferir a los destinatarios de la obligación de análisis de impacto fiscal (Gobierno Nacional y Congreso de la República) la facultad para determinar, volun</w:t>
      </w:r>
      <w:r w:rsidRPr="003E425B">
        <w:rPr>
          <w:rFonts w:ascii="Times New Roman" w:hAnsi="Times New Roman"/>
          <w:iCs/>
          <w:sz w:val="28"/>
          <w:lang w:eastAsia="es-MX"/>
        </w:rPr>
        <w:t>tariamente, el estándar de rigurosidad aplicable al cumplimiento de sus propios deberes</w:t>
      </w:r>
      <w:r w:rsidRPr="003E425B">
        <w:rPr>
          <w:rFonts w:ascii="Times New Roman" w:hAnsi="Times New Roman"/>
          <w:iCs/>
          <w:sz w:val="28"/>
          <w:lang w:eastAsia="es-MX"/>
        </w:rPr>
        <w:t xml:space="preserve"> procesales-deliberativos</w:t>
      </w:r>
      <w:r w:rsidRPr="003E425B">
        <w:rPr>
          <w:rFonts w:ascii="Times New Roman" w:hAnsi="Times New Roman"/>
          <w:iCs/>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Cs/>
          <w:sz w:val="28"/>
          <w:lang w:eastAsia="es-MX"/>
        </w:rPr>
        <w:t xml:space="preserve">Por otra parte, concluir que en estos casos la iniciativa es mixta, fomentaría acuerdos entre el Gobierno Nacional y su bancada en el Congreso de la República para </w:t>
      </w:r>
      <w:r w:rsidRPr="003E425B">
        <w:rPr>
          <w:rFonts w:ascii="Times New Roman" w:hAnsi="Times New Roman"/>
          <w:iCs/>
          <w:sz w:val="28"/>
          <w:lang w:eastAsia="es-MX"/>
        </w:rPr>
        <w:t xml:space="preserve">flexibilizar o </w:t>
      </w:r>
      <w:r w:rsidRPr="003E425B">
        <w:rPr>
          <w:rFonts w:ascii="Times New Roman" w:hAnsi="Times New Roman"/>
          <w:iCs/>
          <w:sz w:val="28"/>
          <w:lang w:eastAsia="es-MX"/>
        </w:rPr>
        <w:t xml:space="preserve">disminuir la rigurosidad del análisis de impacto fiscal en materias respecto </w:t>
      </w:r>
      <w:r w:rsidRPr="003E425B">
        <w:rPr>
          <w:rFonts w:ascii="Times New Roman" w:hAnsi="Times New Roman"/>
          <w:iCs/>
          <w:sz w:val="28"/>
          <w:lang w:eastAsia="es-MX"/>
        </w:rPr>
        <w:t>de las cuales el ejecutivo cuenta con la información técnica para examinar, de forma detallada, el impacto fiscal. En criterio de la Sala</w:t>
      </w:r>
      <w:r w:rsidRPr="003E425B">
        <w:rPr>
          <w:rFonts w:ascii="Times New Roman" w:hAnsi="Times New Roman"/>
          <w:iCs/>
          <w:sz w:val="28"/>
          <w:lang w:eastAsia="es-MX"/>
        </w:rPr>
        <w:t>,</w:t>
      </w:r>
      <w:r w:rsidRPr="003E425B">
        <w:rPr>
          <w:rFonts w:ascii="Times New Roman" w:hAnsi="Times New Roman"/>
          <w:iCs/>
          <w:sz w:val="28"/>
          <w:lang w:eastAsia="es-MX"/>
        </w:rPr>
        <w:t xml:space="preserve"> esto afectaría gravemente la vigencia de la sostenibilidad fiscal </w:t>
      </w:r>
      <w:r w:rsidRPr="003E425B">
        <w:rPr>
          <w:rFonts w:ascii="Times New Roman" w:hAnsi="Times New Roman"/>
          <w:iCs/>
          <w:sz w:val="28"/>
          <w:lang w:eastAsia="es-MX"/>
        </w:rPr>
        <w:t xml:space="preserve">(art. 334 de la CP) </w:t>
      </w:r>
      <w:r w:rsidRPr="003E425B">
        <w:rPr>
          <w:rFonts w:ascii="Times New Roman" w:hAnsi="Times New Roman"/>
          <w:iCs/>
          <w:sz w:val="28"/>
          <w:lang w:eastAsia="es-MX"/>
        </w:rPr>
        <w:t>como criterio orientador de las</w:t>
      </w:r>
      <w:r w:rsidRPr="003E425B">
        <w:rPr>
          <w:rFonts w:ascii="Times New Roman" w:hAnsi="Times New Roman"/>
          <w:iCs/>
          <w:sz w:val="28"/>
          <w:lang w:eastAsia="es-MX"/>
        </w:rPr>
        <w:t xml:space="preserve"> decisiones legislativas</w:t>
      </w:r>
      <w:r w:rsidRPr="003E425B">
        <w:rPr>
          <w:rFonts w:ascii="Times New Roman" w:hAnsi="Times New Roman"/>
          <w:iCs/>
          <w:sz w:val="28"/>
          <w:lang w:eastAsia="es-MX"/>
        </w:rPr>
        <w:t xml:space="preserve"> que tienen incidencia </w:t>
      </w:r>
      <w:r w:rsidRPr="003E425B">
        <w:rPr>
          <w:rFonts w:ascii="Times New Roman" w:hAnsi="Times New Roman"/>
          <w:iCs/>
          <w:sz w:val="28"/>
          <w:lang w:eastAsia="es-MX"/>
        </w:rPr>
        <w:t>en las finanzas públicas</w:t>
      </w:r>
      <w:r w:rsidRPr="003E425B">
        <w:rPr>
          <w:rFonts w:ascii="Times New Roman" w:hAnsi="Times New Roman"/>
          <w:iCs/>
          <w:sz w:val="28"/>
          <w:lang w:eastAsia="es-MX"/>
        </w:rPr>
        <w:t xml:space="preserve">. La Sala reitera y reafirma que el cumplimiento del deber del Gobierno Nacional </w:t>
      </w:r>
      <w:r w:rsidRPr="003E425B">
        <w:rPr>
          <w:rFonts w:ascii="Times New Roman" w:hAnsi="Times New Roman"/>
          <w:iCs/>
          <w:sz w:val="28"/>
          <w:lang w:eastAsia="es-MX"/>
        </w:rPr>
        <w:t xml:space="preserve">de </w:t>
      </w:r>
      <w:r w:rsidRPr="003E425B">
        <w:rPr>
          <w:rFonts w:ascii="Times New Roman" w:hAnsi="Times New Roman"/>
          <w:iCs/>
          <w:sz w:val="28"/>
          <w:lang w:eastAsia="es-MX"/>
        </w:rPr>
        <w:t>disciplinar las finanzas públicas, así como de la obligación del Congreso de la República de preserva</w:t>
      </w:r>
      <w:r w:rsidRPr="003E425B">
        <w:rPr>
          <w:rFonts w:ascii="Times New Roman" w:hAnsi="Times New Roman"/>
          <w:iCs/>
          <w:sz w:val="28"/>
          <w:lang w:eastAsia="es-MX"/>
        </w:rPr>
        <w:t>r la estabilidad macroeconómica, no puede</w:t>
      </w:r>
      <w:r w:rsidRPr="003E425B">
        <w:rPr>
          <w:rFonts w:ascii="Times New Roman" w:hAnsi="Times New Roman"/>
          <w:iCs/>
          <w:sz w:val="28"/>
          <w:lang w:eastAsia="es-MX"/>
        </w:rPr>
        <w:t xml:space="preserve"> orientarse “bajo la lógica partidista (partidos de gobierno, independientes o de oposición), sino que tiene como norte principal el deber de actuar consultando la justicia (en este caso, la económica, social y fisc</w:t>
      </w:r>
      <w:r w:rsidRPr="003E425B">
        <w:rPr>
          <w:rFonts w:ascii="Times New Roman" w:hAnsi="Times New Roman"/>
          <w:iCs/>
          <w:sz w:val="28"/>
          <w:lang w:eastAsia="es-MX"/>
        </w:rPr>
        <w:t>al) y el bien común (que podría verse afectado con un desequilibrio de la regla fiscal)”</w:t>
      </w:r>
      <w:r w:rsidRPr="003E425B">
        <w:rPr>
          <w:rStyle w:val="Refdenotaalpie"/>
          <w:rFonts w:ascii="Times New Roman" w:hAnsi="Times New Roman"/>
          <w:iCs/>
          <w:sz w:val="28"/>
          <w:lang w:eastAsia="es-MX"/>
        </w:rPr>
        <w:footnoteReference w:id="328"/>
      </w:r>
      <w:r w:rsidRPr="003E425B">
        <w:rPr>
          <w:rFonts w:ascii="Times New Roman" w:hAnsi="Times New Roman"/>
          <w:iCs/>
          <w:sz w:val="28"/>
          <w:lang w:eastAsia="es-MX"/>
        </w:rPr>
        <w:t>.</w:t>
      </w:r>
    </w:p>
    <w:p w:rsidR="002860D7" w:rsidRPr="003E425B" w:rsidRDefault="003E425B" w:rsidP="00010108">
      <w:pPr>
        <w:tabs>
          <w:tab w:val="left" w:pos="567"/>
        </w:tabs>
        <w:rPr>
          <w:rFonts w:ascii="Times New Roman" w:hAnsi="Times New Roman" w:cs="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Con fundamento en tales consideraciones, la Sala Plena concluye que, en este caso, la iniciativa del proyecto de ley era gubernamental. Por lo tanto, el estándar de rigurosidad exigible al análisis de impacto fiscal es estricto.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7642D6">
      <w:pPr>
        <w:pStyle w:val="Ttulo3"/>
        <w:numPr>
          <w:ilvl w:val="0"/>
          <w:numId w:val="34"/>
        </w:numPr>
        <w:ind w:hanging="578"/>
        <w:rPr>
          <w:rFonts w:ascii="Times New Roman" w:hAnsi="Times New Roman" w:cs="Times New Roman"/>
          <w:sz w:val="28"/>
        </w:rPr>
      </w:pPr>
      <w:r w:rsidRPr="003E425B">
        <w:rPr>
          <w:rFonts w:ascii="Times New Roman" w:hAnsi="Times New Roman" w:cs="Times New Roman"/>
          <w:sz w:val="28"/>
        </w:rPr>
        <w:t>Examen de cumplimiento d</w:t>
      </w:r>
      <w:r w:rsidRPr="003E425B">
        <w:rPr>
          <w:rFonts w:ascii="Times New Roman" w:hAnsi="Times New Roman" w:cs="Times New Roman"/>
          <w:sz w:val="28"/>
        </w:rPr>
        <w:t>e</w:t>
      </w:r>
      <w:r w:rsidRPr="003E425B">
        <w:rPr>
          <w:rFonts w:ascii="Times New Roman" w:hAnsi="Times New Roman" w:cs="Times New Roman"/>
          <w:sz w:val="28"/>
        </w:rPr>
        <w:t xml:space="preserve"> la obligación de llevar a cabo el</w:t>
      </w:r>
      <w:r w:rsidRPr="003E425B">
        <w:rPr>
          <w:rFonts w:ascii="Times New Roman" w:hAnsi="Times New Roman" w:cs="Times New Roman"/>
          <w:sz w:val="28"/>
        </w:rPr>
        <w:t xml:space="preserve"> análisis de impacto fiscal </w:t>
      </w:r>
    </w:p>
    <w:p w:rsidR="002860D7" w:rsidRPr="003E425B" w:rsidRDefault="003E425B" w:rsidP="00010108">
      <w:pPr>
        <w:rPr>
          <w:rFonts w:ascii="Times New Roman" w:hAnsi="Times New Roman" w:cs="Times New Roman"/>
          <w:sz w:val="28"/>
          <w:lang w:eastAsia="es-MX"/>
        </w:rPr>
      </w:pPr>
    </w:p>
    <w:p w:rsidR="008D407A"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val="es-ES" w:eastAsia="es-MX"/>
        </w:rPr>
      </w:pPr>
      <w:r w:rsidRPr="003E425B">
        <w:rPr>
          <w:rFonts w:ascii="Times New Roman" w:hAnsi="Times New Roman"/>
          <w:sz w:val="28"/>
          <w:lang w:eastAsia="es-MX"/>
        </w:rPr>
        <w:t xml:space="preserve">En el presente acápite, la Corte examinará si, en el trámite de aprobación de la Ley 2281 de 2023, </w:t>
      </w:r>
      <w:r w:rsidRPr="003E425B">
        <w:rPr>
          <w:rFonts w:ascii="Times New Roman" w:hAnsi="Times New Roman"/>
          <w:sz w:val="28"/>
          <w:lang w:eastAsia="es-MX"/>
        </w:rPr>
        <w:t>se llevó a cabo el análisis de impacto fiscal de la creación del Ministerio de Igualdad y Eq</w:t>
      </w:r>
      <w:r w:rsidRPr="003E425B">
        <w:rPr>
          <w:rFonts w:ascii="Times New Roman" w:hAnsi="Times New Roman"/>
          <w:sz w:val="28"/>
          <w:lang w:eastAsia="es-MX"/>
        </w:rPr>
        <w:t>uidad conforme</w:t>
      </w:r>
      <w:r w:rsidRPr="003E425B">
        <w:rPr>
          <w:rFonts w:ascii="Times New Roman" w:hAnsi="Times New Roman"/>
          <w:sz w:val="28"/>
          <w:lang w:eastAsia="es-MX"/>
        </w:rPr>
        <w:t xml:space="preserve"> a</w:t>
      </w:r>
      <w:r w:rsidRPr="003E425B">
        <w:rPr>
          <w:rFonts w:ascii="Times New Roman" w:hAnsi="Times New Roman"/>
          <w:sz w:val="28"/>
          <w:lang w:eastAsia="es-MX"/>
        </w:rPr>
        <w:t xml:space="preserve"> </w:t>
      </w:r>
      <w:r w:rsidRPr="003E425B">
        <w:rPr>
          <w:rFonts w:ascii="Times New Roman" w:hAnsi="Times New Roman"/>
          <w:sz w:val="28"/>
          <w:lang w:eastAsia="es-MX"/>
        </w:rPr>
        <w:t>lo previsto en</w:t>
      </w:r>
      <w:r w:rsidRPr="003E425B">
        <w:rPr>
          <w:rFonts w:ascii="Times New Roman" w:hAnsi="Times New Roman"/>
          <w:sz w:val="28"/>
          <w:lang w:eastAsia="es-MX"/>
        </w:rPr>
        <w:t xml:space="preserve"> el artíc</w:t>
      </w:r>
      <w:r w:rsidRPr="003E425B">
        <w:rPr>
          <w:rFonts w:ascii="Times New Roman" w:hAnsi="Times New Roman"/>
          <w:sz w:val="28"/>
          <w:lang w:eastAsia="es-MX"/>
        </w:rPr>
        <w:t>u</w:t>
      </w:r>
      <w:r w:rsidRPr="003E425B">
        <w:rPr>
          <w:rFonts w:ascii="Times New Roman" w:hAnsi="Times New Roman"/>
          <w:sz w:val="28"/>
          <w:lang w:eastAsia="es-MX"/>
        </w:rPr>
        <w:t xml:space="preserve">lo 7º de la Ley 819 de 2003. </w:t>
      </w:r>
      <w:r w:rsidRPr="003E425B">
        <w:rPr>
          <w:rFonts w:ascii="Times New Roman" w:hAnsi="Times New Roman"/>
          <w:sz w:val="28"/>
          <w:lang w:eastAsia="es-MX"/>
        </w:rPr>
        <w:t xml:space="preserve">Como se expuso, el artículo 7º de la Ley 819 de 2003 prevé un </w:t>
      </w:r>
      <w:r w:rsidRPr="003E425B">
        <w:rPr>
          <w:rFonts w:ascii="Times New Roman" w:hAnsi="Times New Roman"/>
          <w:sz w:val="28"/>
          <w:lang w:eastAsia="es-MX"/>
        </w:rPr>
        <w:t>mandato</w:t>
      </w:r>
      <w:r w:rsidRPr="003E425B">
        <w:rPr>
          <w:rFonts w:ascii="Times New Roman" w:hAnsi="Times New Roman"/>
          <w:sz w:val="28"/>
          <w:lang w:eastAsia="es-MX"/>
        </w:rPr>
        <w:t xml:space="preserve"> general</w:t>
      </w:r>
      <w:r w:rsidRPr="003E425B">
        <w:rPr>
          <w:rFonts w:ascii="Times New Roman" w:hAnsi="Times New Roman"/>
          <w:sz w:val="28"/>
          <w:lang w:eastAsia="es-MX"/>
        </w:rPr>
        <w:t xml:space="preserve">: analizar el </w:t>
      </w:r>
      <w:r w:rsidRPr="003E425B">
        <w:rPr>
          <w:rFonts w:ascii="Times New Roman" w:hAnsi="Times New Roman"/>
          <w:sz w:val="28"/>
          <w:lang w:eastAsia="es-MX"/>
        </w:rPr>
        <w:t>impacto</w:t>
      </w:r>
      <w:r w:rsidRPr="003E425B">
        <w:rPr>
          <w:rFonts w:ascii="Times New Roman" w:hAnsi="Times New Roman"/>
          <w:sz w:val="28"/>
          <w:lang w:eastAsia="es-MX"/>
        </w:rPr>
        <w:t xml:space="preserve"> fiscal de la medida conforme a </w:t>
      </w:r>
      <w:r w:rsidRPr="003E425B">
        <w:rPr>
          <w:rFonts w:ascii="Times New Roman" w:hAnsi="Times New Roman"/>
          <w:sz w:val="28"/>
          <w:lang w:eastAsia="es-MX"/>
        </w:rPr>
        <w:t>tres</w:t>
      </w:r>
      <w:r w:rsidRPr="003E425B">
        <w:rPr>
          <w:rFonts w:ascii="Times New Roman" w:hAnsi="Times New Roman"/>
          <w:sz w:val="28"/>
          <w:lang w:eastAsia="es-MX"/>
        </w:rPr>
        <w:t xml:space="preserve"> referentes básicos</w:t>
      </w:r>
      <w:r w:rsidRPr="003E425B">
        <w:rPr>
          <w:rFonts w:ascii="Times New Roman" w:hAnsi="Times New Roman"/>
          <w:sz w:val="28"/>
          <w:lang w:eastAsia="es-MX"/>
        </w:rPr>
        <w:t xml:space="preserve">: </w:t>
      </w:r>
      <w:r w:rsidRPr="003E425B">
        <w:rPr>
          <w:rFonts w:ascii="Times New Roman" w:hAnsi="Times New Roman"/>
          <w:i/>
          <w:iCs/>
          <w:sz w:val="28"/>
          <w:lang w:eastAsia="es-MX"/>
        </w:rPr>
        <w:t>(i)</w:t>
      </w:r>
      <w:r w:rsidRPr="003E425B">
        <w:rPr>
          <w:rFonts w:ascii="Times New Roman" w:hAnsi="Times New Roman"/>
          <w:sz w:val="28"/>
          <w:lang w:eastAsia="es-MX"/>
        </w:rPr>
        <w:t xml:space="preserve"> costo fiscal, </w:t>
      </w:r>
      <w:r w:rsidRPr="003E425B">
        <w:rPr>
          <w:rFonts w:ascii="Times New Roman" w:hAnsi="Times New Roman"/>
          <w:i/>
          <w:iCs/>
          <w:sz w:val="28"/>
          <w:lang w:eastAsia="es-MX"/>
        </w:rPr>
        <w:t>(ii)</w:t>
      </w:r>
      <w:r w:rsidRPr="003E425B">
        <w:rPr>
          <w:rFonts w:ascii="Times New Roman" w:hAnsi="Times New Roman"/>
          <w:sz w:val="28"/>
          <w:lang w:eastAsia="es-MX"/>
        </w:rPr>
        <w:t xml:space="preserve"> fuente de ingresos sustitutiva y </w:t>
      </w:r>
      <w:r w:rsidRPr="003E425B">
        <w:rPr>
          <w:rFonts w:ascii="Times New Roman" w:hAnsi="Times New Roman"/>
          <w:i/>
          <w:iCs/>
          <w:sz w:val="28"/>
          <w:lang w:eastAsia="es-MX"/>
        </w:rPr>
        <w:t>(iii)</w:t>
      </w:r>
      <w:r w:rsidRPr="003E425B">
        <w:rPr>
          <w:rFonts w:ascii="Times New Roman" w:hAnsi="Times New Roman"/>
          <w:sz w:val="28"/>
          <w:lang w:eastAsia="es-MX"/>
        </w:rPr>
        <w:t xml:space="preserve"> compatibilidad con el MFMP.</w:t>
      </w:r>
      <w:r w:rsidRPr="003E425B">
        <w:rPr>
          <w:rFonts w:ascii="Times New Roman" w:hAnsi="Times New Roman"/>
          <w:sz w:val="28"/>
          <w:lang w:eastAsia="es-MX"/>
        </w:rPr>
        <w:t xml:space="preserve"> Asimismo</w:t>
      </w:r>
      <w:r w:rsidRPr="003E425B">
        <w:rPr>
          <w:rFonts w:ascii="Times New Roman" w:hAnsi="Times New Roman"/>
          <w:sz w:val="28"/>
          <w:lang w:eastAsia="es-MX"/>
        </w:rPr>
        <w:t xml:space="preserve">, establece deberes específicos a cargo del Gobierno Nacional, el MHCP y el Congreso de la República en cada una de las etapas </w:t>
      </w:r>
      <w:r w:rsidRPr="003E425B">
        <w:rPr>
          <w:rFonts w:ascii="Times New Roman" w:hAnsi="Times New Roman"/>
          <w:sz w:val="28"/>
          <w:lang w:eastAsia="es-MX"/>
        </w:rPr>
        <w:t xml:space="preserve">o fases </w:t>
      </w:r>
      <w:r w:rsidRPr="003E425B">
        <w:rPr>
          <w:rFonts w:ascii="Times New Roman" w:hAnsi="Times New Roman"/>
          <w:sz w:val="28"/>
          <w:lang w:eastAsia="es-MX"/>
        </w:rPr>
        <w:t xml:space="preserve">del procedimiento legislativo </w:t>
      </w:r>
      <w:r w:rsidRPr="003E425B">
        <w:rPr>
          <w:rFonts w:ascii="Times New Roman" w:hAnsi="Times New Roman"/>
          <w:sz w:val="28"/>
          <w:lang w:eastAsia="es-MX"/>
        </w:rPr>
        <w:t>que</w:t>
      </w:r>
      <w:r w:rsidRPr="003E425B">
        <w:rPr>
          <w:rFonts w:ascii="Times New Roman" w:hAnsi="Times New Roman"/>
          <w:sz w:val="28"/>
          <w:lang w:eastAsia="es-MX"/>
        </w:rPr>
        <w:t xml:space="preserve"> </w:t>
      </w:r>
      <w:r w:rsidRPr="003E425B">
        <w:rPr>
          <w:rFonts w:ascii="Times New Roman" w:hAnsi="Times New Roman"/>
          <w:sz w:val="28"/>
          <w:lang w:eastAsia="es-MX"/>
        </w:rPr>
        <w:t>buscan gara</w:t>
      </w:r>
      <w:r w:rsidRPr="003E425B">
        <w:rPr>
          <w:rFonts w:ascii="Times New Roman" w:hAnsi="Times New Roman"/>
          <w:sz w:val="28"/>
          <w:lang w:eastAsia="es-MX"/>
        </w:rPr>
        <w:t>ntizar que</w:t>
      </w:r>
      <w:r w:rsidRPr="003E425B">
        <w:rPr>
          <w:rFonts w:ascii="Times New Roman" w:hAnsi="Times New Roman"/>
          <w:sz w:val="28"/>
          <w:lang w:eastAsia="es-MX"/>
        </w:rPr>
        <w:t xml:space="preserve">, con arreglo al principio de colaboración armónica, estos órganos cuenten </w:t>
      </w:r>
      <w:r w:rsidRPr="003E425B">
        <w:rPr>
          <w:rFonts w:ascii="Times New Roman" w:hAnsi="Times New Roman"/>
          <w:sz w:val="28"/>
          <w:lang w:eastAsia="es-MX"/>
        </w:rPr>
        <w:t xml:space="preserve">con </w:t>
      </w:r>
      <w:r w:rsidRPr="003E425B">
        <w:rPr>
          <w:rFonts w:ascii="Times New Roman" w:hAnsi="Times New Roman"/>
          <w:iCs/>
          <w:sz w:val="28"/>
          <w:lang w:val="es-ES_tradnl" w:eastAsia="es-MX"/>
        </w:rPr>
        <w:t xml:space="preserve">la suficiente ilustración sobre las implicaciones fiscales de la </w:t>
      </w:r>
      <w:r w:rsidRPr="003E425B">
        <w:rPr>
          <w:rFonts w:ascii="Times New Roman" w:hAnsi="Times New Roman"/>
          <w:iCs/>
          <w:sz w:val="28"/>
          <w:lang w:val="es-ES_tradnl" w:eastAsia="es-MX"/>
        </w:rPr>
        <w:t>iniciativa</w:t>
      </w:r>
      <w:r w:rsidRPr="003E425B">
        <w:rPr>
          <w:rFonts w:ascii="Times New Roman" w:hAnsi="Times New Roman"/>
          <w:iCs/>
          <w:sz w:val="28"/>
          <w:lang w:eastAsia="es-MX"/>
        </w:rPr>
        <w:t>.</w:t>
      </w:r>
      <w:r w:rsidRPr="003E425B">
        <w:rPr>
          <w:rFonts w:ascii="Times New Roman" w:eastAsiaTheme="minorHAnsi" w:hAnsi="Times New Roman"/>
          <w:color w:val="auto"/>
          <w:sz w:val="28"/>
          <w:szCs w:val="22"/>
          <w:lang w:eastAsia="es-MX"/>
        </w:rPr>
        <w:t xml:space="preserve"> </w:t>
      </w:r>
      <w:r w:rsidRPr="003E425B">
        <w:rPr>
          <w:rFonts w:ascii="Times New Roman" w:hAnsi="Times New Roman"/>
          <w:iCs/>
          <w:sz w:val="28"/>
          <w:lang w:eastAsia="es-MX"/>
        </w:rPr>
        <w:t xml:space="preserve">De acuerdo con la jurisprudencia constitucional, el incumplimiento de </w:t>
      </w:r>
      <w:r w:rsidRPr="003E425B">
        <w:rPr>
          <w:rFonts w:ascii="Times New Roman" w:hAnsi="Times New Roman"/>
          <w:iCs/>
          <w:sz w:val="28"/>
          <w:lang w:eastAsia="es-MX"/>
        </w:rPr>
        <w:t xml:space="preserve">alguna de </w:t>
      </w:r>
      <w:r w:rsidRPr="003E425B">
        <w:rPr>
          <w:rFonts w:ascii="Times New Roman" w:hAnsi="Times New Roman"/>
          <w:iCs/>
          <w:sz w:val="28"/>
          <w:lang w:eastAsia="es-MX"/>
        </w:rPr>
        <w:t>las exigen</w:t>
      </w:r>
      <w:r w:rsidRPr="003E425B">
        <w:rPr>
          <w:rFonts w:ascii="Times New Roman" w:hAnsi="Times New Roman"/>
          <w:iCs/>
          <w:sz w:val="28"/>
          <w:lang w:eastAsia="es-MX"/>
        </w:rPr>
        <w:t xml:space="preserve">cias previstas en el artículo 7º de la Ley 819 de 2003, en </w:t>
      </w:r>
      <w:r w:rsidRPr="003E425B">
        <w:rPr>
          <w:rFonts w:ascii="Times New Roman" w:hAnsi="Times New Roman"/>
          <w:iCs/>
          <w:sz w:val="28"/>
          <w:lang w:eastAsia="es-MX"/>
        </w:rPr>
        <w:t xml:space="preserve">una de las </w:t>
      </w:r>
      <w:r w:rsidRPr="003E425B">
        <w:rPr>
          <w:rFonts w:ascii="Times New Roman" w:hAnsi="Times New Roman"/>
          <w:iCs/>
          <w:sz w:val="28"/>
          <w:lang w:eastAsia="es-MX"/>
        </w:rPr>
        <w:t>etapas del procedimiento, no conduce, necesariamente, a la declaratoria de inexequibilidad de la Ley</w:t>
      </w:r>
      <w:r w:rsidRPr="003E425B">
        <w:rPr>
          <w:rFonts w:ascii="Times New Roman" w:hAnsi="Times New Roman"/>
          <w:iCs/>
          <w:sz w:val="28"/>
          <w:lang w:eastAsia="es-MX"/>
        </w:rPr>
        <w:t>.</w:t>
      </w:r>
      <w:r w:rsidRPr="003E425B">
        <w:rPr>
          <w:rFonts w:ascii="Times New Roman" w:hAnsi="Times New Roman"/>
          <w:iCs/>
          <w:sz w:val="28"/>
          <w:lang w:eastAsia="es-MX"/>
        </w:rPr>
        <w:t xml:space="preserve"> Es posible que el incumplimiento de alguna de las exigencias </w:t>
      </w:r>
      <w:r w:rsidRPr="003E425B">
        <w:rPr>
          <w:rFonts w:ascii="Times New Roman" w:hAnsi="Times New Roman"/>
          <w:iCs/>
          <w:sz w:val="28"/>
          <w:lang w:eastAsia="es-MX"/>
        </w:rPr>
        <w:t xml:space="preserve">sea luego subsanado en </w:t>
      </w:r>
      <w:r w:rsidRPr="003E425B">
        <w:rPr>
          <w:rFonts w:ascii="Times New Roman" w:hAnsi="Times New Roman"/>
          <w:iCs/>
          <w:sz w:val="28"/>
          <w:lang w:eastAsia="es-MX"/>
        </w:rPr>
        <w:t xml:space="preserve">otra fase del procedimiento. </w:t>
      </w:r>
      <w:r w:rsidRPr="003E425B">
        <w:rPr>
          <w:rFonts w:ascii="Times New Roman" w:hAnsi="Times New Roman"/>
          <w:iCs/>
          <w:sz w:val="28"/>
          <w:lang w:eastAsia="es-MX"/>
        </w:rPr>
        <w:t>P</w:t>
      </w:r>
      <w:r w:rsidRPr="003E425B">
        <w:rPr>
          <w:rFonts w:ascii="Times New Roman" w:hAnsi="Times New Roman"/>
          <w:iCs/>
          <w:sz w:val="28"/>
          <w:lang w:eastAsia="es-MX"/>
        </w:rPr>
        <w:t xml:space="preserve">or lo tanto, </w:t>
      </w:r>
      <w:r w:rsidRPr="003E425B">
        <w:rPr>
          <w:rFonts w:ascii="Times New Roman" w:hAnsi="Times New Roman"/>
          <w:iCs/>
          <w:sz w:val="28"/>
          <w:lang w:eastAsia="es-MX"/>
        </w:rPr>
        <w:t xml:space="preserve">al </w:t>
      </w:r>
      <w:r w:rsidRPr="003E425B">
        <w:rPr>
          <w:rFonts w:ascii="Times New Roman" w:hAnsi="Times New Roman"/>
          <w:iCs/>
          <w:sz w:val="28"/>
          <w:lang w:eastAsia="es-MX"/>
        </w:rPr>
        <w:t>adelantar</w:t>
      </w:r>
      <w:r w:rsidRPr="003E425B">
        <w:rPr>
          <w:rFonts w:ascii="Times New Roman" w:hAnsi="Times New Roman"/>
          <w:iCs/>
          <w:sz w:val="28"/>
          <w:lang w:eastAsia="es-MX"/>
        </w:rPr>
        <w:t xml:space="preserve"> el control constitucional, </w:t>
      </w:r>
      <w:r w:rsidRPr="003E425B">
        <w:rPr>
          <w:rFonts w:ascii="Times New Roman" w:hAnsi="Times New Roman"/>
          <w:iCs/>
          <w:sz w:val="28"/>
          <w:lang w:eastAsia="es-MX"/>
        </w:rPr>
        <w:t xml:space="preserve">corresponde a la Corte llevar a cabo una valoración global del procedimiento legislativo con el objeto de constatar </w:t>
      </w:r>
      <w:r w:rsidRPr="003E425B">
        <w:rPr>
          <w:rFonts w:ascii="Times New Roman" w:hAnsi="Times New Roman"/>
          <w:iCs/>
          <w:sz w:val="28"/>
          <w:lang w:eastAsia="es-MX"/>
        </w:rPr>
        <w:t xml:space="preserve">el cumplimiento del mandato general previsto en el artículo 7º </w:t>
      </w:r>
      <w:r w:rsidRPr="003E425B">
        <w:rPr>
          <w:rFonts w:ascii="Times New Roman" w:hAnsi="Times New Roman"/>
          <w:iCs/>
          <w:sz w:val="28"/>
          <w:lang w:eastAsia="es-MX"/>
        </w:rPr>
        <w:t xml:space="preserve">de la Ley 819 de 2003 y las finalidades constitucionales del análisis de impacto fiscal. </w:t>
      </w:r>
    </w:p>
    <w:p w:rsidR="00BE74F8" w:rsidRPr="003E425B" w:rsidRDefault="003E425B" w:rsidP="00BE74F8">
      <w:pPr>
        <w:pStyle w:val="Prrafodelista"/>
        <w:tabs>
          <w:tab w:val="left" w:pos="567"/>
        </w:tabs>
        <w:spacing w:line="240" w:lineRule="auto"/>
        <w:ind w:left="0"/>
        <w:rPr>
          <w:rFonts w:ascii="Times New Roman" w:hAnsi="Times New Roman"/>
          <w:i/>
          <w:iCs/>
          <w:sz w:val="28"/>
          <w:lang w:val="es-ES" w:eastAsia="es-MX"/>
        </w:rPr>
      </w:pPr>
    </w:p>
    <w:p w:rsidR="00A3620F" w:rsidRPr="003E425B" w:rsidRDefault="003E425B" w:rsidP="00A3620F">
      <w:pPr>
        <w:pStyle w:val="Prrafodelista"/>
        <w:numPr>
          <w:ilvl w:val="0"/>
          <w:numId w:val="33"/>
        </w:numPr>
        <w:tabs>
          <w:tab w:val="left" w:pos="567"/>
        </w:tabs>
        <w:spacing w:line="240" w:lineRule="auto"/>
        <w:ind w:left="0" w:firstLine="0"/>
        <w:rPr>
          <w:rFonts w:ascii="Times New Roman" w:hAnsi="Times New Roman"/>
          <w:i/>
          <w:iCs/>
          <w:sz w:val="28"/>
          <w:lang w:val="es-ES" w:eastAsia="es-MX"/>
        </w:rPr>
      </w:pPr>
      <w:r w:rsidRPr="003E425B">
        <w:rPr>
          <w:rFonts w:ascii="Times New Roman" w:hAnsi="Times New Roman"/>
          <w:sz w:val="28"/>
          <w:lang w:val="es-ES" w:eastAsia="es-MX"/>
        </w:rPr>
        <w:t xml:space="preserve">En tales términos, la Sala </w:t>
      </w:r>
      <w:r w:rsidRPr="003E425B">
        <w:rPr>
          <w:rFonts w:ascii="Times New Roman" w:hAnsi="Times New Roman"/>
          <w:sz w:val="28"/>
          <w:lang w:val="es-ES" w:eastAsia="es-MX"/>
        </w:rPr>
        <w:t xml:space="preserve">Plena </w:t>
      </w:r>
      <w:r w:rsidRPr="003E425B">
        <w:rPr>
          <w:rFonts w:ascii="Times New Roman" w:hAnsi="Times New Roman"/>
          <w:sz w:val="28"/>
          <w:lang w:val="es-ES" w:eastAsia="es-MX"/>
        </w:rPr>
        <w:t xml:space="preserve">dividirá el examen en dos secciones. </w:t>
      </w:r>
      <w:r w:rsidRPr="003E425B">
        <w:rPr>
          <w:rFonts w:ascii="Times New Roman" w:hAnsi="Times New Roman"/>
          <w:sz w:val="28"/>
          <w:lang w:eastAsia="es-MX"/>
        </w:rPr>
        <w:t>En la primera</w:t>
      </w:r>
      <w:r w:rsidRPr="003E425B">
        <w:rPr>
          <w:rFonts w:ascii="Times New Roman" w:hAnsi="Times New Roman"/>
          <w:sz w:val="28"/>
          <w:lang w:eastAsia="es-MX"/>
        </w:rPr>
        <w:t xml:space="preserve">, la Sala </w:t>
      </w:r>
      <w:r w:rsidRPr="003E425B">
        <w:rPr>
          <w:rFonts w:ascii="Times New Roman" w:hAnsi="Times New Roman"/>
          <w:sz w:val="28"/>
          <w:lang w:eastAsia="es-MX"/>
        </w:rPr>
        <w:t xml:space="preserve">Plena </w:t>
      </w:r>
      <w:r w:rsidRPr="003E425B">
        <w:rPr>
          <w:rFonts w:ascii="Times New Roman" w:hAnsi="Times New Roman"/>
          <w:sz w:val="28"/>
          <w:lang w:eastAsia="es-MX"/>
        </w:rPr>
        <w:t>har</w:t>
      </w:r>
      <w:r w:rsidRPr="003E425B">
        <w:rPr>
          <w:rFonts w:ascii="Times New Roman" w:hAnsi="Times New Roman"/>
          <w:sz w:val="28"/>
          <w:lang w:eastAsia="es-MX"/>
        </w:rPr>
        <w:t>á un recuento por etapas del trámite legislativo</w:t>
      </w:r>
      <w:r w:rsidRPr="003E425B">
        <w:rPr>
          <w:rFonts w:ascii="Times New Roman" w:hAnsi="Times New Roman"/>
          <w:sz w:val="28"/>
          <w:lang w:eastAsia="es-MX"/>
        </w:rPr>
        <w:t xml:space="preserve">: exposición de motivos, </w:t>
      </w:r>
      <w:r w:rsidRPr="003E425B">
        <w:rPr>
          <w:rFonts w:ascii="Times New Roman" w:hAnsi="Times New Roman"/>
          <w:sz w:val="28"/>
          <w:lang w:eastAsia="es-MX"/>
        </w:rPr>
        <w:t xml:space="preserve">ponencia y </w:t>
      </w:r>
      <w:r w:rsidRPr="003E425B">
        <w:rPr>
          <w:rFonts w:ascii="Times New Roman" w:hAnsi="Times New Roman"/>
          <w:sz w:val="28"/>
          <w:lang w:eastAsia="es-MX"/>
        </w:rPr>
        <w:t>debate</w:t>
      </w:r>
      <w:r w:rsidRPr="003E425B">
        <w:rPr>
          <w:rFonts w:ascii="Times New Roman" w:hAnsi="Times New Roman"/>
          <w:sz w:val="28"/>
          <w:lang w:eastAsia="es-MX"/>
        </w:rPr>
        <w:t xml:space="preserve"> </w:t>
      </w:r>
      <w:r w:rsidRPr="003E425B">
        <w:rPr>
          <w:rFonts w:ascii="Times New Roman" w:hAnsi="Times New Roman"/>
          <w:sz w:val="28"/>
          <w:lang w:eastAsia="es-MX"/>
        </w:rPr>
        <w:t xml:space="preserve">en comisiones, presentación del concepto del MHCP y </w:t>
      </w:r>
      <w:r w:rsidRPr="003E425B">
        <w:rPr>
          <w:rFonts w:ascii="Times New Roman" w:hAnsi="Times New Roman"/>
          <w:sz w:val="28"/>
          <w:lang w:eastAsia="es-MX"/>
        </w:rPr>
        <w:t xml:space="preserve">ponencia y </w:t>
      </w:r>
      <w:r w:rsidRPr="003E425B">
        <w:rPr>
          <w:rFonts w:ascii="Times New Roman" w:hAnsi="Times New Roman"/>
          <w:sz w:val="28"/>
          <w:lang w:eastAsia="es-MX"/>
        </w:rPr>
        <w:t>debate</w:t>
      </w:r>
      <w:r w:rsidRPr="003E425B">
        <w:rPr>
          <w:rFonts w:ascii="Times New Roman" w:hAnsi="Times New Roman"/>
          <w:sz w:val="28"/>
          <w:lang w:eastAsia="es-MX"/>
        </w:rPr>
        <w:t xml:space="preserve"> </w:t>
      </w:r>
      <w:r w:rsidRPr="003E425B">
        <w:rPr>
          <w:rFonts w:ascii="Times New Roman" w:hAnsi="Times New Roman"/>
          <w:sz w:val="28"/>
          <w:lang w:eastAsia="es-MX"/>
        </w:rPr>
        <w:t xml:space="preserve">en las plenarias. </w:t>
      </w:r>
      <w:r w:rsidRPr="003E425B">
        <w:rPr>
          <w:rFonts w:ascii="Times New Roman" w:hAnsi="Times New Roman"/>
          <w:sz w:val="28"/>
          <w:lang w:eastAsia="es-MX"/>
        </w:rPr>
        <w:t xml:space="preserve">Lo anterior, con el objeto de </w:t>
      </w:r>
      <w:r w:rsidRPr="003E425B">
        <w:rPr>
          <w:rFonts w:ascii="Times New Roman" w:hAnsi="Times New Roman"/>
          <w:i/>
          <w:iCs/>
          <w:sz w:val="28"/>
          <w:lang w:eastAsia="es-MX"/>
        </w:rPr>
        <w:t>(i)</w:t>
      </w:r>
      <w:r w:rsidRPr="003E425B">
        <w:rPr>
          <w:rFonts w:ascii="Times New Roman" w:hAnsi="Times New Roman"/>
          <w:sz w:val="28"/>
          <w:lang w:eastAsia="es-MX"/>
        </w:rPr>
        <w:t xml:space="preserve"> resaltar los cambios en el articulado del p</w:t>
      </w:r>
      <w:r w:rsidRPr="003E425B">
        <w:rPr>
          <w:rFonts w:ascii="Times New Roman" w:hAnsi="Times New Roman"/>
          <w:sz w:val="28"/>
          <w:lang w:eastAsia="es-MX"/>
        </w:rPr>
        <w:t xml:space="preserve">royecto de ley, los cuales incidían en </w:t>
      </w:r>
      <w:r w:rsidRPr="003E425B">
        <w:rPr>
          <w:rFonts w:ascii="Times New Roman" w:hAnsi="Times New Roman"/>
          <w:sz w:val="28"/>
          <w:lang w:eastAsia="es-MX"/>
        </w:rPr>
        <w:t>el impacto</w:t>
      </w:r>
      <w:r w:rsidRPr="003E425B">
        <w:rPr>
          <w:rFonts w:ascii="Times New Roman" w:hAnsi="Times New Roman"/>
          <w:sz w:val="28"/>
          <w:lang w:eastAsia="es-MX"/>
        </w:rPr>
        <w:t xml:space="preserve"> fiscal de la iniciativa y </w:t>
      </w:r>
      <w:r w:rsidRPr="003E425B">
        <w:rPr>
          <w:rFonts w:ascii="Times New Roman" w:hAnsi="Times New Roman"/>
          <w:i/>
          <w:iCs/>
          <w:sz w:val="28"/>
          <w:lang w:eastAsia="es-MX"/>
        </w:rPr>
        <w:t>(ii)</w:t>
      </w:r>
      <w:r w:rsidRPr="003E425B">
        <w:rPr>
          <w:rFonts w:ascii="Times New Roman" w:hAnsi="Times New Roman"/>
          <w:sz w:val="28"/>
          <w:lang w:eastAsia="es-MX"/>
        </w:rPr>
        <w:t xml:space="preserve"> examinar</w:t>
      </w:r>
      <w:r w:rsidRPr="003E425B">
        <w:rPr>
          <w:rFonts w:ascii="Times New Roman" w:hAnsi="Times New Roman"/>
          <w:sz w:val="28"/>
          <w:lang w:eastAsia="es-MX"/>
        </w:rPr>
        <w:t xml:space="preserve"> si</w:t>
      </w:r>
      <w:r w:rsidRPr="003E425B">
        <w:rPr>
          <w:rFonts w:ascii="Times New Roman" w:hAnsi="Times New Roman"/>
          <w:sz w:val="28"/>
          <w:lang w:eastAsia="es-MX"/>
        </w:rPr>
        <w:t xml:space="preserve"> </w:t>
      </w:r>
      <w:r w:rsidRPr="003E425B">
        <w:rPr>
          <w:rFonts w:ascii="Times New Roman" w:hAnsi="Times New Roman"/>
          <w:sz w:val="28"/>
          <w:lang w:eastAsia="es-MX"/>
        </w:rPr>
        <w:t xml:space="preserve">el Gobierno </w:t>
      </w:r>
      <w:r w:rsidRPr="003E425B">
        <w:rPr>
          <w:rFonts w:ascii="Times New Roman" w:hAnsi="Times New Roman"/>
          <w:sz w:val="28"/>
          <w:lang w:eastAsia="es-MX"/>
        </w:rPr>
        <w:t>N</w:t>
      </w:r>
      <w:r w:rsidRPr="003E425B">
        <w:rPr>
          <w:rFonts w:ascii="Times New Roman" w:hAnsi="Times New Roman"/>
          <w:sz w:val="28"/>
          <w:lang w:eastAsia="es-MX"/>
        </w:rPr>
        <w:t>acional, el MHCP y el Congreso de la República cumplieron con l</w:t>
      </w:r>
      <w:r w:rsidRPr="003E425B">
        <w:rPr>
          <w:rFonts w:ascii="Times New Roman" w:hAnsi="Times New Roman"/>
          <w:sz w:val="28"/>
          <w:lang w:eastAsia="es-MX"/>
        </w:rPr>
        <w:t>o</w:t>
      </w:r>
      <w:r w:rsidRPr="003E425B">
        <w:rPr>
          <w:rFonts w:ascii="Times New Roman" w:hAnsi="Times New Roman"/>
          <w:sz w:val="28"/>
          <w:lang w:eastAsia="es-MX"/>
        </w:rPr>
        <w:t xml:space="preserve">s </w:t>
      </w:r>
      <w:r w:rsidRPr="003E425B">
        <w:rPr>
          <w:rFonts w:ascii="Times New Roman" w:hAnsi="Times New Roman"/>
          <w:sz w:val="28"/>
          <w:lang w:eastAsia="es-MX"/>
        </w:rPr>
        <w:t xml:space="preserve">deberes específicos </w:t>
      </w:r>
      <w:r w:rsidRPr="003E425B">
        <w:rPr>
          <w:rFonts w:ascii="Times New Roman" w:hAnsi="Times New Roman"/>
          <w:sz w:val="28"/>
          <w:lang w:eastAsia="es-MX"/>
        </w:rPr>
        <w:t>previst</w:t>
      </w:r>
      <w:r w:rsidRPr="003E425B">
        <w:rPr>
          <w:rFonts w:ascii="Times New Roman" w:hAnsi="Times New Roman"/>
          <w:sz w:val="28"/>
          <w:lang w:eastAsia="es-MX"/>
        </w:rPr>
        <w:t>o</w:t>
      </w:r>
      <w:r w:rsidRPr="003E425B">
        <w:rPr>
          <w:rFonts w:ascii="Times New Roman" w:hAnsi="Times New Roman"/>
          <w:sz w:val="28"/>
          <w:lang w:eastAsia="es-MX"/>
        </w:rPr>
        <w:t>s en el artículo 7º de la Ley 819 de 2003.</w:t>
      </w:r>
      <w:r w:rsidRPr="003E425B">
        <w:rPr>
          <w:rFonts w:ascii="Times New Roman" w:hAnsi="Times New Roman"/>
          <w:i/>
          <w:iCs/>
          <w:sz w:val="28"/>
          <w:lang w:eastAsia="es-MX"/>
        </w:rPr>
        <w:t xml:space="preserve"> </w:t>
      </w:r>
      <w:r w:rsidRPr="003E425B">
        <w:rPr>
          <w:rFonts w:ascii="Times New Roman" w:hAnsi="Times New Roman"/>
          <w:sz w:val="28"/>
          <w:lang w:eastAsia="es-MX"/>
        </w:rPr>
        <w:t xml:space="preserve">En la segunda sección, </w:t>
      </w:r>
      <w:r w:rsidRPr="003E425B">
        <w:rPr>
          <w:rFonts w:ascii="Times New Roman" w:hAnsi="Times New Roman"/>
          <w:sz w:val="28"/>
          <w:lang w:eastAsia="es-MX"/>
        </w:rPr>
        <w:t>con fundamento en l</w:t>
      </w:r>
      <w:r w:rsidRPr="003E425B">
        <w:rPr>
          <w:rFonts w:ascii="Times New Roman" w:hAnsi="Times New Roman"/>
          <w:sz w:val="28"/>
          <w:lang w:eastAsia="es-MX"/>
        </w:rPr>
        <w:t>o</w:t>
      </w:r>
      <w:r w:rsidRPr="003E425B">
        <w:rPr>
          <w:rFonts w:ascii="Times New Roman" w:hAnsi="Times New Roman"/>
          <w:sz w:val="28"/>
          <w:lang w:eastAsia="es-MX"/>
        </w:rPr>
        <w:t xml:space="preserve">s </w:t>
      </w:r>
      <w:r w:rsidRPr="003E425B">
        <w:rPr>
          <w:rFonts w:ascii="Times New Roman" w:hAnsi="Times New Roman"/>
          <w:sz w:val="28"/>
          <w:lang w:eastAsia="es-MX"/>
        </w:rPr>
        <w:t xml:space="preserve">hallazgos y conclusiones </w:t>
      </w:r>
      <w:r w:rsidRPr="003E425B">
        <w:rPr>
          <w:rFonts w:ascii="Times New Roman" w:hAnsi="Times New Roman"/>
          <w:sz w:val="28"/>
          <w:lang w:eastAsia="es-MX"/>
        </w:rPr>
        <w:t>d</w:t>
      </w:r>
      <w:r w:rsidRPr="003E425B">
        <w:rPr>
          <w:rFonts w:ascii="Times New Roman" w:hAnsi="Times New Roman"/>
          <w:sz w:val="28"/>
          <w:lang w:eastAsia="es-MX"/>
        </w:rPr>
        <w:t xml:space="preserve">e cada una de las etapas, </w:t>
      </w:r>
      <w:r w:rsidRPr="003E425B">
        <w:rPr>
          <w:rFonts w:ascii="Times New Roman" w:hAnsi="Times New Roman"/>
          <w:sz w:val="28"/>
          <w:lang w:eastAsia="es-MX"/>
        </w:rPr>
        <w:t>la Sala</w:t>
      </w:r>
      <w:r w:rsidRPr="003E425B">
        <w:rPr>
          <w:rFonts w:ascii="Times New Roman" w:hAnsi="Times New Roman"/>
          <w:sz w:val="28"/>
          <w:lang w:eastAsia="es-MX"/>
        </w:rPr>
        <w:t xml:space="preserve"> Plena</w:t>
      </w:r>
      <w:r w:rsidRPr="003E425B">
        <w:rPr>
          <w:rFonts w:ascii="Times New Roman" w:hAnsi="Times New Roman"/>
          <w:sz w:val="28"/>
          <w:lang w:eastAsia="es-MX"/>
        </w:rPr>
        <w:t xml:space="preserve"> </w:t>
      </w:r>
      <w:r w:rsidRPr="003E425B">
        <w:rPr>
          <w:rFonts w:ascii="Times New Roman" w:hAnsi="Times New Roman"/>
          <w:sz w:val="28"/>
          <w:lang w:eastAsia="es-MX"/>
        </w:rPr>
        <w:t>hará</w:t>
      </w:r>
      <w:r w:rsidRPr="003E425B">
        <w:rPr>
          <w:rFonts w:ascii="Times New Roman" w:hAnsi="Times New Roman"/>
          <w:sz w:val="28"/>
          <w:lang w:eastAsia="es-MX"/>
        </w:rPr>
        <w:t xml:space="preserve"> una valoración global del </w:t>
      </w:r>
      <w:r w:rsidRPr="003E425B">
        <w:rPr>
          <w:rFonts w:ascii="Times New Roman" w:hAnsi="Times New Roman"/>
          <w:sz w:val="28"/>
          <w:lang w:eastAsia="es-MX"/>
        </w:rPr>
        <w:t xml:space="preserve">trámite legislativo </w:t>
      </w:r>
      <w:r w:rsidRPr="003E425B">
        <w:rPr>
          <w:rFonts w:ascii="Times New Roman" w:hAnsi="Times New Roman"/>
          <w:sz w:val="28"/>
          <w:lang w:eastAsia="es-MX"/>
        </w:rPr>
        <w:t xml:space="preserve">para determinar </w:t>
      </w:r>
      <w:r w:rsidRPr="003E425B">
        <w:rPr>
          <w:rFonts w:ascii="Times New Roman" w:hAnsi="Times New Roman"/>
          <w:sz w:val="28"/>
          <w:lang w:eastAsia="es-MX"/>
        </w:rPr>
        <w:t>si en este caso se satisfizo la obligación de llevar a cabo el análisis de imp</w:t>
      </w:r>
      <w:r w:rsidRPr="003E425B">
        <w:rPr>
          <w:rFonts w:ascii="Times New Roman" w:hAnsi="Times New Roman"/>
          <w:sz w:val="28"/>
          <w:lang w:eastAsia="es-MX"/>
        </w:rPr>
        <w:t xml:space="preserve">acto fiscal. </w:t>
      </w:r>
      <w:r w:rsidRPr="003E425B">
        <w:rPr>
          <w:rFonts w:ascii="Times New Roman" w:hAnsi="Times New Roman"/>
          <w:sz w:val="28"/>
          <w:lang w:eastAsia="es-MX"/>
        </w:rPr>
        <w:t xml:space="preserve"> </w:t>
      </w:r>
    </w:p>
    <w:p w:rsidR="00760211" w:rsidRPr="003E425B" w:rsidRDefault="003E425B" w:rsidP="00760211">
      <w:pPr>
        <w:pStyle w:val="Prrafodelista"/>
        <w:tabs>
          <w:tab w:val="left" w:pos="567"/>
        </w:tabs>
        <w:spacing w:line="240" w:lineRule="auto"/>
        <w:ind w:left="0"/>
        <w:rPr>
          <w:rFonts w:ascii="Times New Roman" w:hAnsi="Times New Roman"/>
          <w:i/>
          <w:iCs/>
          <w:sz w:val="28"/>
          <w:lang w:val="es-ES" w:eastAsia="es-MX"/>
        </w:rPr>
      </w:pPr>
    </w:p>
    <w:p w:rsidR="00951B7F" w:rsidRPr="003E425B" w:rsidRDefault="003E425B" w:rsidP="000C6CC6">
      <w:pPr>
        <w:pStyle w:val="Ttulo4"/>
        <w:numPr>
          <w:ilvl w:val="0"/>
          <w:numId w:val="35"/>
        </w:numPr>
        <w:ind w:hanging="578"/>
        <w:rPr>
          <w:rFonts w:ascii="Times New Roman" w:hAnsi="Times New Roman" w:cs="Times New Roman"/>
          <w:sz w:val="28"/>
          <w:lang w:eastAsia="es-MX"/>
        </w:rPr>
      </w:pPr>
      <w:r w:rsidRPr="003E425B">
        <w:rPr>
          <w:rFonts w:ascii="Times New Roman" w:hAnsi="Times New Roman" w:cs="Times New Roman"/>
          <w:sz w:val="28"/>
          <w:lang w:eastAsia="es-MX"/>
        </w:rPr>
        <w:t>El trámite legislativo de aprobación de la Ley 2281 de 2023</w:t>
      </w:r>
    </w:p>
    <w:p w:rsidR="00951B7F" w:rsidRPr="003E425B" w:rsidRDefault="003E425B" w:rsidP="00951B7F">
      <w:pPr>
        <w:rPr>
          <w:rFonts w:ascii="Times New Roman" w:hAnsi="Times New Roman" w:cs="Times New Roman"/>
          <w:sz w:val="28"/>
          <w:lang w:eastAsia="es-MX"/>
        </w:rPr>
      </w:pPr>
    </w:p>
    <w:p w:rsidR="002860D7" w:rsidRPr="003E425B" w:rsidRDefault="003E425B" w:rsidP="00390858">
      <w:pPr>
        <w:pStyle w:val="Ttulo4"/>
        <w:numPr>
          <w:ilvl w:val="0"/>
          <w:numId w:val="24"/>
        </w:numPr>
        <w:rPr>
          <w:rFonts w:ascii="Times New Roman" w:hAnsi="Times New Roman" w:cs="Times New Roman"/>
          <w:sz w:val="28"/>
          <w:lang w:eastAsia="es-MX"/>
        </w:rPr>
      </w:pPr>
      <w:r w:rsidRPr="003E425B">
        <w:rPr>
          <w:rFonts w:ascii="Times New Roman" w:hAnsi="Times New Roman" w:cs="Times New Roman"/>
          <w:i/>
          <w:iCs w:val="0"/>
          <w:sz w:val="28"/>
          <w:lang w:eastAsia="es-MX"/>
        </w:rPr>
        <w:t>Exposición de motivos</w:t>
      </w:r>
      <w:r w:rsidRPr="003E425B">
        <w:rPr>
          <w:rFonts w:ascii="Times New Roman" w:hAnsi="Times New Roman" w:cs="Times New Roman"/>
          <w:sz w:val="28"/>
          <w:lang w:eastAsia="es-MX"/>
        </w:rPr>
        <w:t>: e</w:t>
      </w:r>
      <w:r w:rsidRPr="003E425B">
        <w:rPr>
          <w:rFonts w:ascii="Times New Roman" w:hAnsi="Times New Roman" w:cs="Times New Roman"/>
          <w:sz w:val="28"/>
          <w:lang w:eastAsia="es-MX"/>
        </w:rPr>
        <w:t xml:space="preserve">l Gobierno Nacional no incluyó el análisis de impacto fiscal en la exposición de motivos </w:t>
      </w:r>
      <w:r w:rsidRPr="003E425B">
        <w:rPr>
          <w:rFonts w:ascii="Times New Roman" w:hAnsi="Times New Roman" w:cs="Times New Roman"/>
          <w:sz w:val="28"/>
          <w:lang w:eastAsia="es-MX"/>
        </w:rPr>
        <w:t xml:space="preserve">del proyecto de ley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El 18 de octubre de 2022, el Gobierno Nacional radicó el Proyecto de Ley </w:t>
      </w:r>
      <w:r w:rsidRPr="003E425B">
        <w:rPr>
          <w:rFonts w:ascii="Times New Roman" w:hAnsi="Times New Roman"/>
          <w:sz w:val="28"/>
        </w:rPr>
        <w:t>número 222 de 2022 Senado, 261 de 2022 Cámara, “por medio de la cual se crea el Ministerio de Igualdad y Equidad y se dictan otras disposiciones”,</w:t>
      </w:r>
      <w:r w:rsidRPr="003E425B">
        <w:rPr>
          <w:rFonts w:ascii="Times New Roman" w:hAnsi="Times New Roman"/>
          <w:sz w:val="28"/>
          <w:lang w:eastAsia="es-MX"/>
        </w:rPr>
        <w:t xml:space="preserve"> acompañado de la exposición de motiv</w:t>
      </w:r>
      <w:r w:rsidRPr="003E425B">
        <w:rPr>
          <w:rFonts w:ascii="Times New Roman" w:hAnsi="Times New Roman"/>
          <w:sz w:val="28"/>
          <w:lang w:eastAsia="es-MX"/>
        </w:rPr>
        <w:t xml:space="preserve">os. El proyecto de ley original constaba de 12 artículos. El artículo 10 disponía que “[l]a dirección del Ministerio estará a cargo de la Ministra o del Ministro de Igualdad y Equidad”. Sin embargo, no definía la estructura orgánica del ministerio.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En la</w:t>
      </w:r>
      <w:r w:rsidRPr="003E425B">
        <w:rPr>
          <w:rFonts w:ascii="Times New Roman" w:hAnsi="Times New Roman"/>
          <w:sz w:val="28"/>
          <w:lang w:eastAsia="es-MX"/>
        </w:rPr>
        <w:t xml:space="preserve"> exposición de motivos, se incluyó un acápite específico relacionado con el “impacto fiscal” de la iniciativa. En este acápite, sin embargo, únicamente se indicó que:</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10108">
      <w:pPr>
        <w:pStyle w:val="Prrafodelista"/>
        <w:tabs>
          <w:tab w:val="left" w:pos="567"/>
        </w:tabs>
        <w:spacing w:line="240" w:lineRule="auto"/>
        <w:ind w:left="567" w:right="902"/>
        <w:rPr>
          <w:rFonts w:ascii="Times New Roman" w:hAnsi="Times New Roman"/>
          <w:b/>
          <w:bCs/>
          <w:iCs/>
          <w:sz w:val="28"/>
          <w:szCs w:val="22"/>
          <w:lang w:eastAsia="es-MX"/>
        </w:rPr>
      </w:pPr>
      <w:r w:rsidRPr="003E425B">
        <w:rPr>
          <w:rFonts w:ascii="Times New Roman" w:hAnsi="Times New Roman"/>
          <w:iCs/>
          <w:sz w:val="28"/>
          <w:szCs w:val="22"/>
          <w:lang w:eastAsia="es-MX"/>
        </w:rPr>
        <w:t>“</w:t>
      </w:r>
      <w:r w:rsidRPr="003E425B">
        <w:rPr>
          <w:rFonts w:ascii="Times New Roman" w:hAnsi="Times New Roman"/>
          <w:b/>
          <w:bCs/>
          <w:iCs/>
          <w:sz w:val="28"/>
          <w:szCs w:val="22"/>
          <w:lang w:eastAsia="es-MX"/>
        </w:rPr>
        <w:t>IMPACTO FISCAL</w:t>
      </w:r>
    </w:p>
    <w:p w:rsidR="002860D7" w:rsidRPr="003E425B" w:rsidRDefault="003E425B" w:rsidP="00010108">
      <w:pPr>
        <w:pStyle w:val="Prrafodelista"/>
        <w:tabs>
          <w:tab w:val="left" w:pos="567"/>
        </w:tabs>
        <w:spacing w:line="240" w:lineRule="auto"/>
        <w:ind w:left="567" w:right="902"/>
        <w:rPr>
          <w:rFonts w:ascii="Times New Roman" w:hAnsi="Times New Roman"/>
          <w:iCs/>
          <w:sz w:val="28"/>
          <w:szCs w:val="22"/>
          <w:lang w:eastAsia="es-MX"/>
        </w:rPr>
      </w:pPr>
    </w:p>
    <w:p w:rsidR="002860D7" w:rsidRPr="003E425B" w:rsidRDefault="003E425B" w:rsidP="00010108">
      <w:pPr>
        <w:pStyle w:val="Prrafodelista"/>
        <w:tabs>
          <w:tab w:val="left" w:pos="567"/>
        </w:tabs>
        <w:spacing w:line="240" w:lineRule="auto"/>
        <w:ind w:left="567" w:right="902"/>
        <w:rPr>
          <w:rFonts w:ascii="Times New Roman" w:hAnsi="Times New Roman"/>
          <w:iCs/>
          <w:sz w:val="28"/>
          <w:szCs w:val="22"/>
          <w:lang w:eastAsia="es-MX"/>
        </w:rPr>
      </w:pPr>
      <w:r w:rsidRPr="003E425B">
        <w:rPr>
          <w:rFonts w:ascii="Times New Roman" w:hAnsi="Times New Roman"/>
          <w:iCs/>
          <w:sz w:val="28"/>
          <w:szCs w:val="22"/>
          <w:lang w:eastAsia="es-MX"/>
        </w:rPr>
        <w:t>La creación del Ministerio de Igualdad y Equidad se hará en el marco de</w:t>
      </w:r>
      <w:r w:rsidRPr="003E425B">
        <w:rPr>
          <w:rFonts w:ascii="Times New Roman" w:hAnsi="Times New Roman"/>
          <w:iCs/>
          <w:sz w:val="28"/>
          <w:szCs w:val="22"/>
          <w:lang w:eastAsia="es-MX"/>
        </w:rPr>
        <w:t xml:space="preserve"> la política de austeridad del Gobierno Nacional.</w:t>
      </w:r>
    </w:p>
    <w:p w:rsidR="002860D7" w:rsidRPr="003E425B" w:rsidRDefault="003E425B" w:rsidP="00010108">
      <w:pPr>
        <w:pStyle w:val="Prrafodelista"/>
        <w:tabs>
          <w:tab w:val="left" w:pos="567"/>
        </w:tabs>
        <w:spacing w:line="240" w:lineRule="auto"/>
        <w:ind w:left="567" w:right="902"/>
        <w:rPr>
          <w:rFonts w:ascii="Times New Roman" w:hAnsi="Times New Roman"/>
          <w:iCs/>
          <w:sz w:val="28"/>
          <w:szCs w:val="22"/>
          <w:lang w:eastAsia="es-MX"/>
        </w:rPr>
      </w:pPr>
    </w:p>
    <w:p w:rsidR="002860D7" w:rsidRPr="003E425B" w:rsidRDefault="003E425B" w:rsidP="00010108">
      <w:pPr>
        <w:pStyle w:val="Prrafodelista"/>
        <w:tabs>
          <w:tab w:val="left" w:pos="567"/>
        </w:tabs>
        <w:spacing w:line="240" w:lineRule="auto"/>
        <w:ind w:left="567" w:right="902"/>
        <w:rPr>
          <w:rFonts w:ascii="Times New Roman" w:hAnsi="Times New Roman"/>
          <w:iCs/>
          <w:sz w:val="28"/>
          <w:szCs w:val="22"/>
          <w:lang w:eastAsia="es-MX"/>
        </w:rPr>
      </w:pPr>
      <w:r w:rsidRPr="003E425B">
        <w:rPr>
          <w:rFonts w:ascii="Times New Roman" w:hAnsi="Times New Roman"/>
          <w:iCs/>
          <w:sz w:val="28"/>
          <w:szCs w:val="22"/>
          <w:lang w:eastAsia="es-MX"/>
        </w:rPr>
        <w:t>En consecuencia, una vez analizados y expuestos los fundamentos necesarios, condensados en el presente documento, solicitamos respetuosamente al Honorable Congreso de la República que se apruebe el present</w:t>
      </w:r>
      <w:r w:rsidRPr="003E425B">
        <w:rPr>
          <w:rFonts w:ascii="Times New Roman" w:hAnsi="Times New Roman"/>
          <w:iCs/>
          <w:sz w:val="28"/>
          <w:szCs w:val="22"/>
          <w:lang w:eastAsia="es-MX"/>
        </w:rPr>
        <w:t>e proyecto de ley, para que el Ministerio de Igualdad y Equidad, (sic) siga transformando a Colombia con el impulso del goce efectivo del derecho a la igualdad en el marco de los principios de no discriminación y no regresividad, la protección de la divers</w:t>
      </w:r>
      <w:r w:rsidRPr="003E425B">
        <w:rPr>
          <w:rFonts w:ascii="Times New Roman" w:hAnsi="Times New Roman"/>
          <w:iCs/>
          <w:sz w:val="28"/>
          <w:szCs w:val="22"/>
          <w:lang w:eastAsia="es-MX"/>
        </w:rPr>
        <w:t>idad étnica y cultural, la adopción de medidas en favor de sujetos de especial protección constitucional y de grupos discriminados o marginados, en los términos de la ley, promoviendo las condiciones para que la igualdad sea real y efectiva”</w:t>
      </w:r>
      <w:r w:rsidRPr="003E425B">
        <w:rPr>
          <w:rFonts w:ascii="Times New Roman" w:hAnsi="Times New Roman"/>
          <w:iCs/>
          <w:sz w:val="28"/>
          <w:szCs w:val="22"/>
          <w:vertAlign w:val="superscript"/>
          <w:lang w:eastAsia="es-MX"/>
        </w:rPr>
        <w:footnoteReference w:id="329"/>
      </w:r>
      <w:r w:rsidRPr="003E425B">
        <w:rPr>
          <w:rFonts w:ascii="Times New Roman" w:hAnsi="Times New Roman"/>
          <w:iCs/>
          <w:sz w:val="28"/>
          <w:szCs w:val="22"/>
          <w:lang w:eastAsia="es-MX"/>
        </w:rPr>
        <w:t>.</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val="es-ES" w:eastAsia="es-MX"/>
        </w:rPr>
      </w:pPr>
      <w:bookmarkStart w:id="29" w:name="_Ref164072242"/>
      <w:r w:rsidRPr="003E425B">
        <w:rPr>
          <w:rFonts w:ascii="Times New Roman" w:hAnsi="Times New Roman"/>
          <w:i/>
          <w:sz w:val="28"/>
          <w:lang w:val="es-ES"/>
        </w:rPr>
        <w:t xml:space="preserve">Examen de </w:t>
      </w:r>
      <w:r w:rsidRPr="003E425B">
        <w:rPr>
          <w:rFonts w:ascii="Times New Roman" w:hAnsi="Times New Roman"/>
          <w:i/>
          <w:sz w:val="28"/>
          <w:lang w:val="es-ES"/>
        </w:rPr>
        <w:t>la Sala</w:t>
      </w:r>
      <w:r w:rsidRPr="003E425B">
        <w:rPr>
          <w:rFonts w:ascii="Times New Roman" w:hAnsi="Times New Roman"/>
          <w:sz w:val="28"/>
          <w:lang w:val="es-ES"/>
        </w:rPr>
        <w:t xml:space="preserve">. </w:t>
      </w:r>
      <w:r w:rsidRPr="003E425B">
        <w:rPr>
          <w:rFonts w:ascii="Times New Roman" w:hAnsi="Times New Roman"/>
          <w:iCs/>
          <w:sz w:val="28"/>
          <w:lang w:val="es-ES" w:eastAsia="es-MX"/>
        </w:rPr>
        <w:t>El inciso 4º del artículo 7º de la Ley 819 de 2003 dispone que “</w:t>
      </w:r>
      <w:r w:rsidRPr="003E425B">
        <w:rPr>
          <w:rFonts w:ascii="Times New Roman" w:hAnsi="Times New Roman"/>
          <w:iCs/>
          <w:sz w:val="28"/>
          <w:lang w:eastAsia="es-MX"/>
        </w:rPr>
        <w:t xml:space="preserve">[l]os proyectos de ley de iniciativa gubernamental, que planteen un gasto adicional o una </w:t>
      </w:r>
      <w:r w:rsidRPr="003E425B">
        <w:rPr>
          <w:rFonts w:ascii="Times New Roman" w:hAnsi="Times New Roman"/>
          <w:sz w:val="28"/>
          <w:lang w:eastAsia="es-MX"/>
        </w:rPr>
        <w:t>reducción</w:t>
      </w:r>
      <w:r w:rsidRPr="003E425B">
        <w:rPr>
          <w:rFonts w:ascii="Times New Roman" w:hAnsi="Times New Roman"/>
          <w:iCs/>
          <w:sz w:val="28"/>
          <w:lang w:eastAsia="es-MX"/>
        </w:rPr>
        <w:t xml:space="preserve"> de ingresos, deberá contener la correspondiente fuente sustitutiva por disminución </w:t>
      </w:r>
      <w:r w:rsidRPr="003E425B">
        <w:rPr>
          <w:rFonts w:ascii="Times New Roman" w:hAnsi="Times New Roman"/>
          <w:iCs/>
          <w:sz w:val="28"/>
          <w:lang w:eastAsia="es-MX"/>
        </w:rPr>
        <w:t xml:space="preserve">de gasto o aumentos de ingresos, lo cual deberá ser analizado y aprobado por el Ministerio de Hacienda y Crédito Público”. </w:t>
      </w:r>
    </w:p>
    <w:p w:rsidR="002860D7" w:rsidRPr="003E425B" w:rsidRDefault="003E425B" w:rsidP="00010108">
      <w:pPr>
        <w:pStyle w:val="Prrafodelista"/>
        <w:tabs>
          <w:tab w:val="left" w:pos="567"/>
        </w:tabs>
        <w:spacing w:line="240" w:lineRule="auto"/>
        <w:ind w:left="0"/>
        <w:rPr>
          <w:rFonts w:ascii="Times New Roman" w:hAnsi="Times New Roman"/>
          <w:sz w:val="28"/>
          <w:lang w:val="es-ES" w:eastAsia="es-MX"/>
        </w:rPr>
      </w:pPr>
    </w:p>
    <w:p w:rsidR="00DC2F1C"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val="es-ES" w:eastAsia="es-MX"/>
        </w:rPr>
      </w:pPr>
      <w:r w:rsidRPr="003E425B">
        <w:rPr>
          <w:rFonts w:ascii="Times New Roman" w:hAnsi="Times New Roman"/>
          <w:sz w:val="28"/>
          <w:lang w:val="es-ES"/>
        </w:rPr>
        <w:t>La Sala reconoce que, en este punto</w:t>
      </w:r>
      <w:r w:rsidRPr="003E425B">
        <w:rPr>
          <w:rFonts w:ascii="Times New Roman" w:hAnsi="Times New Roman"/>
          <w:sz w:val="28"/>
          <w:lang w:val="es-ES"/>
        </w:rPr>
        <w:t xml:space="preserve"> del trámite legislativo</w:t>
      </w:r>
      <w:r w:rsidRPr="003E425B">
        <w:rPr>
          <w:rFonts w:ascii="Times New Roman" w:hAnsi="Times New Roman"/>
          <w:sz w:val="28"/>
          <w:lang w:val="es-ES"/>
        </w:rPr>
        <w:t xml:space="preserve">, el proyecto de articulado </w:t>
      </w:r>
      <w:r w:rsidRPr="003E425B">
        <w:rPr>
          <w:rFonts w:ascii="Times New Roman" w:hAnsi="Times New Roman"/>
          <w:sz w:val="28"/>
          <w:lang w:val="es-ES"/>
        </w:rPr>
        <w:t>que fue propuest</w:t>
      </w:r>
      <w:r w:rsidRPr="003E425B">
        <w:rPr>
          <w:rFonts w:ascii="Times New Roman" w:hAnsi="Times New Roman"/>
          <w:sz w:val="28"/>
          <w:lang w:val="es-ES"/>
        </w:rPr>
        <w:t>o</w:t>
      </w:r>
      <w:r w:rsidRPr="003E425B">
        <w:rPr>
          <w:rFonts w:ascii="Times New Roman" w:hAnsi="Times New Roman"/>
          <w:sz w:val="28"/>
          <w:lang w:val="es-ES"/>
        </w:rPr>
        <w:t xml:space="preserve"> por el Gobierno Nacional </w:t>
      </w:r>
      <w:r w:rsidRPr="003E425B">
        <w:rPr>
          <w:rFonts w:ascii="Times New Roman" w:hAnsi="Times New Roman"/>
          <w:sz w:val="28"/>
          <w:lang w:val="es-ES"/>
        </w:rPr>
        <w:t>n</w:t>
      </w:r>
      <w:r w:rsidRPr="003E425B">
        <w:rPr>
          <w:rFonts w:ascii="Times New Roman" w:hAnsi="Times New Roman"/>
          <w:sz w:val="28"/>
          <w:lang w:val="es-ES"/>
        </w:rPr>
        <w:t>o definía la estructura orgánica del nuevo ministerio</w:t>
      </w:r>
      <w:r w:rsidRPr="003E425B">
        <w:rPr>
          <w:rFonts w:ascii="Times New Roman" w:hAnsi="Times New Roman"/>
          <w:sz w:val="28"/>
          <w:lang w:val="es-ES"/>
        </w:rPr>
        <w:t xml:space="preserve">, lo </w:t>
      </w:r>
      <w:r w:rsidRPr="003E425B">
        <w:rPr>
          <w:rFonts w:ascii="Times New Roman" w:hAnsi="Times New Roman"/>
          <w:sz w:val="28"/>
          <w:lang w:val="es-ES"/>
        </w:rPr>
        <w:t>que</w:t>
      </w:r>
      <w:r w:rsidRPr="003E425B">
        <w:rPr>
          <w:rFonts w:ascii="Times New Roman" w:hAnsi="Times New Roman"/>
          <w:sz w:val="28"/>
          <w:lang w:val="es-ES"/>
        </w:rPr>
        <w:t xml:space="preserve"> </w:t>
      </w:r>
      <w:r w:rsidRPr="003E425B">
        <w:rPr>
          <w:rFonts w:ascii="Times New Roman" w:hAnsi="Times New Roman"/>
          <w:sz w:val="28"/>
          <w:lang w:val="es-ES"/>
        </w:rPr>
        <w:t>naturalmente</w:t>
      </w:r>
      <w:r w:rsidRPr="003E425B">
        <w:rPr>
          <w:rFonts w:ascii="Times New Roman" w:hAnsi="Times New Roman"/>
          <w:sz w:val="28"/>
          <w:lang w:val="es-ES"/>
        </w:rPr>
        <w:t xml:space="preserve"> impedía definir, con total precisión, cuál sería </w:t>
      </w:r>
      <w:r w:rsidRPr="003E425B">
        <w:rPr>
          <w:rFonts w:ascii="Times New Roman" w:hAnsi="Times New Roman"/>
          <w:sz w:val="28"/>
          <w:lang w:val="es-ES"/>
        </w:rPr>
        <w:t xml:space="preserve">su costo fiscal. </w:t>
      </w:r>
      <w:r w:rsidRPr="003E425B">
        <w:rPr>
          <w:rFonts w:ascii="Times New Roman" w:hAnsi="Times New Roman"/>
          <w:sz w:val="28"/>
          <w:lang w:val="es-ES"/>
        </w:rPr>
        <w:t>Sin embargo,</w:t>
      </w:r>
      <w:r w:rsidRPr="003E425B">
        <w:rPr>
          <w:rFonts w:ascii="Times New Roman" w:hAnsi="Times New Roman"/>
          <w:sz w:val="28"/>
          <w:lang w:val="es-ES"/>
        </w:rPr>
        <w:t xml:space="preserve"> la Sala constata que</w:t>
      </w:r>
      <w:r w:rsidRPr="003E425B">
        <w:rPr>
          <w:rFonts w:ascii="Times New Roman" w:hAnsi="Times New Roman"/>
          <w:sz w:val="28"/>
          <w:lang w:val="es-ES"/>
        </w:rPr>
        <w:t xml:space="preserve"> </w:t>
      </w:r>
      <w:r w:rsidRPr="003E425B">
        <w:rPr>
          <w:rFonts w:ascii="Times New Roman" w:hAnsi="Times New Roman"/>
          <w:sz w:val="28"/>
          <w:lang w:val="es-ES"/>
        </w:rPr>
        <w:t>lo</w:t>
      </w:r>
      <w:r w:rsidRPr="003E425B">
        <w:rPr>
          <w:rFonts w:ascii="Times New Roman" w:hAnsi="Times New Roman"/>
          <w:sz w:val="28"/>
          <w:lang w:val="es-ES"/>
        </w:rPr>
        <w:t xml:space="preserve">s artículos 1º y 2º </w:t>
      </w:r>
      <w:r w:rsidRPr="003E425B">
        <w:rPr>
          <w:rFonts w:ascii="Times New Roman" w:hAnsi="Times New Roman"/>
          <w:sz w:val="28"/>
          <w:lang w:val="es-ES"/>
        </w:rPr>
        <w:t>disponía</w:t>
      </w:r>
      <w:r w:rsidRPr="003E425B">
        <w:rPr>
          <w:rFonts w:ascii="Times New Roman" w:hAnsi="Times New Roman"/>
          <w:sz w:val="28"/>
          <w:lang w:val="es-ES"/>
        </w:rPr>
        <w:t>n</w:t>
      </w:r>
      <w:r w:rsidRPr="003E425B">
        <w:rPr>
          <w:rFonts w:ascii="Times New Roman" w:hAnsi="Times New Roman"/>
          <w:sz w:val="28"/>
          <w:lang w:val="es-ES"/>
        </w:rPr>
        <w:t xml:space="preserve"> la creación de un nuevo ministerio lo cual</w:t>
      </w:r>
      <w:r w:rsidRPr="003E425B">
        <w:rPr>
          <w:rFonts w:ascii="Times New Roman" w:hAnsi="Times New Roman"/>
          <w:sz w:val="28"/>
          <w:lang w:val="es-ES"/>
        </w:rPr>
        <w:t xml:space="preserve"> suponía</w:t>
      </w:r>
      <w:r w:rsidRPr="003E425B">
        <w:rPr>
          <w:rFonts w:ascii="Times New Roman" w:hAnsi="Times New Roman"/>
          <w:sz w:val="28"/>
          <w:lang w:val="es-ES"/>
        </w:rPr>
        <w:t>, necesariamente,</w:t>
      </w:r>
      <w:r w:rsidRPr="003E425B">
        <w:rPr>
          <w:rFonts w:ascii="Times New Roman" w:hAnsi="Times New Roman"/>
          <w:sz w:val="28"/>
          <w:lang w:val="es-ES"/>
        </w:rPr>
        <w:t xml:space="preserve"> </w:t>
      </w:r>
      <w:r w:rsidRPr="003E425B">
        <w:rPr>
          <w:rFonts w:ascii="Times New Roman" w:hAnsi="Times New Roman"/>
          <w:sz w:val="28"/>
          <w:lang w:val="es-ES"/>
        </w:rPr>
        <w:t>un nuevo gasto.</w:t>
      </w:r>
      <w:r w:rsidRPr="003E425B">
        <w:rPr>
          <w:rFonts w:ascii="Times New Roman" w:hAnsi="Times New Roman"/>
          <w:sz w:val="28"/>
          <w:lang w:val="es-ES"/>
        </w:rPr>
        <w:t xml:space="preserve"> </w:t>
      </w:r>
      <w:r w:rsidRPr="003E425B">
        <w:rPr>
          <w:rFonts w:ascii="Times New Roman" w:hAnsi="Times New Roman"/>
          <w:sz w:val="28"/>
          <w:lang w:val="es-ES"/>
        </w:rPr>
        <w:t>Además, si bien</w:t>
      </w:r>
      <w:r w:rsidRPr="003E425B">
        <w:rPr>
          <w:rFonts w:ascii="Times New Roman" w:hAnsi="Times New Roman"/>
          <w:sz w:val="28"/>
          <w:lang w:val="es-ES"/>
        </w:rPr>
        <w:t xml:space="preserve"> el</w:t>
      </w:r>
      <w:r w:rsidRPr="003E425B">
        <w:rPr>
          <w:rFonts w:ascii="Times New Roman" w:hAnsi="Times New Roman"/>
          <w:sz w:val="28"/>
          <w:lang w:val="es-ES"/>
        </w:rPr>
        <w:t xml:space="preserve"> artículo 11 confería facultad</w:t>
      </w:r>
      <w:r w:rsidRPr="003E425B">
        <w:rPr>
          <w:rFonts w:ascii="Times New Roman" w:hAnsi="Times New Roman"/>
          <w:sz w:val="28"/>
          <w:lang w:val="es-ES"/>
        </w:rPr>
        <w:t>e</w:t>
      </w:r>
      <w:r w:rsidRPr="003E425B">
        <w:rPr>
          <w:rFonts w:ascii="Times New Roman" w:hAnsi="Times New Roman"/>
          <w:sz w:val="28"/>
          <w:lang w:val="es-ES"/>
        </w:rPr>
        <w:t xml:space="preserve">s extraordinarias al Presidente de la República, su alcance estaba limitado a la integración de </w:t>
      </w:r>
      <w:r w:rsidRPr="003E425B">
        <w:rPr>
          <w:rFonts w:ascii="Times New Roman" w:hAnsi="Times New Roman"/>
          <w:i/>
          <w:iCs/>
          <w:sz w:val="28"/>
          <w:lang w:val="es-ES"/>
        </w:rPr>
        <w:t>sector</w:t>
      </w:r>
      <w:r w:rsidRPr="003E425B">
        <w:rPr>
          <w:rFonts w:ascii="Times New Roman" w:hAnsi="Times New Roman"/>
          <w:sz w:val="28"/>
          <w:lang w:val="es-ES"/>
        </w:rPr>
        <w:t xml:space="preserve"> administrativo de Igualdad y Equidad, no </w:t>
      </w:r>
      <w:r w:rsidRPr="003E425B">
        <w:rPr>
          <w:rFonts w:ascii="Times New Roman" w:hAnsi="Times New Roman"/>
          <w:sz w:val="28"/>
          <w:lang w:val="es-ES"/>
        </w:rPr>
        <w:t xml:space="preserve">a </w:t>
      </w:r>
      <w:r w:rsidRPr="003E425B">
        <w:rPr>
          <w:rFonts w:ascii="Times New Roman" w:hAnsi="Times New Roman"/>
          <w:sz w:val="28"/>
          <w:lang w:val="es-ES"/>
        </w:rPr>
        <w:t xml:space="preserve">la </w:t>
      </w:r>
      <w:r w:rsidRPr="003E425B">
        <w:rPr>
          <w:rFonts w:ascii="Times New Roman" w:hAnsi="Times New Roman"/>
          <w:sz w:val="28"/>
          <w:lang w:val="es-ES"/>
        </w:rPr>
        <w:t>creación</w:t>
      </w:r>
      <w:r w:rsidRPr="003E425B">
        <w:rPr>
          <w:rFonts w:ascii="Times New Roman" w:hAnsi="Times New Roman"/>
          <w:sz w:val="28"/>
          <w:lang w:val="es-ES"/>
        </w:rPr>
        <w:t xml:space="preserve"> del min</w:t>
      </w:r>
      <w:r w:rsidRPr="003E425B">
        <w:rPr>
          <w:rFonts w:ascii="Times New Roman" w:hAnsi="Times New Roman"/>
          <w:sz w:val="28"/>
          <w:lang w:val="es-ES"/>
        </w:rPr>
        <w:t>isterio</w:t>
      </w:r>
      <w:r w:rsidRPr="003E425B">
        <w:rPr>
          <w:rFonts w:ascii="Times New Roman" w:hAnsi="Times New Roman"/>
          <w:sz w:val="28"/>
          <w:lang w:val="es-ES"/>
        </w:rPr>
        <w:t xml:space="preserve"> ni a la definición de su estructura orgánica.</w:t>
      </w:r>
      <w:r w:rsidRPr="003E425B">
        <w:rPr>
          <w:rFonts w:ascii="Times New Roman" w:hAnsi="Times New Roman"/>
          <w:sz w:val="28"/>
          <w:lang w:val="es-ES"/>
        </w:rPr>
        <w:t xml:space="preserve"> </w:t>
      </w:r>
      <w:r w:rsidRPr="003E425B">
        <w:rPr>
          <w:rFonts w:ascii="Times New Roman" w:hAnsi="Times New Roman"/>
          <w:sz w:val="28"/>
          <w:lang w:val="es-ES"/>
        </w:rPr>
        <w:t>E</w:t>
      </w:r>
      <w:r w:rsidRPr="003E425B">
        <w:rPr>
          <w:rFonts w:ascii="Times New Roman" w:hAnsi="Times New Roman"/>
          <w:sz w:val="28"/>
          <w:lang w:val="es-ES"/>
        </w:rPr>
        <w:t>n criterio de la Sala, e</w:t>
      </w:r>
      <w:r w:rsidRPr="003E425B">
        <w:rPr>
          <w:rFonts w:ascii="Times New Roman" w:hAnsi="Times New Roman"/>
          <w:sz w:val="28"/>
          <w:lang w:val="es-ES"/>
        </w:rPr>
        <w:t>sto implicaba</w:t>
      </w:r>
      <w:r w:rsidRPr="003E425B">
        <w:rPr>
          <w:rFonts w:ascii="Times New Roman" w:hAnsi="Times New Roman"/>
          <w:sz w:val="28"/>
          <w:lang w:val="es-ES"/>
        </w:rPr>
        <w:t xml:space="preserve">, por las razones que se expusieron en la sección </w:t>
      </w:r>
      <w:r w:rsidRPr="003E425B">
        <w:rPr>
          <w:rFonts w:ascii="Times New Roman" w:hAnsi="Times New Roman"/>
          <w:sz w:val="28"/>
          <w:lang w:val="es-ES"/>
        </w:rPr>
        <w:fldChar w:fldCharType="begin"/>
      </w:r>
      <w:r w:rsidRPr="003E425B">
        <w:rPr>
          <w:rFonts w:ascii="Times New Roman" w:hAnsi="Times New Roman"/>
          <w:sz w:val="28"/>
          <w:lang w:val="es-ES"/>
        </w:rPr>
        <w:instrText xml:space="preserve"> REF _Ref168477306 \r \h </w:instrText>
      </w:r>
      <w:r w:rsidRPr="003E425B">
        <w:rPr>
          <w:rFonts w:ascii="Times New Roman" w:hAnsi="Times New Roman"/>
          <w:sz w:val="28"/>
          <w:lang w:val="es-ES"/>
        </w:rPr>
        <w:instrText xml:space="preserve"> \* MERGEFORMAT </w:instrText>
      </w:r>
      <w:r w:rsidRPr="003E425B">
        <w:rPr>
          <w:rFonts w:ascii="Times New Roman" w:hAnsi="Times New Roman"/>
          <w:sz w:val="28"/>
          <w:lang w:val="es-ES"/>
        </w:rPr>
      </w:r>
      <w:r w:rsidRPr="003E425B">
        <w:rPr>
          <w:rFonts w:ascii="Times New Roman" w:hAnsi="Times New Roman"/>
          <w:sz w:val="28"/>
          <w:lang w:val="es-ES"/>
        </w:rPr>
        <w:fldChar w:fldCharType="separate"/>
      </w:r>
      <w:r w:rsidRPr="003E425B">
        <w:rPr>
          <w:rFonts w:ascii="Times New Roman" w:hAnsi="Times New Roman"/>
          <w:sz w:val="28"/>
          <w:lang w:val="es-ES"/>
        </w:rPr>
        <w:t>4.2.2</w:t>
      </w:r>
      <w:r w:rsidRPr="003E425B">
        <w:rPr>
          <w:rFonts w:ascii="Times New Roman" w:hAnsi="Times New Roman"/>
          <w:sz w:val="28"/>
          <w:lang w:val="es-ES"/>
        </w:rPr>
        <w:fldChar w:fldCharType="end"/>
      </w:r>
      <w:r w:rsidRPr="003E425B">
        <w:rPr>
          <w:rFonts w:ascii="Times New Roman" w:hAnsi="Times New Roman"/>
          <w:sz w:val="28"/>
          <w:lang w:val="es-ES"/>
        </w:rPr>
        <w:fldChar w:fldCharType="begin"/>
      </w:r>
      <w:r w:rsidRPr="003E425B">
        <w:rPr>
          <w:rFonts w:ascii="Times New Roman" w:hAnsi="Times New Roman"/>
          <w:sz w:val="28"/>
          <w:lang w:val="es-ES"/>
        </w:rPr>
        <w:instrText xml:space="preserve"> REF _Ref168477308 \r \h </w:instrText>
      </w:r>
      <w:r w:rsidRPr="003E425B">
        <w:rPr>
          <w:rFonts w:ascii="Times New Roman" w:hAnsi="Times New Roman"/>
          <w:sz w:val="28"/>
          <w:lang w:val="es-ES"/>
        </w:rPr>
        <w:instrText xml:space="preserve"> \* MERGEFORMAT </w:instrText>
      </w:r>
      <w:r w:rsidRPr="003E425B">
        <w:rPr>
          <w:rFonts w:ascii="Times New Roman" w:hAnsi="Times New Roman"/>
          <w:sz w:val="28"/>
          <w:lang w:val="es-ES"/>
        </w:rPr>
      </w:r>
      <w:r w:rsidRPr="003E425B">
        <w:rPr>
          <w:rFonts w:ascii="Times New Roman" w:hAnsi="Times New Roman"/>
          <w:sz w:val="28"/>
          <w:lang w:val="es-ES"/>
        </w:rPr>
        <w:fldChar w:fldCharType="separate"/>
      </w:r>
      <w:r w:rsidRPr="003E425B">
        <w:rPr>
          <w:rFonts w:ascii="Times New Roman" w:hAnsi="Times New Roman"/>
          <w:sz w:val="28"/>
          <w:lang w:val="es-ES"/>
        </w:rPr>
        <w:t>(i)</w:t>
      </w:r>
      <w:r w:rsidRPr="003E425B">
        <w:rPr>
          <w:rFonts w:ascii="Times New Roman" w:hAnsi="Times New Roman"/>
          <w:sz w:val="28"/>
          <w:lang w:val="es-ES"/>
        </w:rPr>
        <w:fldChar w:fldCharType="end"/>
      </w:r>
      <w:r w:rsidRPr="003E425B">
        <w:rPr>
          <w:rFonts w:ascii="Times New Roman" w:hAnsi="Times New Roman"/>
          <w:sz w:val="28"/>
          <w:lang w:val="es-ES"/>
        </w:rPr>
        <w:t xml:space="preserve"> </w:t>
      </w:r>
      <w:r w:rsidRPr="003E425B">
        <w:rPr>
          <w:rFonts w:ascii="Times New Roman" w:hAnsi="Times New Roman"/>
          <w:i/>
          <w:iCs/>
          <w:sz w:val="28"/>
          <w:lang w:val="es-ES"/>
        </w:rPr>
        <w:t>supra</w:t>
      </w:r>
      <w:r w:rsidRPr="003E425B">
        <w:rPr>
          <w:rFonts w:ascii="Times New Roman" w:hAnsi="Times New Roman"/>
          <w:sz w:val="28"/>
          <w:lang w:val="es-ES"/>
        </w:rPr>
        <w:t>,</w:t>
      </w:r>
      <w:r w:rsidRPr="003E425B">
        <w:rPr>
          <w:rFonts w:ascii="Times New Roman" w:hAnsi="Times New Roman"/>
          <w:sz w:val="28"/>
          <w:lang w:val="es-ES"/>
        </w:rPr>
        <w:t xml:space="preserve"> que el deber previsto en el inciso 4º del artículo 7º de la Ley 819 de 2003 era </w:t>
      </w:r>
      <w:r w:rsidRPr="003E425B">
        <w:rPr>
          <w:rFonts w:ascii="Times New Roman" w:hAnsi="Times New Roman"/>
          <w:sz w:val="28"/>
          <w:lang w:val="es-ES"/>
        </w:rPr>
        <w:t>exigibl</w:t>
      </w:r>
      <w:r w:rsidRPr="003E425B">
        <w:rPr>
          <w:rFonts w:ascii="Times New Roman" w:hAnsi="Times New Roman"/>
          <w:sz w:val="28"/>
          <w:lang w:val="es-ES"/>
        </w:rPr>
        <w:t xml:space="preserve">e. </w:t>
      </w:r>
    </w:p>
    <w:p w:rsidR="00DC2F1C" w:rsidRPr="003E425B" w:rsidRDefault="003E425B" w:rsidP="00DC2F1C">
      <w:pPr>
        <w:pStyle w:val="Prrafodelista"/>
        <w:rPr>
          <w:rFonts w:ascii="Times New Roman" w:hAnsi="Times New Roman"/>
          <w:sz w:val="28"/>
          <w:lang w:val="es-ES"/>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val="es-ES" w:eastAsia="es-MX"/>
        </w:rPr>
      </w:pPr>
      <w:r w:rsidRPr="003E425B">
        <w:rPr>
          <w:rFonts w:ascii="Times New Roman" w:hAnsi="Times New Roman"/>
          <w:sz w:val="28"/>
          <w:lang w:val="es-ES"/>
        </w:rPr>
        <w:t>No obstante, e</w:t>
      </w:r>
      <w:r w:rsidRPr="003E425B">
        <w:rPr>
          <w:rFonts w:ascii="Times New Roman" w:hAnsi="Times New Roman"/>
          <w:sz w:val="28"/>
          <w:lang w:val="es-ES"/>
        </w:rPr>
        <w:t xml:space="preserve">l acápite de “impacto fiscal” </w:t>
      </w:r>
      <w:r w:rsidRPr="003E425B">
        <w:rPr>
          <w:rFonts w:ascii="Times New Roman" w:hAnsi="Times New Roman"/>
          <w:sz w:val="28"/>
          <w:lang w:val="es-ES"/>
        </w:rPr>
        <w:t xml:space="preserve">de la </w:t>
      </w:r>
      <w:r w:rsidRPr="003E425B">
        <w:rPr>
          <w:rFonts w:ascii="Times New Roman" w:hAnsi="Times New Roman"/>
          <w:sz w:val="28"/>
          <w:lang w:val="es-ES"/>
        </w:rPr>
        <w:t>exposición de motivos</w:t>
      </w:r>
      <w:r w:rsidRPr="003E425B">
        <w:rPr>
          <w:rFonts w:ascii="Times New Roman" w:hAnsi="Times New Roman"/>
          <w:sz w:val="28"/>
          <w:lang w:val="es-ES"/>
        </w:rPr>
        <w:t xml:space="preserve">, contrario a lo que sugería su título, realmente no presentaba un análisis de impacto fiscal. Esto, porque el </w:t>
      </w:r>
      <w:r w:rsidRPr="003E425B">
        <w:rPr>
          <w:rFonts w:ascii="Times New Roman" w:hAnsi="Times New Roman"/>
          <w:sz w:val="28"/>
          <w:lang w:eastAsia="es-MX"/>
        </w:rPr>
        <w:t>Gobierno</w:t>
      </w:r>
      <w:r w:rsidRPr="003E425B">
        <w:rPr>
          <w:rFonts w:ascii="Times New Roman" w:hAnsi="Times New Roman"/>
          <w:sz w:val="28"/>
          <w:lang w:val="es-ES"/>
        </w:rPr>
        <w:t xml:space="preserve"> Nacional no identificó, ni siquiera de forma mínima, los referentes básicos del impacto fiscal, a saber: </w:t>
      </w:r>
      <w:r w:rsidRPr="003E425B">
        <w:rPr>
          <w:rFonts w:ascii="Times New Roman" w:hAnsi="Times New Roman"/>
          <w:i/>
          <w:sz w:val="28"/>
          <w:lang w:val="es-ES"/>
        </w:rPr>
        <w:t>(i)</w:t>
      </w:r>
      <w:r w:rsidRPr="003E425B">
        <w:rPr>
          <w:rFonts w:ascii="Times New Roman" w:hAnsi="Times New Roman"/>
          <w:sz w:val="28"/>
          <w:lang w:val="es-ES"/>
        </w:rPr>
        <w:t xml:space="preserve"> </w:t>
      </w:r>
      <w:r w:rsidRPr="003E425B">
        <w:rPr>
          <w:rFonts w:ascii="Times New Roman" w:hAnsi="Times New Roman"/>
          <w:sz w:val="28"/>
          <w:lang w:val="es-ES"/>
        </w:rPr>
        <w:t>la estimación del gasto que implicaría la creación del Ministerio de Igualdad y Equidad</w:t>
      </w:r>
      <w:r w:rsidRPr="003E425B">
        <w:rPr>
          <w:rFonts w:ascii="Times New Roman" w:hAnsi="Times New Roman"/>
          <w:sz w:val="28"/>
          <w:lang w:val="es-ES"/>
        </w:rPr>
        <w:t xml:space="preserve"> y</w:t>
      </w:r>
      <w:r w:rsidRPr="003E425B">
        <w:rPr>
          <w:rFonts w:ascii="Times New Roman" w:hAnsi="Times New Roman"/>
          <w:sz w:val="28"/>
          <w:lang w:val="es-ES"/>
        </w:rPr>
        <w:t xml:space="preserve"> </w:t>
      </w:r>
      <w:r w:rsidRPr="003E425B">
        <w:rPr>
          <w:rFonts w:ascii="Times New Roman" w:hAnsi="Times New Roman"/>
          <w:i/>
          <w:sz w:val="28"/>
          <w:lang w:val="es-ES"/>
        </w:rPr>
        <w:t xml:space="preserve">(ii) </w:t>
      </w:r>
      <w:r w:rsidRPr="003E425B">
        <w:rPr>
          <w:rFonts w:ascii="Times New Roman" w:hAnsi="Times New Roman"/>
          <w:sz w:val="28"/>
          <w:lang w:val="es-ES"/>
        </w:rPr>
        <w:t xml:space="preserve">la fuente sustitutiva de ingresos para su financiamiento. </w:t>
      </w:r>
      <w:r w:rsidRPr="003E425B">
        <w:rPr>
          <w:rFonts w:ascii="Times New Roman" w:hAnsi="Times New Roman"/>
          <w:sz w:val="28"/>
          <w:lang w:val="es-ES"/>
        </w:rPr>
        <w:t xml:space="preserve">Por el contrario, se limitó a señalar que </w:t>
      </w:r>
      <w:r w:rsidRPr="003E425B">
        <w:rPr>
          <w:rFonts w:ascii="Times New Roman" w:hAnsi="Times New Roman"/>
          <w:iCs/>
          <w:sz w:val="28"/>
        </w:rPr>
        <w:t>“l</w:t>
      </w:r>
      <w:r w:rsidRPr="003E425B">
        <w:rPr>
          <w:rFonts w:ascii="Times New Roman" w:hAnsi="Times New Roman"/>
          <w:iCs/>
          <w:sz w:val="28"/>
        </w:rPr>
        <w:t xml:space="preserve">a creación del Ministerio de Igualdad y Equidad se hará en </w:t>
      </w:r>
      <w:r w:rsidRPr="003E425B">
        <w:rPr>
          <w:rFonts w:ascii="Times New Roman" w:hAnsi="Times New Roman"/>
          <w:iCs/>
          <w:sz w:val="28"/>
        </w:rPr>
        <w:t>el marco de la política de austeridad del Gobierno Nacional</w:t>
      </w:r>
      <w:r w:rsidRPr="003E425B">
        <w:rPr>
          <w:rFonts w:ascii="Times New Roman" w:hAnsi="Times New Roman"/>
          <w:sz w:val="28"/>
          <w:lang w:val="es-ES"/>
        </w:rPr>
        <w:t xml:space="preserve">”. </w:t>
      </w:r>
      <w:r w:rsidRPr="003E425B">
        <w:rPr>
          <w:rFonts w:ascii="Times New Roman" w:hAnsi="Times New Roman"/>
          <w:sz w:val="28"/>
          <w:lang w:val="es-ES"/>
        </w:rPr>
        <w:t>Esta omisión constituye un incumplimiento del deber previsto en el inciso 4º del artíc</w:t>
      </w:r>
      <w:r w:rsidRPr="003E425B">
        <w:rPr>
          <w:rFonts w:ascii="Times New Roman" w:hAnsi="Times New Roman"/>
          <w:sz w:val="28"/>
          <w:lang w:val="es-ES"/>
        </w:rPr>
        <w:t>u</w:t>
      </w:r>
      <w:r w:rsidRPr="003E425B">
        <w:rPr>
          <w:rFonts w:ascii="Times New Roman" w:hAnsi="Times New Roman"/>
          <w:sz w:val="28"/>
          <w:lang w:val="es-ES"/>
        </w:rPr>
        <w:t xml:space="preserve">lo 7º de la Ley 819 de 2003. </w:t>
      </w:r>
    </w:p>
    <w:p w:rsidR="00F453E2" w:rsidRPr="003E425B" w:rsidRDefault="003E425B" w:rsidP="00304CCE">
      <w:pPr>
        <w:rPr>
          <w:rFonts w:ascii="Times New Roman" w:hAnsi="Times New Roman" w:cs="Times New Roman"/>
          <w:sz w:val="28"/>
          <w:lang w:val="es-ES"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val="es-ES" w:eastAsia="es-MX"/>
        </w:rPr>
      </w:pPr>
      <w:r w:rsidRPr="003E425B">
        <w:rPr>
          <w:rFonts w:ascii="Times New Roman" w:hAnsi="Times New Roman"/>
          <w:sz w:val="28"/>
          <w:lang w:val="es-ES" w:eastAsia="es-MX"/>
        </w:rPr>
        <w:t xml:space="preserve">La Corte Constitucional </w:t>
      </w:r>
      <w:r w:rsidRPr="003E425B">
        <w:rPr>
          <w:rFonts w:ascii="Times New Roman" w:hAnsi="Times New Roman"/>
          <w:sz w:val="28"/>
          <w:lang w:val="es-ES" w:eastAsia="es-MX"/>
        </w:rPr>
        <w:t>resalta</w:t>
      </w:r>
      <w:r w:rsidRPr="003E425B">
        <w:rPr>
          <w:rFonts w:ascii="Times New Roman" w:hAnsi="Times New Roman"/>
          <w:sz w:val="28"/>
          <w:lang w:val="es-ES" w:eastAsia="es-MX"/>
        </w:rPr>
        <w:t xml:space="preserve"> que, conforme al deber constitucional de pla</w:t>
      </w:r>
      <w:r w:rsidRPr="003E425B">
        <w:rPr>
          <w:rFonts w:ascii="Times New Roman" w:hAnsi="Times New Roman"/>
          <w:sz w:val="28"/>
          <w:lang w:val="es-ES" w:eastAsia="es-MX"/>
        </w:rPr>
        <w:t>neación (arts. 334, 339, 341 y 342 de la CP)</w:t>
      </w:r>
      <w:r w:rsidRPr="003E425B">
        <w:rPr>
          <w:rStyle w:val="Refdenotaalpie"/>
          <w:rFonts w:ascii="Times New Roman" w:hAnsi="Times New Roman"/>
          <w:sz w:val="28"/>
          <w:lang w:val="es-ES" w:eastAsia="es-MX"/>
        </w:rPr>
        <w:footnoteReference w:id="330"/>
      </w:r>
      <w:r w:rsidRPr="003E425B">
        <w:rPr>
          <w:rFonts w:ascii="Times New Roman" w:hAnsi="Times New Roman"/>
          <w:sz w:val="28"/>
          <w:lang w:val="es-ES" w:eastAsia="es-MX"/>
        </w:rPr>
        <w:t>, corresponde al Gobierno Nacional llevar a cabo un examen serio y fundado sobre el funcionamiento de la administración pública nacional y de cada uno de los sectores que la integran, antes de disponer la creaci</w:t>
      </w:r>
      <w:r w:rsidRPr="003E425B">
        <w:rPr>
          <w:rFonts w:ascii="Times New Roman" w:hAnsi="Times New Roman"/>
          <w:sz w:val="28"/>
          <w:lang w:val="es-ES" w:eastAsia="es-MX"/>
        </w:rPr>
        <w:t>ón de entidades. Precisamente por esta razón, la Ley 489 de 1998 y el Decreto 498 de 2020</w:t>
      </w:r>
      <w:r w:rsidRPr="003E425B">
        <w:rPr>
          <w:rStyle w:val="Refdenotaalpie"/>
          <w:rFonts w:ascii="Times New Roman" w:hAnsi="Times New Roman"/>
          <w:sz w:val="28"/>
          <w:lang w:val="es-ES" w:eastAsia="es-MX"/>
        </w:rPr>
        <w:footnoteReference w:id="331"/>
      </w:r>
      <w:r w:rsidRPr="003E425B">
        <w:rPr>
          <w:rFonts w:ascii="Times New Roman" w:hAnsi="Times New Roman"/>
          <w:sz w:val="28"/>
          <w:lang w:val="es-ES" w:eastAsia="es-MX"/>
        </w:rPr>
        <w:t xml:space="preserve"> exigen que la creación de cualquier entidad de la administración pública nacional, así como la modificación de su planta de personal, debe estar precedida de un estu</w:t>
      </w:r>
      <w:r w:rsidRPr="003E425B">
        <w:rPr>
          <w:rFonts w:ascii="Times New Roman" w:hAnsi="Times New Roman"/>
          <w:sz w:val="28"/>
          <w:lang w:val="es-ES" w:eastAsia="es-MX"/>
        </w:rPr>
        <w:t xml:space="preserve">dio técnico que justifique su conveniencia, necesidad y racionalidad, así como su viabilidad financiera. Lo anterior, con el propósito de evitar que la creación de entidades del orden nacional comprometa la sostenibilidad fiscal. </w:t>
      </w:r>
      <w:r w:rsidRPr="003E425B">
        <w:rPr>
          <w:rFonts w:ascii="Times New Roman" w:hAnsi="Times New Roman"/>
          <w:sz w:val="28"/>
          <w:lang w:val="es-ES" w:eastAsia="es-MX"/>
        </w:rPr>
        <w:t>En tales términos</w:t>
      </w:r>
      <w:r w:rsidRPr="003E425B">
        <w:rPr>
          <w:rFonts w:ascii="Times New Roman" w:hAnsi="Times New Roman"/>
          <w:sz w:val="28"/>
          <w:lang w:val="es-ES" w:eastAsia="es-MX"/>
        </w:rPr>
        <w:t>, la Cort</w:t>
      </w:r>
      <w:r w:rsidRPr="003E425B">
        <w:rPr>
          <w:rFonts w:ascii="Times New Roman" w:hAnsi="Times New Roman"/>
          <w:sz w:val="28"/>
          <w:lang w:val="es-ES" w:eastAsia="es-MX"/>
        </w:rPr>
        <w:t xml:space="preserve">e Constitucional ha enfatizado que: </w:t>
      </w:r>
    </w:p>
    <w:p w:rsidR="002860D7" w:rsidRPr="003E425B" w:rsidRDefault="003E425B" w:rsidP="00010108">
      <w:pPr>
        <w:rPr>
          <w:rFonts w:ascii="Times New Roman" w:hAnsi="Times New Roman" w:cs="Times New Roman"/>
          <w:i/>
          <w:iCs/>
          <w:sz w:val="28"/>
          <w:lang w:eastAsia="es-MX"/>
        </w:rPr>
      </w:pPr>
    </w:p>
    <w:p w:rsidR="002860D7" w:rsidRPr="003E425B" w:rsidRDefault="003E425B" w:rsidP="00AD3AC2">
      <w:pPr>
        <w:pStyle w:val="Prrafodelista"/>
        <w:tabs>
          <w:tab w:val="left" w:pos="567"/>
        </w:tabs>
        <w:spacing w:line="240" w:lineRule="auto"/>
        <w:ind w:left="680" w:right="476"/>
        <w:rPr>
          <w:rFonts w:ascii="Times New Roman" w:hAnsi="Times New Roman"/>
          <w:sz w:val="28"/>
          <w:szCs w:val="22"/>
          <w:lang w:eastAsia="es-MX"/>
        </w:rPr>
      </w:pPr>
      <w:r w:rsidRPr="003E425B">
        <w:rPr>
          <w:rFonts w:ascii="Times New Roman" w:hAnsi="Times New Roman"/>
          <w:sz w:val="28"/>
          <w:szCs w:val="22"/>
          <w:lang w:eastAsia="es-MX"/>
        </w:rPr>
        <w:t>“Difícilmente podría existir una administración organizada según criterios de planeación, como lo pretende la Carta de 1991, si la estructura administrativa a través de la cual se cumplen sus funciones, no depende del examen autónomo y discrecional que rea</w:t>
      </w:r>
      <w:r w:rsidRPr="003E425B">
        <w:rPr>
          <w:rFonts w:ascii="Times New Roman" w:hAnsi="Times New Roman"/>
          <w:sz w:val="28"/>
          <w:szCs w:val="22"/>
          <w:lang w:eastAsia="es-MX"/>
        </w:rPr>
        <w:t xml:space="preserve">liza el Gobierno Nacional, sobre las necesidades reales que demanda la prestación de los servicios a su cargo o de los órganos que efectivamente se requieren para el desempeño de las atribuciones o potestades públicas que se consagran en la Constitución y </w:t>
      </w:r>
      <w:r w:rsidRPr="003E425B">
        <w:rPr>
          <w:rFonts w:ascii="Times New Roman" w:hAnsi="Times New Roman"/>
          <w:sz w:val="28"/>
          <w:szCs w:val="22"/>
          <w:lang w:eastAsia="es-MX"/>
        </w:rPr>
        <w:t>la ley. Por ello, como prerrogativa constitucional, el Texto Superior le otorga la competencia </w:t>
      </w:r>
      <w:r w:rsidRPr="003E425B">
        <w:rPr>
          <w:rFonts w:ascii="Times New Roman" w:hAnsi="Times New Roman"/>
          <w:i/>
          <w:iCs/>
          <w:sz w:val="28"/>
          <w:szCs w:val="22"/>
          <w:lang w:eastAsia="es-MX"/>
        </w:rPr>
        <w:t>exclusiva</w:t>
      </w:r>
      <w:r w:rsidRPr="003E425B">
        <w:rPr>
          <w:rFonts w:ascii="Times New Roman" w:hAnsi="Times New Roman"/>
          <w:sz w:val="28"/>
          <w:szCs w:val="22"/>
          <w:lang w:eastAsia="es-MX"/>
        </w:rPr>
        <w:t> al ejecutivo para activar el procedimiento legislativo dirigido a determinar la estructura de la administración nacional, por el valor y la importancia</w:t>
      </w:r>
      <w:r w:rsidRPr="003E425B">
        <w:rPr>
          <w:rFonts w:ascii="Times New Roman" w:hAnsi="Times New Roman"/>
          <w:sz w:val="28"/>
          <w:szCs w:val="22"/>
          <w:lang w:eastAsia="es-MX"/>
        </w:rPr>
        <w:t xml:space="preserve"> que en términos de articulación y de ejecución de la función administrativa, con todo lo que ella implica, subyace en el señalamiento y en la definición de los órganos encargados de dicha atribución”</w:t>
      </w:r>
      <w:r w:rsidRPr="003E425B">
        <w:rPr>
          <w:rStyle w:val="Refdenotaalpie"/>
          <w:rFonts w:ascii="Times New Roman" w:hAnsi="Times New Roman"/>
          <w:sz w:val="28"/>
          <w:szCs w:val="22"/>
          <w:lang w:eastAsia="es-MX"/>
        </w:rPr>
        <w:footnoteReference w:id="332"/>
      </w:r>
      <w:r w:rsidRPr="003E425B">
        <w:rPr>
          <w:rFonts w:ascii="Times New Roman" w:hAnsi="Times New Roman"/>
          <w:sz w:val="28"/>
          <w:szCs w:val="22"/>
          <w:lang w:eastAsia="es-MX"/>
        </w:rPr>
        <w:t>.</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F42F72"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val="es-ES"/>
        </w:rPr>
      </w:pPr>
      <w:r w:rsidRPr="003E425B">
        <w:rPr>
          <w:rFonts w:ascii="Times New Roman" w:hAnsi="Times New Roman"/>
          <w:sz w:val="28"/>
          <w:lang w:val="es-ES" w:eastAsia="es-MX"/>
        </w:rPr>
        <w:t>En criterio de la Sala Plena,</w:t>
      </w:r>
      <w:r w:rsidRPr="003E425B">
        <w:rPr>
          <w:rFonts w:ascii="Times New Roman" w:hAnsi="Times New Roman"/>
          <w:sz w:val="28"/>
          <w:lang w:val="es-ES" w:eastAsia="es-MX"/>
        </w:rPr>
        <w:t xml:space="preserve"> el cumplimiento de este deber es </w:t>
      </w:r>
      <w:r w:rsidRPr="003E425B">
        <w:rPr>
          <w:rFonts w:ascii="Times New Roman" w:hAnsi="Times New Roman"/>
          <w:sz w:val="28"/>
          <w:lang w:val="es-ES" w:eastAsia="es-MX"/>
        </w:rPr>
        <w:t xml:space="preserve">muy </w:t>
      </w:r>
      <w:r w:rsidRPr="003E425B">
        <w:rPr>
          <w:rFonts w:ascii="Times New Roman" w:hAnsi="Times New Roman"/>
          <w:sz w:val="28"/>
          <w:lang w:val="es-ES" w:eastAsia="es-MX"/>
        </w:rPr>
        <w:t xml:space="preserve">relevante </w:t>
      </w:r>
      <w:r w:rsidRPr="003E425B">
        <w:rPr>
          <w:rFonts w:ascii="Times New Roman" w:hAnsi="Times New Roman"/>
          <w:sz w:val="28"/>
          <w:lang w:val="es-ES" w:eastAsia="es-MX"/>
        </w:rPr>
        <w:t>para que</w:t>
      </w:r>
      <w:r w:rsidRPr="003E425B">
        <w:rPr>
          <w:rFonts w:ascii="Times New Roman" w:hAnsi="Times New Roman"/>
          <w:sz w:val="28"/>
          <w:lang w:val="es-ES" w:eastAsia="es-MX"/>
        </w:rPr>
        <w:t xml:space="preserve">, con arreglo al principio de colaboración armónica, </w:t>
      </w:r>
      <w:r w:rsidRPr="003E425B">
        <w:rPr>
          <w:rFonts w:ascii="Times New Roman" w:hAnsi="Times New Roman"/>
          <w:sz w:val="28"/>
          <w:lang w:val="es-ES" w:eastAsia="es-MX"/>
        </w:rPr>
        <w:t>el Congreso de la República cuente</w:t>
      </w:r>
      <w:r w:rsidRPr="003E425B">
        <w:rPr>
          <w:rFonts w:ascii="Times New Roman" w:hAnsi="Times New Roman"/>
          <w:sz w:val="28"/>
          <w:lang w:val="es-ES" w:eastAsia="es-MX"/>
        </w:rPr>
        <w:t xml:space="preserve"> con</w:t>
      </w:r>
      <w:r w:rsidRPr="003E425B">
        <w:rPr>
          <w:rFonts w:ascii="Times New Roman" w:hAnsi="Times New Roman"/>
          <w:sz w:val="28"/>
          <w:lang w:val="es-ES" w:eastAsia="es-MX"/>
        </w:rPr>
        <w:t xml:space="preserve"> los datos necesarios para </w:t>
      </w:r>
      <w:r w:rsidRPr="003E425B">
        <w:rPr>
          <w:rFonts w:ascii="Times New Roman" w:hAnsi="Times New Roman"/>
          <w:sz w:val="28"/>
          <w:lang w:val="es-ES" w:eastAsia="es-MX"/>
        </w:rPr>
        <w:t>examinar de forma informada el impacto fiscal de las iniciativas dirigidas a la cr</w:t>
      </w:r>
      <w:r w:rsidRPr="003E425B">
        <w:rPr>
          <w:rFonts w:ascii="Times New Roman" w:hAnsi="Times New Roman"/>
          <w:sz w:val="28"/>
          <w:lang w:val="es-ES" w:eastAsia="es-MX"/>
        </w:rPr>
        <w:t>eación de entidades u organismos de la administración pública nacional</w:t>
      </w:r>
      <w:r w:rsidRPr="003E425B">
        <w:rPr>
          <w:rFonts w:ascii="Times New Roman" w:hAnsi="Times New Roman"/>
          <w:sz w:val="28"/>
          <w:lang w:val="es-ES" w:eastAsia="es-MX"/>
        </w:rPr>
        <w:t>.</w:t>
      </w:r>
      <w:r w:rsidRPr="003E425B">
        <w:rPr>
          <w:rFonts w:ascii="Times New Roman" w:hAnsi="Times New Roman"/>
          <w:sz w:val="28"/>
          <w:lang w:val="es-ES" w:eastAsia="es-MX"/>
        </w:rPr>
        <w:t xml:space="preserve"> </w:t>
      </w:r>
      <w:r w:rsidRPr="003E425B">
        <w:rPr>
          <w:rFonts w:ascii="Times New Roman" w:hAnsi="Times New Roman"/>
          <w:sz w:val="28"/>
          <w:lang w:val="es-ES" w:eastAsia="es-MX"/>
        </w:rPr>
        <w:t xml:space="preserve">En este caso, </w:t>
      </w:r>
      <w:r w:rsidRPr="003E425B">
        <w:rPr>
          <w:rFonts w:ascii="Times New Roman" w:hAnsi="Times New Roman"/>
          <w:sz w:val="28"/>
          <w:lang w:val="es-ES" w:eastAsia="es-MX"/>
        </w:rPr>
        <w:t>l</w:t>
      </w:r>
      <w:r w:rsidRPr="003E425B">
        <w:rPr>
          <w:rFonts w:ascii="Times New Roman" w:hAnsi="Times New Roman"/>
          <w:sz w:val="28"/>
          <w:lang w:val="es-ES" w:eastAsia="es-MX"/>
        </w:rPr>
        <w:t xml:space="preserve">a falta de presentación del análisis de impacto fiscal en la exposición </w:t>
      </w:r>
      <w:r w:rsidRPr="003E425B">
        <w:rPr>
          <w:rFonts w:ascii="Times New Roman" w:hAnsi="Times New Roman"/>
          <w:sz w:val="28"/>
          <w:lang w:val="es-ES" w:eastAsia="es-MX"/>
        </w:rPr>
        <w:t>de motivos, aunque</w:t>
      </w:r>
      <w:r w:rsidRPr="003E425B">
        <w:rPr>
          <w:rFonts w:ascii="Times New Roman" w:hAnsi="Times New Roman"/>
          <w:sz w:val="28"/>
          <w:lang w:val="es-ES" w:eastAsia="es-MX"/>
        </w:rPr>
        <w:t xml:space="preserve"> </w:t>
      </w:r>
      <w:r w:rsidRPr="003E425B">
        <w:rPr>
          <w:rFonts w:ascii="Times New Roman" w:hAnsi="Times New Roman"/>
          <w:sz w:val="28"/>
          <w:lang w:val="es-ES" w:eastAsia="es-MX"/>
        </w:rPr>
        <w:t xml:space="preserve">no conduce </w:t>
      </w:r>
      <w:r w:rsidRPr="003E425B">
        <w:rPr>
          <w:rFonts w:ascii="Times New Roman" w:hAnsi="Times New Roman"/>
          <w:i/>
          <w:iCs/>
          <w:sz w:val="28"/>
          <w:lang w:val="es-ES" w:eastAsia="es-MX"/>
        </w:rPr>
        <w:t xml:space="preserve">per se </w:t>
      </w:r>
      <w:r w:rsidRPr="003E425B">
        <w:rPr>
          <w:rFonts w:ascii="Times New Roman" w:hAnsi="Times New Roman"/>
          <w:sz w:val="28"/>
          <w:lang w:val="es-ES" w:eastAsia="es-MX"/>
        </w:rPr>
        <w:t xml:space="preserve">a </w:t>
      </w:r>
      <w:r w:rsidRPr="003E425B">
        <w:rPr>
          <w:rFonts w:ascii="Times New Roman" w:hAnsi="Times New Roman"/>
          <w:sz w:val="28"/>
          <w:lang w:val="es-ES" w:eastAsia="es-MX"/>
        </w:rPr>
        <w:t>la declaratoria de inexequibilidad de la ley objeto de con</w:t>
      </w:r>
      <w:r w:rsidRPr="003E425B">
        <w:rPr>
          <w:rFonts w:ascii="Times New Roman" w:hAnsi="Times New Roman"/>
          <w:sz w:val="28"/>
          <w:lang w:val="es-ES" w:eastAsia="es-MX"/>
        </w:rPr>
        <w:t xml:space="preserve">trol, </w:t>
      </w:r>
      <w:r w:rsidRPr="003E425B">
        <w:rPr>
          <w:rFonts w:ascii="Times New Roman" w:hAnsi="Times New Roman"/>
          <w:sz w:val="28"/>
          <w:lang w:val="es-ES" w:eastAsia="es-MX"/>
        </w:rPr>
        <w:t xml:space="preserve">sí </w:t>
      </w:r>
      <w:r w:rsidRPr="003E425B">
        <w:rPr>
          <w:rFonts w:ascii="Times New Roman" w:hAnsi="Times New Roman"/>
          <w:sz w:val="28"/>
          <w:lang w:val="es-ES" w:eastAsia="es-MX"/>
        </w:rPr>
        <w:t>refleja un desconocimiento del deber de planeación a cargo del Gobierno Nacional que</w:t>
      </w:r>
      <w:r w:rsidRPr="003E425B">
        <w:rPr>
          <w:rFonts w:ascii="Times New Roman" w:hAnsi="Times New Roman"/>
          <w:sz w:val="28"/>
          <w:lang w:val="es-ES" w:eastAsia="es-MX"/>
        </w:rPr>
        <w:t xml:space="preserve">, como a continuación se expone, </w:t>
      </w:r>
      <w:r w:rsidRPr="003E425B">
        <w:rPr>
          <w:rFonts w:ascii="Times New Roman" w:hAnsi="Times New Roman"/>
          <w:sz w:val="28"/>
          <w:lang w:val="es-ES" w:eastAsia="es-MX"/>
        </w:rPr>
        <w:t xml:space="preserve">luego se proyectó en todo el trámite legislativo </w:t>
      </w:r>
      <w:r w:rsidRPr="003E425B">
        <w:rPr>
          <w:rFonts w:ascii="Times New Roman" w:hAnsi="Times New Roman"/>
          <w:sz w:val="28"/>
          <w:lang w:val="es-ES" w:eastAsia="es-MX"/>
        </w:rPr>
        <w:t xml:space="preserve">e impidió </w:t>
      </w:r>
      <w:r w:rsidRPr="003E425B">
        <w:rPr>
          <w:rFonts w:ascii="Times New Roman" w:hAnsi="Times New Roman"/>
          <w:sz w:val="28"/>
          <w:lang w:val="es-ES" w:eastAsia="es-MX"/>
        </w:rPr>
        <w:t>que el Congreso de la República contara con la información mínima neces</w:t>
      </w:r>
      <w:r w:rsidRPr="003E425B">
        <w:rPr>
          <w:rFonts w:ascii="Times New Roman" w:hAnsi="Times New Roman"/>
          <w:sz w:val="28"/>
          <w:lang w:val="es-ES" w:eastAsia="es-MX"/>
        </w:rPr>
        <w:t>ari</w:t>
      </w:r>
      <w:r w:rsidRPr="003E425B">
        <w:rPr>
          <w:rFonts w:ascii="Times New Roman" w:hAnsi="Times New Roman"/>
          <w:sz w:val="28"/>
          <w:lang w:val="es-ES" w:eastAsia="es-MX"/>
        </w:rPr>
        <w:t>a</w:t>
      </w:r>
      <w:r w:rsidRPr="003E425B">
        <w:rPr>
          <w:rFonts w:ascii="Times New Roman" w:hAnsi="Times New Roman"/>
          <w:sz w:val="28"/>
          <w:lang w:val="es-ES" w:eastAsia="es-MX"/>
        </w:rPr>
        <w:t xml:space="preserve"> para poder estudiar el impacto fiscal </w:t>
      </w:r>
      <w:r w:rsidRPr="003E425B">
        <w:rPr>
          <w:rFonts w:ascii="Times New Roman" w:hAnsi="Times New Roman"/>
          <w:sz w:val="28"/>
          <w:lang w:val="es-ES" w:eastAsia="es-MX"/>
        </w:rPr>
        <w:t xml:space="preserve">que tendría la creación del Ministerio de Igualdad y Equidad.  </w:t>
      </w:r>
    </w:p>
    <w:p w:rsidR="002860D7" w:rsidRPr="003E425B" w:rsidRDefault="003E425B" w:rsidP="00010108">
      <w:pPr>
        <w:pStyle w:val="Prrafodelista"/>
        <w:tabs>
          <w:tab w:val="left" w:pos="567"/>
        </w:tabs>
        <w:spacing w:line="240" w:lineRule="auto"/>
        <w:ind w:left="0"/>
        <w:rPr>
          <w:rFonts w:ascii="Times New Roman" w:hAnsi="Times New Roman"/>
          <w:sz w:val="28"/>
          <w:lang w:val="es-ES"/>
        </w:rPr>
      </w:pPr>
    </w:p>
    <w:p w:rsidR="002860D7" w:rsidRPr="003E425B" w:rsidRDefault="003E425B" w:rsidP="00390858">
      <w:pPr>
        <w:pStyle w:val="Ttulo4"/>
        <w:numPr>
          <w:ilvl w:val="0"/>
          <w:numId w:val="24"/>
        </w:numPr>
        <w:spacing w:before="0"/>
        <w:rPr>
          <w:rFonts w:ascii="Times New Roman" w:hAnsi="Times New Roman" w:cs="Times New Roman"/>
          <w:sz w:val="28"/>
          <w:lang w:val="es-ES" w:eastAsia="es-MX"/>
        </w:rPr>
      </w:pPr>
      <w:r w:rsidRPr="003E425B">
        <w:rPr>
          <w:rFonts w:ascii="Times New Roman" w:hAnsi="Times New Roman" w:cs="Times New Roman"/>
          <w:i/>
          <w:iCs w:val="0"/>
          <w:sz w:val="28"/>
        </w:rPr>
        <w:t>Informe de ponencia</w:t>
      </w:r>
      <w:r w:rsidRPr="003E425B">
        <w:rPr>
          <w:rFonts w:ascii="Times New Roman" w:hAnsi="Times New Roman" w:cs="Times New Roman"/>
          <w:sz w:val="28"/>
        </w:rPr>
        <w:t>: e</w:t>
      </w:r>
      <w:r w:rsidRPr="003E425B">
        <w:rPr>
          <w:rFonts w:ascii="Times New Roman" w:hAnsi="Times New Roman" w:cs="Times New Roman"/>
          <w:sz w:val="28"/>
        </w:rPr>
        <w:t xml:space="preserve">l informe de ponencia para debate en comisiones conjuntas no identificó los referentes básicos del impacto fiscal  </w:t>
      </w:r>
    </w:p>
    <w:p w:rsidR="002860D7" w:rsidRPr="003E425B" w:rsidRDefault="003E425B" w:rsidP="00010108">
      <w:pPr>
        <w:tabs>
          <w:tab w:val="left" w:pos="567"/>
        </w:tabs>
        <w:rPr>
          <w:rFonts w:ascii="Times New Roman" w:hAnsi="Times New Roman" w:cs="Times New Roman"/>
          <w:b/>
          <w:sz w:val="28"/>
          <w:lang w:val="es-ES"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val="es-ES" w:eastAsia="es-MX"/>
        </w:rPr>
      </w:pPr>
      <w:r w:rsidRPr="003E425B">
        <w:rPr>
          <w:rFonts w:ascii="Times New Roman" w:hAnsi="Times New Roman"/>
          <w:i/>
          <w:sz w:val="28"/>
          <w:lang w:eastAsia="es-MX"/>
        </w:rPr>
        <w:t xml:space="preserve">El </w:t>
      </w:r>
      <w:r w:rsidRPr="003E425B">
        <w:rPr>
          <w:rFonts w:ascii="Times New Roman" w:hAnsi="Times New Roman"/>
          <w:i/>
          <w:sz w:val="28"/>
          <w:lang w:eastAsia="es-MX"/>
        </w:rPr>
        <w:t>informe de ponencia para comisiones conjuntas</w:t>
      </w:r>
      <w:r w:rsidRPr="003E425B">
        <w:rPr>
          <w:rFonts w:ascii="Times New Roman" w:hAnsi="Times New Roman"/>
          <w:sz w:val="28"/>
          <w:lang w:eastAsia="es-MX"/>
        </w:rPr>
        <w:t>. El 4 de noviembre de 2022, la Mesa Directiva de la Comisión Primera del Senado de la República, mediante Acta MD-18</w:t>
      </w:r>
      <w:r w:rsidRPr="003E425B">
        <w:rPr>
          <w:rFonts w:ascii="Times New Roman" w:hAnsi="Times New Roman"/>
          <w:sz w:val="28"/>
          <w:lang w:eastAsia="es-MX"/>
        </w:rPr>
        <w:t xml:space="preserve">, </w:t>
      </w:r>
      <w:r w:rsidRPr="003E425B">
        <w:rPr>
          <w:rFonts w:ascii="Times New Roman" w:hAnsi="Times New Roman"/>
          <w:sz w:val="28"/>
          <w:lang w:eastAsia="es-MX"/>
        </w:rPr>
        <w:t>designó como ponentes a los senadores: Alexánder López Maya (Coordinador), Fabio Amin Salem</w:t>
      </w:r>
      <w:r w:rsidRPr="003E425B">
        <w:rPr>
          <w:rFonts w:ascii="Times New Roman" w:hAnsi="Times New Roman"/>
          <w:sz w:val="28"/>
          <w:lang w:eastAsia="es-MX"/>
        </w:rPr>
        <w:t>e, María Fernanda Cabal Molina, Jorge Benedetti Martelo, Julián Gallo Cubillos, Ariel Ávila Martínez, Juan Carlos García Gómez y Julio Chagüi Flórez.</w:t>
      </w:r>
      <w:r w:rsidRPr="003E425B">
        <w:rPr>
          <w:rFonts w:ascii="Times New Roman" w:hAnsi="Times New Roman"/>
          <w:sz w:val="28"/>
          <w:lang w:eastAsia="es-MX"/>
        </w:rPr>
        <w:t xml:space="preserve"> </w:t>
      </w:r>
      <w:r w:rsidRPr="003E425B">
        <w:rPr>
          <w:rFonts w:ascii="Times New Roman" w:hAnsi="Times New Roman"/>
          <w:sz w:val="28"/>
          <w:lang w:eastAsia="es-MX"/>
        </w:rPr>
        <w:t>Luego, el 12 de noviembre de 2022, la Mesa Directiva de la</w:t>
      </w:r>
      <w:r w:rsidRPr="003E425B">
        <w:rPr>
          <w:rFonts w:ascii="Times New Roman" w:hAnsi="Times New Roman"/>
          <w:sz w:val="28"/>
          <w:lang w:eastAsia="es-MX"/>
        </w:rPr>
        <w:t xml:space="preserve"> </w:t>
      </w:r>
      <w:r w:rsidRPr="003E425B">
        <w:rPr>
          <w:rFonts w:ascii="Times New Roman" w:hAnsi="Times New Roman"/>
          <w:sz w:val="28"/>
          <w:lang w:eastAsia="es-MX"/>
        </w:rPr>
        <w:t>Comisión Primera de la Cámara de Representantes</w:t>
      </w:r>
      <w:r w:rsidRPr="003E425B">
        <w:rPr>
          <w:rFonts w:ascii="Times New Roman" w:hAnsi="Times New Roman"/>
          <w:sz w:val="28"/>
          <w:lang w:eastAsia="es-MX"/>
        </w:rPr>
        <w:t xml:space="preserve"> designó como ponentes a los representantes:</w:t>
      </w:r>
      <w:r w:rsidRPr="003E425B">
        <w:rPr>
          <w:rFonts w:ascii="Times New Roman" w:hAnsi="Times New Roman"/>
          <w:sz w:val="28"/>
          <w:lang w:eastAsia="es-MX"/>
        </w:rPr>
        <w:t xml:space="preserve"> Luz María Múnera Medina (coordinadora), Adriana Carolina Arbeláez Giraldo, </w:t>
      </w:r>
      <w:r w:rsidRPr="003E425B">
        <w:rPr>
          <w:rFonts w:ascii="Times New Roman" w:hAnsi="Times New Roman"/>
          <w:sz w:val="28"/>
          <w:lang w:eastAsia="es-MX"/>
        </w:rPr>
        <w:t xml:space="preserve">Ruth Amelia Caicedo Rosero, Catherine Juviano Clavijo, Astrid Sánchez Montes de Oca, James Hermenegildo Mosqueda Torres, </w:t>
      </w:r>
      <w:r w:rsidRPr="003E425B">
        <w:rPr>
          <w:rFonts w:ascii="Times New Roman" w:hAnsi="Times New Roman"/>
          <w:sz w:val="28"/>
          <w:lang w:eastAsia="es-MX"/>
        </w:rPr>
        <w:t xml:space="preserve">Piedad Correal </w:t>
      </w:r>
      <w:r w:rsidRPr="003E425B">
        <w:rPr>
          <w:rFonts w:ascii="Times New Roman" w:hAnsi="Times New Roman"/>
          <w:sz w:val="28"/>
          <w:lang w:eastAsia="es-MX"/>
        </w:rPr>
        <w:t>Rubiano, Miguel Abraham Polo Polo, Marelen Castillo Torres y Luis Alberto Albán Urbano.</w:t>
      </w:r>
    </w:p>
    <w:p w:rsidR="002860D7" w:rsidRPr="003E425B" w:rsidRDefault="003E425B" w:rsidP="00010108">
      <w:pPr>
        <w:pStyle w:val="Prrafodelista"/>
        <w:tabs>
          <w:tab w:val="left" w:pos="567"/>
        </w:tabs>
        <w:spacing w:line="240" w:lineRule="auto"/>
        <w:ind w:left="0"/>
        <w:rPr>
          <w:rFonts w:ascii="Times New Roman" w:hAnsi="Times New Roman"/>
          <w:sz w:val="28"/>
          <w:lang w:val="es-ES"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val="es-ES" w:eastAsia="es-MX"/>
        </w:rPr>
      </w:pPr>
      <w:r w:rsidRPr="003E425B">
        <w:rPr>
          <w:rFonts w:ascii="Times New Roman" w:hAnsi="Times New Roman"/>
          <w:sz w:val="28"/>
        </w:rPr>
        <w:t>El 22 de noviembre de 2022, los ponentes del proyecto presentaron ponencia positiva para primer debate en las comisiones primeras conjuntas de la Cámara y el Senado</w:t>
      </w:r>
      <w:bookmarkEnd w:id="29"/>
      <w:r w:rsidRPr="003E425B">
        <w:rPr>
          <w:rFonts w:ascii="Times New Roman" w:hAnsi="Times New Roman"/>
          <w:sz w:val="28"/>
        </w:rPr>
        <w:t xml:space="preserve">. </w:t>
      </w:r>
      <w:r w:rsidRPr="003E425B">
        <w:rPr>
          <w:rFonts w:ascii="Times New Roman" w:hAnsi="Times New Roman"/>
          <w:sz w:val="28"/>
          <w:lang w:eastAsia="es-MX"/>
        </w:rPr>
        <w:t>L</w:t>
      </w:r>
      <w:r w:rsidRPr="003E425B">
        <w:rPr>
          <w:rFonts w:ascii="Times New Roman" w:hAnsi="Times New Roman"/>
          <w:sz w:val="28"/>
          <w:lang w:eastAsia="es-MX"/>
        </w:rPr>
        <w:t>a Sala Plena advierte que el informe de ponencia tenía un acápite titulado “impacto fiscal”</w:t>
      </w:r>
      <w:r w:rsidRPr="003E425B">
        <w:rPr>
          <w:rStyle w:val="Refdenotaalpie"/>
          <w:rFonts w:ascii="Times New Roman" w:hAnsi="Times New Roman"/>
          <w:sz w:val="28"/>
          <w:lang w:eastAsia="es-MX"/>
        </w:rPr>
        <w:footnoteReference w:id="333"/>
      </w:r>
      <w:r w:rsidRPr="003E425B">
        <w:rPr>
          <w:rFonts w:ascii="Times New Roman" w:hAnsi="Times New Roman"/>
          <w:sz w:val="28"/>
          <w:lang w:eastAsia="es-MX"/>
        </w:rPr>
        <w:t>. En este acápite, se reconocía que la creación del nuevo ministerio “</w:t>
      </w:r>
      <w:r w:rsidRPr="003E425B">
        <w:rPr>
          <w:rFonts w:ascii="Times New Roman" w:hAnsi="Times New Roman"/>
          <w:sz w:val="28"/>
          <w:lang w:val="es-ES" w:eastAsia="es-MX"/>
        </w:rPr>
        <w:t>demandaría recursos adicionales de la nación para su correcto funcionamiento</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34"/>
      </w:r>
      <w:r w:rsidRPr="003E425B">
        <w:rPr>
          <w:rFonts w:ascii="Times New Roman" w:hAnsi="Times New Roman"/>
          <w:sz w:val="28"/>
          <w:lang w:eastAsia="es-MX"/>
        </w:rPr>
        <w:t xml:space="preserve">. Sin embargo, </w:t>
      </w:r>
      <w:r w:rsidRPr="003E425B">
        <w:rPr>
          <w:rFonts w:ascii="Times New Roman" w:hAnsi="Times New Roman"/>
          <w:sz w:val="28"/>
          <w:lang w:eastAsia="es-MX"/>
        </w:rPr>
        <w:t>señalaba que “[e]</w:t>
      </w:r>
      <w:r w:rsidRPr="003E425B">
        <w:rPr>
          <w:rFonts w:ascii="Times New Roman" w:hAnsi="Times New Roman"/>
          <w:sz w:val="28"/>
          <w:lang w:val="es-ES" w:eastAsia="es-MX"/>
        </w:rPr>
        <w:t>stos costos no se pueden conocer con exactitud hasta no conocer la reglamentación presidencial del mismo</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35"/>
      </w:r>
      <w:r w:rsidRPr="003E425B">
        <w:rPr>
          <w:rFonts w:ascii="Times New Roman" w:hAnsi="Times New Roman"/>
          <w:sz w:val="28"/>
          <w:lang w:eastAsia="es-MX"/>
        </w:rPr>
        <w:t>. Con todo, los ponentes incluyeron una gráfica que “</w:t>
      </w:r>
      <w:r w:rsidRPr="003E425B">
        <w:rPr>
          <w:rFonts w:ascii="Times New Roman" w:hAnsi="Times New Roman"/>
          <w:sz w:val="28"/>
          <w:lang w:val="es-ES" w:eastAsia="es-MX"/>
        </w:rPr>
        <w:t>esboza los presupuestos para gastos de personal de los ministerios para la vigen</w:t>
      </w:r>
      <w:r w:rsidRPr="003E425B">
        <w:rPr>
          <w:rFonts w:ascii="Times New Roman" w:hAnsi="Times New Roman"/>
          <w:sz w:val="28"/>
          <w:lang w:val="es-ES" w:eastAsia="es-MX"/>
        </w:rPr>
        <w:t>cia 2022 y 2023”</w:t>
      </w:r>
      <w:r w:rsidRPr="003E425B">
        <w:rPr>
          <w:rStyle w:val="Refdenotaalpie"/>
          <w:rFonts w:ascii="Times New Roman" w:hAnsi="Times New Roman"/>
          <w:sz w:val="28"/>
          <w:lang w:val="es-ES" w:eastAsia="es-MX"/>
        </w:rPr>
        <w:footnoteReference w:id="336"/>
      </w:r>
      <w:r w:rsidRPr="003E425B">
        <w:rPr>
          <w:rFonts w:ascii="Times New Roman" w:hAnsi="Times New Roman"/>
          <w:sz w:val="28"/>
          <w:lang w:val="es-ES" w:eastAsia="es-MX"/>
        </w:rPr>
        <w:t xml:space="preserve">. </w:t>
      </w:r>
      <w:r w:rsidRPr="003E425B">
        <w:rPr>
          <w:rFonts w:ascii="Times New Roman" w:hAnsi="Times New Roman"/>
          <w:sz w:val="28"/>
          <w:lang w:eastAsia="es-MX"/>
        </w:rPr>
        <w:t>A partir de esta tabla, el informe de ponencia estimó que el presupuesto anual del Ministerio de Igualdad y Equidad ascendería a “18.239 millones”</w:t>
      </w:r>
      <w:r w:rsidRPr="003E425B">
        <w:rPr>
          <w:rStyle w:val="Refdenotaalpie"/>
          <w:rFonts w:ascii="Times New Roman" w:hAnsi="Times New Roman"/>
          <w:sz w:val="28"/>
          <w:lang w:eastAsia="es-MX"/>
        </w:rPr>
        <w:footnoteReference w:id="337"/>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val="es-ES"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val="es-ES" w:eastAsia="es-MX"/>
        </w:rPr>
      </w:pPr>
      <w:bookmarkStart w:id="30" w:name="_Ref165376868"/>
      <w:r w:rsidRPr="003E425B">
        <w:rPr>
          <w:rFonts w:ascii="Times New Roman" w:hAnsi="Times New Roman"/>
          <w:sz w:val="28"/>
          <w:lang w:val="es-ES" w:eastAsia="es-MX"/>
        </w:rPr>
        <w:t xml:space="preserve">Por otra parte, en cuanto a los </w:t>
      </w:r>
      <w:r w:rsidRPr="003E425B">
        <w:rPr>
          <w:rFonts w:ascii="Times New Roman" w:hAnsi="Times New Roman"/>
          <w:i/>
          <w:iCs/>
          <w:sz w:val="28"/>
          <w:lang w:val="es-ES" w:eastAsia="es-MX"/>
        </w:rPr>
        <w:t>gastos de inversión</w:t>
      </w:r>
      <w:r w:rsidRPr="003E425B">
        <w:rPr>
          <w:rFonts w:ascii="Times New Roman" w:hAnsi="Times New Roman"/>
          <w:sz w:val="28"/>
          <w:lang w:val="es-ES" w:eastAsia="es-MX"/>
        </w:rPr>
        <w:t>, la ponencia enfatizaba que</w:t>
      </w:r>
      <w:r w:rsidRPr="003E425B">
        <w:rPr>
          <w:rFonts w:ascii="Times New Roman" w:hAnsi="Times New Roman"/>
          <w:sz w:val="28"/>
        </w:rPr>
        <w:t xml:space="preserve"> existí</w:t>
      </w:r>
      <w:r w:rsidRPr="003E425B">
        <w:rPr>
          <w:rFonts w:ascii="Times New Roman" w:hAnsi="Times New Roman"/>
          <w:sz w:val="28"/>
        </w:rPr>
        <w:t xml:space="preserve">a una gran variedad de entidades encargadas de la garantía de los derechos de poblaciones vulnerables. En concreto, </w:t>
      </w:r>
      <w:r w:rsidRPr="003E425B">
        <w:rPr>
          <w:rFonts w:ascii="Times New Roman" w:hAnsi="Times New Roman"/>
          <w:sz w:val="28"/>
        </w:rPr>
        <w:t>indicaba</w:t>
      </w:r>
      <w:r w:rsidRPr="003E425B">
        <w:rPr>
          <w:rFonts w:ascii="Times New Roman" w:hAnsi="Times New Roman"/>
          <w:sz w:val="28"/>
        </w:rPr>
        <w:t xml:space="preserve"> que “[e]n un mapa institucional preliminar se encontraron 11 sectores, 14 Entidades, 26 Fondos, 102 dependencias, 24 Sistemas Nacio</w:t>
      </w:r>
      <w:r w:rsidRPr="003E425B">
        <w:rPr>
          <w:rFonts w:ascii="Times New Roman" w:hAnsi="Times New Roman"/>
          <w:sz w:val="28"/>
        </w:rPr>
        <w:t>nales, 121 Mecanismos e instancias de articulación y coordinación (consejos, comisiones, comités) y 123 programas relacionados con la Igualdad y la Equidad”</w:t>
      </w:r>
      <w:r w:rsidRPr="003E425B">
        <w:rPr>
          <w:rStyle w:val="Refdenotaalpie"/>
          <w:rFonts w:ascii="Times New Roman" w:hAnsi="Times New Roman"/>
          <w:sz w:val="28"/>
        </w:rPr>
        <w:footnoteReference w:id="338"/>
      </w:r>
      <w:r w:rsidRPr="003E425B">
        <w:rPr>
          <w:rFonts w:ascii="Times New Roman" w:hAnsi="Times New Roman"/>
          <w:sz w:val="28"/>
        </w:rPr>
        <w:t xml:space="preserve">. </w:t>
      </w:r>
      <w:r w:rsidRPr="003E425B">
        <w:rPr>
          <w:rFonts w:ascii="Times New Roman" w:hAnsi="Times New Roman"/>
          <w:sz w:val="28"/>
        </w:rPr>
        <w:t xml:space="preserve">La ponencia señalaba </w:t>
      </w:r>
      <w:r w:rsidRPr="003E425B">
        <w:rPr>
          <w:rFonts w:ascii="Times New Roman" w:hAnsi="Times New Roman"/>
          <w:sz w:val="28"/>
        </w:rPr>
        <w:t>que “esta amplia dispersión de los esfuerzos del Gobierno Nacional puede res</w:t>
      </w:r>
      <w:r w:rsidRPr="003E425B">
        <w:rPr>
          <w:rFonts w:ascii="Times New Roman" w:hAnsi="Times New Roman"/>
          <w:sz w:val="28"/>
        </w:rPr>
        <w:t>ultar en ineficiencias en el gasto, la cobertura y, sobre todo el impacto”</w:t>
      </w:r>
      <w:r w:rsidRPr="003E425B">
        <w:rPr>
          <w:rStyle w:val="Refdenotaalpie"/>
          <w:rFonts w:ascii="Times New Roman" w:hAnsi="Times New Roman"/>
          <w:sz w:val="28"/>
        </w:rPr>
        <w:footnoteReference w:id="339"/>
      </w:r>
      <w:r w:rsidRPr="003E425B">
        <w:rPr>
          <w:rFonts w:ascii="Times New Roman" w:hAnsi="Times New Roman"/>
          <w:sz w:val="28"/>
        </w:rPr>
        <w:t xml:space="preserve">, por lo que se proponía crear el Ministerio de Igualdad y Equidad para articular este sector. En este sentido, </w:t>
      </w:r>
      <w:r w:rsidRPr="003E425B">
        <w:rPr>
          <w:rFonts w:ascii="Times New Roman" w:hAnsi="Times New Roman"/>
          <w:sz w:val="28"/>
        </w:rPr>
        <w:t xml:space="preserve">los ponentes </w:t>
      </w:r>
      <w:r w:rsidRPr="003E425B">
        <w:rPr>
          <w:rFonts w:ascii="Times New Roman" w:hAnsi="Times New Roman"/>
          <w:sz w:val="28"/>
        </w:rPr>
        <w:t>presentaron tablas de referencias que contenían datos so</w:t>
      </w:r>
      <w:r w:rsidRPr="003E425B">
        <w:rPr>
          <w:rFonts w:ascii="Times New Roman" w:hAnsi="Times New Roman"/>
          <w:sz w:val="28"/>
        </w:rPr>
        <w:t xml:space="preserve">bre la “Inversión para algunas </w:t>
      </w:r>
      <w:r w:rsidRPr="003E425B">
        <w:rPr>
          <w:rFonts w:ascii="Times New Roman" w:hAnsi="Times New Roman"/>
          <w:sz w:val="28"/>
          <w:lang w:val="es-ES"/>
        </w:rPr>
        <w:t>dependencias del Sector Administrativo de Igualdad y Equidad directamente relacionadas con la atención a sujetos de especial protección”</w:t>
      </w:r>
      <w:r w:rsidRPr="003E425B">
        <w:rPr>
          <w:rStyle w:val="Refdenotaalpie"/>
          <w:rFonts w:ascii="Times New Roman" w:hAnsi="Times New Roman"/>
          <w:sz w:val="28"/>
          <w:lang w:val="es-ES"/>
        </w:rPr>
        <w:footnoteReference w:id="340"/>
      </w:r>
      <w:r w:rsidRPr="003E425B">
        <w:rPr>
          <w:rFonts w:ascii="Times New Roman" w:hAnsi="Times New Roman"/>
          <w:sz w:val="28"/>
          <w:lang w:val="es-ES" w:eastAsia="es-MX"/>
        </w:rPr>
        <w:t>.</w:t>
      </w:r>
      <w:bookmarkEnd w:id="30"/>
      <w:r w:rsidRPr="003E425B">
        <w:rPr>
          <w:rFonts w:ascii="Times New Roman" w:hAnsi="Times New Roman"/>
          <w:sz w:val="28"/>
          <w:lang w:val="es-ES"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val="es-ES"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sz w:val="28"/>
          <w:lang w:val="es-ES" w:eastAsia="es-MX"/>
        </w:rPr>
      </w:pPr>
      <w:r w:rsidRPr="003E425B">
        <w:rPr>
          <w:rFonts w:ascii="Times New Roman" w:hAnsi="Times New Roman"/>
          <w:sz w:val="28"/>
          <w:lang w:eastAsia="es-MX"/>
        </w:rPr>
        <w:t>De acuerdo con el informe de ponencia, estos eran los recursos “considerables” que a</w:t>
      </w:r>
      <w:r w:rsidRPr="003E425B">
        <w:rPr>
          <w:rFonts w:ascii="Times New Roman" w:hAnsi="Times New Roman"/>
          <w:sz w:val="28"/>
          <w:lang w:eastAsia="es-MX"/>
        </w:rPr>
        <w:t>ctualmente invierte el Gobierno Nacional para atender a poblaciones vulnerables y discriminadas, los cuales se encuentran “dispersos”</w:t>
      </w:r>
      <w:r w:rsidRPr="003E425B">
        <w:rPr>
          <w:rStyle w:val="Refdenotaalpie"/>
          <w:rFonts w:ascii="Times New Roman" w:hAnsi="Times New Roman"/>
          <w:sz w:val="28"/>
          <w:lang w:eastAsia="es-MX"/>
        </w:rPr>
        <w:footnoteReference w:id="341"/>
      </w:r>
      <w:r w:rsidRPr="003E425B">
        <w:rPr>
          <w:rFonts w:ascii="Times New Roman" w:hAnsi="Times New Roman"/>
          <w:sz w:val="28"/>
          <w:lang w:eastAsia="es-MX"/>
        </w:rPr>
        <w:t>. Por esto, se explicaba que el proyecto de ley buscaba otorgar facultades extraordinarias al Presidente de la República p</w:t>
      </w:r>
      <w:r w:rsidRPr="003E425B">
        <w:rPr>
          <w:rFonts w:ascii="Times New Roman" w:hAnsi="Times New Roman"/>
          <w:sz w:val="28"/>
          <w:lang w:eastAsia="es-MX"/>
        </w:rPr>
        <w:t>or seis meses para definir “</w:t>
      </w:r>
      <w:r w:rsidRPr="003E425B">
        <w:rPr>
          <w:rFonts w:ascii="Times New Roman" w:hAnsi="Times New Roman"/>
          <w:sz w:val="28"/>
        </w:rPr>
        <w:t>cuál será la base presupuestal mínima de funcionamiento del Ministerio de Igualdad y Equidad, la cual (…) podrá recibir proyectos y planta de institucionalidad ya existente en distintos sectores</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42"/>
      </w:r>
      <w:r w:rsidRPr="003E425B">
        <w:rPr>
          <w:rFonts w:ascii="Times New Roman" w:hAnsi="Times New Roman"/>
          <w:sz w:val="28"/>
          <w:lang w:eastAsia="es-MX"/>
        </w:rPr>
        <w:t>.</w:t>
      </w:r>
      <w:r w:rsidRPr="003E425B">
        <w:rPr>
          <w:rFonts w:ascii="Times New Roman" w:hAnsi="Times New Roman"/>
          <w:sz w:val="28"/>
          <w:lang w:val="es-ES" w:eastAsia="es-MX"/>
        </w:rPr>
        <w:t xml:space="preserve"> </w:t>
      </w:r>
      <w:r w:rsidRPr="003E425B">
        <w:rPr>
          <w:rFonts w:ascii="Times New Roman" w:hAnsi="Times New Roman"/>
          <w:sz w:val="28"/>
          <w:lang w:eastAsia="es-MX"/>
        </w:rPr>
        <w:t>Por último, la ponencia indica</w:t>
      </w:r>
      <w:r w:rsidRPr="003E425B">
        <w:rPr>
          <w:rFonts w:ascii="Times New Roman" w:hAnsi="Times New Roman"/>
          <w:sz w:val="28"/>
          <w:lang w:eastAsia="es-MX"/>
        </w:rPr>
        <w:t>ba que “al no tener definido en el proyecto de ley una fuente de ingresos adicional, (…), los costos del Ministerio serán atendidos con los presupuestos apropiados por el Presupuesto General de la Nación para cada vigencia”</w:t>
      </w:r>
      <w:r w:rsidRPr="003E425B">
        <w:rPr>
          <w:rStyle w:val="Refdenotaalpie"/>
          <w:rFonts w:ascii="Times New Roman" w:hAnsi="Times New Roman"/>
          <w:sz w:val="28"/>
          <w:lang w:eastAsia="es-MX"/>
        </w:rPr>
        <w:footnoteReference w:id="343"/>
      </w:r>
      <w:r w:rsidRPr="003E425B">
        <w:rPr>
          <w:rFonts w:ascii="Times New Roman" w:hAnsi="Times New Roman"/>
          <w:sz w:val="28"/>
          <w:lang w:eastAsia="es-MX"/>
        </w:rPr>
        <w:t>.</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i/>
          <w:iCs/>
          <w:sz w:val="28"/>
          <w:lang w:eastAsia="es-MX"/>
        </w:rPr>
        <w:t xml:space="preserve">Debate en comisiones </w:t>
      </w:r>
      <w:r w:rsidRPr="003E425B">
        <w:rPr>
          <w:rFonts w:ascii="Times New Roman" w:hAnsi="Times New Roman"/>
          <w:i/>
          <w:iCs/>
          <w:sz w:val="28"/>
          <w:lang w:eastAsia="es-MX"/>
        </w:rPr>
        <w:t>conjuntas.</w:t>
      </w:r>
      <w:r w:rsidRPr="003E425B">
        <w:rPr>
          <w:rFonts w:ascii="Times New Roman" w:hAnsi="Times New Roman"/>
          <w:sz w:val="28"/>
          <w:lang w:eastAsia="es-MX"/>
        </w:rPr>
        <w:t xml:space="preserve"> Los días 24 y 28 de noviembre de 2022, se llevaron a cabo los debates en las comisiones primeras conjuntas de la iniciativa legislativa. Durante el debate, 10 congresistas de distintos partidos políticos manifestaron, en mayor o menor medida, su</w:t>
      </w:r>
      <w:r w:rsidRPr="003E425B">
        <w:rPr>
          <w:rFonts w:ascii="Times New Roman" w:hAnsi="Times New Roman"/>
          <w:sz w:val="28"/>
          <w:lang w:eastAsia="es-MX"/>
        </w:rPr>
        <w:t xml:space="preserve"> preocupación sobre el impacto fiscal del proyecto de Ley</w:t>
      </w:r>
      <w:r w:rsidRPr="003E425B">
        <w:rPr>
          <w:rStyle w:val="Refdenotaalpie"/>
          <w:rFonts w:ascii="Times New Roman" w:hAnsi="Times New Roman"/>
          <w:sz w:val="28"/>
          <w:lang w:eastAsia="es-MX"/>
        </w:rPr>
        <w:footnoteReference w:id="344"/>
      </w:r>
      <w:r w:rsidRPr="003E425B">
        <w:rPr>
          <w:rFonts w:ascii="Times New Roman" w:hAnsi="Times New Roman"/>
          <w:sz w:val="28"/>
          <w:lang w:eastAsia="es-MX"/>
        </w:rPr>
        <w:t>. En concreto, señalaron que con base en la ponencia no era posible identificar los costos fiscales</w:t>
      </w:r>
      <w:r w:rsidRPr="003E425B">
        <w:rPr>
          <w:rStyle w:val="Refdenotaalpie"/>
          <w:rFonts w:ascii="Times New Roman" w:hAnsi="Times New Roman"/>
          <w:sz w:val="28"/>
          <w:lang w:eastAsia="es-MX"/>
        </w:rPr>
        <w:footnoteReference w:id="345"/>
      </w:r>
      <w:r w:rsidRPr="003E425B">
        <w:rPr>
          <w:rFonts w:ascii="Times New Roman" w:hAnsi="Times New Roman"/>
          <w:sz w:val="28"/>
          <w:lang w:eastAsia="es-MX"/>
        </w:rPr>
        <w:t xml:space="preserve"> y la fuente de ingresos sustitutiva, ni cuál sería la planta de personal, los costos de operación</w:t>
      </w:r>
      <w:r w:rsidRPr="003E425B">
        <w:rPr>
          <w:rFonts w:ascii="Times New Roman" w:hAnsi="Times New Roman"/>
          <w:sz w:val="28"/>
          <w:lang w:eastAsia="es-MX"/>
        </w:rPr>
        <w:t>, la infraestructura, la estructura mínima del ministerio y las entidades que pasarían a formar parte de la nueva entidad. Enfatizaron que esto se debía a que, en esta etapa del trámite, el proyecto de ley no contenía artículo alguno que definiera la estru</w:t>
      </w:r>
      <w:r w:rsidRPr="003E425B">
        <w:rPr>
          <w:rFonts w:ascii="Times New Roman" w:hAnsi="Times New Roman"/>
          <w:sz w:val="28"/>
          <w:lang w:eastAsia="es-MX"/>
        </w:rPr>
        <w:t>ctura orgánica del ministerio. Algunos congresistas advirtieron que esto podría generar la inconstitucionalidad de la ley por incumplimiento del artículo 7º de la Ley 819 de 2003</w:t>
      </w:r>
      <w:r w:rsidRPr="003E425B">
        <w:rPr>
          <w:rStyle w:val="Refdenotaalpie"/>
          <w:rFonts w:ascii="Times New Roman" w:hAnsi="Times New Roman"/>
          <w:sz w:val="28"/>
          <w:lang w:eastAsia="es-MX"/>
        </w:rPr>
        <w:footnoteReference w:id="346"/>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Los ponentes coordinadores respondieron que la creación del Ministerio de</w:t>
      </w:r>
      <w:r w:rsidRPr="003E425B">
        <w:rPr>
          <w:rFonts w:ascii="Times New Roman" w:hAnsi="Times New Roman"/>
          <w:sz w:val="28"/>
          <w:lang w:eastAsia="es-MX"/>
        </w:rPr>
        <w:t xml:space="preserve"> Igualdad y Equidad tendría “el mínimo impacto fiscal”, porque “</w:t>
      </w:r>
      <w:r w:rsidRPr="003E425B">
        <w:rPr>
          <w:rFonts w:ascii="Times New Roman" w:hAnsi="Times New Roman"/>
          <w:sz w:val="28"/>
        </w:rPr>
        <w:t>las entidades, los funcionarios y la infraestructura que se requiere para poner en funcionamiento este Ministerio, ya existe[n]</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47"/>
      </w:r>
      <w:r w:rsidRPr="003E425B">
        <w:rPr>
          <w:rFonts w:ascii="Times New Roman" w:hAnsi="Times New Roman"/>
          <w:sz w:val="28"/>
          <w:lang w:eastAsia="es-MX"/>
        </w:rPr>
        <w:t>. Además, señalaron que presentaron “</w:t>
      </w:r>
      <w:r w:rsidRPr="003E425B">
        <w:rPr>
          <w:rFonts w:ascii="Times New Roman" w:hAnsi="Times New Roman"/>
          <w:sz w:val="28"/>
        </w:rPr>
        <w:t>los sectores que posibleme</w:t>
      </w:r>
      <w:r w:rsidRPr="003E425B">
        <w:rPr>
          <w:rFonts w:ascii="Times New Roman" w:hAnsi="Times New Roman"/>
          <w:sz w:val="28"/>
        </w:rPr>
        <w:t>nte”</w:t>
      </w:r>
      <w:r w:rsidRPr="003E425B">
        <w:rPr>
          <w:rStyle w:val="Refdenotaalpie"/>
          <w:rFonts w:ascii="Times New Roman" w:hAnsi="Times New Roman"/>
          <w:sz w:val="28"/>
        </w:rPr>
        <w:footnoteReference w:id="348"/>
      </w:r>
      <w:r w:rsidRPr="003E425B">
        <w:rPr>
          <w:rFonts w:ascii="Times New Roman" w:hAnsi="Times New Roman"/>
          <w:sz w:val="28"/>
        </w:rPr>
        <w:t xml:space="preserve"> formarían parte de la entidad, y que las cifras sobre los gastos de personal que se presentaban en el informe de ponencia “no son sacadas del sombrero de nadie, sino del Presupuesto General de la Nación que ya fue aprobado para el año entrante</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49"/>
      </w:r>
      <w:r w:rsidRPr="003E425B">
        <w:rPr>
          <w:rFonts w:ascii="Times New Roman" w:hAnsi="Times New Roman"/>
          <w:sz w:val="28"/>
          <w:lang w:eastAsia="es-MX"/>
        </w:rPr>
        <w:t>.</w:t>
      </w:r>
      <w:r w:rsidRPr="003E425B">
        <w:rPr>
          <w:rFonts w:ascii="Times New Roman" w:hAnsi="Times New Roman"/>
          <w:i/>
          <w:iCs/>
          <w:sz w:val="28"/>
          <w:lang w:eastAsia="es-MX"/>
        </w:rPr>
        <w:t xml:space="preserve"> </w:t>
      </w:r>
      <w:r w:rsidRPr="003E425B">
        <w:rPr>
          <w:rFonts w:ascii="Times New Roman" w:hAnsi="Times New Roman"/>
          <w:sz w:val="28"/>
          <w:lang w:eastAsia="es-MX"/>
        </w:rPr>
        <w:t>Con</w:t>
      </w:r>
      <w:r w:rsidRPr="003E425B">
        <w:rPr>
          <w:rFonts w:ascii="Times New Roman" w:hAnsi="Times New Roman"/>
          <w:sz w:val="28"/>
          <w:lang w:eastAsia="es-MX"/>
        </w:rPr>
        <w:t xml:space="preserve"> todo, habida cuenta de las preocupaciones de los congresistas sobre el impacto fiscal de la medida y el cumplimiento de las obligaciones previstas en el artículo 7 de la Ley 819 de 2003, el senador Alexánder López Maya anunció que: “nosotros no nos vamos </w:t>
      </w:r>
      <w:r w:rsidRPr="003E425B">
        <w:rPr>
          <w:rFonts w:ascii="Times New Roman" w:hAnsi="Times New Roman"/>
          <w:sz w:val="28"/>
          <w:lang w:eastAsia="es-MX"/>
        </w:rPr>
        <w:t xml:space="preserve">a apartar de la ley de ninguna manera, ni tampoco queremos hacerle cajón al Congreso, ni llevar el Congreso a no aplicar las normas que nos obligan y en este caso el Ministerio de Hacienda emitirá el concepto de impacto fiscal y naturalmente la aplicación </w:t>
      </w:r>
      <w:r w:rsidRPr="003E425B">
        <w:rPr>
          <w:rFonts w:ascii="Times New Roman" w:hAnsi="Times New Roman"/>
          <w:sz w:val="28"/>
          <w:lang w:eastAsia="es-MX"/>
        </w:rPr>
        <w:t>a la regla fiscal”</w:t>
      </w:r>
      <w:r w:rsidRPr="003E425B">
        <w:rPr>
          <w:rStyle w:val="Refdenotaalpie"/>
          <w:rFonts w:ascii="Times New Roman" w:hAnsi="Times New Roman"/>
          <w:sz w:val="28"/>
          <w:lang w:eastAsia="es-MX"/>
        </w:rPr>
        <w:footnoteReference w:id="350"/>
      </w:r>
      <w:r w:rsidRPr="003E425B">
        <w:rPr>
          <w:rFonts w:ascii="Times New Roman" w:hAnsi="Times New Roman"/>
          <w:sz w:val="28"/>
          <w:lang w:eastAsia="es-MX"/>
        </w:rPr>
        <w:t>.</w:t>
      </w:r>
    </w:p>
    <w:p w:rsidR="002860D7" w:rsidRPr="003E425B" w:rsidRDefault="003E425B" w:rsidP="00010108">
      <w:pPr>
        <w:pStyle w:val="Prrafodelista"/>
        <w:tabs>
          <w:tab w:val="left" w:pos="567"/>
        </w:tabs>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
          <w:iCs/>
          <w:sz w:val="28"/>
          <w:lang w:eastAsia="es-MX"/>
        </w:rPr>
      </w:pPr>
      <w:r w:rsidRPr="003E425B">
        <w:rPr>
          <w:rFonts w:ascii="Times New Roman" w:hAnsi="Times New Roman"/>
          <w:sz w:val="28"/>
          <w:lang w:eastAsia="es-MX"/>
        </w:rPr>
        <w:t>Finalmente, el ponente del proyecto reconoció expresamente que, deliberadamente, no habían querido generar “una discusión en torno a cuánto puede costar ese Ministerio”</w:t>
      </w:r>
      <w:r w:rsidRPr="003E425B">
        <w:rPr>
          <w:rStyle w:val="Refdenotaalpie"/>
          <w:rFonts w:ascii="Times New Roman" w:hAnsi="Times New Roman"/>
          <w:sz w:val="28"/>
          <w:lang w:eastAsia="es-MX"/>
        </w:rPr>
        <w:footnoteReference w:id="351"/>
      </w:r>
      <w:r w:rsidRPr="003E425B">
        <w:rPr>
          <w:rFonts w:ascii="Times New Roman" w:hAnsi="Times New Roman"/>
          <w:sz w:val="28"/>
          <w:lang w:eastAsia="es-MX"/>
        </w:rPr>
        <w:t>, el cual podría “</w:t>
      </w:r>
      <w:r w:rsidRPr="003E425B">
        <w:rPr>
          <w:rFonts w:ascii="Times New Roman" w:hAnsi="Times New Roman"/>
          <w:sz w:val="28"/>
          <w:lang w:val="es-ES" w:eastAsia="es-MX"/>
        </w:rPr>
        <w:t>costar menos o un poquito más”. Por esto, le so</w:t>
      </w:r>
      <w:r w:rsidRPr="003E425B">
        <w:rPr>
          <w:rFonts w:ascii="Times New Roman" w:hAnsi="Times New Roman"/>
          <w:sz w:val="28"/>
          <w:lang w:val="es-ES" w:eastAsia="es-MX"/>
        </w:rPr>
        <w:t>licitó a la plenaria “permitir las facultades al Presidente de la República en el marco del artículo 150 de la Constitución Política numeral 10, pero también el numeral 7º que le permite al Presidente de la República generar esas nuevas estructuras y esa r</w:t>
      </w:r>
      <w:r w:rsidRPr="003E425B">
        <w:rPr>
          <w:rFonts w:ascii="Times New Roman" w:hAnsi="Times New Roman"/>
          <w:sz w:val="28"/>
          <w:lang w:val="es-ES" w:eastAsia="es-MX"/>
        </w:rPr>
        <w:t>eorganización del Gobierno para ser mucho más eficaces y mucho más efectivos a la hora de dirigir los recursos y dirigirlas instituciones para garantizar la igualdad y la equidad de pueblo colombiano”</w:t>
      </w:r>
      <w:r w:rsidRPr="003E425B">
        <w:rPr>
          <w:rStyle w:val="Refdenotaalpie"/>
          <w:rFonts w:ascii="Times New Roman" w:hAnsi="Times New Roman"/>
          <w:sz w:val="28"/>
          <w:lang w:val="es-ES" w:eastAsia="es-MX"/>
        </w:rPr>
        <w:footnoteReference w:id="352"/>
      </w:r>
      <w:r w:rsidRPr="003E425B">
        <w:rPr>
          <w:rFonts w:ascii="Times New Roman" w:hAnsi="Times New Roman"/>
          <w:sz w:val="28"/>
          <w:lang w:val="es-ES" w:eastAsia="es-MX"/>
        </w:rPr>
        <w:t>.</w:t>
      </w:r>
    </w:p>
    <w:p w:rsidR="002860D7" w:rsidRPr="003E425B" w:rsidRDefault="003E425B" w:rsidP="00010108">
      <w:pPr>
        <w:rPr>
          <w:rFonts w:ascii="Times New Roman" w:hAnsi="Times New Roman" w:cs="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Cs/>
          <w:sz w:val="28"/>
          <w:lang w:eastAsia="es-MX"/>
        </w:rPr>
      </w:pPr>
      <w:r w:rsidRPr="003E425B">
        <w:rPr>
          <w:rFonts w:ascii="Times New Roman" w:hAnsi="Times New Roman"/>
          <w:iCs/>
          <w:sz w:val="28"/>
          <w:lang w:eastAsia="es-MX"/>
        </w:rPr>
        <w:t>Las comisiones conjuntas aprobaron finalmente un texto de articulado que constaba de 15 artículos. El texto aprobado no definía la estructura interna del ministerio. El artículo 10 únicamente señalaba que “[l]a dirección del Ministerio estará a cargo de la</w:t>
      </w:r>
      <w:r w:rsidRPr="003E425B">
        <w:rPr>
          <w:rFonts w:ascii="Times New Roman" w:hAnsi="Times New Roman"/>
          <w:iCs/>
          <w:sz w:val="28"/>
          <w:lang w:eastAsia="es-MX"/>
        </w:rPr>
        <w:t xml:space="preserve"> Ministra o del Ministro de Igualdad y Equidad”. Por su parte, la Sala advierte que, como resultado de </w:t>
      </w:r>
      <w:r w:rsidRPr="003E425B">
        <w:rPr>
          <w:rFonts w:ascii="Times New Roman" w:hAnsi="Times New Roman"/>
          <w:iCs/>
          <w:sz w:val="28"/>
          <w:lang w:eastAsia="es-MX"/>
        </w:rPr>
        <w:t>las</w:t>
      </w:r>
      <w:r w:rsidRPr="003E425B">
        <w:rPr>
          <w:rFonts w:ascii="Times New Roman" w:hAnsi="Times New Roman"/>
          <w:iCs/>
          <w:sz w:val="28"/>
          <w:lang w:eastAsia="es-MX"/>
        </w:rPr>
        <w:t xml:space="preserve"> proposici</w:t>
      </w:r>
      <w:r w:rsidRPr="003E425B">
        <w:rPr>
          <w:rFonts w:ascii="Times New Roman" w:hAnsi="Times New Roman"/>
          <w:iCs/>
          <w:sz w:val="28"/>
          <w:lang w:eastAsia="es-MX"/>
        </w:rPr>
        <w:t>o</w:t>
      </w:r>
      <w:r w:rsidRPr="003E425B">
        <w:rPr>
          <w:rFonts w:ascii="Times New Roman" w:hAnsi="Times New Roman"/>
          <w:iCs/>
          <w:sz w:val="28"/>
          <w:lang w:eastAsia="es-MX"/>
        </w:rPr>
        <w:t>n</w:t>
      </w:r>
      <w:r w:rsidRPr="003E425B">
        <w:rPr>
          <w:rFonts w:ascii="Times New Roman" w:hAnsi="Times New Roman"/>
          <w:iCs/>
          <w:sz w:val="28"/>
          <w:lang w:eastAsia="es-MX"/>
        </w:rPr>
        <w:t>es</w:t>
      </w:r>
      <w:r w:rsidRPr="003E425B">
        <w:rPr>
          <w:rFonts w:ascii="Times New Roman" w:hAnsi="Times New Roman"/>
          <w:iCs/>
          <w:sz w:val="28"/>
          <w:lang w:eastAsia="es-MX"/>
        </w:rPr>
        <w:t xml:space="preserve"> de los congresistas Oscar Barrero Quiroga, Delcy Isaza Buenaventura, Ana Paola García y Juan Daniel Peñuela, durante </w:t>
      </w:r>
      <w:r w:rsidRPr="003E425B">
        <w:rPr>
          <w:rFonts w:ascii="Times New Roman" w:hAnsi="Times New Roman"/>
          <w:iCs/>
          <w:sz w:val="28"/>
          <w:lang w:eastAsia="es-MX"/>
        </w:rPr>
        <w:t>el debate en comis</w:t>
      </w:r>
      <w:r w:rsidRPr="003E425B">
        <w:rPr>
          <w:rFonts w:ascii="Times New Roman" w:hAnsi="Times New Roman"/>
          <w:iCs/>
          <w:sz w:val="28"/>
          <w:lang w:eastAsia="es-MX"/>
        </w:rPr>
        <w:t>ión</w:t>
      </w:r>
      <w:r w:rsidRPr="003E425B">
        <w:rPr>
          <w:rFonts w:ascii="Times New Roman" w:hAnsi="Times New Roman"/>
          <w:iCs/>
          <w:sz w:val="28"/>
          <w:lang w:eastAsia="es-MX"/>
        </w:rPr>
        <w:t xml:space="preserve">, se modificó la redacción del artículo 11, mediante el cual se concedían facultades extraordinarias al Presidente de la República. La siguiente tabla evidencia esta modificación: </w:t>
      </w:r>
    </w:p>
    <w:p w:rsidR="002860D7" w:rsidRPr="003E425B" w:rsidRDefault="003E425B" w:rsidP="00BB6241">
      <w:pPr>
        <w:rPr>
          <w:rFonts w:ascii="Times New Roman" w:hAnsi="Times New Roman" w:cs="Times New Roman"/>
          <w:iCs/>
          <w:sz w:val="28"/>
          <w:lang w:eastAsia="es-MX"/>
        </w:rPr>
      </w:pPr>
    </w:p>
    <w:tbl>
      <w:tblPr>
        <w:tblStyle w:val="Tablaconcuadrcula"/>
        <w:tblW w:w="5000" w:type="pct"/>
        <w:tblLook w:val="04A0" w:firstRow="1" w:lastRow="0" w:firstColumn="1" w:lastColumn="0" w:noHBand="0" w:noVBand="1"/>
      </w:tblPr>
      <w:tblGrid>
        <w:gridCol w:w="4415"/>
        <w:gridCol w:w="4415"/>
      </w:tblGrid>
      <w:tr w:rsidR="002860D7" w:rsidRPr="003E425B" w:rsidTr="00E4520F">
        <w:tc>
          <w:tcPr>
            <w:tcW w:w="2500" w:type="pct"/>
            <w:shd w:val="clear" w:color="auto" w:fill="BFBFBF" w:themeFill="background1" w:themeFillShade="BF"/>
          </w:tcPr>
          <w:p w:rsidR="002860D7" w:rsidRPr="003E425B" w:rsidRDefault="003E425B" w:rsidP="00010108">
            <w:pPr>
              <w:pStyle w:val="Prrafodelista"/>
              <w:tabs>
                <w:tab w:val="left" w:pos="567"/>
              </w:tabs>
              <w:spacing w:line="240" w:lineRule="auto"/>
              <w:ind w:left="0"/>
              <w:jc w:val="center"/>
              <w:rPr>
                <w:rFonts w:ascii="Times New Roman" w:hAnsi="Times New Roman"/>
                <w:b/>
                <w:bCs/>
                <w:iCs/>
                <w:sz w:val="28"/>
                <w:szCs w:val="20"/>
                <w:lang w:eastAsia="es-MX"/>
              </w:rPr>
            </w:pPr>
            <w:r w:rsidRPr="003E425B">
              <w:rPr>
                <w:rFonts w:ascii="Times New Roman" w:hAnsi="Times New Roman"/>
                <w:b/>
                <w:bCs/>
                <w:iCs/>
                <w:sz w:val="28"/>
                <w:szCs w:val="20"/>
                <w:lang w:eastAsia="es-MX"/>
              </w:rPr>
              <w:t>Redacción original</w:t>
            </w:r>
          </w:p>
        </w:tc>
        <w:tc>
          <w:tcPr>
            <w:tcW w:w="2500" w:type="pct"/>
            <w:shd w:val="clear" w:color="auto" w:fill="BFBFBF" w:themeFill="background1" w:themeFillShade="BF"/>
          </w:tcPr>
          <w:p w:rsidR="002860D7" w:rsidRPr="003E425B" w:rsidRDefault="003E425B" w:rsidP="00010108">
            <w:pPr>
              <w:pStyle w:val="Prrafodelista"/>
              <w:tabs>
                <w:tab w:val="left" w:pos="567"/>
              </w:tabs>
              <w:spacing w:line="240" w:lineRule="auto"/>
              <w:ind w:left="0"/>
              <w:jc w:val="center"/>
              <w:rPr>
                <w:rFonts w:ascii="Times New Roman" w:hAnsi="Times New Roman"/>
                <w:b/>
                <w:bCs/>
                <w:iCs/>
                <w:sz w:val="28"/>
                <w:szCs w:val="20"/>
                <w:lang w:eastAsia="es-MX"/>
              </w:rPr>
            </w:pPr>
            <w:r w:rsidRPr="003E425B">
              <w:rPr>
                <w:rFonts w:ascii="Times New Roman" w:hAnsi="Times New Roman"/>
                <w:b/>
                <w:bCs/>
                <w:iCs/>
                <w:sz w:val="28"/>
                <w:szCs w:val="20"/>
                <w:lang w:eastAsia="es-MX"/>
              </w:rPr>
              <w:t>Texto aprobado en las comisiones conjuntas</w:t>
            </w:r>
          </w:p>
        </w:tc>
      </w:tr>
      <w:tr w:rsidR="002860D7" w:rsidRPr="003E425B" w:rsidTr="00E4520F">
        <w:tc>
          <w:tcPr>
            <w:tcW w:w="2500" w:type="pct"/>
          </w:tcPr>
          <w:p w:rsidR="002860D7" w:rsidRPr="003E425B" w:rsidRDefault="003E425B" w:rsidP="00010108">
            <w:pPr>
              <w:pStyle w:val="Prrafodelista"/>
              <w:tabs>
                <w:tab w:val="left" w:pos="567"/>
              </w:tabs>
              <w:spacing w:line="240" w:lineRule="auto"/>
              <w:ind w:left="0"/>
              <w:rPr>
                <w:rFonts w:ascii="Times New Roman" w:hAnsi="Times New Roman"/>
                <w:iCs/>
                <w:sz w:val="28"/>
                <w:szCs w:val="20"/>
                <w:lang w:eastAsia="es-MX"/>
              </w:rPr>
            </w:pPr>
            <w:r w:rsidRPr="003E425B">
              <w:rPr>
                <w:rFonts w:ascii="Times New Roman" w:hAnsi="Times New Roman"/>
                <w:b/>
                <w:bCs/>
                <w:iCs/>
                <w:sz w:val="28"/>
                <w:szCs w:val="20"/>
                <w:lang w:eastAsia="es-MX"/>
              </w:rPr>
              <w:t>Artículo</w:t>
            </w:r>
            <w:r w:rsidRPr="003E425B">
              <w:rPr>
                <w:rFonts w:ascii="Times New Roman" w:hAnsi="Times New Roman"/>
                <w:b/>
                <w:bCs/>
                <w:iCs/>
                <w:sz w:val="28"/>
                <w:szCs w:val="20"/>
                <w:lang w:eastAsia="es-MX"/>
              </w:rPr>
              <w:t xml:space="preserve"> 11. Facultades extraordinarias</w:t>
            </w:r>
            <w:r w:rsidRPr="003E425B">
              <w:rPr>
                <w:rFonts w:ascii="Times New Roman" w:hAnsi="Times New Roman"/>
                <w:iCs/>
                <w:sz w:val="28"/>
                <w:szCs w:val="20"/>
                <w:lang w:eastAsia="es-MX"/>
              </w:rPr>
              <w:t>. Revístase al Presidente de la República de precisas facultades extraordinarias, por el término de seis (6) meses, contados a partir de la fecha de publicación de la presente ley, para expedir normas con fuerza material de l</w:t>
            </w:r>
            <w:r w:rsidRPr="003E425B">
              <w:rPr>
                <w:rFonts w:ascii="Times New Roman" w:hAnsi="Times New Roman"/>
                <w:iCs/>
                <w:sz w:val="28"/>
                <w:szCs w:val="20"/>
                <w:lang w:eastAsia="es-MX"/>
              </w:rPr>
              <w:t>ey dirigidas a integrar al Sector de Igualdad y Equidad con las entidades que defina como adscritas o vinculadas. Lo anterior, de conformidad con lo establecido en el artículo 150 numeral 10 de la Constitución Política.</w:t>
            </w:r>
          </w:p>
        </w:tc>
        <w:tc>
          <w:tcPr>
            <w:tcW w:w="2500" w:type="pct"/>
          </w:tcPr>
          <w:p w:rsidR="002860D7" w:rsidRPr="003E425B" w:rsidRDefault="003E425B" w:rsidP="00010108">
            <w:pPr>
              <w:pStyle w:val="Prrafodelista"/>
              <w:tabs>
                <w:tab w:val="left" w:pos="567"/>
              </w:tabs>
              <w:spacing w:line="240" w:lineRule="auto"/>
              <w:ind w:left="0"/>
              <w:rPr>
                <w:rFonts w:ascii="Times New Roman" w:hAnsi="Times New Roman"/>
                <w:iCs/>
                <w:sz w:val="28"/>
                <w:szCs w:val="20"/>
                <w:lang w:eastAsia="es-MX"/>
              </w:rPr>
            </w:pPr>
            <w:r w:rsidRPr="003E425B">
              <w:rPr>
                <w:rFonts w:ascii="Times New Roman" w:hAnsi="Times New Roman"/>
                <w:b/>
                <w:bCs/>
                <w:iCs/>
                <w:sz w:val="28"/>
                <w:szCs w:val="20"/>
                <w:lang w:eastAsia="es-MX"/>
              </w:rPr>
              <w:t>Artículo 12. Facultades extraordinar</w:t>
            </w:r>
            <w:r w:rsidRPr="003E425B">
              <w:rPr>
                <w:rFonts w:ascii="Times New Roman" w:hAnsi="Times New Roman"/>
                <w:b/>
                <w:bCs/>
                <w:iCs/>
                <w:sz w:val="28"/>
                <w:szCs w:val="20"/>
                <w:lang w:eastAsia="es-MX"/>
              </w:rPr>
              <w:t>ias</w:t>
            </w:r>
            <w:r w:rsidRPr="003E425B">
              <w:rPr>
                <w:rFonts w:ascii="Times New Roman" w:hAnsi="Times New Roman"/>
                <w:iCs/>
                <w:sz w:val="28"/>
                <w:szCs w:val="20"/>
                <w:lang w:eastAsia="es-MX"/>
              </w:rPr>
              <w:t>. Revístase al Presidente de la República de precisas facultades extraordinarias, por el término de seis (6) meses, contados a partir de la fecha de publicación de la presente ley, para expedir normas con fuerza material de ley dirigidas a integrar al S</w:t>
            </w:r>
            <w:r w:rsidRPr="003E425B">
              <w:rPr>
                <w:rFonts w:ascii="Times New Roman" w:hAnsi="Times New Roman"/>
                <w:iCs/>
                <w:sz w:val="28"/>
                <w:szCs w:val="20"/>
                <w:lang w:eastAsia="es-MX"/>
              </w:rPr>
              <w:t xml:space="preserve">ector de Igualdad y Equidad con las entidades que defina como adscritas o vinculadas, </w:t>
            </w:r>
            <w:r w:rsidRPr="003E425B">
              <w:rPr>
                <w:rFonts w:ascii="Times New Roman" w:hAnsi="Times New Roman"/>
                <w:iCs/>
                <w:sz w:val="28"/>
                <w:szCs w:val="20"/>
                <w:u w:val="single"/>
                <w:lang w:eastAsia="es-MX"/>
              </w:rPr>
              <w:t>así como también para establecer la estructura orgánica del Ministerio de la Igualdad y la Equidad. Unificar, eliminar, fusionar o reorganizar entidades del orden naciona</w:t>
            </w:r>
            <w:r w:rsidRPr="003E425B">
              <w:rPr>
                <w:rFonts w:ascii="Times New Roman" w:hAnsi="Times New Roman"/>
                <w:iCs/>
                <w:sz w:val="28"/>
                <w:szCs w:val="20"/>
                <w:u w:val="single"/>
                <w:lang w:eastAsia="es-MX"/>
              </w:rPr>
              <w:t xml:space="preserve">l existentes, Consejerías, </w:t>
            </w:r>
            <w:r w:rsidRPr="003E425B">
              <w:rPr>
                <w:rFonts w:ascii="Times New Roman" w:hAnsi="Times New Roman"/>
                <w:iCs/>
                <w:sz w:val="28"/>
                <w:szCs w:val="20"/>
                <w:u w:val="single"/>
                <w:lang w:eastAsia="es-MX"/>
              </w:rPr>
              <w:t>direcciones y demás</w:t>
            </w:r>
            <w:r w:rsidRPr="003E425B">
              <w:rPr>
                <w:rFonts w:ascii="Times New Roman" w:hAnsi="Times New Roman"/>
                <w:iCs/>
                <w:sz w:val="28"/>
                <w:szCs w:val="20"/>
                <w:u w:val="single"/>
                <w:lang w:eastAsia="es-MX"/>
              </w:rPr>
              <w:t>.</w:t>
            </w:r>
            <w:r w:rsidRPr="003E425B">
              <w:rPr>
                <w:rFonts w:ascii="Times New Roman" w:hAnsi="Times New Roman"/>
                <w:iCs/>
                <w:sz w:val="28"/>
                <w:szCs w:val="20"/>
                <w:lang w:eastAsia="es-MX"/>
              </w:rPr>
              <w:t xml:space="preserve"> Lo anterior, de conformidad con lo establecido en el artículo 150 numeral 10 de la Constitución Política</w:t>
            </w:r>
          </w:p>
        </w:tc>
      </w:tr>
    </w:tbl>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Cs/>
          <w:sz w:val="28"/>
          <w:lang w:eastAsia="es-MX"/>
        </w:rPr>
      </w:pPr>
      <w:r w:rsidRPr="003E425B">
        <w:rPr>
          <w:rFonts w:ascii="Times New Roman" w:hAnsi="Times New Roman"/>
          <w:i/>
          <w:iCs/>
          <w:sz w:val="28"/>
          <w:lang w:eastAsia="es-MX"/>
        </w:rPr>
        <w:t>Examen de la Sala Plena</w:t>
      </w:r>
      <w:r w:rsidRPr="003E425B">
        <w:rPr>
          <w:rFonts w:ascii="Times New Roman" w:hAnsi="Times New Roman"/>
          <w:iCs/>
          <w:sz w:val="28"/>
          <w:lang w:eastAsia="es-MX"/>
        </w:rPr>
        <w:t xml:space="preserve">. El inciso 2º del artículo 7º de la Ley 819 de 2003 dispone que, en las ponencias de trámite deberán incluirse “los costos fiscales de la iniciativa y la fuente de ingreso adicional generada para el financiamiento de dicho costo”. La Sala Plena considera </w:t>
      </w:r>
      <w:r w:rsidRPr="003E425B">
        <w:rPr>
          <w:rFonts w:ascii="Times New Roman" w:hAnsi="Times New Roman"/>
          <w:iCs/>
          <w:sz w:val="28"/>
          <w:lang w:eastAsia="es-MX"/>
        </w:rPr>
        <w:t xml:space="preserve">que el informe de ponencia para debate en comisiones conjuntas no cumplió con esta exigencia, pues no identificó </w:t>
      </w:r>
      <w:r w:rsidRPr="003E425B">
        <w:rPr>
          <w:rFonts w:ascii="Times New Roman" w:hAnsi="Times New Roman"/>
          <w:i/>
          <w:iCs/>
          <w:sz w:val="28"/>
          <w:lang w:eastAsia="es-MX"/>
        </w:rPr>
        <w:t>(i)</w:t>
      </w:r>
      <w:r w:rsidRPr="003E425B">
        <w:rPr>
          <w:rFonts w:ascii="Times New Roman" w:hAnsi="Times New Roman"/>
          <w:iCs/>
          <w:sz w:val="28"/>
          <w:lang w:eastAsia="es-MX"/>
        </w:rPr>
        <w:t xml:space="preserve"> el costo fiscal y </w:t>
      </w:r>
      <w:r w:rsidRPr="003E425B">
        <w:rPr>
          <w:rFonts w:ascii="Times New Roman" w:hAnsi="Times New Roman"/>
          <w:i/>
          <w:iCs/>
          <w:sz w:val="28"/>
          <w:lang w:eastAsia="es-MX"/>
        </w:rPr>
        <w:t>(ii)</w:t>
      </w:r>
      <w:r w:rsidRPr="003E425B">
        <w:rPr>
          <w:rFonts w:ascii="Times New Roman" w:hAnsi="Times New Roman"/>
          <w:iCs/>
          <w:sz w:val="28"/>
          <w:lang w:eastAsia="es-MX"/>
        </w:rPr>
        <w:t xml:space="preserve"> la fuente de ingreso sustitutiva: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Cs/>
          <w:sz w:val="28"/>
          <w:lang w:eastAsia="es-MX"/>
        </w:rPr>
      </w:pPr>
      <w:r w:rsidRPr="003E425B">
        <w:rPr>
          <w:rFonts w:ascii="Times New Roman" w:hAnsi="Times New Roman"/>
          <w:iCs/>
          <w:sz w:val="28"/>
          <w:u w:val="single"/>
          <w:lang w:eastAsia="es-MX"/>
        </w:rPr>
        <w:t>Primero</w:t>
      </w:r>
      <w:r w:rsidRPr="003E425B">
        <w:rPr>
          <w:rFonts w:ascii="Times New Roman" w:hAnsi="Times New Roman"/>
          <w:iCs/>
          <w:sz w:val="28"/>
          <w:lang w:eastAsia="es-MX"/>
        </w:rPr>
        <w:t>. La Sala Plena reitera y reafirma que, en los proyectos de iniciativa gu</w:t>
      </w:r>
      <w:r w:rsidRPr="003E425B">
        <w:rPr>
          <w:rFonts w:ascii="Times New Roman" w:hAnsi="Times New Roman"/>
          <w:iCs/>
          <w:sz w:val="28"/>
          <w:lang w:eastAsia="es-MX"/>
        </w:rPr>
        <w:t xml:space="preserve">bernamental, el Gobierno Nacional, y luego los ponentes, deben presentar una estimación </w:t>
      </w:r>
      <w:r w:rsidRPr="003E425B">
        <w:rPr>
          <w:rFonts w:ascii="Times New Roman" w:hAnsi="Times New Roman"/>
          <w:iCs/>
          <w:sz w:val="28"/>
          <w:lang w:eastAsia="es-MX"/>
        </w:rPr>
        <w:t>clara, suficiente y</w:t>
      </w:r>
      <w:r w:rsidRPr="003E425B">
        <w:rPr>
          <w:rFonts w:ascii="Times New Roman" w:hAnsi="Times New Roman"/>
          <w:iCs/>
          <w:sz w:val="28"/>
          <w:lang w:eastAsia="es-MX"/>
        </w:rPr>
        <w:t xml:space="preserve"> fundada</w:t>
      </w:r>
      <w:r w:rsidRPr="003E425B">
        <w:rPr>
          <w:rFonts w:ascii="Times New Roman" w:hAnsi="Times New Roman"/>
          <w:iCs/>
          <w:sz w:val="28"/>
          <w:vertAlign w:val="superscript"/>
          <w:lang w:eastAsia="es-MX"/>
        </w:rPr>
        <w:t xml:space="preserve"> </w:t>
      </w:r>
      <w:r w:rsidRPr="003E425B">
        <w:rPr>
          <w:rFonts w:ascii="Times New Roman" w:hAnsi="Times New Roman"/>
          <w:iCs/>
          <w:sz w:val="28"/>
          <w:vertAlign w:val="superscript"/>
          <w:lang w:eastAsia="es-MX"/>
        </w:rPr>
        <w:footnoteReference w:id="353"/>
      </w:r>
      <w:r w:rsidRPr="003E425B">
        <w:rPr>
          <w:rFonts w:ascii="Times New Roman" w:hAnsi="Times New Roman"/>
          <w:iCs/>
          <w:sz w:val="28"/>
          <w:lang w:eastAsia="es-MX"/>
        </w:rPr>
        <w:t xml:space="preserve"> del costo fiscal de la iniciativa. Esta estimación, además, debe ser clara</w:t>
      </w:r>
      <w:r w:rsidRPr="003E425B">
        <w:rPr>
          <w:rFonts w:ascii="Times New Roman" w:hAnsi="Times New Roman"/>
          <w:iCs/>
          <w:sz w:val="28"/>
          <w:vertAlign w:val="superscript"/>
          <w:lang w:eastAsia="es-MX"/>
        </w:rPr>
        <w:footnoteReference w:id="354"/>
      </w:r>
      <w:r w:rsidRPr="003E425B">
        <w:rPr>
          <w:rFonts w:ascii="Times New Roman" w:hAnsi="Times New Roman"/>
          <w:iCs/>
          <w:sz w:val="28"/>
          <w:lang w:eastAsia="es-MX"/>
        </w:rPr>
        <w:t xml:space="preserve">, lo que supone que se debe </w:t>
      </w:r>
      <w:r w:rsidRPr="003E425B">
        <w:rPr>
          <w:rFonts w:ascii="Times New Roman" w:hAnsi="Times New Roman"/>
          <w:i/>
          <w:iCs/>
          <w:sz w:val="28"/>
          <w:lang w:eastAsia="es-MX"/>
        </w:rPr>
        <w:t>(i)</w:t>
      </w:r>
      <w:r w:rsidRPr="003E425B">
        <w:rPr>
          <w:rFonts w:ascii="Times New Roman" w:hAnsi="Times New Roman"/>
          <w:iCs/>
          <w:sz w:val="28"/>
          <w:lang w:eastAsia="es-MX"/>
        </w:rPr>
        <w:t xml:space="preserve"> explicar, así sea de forma mínima, el </w:t>
      </w:r>
      <w:r w:rsidRPr="003E425B">
        <w:rPr>
          <w:rFonts w:ascii="Times New Roman" w:hAnsi="Times New Roman"/>
          <w:sz w:val="28"/>
          <w:lang w:eastAsia="es-MX"/>
        </w:rPr>
        <w:t>fundamento</w:t>
      </w:r>
      <w:r w:rsidRPr="003E425B">
        <w:rPr>
          <w:rFonts w:ascii="Times New Roman" w:hAnsi="Times New Roman"/>
          <w:iCs/>
          <w:sz w:val="28"/>
          <w:lang w:eastAsia="es-MX"/>
        </w:rPr>
        <w:t xml:space="preserve"> técnico de la estimación</w:t>
      </w:r>
      <w:r w:rsidRPr="003E425B">
        <w:rPr>
          <w:rFonts w:ascii="Times New Roman" w:hAnsi="Times New Roman"/>
          <w:iCs/>
          <w:sz w:val="28"/>
          <w:vertAlign w:val="superscript"/>
          <w:lang w:eastAsia="es-MX"/>
        </w:rPr>
        <w:footnoteReference w:id="355"/>
      </w:r>
      <w:r w:rsidRPr="003E425B">
        <w:rPr>
          <w:rFonts w:ascii="Times New Roman" w:hAnsi="Times New Roman"/>
          <w:iCs/>
          <w:sz w:val="28"/>
          <w:lang w:eastAsia="es-MX"/>
        </w:rPr>
        <w:t xml:space="preserve"> y </w:t>
      </w:r>
      <w:r w:rsidRPr="003E425B">
        <w:rPr>
          <w:rFonts w:ascii="Times New Roman" w:hAnsi="Times New Roman"/>
          <w:i/>
          <w:iCs/>
          <w:sz w:val="28"/>
          <w:lang w:eastAsia="es-MX"/>
        </w:rPr>
        <w:t>(ii)</w:t>
      </w:r>
      <w:r w:rsidRPr="003E425B">
        <w:rPr>
          <w:rFonts w:ascii="Times New Roman" w:hAnsi="Times New Roman"/>
          <w:iCs/>
          <w:sz w:val="28"/>
          <w:lang w:eastAsia="es-MX"/>
        </w:rPr>
        <w:t xml:space="preserve"> evitar presentar estimados “divergentes” o referencias en exceso abstractas.</w:t>
      </w:r>
    </w:p>
    <w:p w:rsidR="002860D7" w:rsidRPr="003E425B" w:rsidRDefault="003E425B" w:rsidP="00010108">
      <w:pPr>
        <w:pStyle w:val="Prrafodelista"/>
        <w:spacing w:line="240" w:lineRule="auto"/>
        <w:rPr>
          <w:rFonts w:ascii="Times New Roman" w:hAnsi="Times New Roman"/>
          <w:iCs/>
          <w:sz w:val="28"/>
          <w:lang w:eastAsia="es-MX"/>
        </w:rPr>
      </w:pPr>
    </w:p>
    <w:p w:rsidR="002860D7" w:rsidRPr="003E425B" w:rsidRDefault="003E425B" w:rsidP="000C6CC6">
      <w:pPr>
        <w:pStyle w:val="Prrafodelista"/>
        <w:numPr>
          <w:ilvl w:val="0"/>
          <w:numId w:val="33"/>
        </w:numPr>
        <w:tabs>
          <w:tab w:val="left" w:pos="567"/>
        </w:tabs>
        <w:spacing w:line="240" w:lineRule="auto"/>
        <w:ind w:left="0" w:firstLine="0"/>
        <w:rPr>
          <w:rFonts w:ascii="Times New Roman" w:hAnsi="Times New Roman"/>
          <w:iCs/>
          <w:sz w:val="28"/>
          <w:lang w:eastAsia="es-MX"/>
        </w:rPr>
      </w:pPr>
      <w:r w:rsidRPr="003E425B">
        <w:rPr>
          <w:rFonts w:ascii="Times New Roman" w:hAnsi="Times New Roman"/>
          <w:iCs/>
          <w:sz w:val="28"/>
          <w:lang w:eastAsia="es-MX"/>
        </w:rPr>
        <w:t>La Sala Plena considera que la estimación del costo del Ministerio de Igualdad y Equidad que pr</w:t>
      </w:r>
      <w:r w:rsidRPr="003E425B">
        <w:rPr>
          <w:rFonts w:ascii="Times New Roman" w:hAnsi="Times New Roman"/>
          <w:iCs/>
          <w:sz w:val="28"/>
          <w:lang w:eastAsia="es-MX"/>
        </w:rPr>
        <w:t xml:space="preserve">esentaron los ponentes durante el debate era confusa, infundada e insuficiente: </w:t>
      </w:r>
    </w:p>
    <w:p w:rsidR="002860D7" w:rsidRPr="003E425B" w:rsidRDefault="003E425B" w:rsidP="00010108">
      <w:pPr>
        <w:pStyle w:val="Prrafodelista"/>
        <w:spacing w:line="240" w:lineRule="auto"/>
        <w:rPr>
          <w:rFonts w:ascii="Times New Roman" w:hAnsi="Times New Roman"/>
          <w:iCs/>
          <w:sz w:val="28"/>
          <w:lang w:eastAsia="es-MX"/>
        </w:rPr>
      </w:pPr>
    </w:p>
    <w:p w:rsidR="00F73ED6" w:rsidRPr="003E425B" w:rsidRDefault="003E425B" w:rsidP="000C6CC6">
      <w:pPr>
        <w:pStyle w:val="Prrafodelista"/>
        <w:numPr>
          <w:ilvl w:val="1"/>
          <w:numId w:val="33"/>
        </w:numPr>
        <w:spacing w:line="240" w:lineRule="auto"/>
        <w:ind w:left="993" w:hanging="851"/>
        <w:rPr>
          <w:rFonts w:ascii="Times New Roman" w:hAnsi="Times New Roman"/>
          <w:iCs/>
          <w:sz w:val="28"/>
          <w:lang w:eastAsia="es-MX"/>
        </w:rPr>
      </w:pPr>
      <w:r w:rsidRPr="003E425B">
        <w:rPr>
          <w:rFonts w:ascii="Times New Roman" w:hAnsi="Times New Roman"/>
          <w:iCs/>
          <w:sz w:val="28"/>
          <w:lang w:eastAsia="es-MX"/>
        </w:rPr>
        <w:t>La estimación era confusa, porque, para la fecha en la que fue presentada, el texto del proyecto de ley se limitaba a disponer la creación del Ministerio de Igualdad y Equida</w:t>
      </w:r>
      <w:r w:rsidRPr="003E425B">
        <w:rPr>
          <w:rFonts w:ascii="Times New Roman" w:hAnsi="Times New Roman"/>
          <w:iCs/>
          <w:sz w:val="28"/>
          <w:lang w:eastAsia="es-MX"/>
        </w:rPr>
        <w:t>d, pero no preveía la estructura orgánica del ministerio. Sin la estructura normativa orgánica del ministerio, no era claro de qué forma podían estimarse los gastos de personal. Por otra parte, la Sala advierte que en el informe de ponencia se presentó una</w:t>
      </w:r>
      <w:r w:rsidRPr="003E425B">
        <w:rPr>
          <w:rFonts w:ascii="Times New Roman" w:hAnsi="Times New Roman"/>
          <w:iCs/>
          <w:sz w:val="28"/>
          <w:lang w:eastAsia="es-MX"/>
        </w:rPr>
        <w:t xml:space="preserve"> tabla que hace referencia a un “</w:t>
      </w:r>
      <w:r w:rsidRPr="003E425B">
        <w:rPr>
          <w:rFonts w:ascii="Times New Roman" w:hAnsi="Times New Roman"/>
          <w:sz w:val="28"/>
          <w:lang w:val="es-ES" w:eastAsia="es-MX"/>
        </w:rPr>
        <w:t xml:space="preserve">presupuesto asignado de acuerdo con los trazadores que se establecen en la ley”. En criterio de la Sala, sin embargo, es imposible determinar a qué corresponden estos valores y si se trata de costos (de funcionamiento o de </w:t>
      </w:r>
      <w:r w:rsidRPr="003E425B">
        <w:rPr>
          <w:rFonts w:ascii="Times New Roman" w:hAnsi="Times New Roman"/>
          <w:sz w:val="28"/>
          <w:lang w:val="es-ES" w:eastAsia="es-MX"/>
        </w:rPr>
        <w:t>inversión), presupuestos estimados, o una fuente sustitutiva.</w:t>
      </w:r>
    </w:p>
    <w:p w:rsidR="00F73ED6" w:rsidRPr="003E425B" w:rsidRDefault="003E425B" w:rsidP="000C6CC6">
      <w:pPr>
        <w:pStyle w:val="Prrafodelista"/>
        <w:numPr>
          <w:ilvl w:val="1"/>
          <w:numId w:val="33"/>
        </w:numPr>
        <w:spacing w:line="240" w:lineRule="auto"/>
        <w:ind w:left="993" w:hanging="851"/>
        <w:rPr>
          <w:rFonts w:ascii="Times New Roman" w:hAnsi="Times New Roman"/>
          <w:iCs/>
          <w:sz w:val="28"/>
          <w:lang w:eastAsia="es-MX"/>
        </w:rPr>
      </w:pPr>
      <w:r w:rsidRPr="003E425B">
        <w:rPr>
          <w:rFonts w:ascii="Times New Roman" w:hAnsi="Times New Roman"/>
          <w:iCs/>
          <w:sz w:val="28"/>
          <w:lang w:eastAsia="es-MX"/>
        </w:rPr>
        <w:t xml:space="preserve">La estimación carecía de fundamento técnico. </w:t>
      </w:r>
      <w:r w:rsidRPr="003E425B">
        <w:rPr>
          <w:rFonts w:ascii="Times New Roman" w:hAnsi="Times New Roman"/>
          <w:iCs/>
          <w:sz w:val="28"/>
          <w:lang w:val="es-ES" w:eastAsia="es-MX"/>
        </w:rPr>
        <w:t xml:space="preserve">Los ponentes presentaron una tabla, elaborada por el MHCP, que contenía los gastos de personal de </w:t>
      </w:r>
      <w:r w:rsidRPr="003E425B">
        <w:rPr>
          <w:rFonts w:ascii="Times New Roman" w:hAnsi="Times New Roman"/>
          <w:i/>
          <w:sz w:val="28"/>
          <w:lang w:val="es-ES" w:eastAsia="es-MX"/>
        </w:rPr>
        <w:t>todos</w:t>
      </w:r>
      <w:r w:rsidRPr="003E425B">
        <w:rPr>
          <w:rFonts w:ascii="Times New Roman" w:hAnsi="Times New Roman"/>
          <w:iCs/>
          <w:sz w:val="28"/>
          <w:lang w:val="es-ES" w:eastAsia="es-MX"/>
        </w:rPr>
        <w:t xml:space="preserve"> los ministerios para el año 2023. Conforme a </w:t>
      </w:r>
      <w:r w:rsidRPr="003E425B">
        <w:rPr>
          <w:rFonts w:ascii="Times New Roman" w:hAnsi="Times New Roman"/>
          <w:iCs/>
          <w:sz w:val="28"/>
          <w:lang w:val="es-ES" w:eastAsia="es-MX"/>
        </w:rPr>
        <w:t xml:space="preserve">esta tabla, los gastos de los ministerios oscilaban entre </w:t>
      </w:r>
      <w:r w:rsidRPr="003E425B">
        <w:rPr>
          <w:rFonts w:ascii="Times New Roman" w:hAnsi="Times New Roman"/>
          <w:iCs/>
          <w:sz w:val="28"/>
          <w:lang w:eastAsia="es-MX"/>
        </w:rPr>
        <w:t>18.239 millones</w:t>
      </w:r>
      <w:r w:rsidRPr="003E425B">
        <w:rPr>
          <w:rFonts w:ascii="Times New Roman" w:hAnsi="Times New Roman"/>
          <w:iCs/>
          <w:sz w:val="28"/>
          <w:lang w:val="es-ES" w:eastAsia="es-MX"/>
        </w:rPr>
        <w:t xml:space="preserve"> – 2.2 billones. Con fundamento en esta tabla, los ponentes estimaron que los gastos de personal del Ministerio de Igualdad y Equidad ascenderían a 18.239 millones, lo que coincidía c</w:t>
      </w:r>
      <w:r w:rsidRPr="003E425B">
        <w:rPr>
          <w:rFonts w:ascii="Times New Roman" w:hAnsi="Times New Roman"/>
          <w:iCs/>
          <w:sz w:val="28"/>
          <w:lang w:val="es-ES" w:eastAsia="es-MX"/>
        </w:rPr>
        <w:t>on el presupuesto de personal asignado al Ministerio de Ciencia, Tecnología e Innovación. Sin embargo, no explicaron, siquiera mínimamente, las razones por las cuales la estructura orgánica y el personal del Ministerio de Igualdad y Equidad sería comparabl</w:t>
      </w:r>
      <w:r w:rsidRPr="003E425B">
        <w:rPr>
          <w:rFonts w:ascii="Times New Roman" w:hAnsi="Times New Roman"/>
          <w:iCs/>
          <w:sz w:val="28"/>
          <w:lang w:val="es-ES" w:eastAsia="es-MX"/>
        </w:rPr>
        <w:t xml:space="preserve">e con la del Ministerio de Ciencia, Tecnología e Innovación. </w:t>
      </w:r>
    </w:p>
    <w:p w:rsidR="002860D7" w:rsidRPr="003E425B" w:rsidRDefault="003E425B" w:rsidP="000C6CC6">
      <w:pPr>
        <w:pStyle w:val="Prrafodelista"/>
        <w:numPr>
          <w:ilvl w:val="1"/>
          <w:numId w:val="33"/>
        </w:numPr>
        <w:spacing w:line="240" w:lineRule="auto"/>
        <w:ind w:left="993" w:hanging="851"/>
        <w:rPr>
          <w:rFonts w:ascii="Times New Roman" w:hAnsi="Times New Roman"/>
          <w:iCs/>
          <w:sz w:val="28"/>
          <w:lang w:eastAsia="es-MX"/>
        </w:rPr>
      </w:pPr>
      <w:r w:rsidRPr="003E425B">
        <w:rPr>
          <w:rFonts w:ascii="Times New Roman" w:hAnsi="Times New Roman"/>
          <w:iCs/>
          <w:sz w:val="28"/>
          <w:lang w:val="es-ES" w:eastAsia="es-MX"/>
        </w:rPr>
        <w:t>La estimación del costo fiscal era abiertamente insuficiente, porque no calculaba los otros gastos generales de funcionamiento (</w:t>
      </w:r>
      <w:r w:rsidRPr="003E425B">
        <w:rPr>
          <w:rFonts w:ascii="Times New Roman" w:hAnsi="Times New Roman"/>
          <w:iCs/>
          <w:sz w:val="28"/>
          <w:lang w:eastAsia="es-MX"/>
        </w:rPr>
        <w:t xml:space="preserve">adquisición de bienes y servicios, impuestos, etc.) </w:t>
      </w:r>
      <w:r w:rsidRPr="003E425B">
        <w:rPr>
          <w:rFonts w:ascii="Times New Roman" w:hAnsi="Times New Roman"/>
          <w:iCs/>
          <w:sz w:val="28"/>
          <w:lang w:val="es-ES" w:eastAsia="es-MX"/>
        </w:rPr>
        <w:t>que tendría el</w:t>
      </w:r>
      <w:r w:rsidRPr="003E425B">
        <w:rPr>
          <w:rFonts w:ascii="Times New Roman" w:hAnsi="Times New Roman"/>
          <w:iCs/>
          <w:sz w:val="28"/>
          <w:lang w:val="es-ES" w:eastAsia="es-MX"/>
        </w:rPr>
        <w:t xml:space="preserve"> Ministerio de Igualdad y Equidad. En efecto, la tabla que presentaron los ponentes sólo contenía información sobre los gastos de personal de los ministerios que ya estaban en operación. En criterio de la Sala, los gastos de funcionamiento son, naturalment</w:t>
      </w:r>
      <w:r w:rsidRPr="003E425B">
        <w:rPr>
          <w:rFonts w:ascii="Times New Roman" w:hAnsi="Times New Roman"/>
          <w:iCs/>
          <w:sz w:val="28"/>
          <w:lang w:val="es-ES" w:eastAsia="es-MX"/>
        </w:rPr>
        <w:t>e, un rubro indispensable para comprender mínimamente el costo fiscal de un ministerio</w:t>
      </w:r>
      <w:r w:rsidRPr="003E425B">
        <w:rPr>
          <w:rStyle w:val="Refdenotaalpie"/>
          <w:rFonts w:ascii="Times New Roman" w:hAnsi="Times New Roman"/>
          <w:iCs/>
          <w:sz w:val="28"/>
          <w:lang w:val="es-ES" w:eastAsia="es-MX"/>
        </w:rPr>
        <w:footnoteReference w:id="356"/>
      </w:r>
      <w:r w:rsidRPr="003E425B">
        <w:rPr>
          <w:rFonts w:ascii="Times New Roman" w:hAnsi="Times New Roman"/>
          <w:iCs/>
          <w:sz w:val="28"/>
          <w:lang w:val="es-ES" w:eastAsia="es-MX"/>
        </w:rPr>
        <w:t xml:space="preserve">. </w:t>
      </w:r>
    </w:p>
    <w:p w:rsidR="002860D7" w:rsidRPr="003E425B" w:rsidRDefault="003E425B" w:rsidP="00010108">
      <w:pPr>
        <w:tabs>
          <w:tab w:val="left" w:pos="567"/>
        </w:tabs>
        <w:rPr>
          <w:rFonts w:ascii="Times New Roman" w:hAnsi="Times New Roman" w:cs="Times New Roman"/>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val="es-ES" w:eastAsia="es-MX"/>
        </w:rPr>
      </w:pPr>
      <w:r w:rsidRPr="003E425B">
        <w:rPr>
          <w:rFonts w:ascii="Times New Roman" w:hAnsi="Times New Roman"/>
          <w:iCs/>
          <w:sz w:val="28"/>
          <w:u w:val="single"/>
          <w:lang w:eastAsia="es-MX"/>
        </w:rPr>
        <w:t>Segundo</w:t>
      </w:r>
      <w:r w:rsidRPr="003E425B">
        <w:rPr>
          <w:rFonts w:ascii="Times New Roman" w:hAnsi="Times New Roman"/>
          <w:iCs/>
          <w:sz w:val="28"/>
          <w:lang w:eastAsia="es-MX"/>
        </w:rPr>
        <w:t xml:space="preserve">. El informe de ponencia no identificó, siquiera de forma somera, la fuente sustitutiva de ingresos. Por el contrario, señaló que “al no tener definido en el </w:t>
      </w:r>
      <w:r w:rsidRPr="003E425B">
        <w:rPr>
          <w:rFonts w:ascii="Times New Roman" w:hAnsi="Times New Roman"/>
          <w:iCs/>
          <w:sz w:val="28"/>
          <w:lang w:eastAsia="es-MX"/>
        </w:rPr>
        <w:t>proyecto de ley una fuente de ingresos adicional, (…), los costos del Ministerio serán atendidos con los presupuestos apropiados por el Presupuesto General de la Nación para cada vigencia”</w:t>
      </w:r>
      <w:r w:rsidRPr="003E425B">
        <w:rPr>
          <w:rFonts w:ascii="Times New Roman" w:hAnsi="Times New Roman"/>
          <w:iCs/>
          <w:sz w:val="28"/>
          <w:vertAlign w:val="superscript"/>
          <w:lang w:eastAsia="es-MX"/>
        </w:rPr>
        <w:footnoteReference w:id="357"/>
      </w:r>
      <w:r w:rsidRPr="003E425B">
        <w:rPr>
          <w:rFonts w:ascii="Times New Roman" w:hAnsi="Times New Roman"/>
          <w:iCs/>
          <w:sz w:val="28"/>
          <w:lang w:eastAsia="es-MX"/>
        </w:rPr>
        <w:t xml:space="preserve">. La Sala considera que esta afirmación es confusa y admite por lo </w:t>
      </w:r>
      <w:r w:rsidRPr="003E425B">
        <w:rPr>
          <w:rFonts w:ascii="Times New Roman" w:hAnsi="Times New Roman"/>
          <w:iCs/>
          <w:sz w:val="28"/>
          <w:lang w:eastAsia="es-MX"/>
        </w:rPr>
        <w:t xml:space="preserve">menos dos interpretaciones: </w:t>
      </w:r>
      <w:r w:rsidRPr="003E425B">
        <w:rPr>
          <w:rFonts w:ascii="Times New Roman" w:hAnsi="Times New Roman"/>
          <w:i/>
          <w:iCs/>
          <w:sz w:val="28"/>
          <w:lang w:eastAsia="es-MX"/>
        </w:rPr>
        <w:t>(i)</w:t>
      </w:r>
      <w:r w:rsidRPr="003E425B">
        <w:rPr>
          <w:rFonts w:ascii="Times New Roman" w:hAnsi="Times New Roman"/>
          <w:iCs/>
          <w:sz w:val="28"/>
          <w:lang w:eastAsia="es-MX"/>
        </w:rPr>
        <w:t xml:space="preserve"> el informe de ponencia sugería que la iniciativa no generaría un nuevo costo, por lo que no era necesario indicar una fuente de ingreso sustitutiva, o </w:t>
      </w:r>
      <w:r w:rsidRPr="003E425B">
        <w:rPr>
          <w:rFonts w:ascii="Times New Roman" w:hAnsi="Times New Roman"/>
          <w:i/>
          <w:iCs/>
          <w:sz w:val="28"/>
          <w:lang w:eastAsia="es-MX"/>
        </w:rPr>
        <w:t>(ii)</w:t>
      </w:r>
      <w:r w:rsidRPr="003E425B">
        <w:rPr>
          <w:rFonts w:ascii="Times New Roman" w:hAnsi="Times New Roman"/>
          <w:iCs/>
          <w:sz w:val="28"/>
          <w:lang w:eastAsia="es-MX"/>
        </w:rPr>
        <w:t xml:space="preserve"> que la fuente de ingresos sustitutiva serían las partidas presupuestales del Presupuesto General la Nación. </w:t>
      </w:r>
    </w:p>
    <w:p w:rsidR="002860D7" w:rsidRPr="003E425B" w:rsidRDefault="003E425B" w:rsidP="00010108">
      <w:pPr>
        <w:pStyle w:val="Prrafodelista"/>
        <w:spacing w:line="240" w:lineRule="auto"/>
        <w:rPr>
          <w:rFonts w:ascii="Times New Roman" w:hAnsi="Times New Roman"/>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val="es-ES" w:eastAsia="es-MX"/>
        </w:rPr>
      </w:pPr>
      <w:r w:rsidRPr="003E425B">
        <w:rPr>
          <w:rFonts w:ascii="Times New Roman" w:hAnsi="Times New Roman"/>
          <w:iCs/>
          <w:sz w:val="28"/>
          <w:lang w:eastAsia="es-MX"/>
        </w:rPr>
        <w:t xml:space="preserve">La Sala considera que ambas interpretaciones demuestran que los ponentes no cumplieron con la obligación prevista en el artículo 7 de la Ley 819 </w:t>
      </w:r>
      <w:r w:rsidRPr="003E425B">
        <w:rPr>
          <w:rFonts w:ascii="Times New Roman" w:hAnsi="Times New Roman"/>
          <w:iCs/>
          <w:sz w:val="28"/>
          <w:lang w:eastAsia="es-MX"/>
        </w:rPr>
        <w:t xml:space="preserve">de 2003. De un lado, la primera interpretación parecería ser contradictoria, porque, como se expuso, los ponentes reconocieron que la creación del ministerio sí </w:t>
      </w:r>
      <w:r w:rsidRPr="003E425B">
        <w:rPr>
          <w:rFonts w:ascii="Times New Roman" w:hAnsi="Times New Roman"/>
          <w:iCs/>
          <w:sz w:val="28"/>
          <w:lang w:eastAsia="es-MX"/>
        </w:rPr>
        <w:t>tendría un costo fiscal adicional</w:t>
      </w:r>
      <w:r w:rsidRPr="003E425B">
        <w:rPr>
          <w:rFonts w:ascii="Times New Roman" w:hAnsi="Times New Roman"/>
          <w:iCs/>
          <w:sz w:val="28"/>
          <w:lang w:eastAsia="es-MX"/>
        </w:rPr>
        <w:t>,</w:t>
      </w:r>
      <w:r w:rsidRPr="003E425B">
        <w:rPr>
          <w:rFonts w:ascii="Times New Roman" w:hAnsi="Times New Roman"/>
          <w:iCs/>
          <w:sz w:val="28"/>
          <w:lang w:eastAsia="es-MX"/>
        </w:rPr>
        <w:t xml:space="preserve"> que estimaron en </w:t>
      </w:r>
      <w:r w:rsidRPr="003E425B">
        <w:rPr>
          <w:rFonts w:ascii="Times New Roman" w:hAnsi="Times New Roman"/>
          <w:iCs/>
          <w:sz w:val="28"/>
          <w:lang w:val="es-ES" w:eastAsia="es-MX"/>
        </w:rPr>
        <w:t xml:space="preserve">18.239 millones. </w:t>
      </w:r>
      <w:r w:rsidRPr="003E425B">
        <w:rPr>
          <w:rFonts w:ascii="Times New Roman" w:hAnsi="Times New Roman"/>
          <w:iCs/>
          <w:sz w:val="28"/>
          <w:lang w:val="es-ES" w:eastAsia="es-MX"/>
        </w:rPr>
        <w:t>Lo anterior, sin perjuicio</w:t>
      </w:r>
      <w:r w:rsidRPr="003E425B">
        <w:rPr>
          <w:rFonts w:ascii="Times New Roman" w:hAnsi="Times New Roman"/>
          <w:iCs/>
          <w:sz w:val="28"/>
          <w:lang w:val="es-ES" w:eastAsia="es-MX"/>
        </w:rPr>
        <w:t xml:space="preserve"> de que, conforme a</w:t>
      </w:r>
      <w:r w:rsidRPr="003E425B">
        <w:rPr>
          <w:rFonts w:ascii="Times New Roman" w:hAnsi="Times New Roman"/>
          <w:iCs/>
          <w:sz w:val="28"/>
          <w:lang w:val="es-ES" w:eastAsia="es-MX"/>
        </w:rPr>
        <w:t xml:space="preserve"> la modificación que se aprobó al</w:t>
      </w:r>
      <w:r w:rsidRPr="003E425B">
        <w:rPr>
          <w:rFonts w:ascii="Times New Roman" w:hAnsi="Times New Roman"/>
          <w:iCs/>
          <w:sz w:val="28"/>
          <w:lang w:val="es-ES" w:eastAsia="es-MX"/>
        </w:rPr>
        <w:t xml:space="preserve"> artículo 12</w:t>
      </w:r>
      <w:r w:rsidRPr="003E425B">
        <w:rPr>
          <w:rFonts w:ascii="Times New Roman" w:hAnsi="Times New Roman"/>
          <w:iCs/>
          <w:sz w:val="28"/>
          <w:lang w:val="es-ES" w:eastAsia="es-MX"/>
        </w:rPr>
        <w:t xml:space="preserve">, </w:t>
      </w:r>
      <w:r w:rsidRPr="003E425B">
        <w:rPr>
          <w:rFonts w:ascii="Times New Roman" w:hAnsi="Times New Roman"/>
          <w:iCs/>
          <w:sz w:val="28"/>
          <w:lang w:eastAsia="es-MX"/>
        </w:rPr>
        <w:t>se proponía conferir facultades para “establecer la estructura orgánica del Ministerio de la Igualdad y la Equidad. Unificar, eliminar, fusionar o reorganizar entidades del orden nacional ex</w:t>
      </w:r>
      <w:r w:rsidRPr="003E425B">
        <w:rPr>
          <w:rFonts w:ascii="Times New Roman" w:hAnsi="Times New Roman"/>
          <w:iCs/>
          <w:sz w:val="28"/>
          <w:lang w:eastAsia="es-MX"/>
        </w:rPr>
        <w:t xml:space="preserve">istentes, Consejerías, direcciones y demás”. </w:t>
      </w:r>
      <w:r w:rsidRPr="003E425B">
        <w:rPr>
          <w:rFonts w:ascii="Times New Roman" w:hAnsi="Times New Roman"/>
          <w:iCs/>
          <w:sz w:val="28"/>
          <w:lang w:eastAsia="es-MX"/>
        </w:rPr>
        <w:t xml:space="preserve">Esta modificación implicaba que, eventualmente, el gasto </w:t>
      </w:r>
      <w:r w:rsidRPr="003E425B">
        <w:rPr>
          <w:rFonts w:ascii="Times New Roman" w:hAnsi="Times New Roman"/>
          <w:iCs/>
          <w:sz w:val="28"/>
          <w:lang w:eastAsia="es-MX"/>
        </w:rPr>
        <w:t>de</w:t>
      </w:r>
      <w:r w:rsidRPr="003E425B">
        <w:rPr>
          <w:rFonts w:ascii="Times New Roman" w:hAnsi="Times New Roman"/>
          <w:iCs/>
          <w:sz w:val="28"/>
          <w:lang w:eastAsia="es-MX"/>
        </w:rPr>
        <w:t xml:space="preserve"> la iniciativa </w:t>
      </w:r>
      <w:r w:rsidRPr="003E425B">
        <w:rPr>
          <w:rFonts w:ascii="Times New Roman" w:hAnsi="Times New Roman"/>
          <w:iCs/>
          <w:sz w:val="28"/>
          <w:lang w:eastAsia="es-MX"/>
        </w:rPr>
        <w:t>se reduciría</w:t>
      </w:r>
      <w:r w:rsidRPr="003E425B">
        <w:rPr>
          <w:rFonts w:ascii="Times New Roman" w:hAnsi="Times New Roman"/>
          <w:iCs/>
          <w:sz w:val="28"/>
          <w:lang w:eastAsia="es-MX"/>
        </w:rPr>
        <w:t xml:space="preserve">, dado que </w:t>
      </w:r>
      <w:r w:rsidRPr="003E425B">
        <w:rPr>
          <w:rFonts w:ascii="Times New Roman" w:hAnsi="Times New Roman"/>
          <w:iCs/>
          <w:sz w:val="28"/>
          <w:lang w:eastAsia="es-MX"/>
        </w:rPr>
        <w:t xml:space="preserve">el Presidente de la República podría disponer que </w:t>
      </w:r>
      <w:r w:rsidRPr="003E425B">
        <w:rPr>
          <w:rFonts w:ascii="Times New Roman" w:hAnsi="Times New Roman"/>
          <w:iCs/>
          <w:sz w:val="28"/>
          <w:lang w:eastAsia="es-MX"/>
        </w:rPr>
        <w:t xml:space="preserve">algunas entidades ya creadas </w:t>
      </w:r>
      <w:r w:rsidRPr="003E425B">
        <w:rPr>
          <w:rFonts w:ascii="Times New Roman" w:hAnsi="Times New Roman"/>
          <w:iCs/>
          <w:sz w:val="28"/>
          <w:lang w:eastAsia="es-MX"/>
        </w:rPr>
        <w:t>formaran</w:t>
      </w:r>
      <w:r w:rsidRPr="003E425B">
        <w:rPr>
          <w:rFonts w:ascii="Times New Roman" w:hAnsi="Times New Roman"/>
          <w:iCs/>
          <w:sz w:val="28"/>
          <w:lang w:eastAsia="es-MX"/>
        </w:rPr>
        <w:t xml:space="preserve"> parte de la estructura org</w:t>
      </w:r>
      <w:r w:rsidRPr="003E425B">
        <w:rPr>
          <w:rFonts w:ascii="Times New Roman" w:hAnsi="Times New Roman"/>
          <w:iCs/>
          <w:sz w:val="28"/>
          <w:lang w:eastAsia="es-MX"/>
        </w:rPr>
        <w:t xml:space="preserve">ánica del ministerio. Sin embargo, </w:t>
      </w:r>
      <w:r w:rsidRPr="003E425B">
        <w:rPr>
          <w:rFonts w:ascii="Times New Roman" w:hAnsi="Times New Roman"/>
          <w:iCs/>
          <w:sz w:val="28"/>
          <w:lang w:eastAsia="es-MX"/>
        </w:rPr>
        <w:t xml:space="preserve">tal y como lo reconocieron los ponentes, esta disposición </w:t>
      </w:r>
      <w:r w:rsidRPr="003E425B">
        <w:rPr>
          <w:rFonts w:ascii="Times New Roman" w:hAnsi="Times New Roman"/>
          <w:iCs/>
          <w:sz w:val="28"/>
          <w:lang w:eastAsia="es-MX"/>
        </w:rPr>
        <w:t>no</w:t>
      </w:r>
      <w:r w:rsidRPr="003E425B">
        <w:rPr>
          <w:rFonts w:ascii="Times New Roman" w:hAnsi="Times New Roman"/>
          <w:iCs/>
          <w:sz w:val="28"/>
          <w:lang w:eastAsia="es-MX"/>
        </w:rPr>
        <w:t xml:space="preserve"> implicaba, necesariamente, la</w:t>
      </w:r>
      <w:r w:rsidRPr="003E425B">
        <w:rPr>
          <w:rFonts w:ascii="Times New Roman" w:hAnsi="Times New Roman"/>
          <w:iCs/>
          <w:sz w:val="28"/>
          <w:lang w:eastAsia="es-MX"/>
        </w:rPr>
        <w:t xml:space="preserve"> </w:t>
      </w:r>
      <w:r w:rsidRPr="003E425B">
        <w:rPr>
          <w:rFonts w:ascii="Times New Roman" w:hAnsi="Times New Roman"/>
          <w:iCs/>
          <w:sz w:val="28"/>
          <w:lang w:eastAsia="es-MX"/>
        </w:rPr>
        <w:t>eliminación</w:t>
      </w:r>
      <w:r w:rsidRPr="003E425B">
        <w:rPr>
          <w:rFonts w:ascii="Times New Roman" w:hAnsi="Times New Roman"/>
          <w:iCs/>
          <w:sz w:val="28"/>
          <w:lang w:eastAsia="es-MX"/>
        </w:rPr>
        <w:t xml:space="preserve"> </w:t>
      </w:r>
      <w:r w:rsidRPr="003E425B">
        <w:rPr>
          <w:rFonts w:ascii="Times New Roman" w:hAnsi="Times New Roman"/>
          <w:iCs/>
          <w:sz w:val="28"/>
          <w:lang w:eastAsia="es-MX"/>
        </w:rPr>
        <w:t>d</w:t>
      </w:r>
      <w:r w:rsidRPr="003E425B">
        <w:rPr>
          <w:rFonts w:ascii="Times New Roman" w:hAnsi="Times New Roman"/>
          <w:iCs/>
          <w:sz w:val="28"/>
          <w:lang w:eastAsia="es-MX"/>
        </w:rPr>
        <w:t>el costo</w:t>
      </w:r>
      <w:r w:rsidRPr="003E425B">
        <w:rPr>
          <w:rFonts w:ascii="Times New Roman" w:hAnsi="Times New Roman"/>
          <w:iCs/>
          <w:sz w:val="28"/>
          <w:lang w:eastAsia="es-MX"/>
        </w:rPr>
        <w:t xml:space="preserve"> fiscal y, en consecuencia, la necesidad de identificar una fuente sustitutiva de ingresos</w:t>
      </w:r>
      <w:r w:rsidRPr="003E425B">
        <w:rPr>
          <w:rFonts w:ascii="Times New Roman" w:hAnsi="Times New Roman"/>
          <w:iCs/>
          <w:sz w:val="28"/>
          <w:lang w:eastAsia="es-MX"/>
        </w:rPr>
        <w:t xml:space="preserve"> para financiarlo</w:t>
      </w:r>
      <w:r w:rsidRPr="003E425B">
        <w:rPr>
          <w:rFonts w:ascii="Times New Roman" w:hAnsi="Times New Roman"/>
          <w:iCs/>
          <w:sz w:val="28"/>
          <w:lang w:eastAsia="es-MX"/>
        </w:rPr>
        <w:t>.</w:t>
      </w:r>
      <w:r w:rsidRPr="003E425B">
        <w:rPr>
          <w:rFonts w:ascii="Times New Roman" w:hAnsi="Times New Roman"/>
          <w:iCs/>
          <w:sz w:val="28"/>
          <w:lang w:eastAsia="es-MX"/>
        </w:rPr>
        <w:t xml:space="preserve"> </w:t>
      </w:r>
      <w:r w:rsidRPr="003E425B">
        <w:rPr>
          <w:rFonts w:ascii="Times New Roman" w:hAnsi="Times New Roman"/>
          <w:iCs/>
          <w:sz w:val="28"/>
          <w:lang w:eastAsia="es-MX"/>
        </w:rPr>
        <w:t xml:space="preserve">Por su parte, la Sala reitera que, conforme a la jurisprudencia constitucional, </w:t>
      </w:r>
      <w:r w:rsidRPr="003E425B">
        <w:rPr>
          <w:rFonts w:ascii="Times New Roman" w:hAnsi="Times New Roman"/>
          <w:i/>
          <w:iCs/>
          <w:sz w:val="28"/>
          <w:lang w:eastAsia="es-MX"/>
        </w:rPr>
        <w:t>(a)</w:t>
      </w:r>
      <w:r w:rsidRPr="003E425B">
        <w:rPr>
          <w:rFonts w:ascii="Times New Roman" w:hAnsi="Times New Roman"/>
          <w:iCs/>
          <w:sz w:val="28"/>
          <w:lang w:eastAsia="es-MX"/>
        </w:rPr>
        <w:t xml:space="preserve"> el Presupuesto General de la Nación no es una fuente sustitutiva de ingresos y</w:t>
      </w:r>
      <w:r w:rsidRPr="003E425B">
        <w:rPr>
          <w:rFonts w:ascii="Times New Roman" w:hAnsi="Times New Roman"/>
          <w:iCs/>
          <w:sz w:val="28"/>
          <w:lang w:eastAsia="es-MX"/>
        </w:rPr>
        <w:t xml:space="preserve"> </w:t>
      </w:r>
      <w:r w:rsidRPr="003E425B">
        <w:rPr>
          <w:rFonts w:ascii="Times New Roman" w:hAnsi="Times New Roman"/>
          <w:i/>
          <w:iCs/>
          <w:sz w:val="28"/>
          <w:lang w:eastAsia="es-MX"/>
        </w:rPr>
        <w:t>(b)</w:t>
      </w:r>
      <w:r w:rsidRPr="003E425B">
        <w:rPr>
          <w:rFonts w:ascii="Times New Roman" w:hAnsi="Times New Roman"/>
          <w:iCs/>
          <w:sz w:val="28"/>
          <w:lang w:eastAsia="es-MX"/>
        </w:rPr>
        <w:t xml:space="preserve"> no es constitucionalmente admisible que se traslade a la ley del presupuesto la obligació</w:t>
      </w:r>
      <w:r w:rsidRPr="003E425B">
        <w:rPr>
          <w:rFonts w:ascii="Times New Roman" w:hAnsi="Times New Roman"/>
          <w:iCs/>
          <w:sz w:val="28"/>
          <w:lang w:eastAsia="es-MX"/>
        </w:rPr>
        <w:t>n prevista en la Ley 819 de 2003 de identificar la fuente de ingreso adicional de las iniciativas que ordenan gasto</w:t>
      </w:r>
      <w:r w:rsidRPr="003E425B">
        <w:rPr>
          <w:rFonts w:ascii="Times New Roman" w:hAnsi="Times New Roman"/>
          <w:i/>
          <w:iCs/>
          <w:sz w:val="28"/>
          <w:lang w:val="es-ES" w:eastAsia="es-MX"/>
        </w:rPr>
        <w:t xml:space="preserve">. </w:t>
      </w:r>
    </w:p>
    <w:p w:rsidR="002860D7" w:rsidRPr="003E425B" w:rsidRDefault="003E425B" w:rsidP="00010108">
      <w:pPr>
        <w:pStyle w:val="Prrafodelista"/>
        <w:spacing w:line="240" w:lineRule="auto"/>
        <w:ind w:left="0"/>
        <w:rPr>
          <w:rFonts w:ascii="Times New Roman" w:hAnsi="Times New Roman"/>
          <w:sz w:val="28"/>
          <w:lang w:val="es-ES"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val="es-ES" w:eastAsia="es-MX"/>
        </w:rPr>
      </w:pPr>
      <w:r w:rsidRPr="003E425B">
        <w:rPr>
          <w:rFonts w:ascii="Times New Roman" w:hAnsi="Times New Roman"/>
          <w:iCs/>
          <w:sz w:val="28"/>
          <w:lang w:val="es-ES" w:eastAsia="es-MX"/>
        </w:rPr>
        <w:t xml:space="preserve">La Sala </w:t>
      </w:r>
      <w:r w:rsidRPr="003E425B">
        <w:rPr>
          <w:rFonts w:ascii="Times New Roman" w:hAnsi="Times New Roman"/>
          <w:iCs/>
          <w:sz w:val="28"/>
          <w:lang w:val="es-ES" w:eastAsia="es-MX"/>
        </w:rPr>
        <w:t xml:space="preserve">Plena </w:t>
      </w:r>
      <w:r w:rsidRPr="003E425B">
        <w:rPr>
          <w:rFonts w:ascii="Times New Roman" w:hAnsi="Times New Roman"/>
          <w:iCs/>
          <w:sz w:val="28"/>
          <w:lang w:val="es-ES" w:eastAsia="es-MX"/>
        </w:rPr>
        <w:t>advierte que el debate en las comisiones constitucionales permanentes evidencia que la falta de claridad sobre el costo fis</w:t>
      </w:r>
      <w:r w:rsidRPr="003E425B">
        <w:rPr>
          <w:rFonts w:ascii="Times New Roman" w:hAnsi="Times New Roman"/>
          <w:iCs/>
          <w:sz w:val="28"/>
          <w:lang w:val="es-ES" w:eastAsia="es-MX"/>
        </w:rPr>
        <w:t xml:space="preserve">cal de la iniciativa, así como la fuente de ingresos sustitutiva, era manifiesta. La Sala reitera que, </w:t>
      </w:r>
      <w:r w:rsidRPr="003E425B">
        <w:rPr>
          <w:rFonts w:ascii="Times New Roman" w:hAnsi="Times New Roman"/>
          <w:sz w:val="28"/>
          <w:lang w:eastAsia="es-MX"/>
        </w:rPr>
        <w:t>en el debate en las comisiones, 10 congresistas de distintos partidos políticos manifestaron, de una u otra manera, su preocupación sobre el impacto fisc</w:t>
      </w:r>
      <w:r w:rsidRPr="003E425B">
        <w:rPr>
          <w:rFonts w:ascii="Times New Roman" w:hAnsi="Times New Roman"/>
          <w:sz w:val="28"/>
          <w:lang w:eastAsia="es-MX"/>
        </w:rPr>
        <w:t>al del proyecto de Ley</w:t>
      </w:r>
      <w:r w:rsidRPr="003E425B">
        <w:rPr>
          <w:rFonts w:ascii="Times New Roman" w:hAnsi="Times New Roman"/>
          <w:sz w:val="28"/>
          <w:vertAlign w:val="superscript"/>
          <w:lang w:eastAsia="es-MX"/>
        </w:rPr>
        <w:footnoteReference w:id="358"/>
      </w:r>
      <w:r w:rsidRPr="003E425B">
        <w:rPr>
          <w:rFonts w:ascii="Times New Roman" w:hAnsi="Times New Roman"/>
          <w:sz w:val="28"/>
          <w:lang w:eastAsia="es-MX"/>
        </w:rPr>
        <w:t xml:space="preserve">. En concreto, señalaron que no sabían cuáles eran los costos fiscales ni la fuente de ingresos adicional que cubriría el aumento del gasto, como tampoco cuál sería la planta de personal, los costos de operación, la infraestructura, </w:t>
      </w:r>
      <w:r w:rsidRPr="003E425B">
        <w:rPr>
          <w:rFonts w:ascii="Times New Roman" w:hAnsi="Times New Roman"/>
          <w:sz w:val="28"/>
          <w:lang w:eastAsia="es-MX"/>
        </w:rPr>
        <w:t xml:space="preserve">la estructura mínima del Ministerio y las entidades que pasarían a formar parte de la nueva entidad. </w:t>
      </w:r>
      <w:r w:rsidRPr="003E425B">
        <w:rPr>
          <w:rFonts w:ascii="Times New Roman" w:hAnsi="Times New Roman"/>
          <w:iCs/>
          <w:sz w:val="28"/>
          <w:lang w:val="es-ES" w:eastAsia="es-MX"/>
        </w:rPr>
        <w:t xml:space="preserve">Sin estos referentes mínimos, era imposible analizar el impacto fiscal de la medida. </w:t>
      </w:r>
      <w:r w:rsidRPr="003E425B">
        <w:rPr>
          <w:rFonts w:ascii="Times New Roman" w:hAnsi="Times New Roman"/>
          <w:sz w:val="28"/>
          <w:lang w:eastAsia="es-MX"/>
        </w:rPr>
        <w:t>Esta situación también fue advertida en las ponencias negativas para p</w:t>
      </w:r>
      <w:r w:rsidRPr="003E425B">
        <w:rPr>
          <w:rFonts w:ascii="Times New Roman" w:hAnsi="Times New Roman"/>
          <w:sz w:val="28"/>
          <w:lang w:eastAsia="es-MX"/>
        </w:rPr>
        <w:t>rimer debate, presentadas por la senadora María Fernanda Cabal</w:t>
      </w:r>
      <w:r w:rsidRPr="003E425B">
        <w:rPr>
          <w:rStyle w:val="Refdenotaalpie"/>
          <w:rFonts w:ascii="Times New Roman" w:hAnsi="Times New Roman"/>
          <w:sz w:val="28"/>
          <w:lang w:eastAsia="es-MX"/>
        </w:rPr>
        <w:footnoteReference w:id="359"/>
      </w:r>
      <w:r w:rsidRPr="003E425B">
        <w:rPr>
          <w:rFonts w:ascii="Times New Roman" w:hAnsi="Times New Roman"/>
          <w:sz w:val="28"/>
          <w:lang w:eastAsia="es-MX"/>
        </w:rPr>
        <w:t xml:space="preserve"> y el Representante Miguel Polo Polo</w:t>
      </w:r>
      <w:r w:rsidRPr="003E425B">
        <w:rPr>
          <w:rStyle w:val="Refdenotaalpie"/>
          <w:rFonts w:ascii="Times New Roman" w:hAnsi="Times New Roman"/>
          <w:sz w:val="28"/>
          <w:lang w:eastAsia="es-MX"/>
        </w:rPr>
        <w:footnoteReference w:id="360"/>
      </w:r>
      <w:r w:rsidRPr="003E425B">
        <w:rPr>
          <w:rFonts w:ascii="Times New Roman" w:hAnsi="Times New Roman"/>
          <w:sz w:val="28"/>
          <w:lang w:eastAsia="es-MX"/>
        </w:rPr>
        <w:t>, quienes manifestaron que el proyecto de ley no contaba con un análisis serio del impacto fiscal de la medida.</w:t>
      </w:r>
    </w:p>
    <w:p w:rsidR="002860D7" w:rsidRPr="003E425B" w:rsidRDefault="003E425B" w:rsidP="00010108">
      <w:pPr>
        <w:pStyle w:val="Prrafodelista"/>
        <w:spacing w:line="240" w:lineRule="auto"/>
        <w:ind w:left="0"/>
        <w:rPr>
          <w:rFonts w:ascii="Times New Roman" w:hAnsi="Times New Roman"/>
          <w:i/>
          <w:iCs/>
          <w:sz w:val="28"/>
          <w:lang w:val="es-ES"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val="es-ES" w:eastAsia="es-MX"/>
        </w:rPr>
      </w:pPr>
      <w:r w:rsidRPr="003E425B">
        <w:rPr>
          <w:rFonts w:ascii="Times New Roman" w:hAnsi="Times New Roman"/>
          <w:sz w:val="28"/>
          <w:lang w:eastAsia="es-MX"/>
        </w:rPr>
        <w:t xml:space="preserve">En tales términos, la Sala concluye que el </w:t>
      </w:r>
      <w:r w:rsidRPr="003E425B">
        <w:rPr>
          <w:rFonts w:ascii="Times New Roman" w:hAnsi="Times New Roman"/>
          <w:sz w:val="28"/>
          <w:lang w:eastAsia="es-MX"/>
        </w:rPr>
        <w:t>informe de ponencia para debate en comisiones conjuntas no identific</w:t>
      </w:r>
      <w:r w:rsidRPr="003E425B">
        <w:rPr>
          <w:rFonts w:ascii="Times New Roman" w:hAnsi="Times New Roman"/>
          <w:sz w:val="28"/>
          <w:lang w:eastAsia="es-MX"/>
        </w:rPr>
        <w:t>ó</w:t>
      </w:r>
      <w:r w:rsidRPr="003E425B">
        <w:rPr>
          <w:rFonts w:ascii="Times New Roman" w:hAnsi="Times New Roman"/>
          <w:sz w:val="28"/>
          <w:lang w:eastAsia="es-MX"/>
        </w:rPr>
        <w:t xml:space="preserve"> los referentes básicos del impacto fiscal de la medida. </w:t>
      </w:r>
      <w:r w:rsidRPr="003E425B">
        <w:rPr>
          <w:rFonts w:ascii="Times New Roman" w:hAnsi="Times New Roman"/>
          <w:sz w:val="28"/>
          <w:lang w:eastAsia="es-MX"/>
        </w:rPr>
        <w:t>Au</w:t>
      </w:r>
      <w:r w:rsidRPr="003E425B">
        <w:rPr>
          <w:rFonts w:ascii="Times New Roman" w:hAnsi="Times New Roman"/>
          <w:sz w:val="28"/>
          <w:lang w:eastAsia="es-MX"/>
        </w:rPr>
        <w:t>nque</w:t>
      </w:r>
      <w:r w:rsidRPr="003E425B">
        <w:rPr>
          <w:rFonts w:ascii="Times New Roman" w:hAnsi="Times New Roman"/>
          <w:sz w:val="28"/>
          <w:lang w:eastAsia="es-MX"/>
        </w:rPr>
        <w:t xml:space="preserve"> por sí s</w:t>
      </w:r>
      <w:r w:rsidRPr="003E425B">
        <w:rPr>
          <w:rFonts w:ascii="Times New Roman" w:hAnsi="Times New Roman"/>
          <w:sz w:val="28"/>
          <w:lang w:eastAsia="es-MX"/>
        </w:rPr>
        <w:t>o</w:t>
      </w:r>
      <w:r w:rsidRPr="003E425B">
        <w:rPr>
          <w:rFonts w:ascii="Times New Roman" w:hAnsi="Times New Roman"/>
          <w:sz w:val="28"/>
          <w:lang w:eastAsia="es-MX"/>
        </w:rPr>
        <w:t>l</w:t>
      </w:r>
      <w:r w:rsidRPr="003E425B">
        <w:rPr>
          <w:rFonts w:ascii="Times New Roman" w:hAnsi="Times New Roman"/>
          <w:sz w:val="28"/>
          <w:lang w:eastAsia="es-MX"/>
        </w:rPr>
        <w:t>a</w:t>
      </w:r>
      <w:r w:rsidRPr="003E425B">
        <w:rPr>
          <w:rFonts w:ascii="Times New Roman" w:hAnsi="Times New Roman"/>
          <w:sz w:val="28"/>
          <w:lang w:eastAsia="es-MX"/>
        </w:rPr>
        <w:t>, esta falencia no conduce a la inexequibilidad de la ley demanda, sí</w:t>
      </w:r>
      <w:r w:rsidRPr="003E425B">
        <w:rPr>
          <w:rFonts w:ascii="Times New Roman" w:hAnsi="Times New Roman"/>
          <w:sz w:val="28"/>
          <w:lang w:eastAsia="es-MX"/>
        </w:rPr>
        <w:t xml:space="preserve"> constituye un incumplimiento del deber pre</w:t>
      </w:r>
      <w:r w:rsidRPr="003E425B">
        <w:rPr>
          <w:rFonts w:ascii="Times New Roman" w:hAnsi="Times New Roman"/>
          <w:sz w:val="28"/>
          <w:lang w:eastAsia="es-MX"/>
        </w:rPr>
        <w:t>visto en el inciso 2º del artículo 7º de la Ley 819 de 2003</w:t>
      </w:r>
      <w:r w:rsidRPr="003E425B">
        <w:rPr>
          <w:rFonts w:ascii="Times New Roman" w:hAnsi="Times New Roman"/>
          <w:sz w:val="28"/>
          <w:lang w:eastAsia="es-MX"/>
        </w:rPr>
        <w:t xml:space="preserve"> y refleja que la incertidumbre en relación con el impacto fiscal de la iniciativa, que se presentaba desde la exposición de motivos</w:t>
      </w:r>
      <w:r w:rsidRPr="003E425B">
        <w:rPr>
          <w:rFonts w:ascii="Times New Roman" w:hAnsi="Times New Roman"/>
          <w:sz w:val="28"/>
          <w:lang w:eastAsia="es-MX"/>
        </w:rPr>
        <w:t>,</w:t>
      </w:r>
      <w:r w:rsidRPr="003E425B">
        <w:rPr>
          <w:rFonts w:ascii="Times New Roman" w:hAnsi="Times New Roman"/>
          <w:sz w:val="28"/>
          <w:lang w:eastAsia="es-MX"/>
        </w:rPr>
        <w:t xml:space="preserve"> </w:t>
      </w:r>
      <w:r w:rsidRPr="003E425B">
        <w:rPr>
          <w:rFonts w:ascii="Times New Roman" w:hAnsi="Times New Roman"/>
          <w:sz w:val="28"/>
          <w:lang w:eastAsia="es-MX"/>
        </w:rPr>
        <w:t xml:space="preserve">persistía en esta etapa del procedimiento legislativo. </w:t>
      </w:r>
    </w:p>
    <w:p w:rsidR="002860D7" w:rsidRPr="003E425B" w:rsidRDefault="003E425B" w:rsidP="00010108">
      <w:pPr>
        <w:pStyle w:val="Prrafodelista"/>
        <w:tabs>
          <w:tab w:val="left" w:pos="567"/>
        </w:tabs>
        <w:spacing w:line="240" w:lineRule="auto"/>
        <w:ind w:left="0"/>
        <w:rPr>
          <w:rFonts w:ascii="Times New Roman" w:hAnsi="Times New Roman"/>
          <w:iCs/>
          <w:sz w:val="28"/>
          <w:lang w:eastAsia="es-MX"/>
        </w:rPr>
      </w:pPr>
    </w:p>
    <w:p w:rsidR="002860D7" w:rsidRPr="003E425B" w:rsidRDefault="003E425B" w:rsidP="00390858">
      <w:pPr>
        <w:pStyle w:val="Ttulo4"/>
        <w:numPr>
          <w:ilvl w:val="0"/>
          <w:numId w:val="24"/>
        </w:numPr>
        <w:rPr>
          <w:rFonts w:ascii="Times New Roman" w:hAnsi="Times New Roman" w:cs="Times New Roman"/>
          <w:sz w:val="28"/>
          <w:lang w:eastAsia="es-MX"/>
        </w:rPr>
      </w:pPr>
      <w:r w:rsidRPr="003E425B">
        <w:rPr>
          <w:rFonts w:ascii="Times New Roman" w:hAnsi="Times New Roman" w:cs="Times New Roman"/>
          <w:i/>
          <w:iCs w:val="0"/>
          <w:sz w:val="28"/>
          <w:lang w:eastAsia="es-MX"/>
        </w:rPr>
        <w:t>Informe de ponencia para las plenarias</w:t>
      </w:r>
      <w:r w:rsidRPr="003E425B">
        <w:rPr>
          <w:rFonts w:ascii="Times New Roman" w:hAnsi="Times New Roman" w:cs="Times New Roman"/>
          <w:sz w:val="28"/>
          <w:lang w:eastAsia="es-MX"/>
        </w:rPr>
        <w:t>: e</w:t>
      </w:r>
      <w:r w:rsidRPr="003E425B">
        <w:rPr>
          <w:rFonts w:ascii="Times New Roman" w:hAnsi="Times New Roman" w:cs="Times New Roman"/>
          <w:sz w:val="28"/>
          <w:lang w:eastAsia="es-MX"/>
        </w:rPr>
        <w:t xml:space="preserve">l informe de ponencia para el debate en las plenarias no identificó los referentes básicos del impacto fiscal de la iniciativa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471F48"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bookmarkStart w:id="31" w:name="_Ref165375845"/>
      <w:r w:rsidRPr="003E425B">
        <w:rPr>
          <w:rFonts w:ascii="Times New Roman" w:hAnsi="Times New Roman"/>
          <w:i/>
          <w:iCs/>
          <w:sz w:val="28"/>
          <w:lang w:eastAsia="es-MX"/>
        </w:rPr>
        <w:t>El informe de ponencia</w:t>
      </w:r>
      <w:r w:rsidRPr="003E425B">
        <w:rPr>
          <w:rFonts w:ascii="Times New Roman" w:hAnsi="Times New Roman"/>
          <w:sz w:val="28"/>
          <w:lang w:eastAsia="es-MX"/>
        </w:rPr>
        <w:t>. El 6 de diciembre de 2022, los ponentes presentaron informe d</w:t>
      </w:r>
      <w:r w:rsidRPr="003E425B">
        <w:rPr>
          <w:rFonts w:ascii="Times New Roman" w:hAnsi="Times New Roman"/>
          <w:sz w:val="28"/>
          <w:lang w:eastAsia="es-MX"/>
        </w:rPr>
        <w:t>e ponencia para segundo debate en las plenarias de la Cámara de Representantes y el Senado de la República, así como un pliego modificatorio del texto del articulado que había sido aprobado por las comisiones conjuntas. En lo relevante, el pliego modificat</w:t>
      </w:r>
      <w:r w:rsidRPr="003E425B">
        <w:rPr>
          <w:rFonts w:ascii="Times New Roman" w:hAnsi="Times New Roman"/>
          <w:sz w:val="28"/>
          <w:lang w:eastAsia="es-MX"/>
        </w:rPr>
        <w:t xml:space="preserve">orio proponía </w:t>
      </w:r>
      <w:r w:rsidRPr="003E425B">
        <w:rPr>
          <w:rFonts w:ascii="Times New Roman" w:hAnsi="Times New Roman"/>
          <w:i/>
          <w:sz w:val="28"/>
          <w:lang w:eastAsia="es-MX"/>
        </w:rPr>
        <w:t>(i)</w:t>
      </w:r>
      <w:r w:rsidRPr="003E425B">
        <w:rPr>
          <w:rFonts w:ascii="Times New Roman" w:hAnsi="Times New Roman"/>
          <w:sz w:val="28"/>
          <w:lang w:eastAsia="es-MX"/>
        </w:rPr>
        <w:t xml:space="preserve"> incluir un nuevo artículo que definía la estructura orgánica del ministerio y </w:t>
      </w:r>
      <w:r w:rsidRPr="003E425B">
        <w:rPr>
          <w:rFonts w:ascii="Times New Roman" w:hAnsi="Times New Roman"/>
          <w:i/>
          <w:sz w:val="28"/>
          <w:lang w:eastAsia="es-MX"/>
        </w:rPr>
        <w:t>(ii)</w:t>
      </w:r>
      <w:r w:rsidRPr="003E425B">
        <w:rPr>
          <w:rFonts w:ascii="Times New Roman" w:hAnsi="Times New Roman"/>
          <w:sz w:val="28"/>
          <w:lang w:eastAsia="es-MX"/>
        </w:rPr>
        <w:t xml:space="preserve"> limitaba el alcance de las facultades extraordinarias que se concedían al Presidente de la República</w:t>
      </w:r>
      <w:r w:rsidRPr="003E425B">
        <w:rPr>
          <w:rStyle w:val="Refdenotaalpie"/>
          <w:rFonts w:ascii="Times New Roman" w:hAnsi="Times New Roman"/>
          <w:sz w:val="28"/>
          <w:lang w:eastAsia="es-MX"/>
        </w:rPr>
        <w:footnoteReference w:id="361"/>
      </w:r>
      <w:r w:rsidRPr="003E425B">
        <w:rPr>
          <w:rFonts w:ascii="Times New Roman" w:hAnsi="Times New Roman"/>
          <w:sz w:val="28"/>
          <w:lang w:eastAsia="es-MX"/>
        </w:rPr>
        <w:t xml:space="preserve">. </w:t>
      </w:r>
      <w:r w:rsidRPr="003E425B">
        <w:rPr>
          <w:rFonts w:ascii="Times New Roman" w:hAnsi="Times New Roman"/>
          <w:sz w:val="28"/>
          <w:lang w:val="es-ES" w:eastAsia="es-MX"/>
        </w:rPr>
        <w:t>E</w:t>
      </w:r>
      <w:r w:rsidRPr="003E425B">
        <w:rPr>
          <w:rFonts w:ascii="Times New Roman" w:hAnsi="Times New Roman"/>
          <w:sz w:val="28"/>
          <w:lang w:val="es-ES" w:eastAsia="es-MX"/>
        </w:rPr>
        <w:t xml:space="preserve">n relación con este último punto, el informe de ponencia proponía volver a la redacción original, conforme a la cual el objeto de las facultades extraordinarias se circunscribía, exclusivamente, a la integración del </w:t>
      </w:r>
      <w:r w:rsidRPr="003E425B">
        <w:rPr>
          <w:rFonts w:ascii="Times New Roman" w:hAnsi="Times New Roman"/>
          <w:i/>
          <w:iCs/>
          <w:sz w:val="28"/>
          <w:lang w:val="es-ES" w:eastAsia="es-MX"/>
        </w:rPr>
        <w:t>sector</w:t>
      </w:r>
      <w:r w:rsidRPr="003E425B">
        <w:rPr>
          <w:rFonts w:ascii="Times New Roman" w:hAnsi="Times New Roman"/>
          <w:sz w:val="28"/>
          <w:lang w:val="es-ES" w:eastAsia="es-MX"/>
        </w:rPr>
        <w:t xml:space="preserve"> administrativo de Igualdad y Equi</w:t>
      </w:r>
      <w:r w:rsidRPr="003E425B">
        <w:rPr>
          <w:rFonts w:ascii="Times New Roman" w:hAnsi="Times New Roman"/>
          <w:sz w:val="28"/>
          <w:lang w:val="es-ES" w:eastAsia="es-MX"/>
        </w:rPr>
        <w:t xml:space="preserve">dad. En tales términos, en este punto del procedimiento legislativo el proyecto de articulado </w:t>
      </w:r>
      <w:r w:rsidRPr="003E425B">
        <w:rPr>
          <w:rFonts w:ascii="Times New Roman" w:hAnsi="Times New Roman"/>
          <w:i/>
          <w:iCs/>
          <w:sz w:val="28"/>
          <w:lang w:val="es-ES" w:eastAsia="es-MX"/>
        </w:rPr>
        <w:t>(i)</w:t>
      </w:r>
      <w:r w:rsidRPr="003E425B">
        <w:rPr>
          <w:rFonts w:ascii="Times New Roman" w:hAnsi="Times New Roman"/>
          <w:sz w:val="28"/>
          <w:lang w:val="es-ES" w:eastAsia="es-MX"/>
        </w:rPr>
        <w:t xml:space="preserve"> disponía la creación del nuevo ministerio, </w:t>
      </w:r>
      <w:r w:rsidRPr="003E425B">
        <w:rPr>
          <w:rFonts w:ascii="Times New Roman" w:hAnsi="Times New Roman"/>
          <w:i/>
          <w:iCs/>
          <w:sz w:val="28"/>
          <w:lang w:val="es-ES" w:eastAsia="es-MX"/>
        </w:rPr>
        <w:t>(ii)</w:t>
      </w:r>
      <w:r w:rsidRPr="003E425B">
        <w:rPr>
          <w:rFonts w:ascii="Times New Roman" w:hAnsi="Times New Roman"/>
          <w:sz w:val="28"/>
          <w:lang w:val="es-ES" w:eastAsia="es-MX"/>
        </w:rPr>
        <w:t xml:space="preserve"> previa su estructura orgánica y composición presupuestal y </w:t>
      </w:r>
      <w:r w:rsidRPr="003E425B">
        <w:rPr>
          <w:rFonts w:ascii="Times New Roman" w:hAnsi="Times New Roman"/>
          <w:i/>
          <w:iCs/>
          <w:sz w:val="28"/>
          <w:lang w:val="es-ES" w:eastAsia="es-MX"/>
        </w:rPr>
        <w:t>(iii)</w:t>
      </w:r>
      <w:r w:rsidRPr="003E425B">
        <w:rPr>
          <w:rFonts w:ascii="Times New Roman" w:hAnsi="Times New Roman"/>
          <w:sz w:val="28"/>
          <w:lang w:val="es-ES" w:eastAsia="es-MX"/>
        </w:rPr>
        <w:t xml:space="preserve"> proponía conferir facultades extraordinarias </w:t>
      </w:r>
      <w:r w:rsidRPr="003E425B">
        <w:rPr>
          <w:rFonts w:ascii="Times New Roman" w:hAnsi="Times New Roman"/>
          <w:sz w:val="28"/>
          <w:lang w:val="es-ES" w:eastAsia="es-MX"/>
        </w:rPr>
        <w:t xml:space="preserve">dirigidas a la adscripción y vinculación de entidades. </w:t>
      </w:r>
    </w:p>
    <w:p w:rsidR="00471F48" w:rsidRPr="003E425B" w:rsidRDefault="003E425B" w:rsidP="00471F4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val="es-ES" w:eastAsia="es-MX"/>
        </w:rPr>
        <w:t>E</w:t>
      </w:r>
      <w:r w:rsidRPr="003E425B">
        <w:rPr>
          <w:rFonts w:ascii="Times New Roman" w:hAnsi="Times New Roman"/>
          <w:sz w:val="28"/>
          <w:lang w:val="es-ES" w:eastAsia="es-MX"/>
        </w:rPr>
        <w:t>l informe de ponencia incluía un acápite sobre el impacto fiscal de la medida legislativa</w:t>
      </w:r>
      <w:r w:rsidRPr="003E425B">
        <w:rPr>
          <w:rStyle w:val="Refdenotaalpie"/>
          <w:rFonts w:ascii="Times New Roman" w:hAnsi="Times New Roman"/>
          <w:sz w:val="28"/>
          <w:lang w:val="es-ES" w:eastAsia="es-MX"/>
        </w:rPr>
        <w:footnoteReference w:id="362"/>
      </w:r>
      <w:r w:rsidRPr="003E425B">
        <w:rPr>
          <w:rFonts w:ascii="Times New Roman" w:hAnsi="Times New Roman"/>
          <w:sz w:val="28"/>
          <w:lang w:val="es-ES" w:eastAsia="es-MX"/>
        </w:rPr>
        <w:t>. Este acápite, sin embargo, se limitaba a señalar que: “[d]e conformidad con lo dispuesto en el artículo 7°</w:t>
      </w:r>
      <w:r w:rsidRPr="003E425B">
        <w:rPr>
          <w:rFonts w:ascii="Times New Roman" w:hAnsi="Times New Roman"/>
          <w:sz w:val="28"/>
          <w:lang w:val="es-ES" w:eastAsia="es-MX"/>
        </w:rPr>
        <w:t xml:space="preserve"> de la Ley 819 de 2003 (Ley orgánica de presupuesto) (…) hemos solicitado al Ministerio de Hacienda y Crédito Público el concepto correspondiente a la creación del Ministerio de Igualdad y Equidad (sic) se hará en el marco de la política de austeridad del </w:t>
      </w:r>
      <w:r w:rsidRPr="003E425B">
        <w:rPr>
          <w:rFonts w:ascii="Times New Roman" w:hAnsi="Times New Roman"/>
          <w:sz w:val="28"/>
          <w:lang w:val="es-ES" w:eastAsia="es-MX"/>
        </w:rPr>
        <w:t>Gobierno nacional”</w:t>
      </w:r>
      <w:r w:rsidRPr="003E425B">
        <w:rPr>
          <w:rStyle w:val="Refdenotaalpie"/>
          <w:rFonts w:ascii="Times New Roman" w:hAnsi="Times New Roman"/>
          <w:sz w:val="28"/>
          <w:lang w:val="es-ES" w:eastAsia="es-MX"/>
        </w:rPr>
        <w:footnoteReference w:id="363"/>
      </w:r>
      <w:r w:rsidRPr="003E425B">
        <w:rPr>
          <w:rFonts w:ascii="Times New Roman" w:hAnsi="Times New Roman"/>
          <w:sz w:val="28"/>
          <w:lang w:val="es-ES" w:eastAsia="es-MX"/>
        </w:rPr>
        <w:t>.</w:t>
      </w:r>
      <w:bookmarkEnd w:id="31"/>
    </w:p>
    <w:p w:rsidR="002860D7" w:rsidRPr="003E425B" w:rsidRDefault="003E425B" w:rsidP="00010108">
      <w:pPr>
        <w:pStyle w:val="Prrafodelista"/>
        <w:tabs>
          <w:tab w:val="left" w:pos="567"/>
        </w:tabs>
        <w:spacing w:line="240" w:lineRule="auto"/>
        <w:ind w:left="0"/>
        <w:rPr>
          <w:rFonts w:ascii="Times New Roman" w:hAnsi="Times New Roman"/>
          <w:i/>
          <w:iCs/>
          <w:sz w:val="28"/>
          <w:lang w:val="es-ES"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val="es-ES" w:eastAsia="es-MX"/>
        </w:rPr>
      </w:pPr>
      <w:r w:rsidRPr="003E425B">
        <w:rPr>
          <w:rFonts w:ascii="Times New Roman" w:hAnsi="Times New Roman"/>
          <w:i/>
          <w:iCs/>
          <w:sz w:val="28"/>
          <w:lang w:val="es-ES" w:eastAsia="es-MX"/>
        </w:rPr>
        <w:t xml:space="preserve">Examen de la Sala. </w:t>
      </w:r>
      <w:r w:rsidRPr="003E425B">
        <w:rPr>
          <w:rFonts w:ascii="Times New Roman" w:hAnsi="Times New Roman"/>
          <w:iCs/>
          <w:sz w:val="28"/>
          <w:lang w:eastAsia="es-MX"/>
        </w:rPr>
        <w:t xml:space="preserve">La Sala Plena considera que el informe de ponencia para debate en plenarias tampoco cumplió con la exigencia prevista en el inciso 2º del artículo 7º de la Ley 819 de 2003. Esto, porque no identificó </w:t>
      </w:r>
      <w:r w:rsidRPr="003E425B">
        <w:rPr>
          <w:rFonts w:ascii="Times New Roman" w:hAnsi="Times New Roman"/>
          <w:i/>
          <w:iCs/>
          <w:sz w:val="28"/>
          <w:lang w:eastAsia="es-MX"/>
        </w:rPr>
        <w:t>(i)</w:t>
      </w:r>
      <w:r w:rsidRPr="003E425B">
        <w:rPr>
          <w:rFonts w:ascii="Times New Roman" w:hAnsi="Times New Roman"/>
          <w:iCs/>
          <w:sz w:val="28"/>
          <w:lang w:eastAsia="es-MX"/>
        </w:rPr>
        <w:t xml:space="preserve"> el costo fi</w:t>
      </w:r>
      <w:r w:rsidRPr="003E425B">
        <w:rPr>
          <w:rFonts w:ascii="Times New Roman" w:hAnsi="Times New Roman"/>
          <w:iCs/>
          <w:sz w:val="28"/>
          <w:lang w:eastAsia="es-MX"/>
        </w:rPr>
        <w:t xml:space="preserve">scal y </w:t>
      </w:r>
      <w:r w:rsidRPr="003E425B">
        <w:rPr>
          <w:rFonts w:ascii="Times New Roman" w:hAnsi="Times New Roman"/>
          <w:i/>
          <w:iCs/>
          <w:sz w:val="28"/>
          <w:lang w:eastAsia="es-MX"/>
        </w:rPr>
        <w:t>(ii)</w:t>
      </w:r>
      <w:r w:rsidRPr="003E425B">
        <w:rPr>
          <w:rFonts w:ascii="Times New Roman" w:hAnsi="Times New Roman"/>
          <w:iCs/>
          <w:sz w:val="28"/>
          <w:lang w:eastAsia="es-MX"/>
        </w:rPr>
        <w:t xml:space="preserve"> la fuente de ingreso sustitutiva de la iniciativa. Lo anterior, a pesar de que el pliego modificatorio ya definía la estructura orgánica del ministerio lo que, en principio, hubiera permitido estimar con mayor de fiabilidad el costo fiscal, así</w:t>
      </w:r>
      <w:r w:rsidRPr="003E425B">
        <w:rPr>
          <w:rFonts w:ascii="Times New Roman" w:hAnsi="Times New Roman"/>
          <w:iCs/>
          <w:sz w:val="28"/>
          <w:lang w:eastAsia="es-MX"/>
        </w:rPr>
        <w:t xml:space="preserve"> como identificar la fuente sustitutiva de ingresos.</w:t>
      </w:r>
    </w:p>
    <w:p w:rsidR="002860D7" w:rsidRPr="003E425B" w:rsidRDefault="003E425B" w:rsidP="00010108">
      <w:pPr>
        <w:tabs>
          <w:tab w:val="left" w:pos="567"/>
        </w:tabs>
        <w:rPr>
          <w:rFonts w:ascii="Times New Roman" w:hAnsi="Times New Roman" w:cs="Times New Roman"/>
          <w:i/>
          <w:iCs/>
          <w:sz w:val="28"/>
          <w:lang w:val="es-ES" w:eastAsia="es-MX"/>
        </w:rPr>
      </w:pPr>
    </w:p>
    <w:p w:rsidR="002860D7" w:rsidRPr="003E425B" w:rsidRDefault="003E425B" w:rsidP="00390858">
      <w:pPr>
        <w:pStyle w:val="Ttulo4"/>
        <w:numPr>
          <w:ilvl w:val="0"/>
          <w:numId w:val="24"/>
        </w:numPr>
        <w:rPr>
          <w:rFonts w:ascii="Times New Roman" w:hAnsi="Times New Roman" w:cs="Times New Roman"/>
          <w:sz w:val="28"/>
          <w:lang w:eastAsia="es-MX"/>
        </w:rPr>
      </w:pPr>
      <w:r w:rsidRPr="003E425B">
        <w:rPr>
          <w:rFonts w:ascii="Times New Roman" w:hAnsi="Times New Roman" w:cs="Times New Roman"/>
          <w:i/>
          <w:iCs w:val="0"/>
          <w:sz w:val="28"/>
          <w:lang w:eastAsia="es-MX"/>
        </w:rPr>
        <w:t xml:space="preserve">El </w:t>
      </w:r>
      <w:r w:rsidRPr="003E425B">
        <w:rPr>
          <w:rFonts w:ascii="Times New Roman" w:hAnsi="Times New Roman" w:cs="Times New Roman"/>
          <w:i/>
          <w:iCs w:val="0"/>
          <w:sz w:val="28"/>
          <w:lang w:eastAsia="es-MX"/>
        </w:rPr>
        <w:t>escrito de comentarios</w:t>
      </w:r>
      <w:r w:rsidRPr="003E425B">
        <w:rPr>
          <w:rFonts w:ascii="Times New Roman" w:hAnsi="Times New Roman" w:cs="Times New Roman"/>
          <w:i/>
          <w:iCs w:val="0"/>
          <w:sz w:val="28"/>
          <w:lang w:eastAsia="es-MX"/>
        </w:rPr>
        <w:t xml:space="preserve"> del MH</w:t>
      </w:r>
      <w:r w:rsidRPr="003E425B">
        <w:rPr>
          <w:rFonts w:ascii="Times New Roman" w:hAnsi="Times New Roman" w:cs="Times New Roman"/>
          <w:i/>
          <w:iCs w:val="0"/>
          <w:sz w:val="28"/>
          <w:lang w:eastAsia="es-MX"/>
        </w:rPr>
        <w:t>CP</w:t>
      </w:r>
      <w:r w:rsidRPr="003E425B">
        <w:rPr>
          <w:rFonts w:ascii="Times New Roman" w:hAnsi="Times New Roman" w:cs="Times New Roman"/>
          <w:sz w:val="28"/>
          <w:lang w:eastAsia="es-MX"/>
        </w:rPr>
        <w:t>: e</w:t>
      </w:r>
      <w:r w:rsidRPr="003E425B">
        <w:rPr>
          <w:rFonts w:ascii="Times New Roman" w:hAnsi="Times New Roman" w:cs="Times New Roman"/>
          <w:sz w:val="28"/>
          <w:lang w:eastAsia="es-MX"/>
        </w:rPr>
        <w:t>l Ministerio de Hacienda y Crédito Público no presentó concepto conforme a las exigencias revista en el inciso 3º del artículo 7º de la Ley 819 de 2003</w:t>
      </w:r>
      <w:r w:rsidRPr="003E425B">
        <w:rPr>
          <w:rStyle w:val="Refdenotaalpie"/>
          <w:rFonts w:ascii="Times New Roman" w:hAnsi="Times New Roman" w:cs="Times New Roman"/>
          <w:sz w:val="28"/>
          <w:lang w:eastAsia="es-MX"/>
        </w:rPr>
        <w:footnoteReference w:id="364"/>
      </w:r>
    </w:p>
    <w:p w:rsidR="002860D7" w:rsidRPr="003E425B" w:rsidRDefault="003E425B" w:rsidP="00010108">
      <w:pPr>
        <w:pStyle w:val="Prrafodelista"/>
        <w:tabs>
          <w:tab w:val="left" w:pos="567"/>
        </w:tabs>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El 12 de diciembre de 2022, a las 9:26 a.m., antes de que se </w:t>
      </w:r>
      <w:r w:rsidRPr="003E425B">
        <w:rPr>
          <w:rFonts w:ascii="Times New Roman" w:hAnsi="Times New Roman"/>
          <w:iCs/>
          <w:sz w:val="28"/>
          <w:lang w:val="es-ES" w:eastAsia="es-MX"/>
        </w:rPr>
        <w:t>iniciara</w:t>
      </w:r>
      <w:r w:rsidRPr="003E425B">
        <w:rPr>
          <w:rFonts w:ascii="Times New Roman" w:hAnsi="Times New Roman"/>
          <w:sz w:val="28"/>
          <w:lang w:eastAsia="es-MX"/>
        </w:rPr>
        <w:t xml:space="preserve"> el debate en la Plenaria de la Cámara de Representantes, el Viceministro General del MHCP, presentó un escrito dirigido a los presidentes del Senado de la República y la Cámara de Repres</w:t>
      </w:r>
      <w:r w:rsidRPr="003E425B">
        <w:rPr>
          <w:rFonts w:ascii="Times New Roman" w:hAnsi="Times New Roman"/>
          <w:sz w:val="28"/>
          <w:lang w:eastAsia="es-MX"/>
        </w:rPr>
        <w:t>entantes, titulado “</w:t>
      </w:r>
      <w:r w:rsidRPr="003E425B">
        <w:rPr>
          <w:rFonts w:ascii="Times New Roman" w:hAnsi="Times New Roman"/>
          <w:sz w:val="28"/>
          <w:lang w:val="es-ES" w:eastAsia="es-MX"/>
        </w:rPr>
        <w:t>Comentarios a la ponencia propuesta, en ambas plenarias, para segundo debate al Proyecto de Ley No. 222 de 2022 Senado, 261 de 2022 Cámara Por medio de la cual se crea el Ministerio de Igualdad y Equidad y se dictan otras disposiciones</w:t>
      </w:r>
      <w:r w:rsidRPr="003E425B">
        <w:rPr>
          <w:rFonts w:ascii="Times New Roman" w:hAnsi="Times New Roman"/>
          <w:sz w:val="28"/>
          <w:lang w:eastAsia="es-MX"/>
        </w:rPr>
        <w:t>”</w:t>
      </w:r>
      <w:r w:rsidRPr="003E425B">
        <w:rPr>
          <w:rFonts w:ascii="Times New Roman" w:hAnsi="Times New Roman"/>
          <w:sz w:val="28"/>
          <w:lang w:eastAsia="es-MX"/>
        </w:rPr>
        <w:t xml:space="preserve">. Este escrito fue presentado después de que se radicó la informe ponencia para debate en la plenaria del Senado de la República y el pliego modificatorio </w:t>
      </w:r>
      <w:r w:rsidRPr="003E425B">
        <w:rPr>
          <w:rFonts w:ascii="Times New Roman" w:hAnsi="Times New Roman"/>
          <w:sz w:val="28"/>
          <w:lang w:eastAsia="es-MX"/>
        </w:rPr>
        <w:t>(</w:t>
      </w:r>
      <w:r w:rsidRPr="003E425B">
        <w:rPr>
          <w:rFonts w:ascii="Times New Roman" w:hAnsi="Times New Roman"/>
          <w:sz w:val="28"/>
          <w:lang w:eastAsia="es-MX"/>
        </w:rPr>
        <w:t xml:space="preserve">ver fundamento </w:t>
      </w:r>
      <w:r w:rsidRPr="003E425B">
        <w:rPr>
          <w:rFonts w:ascii="Times New Roman" w:hAnsi="Times New Roman"/>
          <w:sz w:val="28"/>
          <w:lang w:eastAsia="es-MX"/>
        </w:rPr>
        <w:t>220</w:t>
      </w:r>
      <w:r w:rsidRPr="003E425B">
        <w:rPr>
          <w:rFonts w:ascii="Times New Roman" w:hAnsi="Times New Roman"/>
          <w:sz w:val="28"/>
          <w:lang w:eastAsia="es-MX"/>
        </w:rPr>
        <w:t xml:space="preserve"> </w:t>
      </w:r>
      <w:r w:rsidRPr="003E425B">
        <w:rPr>
          <w:rFonts w:ascii="Times New Roman" w:hAnsi="Times New Roman"/>
          <w:i/>
          <w:iCs/>
          <w:sz w:val="28"/>
          <w:lang w:eastAsia="es-MX"/>
        </w:rPr>
        <w:t>supra</w:t>
      </w:r>
      <w:r w:rsidRPr="003E425B">
        <w:rPr>
          <w:rFonts w:ascii="Times New Roman" w:hAnsi="Times New Roman"/>
          <w:sz w:val="28"/>
          <w:lang w:eastAsia="es-MX"/>
        </w:rPr>
        <w:t>).</w:t>
      </w:r>
      <w:r w:rsidRPr="003E425B">
        <w:rPr>
          <w:rFonts w:ascii="Times New Roman" w:hAnsi="Times New Roman"/>
          <w:sz w:val="28"/>
          <w:lang w:eastAsia="es-MX"/>
        </w:rPr>
        <w:t xml:space="preserve"> </w:t>
      </w:r>
    </w:p>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A título preliminar, el MHCP enfatizó que evidenciaba que el proyecto d</w:t>
      </w:r>
      <w:r w:rsidRPr="003E425B">
        <w:rPr>
          <w:rFonts w:ascii="Times New Roman" w:hAnsi="Times New Roman"/>
          <w:sz w:val="28"/>
          <w:lang w:eastAsia="es-MX"/>
        </w:rPr>
        <w:t>e ley tenía por objeto la creación del Ministerio de Igualdad y Equidad. Sin embargo, indicó que, de acuerdo con el articulado, “[p]ara su creación se otorgan facultades extraordinarias al Presidente de la República para que en el término de 6 meses expida</w:t>
      </w:r>
      <w:r w:rsidRPr="003E425B">
        <w:rPr>
          <w:rFonts w:ascii="Times New Roman" w:hAnsi="Times New Roman"/>
          <w:sz w:val="28"/>
          <w:lang w:eastAsia="es-MX"/>
        </w:rPr>
        <w:t xml:space="preserve"> normas con fuerza de Ley que integren al Sector de Igualdad y Equidad y establecer su estructura orgánica, para lo cual podrá fusionar, reorganizar o modificar entidades del orden nacional existentes y unificar, eliminar o fusionar Consejerías, Direccione</w:t>
      </w:r>
      <w:r w:rsidRPr="003E425B">
        <w:rPr>
          <w:rFonts w:ascii="Times New Roman" w:hAnsi="Times New Roman"/>
          <w:sz w:val="28"/>
          <w:lang w:eastAsia="es-MX"/>
        </w:rPr>
        <w:t>s y demás”. Asimismo, resaltó que en el texto aprobado en comisiones se agregó un artículo que señalaba que “las servidoras y servidores públicos que a la entrada en vigencia de la presente Ley se encuentren vinculados a otras entidades de la Rama Ejecutiv</w:t>
      </w:r>
      <w:r w:rsidRPr="003E425B">
        <w:rPr>
          <w:rFonts w:ascii="Times New Roman" w:hAnsi="Times New Roman"/>
          <w:sz w:val="28"/>
          <w:lang w:eastAsia="es-MX"/>
        </w:rPr>
        <w:t xml:space="preserve">a quedarán automáticamente incorporados en la planta del personal del Ministerio de Igualdad y Equidad”.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Luego de estas aclaraciones, el MHCP presentó un cuadro de “los costos de referencia de los actuales </w:t>
      </w:r>
      <w:r w:rsidRPr="003E425B">
        <w:rPr>
          <w:rFonts w:ascii="Times New Roman" w:hAnsi="Times New Roman"/>
          <w:iCs/>
          <w:sz w:val="28"/>
          <w:lang w:val="es-ES" w:eastAsia="es-MX"/>
        </w:rPr>
        <w:t>Ministerios</w:t>
      </w:r>
      <w:r w:rsidRPr="003E425B">
        <w:rPr>
          <w:rFonts w:ascii="Times New Roman" w:hAnsi="Times New Roman"/>
          <w:sz w:val="28"/>
          <w:lang w:eastAsia="es-MX"/>
        </w:rPr>
        <w:t xml:space="preserve"> para la vigencia 2022 y 2023”. No ob</w:t>
      </w:r>
      <w:r w:rsidRPr="003E425B">
        <w:rPr>
          <w:rFonts w:ascii="Times New Roman" w:hAnsi="Times New Roman"/>
          <w:sz w:val="28"/>
          <w:lang w:eastAsia="es-MX"/>
        </w:rPr>
        <w:t>stante, precisó que estos costos sólo se referían “a los gastos de personal, es decir, sin incluir otros gastos de funcionamiento como adquisición de bienes y servicios, impuestos, los cuales pueden rondar entre el 20% y el 30% de los gastos de personal de</w:t>
      </w:r>
      <w:r w:rsidRPr="003E425B">
        <w:rPr>
          <w:rFonts w:ascii="Times New Roman" w:hAnsi="Times New Roman"/>
          <w:sz w:val="28"/>
          <w:lang w:eastAsia="es-MX"/>
        </w:rPr>
        <w:t xml:space="preserve"> la entidad a crear. Tampoco tiene en cuenta los programas de inversión, pues estas erogaciones dependen de la estructura, el alcance y las funciones del nuevo Ministerio”</w:t>
      </w:r>
      <w:r w:rsidRPr="003E425B">
        <w:rPr>
          <w:rStyle w:val="Refdenotaalpie"/>
          <w:rFonts w:ascii="Times New Roman" w:hAnsi="Times New Roman"/>
          <w:sz w:val="28"/>
          <w:lang w:eastAsia="es-MX"/>
        </w:rPr>
        <w:footnoteReference w:id="365"/>
      </w:r>
      <w:r w:rsidRPr="003E425B">
        <w:rPr>
          <w:rFonts w:ascii="Times New Roman" w:hAnsi="Times New Roman"/>
          <w:sz w:val="28"/>
          <w:lang w:eastAsia="es-MX"/>
        </w:rPr>
        <w:t>. A continuación, se presenta el cuadro que fue incluido en el escrito del MHCP</w:t>
      </w:r>
      <w:r w:rsidRPr="003E425B">
        <w:rPr>
          <w:rStyle w:val="Refdenotaalpie"/>
          <w:rFonts w:ascii="Times New Roman" w:hAnsi="Times New Roman"/>
          <w:sz w:val="28"/>
          <w:lang w:eastAsia="es-MX"/>
        </w:rPr>
        <w:footnoteReference w:id="366"/>
      </w:r>
      <w:r w:rsidRPr="003E425B">
        <w:rPr>
          <w:rFonts w:ascii="Times New Roman" w:hAnsi="Times New Roman"/>
          <w:sz w:val="28"/>
          <w:lang w:eastAsia="es-MX"/>
        </w:rPr>
        <w:t>:</w:t>
      </w:r>
    </w:p>
    <w:p w:rsidR="002860D7" w:rsidRPr="003E425B" w:rsidRDefault="003E425B" w:rsidP="00010108">
      <w:pPr>
        <w:tabs>
          <w:tab w:val="left" w:pos="567"/>
        </w:tabs>
        <w:rPr>
          <w:rFonts w:ascii="Times New Roman" w:hAnsi="Times New Roman" w:cs="Times New Roman"/>
          <w:sz w:val="28"/>
          <w:lang w:eastAsia="es-MX"/>
        </w:rPr>
      </w:pPr>
    </w:p>
    <w:p w:rsidR="002860D7" w:rsidRPr="003E425B" w:rsidRDefault="003E425B" w:rsidP="00010108">
      <w:pPr>
        <w:pStyle w:val="Prrafodelista"/>
        <w:spacing w:line="240" w:lineRule="auto"/>
        <w:ind w:left="0"/>
        <w:jc w:val="center"/>
        <w:rPr>
          <w:rFonts w:ascii="Times New Roman" w:hAnsi="Times New Roman"/>
          <w:sz w:val="28"/>
          <w:lang w:eastAsia="es-MX"/>
        </w:rPr>
      </w:pPr>
      <w:r w:rsidRPr="003E425B">
        <w:rPr>
          <w:rFonts w:ascii="Times New Roman" w:hAnsi="Times New Roman"/>
          <w:noProof/>
          <w:sz w:val="28"/>
        </w:rPr>
        <w:drawing>
          <wp:inline distT="0" distB="0" distL="0" distR="0" wp14:anchorId="28FB802A" wp14:editId="537087E0">
            <wp:extent cx="3455719" cy="2401687"/>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60771" name=""/>
                    <pic:cNvPicPr/>
                  </pic:nvPicPr>
                  <pic:blipFill>
                    <a:blip r:embed="rId13"/>
                    <a:stretch>
                      <a:fillRect/>
                    </a:stretch>
                  </pic:blipFill>
                  <pic:spPr>
                    <a:xfrm>
                      <a:off x="0" y="0"/>
                      <a:ext cx="3458037" cy="2403298"/>
                    </a:xfrm>
                    <a:prstGeom prst="rect">
                      <a:avLst/>
                    </a:prstGeom>
                  </pic:spPr>
                </pic:pic>
              </a:graphicData>
            </a:graphic>
          </wp:inline>
        </w:drawing>
      </w:r>
    </w:p>
    <w:p w:rsidR="002860D7" w:rsidRPr="003E425B" w:rsidRDefault="003E425B" w:rsidP="00010108">
      <w:pPr>
        <w:pStyle w:val="Prrafodelista"/>
        <w:spacing w:line="240" w:lineRule="auto"/>
        <w:ind w:left="0"/>
        <w:jc w:val="center"/>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bookmarkStart w:id="32" w:name="_Ref164518715"/>
      <w:r w:rsidRPr="003E425B">
        <w:rPr>
          <w:rFonts w:ascii="Times New Roman" w:hAnsi="Times New Roman"/>
          <w:sz w:val="28"/>
          <w:lang w:eastAsia="es-MX"/>
        </w:rPr>
        <w:t>El MHCP</w:t>
      </w:r>
      <w:r w:rsidRPr="003E425B">
        <w:rPr>
          <w:rFonts w:ascii="Times New Roman" w:hAnsi="Times New Roman"/>
          <w:sz w:val="28"/>
          <w:lang w:eastAsia="es-MX"/>
        </w:rPr>
        <w:t xml:space="preserve"> indicó que estas referencias “se presentan sin perjuicio de lo que el Departamento Administrativo de la Función Pública por competencia conceptúe, ya que el mencionado Ministerio de la Igualdad y la Equidad podría absorber programas y políticas que se des</w:t>
      </w:r>
      <w:r w:rsidRPr="003E425B">
        <w:rPr>
          <w:rFonts w:ascii="Times New Roman" w:hAnsi="Times New Roman"/>
          <w:sz w:val="28"/>
          <w:lang w:eastAsia="es-MX"/>
        </w:rPr>
        <w:t>arrollan en cabeza de otros ministerios”. Asimismo, señaló</w:t>
      </w:r>
      <w:r w:rsidRPr="003E425B">
        <w:rPr>
          <w:rFonts w:ascii="Times New Roman" w:hAnsi="Times New Roman"/>
          <w:i/>
          <w:iCs/>
          <w:sz w:val="28"/>
          <w:lang w:eastAsia="es-MX"/>
        </w:rPr>
        <w:t xml:space="preserve"> </w:t>
      </w:r>
      <w:r w:rsidRPr="003E425B">
        <w:rPr>
          <w:rFonts w:ascii="Times New Roman" w:hAnsi="Times New Roman"/>
          <w:sz w:val="28"/>
          <w:lang w:eastAsia="es-MX"/>
        </w:rPr>
        <w:t xml:space="preserve">que “el costo preciso de creación y operación del nuevo Ministerio se </w:t>
      </w:r>
      <w:r w:rsidRPr="003E425B">
        <w:rPr>
          <w:rFonts w:ascii="Times New Roman" w:hAnsi="Times New Roman"/>
          <w:iCs/>
          <w:sz w:val="28"/>
          <w:lang w:val="es-ES" w:eastAsia="es-MX"/>
        </w:rPr>
        <w:t>puede</w:t>
      </w:r>
      <w:r w:rsidRPr="003E425B">
        <w:rPr>
          <w:rFonts w:ascii="Times New Roman" w:hAnsi="Times New Roman"/>
          <w:sz w:val="28"/>
          <w:lang w:eastAsia="es-MX"/>
        </w:rPr>
        <w:t xml:space="preserve"> tener una vez se cuente con la estructura final de la entidad, especificando la cantidad de funcionarios nuevos y traslad</w:t>
      </w:r>
      <w:r w:rsidRPr="003E425B">
        <w:rPr>
          <w:rFonts w:ascii="Times New Roman" w:hAnsi="Times New Roman"/>
          <w:sz w:val="28"/>
          <w:lang w:eastAsia="es-MX"/>
        </w:rPr>
        <w:t>ados desde otras entidades, así como precisar qué políticas y programas de inversión vigentes administraría”</w:t>
      </w:r>
      <w:r w:rsidRPr="003E425B">
        <w:rPr>
          <w:rFonts w:ascii="Times New Roman" w:hAnsi="Times New Roman"/>
          <w:sz w:val="28"/>
          <w:vertAlign w:val="superscript"/>
          <w:lang w:eastAsia="es-MX"/>
        </w:rPr>
        <w:footnoteReference w:id="367"/>
      </w:r>
      <w:r w:rsidRPr="003E425B">
        <w:rPr>
          <w:rFonts w:ascii="Times New Roman" w:hAnsi="Times New Roman"/>
          <w:sz w:val="28"/>
          <w:lang w:eastAsia="es-MX"/>
        </w:rPr>
        <w:t xml:space="preserve">. Además, una vez se cuente con el costo de la entidad, se podría tener la “información del posible ahorro derivado de las funciones y personal </w:t>
      </w:r>
      <w:r w:rsidRPr="003E425B">
        <w:rPr>
          <w:rFonts w:ascii="Times New Roman" w:hAnsi="Times New Roman"/>
          <w:sz w:val="28"/>
          <w:lang w:eastAsia="es-MX"/>
        </w:rPr>
        <w:t>trasladado de otras entidades, lo cual eventualmente permita generar las sinergias adecuadas para financiar el costo de entrada en operación y funcionamiento de la entidad objeto de creación mediante el proyecto de ley”</w:t>
      </w:r>
      <w:r w:rsidRPr="003E425B">
        <w:rPr>
          <w:rStyle w:val="Refdenotaalpie"/>
          <w:rFonts w:ascii="Times New Roman" w:hAnsi="Times New Roman"/>
          <w:sz w:val="28"/>
          <w:lang w:eastAsia="es-MX"/>
        </w:rPr>
        <w:footnoteReference w:id="368"/>
      </w:r>
      <w:r w:rsidRPr="003E425B">
        <w:rPr>
          <w:rFonts w:ascii="Times New Roman" w:hAnsi="Times New Roman"/>
          <w:sz w:val="28"/>
          <w:lang w:eastAsia="es-MX"/>
        </w:rPr>
        <w:t>.</w:t>
      </w:r>
      <w:bookmarkEnd w:id="32"/>
    </w:p>
    <w:p w:rsidR="002860D7" w:rsidRPr="003E425B" w:rsidRDefault="003E425B" w:rsidP="00010108">
      <w:pPr>
        <w:pStyle w:val="Prrafodelista"/>
        <w:tabs>
          <w:tab w:val="left" w:pos="567"/>
        </w:tabs>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En este sentido, concluyó que el </w:t>
      </w:r>
      <w:r w:rsidRPr="003E425B">
        <w:rPr>
          <w:rFonts w:ascii="Times New Roman" w:hAnsi="Times New Roman"/>
          <w:sz w:val="28"/>
          <w:lang w:eastAsia="es-MX"/>
        </w:rPr>
        <w:t xml:space="preserve">impacto fiscal se estimaría “en el marco de las facultades extraordinarias otorgadas para la integración del sector de Igualdad y Equidad y el establecimiento de la estructura orgánica del respectivo Ministerio, así </w:t>
      </w:r>
      <w:r w:rsidRPr="003E425B">
        <w:rPr>
          <w:rFonts w:ascii="Times New Roman" w:hAnsi="Times New Roman"/>
          <w:iCs/>
          <w:sz w:val="28"/>
          <w:lang w:val="es-ES" w:eastAsia="es-MX"/>
        </w:rPr>
        <w:t>como</w:t>
      </w:r>
      <w:r w:rsidRPr="003E425B">
        <w:rPr>
          <w:rFonts w:ascii="Times New Roman" w:hAnsi="Times New Roman"/>
          <w:sz w:val="28"/>
          <w:lang w:eastAsia="es-MX"/>
        </w:rPr>
        <w:t xml:space="preserve"> viabilizados por parte de esta Cart</w:t>
      </w:r>
      <w:r w:rsidRPr="003E425B">
        <w:rPr>
          <w:rFonts w:ascii="Times New Roman" w:hAnsi="Times New Roman"/>
          <w:sz w:val="28"/>
          <w:lang w:eastAsia="es-MX"/>
        </w:rPr>
        <w:t>era con sujeción a las leyes orgánicas de presupuesto y de responsabilidad y transparencia fiscal”</w:t>
      </w:r>
      <w:r w:rsidRPr="003E425B">
        <w:rPr>
          <w:rStyle w:val="Refdenotaalpie"/>
          <w:rFonts w:ascii="Times New Roman" w:hAnsi="Times New Roman"/>
          <w:sz w:val="28"/>
          <w:lang w:eastAsia="es-MX"/>
        </w:rPr>
        <w:footnoteReference w:id="369"/>
      </w:r>
      <w:r w:rsidRPr="003E425B">
        <w:rPr>
          <w:rFonts w:ascii="Times New Roman" w:hAnsi="Times New Roman"/>
          <w:i/>
          <w:iCs/>
          <w:sz w:val="28"/>
          <w:lang w:eastAsia="es-MX"/>
        </w:rPr>
        <w:t>.</w:t>
      </w:r>
    </w:p>
    <w:p w:rsidR="002860D7" w:rsidRPr="003E425B" w:rsidRDefault="003E425B" w:rsidP="00010108">
      <w:pPr>
        <w:pStyle w:val="Prrafodelista"/>
        <w:spacing w:line="240" w:lineRule="auto"/>
        <w:rPr>
          <w:rFonts w:ascii="Times New Roman" w:hAnsi="Times New Roman"/>
          <w:i/>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i/>
          <w:iCs/>
          <w:sz w:val="28"/>
          <w:lang w:eastAsia="es-MX"/>
        </w:rPr>
        <w:t xml:space="preserve">Examen de la Sala. </w:t>
      </w:r>
      <w:r w:rsidRPr="003E425B">
        <w:rPr>
          <w:rFonts w:ascii="Times New Roman" w:hAnsi="Times New Roman"/>
          <w:iCs/>
          <w:sz w:val="28"/>
          <w:lang w:eastAsia="es-MX"/>
        </w:rPr>
        <w:t>El inciso 3º del artículo 7º dispone que “el Ministerio de Hacienda y Crédito Público, en cualquier tiempo durante el respectivo trámit</w:t>
      </w:r>
      <w:r w:rsidRPr="003E425B">
        <w:rPr>
          <w:rFonts w:ascii="Times New Roman" w:hAnsi="Times New Roman"/>
          <w:iCs/>
          <w:sz w:val="28"/>
          <w:lang w:eastAsia="es-MX"/>
        </w:rPr>
        <w:t xml:space="preserve">e en el Congreso de la República, deberá rendir su concepto frente a la consistencia de lo dispuesto en el inciso anterior. En ningún caso este concepto podrá ir en contravía del Marco Fiscal de Mediano Plazo. Este informe será publicado en la </w:t>
      </w:r>
      <w:r w:rsidRPr="003E425B">
        <w:rPr>
          <w:rFonts w:ascii="Times New Roman" w:hAnsi="Times New Roman"/>
          <w:sz w:val="28"/>
          <w:lang w:val="es-ES" w:eastAsia="es-MX"/>
        </w:rPr>
        <w:t>Gaceta</w:t>
      </w:r>
      <w:r w:rsidRPr="003E425B">
        <w:rPr>
          <w:rFonts w:ascii="Times New Roman" w:hAnsi="Times New Roman"/>
          <w:iCs/>
          <w:sz w:val="28"/>
          <w:lang w:eastAsia="es-MX"/>
        </w:rPr>
        <w:t xml:space="preserve"> del C</w:t>
      </w:r>
      <w:r w:rsidRPr="003E425B">
        <w:rPr>
          <w:rFonts w:ascii="Times New Roman" w:hAnsi="Times New Roman"/>
          <w:iCs/>
          <w:sz w:val="28"/>
          <w:lang w:eastAsia="es-MX"/>
        </w:rPr>
        <w:t>ongreso”. De acuerdo con la jurisprudencia constitucional, el objeto del concepto es que el MHCP valide las estimaciones y valoraciones sobre el impacto fiscal y señale si, en su criterio, la iniciativa es compatible con el Marco Fiscal de Mediano Plazo. L</w:t>
      </w:r>
      <w:r w:rsidRPr="003E425B">
        <w:rPr>
          <w:rFonts w:ascii="Times New Roman" w:hAnsi="Times New Roman"/>
          <w:iCs/>
          <w:sz w:val="28"/>
          <w:lang w:eastAsia="es-MX"/>
        </w:rPr>
        <w:t>a Corte Constitucional ha enfatizado que, habida cuenta de su experticia y funciones legales, el MHCP “debe realizar un estudio serio, detallado, sustentado y concreto de los efectos económicos de la propuesta”</w:t>
      </w:r>
      <w:r w:rsidRPr="003E425B">
        <w:rPr>
          <w:rFonts w:ascii="Times New Roman" w:hAnsi="Times New Roman"/>
          <w:iCs/>
          <w:sz w:val="28"/>
          <w:vertAlign w:val="superscript"/>
          <w:lang w:eastAsia="es-MX"/>
        </w:rPr>
        <w:footnoteReference w:id="370"/>
      </w:r>
      <w:r w:rsidRPr="003E425B">
        <w:rPr>
          <w:rFonts w:ascii="Times New Roman" w:hAnsi="Times New Roman"/>
          <w:iCs/>
          <w:sz w:val="28"/>
          <w:lang w:eastAsia="es-MX"/>
        </w:rPr>
        <w:t xml:space="preserve">. De lo contrario, una intervención del MHCP </w:t>
      </w:r>
      <w:r w:rsidRPr="003E425B">
        <w:rPr>
          <w:rFonts w:ascii="Times New Roman" w:hAnsi="Times New Roman"/>
          <w:iCs/>
          <w:sz w:val="28"/>
          <w:lang w:eastAsia="es-MX"/>
        </w:rPr>
        <w:t>que no evalúe con suficiencia el impacto fiscal, así como la compatibilidad de la norma o iniciativa con el Marco Fiscal de Mediano Plazo, “no se puede entender como un concepto en los términos del artículo 7 de la Ley 819 de 2003”</w:t>
      </w:r>
      <w:r w:rsidRPr="003E425B">
        <w:rPr>
          <w:rFonts w:ascii="Times New Roman" w:hAnsi="Times New Roman"/>
          <w:iCs/>
          <w:sz w:val="28"/>
          <w:vertAlign w:val="superscript"/>
          <w:lang w:eastAsia="es-MX"/>
        </w:rPr>
        <w:footnoteReference w:id="371"/>
      </w:r>
      <w:r w:rsidRPr="003E425B">
        <w:rPr>
          <w:rFonts w:ascii="Times New Roman" w:hAnsi="Times New Roman"/>
          <w:iCs/>
          <w:sz w:val="28"/>
          <w:lang w:eastAsia="es-MX"/>
        </w:rPr>
        <w:t>.</w:t>
      </w:r>
    </w:p>
    <w:p w:rsidR="002860D7" w:rsidRPr="003E425B" w:rsidRDefault="003E425B" w:rsidP="00010108">
      <w:pPr>
        <w:pStyle w:val="Prrafodelista"/>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iCs/>
          <w:sz w:val="28"/>
          <w:lang w:eastAsia="es-MX"/>
        </w:rPr>
        <w:t>La Corte considera qu</w:t>
      </w:r>
      <w:r w:rsidRPr="003E425B">
        <w:rPr>
          <w:rFonts w:ascii="Times New Roman" w:hAnsi="Times New Roman"/>
          <w:iCs/>
          <w:sz w:val="28"/>
          <w:lang w:eastAsia="es-MX"/>
        </w:rPr>
        <w:t xml:space="preserve">e el escrito presentado por el MHCP no satisface las exigencias legales y </w:t>
      </w:r>
      <w:r w:rsidRPr="003E425B">
        <w:rPr>
          <w:rFonts w:ascii="Times New Roman" w:hAnsi="Times New Roman"/>
          <w:iCs/>
          <w:sz w:val="28"/>
          <w:lang w:val="es-ES" w:eastAsia="es-MX"/>
        </w:rPr>
        <w:t>jurisprudenciales</w:t>
      </w:r>
      <w:r w:rsidRPr="003E425B">
        <w:rPr>
          <w:rFonts w:ascii="Times New Roman" w:hAnsi="Times New Roman"/>
          <w:iCs/>
          <w:sz w:val="28"/>
          <w:lang w:eastAsia="es-MX"/>
        </w:rPr>
        <w:t>. Esto por las siguientes razones:</w:t>
      </w:r>
    </w:p>
    <w:p w:rsidR="002860D7" w:rsidRPr="003E425B" w:rsidRDefault="003E425B" w:rsidP="00010108">
      <w:pPr>
        <w:pStyle w:val="Prrafodelista"/>
        <w:spacing w:line="240" w:lineRule="auto"/>
        <w:rPr>
          <w:rFonts w:ascii="Times New Roman" w:hAnsi="Times New Roman"/>
          <w:iCs/>
          <w:sz w:val="28"/>
          <w:u w:val="single"/>
          <w:lang w:eastAsia="es-MX"/>
        </w:rPr>
      </w:pPr>
    </w:p>
    <w:p w:rsidR="00F73ED6" w:rsidRPr="003E425B" w:rsidRDefault="003E425B" w:rsidP="000C6CC6">
      <w:pPr>
        <w:pStyle w:val="Prrafodelista"/>
        <w:numPr>
          <w:ilvl w:val="1"/>
          <w:numId w:val="33"/>
        </w:numPr>
        <w:spacing w:line="240" w:lineRule="auto"/>
        <w:ind w:left="851" w:hanging="851"/>
        <w:rPr>
          <w:rFonts w:ascii="Times New Roman" w:hAnsi="Times New Roman"/>
          <w:i/>
          <w:iCs/>
          <w:sz w:val="28"/>
          <w:lang w:eastAsia="es-MX"/>
        </w:rPr>
      </w:pPr>
      <w:r w:rsidRPr="003E425B">
        <w:rPr>
          <w:rFonts w:ascii="Times New Roman" w:hAnsi="Times New Roman"/>
          <w:iCs/>
          <w:sz w:val="28"/>
          <w:lang w:eastAsia="es-MX"/>
        </w:rPr>
        <w:t>El</w:t>
      </w:r>
      <w:r w:rsidRPr="003E425B">
        <w:rPr>
          <w:rFonts w:ascii="Times New Roman" w:hAnsi="Times New Roman"/>
          <w:i/>
          <w:iCs/>
          <w:sz w:val="28"/>
          <w:lang w:eastAsia="es-MX"/>
        </w:rPr>
        <w:t xml:space="preserve"> </w:t>
      </w:r>
      <w:r w:rsidRPr="003E425B">
        <w:rPr>
          <w:rFonts w:ascii="Times New Roman" w:hAnsi="Times New Roman"/>
          <w:iCs/>
          <w:sz w:val="28"/>
          <w:lang w:eastAsia="es-MX"/>
        </w:rPr>
        <w:t>MHCP no estimó el costo fiscal. Por el contrario, el MHCP se limitó a indicar que el costo fiscal se estimaría una vez se cono</w:t>
      </w:r>
      <w:r w:rsidRPr="003E425B">
        <w:rPr>
          <w:rFonts w:ascii="Times New Roman" w:hAnsi="Times New Roman"/>
          <w:iCs/>
          <w:sz w:val="28"/>
          <w:lang w:eastAsia="es-MX"/>
        </w:rPr>
        <w:t>ciera la estructura orgánica que el Presidente de la República definiera en ejercicio de las facultades extraordinarias. Lo anterior a pesar de que, se reitera, el pliego modificatorio, que fue radicado 6 días antes del escrito del MHCP, ya definía la estr</w:t>
      </w:r>
      <w:r w:rsidRPr="003E425B">
        <w:rPr>
          <w:rFonts w:ascii="Times New Roman" w:hAnsi="Times New Roman"/>
          <w:iCs/>
          <w:sz w:val="28"/>
          <w:lang w:eastAsia="es-MX"/>
        </w:rPr>
        <w:t>uctura orgánica del Ministerio de Igualdad y Equidad.</w:t>
      </w:r>
    </w:p>
    <w:p w:rsidR="00F73ED6" w:rsidRPr="003E425B" w:rsidRDefault="003E425B" w:rsidP="000C6CC6">
      <w:pPr>
        <w:pStyle w:val="Prrafodelista"/>
        <w:numPr>
          <w:ilvl w:val="1"/>
          <w:numId w:val="33"/>
        </w:numPr>
        <w:spacing w:line="240" w:lineRule="auto"/>
        <w:ind w:left="851" w:hanging="851"/>
        <w:rPr>
          <w:rFonts w:ascii="Times New Roman" w:hAnsi="Times New Roman"/>
          <w:i/>
          <w:iCs/>
          <w:sz w:val="28"/>
          <w:lang w:eastAsia="es-MX"/>
        </w:rPr>
      </w:pPr>
      <w:r w:rsidRPr="003E425B">
        <w:rPr>
          <w:rFonts w:ascii="Times New Roman" w:hAnsi="Times New Roman"/>
          <w:iCs/>
          <w:sz w:val="28"/>
          <w:lang w:eastAsia="es-MX"/>
        </w:rPr>
        <w:t xml:space="preserve">El MHCP se limitó a presentar una tabla que contenía los gastos de personal de todos los ministerios para la vigencia de 2023. Esta tabla de referencia presentaba gastos de personal que oscilaban entre </w:t>
      </w:r>
      <w:r w:rsidRPr="003E425B">
        <w:rPr>
          <w:rFonts w:ascii="Times New Roman" w:hAnsi="Times New Roman"/>
          <w:iCs/>
          <w:sz w:val="28"/>
          <w:lang w:eastAsia="es-MX"/>
        </w:rPr>
        <w:t xml:space="preserve">18 mil millones y 2 billones de pesos. Sin embargo, El MHCP no indicó cuál sería el costo estimado del nuevo ministerio. Además, el MHCP reconoció que la tabla sólo presentaba la información de los </w:t>
      </w:r>
      <w:r w:rsidRPr="003E425B">
        <w:rPr>
          <w:rFonts w:ascii="Times New Roman" w:hAnsi="Times New Roman"/>
          <w:i/>
          <w:sz w:val="28"/>
          <w:lang w:eastAsia="es-MX"/>
        </w:rPr>
        <w:t>gastos de personal</w:t>
      </w:r>
      <w:r w:rsidRPr="003E425B">
        <w:rPr>
          <w:rFonts w:ascii="Times New Roman" w:hAnsi="Times New Roman"/>
          <w:iCs/>
          <w:sz w:val="28"/>
          <w:lang w:eastAsia="es-MX"/>
        </w:rPr>
        <w:t>, pero no incluían los otros gastos gene</w:t>
      </w:r>
      <w:r w:rsidRPr="003E425B">
        <w:rPr>
          <w:rFonts w:ascii="Times New Roman" w:hAnsi="Times New Roman"/>
          <w:iCs/>
          <w:sz w:val="28"/>
          <w:lang w:eastAsia="es-MX"/>
        </w:rPr>
        <w:t xml:space="preserve">rales de funcionamiento, los cuales, según afirmó, ascendían al 20-30% de los gastos de personal. Con todo, dado que no existía un estimado de los gastos de personal, el MHCP tampoco calculó los demás gastos de funcionamiento. </w:t>
      </w:r>
    </w:p>
    <w:p w:rsidR="002860D7" w:rsidRPr="003E425B" w:rsidRDefault="003E425B" w:rsidP="000C6CC6">
      <w:pPr>
        <w:pStyle w:val="Prrafodelista"/>
        <w:numPr>
          <w:ilvl w:val="1"/>
          <w:numId w:val="33"/>
        </w:numPr>
        <w:spacing w:line="240" w:lineRule="auto"/>
        <w:ind w:left="851" w:hanging="851"/>
        <w:rPr>
          <w:rFonts w:ascii="Times New Roman" w:hAnsi="Times New Roman"/>
          <w:i/>
          <w:iCs/>
          <w:sz w:val="28"/>
          <w:lang w:eastAsia="es-MX"/>
        </w:rPr>
      </w:pPr>
      <w:r w:rsidRPr="003E425B">
        <w:rPr>
          <w:rFonts w:ascii="Times New Roman" w:hAnsi="Times New Roman"/>
          <w:iCs/>
          <w:sz w:val="28"/>
          <w:lang w:eastAsia="es-MX"/>
        </w:rPr>
        <w:t>El MHCP no identificó de for</w:t>
      </w:r>
      <w:r w:rsidRPr="003E425B">
        <w:rPr>
          <w:rFonts w:ascii="Times New Roman" w:hAnsi="Times New Roman"/>
          <w:iCs/>
          <w:sz w:val="28"/>
          <w:lang w:eastAsia="es-MX"/>
        </w:rPr>
        <w:t xml:space="preserve">ma expresa la fuente sustitutiva de ingreso y tampoco señaló, por lo menos de forma expresa, si su concepto era favorable o desfavorable a la iniciativa. </w:t>
      </w:r>
    </w:p>
    <w:p w:rsidR="002860D7" w:rsidRPr="003E425B" w:rsidRDefault="003E425B" w:rsidP="00010108">
      <w:pPr>
        <w:pStyle w:val="Prrafodelista"/>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iCs/>
          <w:sz w:val="28"/>
          <w:lang w:eastAsia="es-MX"/>
        </w:rPr>
        <w:t>En tales términos, la Corte encuentra que el escrito del MHCP, al no detallar los referentes mínimos</w:t>
      </w:r>
      <w:r w:rsidRPr="003E425B">
        <w:rPr>
          <w:rFonts w:ascii="Times New Roman" w:hAnsi="Times New Roman"/>
          <w:iCs/>
          <w:sz w:val="28"/>
          <w:lang w:eastAsia="es-MX"/>
        </w:rPr>
        <w:t>, difícilmente puede catalogarse como un concepto</w:t>
      </w:r>
      <w:r w:rsidRPr="003E425B">
        <w:rPr>
          <w:rFonts w:ascii="Times New Roman" w:hAnsi="Times New Roman"/>
          <w:iCs/>
          <w:sz w:val="28"/>
          <w:lang w:eastAsia="es-MX"/>
        </w:rPr>
        <w:t xml:space="preserve"> de</w:t>
      </w:r>
      <w:r w:rsidRPr="003E425B">
        <w:rPr>
          <w:rFonts w:ascii="Times New Roman" w:hAnsi="Times New Roman"/>
          <w:iCs/>
          <w:sz w:val="28"/>
          <w:lang w:eastAsia="es-MX"/>
        </w:rPr>
        <w:t xml:space="preserve"> impacto fiscal, en los términos del inciso 3º de la Ley 819 de 2003. El escrito del MHCP sólo reafirmó y profundizó la incertidumbre respecto del impacto fiscal de la creación del Ministerio de Igualdad </w:t>
      </w:r>
      <w:r w:rsidRPr="003E425B">
        <w:rPr>
          <w:rFonts w:ascii="Times New Roman" w:hAnsi="Times New Roman"/>
          <w:iCs/>
          <w:sz w:val="28"/>
          <w:lang w:eastAsia="es-MX"/>
        </w:rPr>
        <w:t xml:space="preserve">y Equidad, que, como se ha explicado, se presentaba desde la exposición de motivos. </w:t>
      </w:r>
    </w:p>
    <w:p w:rsidR="002860D7" w:rsidRPr="003E425B" w:rsidRDefault="003E425B" w:rsidP="00010108">
      <w:pPr>
        <w:pStyle w:val="Prrafodelista"/>
        <w:spacing w:line="240" w:lineRule="auto"/>
        <w:ind w:left="0"/>
        <w:rPr>
          <w:rFonts w:ascii="Times New Roman" w:hAnsi="Times New Roman"/>
          <w:i/>
          <w:iCs/>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eastAsia="es-MX"/>
        </w:rPr>
      </w:pPr>
      <w:r w:rsidRPr="003E425B">
        <w:rPr>
          <w:rFonts w:ascii="Times New Roman" w:hAnsi="Times New Roman"/>
          <w:sz w:val="28"/>
          <w:lang w:eastAsia="es-MX"/>
        </w:rPr>
        <w:t xml:space="preserve">La Sala reitera que, conforme a la jurisprudencia constitucional, en los proyectos de ley de iniciativa gubernamental, </w:t>
      </w:r>
      <w:r w:rsidRPr="003E425B">
        <w:rPr>
          <w:rFonts w:ascii="Times New Roman" w:hAnsi="Times New Roman"/>
          <w:sz w:val="28"/>
          <w:lang w:val="es-ES" w:eastAsia="es-MX"/>
        </w:rPr>
        <w:t>el incumplimiento del deber del MHCP de presentar c</w:t>
      </w:r>
      <w:r w:rsidRPr="003E425B">
        <w:rPr>
          <w:rFonts w:ascii="Times New Roman" w:hAnsi="Times New Roman"/>
          <w:sz w:val="28"/>
          <w:lang w:val="es-ES" w:eastAsia="es-MX"/>
        </w:rPr>
        <w:t>oncepto serio y fundado “configura un vicio de trámite insubsanable”</w:t>
      </w:r>
      <w:r w:rsidRPr="003E425B">
        <w:rPr>
          <w:rStyle w:val="Refdenotaalpie"/>
          <w:rFonts w:ascii="Times New Roman" w:hAnsi="Times New Roman"/>
          <w:sz w:val="28"/>
          <w:lang w:val="es-ES" w:eastAsia="es-MX"/>
        </w:rPr>
        <w:footnoteReference w:id="372"/>
      </w:r>
      <w:r w:rsidRPr="003E425B">
        <w:rPr>
          <w:rFonts w:ascii="Times New Roman" w:hAnsi="Times New Roman"/>
          <w:sz w:val="28"/>
          <w:lang w:val="es-ES" w:eastAsia="es-MX"/>
        </w:rPr>
        <w:t>. Lo anterior, en el entendido de que afecta la deliberación legislativa sobre las implicaciones fiscales de la iniciativa</w:t>
      </w:r>
      <w:r w:rsidRPr="003E425B">
        <w:rPr>
          <w:rFonts w:ascii="Times New Roman" w:hAnsi="Times New Roman"/>
          <w:sz w:val="28"/>
          <w:vertAlign w:val="superscript"/>
          <w:lang w:val="es-ES" w:eastAsia="es-MX"/>
        </w:rPr>
        <w:footnoteReference w:id="373"/>
      </w:r>
      <w:r w:rsidRPr="003E425B">
        <w:rPr>
          <w:rFonts w:ascii="Times New Roman" w:hAnsi="Times New Roman"/>
          <w:sz w:val="28"/>
          <w:lang w:val="es-ES" w:eastAsia="es-MX"/>
        </w:rPr>
        <w:t xml:space="preserve">. </w:t>
      </w:r>
      <w:r w:rsidRPr="003E425B">
        <w:rPr>
          <w:rFonts w:ascii="Times New Roman" w:hAnsi="Times New Roman"/>
          <w:sz w:val="28"/>
          <w:lang w:eastAsia="es-MX"/>
        </w:rPr>
        <w:t>Con fundamento en estas consideraciones, la Corte Constitucional ha declarado inconstitucionalidad de leyes al constatar que el MHCP no presentó el concepto o el concepto no tenía una estudio serio y detallado del impacto fiscal, puesto que se limitaba a i</w:t>
      </w:r>
      <w:r w:rsidRPr="003E425B">
        <w:rPr>
          <w:rFonts w:ascii="Times New Roman" w:hAnsi="Times New Roman"/>
          <w:sz w:val="28"/>
          <w:lang w:eastAsia="es-MX"/>
        </w:rPr>
        <w:t>ndicar, de forma genérica, que el costo fiscal era compatible con el Plan Nacional de Desarrollo o el MFMP, sin exponer una mínima explicación</w:t>
      </w:r>
      <w:r w:rsidRPr="003E425B">
        <w:rPr>
          <w:rStyle w:val="Refdenotaalpie"/>
          <w:rFonts w:ascii="Times New Roman" w:hAnsi="Times New Roman"/>
          <w:sz w:val="28"/>
          <w:lang w:eastAsia="es-MX"/>
        </w:rPr>
        <w:footnoteReference w:id="374"/>
      </w:r>
      <w:r w:rsidRPr="003E425B">
        <w:rPr>
          <w:rFonts w:ascii="Times New Roman" w:hAnsi="Times New Roman"/>
          <w:sz w:val="28"/>
          <w:lang w:eastAsia="es-MX"/>
        </w:rPr>
        <w:t>.</w:t>
      </w:r>
      <w:r w:rsidRPr="003E425B">
        <w:rPr>
          <w:rFonts w:ascii="Times New Roman" w:hAnsi="Times New Roman"/>
          <w:i/>
          <w:iCs/>
          <w:sz w:val="28"/>
          <w:lang w:eastAsia="es-MX"/>
        </w:rPr>
        <w:t xml:space="preserve"> </w:t>
      </w:r>
      <w:r w:rsidRPr="003E425B">
        <w:rPr>
          <w:rFonts w:ascii="Times New Roman" w:hAnsi="Times New Roman"/>
          <w:iCs/>
          <w:sz w:val="28"/>
          <w:lang w:eastAsia="es-MX"/>
        </w:rPr>
        <w:t>La Sala Plena encuentra que esto es lo que ocurrió en este caso: el MHCP no presentó un estudio serio y fundado</w:t>
      </w:r>
      <w:r w:rsidRPr="003E425B">
        <w:rPr>
          <w:rFonts w:ascii="Times New Roman" w:hAnsi="Times New Roman"/>
          <w:iCs/>
          <w:sz w:val="28"/>
          <w:lang w:eastAsia="es-MX"/>
        </w:rPr>
        <w:t xml:space="preserve"> del impacto fiscal de la creación del Ministerio de Igualdad y Equidad, lo que impidió que las plenarias contaran con una mínima ilustración sobre la incidencia fiscal de la iniciativa. </w:t>
      </w:r>
    </w:p>
    <w:p w:rsidR="002860D7" w:rsidRPr="003E425B" w:rsidRDefault="003E425B" w:rsidP="00010108">
      <w:pPr>
        <w:pStyle w:val="Prrafodelista"/>
        <w:spacing w:line="240" w:lineRule="auto"/>
        <w:ind w:left="0"/>
        <w:rPr>
          <w:rFonts w:ascii="Times New Roman" w:hAnsi="Times New Roman"/>
          <w:iCs/>
          <w:sz w:val="28"/>
          <w:lang w:eastAsia="es-MX"/>
        </w:rPr>
      </w:pPr>
    </w:p>
    <w:p w:rsidR="002860D7" w:rsidRPr="003E425B" w:rsidRDefault="003E425B" w:rsidP="00997845">
      <w:pPr>
        <w:pStyle w:val="Ttulo4"/>
        <w:numPr>
          <w:ilvl w:val="0"/>
          <w:numId w:val="24"/>
        </w:numPr>
        <w:rPr>
          <w:rFonts w:ascii="Times New Roman" w:hAnsi="Times New Roman" w:cs="Times New Roman"/>
          <w:i/>
          <w:sz w:val="28"/>
          <w:lang w:val="es-ES" w:eastAsia="es-MX"/>
        </w:rPr>
      </w:pPr>
      <w:r w:rsidRPr="003E425B">
        <w:rPr>
          <w:rFonts w:ascii="Times New Roman" w:hAnsi="Times New Roman" w:cs="Times New Roman"/>
          <w:i/>
          <w:iCs w:val="0"/>
          <w:sz w:val="28"/>
          <w:lang w:eastAsia="es-MX"/>
        </w:rPr>
        <w:t>Debate en plenarias</w:t>
      </w:r>
      <w:r w:rsidRPr="003E425B">
        <w:rPr>
          <w:rFonts w:ascii="Times New Roman" w:hAnsi="Times New Roman" w:cs="Times New Roman"/>
          <w:sz w:val="28"/>
          <w:lang w:eastAsia="es-MX"/>
        </w:rPr>
        <w:t>: l</w:t>
      </w:r>
      <w:r w:rsidRPr="003E425B">
        <w:rPr>
          <w:rFonts w:ascii="Times New Roman" w:hAnsi="Times New Roman" w:cs="Times New Roman"/>
          <w:sz w:val="28"/>
          <w:lang w:eastAsia="es-MX"/>
        </w:rPr>
        <w:t>as plenarias de la Cámara de Representantes y</w:t>
      </w:r>
      <w:r w:rsidRPr="003E425B">
        <w:rPr>
          <w:rFonts w:ascii="Times New Roman" w:hAnsi="Times New Roman" w:cs="Times New Roman"/>
          <w:sz w:val="28"/>
          <w:lang w:eastAsia="es-MX"/>
        </w:rPr>
        <w:t xml:space="preserve"> el Senado de la República no consideraron los referentes mínimos del impacto fiscal de la iniciativa </w:t>
      </w:r>
    </w:p>
    <w:p w:rsidR="002860D7" w:rsidRPr="003E425B" w:rsidRDefault="003E425B" w:rsidP="00010108">
      <w:pPr>
        <w:pStyle w:val="Prrafodelista"/>
        <w:tabs>
          <w:tab w:val="left" w:pos="567"/>
        </w:tabs>
        <w:spacing w:line="240" w:lineRule="auto"/>
        <w:ind w:left="0"/>
        <w:rPr>
          <w:rFonts w:ascii="Times New Roman" w:hAnsi="Times New Roman"/>
          <w:iCs/>
          <w:sz w:val="28"/>
          <w:lang w:val="es-ES"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i/>
          <w:iCs/>
          <w:sz w:val="28"/>
          <w:lang w:val="es-ES" w:eastAsia="es-MX"/>
        </w:rPr>
      </w:pPr>
      <w:r w:rsidRPr="003E425B">
        <w:rPr>
          <w:rFonts w:ascii="Times New Roman" w:hAnsi="Times New Roman"/>
          <w:i/>
          <w:sz w:val="28"/>
          <w:lang w:eastAsia="es-MX"/>
        </w:rPr>
        <w:t>Debate en la plenaria de la Cámara de Representantes</w:t>
      </w:r>
      <w:r w:rsidRPr="003E425B">
        <w:rPr>
          <w:rFonts w:ascii="Times New Roman" w:hAnsi="Times New Roman"/>
          <w:sz w:val="28"/>
          <w:lang w:eastAsia="es-MX"/>
        </w:rPr>
        <w:t xml:space="preserve">. El 12 de diciembre de 2022, a las 10:00 a.m., menos de dos horas después de que el MHCP radicó su </w:t>
      </w:r>
      <w:r w:rsidRPr="003E425B">
        <w:rPr>
          <w:rFonts w:ascii="Times New Roman" w:hAnsi="Times New Roman"/>
          <w:sz w:val="28"/>
          <w:lang w:eastAsia="es-MX"/>
        </w:rPr>
        <w:t xml:space="preserve">escrito de comentarios, la plenaria de la Cámara de Representantes inició el debate en el que se discutió el proyecto de ley No. 261 de 2022 Cámara, 222 de 2022 </w:t>
      </w:r>
      <w:r w:rsidRPr="003E425B">
        <w:rPr>
          <w:rFonts w:ascii="Times New Roman" w:hAnsi="Times New Roman"/>
          <w:iCs/>
          <w:sz w:val="28"/>
          <w:lang w:val="es-ES" w:eastAsia="es-MX"/>
        </w:rPr>
        <w:t>Senado</w:t>
      </w:r>
      <w:r w:rsidRPr="003E425B">
        <w:rPr>
          <w:rFonts w:ascii="Times New Roman" w:hAnsi="Times New Roman"/>
          <w:sz w:val="28"/>
          <w:lang w:eastAsia="es-MX"/>
        </w:rPr>
        <w:t>, “por medio de la cual se crea el Ministerio de Igualdad y Equidad y se dictan otras Dis</w:t>
      </w:r>
      <w:r w:rsidRPr="003E425B">
        <w:rPr>
          <w:rFonts w:ascii="Times New Roman" w:hAnsi="Times New Roman"/>
          <w:sz w:val="28"/>
          <w:lang w:eastAsia="es-MX"/>
        </w:rPr>
        <w:t>posiciones”. Durante el debate, 10 representantes de distintos partidos manifestaron, de nuevo, su preocupación sobre el impacto fiscal de la iniciativa</w:t>
      </w:r>
      <w:r w:rsidRPr="003E425B">
        <w:rPr>
          <w:rStyle w:val="Refdenotaalpie"/>
          <w:rFonts w:ascii="Times New Roman" w:hAnsi="Times New Roman"/>
          <w:sz w:val="28"/>
          <w:lang w:eastAsia="es-MX"/>
        </w:rPr>
        <w:footnoteReference w:id="375"/>
      </w:r>
      <w:r w:rsidRPr="003E425B">
        <w:rPr>
          <w:rFonts w:ascii="Times New Roman" w:hAnsi="Times New Roman"/>
          <w:sz w:val="28"/>
          <w:lang w:eastAsia="es-MX"/>
        </w:rPr>
        <w:t>. En concreto, expresaron no conocer con claridad cuáles serían los costos del nuevo ministerio, los cu</w:t>
      </w:r>
      <w:r w:rsidRPr="003E425B">
        <w:rPr>
          <w:rFonts w:ascii="Times New Roman" w:hAnsi="Times New Roman"/>
          <w:sz w:val="28"/>
          <w:lang w:eastAsia="es-MX"/>
        </w:rPr>
        <w:t>ales parecerían oscilar entre los “14 mil millones de pesos”</w:t>
      </w:r>
      <w:r w:rsidRPr="003E425B">
        <w:rPr>
          <w:rStyle w:val="Refdenotaalpie"/>
          <w:rFonts w:ascii="Times New Roman" w:hAnsi="Times New Roman"/>
          <w:sz w:val="28"/>
          <w:lang w:eastAsia="es-MX"/>
        </w:rPr>
        <w:footnoteReference w:id="376"/>
      </w:r>
      <w:r w:rsidRPr="003E425B">
        <w:rPr>
          <w:rFonts w:ascii="Times New Roman" w:hAnsi="Times New Roman"/>
          <w:sz w:val="28"/>
          <w:lang w:eastAsia="es-MX"/>
        </w:rPr>
        <w:t xml:space="preserve"> y 2 billones de pesos</w:t>
      </w:r>
      <w:r w:rsidRPr="003E425B">
        <w:rPr>
          <w:rStyle w:val="Refdenotaalpie"/>
          <w:rFonts w:ascii="Times New Roman" w:hAnsi="Times New Roman"/>
          <w:sz w:val="28"/>
          <w:lang w:eastAsia="es-MX"/>
        </w:rPr>
        <w:footnoteReference w:id="377"/>
      </w:r>
      <w:r w:rsidRPr="003E425B">
        <w:rPr>
          <w:rFonts w:ascii="Times New Roman" w:hAnsi="Times New Roman"/>
          <w:sz w:val="28"/>
          <w:lang w:eastAsia="es-MX"/>
        </w:rPr>
        <w:t xml:space="preserve">, como tampoco de su estructura y de las entidades que la conformarían. </w:t>
      </w:r>
    </w:p>
    <w:p w:rsidR="002860D7" w:rsidRPr="003E425B" w:rsidRDefault="003E425B" w:rsidP="00010108">
      <w:pPr>
        <w:pStyle w:val="Prrafodelista"/>
        <w:tabs>
          <w:tab w:val="left" w:pos="567"/>
        </w:tabs>
        <w:spacing w:line="240" w:lineRule="auto"/>
        <w:ind w:left="0"/>
        <w:rPr>
          <w:rFonts w:ascii="Times New Roman" w:hAnsi="Times New Roman"/>
          <w:b/>
          <w:bCs/>
          <w:sz w:val="28"/>
          <w:u w:val="single"/>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Asimismo, algunos congresistas presentaron inquietudes sobre el escrito de comentarios presentado por el MHCP. La Sala Plena resalta las intervenciones de los representantes Luis Miguel López Aristizábal</w:t>
      </w:r>
      <w:r w:rsidRPr="003E425B">
        <w:rPr>
          <w:rStyle w:val="Refdenotaalpie"/>
          <w:rFonts w:ascii="Times New Roman" w:hAnsi="Times New Roman"/>
          <w:sz w:val="28"/>
          <w:lang w:eastAsia="es-MX"/>
        </w:rPr>
        <w:footnoteReference w:id="378"/>
      </w:r>
      <w:r w:rsidRPr="003E425B">
        <w:rPr>
          <w:rFonts w:ascii="Times New Roman" w:hAnsi="Times New Roman"/>
          <w:sz w:val="28"/>
          <w:lang w:eastAsia="es-MX"/>
        </w:rPr>
        <w:t xml:space="preserve"> y Modesto Enrique Aguilera Vides</w:t>
      </w:r>
      <w:r w:rsidRPr="003E425B">
        <w:rPr>
          <w:rStyle w:val="Refdenotaalpie"/>
          <w:rFonts w:ascii="Times New Roman" w:hAnsi="Times New Roman"/>
          <w:sz w:val="28"/>
          <w:lang w:eastAsia="es-MX"/>
        </w:rPr>
        <w:footnoteReference w:id="379"/>
      </w:r>
      <w:r w:rsidRPr="003E425B">
        <w:rPr>
          <w:rFonts w:ascii="Times New Roman" w:hAnsi="Times New Roman"/>
          <w:i/>
          <w:iCs/>
          <w:sz w:val="28"/>
          <w:lang w:eastAsia="es-MX"/>
        </w:rPr>
        <w:t>.</w:t>
      </w:r>
      <w:r w:rsidRPr="003E425B">
        <w:rPr>
          <w:rFonts w:ascii="Times New Roman" w:hAnsi="Times New Roman"/>
          <w:iCs/>
          <w:sz w:val="28"/>
          <w:lang w:eastAsia="es-MX"/>
        </w:rPr>
        <w:t xml:space="preserve"> </w:t>
      </w:r>
    </w:p>
    <w:p w:rsidR="002860D7" w:rsidRPr="003E425B" w:rsidRDefault="003E425B" w:rsidP="00010108">
      <w:pPr>
        <w:pStyle w:val="Prrafodelista"/>
        <w:spacing w:line="240" w:lineRule="auto"/>
        <w:rPr>
          <w:rFonts w:ascii="Times New Roman" w:hAnsi="Times New Roman"/>
          <w:sz w:val="28"/>
          <w:lang w:eastAsia="es-MX"/>
        </w:rPr>
      </w:pPr>
    </w:p>
    <w:tbl>
      <w:tblPr>
        <w:tblStyle w:val="Tablaconcuadrcula"/>
        <w:tblW w:w="5000" w:type="pct"/>
        <w:tblLook w:val="04A0" w:firstRow="1" w:lastRow="0" w:firstColumn="1" w:lastColumn="0" w:noHBand="0" w:noVBand="1"/>
      </w:tblPr>
      <w:tblGrid>
        <w:gridCol w:w="1556"/>
        <w:gridCol w:w="7274"/>
      </w:tblGrid>
      <w:tr w:rsidR="002860D7" w:rsidRPr="003E425B" w:rsidTr="00E4520F">
        <w:tc>
          <w:tcPr>
            <w:tcW w:w="5000" w:type="pct"/>
            <w:gridSpan w:val="2"/>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Intervenciones</w:t>
            </w:r>
            <w:r w:rsidRPr="003E425B">
              <w:rPr>
                <w:rFonts w:ascii="Times New Roman" w:hAnsi="Times New Roman"/>
                <w:b/>
                <w:bCs/>
                <w:sz w:val="28"/>
                <w:szCs w:val="20"/>
                <w:lang w:eastAsia="es-MX"/>
              </w:rPr>
              <w:t xml:space="preserve"> sobre el concepto del MHCP</w:t>
            </w:r>
          </w:p>
        </w:tc>
      </w:tr>
      <w:tr w:rsidR="002860D7" w:rsidRPr="003E425B" w:rsidTr="00E4520F">
        <w:tc>
          <w:tcPr>
            <w:tcW w:w="881" w:type="pct"/>
            <w:shd w:val="clear" w:color="auto" w:fill="D9D9D9" w:themeFill="background1" w:themeFillShade="D9"/>
            <w:vAlign w:val="center"/>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Luis Miguel López Aristizábal</w:t>
            </w:r>
          </w:p>
        </w:tc>
        <w:tc>
          <w:tcPr>
            <w:tcW w:w="4119" w:type="pct"/>
          </w:tcPr>
          <w:p w:rsidR="002860D7" w:rsidRPr="003E425B" w:rsidRDefault="003E425B" w:rsidP="00010108">
            <w:pPr>
              <w:pStyle w:val="Prrafodelista"/>
              <w:tabs>
                <w:tab w:val="left" w:pos="567"/>
              </w:tabs>
              <w:spacing w:line="240" w:lineRule="auto"/>
              <w:ind w:left="0"/>
              <w:rPr>
                <w:rFonts w:ascii="Times New Roman" w:hAnsi="Times New Roman"/>
                <w:sz w:val="28"/>
                <w:szCs w:val="20"/>
                <w:lang w:eastAsia="es-MX"/>
              </w:rPr>
            </w:pPr>
            <w:r w:rsidRPr="003E425B">
              <w:rPr>
                <w:rFonts w:ascii="Times New Roman" w:hAnsi="Times New Roman"/>
                <w:sz w:val="28"/>
                <w:szCs w:val="20"/>
                <w:lang w:eastAsia="es-MX"/>
              </w:rPr>
              <w:t>“Pero yo quisiera referirme ya finalmente, a lo que nos trae el Ministerio de Hacienda el concepto del Ministerio de Hacienda porque realmente sigo con la preocupación del impacto fiscal, la verdad</w:t>
            </w:r>
            <w:r w:rsidRPr="003E425B">
              <w:rPr>
                <w:rFonts w:ascii="Times New Roman" w:hAnsi="Times New Roman"/>
                <w:sz w:val="28"/>
                <w:szCs w:val="20"/>
                <w:lang w:eastAsia="es-MX"/>
              </w:rPr>
              <w:t xml:space="preserve"> es que el concepto del ministerio dice que (…). El costo preciso de creación y operación del nuevo ministerio se puede tener una vez se cuente con la estructura final de la entidad, seguimos sin tener la estructura final, sin comprender realmente hacia dó</w:t>
            </w:r>
            <w:r w:rsidRPr="003E425B">
              <w:rPr>
                <w:rFonts w:ascii="Times New Roman" w:hAnsi="Times New Roman"/>
                <w:sz w:val="28"/>
                <w:szCs w:val="20"/>
                <w:lang w:eastAsia="es-MX"/>
              </w:rPr>
              <w:t>nde va el ministerio</w:t>
            </w:r>
            <w:r w:rsidRPr="003E425B">
              <w:rPr>
                <w:rFonts w:ascii="Times New Roman" w:hAnsi="Times New Roman"/>
                <w:sz w:val="28"/>
                <w:szCs w:val="20"/>
                <w:lang w:eastAsia="es-MX"/>
              </w:rPr>
              <w:t xml:space="preserve"> (…)</w:t>
            </w:r>
            <w:r w:rsidRPr="003E425B">
              <w:rPr>
                <w:rFonts w:ascii="Times New Roman" w:hAnsi="Times New Roman"/>
                <w:sz w:val="28"/>
                <w:szCs w:val="20"/>
                <w:lang w:eastAsia="es-MX"/>
              </w:rPr>
              <w:t>”.</w:t>
            </w:r>
          </w:p>
        </w:tc>
      </w:tr>
      <w:tr w:rsidR="002860D7" w:rsidRPr="003E425B" w:rsidTr="00E4520F">
        <w:tc>
          <w:tcPr>
            <w:tcW w:w="881" w:type="pct"/>
            <w:shd w:val="clear" w:color="auto" w:fill="D9D9D9" w:themeFill="background1" w:themeFillShade="D9"/>
            <w:vAlign w:val="center"/>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Modesto Enrique Aguilera Vides</w:t>
            </w:r>
          </w:p>
        </w:tc>
        <w:tc>
          <w:tcPr>
            <w:tcW w:w="4119" w:type="pct"/>
          </w:tcPr>
          <w:p w:rsidR="002860D7" w:rsidRPr="003E425B" w:rsidRDefault="003E425B" w:rsidP="00010108">
            <w:pPr>
              <w:pStyle w:val="Prrafodelista"/>
              <w:tabs>
                <w:tab w:val="left" w:pos="567"/>
              </w:tabs>
              <w:spacing w:line="240" w:lineRule="auto"/>
              <w:ind w:left="0"/>
              <w:rPr>
                <w:rFonts w:ascii="Times New Roman" w:hAnsi="Times New Roman"/>
                <w:sz w:val="28"/>
                <w:szCs w:val="20"/>
                <w:lang w:eastAsia="es-MX"/>
              </w:rPr>
            </w:pPr>
            <w:r w:rsidRPr="003E425B">
              <w:rPr>
                <w:rFonts w:ascii="Times New Roman" w:hAnsi="Times New Roman"/>
                <w:sz w:val="28"/>
                <w:szCs w:val="20"/>
                <w:lang w:eastAsia="es-MX"/>
              </w:rPr>
              <w:t xml:space="preserve">“Pero mire Viceministro, hasta hace dos horas fue que llegó el concepto del impacto del marco fiscal y no dice si es positivo o es negativo. Yo creería Ministro de Gobierno (…) Aprovechando que el </w:t>
            </w:r>
            <w:r w:rsidRPr="003E425B">
              <w:rPr>
                <w:rFonts w:ascii="Times New Roman" w:hAnsi="Times New Roman"/>
                <w:sz w:val="28"/>
                <w:szCs w:val="20"/>
                <w:lang w:eastAsia="es-MX"/>
              </w:rPr>
              <w:t xml:space="preserve">Ministro está aquí, que nos diga cuál va a ser el impacto fiscal, porque lo que se va a tratar es de recoger algunas funciones de algunos departamentos administrativos y llevarlos allá, y no va a haber la creación de la burocracia y esto atendiendo varias </w:t>
            </w:r>
            <w:r w:rsidRPr="003E425B">
              <w:rPr>
                <w:rFonts w:ascii="Times New Roman" w:hAnsi="Times New Roman"/>
                <w:sz w:val="28"/>
                <w:szCs w:val="20"/>
                <w:lang w:eastAsia="es-MX"/>
              </w:rPr>
              <w:t>jurisprudencias de la Corte Constitucional cuando reviso la 819 del 2003 que es el que nos da la carta de navegación del marco fiscal en Colombia”.</w:t>
            </w:r>
          </w:p>
        </w:tc>
      </w:tr>
    </w:tbl>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La representante ponente del proyecto resaltó que el texto aprobado por la Cámara de Representantes definía la estructura orgánica. Asimismo, aseguró que </w:t>
      </w:r>
      <w:r w:rsidRPr="003E425B">
        <w:rPr>
          <w:rFonts w:ascii="Times New Roman" w:hAnsi="Times New Roman"/>
          <w:sz w:val="28"/>
          <w:szCs w:val="20"/>
          <w:lang w:eastAsia="es-MX"/>
        </w:rPr>
        <w:t>“</w:t>
      </w:r>
      <w:r w:rsidRPr="003E425B">
        <w:rPr>
          <w:rFonts w:ascii="Times New Roman" w:hAnsi="Times New Roman"/>
          <w:sz w:val="28"/>
          <w:lang w:eastAsia="es-MX"/>
        </w:rPr>
        <w:t>la ponencia dice cuánto va a costar este Ministerio y para quienes no lo sabían también Hacienda, que</w:t>
      </w:r>
      <w:r w:rsidRPr="003E425B">
        <w:rPr>
          <w:rFonts w:ascii="Times New Roman" w:hAnsi="Times New Roman"/>
          <w:sz w:val="28"/>
          <w:lang w:eastAsia="es-MX"/>
        </w:rPr>
        <w:t xml:space="preserve"> radicó ya su concepto, está planteando que este Ministerio para funcionar no va a necesitar más de 18 o 19 mil millones de pesos”. También resaltó que “[l]o que se calcula, (…) son esos 18 mil millones de pesos, que hoy estamos diciendo, no crean impacto </w:t>
      </w:r>
      <w:r w:rsidRPr="003E425B">
        <w:rPr>
          <w:rFonts w:ascii="Times New Roman" w:hAnsi="Times New Roman"/>
          <w:sz w:val="28"/>
          <w:lang w:eastAsia="es-MX"/>
        </w:rPr>
        <w:t>al marco fiscal de mediano plazo, así que no será mucha la democracia, no será mucha la plata que le cueste este Ministerio al país y serán muchos los beneficios”</w:t>
      </w:r>
      <w:r w:rsidRPr="003E425B">
        <w:rPr>
          <w:rStyle w:val="Refdenotaalpie"/>
          <w:rFonts w:ascii="Times New Roman" w:hAnsi="Times New Roman"/>
          <w:sz w:val="28"/>
          <w:lang w:eastAsia="es-MX"/>
        </w:rPr>
        <w:footnoteReference w:id="380"/>
      </w:r>
      <w:r w:rsidRPr="003E425B">
        <w:rPr>
          <w:rFonts w:ascii="Times New Roman" w:hAnsi="Times New Roman"/>
          <w:sz w:val="28"/>
          <w:lang w:eastAsia="es-MX"/>
        </w:rPr>
        <w:t xml:space="preserve">. Por otra parte, respecto de los recursos de inversión, afirmó que “estamos calculando poco </w:t>
      </w:r>
      <w:r w:rsidRPr="003E425B">
        <w:rPr>
          <w:rFonts w:ascii="Times New Roman" w:hAnsi="Times New Roman"/>
          <w:sz w:val="28"/>
          <w:lang w:eastAsia="es-MX"/>
        </w:rPr>
        <w:t>más de 12 billones de pesos, que vendrán de programas y proyectos que están regados vuelvo y repito, a lo alto y ancho del Estado”</w:t>
      </w:r>
      <w:r w:rsidRPr="003E425B">
        <w:rPr>
          <w:rStyle w:val="Refdenotaalpie"/>
          <w:rFonts w:ascii="Times New Roman" w:hAnsi="Times New Roman"/>
          <w:sz w:val="28"/>
          <w:lang w:eastAsia="es-MX"/>
        </w:rPr>
        <w:footnoteReference w:id="381"/>
      </w:r>
      <w:r w:rsidRPr="003E425B">
        <w:rPr>
          <w:rFonts w:ascii="Times New Roman" w:hAnsi="Times New Roman"/>
          <w:sz w:val="28"/>
          <w:lang w:eastAsia="es-MX"/>
        </w:rPr>
        <w:t xml:space="preserve">.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sz w:val="28"/>
          <w:lang w:eastAsia="es-MX"/>
        </w:rPr>
        <w:t>Debate en la plenaria del Senado de la República</w:t>
      </w:r>
      <w:r w:rsidRPr="003E425B">
        <w:rPr>
          <w:rFonts w:ascii="Times New Roman" w:hAnsi="Times New Roman"/>
          <w:sz w:val="28"/>
          <w:lang w:eastAsia="es-MX"/>
        </w:rPr>
        <w:t>. El mismo 12 de diciembre de 2022, a las 2:00 p.m., la plenaria del Sena</w:t>
      </w:r>
      <w:r w:rsidRPr="003E425B">
        <w:rPr>
          <w:rFonts w:ascii="Times New Roman" w:hAnsi="Times New Roman"/>
          <w:sz w:val="28"/>
          <w:lang w:eastAsia="es-MX"/>
        </w:rPr>
        <w:t>do de la República inició el debate del proyecto de Ley. Durante el debate, congresistas de varios partidos expresaron su preocupación sobre el impacto fiscal de la iniciativa</w:t>
      </w:r>
      <w:r w:rsidRPr="003E425B">
        <w:rPr>
          <w:rStyle w:val="Refdenotaalpie"/>
          <w:rFonts w:ascii="Times New Roman" w:hAnsi="Times New Roman"/>
          <w:sz w:val="28"/>
          <w:lang w:eastAsia="es-MX"/>
        </w:rPr>
        <w:footnoteReference w:id="382"/>
      </w:r>
      <w:r w:rsidRPr="003E425B">
        <w:rPr>
          <w:rFonts w:ascii="Times New Roman" w:hAnsi="Times New Roman"/>
          <w:sz w:val="28"/>
          <w:lang w:eastAsia="es-MX"/>
        </w:rPr>
        <w:t xml:space="preserve">. En concreto, manifestaron que aun persistían dudas sobre el costo, funciones, </w:t>
      </w:r>
      <w:r w:rsidRPr="003E425B">
        <w:rPr>
          <w:rFonts w:ascii="Times New Roman" w:hAnsi="Times New Roman"/>
          <w:sz w:val="28"/>
          <w:lang w:eastAsia="es-MX"/>
        </w:rPr>
        <w:t xml:space="preserve">financiación y la </w:t>
      </w:r>
      <w:r w:rsidRPr="003E425B">
        <w:rPr>
          <w:rFonts w:ascii="Times New Roman" w:hAnsi="Times New Roman"/>
          <w:sz w:val="28"/>
          <w:lang w:eastAsia="es-MX"/>
        </w:rPr>
        <w:t>estructura que tendría el Ministerio de Igualdad y Equidad. La siguiente tabla sintetiza las principales intervenciones:</w:t>
      </w:r>
    </w:p>
    <w:p w:rsidR="002860D7" w:rsidRPr="003E425B" w:rsidRDefault="003E425B" w:rsidP="00010108">
      <w:pPr>
        <w:pStyle w:val="Prrafodelista"/>
        <w:spacing w:line="240" w:lineRule="auto"/>
        <w:ind w:left="0"/>
        <w:rPr>
          <w:rFonts w:ascii="Times New Roman" w:hAnsi="Times New Roman"/>
          <w:sz w:val="28"/>
          <w:lang w:eastAsia="es-MX"/>
        </w:rPr>
      </w:pPr>
    </w:p>
    <w:tbl>
      <w:tblPr>
        <w:tblStyle w:val="Tablaconcuadrcula"/>
        <w:tblW w:w="5000" w:type="pct"/>
        <w:tblLook w:val="04A0" w:firstRow="1" w:lastRow="0" w:firstColumn="1" w:lastColumn="0" w:noHBand="0" w:noVBand="1"/>
      </w:tblPr>
      <w:tblGrid>
        <w:gridCol w:w="1838"/>
        <w:gridCol w:w="6992"/>
      </w:tblGrid>
      <w:tr w:rsidR="002860D7" w:rsidRPr="003E425B" w:rsidTr="00E4520F">
        <w:tc>
          <w:tcPr>
            <w:tcW w:w="5000" w:type="pct"/>
            <w:gridSpan w:val="2"/>
            <w:shd w:val="clear" w:color="auto" w:fill="D9D9D9" w:themeFill="background1" w:themeFillShade="D9"/>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Intervenciones sobre el impacto fiscal de la medida legislativa en la plenaria del Senado</w:t>
            </w:r>
          </w:p>
        </w:tc>
      </w:tr>
      <w:tr w:rsidR="002860D7" w:rsidRPr="003E425B" w:rsidTr="00E4520F">
        <w:tc>
          <w:tcPr>
            <w:tcW w:w="1041" w:type="pct"/>
            <w:shd w:val="clear" w:color="auto" w:fill="D9D9D9" w:themeFill="background1" w:themeFillShade="D9"/>
            <w:vAlign w:val="center"/>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Paloma Susana Valencia La</w:t>
            </w:r>
            <w:r w:rsidRPr="003E425B">
              <w:rPr>
                <w:rFonts w:ascii="Times New Roman" w:hAnsi="Times New Roman"/>
                <w:b/>
                <w:bCs/>
                <w:sz w:val="28"/>
                <w:szCs w:val="20"/>
                <w:lang w:eastAsia="es-MX"/>
              </w:rPr>
              <w:t>serna</w:t>
            </w:r>
          </w:p>
        </w:tc>
        <w:tc>
          <w:tcPr>
            <w:tcW w:w="3959" w:type="pct"/>
          </w:tcPr>
          <w:p w:rsidR="002860D7" w:rsidRPr="003E425B" w:rsidRDefault="003E425B" w:rsidP="00010108">
            <w:pPr>
              <w:pStyle w:val="Prrafodelista"/>
              <w:tabs>
                <w:tab w:val="left" w:pos="567"/>
              </w:tabs>
              <w:spacing w:line="240" w:lineRule="auto"/>
              <w:ind w:left="0"/>
              <w:rPr>
                <w:rFonts w:ascii="Times New Roman" w:hAnsi="Times New Roman"/>
                <w:sz w:val="28"/>
                <w:szCs w:val="20"/>
                <w:lang w:eastAsia="es-MX"/>
              </w:rPr>
            </w:pPr>
            <w:r w:rsidRPr="003E425B">
              <w:rPr>
                <w:rFonts w:ascii="Times New Roman" w:hAnsi="Times New Roman"/>
                <w:sz w:val="28"/>
                <w:szCs w:val="20"/>
                <w:lang w:eastAsia="es-MX"/>
              </w:rPr>
              <w:t>“Yo creo que lo más importante es que este Congreso antes de votar este proyecto conozca, ¿cuánto va a costar?, porque no puede ser que aquí estemos aprobando proposiciones que le dan facultades extraordinarias al Presidente</w:t>
            </w:r>
            <w:r w:rsidRPr="003E425B">
              <w:rPr>
                <w:rFonts w:ascii="Times New Roman" w:hAnsi="Times New Roman"/>
                <w:sz w:val="28"/>
                <w:szCs w:val="20"/>
                <w:lang w:eastAsia="es-MX"/>
              </w:rPr>
              <w:t xml:space="preserve"> para reacomodar el sector y no sepamos, ¿cuál es el costo que va a tener esto? (…). Eso qué significa, que aquí pueden gastar la plata que sea y nadie sabe, ¿cuánto va a costar?, ante la situación fiscal de la nación que hemos oído de la que se queja much</w:t>
            </w:r>
            <w:r w:rsidRPr="003E425B">
              <w:rPr>
                <w:rFonts w:ascii="Times New Roman" w:hAnsi="Times New Roman"/>
                <w:sz w:val="28"/>
                <w:szCs w:val="20"/>
                <w:lang w:eastAsia="es-MX"/>
              </w:rPr>
              <w:t>o el Gobierno y que coincidimos en que está muy apretada, no puede ser que este Congreso firme unas facultades ilimitadas que no sabemos, ¿qué cargos van a crear?, y sobre todo, ¿cuánto van a costar? Pido, respetuosamente, que esta plenaria aplace ese deba</w:t>
            </w:r>
            <w:r w:rsidRPr="003E425B">
              <w:rPr>
                <w:rFonts w:ascii="Times New Roman" w:hAnsi="Times New Roman"/>
                <w:sz w:val="28"/>
                <w:szCs w:val="20"/>
                <w:lang w:eastAsia="es-MX"/>
              </w:rPr>
              <w:t>te hasta tanto se tenga el informe de, ¿cuánta plata se va a gastar en este ministerio?, y los colombianos puedan juzgar si les interesa esa plata dilapidada en más burocracia o si quieren esa plata invertida en los territorios”.</w:t>
            </w:r>
          </w:p>
        </w:tc>
      </w:tr>
      <w:tr w:rsidR="002860D7" w:rsidRPr="003E425B" w:rsidTr="00E4520F">
        <w:tc>
          <w:tcPr>
            <w:tcW w:w="1041" w:type="pct"/>
            <w:shd w:val="clear" w:color="auto" w:fill="D9D9D9" w:themeFill="background1" w:themeFillShade="D9"/>
            <w:vAlign w:val="center"/>
          </w:tcPr>
          <w:p w:rsidR="002860D7" w:rsidRPr="003E425B" w:rsidRDefault="003E425B" w:rsidP="00010108">
            <w:pPr>
              <w:pStyle w:val="Prrafodelista"/>
              <w:tabs>
                <w:tab w:val="left" w:pos="567"/>
              </w:tabs>
              <w:spacing w:line="240" w:lineRule="auto"/>
              <w:ind w:left="0"/>
              <w:jc w:val="center"/>
              <w:rPr>
                <w:rFonts w:ascii="Times New Roman" w:hAnsi="Times New Roman"/>
                <w:b/>
                <w:bCs/>
                <w:sz w:val="28"/>
                <w:szCs w:val="20"/>
                <w:lang w:eastAsia="es-MX"/>
              </w:rPr>
            </w:pPr>
            <w:r w:rsidRPr="003E425B">
              <w:rPr>
                <w:rFonts w:ascii="Times New Roman" w:hAnsi="Times New Roman"/>
                <w:b/>
                <w:bCs/>
                <w:sz w:val="28"/>
                <w:szCs w:val="20"/>
                <w:lang w:eastAsia="es-MX"/>
              </w:rPr>
              <w:t>María Fernanda Cabal Moli</w:t>
            </w:r>
            <w:r w:rsidRPr="003E425B">
              <w:rPr>
                <w:rFonts w:ascii="Times New Roman" w:hAnsi="Times New Roman"/>
                <w:b/>
                <w:bCs/>
                <w:sz w:val="28"/>
                <w:szCs w:val="20"/>
                <w:lang w:eastAsia="es-MX"/>
              </w:rPr>
              <w:t>na</w:t>
            </w:r>
          </w:p>
        </w:tc>
        <w:tc>
          <w:tcPr>
            <w:tcW w:w="3959" w:type="pct"/>
          </w:tcPr>
          <w:p w:rsidR="002860D7" w:rsidRPr="003E425B" w:rsidRDefault="003E425B" w:rsidP="00010108">
            <w:pPr>
              <w:pStyle w:val="Prrafodelista"/>
              <w:tabs>
                <w:tab w:val="left" w:pos="567"/>
              </w:tabs>
              <w:spacing w:line="240" w:lineRule="auto"/>
              <w:ind w:left="0"/>
              <w:rPr>
                <w:rFonts w:ascii="Times New Roman" w:hAnsi="Times New Roman"/>
                <w:sz w:val="28"/>
                <w:szCs w:val="20"/>
                <w:lang w:eastAsia="es-MX"/>
              </w:rPr>
            </w:pPr>
            <w:r w:rsidRPr="003E425B">
              <w:rPr>
                <w:rFonts w:ascii="Times New Roman" w:hAnsi="Times New Roman"/>
                <w:sz w:val="28"/>
                <w:szCs w:val="20"/>
                <w:lang w:eastAsia="es-MX"/>
              </w:rPr>
              <w:t>“Escuché detenidamente la explicación que hizo el Senador Alexánder López del informe dado por el Ministerio de Hacienda, pero me parece que es insuficiente Senador Alexánder López, cuando el Ministerio de Hacienda da el visto bueno tiene que establecer</w:t>
            </w:r>
            <w:r w:rsidRPr="003E425B">
              <w:rPr>
                <w:rFonts w:ascii="Times New Roman" w:hAnsi="Times New Roman"/>
                <w:sz w:val="28"/>
                <w:szCs w:val="20"/>
                <w:lang w:eastAsia="es-MX"/>
              </w:rPr>
              <w:t xml:space="preserve"> de dónde va a salir la fuente de esos ingresos que se van a usar porque hay una carga fiscal nueva</w:t>
            </w:r>
            <w:r w:rsidRPr="003E425B">
              <w:rPr>
                <w:rFonts w:ascii="Times New Roman" w:hAnsi="Times New Roman"/>
                <w:sz w:val="28"/>
                <w:szCs w:val="20"/>
                <w:lang w:eastAsia="es-MX"/>
              </w:rPr>
              <w:t xml:space="preserve"> (…)</w:t>
            </w:r>
            <w:r w:rsidRPr="003E425B">
              <w:rPr>
                <w:rFonts w:ascii="Times New Roman" w:hAnsi="Times New Roman"/>
                <w:sz w:val="28"/>
                <w:szCs w:val="20"/>
                <w:lang w:eastAsia="es-MX"/>
              </w:rPr>
              <w:t>. Le escuché que están pensando trasladar funcionarios de un lado para otro, pero es que eso ha debido quedar en el cuerpo del proyecto. (…) Venía afirma</w:t>
            </w:r>
            <w:r w:rsidRPr="003E425B">
              <w:rPr>
                <w:rFonts w:ascii="Times New Roman" w:hAnsi="Times New Roman"/>
                <w:sz w:val="28"/>
                <w:szCs w:val="20"/>
                <w:lang w:eastAsia="es-MX"/>
              </w:rPr>
              <w:t>ndo que en el cuerpo del proyecto debía venir la forma en que esta nueva estructura burocrática va a ser financiada y cuáles van a ser esas fuentes de ingresos para estos nuevos gastos, es un costo fiscal lo que viene aquí. La Corte Constitucional lo ha di</w:t>
            </w:r>
            <w:r w:rsidRPr="003E425B">
              <w:rPr>
                <w:rFonts w:ascii="Times New Roman" w:hAnsi="Times New Roman"/>
                <w:sz w:val="28"/>
                <w:szCs w:val="20"/>
                <w:lang w:eastAsia="es-MX"/>
              </w:rPr>
              <w:t>cho en su jurisprudencia, que de manera expresa deben estar los costos fiscales de cómo se va a cubrir ese aumento en el gasto”.</w:t>
            </w:r>
          </w:p>
        </w:tc>
      </w:tr>
    </w:tbl>
    <w:p w:rsidR="002860D7" w:rsidRPr="003E425B" w:rsidRDefault="003E425B" w:rsidP="00010108">
      <w:pPr>
        <w:pStyle w:val="Prrafodelista"/>
        <w:tabs>
          <w:tab w:val="left" w:pos="567"/>
        </w:tabs>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El ponente reiteró que el MHCP había emitido un “</w:t>
      </w:r>
      <w:r w:rsidRPr="003E425B">
        <w:rPr>
          <w:rFonts w:ascii="Times New Roman" w:hAnsi="Times New Roman"/>
          <w:b/>
          <w:bCs/>
          <w:sz w:val="28"/>
          <w:u w:val="single"/>
          <w:lang w:eastAsia="es-MX"/>
        </w:rPr>
        <w:t>concepto favorable</w:t>
      </w:r>
      <w:r w:rsidRPr="003E425B">
        <w:rPr>
          <w:rFonts w:ascii="Times New Roman" w:hAnsi="Times New Roman"/>
          <w:sz w:val="28"/>
          <w:lang w:eastAsia="es-MX"/>
        </w:rPr>
        <w:t xml:space="preserve"> (…) </w:t>
      </w:r>
      <w:r w:rsidRPr="003E425B">
        <w:rPr>
          <w:rFonts w:ascii="Times New Roman" w:hAnsi="Times New Roman"/>
          <w:sz w:val="28"/>
        </w:rPr>
        <w:t>a la creación del Ministerio de la Igualdad que no qu</w:t>
      </w:r>
      <w:r w:rsidRPr="003E425B">
        <w:rPr>
          <w:rFonts w:ascii="Times New Roman" w:hAnsi="Times New Roman"/>
          <w:sz w:val="28"/>
        </w:rPr>
        <w:t xml:space="preserve">epa la menor duda que este </w:t>
      </w:r>
      <w:r w:rsidRPr="003E425B">
        <w:rPr>
          <w:rFonts w:ascii="Times New Roman" w:hAnsi="Times New Roman"/>
          <w:sz w:val="28"/>
          <w:lang w:eastAsia="es-MX"/>
        </w:rPr>
        <w:t>Ministerio</w:t>
      </w:r>
      <w:r w:rsidRPr="003E425B">
        <w:rPr>
          <w:rFonts w:ascii="Times New Roman" w:hAnsi="Times New Roman"/>
          <w:sz w:val="28"/>
        </w:rPr>
        <w:t xml:space="preserve"> de la Igualdad cumple con rigurosidad las exigencias de la legislación colombiana</w:t>
      </w:r>
      <w:r w:rsidRPr="003E425B">
        <w:rPr>
          <w:rFonts w:ascii="Times New Roman" w:hAnsi="Times New Roman"/>
          <w:sz w:val="28"/>
          <w:lang w:eastAsia="es-MX"/>
        </w:rPr>
        <w:t>”</w:t>
      </w:r>
      <w:r w:rsidRPr="003E425B">
        <w:rPr>
          <w:rStyle w:val="Refdenotaalpie"/>
          <w:rFonts w:ascii="Times New Roman" w:hAnsi="Times New Roman"/>
          <w:sz w:val="28"/>
          <w:lang w:eastAsia="es-MX"/>
        </w:rPr>
        <w:footnoteReference w:id="383"/>
      </w:r>
      <w:r w:rsidRPr="003E425B">
        <w:rPr>
          <w:rFonts w:ascii="Times New Roman" w:hAnsi="Times New Roman"/>
          <w:sz w:val="28"/>
          <w:lang w:eastAsia="es-MX"/>
        </w:rPr>
        <w:t xml:space="preserve"> (subrayado fuera del texto). Acto seguido, la senadora Paloma Valencia reiteró los reparos sobre el escrito que presentó el MHCP</w:t>
      </w:r>
      <w:r w:rsidRPr="003E425B">
        <w:rPr>
          <w:rStyle w:val="Refdenotaalpie"/>
          <w:rFonts w:ascii="Times New Roman" w:hAnsi="Times New Roman"/>
          <w:sz w:val="28"/>
          <w:szCs w:val="20"/>
          <w:lang w:eastAsia="es-MX"/>
        </w:rPr>
        <w:footnoteReference w:id="384"/>
      </w:r>
      <w:r w:rsidRPr="003E425B">
        <w:rPr>
          <w:rFonts w:ascii="Times New Roman" w:hAnsi="Times New Roman"/>
          <w:i/>
          <w:iCs/>
          <w:sz w:val="28"/>
          <w:szCs w:val="20"/>
          <w:lang w:eastAsia="es-MX"/>
        </w:rPr>
        <w:t xml:space="preserve">. </w:t>
      </w:r>
      <w:r w:rsidRPr="003E425B">
        <w:rPr>
          <w:rFonts w:ascii="Times New Roman" w:hAnsi="Times New Roman"/>
          <w:iCs/>
          <w:sz w:val="28"/>
          <w:lang w:eastAsia="es-MX"/>
        </w:rPr>
        <w:t xml:space="preserve">En particular, aseguró que el escrito “dice que nadie sabe cuánto va a costar este Ministerio porque nadie sabe cómo va a ser cuando este Gobierno se dedica a crearle burocracia a la DIAN, al ICBF, al Ejército, a la Igualdad, todo sobre la base que le van </w:t>
      </w:r>
      <w:r w:rsidRPr="003E425B">
        <w:rPr>
          <w:rFonts w:ascii="Times New Roman" w:hAnsi="Times New Roman"/>
          <w:iCs/>
          <w:sz w:val="28"/>
          <w:lang w:eastAsia="es-MX"/>
        </w:rPr>
        <w:t xml:space="preserve">a solucionar los problemas a los colombianos, no es verdad que la burocracia en Bogotá solucione los problemas, se necesitan los recursos en las regiones”.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Por último, luego de la senadora Paloma Valencia, el Ministro del Interior, el señor Hernando Alfo</w:t>
      </w:r>
      <w:r w:rsidRPr="003E425B">
        <w:rPr>
          <w:rFonts w:ascii="Times New Roman" w:hAnsi="Times New Roman"/>
          <w:sz w:val="28"/>
          <w:lang w:eastAsia="es-MX"/>
        </w:rPr>
        <w:t xml:space="preserve">nso Prada Gil, intervino y señaló que: </w:t>
      </w:r>
    </w:p>
    <w:p w:rsidR="002860D7" w:rsidRPr="003E425B" w:rsidRDefault="003E425B" w:rsidP="00010108">
      <w:pPr>
        <w:rPr>
          <w:rFonts w:ascii="Times New Roman" w:hAnsi="Times New Roman" w:cs="Times New Roman"/>
          <w:sz w:val="28"/>
          <w:lang w:eastAsia="es-MX"/>
        </w:rPr>
      </w:pPr>
    </w:p>
    <w:p w:rsidR="002860D7" w:rsidRPr="003E425B" w:rsidRDefault="003E425B" w:rsidP="00010108">
      <w:pPr>
        <w:ind w:left="737" w:right="284"/>
        <w:rPr>
          <w:rFonts w:ascii="Times New Roman" w:hAnsi="Times New Roman" w:cs="Times New Roman"/>
          <w:sz w:val="28"/>
          <w:szCs w:val="20"/>
          <w:lang w:eastAsia="es-MX"/>
        </w:rPr>
      </w:pPr>
      <w:r w:rsidRPr="003E425B">
        <w:rPr>
          <w:rFonts w:ascii="Times New Roman" w:hAnsi="Times New Roman" w:cs="Times New Roman"/>
          <w:sz w:val="28"/>
          <w:szCs w:val="20"/>
          <w:lang w:eastAsia="es-MX"/>
        </w:rPr>
        <w:t xml:space="preserve">“De hecho, el informe que presentó el Ministerio de Hacienda nos dice, dentro de las facultades extraordinarias, debemos hacer un estudio técnico muy detallado del impacto económico; porque la idea es que esto </w:t>
      </w:r>
      <w:r w:rsidRPr="003E425B">
        <w:rPr>
          <w:rFonts w:ascii="Times New Roman" w:hAnsi="Times New Roman" w:cs="Times New Roman"/>
          <w:sz w:val="28"/>
          <w:szCs w:val="20"/>
          <w:lang w:eastAsia="es-MX"/>
        </w:rPr>
        <w:t>cueste lo menos posible, precisamente, trasladando competencias y funciones, e incluso funcionarios, o dependencias transversalmente de muchas entidades”.</w:t>
      </w:r>
    </w:p>
    <w:p w:rsidR="002860D7" w:rsidRPr="003E425B" w:rsidRDefault="003E425B" w:rsidP="00010108">
      <w:pPr>
        <w:ind w:right="284"/>
        <w:rPr>
          <w:rFonts w:ascii="Times New Roman" w:hAnsi="Times New Roman" w:cs="Times New Roman"/>
          <w:sz w:val="28"/>
          <w:szCs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Luego de esta y otras intervenciones, sobre otros artículos, la plenaria del senado votó el proyecto</w:t>
      </w:r>
      <w:r w:rsidRPr="003E425B">
        <w:rPr>
          <w:rFonts w:ascii="Times New Roman" w:hAnsi="Times New Roman"/>
          <w:sz w:val="28"/>
          <w:lang w:eastAsia="es-MX"/>
        </w:rPr>
        <w:t xml:space="preserve"> de ley.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sz w:val="28"/>
          <w:lang w:eastAsia="es-MX"/>
        </w:rPr>
        <w:t>Examen de la Sala</w:t>
      </w:r>
      <w:r w:rsidRPr="003E425B">
        <w:rPr>
          <w:rFonts w:ascii="Times New Roman" w:hAnsi="Times New Roman"/>
          <w:sz w:val="28"/>
          <w:lang w:eastAsia="es-MX"/>
        </w:rPr>
        <w:t>. La Sala reitera que, conforme al artículo 7º de la Ley 819 de 2003, el Congreso de la República tiene el deber de estudiar y discutir el concepto del MHCP. Además, en aquellos casos en los que el concepto no fue presentado o e</w:t>
      </w:r>
      <w:r w:rsidRPr="003E425B">
        <w:rPr>
          <w:rFonts w:ascii="Times New Roman" w:hAnsi="Times New Roman"/>
          <w:sz w:val="28"/>
          <w:lang w:eastAsia="es-MX"/>
        </w:rPr>
        <w:t xml:space="preserve">s insuficiente, debe demostrarse que el Congreso de la República en todo caso consideró los referentes básicos del impacto fiscal.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La Sala Plena reconoce que las plenarias estudiaron y discutieron el escrito de comentarios que el MHCP radicó. Sin embargo</w:t>
      </w:r>
      <w:r w:rsidRPr="003E425B">
        <w:rPr>
          <w:rFonts w:ascii="Times New Roman" w:hAnsi="Times New Roman"/>
          <w:sz w:val="28"/>
          <w:lang w:eastAsia="es-MX"/>
        </w:rPr>
        <w:t xml:space="preserve">, debido a la insuficiencia del escrito, así como la falta de claridad sobre la estructura y alcance del ministerio, la cual se mantuvo a lo largo de todo el trámite legislativo, los congresistas no contaban con la información mínima para </w:t>
      </w:r>
      <w:r w:rsidRPr="003E425B">
        <w:rPr>
          <w:rFonts w:ascii="Times New Roman" w:hAnsi="Times New Roman"/>
          <w:i/>
          <w:iCs/>
          <w:sz w:val="28"/>
          <w:lang w:eastAsia="es-MX"/>
        </w:rPr>
        <w:t>(i)</w:t>
      </w:r>
      <w:r w:rsidRPr="003E425B">
        <w:rPr>
          <w:rFonts w:ascii="Times New Roman" w:hAnsi="Times New Roman"/>
          <w:sz w:val="28"/>
          <w:lang w:eastAsia="es-MX"/>
        </w:rPr>
        <w:t xml:space="preserve"> estimar el co</w:t>
      </w:r>
      <w:r w:rsidRPr="003E425B">
        <w:rPr>
          <w:rFonts w:ascii="Times New Roman" w:hAnsi="Times New Roman"/>
          <w:sz w:val="28"/>
          <w:lang w:eastAsia="es-MX"/>
        </w:rPr>
        <w:t xml:space="preserve">sto fiscal de creación de la entidad y </w:t>
      </w:r>
      <w:r w:rsidRPr="003E425B">
        <w:rPr>
          <w:rFonts w:ascii="Times New Roman" w:hAnsi="Times New Roman"/>
          <w:i/>
          <w:sz w:val="28"/>
          <w:lang w:eastAsia="es-MX"/>
        </w:rPr>
        <w:t>(ii)</w:t>
      </w:r>
      <w:r w:rsidRPr="003E425B">
        <w:rPr>
          <w:rFonts w:ascii="Times New Roman" w:hAnsi="Times New Roman"/>
          <w:sz w:val="28"/>
          <w:lang w:eastAsia="es-MX"/>
        </w:rPr>
        <w:t xml:space="preserve"> identificar la fuente de ingreso sustitutiva:</w:t>
      </w:r>
    </w:p>
    <w:p w:rsidR="002860D7" w:rsidRPr="003E425B" w:rsidRDefault="003E425B" w:rsidP="00010108">
      <w:pPr>
        <w:rPr>
          <w:rFonts w:ascii="Times New Roman" w:hAnsi="Times New Roman" w:cs="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u w:val="single"/>
          <w:lang w:eastAsia="es-MX"/>
        </w:rPr>
        <w:t>Primero</w:t>
      </w:r>
      <w:r w:rsidRPr="003E425B">
        <w:rPr>
          <w:rFonts w:ascii="Times New Roman" w:hAnsi="Times New Roman"/>
          <w:sz w:val="28"/>
          <w:lang w:eastAsia="es-MX"/>
        </w:rPr>
        <w:t>. Las plenarias no contaban con información que les permitiera estimar, siquiera mínimamente y de forma fundada, el costo fiscal de la iniciativa. La Sala rec</w:t>
      </w:r>
      <w:r w:rsidRPr="003E425B">
        <w:rPr>
          <w:rFonts w:ascii="Times New Roman" w:hAnsi="Times New Roman"/>
          <w:sz w:val="28"/>
          <w:lang w:eastAsia="es-MX"/>
        </w:rPr>
        <w:t xml:space="preserve">onoce que en los debates de las plenarias los ponentes aseguraron que, </w:t>
      </w:r>
      <w:r w:rsidRPr="003E425B">
        <w:rPr>
          <w:rFonts w:ascii="Times New Roman" w:hAnsi="Times New Roman"/>
          <w:sz w:val="28"/>
          <w:u w:val="single"/>
          <w:lang w:eastAsia="es-MX"/>
        </w:rPr>
        <w:t>conforme al concepto del MHCP</w:t>
      </w:r>
      <w:r w:rsidRPr="003E425B">
        <w:rPr>
          <w:rFonts w:ascii="Times New Roman" w:hAnsi="Times New Roman"/>
          <w:sz w:val="28"/>
          <w:lang w:eastAsia="es-MX"/>
        </w:rPr>
        <w:t xml:space="preserve">, el costo fiscal de la iniciativa ascendería a 18 mil millones de pesos, lo que era compatible con el Marco Fiscal de Mediano Plazo. Esto, sin embargo, no </w:t>
      </w:r>
      <w:r w:rsidRPr="003E425B">
        <w:rPr>
          <w:rFonts w:ascii="Times New Roman" w:hAnsi="Times New Roman"/>
          <w:sz w:val="28"/>
          <w:lang w:eastAsia="es-MX"/>
        </w:rPr>
        <w:t>es cierto. Por el contrario, estas intervenciones reflejan que, incluso, los ponentes no comprendieron el alcance del escrito que presentó el MHCP. Asimismo, reflejan la confusión e incertidumbre sobre el verdadero costo fiscal que implicaría la creación d</w:t>
      </w:r>
      <w:r w:rsidRPr="003E425B">
        <w:rPr>
          <w:rFonts w:ascii="Times New Roman" w:hAnsi="Times New Roman"/>
          <w:sz w:val="28"/>
          <w:lang w:eastAsia="es-MX"/>
        </w:rPr>
        <w:t>el Ministerio de Igualdad y Equidad. Al respecto la Sala resalta que:</w:t>
      </w:r>
    </w:p>
    <w:p w:rsidR="002860D7" w:rsidRPr="003E425B" w:rsidRDefault="003E425B" w:rsidP="00010108">
      <w:pPr>
        <w:pStyle w:val="Prrafodelista"/>
        <w:spacing w:line="240" w:lineRule="auto"/>
        <w:rPr>
          <w:rFonts w:ascii="Times New Roman" w:hAnsi="Times New Roman"/>
          <w:sz w:val="28"/>
          <w:lang w:eastAsia="es-MX"/>
        </w:rPr>
      </w:pPr>
    </w:p>
    <w:p w:rsidR="003872C4" w:rsidRPr="003E425B" w:rsidRDefault="003E425B" w:rsidP="003872C4">
      <w:pPr>
        <w:pStyle w:val="Prrafodelista"/>
        <w:numPr>
          <w:ilvl w:val="1"/>
          <w:numId w:val="33"/>
        </w:numPr>
        <w:spacing w:line="240" w:lineRule="auto"/>
        <w:ind w:hanging="792"/>
        <w:rPr>
          <w:rFonts w:ascii="Times New Roman" w:hAnsi="Times New Roman"/>
          <w:sz w:val="28"/>
          <w:lang w:eastAsia="es-MX"/>
        </w:rPr>
      </w:pPr>
      <w:r w:rsidRPr="003E425B">
        <w:rPr>
          <w:rFonts w:ascii="Times New Roman" w:hAnsi="Times New Roman"/>
          <w:sz w:val="28"/>
          <w:lang w:eastAsia="es-MX"/>
        </w:rPr>
        <w:t>Los ponentes estimaron que, sin perjuicio de los ajustes que implementara el Presidente de la República, la creación del Ministerio de Igualdad y Equidad ascendería a 18.000 millones. L</w:t>
      </w:r>
      <w:r w:rsidRPr="003E425B">
        <w:rPr>
          <w:rFonts w:ascii="Times New Roman" w:hAnsi="Times New Roman"/>
          <w:sz w:val="28"/>
          <w:lang w:eastAsia="es-MX"/>
        </w:rPr>
        <w:t>a Corte Constitucional considera, sin embargo, que esta estimación era abiertamente infundada. En efecto, la Sala advierte que los ponentes señalaron que esta cifra provenía del concepto del MHCP. Sin embargo, se reitera, en el escrito de 12 de diciembre d</w:t>
      </w:r>
      <w:r w:rsidRPr="003E425B">
        <w:rPr>
          <w:rFonts w:ascii="Times New Roman" w:hAnsi="Times New Roman"/>
          <w:sz w:val="28"/>
          <w:lang w:eastAsia="es-MX"/>
        </w:rPr>
        <w:t>e 2022</w:t>
      </w:r>
      <w:r w:rsidRPr="003E425B">
        <w:rPr>
          <w:rFonts w:ascii="Times New Roman" w:hAnsi="Times New Roman"/>
          <w:sz w:val="28"/>
          <w:lang w:eastAsia="es-MX"/>
        </w:rPr>
        <w:t xml:space="preserve">, el </w:t>
      </w:r>
      <w:r w:rsidRPr="003E425B">
        <w:rPr>
          <w:rFonts w:ascii="Times New Roman" w:hAnsi="Times New Roman"/>
          <w:sz w:val="28"/>
          <w:lang w:eastAsia="es-MX"/>
        </w:rPr>
        <w:t>MHCP no estimó que el costo fiscal de creación del Ministerio de Igualdad y Equidad fuera de 18.000 millones. Por el contrario, como se expuso, el MHCP</w:t>
      </w:r>
      <w:r w:rsidRPr="003E425B">
        <w:rPr>
          <w:rFonts w:ascii="Times New Roman" w:hAnsi="Times New Roman"/>
          <w:sz w:val="28"/>
          <w:lang w:eastAsia="es-MX"/>
        </w:rPr>
        <w:t xml:space="preserve"> señaló de forma expresa que no era posible estimar los costos, por cuanto el proyecto de ley no definía la estructura orgánica. </w:t>
      </w:r>
    </w:p>
    <w:p w:rsidR="0094078D" w:rsidRPr="003E425B" w:rsidRDefault="003E425B" w:rsidP="003872C4">
      <w:pPr>
        <w:pStyle w:val="Prrafodelista"/>
        <w:numPr>
          <w:ilvl w:val="1"/>
          <w:numId w:val="33"/>
        </w:numPr>
        <w:spacing w:line="240" w:lineRule="auto"/>
        <w:ind w:hanging="792"/>
        <w:rPr>
          <w:rFonts w:ascii="Times New Roman" w:hAnsi="Times New Roman"/>
          <w:sz w:val="28"/>
          <w:lang w:eastAsia="es-MX"/>
        </w:rPr>
      </w:pPr>
      <w:r w:rsidRPr="003E425B">
        <w:rPr>
          <w:rFonts w:ascii="Times New Roman" w:hAnsi="Times New Roman"/>
          <w:sz w:val="28"/>
          <w:lang w:eastAsia="es-MX"/>
        </w:rPr>
        <w:t xml:space="preserve">El MHCP presentó una tabla de referencia de los gastos de personal de todos los ministerios para la vigencia 2023. Esta tabla </w:t>
      </w:r>
      <w:r w:rsidRPr="003E425B">
        <w:rPr>
          <w:rFonts w:ascii="Times New Roman" w:hAnsi="Times New Roman"/>
          <w:sz w:val="28"/>
          <w:lang w:eastAsia="es-MX"/>
        </w:rPr>
        <w:t>era abiertamente insuficiente para estimar el costo de creación del Ministerio de Igualdad y Equidad. Esto, porque contenía los gastos de personal, pero nada</w:t>
      </w:r>
      <w:r w:rsidRPr="003E425B">
        <w:rPr>
          <w:rFonts w:ascii="Times New Roman" w:hAnsi="Times New Roman"/>
          <w:sz w:val="28"/>
          <w:lang w:eastAsia="es-MX"/>
        </w:rPr>
        <w:t xml:space="preserve"> decía</w:t>
      </w:r>
      <w:r w:rsidRPr="003E425B">
        <w:rPr>
          <w:rFonts w:ascii="Times New Roman" w:hAnsi="Times New Roman"/>
          <w:sz w:val="28"/>
          <w:lang w:eastAsia="es-MX"/>
        </w:rPr>
        <w:t xml:space="preserve"> sobre los gastos generales de funcionamiento. Además, los gastos de personal que contenía la</w:t>
      </w:r>
      <w:r w:rsidRPr="003E425B">
        <w:rPr>
          <w:rFonts w:ascii="Times New Roman" w:hAnsi="Times New Roman"/>
          <w:sz w:val="28"/>
          <w:lang w:eastAsia="es-MX"/>
        </w:rPr>
        <w:t xml:space="preserve"> tabla oscilaban entre 18 mil millones y 2 billones. Naturalmente, el impacto fiscal que tendría la creación de una entidad cuyos gastos de personal es de 18 mil millones, es muy diferente al que tiene una entidad cuyos gastos de personal ascienden a 2 bil</w:t>
      </w:r>
      <w:r w:rsidRPr="003E425B">
        <w:rPr>
          <w:rFonts w:ascii="Times New Roman" w:hAnsi="Times New Roman"/>
          <w:sz w:val="28"/>
          <w:lang w:eastAsia="es-MX"/>
        </w:rPr>
        <w:t xml:space="preserve">lones.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u w:val="single"/>
          <w:lang w:eastAsia="es-MX"/>
        </w:rPr>
        <w:t>Segundo</w:t>
      </w:r>
      <w:r w:rsidRPr="003E425B">
        <w:rPr>
          <w:rFonts w:ascii="Times New Roman" w:hAnsi="Times New Roman"/>
          <w:sz w:val="28"/>
          <w:lang w:eastAsia="es-MX"/>
        </w:rPr>
        <w:t xml:space="preserve">. Las ponentes no identificaron ni deliberaron, siquiera de forma somera, sobre la fuente de ingreso sustitutiva para el financiamiento del costo fiscal de la iniciativa. Por el contrario, se limitaron a señalar que </w:t>
      </w:r>
      <w:r w:rsidRPr="003E425B">
        <w:rPr>
          <w:rFonts w:ascii="Times New Roman" w:hAnsi="Times New Roman"/>
          <w:i/>
          <w:sz w:val="28"/>
          <w:lang w:eastAsia="es-MX"/>
        </w:rPr>
        <w:t>(i)</w:t>
      </w:r>
      <w:r w:rsidRPr="003E425B">
        <w:rPr>
          <w:rFonts w:ascii="Times New Roman" w:hAnsi="Times New Roman"/>
          <w:sz w:val="28"/>
          <w:lang w:eastAsia="es-MX"/>
        </w:rPr>
        <w:t xml:space="preserve"> el costo fiscal serí</w:t>
      </w:r>
      <w:r w:rsidRPr="003E425B">
        <w:rPr>
          <w:rFonts w:ascii="Times New Roman" w:hAnsi="Times New Roman"/>
          <w:sz w:val="28"/>
          <w:lang w:eastAsia="es-MX"/>
        </w:rPr>
        <w:t xml:space="preserve">a bajo, </w:t>
      </w:r>
      <w:r w:rsidRPr="003E425B">
        <w:rPr>
          <w:rFonts w:ascii="Times New Roman" w:hAnsi="Times New Roman"/>
          <w:i/>
          <w:iCs/>
          <w:sz w:val="28"/>
          <w:lang w:eastAsia="es-MX"/>
        </w:rPr>
        <w:t>(ii)</w:t>
      </w:r>
      <w:r w:rsidRPr="003E425B">
        <w:rPr>
          <w:rFonts w:ascii="Times New Roman" w:hAnsi="Times New Roman"/>
          <w:sz w:val="28"/>
          <w:lang w:eastAsia="es-MX"/>
        </w:rPr>
        <w:t xml:space="preserve"> el Presidente de la República (ultimo inciso del artículo 11) podía integrar al ministerio dependencias y áreas de otras entidades y </w:t>
      </w:r>
      <w:r w:rsidRPr="003E425B">
        <w:rPr>
          <w:rFonts w:ascii="Times New Roman" w:hAnsi="Times New Roman"/>
          <w:i/>
          <w:iCs/>
          <w:sz w:val="28"/>
          <w:lang w:eastAsia="es-MX"/>
        </w:rPr>
        <w:t>(iii)</w:t>
      </w:r>
      <w:r w:rsidRPr="003E425B">
        <w:rPr>
          <w:rFonts w:ascii="Times New Roman" w:hAnsi="Times New Roman"/>
          <w:sz w:val="28"/>
          <w:lang w:eastAsia="es-MX"/>
        </w:rPr>
        <w:t xml:space="preserve"> el ministerio se financiaría con recursos del Presupuesto General de la Nación. En criterio de la Sala, </w:t>
      </w:r>
      <w:r w:rsidRPr="003E425B">
        <w:rPr>
          <w:rFonts w:ascii="Times New Roman" w:hAnsi="Times New Roman"/>
          <w:sz w:val="28"/>
          <w:lang w:eastAsia="es-MX"/>
        </w:rPr>
        <w:t>esto es abiertamente insuficiente. De un lado, la Sala considera que, conforme al artículo 7º de la Ley 819 de 2003 y la jurisprudencia constitucional, el cumplimiento del requisito consistente en identificar la fuente sustitutiva no está condicionad</w:t>
      </w:r>
      <w:r w:rsidRPr="003E425B">
        <w:rPr>
          <w:rFonts w:ascii="Times New Roman" w:hAnsi="Times New Roman"/>
          <w:sz w:val="28"/>
          <w:lang w:eastAsia="es-MX"/>
        </w:rPr>
        <w:t>o</w:t>
      </w:r>
      <w:r w:rsidRPr="003E425B">
        <w:rPr>
          <w:rFonts w:ascii="Times New Roman" w:hAnsi="Times New Roman"/>
          <w:sz w:val="28"/>
          <w:lang w:eastAsia="es-MX"/>
        </w:rPr>
        <w:t xml:space="preserve"> al m</w:t>
      </w:r>
      <w:r w:rsidRPr="003E425B">
        <w:rPr>
          <w:rFonts w:ascii="Times New Roman" w:hAnsi="Times New Roman"/>
          <w:sz w:val="28"/>
          <w:lang w:eastAsia="es-MX"/>
        </w:rPr>
        <w:t xml:space="preserve">onto del costo fiscal. Incluso aquellas leyes que supongan un costo fiscal bajo están sujetas a este requisito. De otro lado, la Sala reitera que el artículo 11 </w:t>
      </w:r>
      <w:r w:rsidRPr="003E425B">
        <w:rPr>
          <w:rFonts w:ascii="Times New Roman" w:hAnsi="Times New Roman"/>
          <w:sz w:val="28"/>
          <w:lang w:eastAsia="es-MX"/>
        </w:rPr>
        <w:t xml:space="preserve">del texto finalmente aprobado </w:t>
      </w:r>
      <w:r w:rsidRPr="003E425B">
        <w:rPr>
          <w:rFonts w:ascii="Times New Roman" w:hAnsi="Times New Roman"/>
          <w:sz w:val="28"/>
          <w:lang w:eastAsia="es-MX"/>
        </w:rPr>
        <w:t>permit</w:t>
      </w:r>
      <w:r w:rsidRPr="003E425B">
        <w:rPr>
          <w:rFonts w:ascii="Times New Roman" w:hAnsi="Times New Roman"/>
          <w:sz w:val="28"/>
          <w:lang w:eastAsia="es-MX"/>
        </w:rPr>
        <w:t>ía</w:t>
      </w:r>
      <w:r w:rsidRPr="003E425B">
        <w:rPr>
          <w:rFonts w:ascii="Times New Roman" w:hAnsi="Times New Roman"/>
          <w:sz w:val="28"/>
          <w:lang w:eastAsia="es-MX"/>
        </w:rPr>
        <w:t xml:space="preserve"> al Presidente de la República que, en ejercicio de potes</w:t>
      </w:r>
      <w:r w:rsidRPr="003E425B">
        <w:rPr>
          <w:rFonts w:ascii="Times New Roman" w:hAnsi="Times New Roman"/>
          <w:sz w:val="28"/>
          <w:lang w:eastAsia="es-MX"/>
        </w:rPr>
        <w:t>tad reglamentaria, integre al ministerio las áreas, dirección y unidades para el desarrollo de la actividad misional. Sin embargo, este inciso no permit</w:t>
      </w:r>
      <w:r w:rsidRPr="003E425B">
        <w:rPr>
          <w:rFonts w:ascii="Times New Roman" w:hAnsi="Times New Roman"/>
          <w:sz w:val="28"/>
          <w:lang w:eastAsia="es-MX"/>
        </w:rPr>
        <w:t>ía</w:t>
      </w:r>
      <w:r w:rsidRPr="003E425B">
        <w:rPr>
          <w:rFonts w:ascii="Times New Roman" w:hAnsi="Times New Roman"/>
          <w:sz w:val="28"/>
          <w:lang w:eastAsia="es-MX"/>
        </w:rPr>
        <w:t xml:space="preserve"> modificar la estructura orgánica del ministerio y es tan sólo una mera posibilidad. </w:t>
      </w:r>
      <w:r w:rsidRPr="003E425B">
        <w:rPr>
          <w:rFonts w:ascii="Times New Roman" w:hAnsi="Times New Roman"/>
          <w:sz w:val="28"/>
          <w:lang w:eastAsia="es-MX"/>
        </w:rPr>
        <w:t xml:space="preserve">Por su parte, el </w:t>
      </w:r>
      <w:r w:rsidRPr="003E425B">
        <w:rPr>
          <w:rFonts w:ascii="Times New Roman" w:hAnsi="Times New Roman"/>
          <w:sz w:val="28"/>
          <w:lang w:eastAsia="es-MX"/>
        </w:rPr>
        <w:t>artículo 12 -facultades extraordinarias- sólo faculta al Presidente de la República a expedir normas con fuerza de ley para integrar el sector administrativo, lo cual, como se indicó, no incide en el costo fiscal del ministerio</w:t>
      </w:r>
      <w:r w:rsidRPr="003E425B">
        <w:rPr>
          <w:rFonts w:ascii="Times New Roman" w:hAnsi="Times New Roman"/>
          <w:sz w:val="28"/>
          <w:lang w:eastAsia="es-MX"/>
        </w:rPr>
        <w:t>.</w:t>
      </w:r>
      <w:r w:rsidRPr="003E425B">
        <w:rPr>
          <w:rFonts w:ascii="Times New Roman" w:hAnsi="Times New Roman"/>
          <w:sz w:val="28"/>
          <w:lang w:eastAsia="es-MX"/>
        </w:rPr>
        <w:t xml:space="preserve"> </w:t>
      </w:r>
      <w:r w:rsidRPr="003E425B">
        <w:rPr>
          <w:rFonts w:ascii="Times New Roman" w:hAnsi="Times New Roman"/>
          <w:sz w:val="28"/>
          <w:lang w:eastAsia="es-MX"/>
        </w:rPr>
        <w:t xml:space="preserve">Por lo tanto, </w:t>
      </w:r>
      <w:r w:rsidRPr="003E425B">
        <w:rPr>
          <w:rFonts w:ascii="Times New Roman" w:hAnsi="Times New Roman"/>
          <w:sz w:val="28"/>
          <w:lang w:eastAsia="es-MX"/>
        </w:rPr>
        <w:t>los artículos</w:t>
      </w:r>
      <w:r w:rsidRPr="003E425B">
        <w:rPr>
          <w:rFonts w:ascii="Times New Roman" w:hAnsi="Times New Roman"/>
          <w:sz w:val="28"/>
          <w:lang w:eastAsia="es-MX"/>
        </w:rPr>
        <w:t xml:space="preserve"> 11 y 12 </w:t>
      </w:r>
      <w:r w:rsidRPr="003E425B">
        <w:rPr>
          <w:rFonts w:ascii="Times New Roman" w:hAnsi="Times New Roman"/>
          <w:sz w:val="28"/>
          <w:lang w:eastAsia="es-MX"/>
        </w:rPr>
        <w:t>no excusaba</w:t>
      </w:r>
      <w:r w:rsidRPr="003E425B">
        <w:rPr>
          <w:rFonts w:ascii="Times New Roman" w:hAnsi="Times New Roman"/>
          <w:sz w:val="28"/>
          <w:lang w:eastAsia="es-MX"/>
        </w:rPr>
        <w:t>n</w:t>
      </w:r>
      <w:r w:rsidRPr="003E425B">
        <w:rPr>
          <w:rFonts w:ascii="Times New Roman" w:hAnsi="Times New Roman"/>
          <w:sz w:val="28"/>
          <w:lang w:eastAsia="es-MX"/>
        </w:rPr>
        <w:t xml:space="preserve"> el cumplimiento del deber de estimar el impacto fiscal del ministerio, conforme a la estructura orgánica que la ley definió.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A su turno, la Sala Plena reitera que el Presupuesto General de la Nación no es una “fuente de ingreso sust</w:t>
      </w:r>
      <w:r w:rsidRPr="003E425B">
        <w:rPr>
          <w:rFonts w:ascii="Times New Roman" w:hAnsi="Times New Roman"/>
          <w:sz w:val="28"/>
          <w:lang w:eastAsia="es-MX"/>
        </w:rPr>
        <w:t>itutiva”, en los términos del artículo 7º de la Ley 819 de 2003. De acuerdo con el Decreto 111 de 1996 y la jurisprudencia constitucional reiterada y uniforme, el Presupuesto General de la Nación “es un instrumento de planeación financiera del Estado que r</w:t>
      </w:r>
      <w:r w:rsidRPr="003E425B">
        <w:rPr>
          <w:rFonts w:ascii="Times New Roman" w:hAnsi="Times New Roman"/>
          <w:sz w:val="28"/>
          <w:lang w:eastAsia="es-MX"/>
        </w:rPr>
        <w:t>acionaliza la actividad estatal y en el que se prevé la estimación de los ingresos y una autorización máxima de gastos en un período específico”</w:t>
      </w:r>
      <w:r w:rsidRPr="003E425B">
        <w:rPr>
          <w:rStyle w:val="Refdenotaalpie"/>
          <w:rFonts w:ascii="Times New Roman" w:hAnsi="Times New Roman"/>
          <w:sz w:val="28"/>
          <w:lang w:eastAsia="es-MX"/>
        </w:rPr>
        <w:footnoteReference w:id="385"/>
      </w:r>
      <w:r w:rsidRPr="003E425B">
        <w:rPr>
          <w:rFonts w:ascii="Times New Roman" w:hAnsi="Times New Roman"/>
          <w:sz w:val="28"/>
          <w:lang w:eastAsia="es-MX"/>
        </w:rPr>
        <w:t xml:space="preserve">. El presupuesto tiene tres componentes principales: </w:t>
      </w:r>
      <w:r w:rsidRPr="003E425B">
        <w:rPr>
          <w:rFonts w:ascii="Times New Roman" w:hAnsi="Times New Roman"/>
          <w:i/>
          <w:iCs/>
          <w:sz w:val="28"/>
          <w:lang w:eastAsia="es-MX"/>
        </w:rPr>
        <w:t>(i)</w:t>
      </w:r>
      <w:r w:rsidRPr="003E425B">
        <w:rPr>
          <w:rFonts w:ascii="Times New Roman" w:hAnsi="Times New Roman"/>
          <w:sz w:val="28"/>
          <w:lang w:eastAsia="es-MX"/>
        </w:rPr>
        <w:t xml:space="preserve"> el presupuesto de rentas; </w:t>
      </w:r>
      <w:r w:rsidRPr="003E425B">
        <w:rPr>
          <w:rFonts w:ascii="Times New Roman" w:hAnsi="Times New Roman"/>
          <w:i/>
          <w:iCs/>
          <w:sz w:val="28"/>
          <w:lang w:eastAsia="es-MX"/>
        </w:rPr>
        <w:t>(ii)</w:t>
      </w:r>
      <w:r w:rsidRPr="003E425B">
        <w:rPr>
          <w:rFonts w:ascii="Times New Roman" w:hAnsi="Times New Roman"/>
          <w:sz w:val="28"/>
          <w:lang w:eastAsia="es-MX"/>
        </w:rPr>
        <w:t xml:space="preserve"> el presupuesto de gasto</w:t>
      </w:r>
      <w:r w:rsidRPr="003E425B">
        <w:rPr>
          <w:rFonts w:ascii="Times New Roman" w:hAnsi="Times New Roman"/>
          <w:sz w:val="28"/>
          <w:lang w:eastAsia="es-MX"/>
        </w:rPr>
        <w:t xml:space="preserve">s y </w:t>
      </w:r>
      <w:r w:rsidRPr="003E425B">
        <w:rPr>
          <w:rFonts w:ascii="Times New Roman" w:hAnsi="Times New Roman"/>
          <w:i/>
          <w:iCs/>
          <w:sz w:val="28"/>
          <w:lang w:eastAsia="es-MX"/>
        </w:rPr>
        <w:t>(iii)</w:t>
      </w:r>
      <w:r w:rsidRPr="003E425B">
        <w:rPr>
          <w:rFonts w:ascii="Times New Roman" w:hAnsi="Times New Roman"/>
          <w:sz w:val="28"/>
          <w:lang w:eastAsia="es-MX"/>
        </w:rPr>
        <w:t xml:space="preserve"> las disposiciones generales. El presupuesto de rentas es el componente que </w:t>
      </w:r>
      <w:r w:rsidRPr="003E425B">
        <w:rPr>
          <w:rFonts w:ascii="Times New Roman" w:hAnsi="Times New Roman"/>
          <w:sz w:val="28"/>
          <w:lang w:val="es-ES" w:eastAsia="es-MX"/>
        </w:rPr>
        <w:t>incluye las fuentes de recursos que corresponden a </w:t>
      </w:r>
      <w:r w:rsidRPr="003E425B">
        <w:rPr>
          <w:rFonts w:ascii="Times New Roman" w:hAnsi="Times New Roman"/>
          <w:sz w:val="28"/>
          <w:lang w:eastAsia="es-MX"/>
        </w:rPr>
        <w:t>los ingresos corrientes de la Nación, las contribuciones parafiscales cuando sean administradas por un órgano que haga p</w:t>
      </w:r>
      <w:r w:rsidRPr="003E425B">
        <w:rPr>
          <w:rFonts w:ascii="Times New Roman" w:hAnsi="Times New Roman"/>
          <w:sz w:val="28"/>
          <w:lang w:eastAsia="es-MX"/>
        </w:rPr>
        <w:t xml:space="preserve">arte del presupuesto, los fondos especiales, los recursos de capital y los ingresos de los establecimientos públicos del orden nacional. </w:t>
      </w:r>
    </w:p>
    <w:p w:rsidR="002860D7" w:rsidRPr="003E425B" w:rsidRDefault="003E425B" w:rsidP="00010108">
      <w:pPr>
        <w:pStyle w:val="Prrafodelista"/>
        <w:spacing w:line="240" w:lineRule="auto"/>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En este sentido, las leyes que ordenen gasto deben identificar, así sea de forma mínima, la fuente específica de ingreso adicional del presupuesto de rentas que será añadida o complementada para financiar el costo fiscal de la iniciativa. En este caso, el </w:t>
      </w:r>
      <w:r w:rsidRPr="003E425B">
        <w:rPr>
          <w:rFonts w:ascii="Times New Roman" w:hAnsi="Times New Roman"/>
          <w:sz w:val="28"/>
          <w:lang w:eastAsia="es-MX"/>
        </w:rPr>
        <w:t xml:space="preserve">Congreso de la República no identificó ni deliberó, siquiera de forma somera, cuál sería la fuente de ingresos adicional con la que se financiaría el Ministerio de Igualdad y Equidad. </w:t>
      </w:r>
    </w:p>
    <w:p w:rsidR="002860D7" w:rsidRPr="003E425B" w:rsidRDefault="003E425B" w:rsidP="00010108">
      <w:pPr>
        <w:rPr>
          <w:rFonts w:ascii="Times New Roman" w:hAnsi="Times New Roman" w:cs="Times New Roman"/>
          <w:sz w:val="28"/>
          <w:lang w:eastAsia="es-MX"/>
        </w:rPr>
      </w:pPr>
    </w:p>
    <w:p w:rsidR="00997845" w:rsidRPr="003E425B" w:rsidRDefault="003E425B" w:rsidP="00672C44">
      <w:pPr>
        <w:pStyle w:val="Ttulo4"/>
        <w:numPr>
          <w:ilvl w:val="0"/>
          <w:numId w:val="36"/>
        </w:numPr>
        <w:rPr>
          <w:rFonts w:ascii="Times New Roman" w:hAnsi="Times New Roman" w:cs="Times New Roman"/>
          <w:sz w:val="28"/>
          <w:lang w:eastAsia="es-MX"/>
        </w:rPr>
      </w:pPr>
      <w:r w:rsidRPr="003E425B">
        <w:rPr>
          <w:rFonts w:ascii="Times New Roman" w:hAnsi="Times New Roman" w:cs="Times New Roman"/>
          <w:sz w:val="28"/>
          <w:lang w:eastAsia="es-MX"/>
        </w:rPr>
        <w:t xml:space="preserve">Valoración global: </w:t>
      </w:r>
      <w:r w:rsidRPr="003E425B">
        <w:rPr>
          <w:rFonts w:ascii="Times New Roman" w:hAnsi="Times New Roman" w:cs="Times New Roman"/>
          <w:sz w:val="28"/>
          <w:lang w:eastAsia="es-MX"/>
        </w:rPr>
        <w:t xml:space="preserve">en el trámite de aprobación de la </w:t>
      </w:r>
      <w:r w:rsidRPr="003E425B">
        <w:rPr>
          <w:rFonts w:ascii="Times New Roman" w:hAnsi="Times New Roman" w:cs="Times New Roman"/>
          <w:sz w:val="28"/>
          <w:lang w:eastAsia="es-MX"/>
        </w:rPr>
        <w:t>L</w:t>
      </w:r>
      <w:r w:rsidRPr="003E425B">
        <w:rPr>
          <w:rFonts w:ascii="Times New Roman" w:hAnsi="Times New Roman" w:cs="Times New Roman"/>
          <w:sz w:val="28"/>
          <w:lang w:eastAsia="es-MX"/>
        </w:rPr>
        <w:t xml:space="preserve">ey 2281 de 2023 no se satisfice la obligación de analizar el impacto fiscal de la creación del Ministerio de Igualdad y Equidad, conforme a lo previsto </w:t>
      </w:r>
      <w:r w:rsidRPr="003E425B">
        <w:rPr>
          <w:rFonts w:ascii="Times New Roman" w:hAnsi="Times New Roman" w:cs="Times New Roman"/>
          <w:sz w:val="28"/>
          <w:lang w:eastAsia="es-MX"/>
        </w:rPr>
        <w:t>en el artículo 7º de la Ley 819 de 2003</w:t>
      </w:r>
    </w:p>
    <w:p w:rsidR="00997845" w:rsidRPr="003E425B" w:rsidRDefault="003E425B" w:rsidP="00997845">
      <w:pPr>
        <w:pStyle w:val="Prrafodelista"/>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En síntesis, a partir de una valoración global del trámite legi</w:t>
      </w:r>
      <w:r w:rsidRPr="003E425B">
        <w:rPr>
          <w:rFonts w:ascii="Times New Roman" w:hAnsi="Times New Roman"/>
          <w:sz w:val="28"/>
          <w:lang w:eastAsia="es-MX"/>
        </w:rPr>
        <w:t xml:space="preserve">slativo, la Sala Plena concluye que la Ley 2281 de 2023, mediante la cual se dispuso la creación del Ministerio de Igualdad y Equidad, se aprobó sin llevar a cabo el análisis de impacto fiscal de la iniciativa, conforme a las exigencias </w:t>
      </w:r>
      <w:r w:rsidRPr="003E425B">
        <w:rPr>
          <w:rFonts w:ascii="Times New Roman" w:hAnsi="Times New Roman"/>
          <w:sz w:val="28"/>
          <w:lang w:eastAsia="es-MX"/>
        </w:rPr>
        <w:t xml:space="preserve">previstas </w:t>
      </w:r>
      <w:r w:rsidRPr="003E425B">
        <w:rPr>
          <w:rFonts w:ascii="Times New Roman" w:hAnsi="Times New Roman"/>
          <w:sz w:val="28"/>
          <w:lang w:eastAsia="es-MX"/>
        </w:rPr>
        <w:t>en el art</w:t>
      </w:r>
      <w:r w:rsidRPr="003E425B">
        <w:rPr>
          <w:rFonts w:ascii="Times New Roman" w:hAnsi="Times New Roman"/>
          <w:sz w:val="28"/>
          <w:lang w:eastAsia="es-MX"/>
        </w:rPr>
        <w:t xml:space="preserve">ículo 7º de la </w:t>
      </w:r>
      <w:r w:rsidRPr="003E425B">
        <w:rPr>
          <w:rFonts w:ascii="Times New Roman" w:hAnsi="Times New Roman"/>
          <w:sz w:val="28"/>
          <w:lang w:eastAsia="es-MX"/>
        </w:rPr>
        <w:t>L</w:t>
      </w:r>
      <w:r w:rsidRPr="003E425B">
        <w:rPr>
          <w:rFonts w:ascii="Times New Roman" w:hAnsi="Times New Roman"/>
          <w:sz w:val="28"/>
          <w:lang w:eastAsia="es-MX"/>
        </w:rPr>
        <w:t xml:space="preserve">ey 819 </w:t>
      </w:r>
      <w:r w:rsidRPr="003E425B">
        <w:rPr>
          <w:rFonts w:ascii="Times New Roman" w:hAnsi="Times New Roman"/>
          <w:sz w:val="28"/>
          <w:lang w:eastAsia="es-MX"/>
        </w:rPr>
        <w:t xml:space="preserve">de 2003. </w:t>
      </w:r>
      <w:r w:rsidRPr="003E425B">
        <w:rPr>
          <w:rFonts w:ascii="Times New Roman" w:hAnsi="Times New Roman"/>
          <w:bCs/>
          <w:sz w:val="28"/>
          <w:lang w:eastAsia="es-MX"/>
        </w:rPr>
        <w:t>Las acciones y omisiones constatadas por la Corte no sólo demuestran un incumplimiento del estándar de rigurosidad estricto, exigible al análisis de impacto de fiscal de los proyectos de ley de iniciativa gubernamental que o</w:t>
      </w:r>
      <w:r w:rsidRPr="003E425B">
        <w:rPr>
          <w:rFonts w:ascii="Times New Roman" w:hAnsi="Times New Roman"/>
          <w:bCs/>
          <w:sz w:val="28"/>
          <w:lang w:eastAsia="es-MX"/>
        </w:rPr>
        <w:t xml:space="preserve">rdenan gasto. También demuestran que, aun si en gracia de discusión se aceptara que en este caso la iniciativa fue </w:t>
      </w:r>
      <w:r w:rsidRPr="003E425B">
        <w:rPr>
          <w:rFonts w:ascii="Times New Roman" w:hAnsi="Times New Roman"/>
          <w:bCs/>
          <w:i/>
          <w:iCs/>
          <w:sz w:val="28"/>
          <w:lang w:eastAsia="es-MX"/>
        </w:rPr>
        <w:t>mixta</w:t>
      </w:r>
      <w:r w:rsidRPr="003E425B">
        <w:rPr>
          <w:rFonts w:ascii="Times New Roman" w:hAnsi="Times New Roman"/>
          <w:bCs/>
          <w:sz w:val="28"/>
          <w:lang w:eastAsia="es-MX"/>
        </w:rPr>
        <w:t>,</w:t>
      </w:r>
      <w:r w:rsidRPr="003E425B">
        <w:rPr>
          <w:rFonts w:ascii="Times New Roman" w:hAnsi="Times New Roman"/>
          <w:bCs/>
          <w:sz w:val="28"/>
          <w:lang w:eastAsia="es-MX"/>
        </w:rPr>
        <w:t xml:space="preserve"> y</w:t>
      </w:r>
      <w:r w:rsidRPr="003E425B">
        <w:rPr>
          <w:rFonts w:ascii="Times New Roman" w:hAnsi="Times New Roman"/>
          <w:bCs/>
          <w:sz w:val="28"/>
          <w:lang w:eastAsia="es-MX"/>
        </w:rPr>
        <w:t xml:space="preserve"> </w:t>
      </w:r>
      <w:r w:rsidRPr="003E425B">
        <w:rPr>
          <w:rFonts w:ascii="Times New Roman" w:hAnsi="Times New Roman"/>
          <w:bCs/>
          <w:sz w:val="28"/>
          <w:lang w:eastAsia="es-MX"/>
        </w:rPr>
        <w:t xml:space="preserve">que debe aplicarse un </w:t>
      </w:r>
      <w:r w:rsidRPr="003E425B">
        <w:rPr>
          <w:rFonts w:ascii="Times New Roman" w:hAnsi="Times New Roman"/>
          <w:bCs/>
          <w:sz w:val="28"/>
          <w:lang w:eastAsia="es-MX"/>
        </w:rPr>
        <w:t>es</w:t>
      </w:r>
      <w:r w:rsidRPr="003E425B">
        <w:rPr>
          <w:rFonts w:ascii="Times New Roman" w:hAnsi="Times New Roman"/>
          <w:bCs/>
          <w:sz w:val="28"/>
          <w:lang w:eastAsia="es-MX"/>
        </w:rPr>
        <w:t xml:space="preserve">tándar de escrutinio </w:t>
      </w:r>
      <w:r w:rsidRPr="003E425B">
        <w:rPr>
          <w:rFonts w:ascii="Times New Roman" w:hAnsi="Times New Roman"/>
          <w:bCs/>
          <w:sz w:val="28"/>
          <w:lang w:eastAsia="es-MX"/>
        </w:rPr>
        <w:t>deferente y flexible</w:t>
      </w:r>
      <w:r w:rsidRPr="003E425B">
        <w:rPr>
          <w:rFonts w:ascii="Times New Roman" w:hAnsi="Times New Roman"/>
          <w:bCs/>
          <w:sz w:val="28"/>
          <w:lang w:eastAsia="es-MX"/>
        </w:rPr>
        <w:t>,</w:t>
      </w:r>
      <w:r w:rsidRPr="003E425B">
        <w:rPr>
          <w:rFonts w:ascii="Times New Roman" w:hAnsi="Times New Roman"/>
          <w:bCs/>
          <w:sz w:val="28"/>
          <w:lang w:eastAsia="es-MX"/>
        </w:rPr>
        <w:t xml:space="preserve"> </w:t>
      </w:r>
      <w:r w:rsidRPr="003E425B">
        <w:rPr>
          <w:rFonts w:ascii="Times New Roman" w:hAnsi="Times New Roman"/>
          <w:bCs/>
          <w:sz w:val="28"/>
          <w:lang w:eastAsia="es-MX"/>
        </w:rPr>
        <w:t xml:space="preserve">este estándar </w:t>
      </w:r>
      <w:r w:rsidRPr="003E425B">
        <w:rPr>
          <w:rFonts w:ascii="Times New Roman" w:hAnsi="Times New Roman"/>
          <w:bCs/>
          <w:sz w:val="28"/>
          <w:lang w:eastAsia="es-MX"/>
        </w:rPr>
        <w:t xml:space="preserve">tampoco fue satisfecho. </w:t>
      </w:r>
      <w:r w:rsidRPr="003E425B">
        <w:rPr>
          <w:rFonts w:ascii="Times New Roman" w:hAnsi="Times New Roman"/>
          <w:sz w:val="28"/>
          <w:lang w:eastAsia="es-MX"/>
        </w:rPr>
        <w:t xml:space="preserve"> </w:t>
      </w:r>
      <w:r w:rsidRPr="003E425B">
        <w:rPr>
          <w:rFonts w:ascii="Times New Roman" w:hAnsi="Times New Roman"/>
          <w:sz w:val="28"/>
          <w:lang w:eastAsia="es-MX"/>
        </w:rPr>
        <w:t>Esto</w:t>
      </w:r>
      <w:r w:rsidRPr="003E425B">
        <w:rPr>
          <w:rFonts w:ascii="Times New Roman" w:hAnsi="Times New Roman"/>
          <w:sz w:val="28"/>
          <w:lang w:eastAsia="es-MX"/>
        </w:rPr>
        <w:t xml:space="preserve"> es as</w:t>
      </w:r>
      <w:r w:rsidRPr="003E425B">
        <w:rPr>
          <w:rFonts w:ascii="Times New Roman" w:hAnsi="Times New Roman"/>
          <w:sz w:val="28"/>
          <w:lang w:eastAsia="es-MX"/>
        </w:rPr>
        <w:t>í</w:t>
      </w:r>
      <w:r w:rsidRPr="003E425B">
        <w:rPr>
          <w:rFonts w:ascii="Times New Roman" w:hAnsi="Times New Roman"/>
          <w:sz w:val="28"/>
          <w:lang w:eastAsia="es-MX"/>
        </w:rPr>
        <w:t xml:space="preserve">, </w:t>
      </w:r>
      <w:r w:rsidRPr="003E425B">
        <w:rPr>
          <w:rFonts w:ascii="Times New Roman" w:hAnsi="Times New Roman"/>
          <w:sz w:val="28"/>
          <w:lang w:eastAsia="es-MX"/>
        </w:rPr>
        <w:t xml:space="preserve">fundamentalmente porque </w:t>
      </w:r>
      <w:r w:rsidRPr="003E425B">
        <w:rPr>
          <w:rFonts w:ascii="Times New Roman" w:hAnsi="Times New Roman"/>
          <w:sz w:val="28"/>
          <w:lang w:eastAsia="es-MX"/>
        </w:rPr>
        <w:t>a lo largo del procedimiento no se identificaron, de forma mínimamente clara y fundada, los referentes básicos del análisis</w:t>
      </w:r>
      <w:r w:rsidRPr="003E425B">
        <w:rPr>
          <w:rFonts w:ascii="Times New Roman" w:hAnsi="Times New Roman"/>
          <w:sz w:val="28"/>
          <w:lang w:eastAsia="es-MX"/>
        </w:rPr>
        <w:t xml:space="preserve"> de impacto fiscal, a saber: </w:t>
      </w:r>
      <w:r w:rsidRPr="003E425B">
        <w:rPr>
          <w:rFonts w:ascii="Times New Roman" w:hAnsi="Times New Roman"/>
          <w:i/>
          <w:iCs/>
          <w:sz w:val="28"/>
          <w:lang w:eastAsia="es-MX"/>
        </w:rPr>
        <w:t>(i)</w:t>
      </w:r>
      <w:r w:rsidRPr="003E425B">
        <w:rPr>
          <w:rFonts w:ascii="Times New Roman" w:hAnsi="Times New Roman"/>
          <w:sz w:val="28"/>
          <w:lang w:eastAsia="es-MX"/>
        </w:rPr>
        <w:t xml:space="preserve"> el costo fiscal </w:t>
      </w:r>
      <w:r w:rsidRPr="003E425B">
        <w:rPr>
          <w:rFonts w:ascii="Times New Roman" w:hAnsi="Times New Roman"/>
          <w:sz w:val="28"/>
          <w:lang w:eastAsia="es-MX"/>
        </w:rPr>
        <w:t xml:space="preserve">de creación del Ministerio de Hacienda y Crédito Público </w:t>
      </w:r>
      <w:r w:rsidRPr="003E425B">
        <w:rPr>
          <w:rFonts w:ascii="Times New Roman" w:hAnsi="Times New Roman"/>
          <w:sz w:val="28"/>
          <w:lang w:eastAsia="es-MX"/>
        </w:rPr>
        <w:t xml:space="preserve">y </w:t>
      </w:r>
      <w:r w:rsidRPr="003E425B">
        <w:rPr>
          <w:rFonts w:ascii="Times New Roman" w:hAnsi="Times New Roman"/>
          <w:i/>
          <w:iCs/>
          <w:sz w:val="28"/>
          <w:lang w:eastAsia="es-MX"/>
        </w:rPr>
        <w:t>(</w:t>
      </w:r>
      <w:r w:rsidRPr="003E425B">
        <w:rPr>
          <w:rFonts w:ascii="Times New Roman" w:hAnsi="Times New Roman"/>
          <w:i/>
          <w:iCs/>
          <w:sz w:val="28"/>
          <w:lang w:eastAsia="es-MX"/>
        </w:rPr>
        <w:t>ii)</w:t>
      </w:r>
      <w:r w:rsidRPr="003E425B">
        <w:rPr>
          <w:rFonts w:ascii="Times New Roman" w:hAnsi="Times New Roman"/>
          <w:sz w:val="28"/>
          <w:lang w:eastAsia="es-MX"/>
        </w:rPr>
        <w:t xml:space="preserve"> la fuente de ingresos sustitutiva: </w:t>
      </w:r>
    </w:p>
    <w:p w:rsidR="002860D7" w:rsidRPr="003E425B" w:rsidRDefault="003E425B" w:rsidP="00010108">
      <w:pPr>
        <w:pStyle w:val="Prrafodelista"/>
        <w:spacing w:line="240" w:lineRule="auto"/>
        <w:ind w:left="0"/>
        <w:rPr>
          <w:rFonts w:ascii="Times New Roman" w:hAnsi="Times New Roman"/>
          <w:sz w:val="28"/>
          <w:lang w:eastAsia="es-MX"/>
        </w:rPr>
      </w:pPr>
    </w:p>
    <w:p w:rsidR="00A80944" w:rsidRPr="003E425B" w:rsidRDefault="003E425B" w:rsidP="00A80944">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w:t>
      </w:r>
      <w:r w:rsidRPr="003E425B">
        <w:rPr>
          <w:rFonts w:ascii="Times New Roman" w:hAnsi="Times New Roman"/>
          <w:sz w:val="28"/>
          <w:lang w:eastAsia="es-MX"/>
        </w:rPr>
        <w:t>i</w:t>
      </w:r>
      <w:r w:rsidRPr="003E425B">
        <w:rPr>
          <w:rFonts w:ascii="Times New Roman" w:hAnsi="Times New Roman"/>
          <w:sz w:val="28"/>
          <w:lang w:eastAsia="es-MX"/>
        </w:rPr>
        <w:t xml:space="preserve">) </w:t>
      </w:r>
      <w:r w:rsidRPr="003E425B">
        <w:rPr>
          <w:rFonts w:ascii="Times New Roman" w:hAnsi="Times New Roman"/>
          <w:sz w:val="28"/>
          <w:u w:val="single"/>
          <w:lang w:eastAsia="es-MX"/>
        </w:rPr>
        <w:t>Costo fiscal</w:t>
      </w:r>
      <w:r w:rsidRPr="003E425B">
        <w:rPr>
          <w:rFonts w:ascii="Times New Roman" w:hAnsi="Times New Roman"/>
          <w:sz w:val="28"/>
          <w:lang w:eastAsia="es-MX"/>
        </w:rPr>
        <w:t xml:space="preserve">. </w:t>
      </w:r>
      <w:r w:rsidRPr="003E425B">
        <w:rPr>
          <w:rFonts w:ascii="Times New Roman" w:hAnsi="Times New Roman"/>
          <w:sz w:val="28"/>
          <w:lang w:eastAsia="es-MX"/>
        </w:rPr>
        <w:t xml:space="preserve"> </w:t>
      </w:r>
      <w:r w:rsidRPr="003E425B">
        <w:rPr>
          <w:rFonts w:ascii="Times New Roman" w:hAnsi="Times New Roman"/>
          <w:sz w:val="28"/>
          <w:lang w:eastAsia="es-MX"/>
        </w:rPr>
        <w:t xml:space="preserve">A </w:t>
      </w:r>
      <w:r w:rsidRPr="003E425B">
        <w:rPr>
          <w:rFonts w:ascii="Times New Roman" w:hAnsi="Times New Roman"/>
          <w:sz w:val="28"/>
          <w:lang w:eastAsia="es-MX"/>
        </w:rPr>
        <w:t>lo largo de todo el trámite legislativo existió confusión e incertidumbre sobre el costo fiscal que implicaría la creación del Ministerio de Igualdad y Equidad</w:t>
      </w:r>
      <w:r w:rsidRPr="003E425B">
        <w:rPr>
          <w:rFonts w:ascii="Times New Roman" w:hAnsi="Times New Roman"/>
          <w:sz w:val="28"/>
          <w:lang w:eastAsia="es-MX"/>
        </w:rPr>
        <w:t xml:space="preserve">. </w:t>
      </w:r>
      <w:r w:rsidRPr="003E425B">
        <w:rPr>
          <w:rFonts w:ascii="Times New Roman" w:hAnsi="Times New Roman"/>
          <w:sz w:val="28"/>
          <w:lang w:eastAsia="es-MX"/>
        </w:rPr>
        <w:t>En la exposición de motivos, el G</w:t>
      </w:r>
      <w:r w:rsidRPr="003E425B">
        <w:rPr>
          <w:rFonts w:ascii="Times New Roman" w:hAnsi="Times New Roman"/>
          <w:sz w:val="28"/>
          <w:lang w:eastAsia="es-MX"/>
        </w:rPr>
        <w:t>obierno Nacional no presentó ninguna consideración sobre este punto</w:t>
      </w:r>
      <w:r w:rsidRPr="003E425B">
        <w:rPr>
          <w:rFonts w:ascii="Times New Roman" w:hAnsi="Times New Roman"/>
          <w:sz w:val="28"/>
          <w:lang w:eastAsia="es-MX"/>
        </w:rPr>
        <w:t>, lo que no sólo refleja un incumplimiento del inciso 4º de la Ley 819 de 2003, sino también un desconocimiento del deber de planeación que</w:t>
      </w:r>
      <w:r w:rsidRPr="003E425B">
        <w:rPr>
          <w:rFonts w:ascii="Times New Roman" w:hAnsi="Times New Roman"/>
          <w:sz w:val="28"/>
          <w:lang w:eastAsia="es-MX"/>
        </w:rPr>
        <w:t xml:space="preserve"> </w:t>
      </w:r>
      <w:r w:rsidRPr="003E425B">
        <w:rPr>
          <w:rFonts w:ascii="Times New Roman" w:hAnsi="Times New Roman"/>
          <w:sz w:val="28"/>
          <w:lang w:val="es-ES" w:eastAsia="es-MX"/>
        </w:rPr>
        <w:t xml:space="preserve">luego se proyectó en todo el trámite legislativo </w:t>
      </w:r>
      <w:r w:rsidRPr="003E425B">
        <w:rPr>
          <w:rFonts w:ascii="Times New Roman" w:hAnsi="Times New Roman"/>
          <w:sz w:val="28"/>
          <w:lang w:val="es-ES" w:eastAsia="es-MX"/>
        </w:rPr>
        <w:t xml:space="preserve">e impidió que el Congreso de la República contara con la información mínima necesaria para poder estudiar el impacto fiscal que tendría la creación del Ministerio de Igualdad y Equidad.  </w:t>
      </w:r>
    </w:p>
    <w:p w:rsidR="00A80944" w:rsidRPr="003E425B" w:rsidRDefault="003E425B" w:rsidP="00A80944">
      <w:pPr>
        <w:pStyle w:val="Prrafodelista"/>
        <w:rPr>
          <w:rFonts w:ascii="Times New Roman" w:hAnsi="Times New Roman"/>
          <w:sz w:val="28"/>
          <w:lang w:val="es-ES" w:eastAsia="es-MX"/>
        </w:rPr>
      </w:pPr>
    </w:p>
    <w:p w:rsidR="002860D7" w:rsidRPr="003E425B" w:rsidRDefault="003E425B" w:rsidP="00A80944">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val="es-ES" w:eastAsia="es-MX"/>
        </w:rPr>
        <w:t>En efecto, en la</w:t>
      </w:r>
      <w:r w:rsidRPr="003E425B">
        <w:rPr>
          <w:rFonts w:ascii="Times New Roman" w:hAnsi="Times New Roman"/>
          <w:sz w:val="28"/>
          <w:lang w:eastAsia="es-MX"/>
        </w:rPr>
        <w:t xml:space="preserve"> primera etapa</w:t>
      </w:r>
      <w:r w:rsidRPr="003E425B">
        <w:rPr>
          <w:rFonts w:ascii="Times New Roman" w:hAnsi="Times New Roman"/>
          <w:sz w:val="28"/>
          <w:lang w:eastAsia="es-MX"/>
        </w:rPr>
        <w:t xml:space="preserve"> del procedimiento legislativo</w:t>
      </w:r>
      <w:r w:rsidRPr="003E425B">
        <w:rPr>
          <w:rFonts w:ascii="Times New Roman" w:hAnsi="Times New Roman"/>
          <w:sz w:val="28"/>
          <w:lang w:eastAsia="es-MX"/>
        </w:rPr>
        <w:t xml:space="preserve">, durante los debates en las comisiones, </w:t>
      </w:r>
      <w:r w:rsidRPr="003E425B">
        <w:rPr>
          <w:rFonts w:ascii="Times New Roman" w:hAnsi="Times New Roman"/>
          <w:sz w:val="28"/>
          <w:lang w:eastAsia="es-MX"/>
        </w:rPr>
        <w:t>esta omisión se mantuvo</w:t>
      </w:r>
      <w:r w:rsidRPr="003E425B">
        <w:rPr>
          <w:rFonts w:ascii="Times New Roman" w:hAnsi="Times New Roman"/>
          <w:sz w:val="28"/>
          <w:lang w:eastAsia="es-MX"/>
        </w:rPr>
        <w:t xml:space="preserve">. Esto, principalmente porque el articulado del proyecto de ley </w:t>
      </w:r>
      <w:r w:rsidRPr="003E425B">
        <w:rPr>
          <w:rFonts w:ascii="Times New Roman" w:hAnsi="Times New Roman"/>
          <w:i/>
          <w:iCs/>
          <w:sz w:val="28"/>
          <w:lang w:eastAsia="es-MX"/>
        </w:rPr>
        <w:t>(i)</w:t>
      </w:r>
      <w:r w:rsidRPr="003E425B">
        <w:rPr>
          <w:rFonts w:ascii="Times New Roman" w:hAnsi="Times New Roman"/>
          <w:sz w:val="28"/>
          <w:lang w:eastAsia="es-MX"/>
        </w:rPr>
        <w:t xml:space="preserve"> no definía la estructura orgánica del nuevo Ministerio y </w:t>
      </w:r>
      <w:r w:rsidRPr="003E425B">
        <w:rPr>
          <w:rFonts w:ascii="Times New Roman" w:hAnsi="Times New Roman"/>
          <w:i/>
          <w:iCs/>
          <w:sz w:val="28"/>
          <w:lang w:eastAsia="es-MX"/>
        </w:rPr>
        <w:t>(ii)</w:t>
      </w:r>
      <w:r w:rsidRPr="003E425B">
        <w:rPr>
          <w:rFonts w:ascii="Times New Roman" w:hAnsi="Times New Roman"/>
          <w:sz w:val="28"/>
          <w:lang w:eastAsia="es-MX"/>
        </w:rPr>
        <w:t xml:space="preserve"> </w:t>
      </w:r>
      <w:r w:rsidRPr="003E425B">
        <w:rPr>
          <w:rFonts w:ascii="Times New Roman" w:hAnsi="Times New Roman"/>
          <w:sz w:val="28"/>
          <w:lang w:eastAsia="es-MX"/>
        </w:rPr>
        <w:t>las comisiones aprobaron una modificación al artículo 12, conf</w:t>
      </w:r>
      <w:r w:rsidRPr="003E425B">
        <w:rPr>
          <w:rFonts w:ascii="Times New Roman" w:hAnsi="Times New Roman"/>
          <w:sz w:val="28"/>
          <w:lang w:eastAsia="es-MX"/>
        </w:rPr>
        <w:t xml:space="preserve">orme a la cual se concedían </w:t>
      </w:r>
      <w:r w:rsidRPr="003E425B">
        <w:rPr>
          <w:rFonts w:ascii="Times New Roman" w:hAnsi="Times New Roman"/>
          <w:sz w:val="28"/>
          <w:lang w:eastAsia="es-MX"/>
        </w:rPr>
        <w:t>facultades extraordinarias para crear el Ministerio a partir de la fusión, escisión y liquidación de otras entidades de la administración pública nacional (texto aprobado en las comisiones). En esta primera etapa, el proyecto de</w:t>
      </w:r>
      <w:r w:rsidRPr="003E425B">
        <w:rPr>
          <w:rFonts w:ascii="Times New Roman" w:hAnsi="Times New Roman"/>
          <w:sz w:val="28"/>
          <w:lang w:eastAsia="es-MX"/>
        </w:rPr>
        <w:t xml:space="preserve"> ley</w:t>
      </w:r>
      <w:r w:rsidRPr="003E425B">
        <w:rPr>
          <w:rFonts w:ascii="Times New Roman" w:hAnsi="Times New Roman"/>
          <w:sz w:val="28"/>
          <w:lang w:eastAsia="es-MX"/>
        </w:rPr>
        <w:t>,</w:t>
      </w:r>
      <w:r w:rsidRPr="003E425B">
        <w:rPr>
          <w:rFonts w:ascii="Times New Roman" w:hAnsi="Times New Roman"/>
          <w:sz w:val="28"/>
          <w:lang w:eastAsia="es-MX"/>
        </w:rPr>
        <w:t xml:space="preserve"> además, no establecía siquiera criterios mínimos que permitieran determinar con precisión el alcance del nuevo organismo que se creaba y, en concreto, sus gastos de personal, funcionamiento general e inversión. Muchos congresistas insistieron en que </w:t>
      </w:r>
      <w:r w:rsidRPr="003E425B">
        <w:rPr>
          <w:rFonts w:ascii="Times New Roman" w:hAnsi="Times New Roman"/>
          <w:sz w:val="28"/>
          <w:lang w:eastAsia="es-MX"/>
        </w:rPr>
        <w:t>esta incertidumbre y falta de claridad sobre el verdadero alcance de la iniciativa no permitía analizar el impacto fiscal y comprometía la constitucionalidad del proyecto de ley, precisamente</w:t>
      </w:r>
      <w:r w:rsidRPr="003E425B">
        <w:rPr>
          <w:rFonts w:ascii="Times New Roman" w:hAnsi="Times New Roman"/>
          <w:sz w:val="28"/>
          <w:lang w:eastAsia="es-MX"/>
        </w:rPr>
        <w:t>,</w:t>
      </w:r>
      <w:r w:rsidRPr="003E425B">
        <w:rPr>
          <w:rFonts w:ascii="Times New Roman" w:hAnsi="Times New Roman"/>
          <w:sz w:val="28"/>
          <w:lang w:eastAsia="es-MX"/>
        </w:rPr>
        <w:t xml:space="preserve"> </w:t>
      </w:r>
      <w:r w:rsidRPr="003E425B">
        <w:rPr>
          <w:rFonts w:ascii="Times New Roman" w:hAnsi="Times New Roman"/>
          <w:sz w:val="28"/>
          <w:lang w:eastAsia="es-MX"/>
        </w:rPr>
        <w:t>por el incumplimiento de</w:t>
      </w:r>
      <w:r w:rsidRPr="003E425B">
        <w:rPr>
          <w:rFonts w:ascii="Times New Roman" w:hAnsi="Times New Roman"/>
          <w:sz w:val="28"/>
          <w:lang w:eastAsia="es-MX"/>
        </w:rPr>
        <w:t xml:space="preserve"> las exigencias previstas en el artícul</w:t>
      </w:r>
      <w:r w:rsidRPr="003E425B">
        <w:rPr>
          <w:rFonts w:ascii="Times New Roman" w:hAnsi="Times New Roman"/>
          <w:sz w:val="28"/>
          <w:lang w:eastAsia="es-MX"/>
        </w:rPr>
        <w:t xml:space="preserve">o 7º de la Ley 819 de 2003. </w:t>
      </w:r>
    </w:p>
    <w:p w:rsidR="002860D7" w:rsidRPr="003E425B" w:rsidRDefault="003E425B" w:rsidP="00010108">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E</w:t>
      </w:r>
      <w:r w:rsidRPr="003E425B">
        <w:rPr>
          <w:rFonts w:ascii="Times New Roman" w:hAnsi="Times New Roman"/>
          <w:sz w:val="28"/>
          <w:lang w:eastAsia="es-MX"/>
        </w:rPr>
        <w:t>n el escrito de comentarios, e</w:t>
      </w:r>
      <w:r w:rsidRPr="003E425B">
        <w:rPr>
          <w:rFonts w:ascii="Times New Roman" w:hAnsi="Times New Roman"/>
          <w:sz w:val="28"/>
          <w:lang w:eastAsia="es-MX"/>
        </w:rPr>
        <w:t xml:space="preserve">l MHCP </w:t>
      </w:r>
      <w:r w:rsidRPr="003E425B">
        <w:rPr>
          <w:rFonts w:ascii="Times New Roman" w:hAnsi="Times New Roman"/>
          <w:sz w:val="28"/>
          <w:lang w:eastAsia="es-MX"/>
        </w:rPr>
        <w:t>tampoco espec</w:t>
      </w:r>
      <w:r w:rsidRPr="003E425B">
        <w:rPr>
          <w:rFonts w:ascii="Times New Roman" w:hAnsi="Times New Roman"/>
          <w:sz w:val="28"/>
          <w:lang w:eastAsia="es-MX"/>
        </w:rPr>
        <w:t>i</w:t>
      </w:r>
      <w:r w:rsidRPr="003E425B">
        <w:rPr>
          <w:rFonts w:ascii="Times New Roman" w:hAnsi="Times New Roman"/>
          <w:sz w:val="28"/>
          <w:lang w:eastAsia="es-MX"/>
        </w:rPr>
        <w:t>fic</w:t>
      </w:r>
      <w:r w:rsidRPr="003E425B">
        <w:rPr>
          <w:rFonts w:ascii="Times New Roman" w:hAnsi="Times New Roman"/>
          <w:sz w:val="28"/>
          <w:lang w:eastAsia="es-MX"/>
        </w:rPr>
        <w:t>ó</w:t>
      </w:r>
      <w:r w:rsidRPr="003E425B">
        <w:rPr>
          <w:rFonts w:ascii="Times New Roman" w:hAnsi="Times New Roman"/>
          <w:sz w:val="28"/>
          <w:lang w:eastAsia="es-MX"/>
        </w:rPr>
        <w:t xml:space="preserve"> el costo fiscal del Ministerio de Igualdad y Equidad. </w:t>
      </w:r>
      <w:r w:rsidRPr="003E425B">
        <w:rPr>
          <w:rFonts w:ascii="Times New Roman" w:hAnsi="Times New Roman"/>
          <w:sz w:val="28"/>
          <w:lang w:eastAsia="es-MX"/>
        </w:rPr>
        <w:t xml:space="preserve">Por el contrario, el escrito que esta cartera presentó el 12 de diciembre de 2022 señaló de forma expresa que sólo </w:t>
      </w:r>
      <w:r w:rsidRPr="003E425B">
        <w:rPr>
          <w:rFonts w:ascii="Times New Roman" w:hAnsi="Times New Roman"/>
          <w:sz w:val="28"/>
          <w:lang w:eastAsia="es-MX"/>
        </w:rPr>
        <w:t xml:space="preserve">sería posible estimar los costos y analizar el impacto fiscal </w:t>
      </w:r>
      <w:r w:rsidRPr="003E425B">
        <w:rPr>
          <w:rFonts w:ascii="Times New Roman" w:hAnsi="Times New Roman"/>
          <w:sz w:val="28"/>
          <w:lang w:eastAsia="es-MX"/>
        </w:rPr>
        <w:t xml:space="preserve">del nuevo organismo </w:t>
      </w:r>
      <w:r w:rsidRPr="003E425B">
        <w:rPr>
          <w:rFonts w:ascii="Times New Roman" w:hAnsi="Times New Roman"/>
          <w:sz w:val="28"/>
          <w:lang w:eastAsia="es-MX"/>
        </w:rPr>
        <w:t xml:space="preserve">una vez se definiera la estructura orgánica </w:t>
      </w:r>
      <w:r w:rsidRPr="003E425B">
        <w:rPr>
          <w:rFonts w:ascii="Times New Roman" w:hAnsi="Times New Roman"/>
          <w:sz w:val="28"/>
          <w:lang w:eastAsia="es-MX"/>
        </w:rPr>
        <w:t>del nuevo ministerio</w:t>
      </w:r>
      <w:r w:rsidRPr="003E425B">
        <w:rPr>
          <w:rFonts w:ascii="Times New Roman" w:hAnsi="Times New Roman"/>
          <w:sz w:val="28"/>
          <w:lang w:eastAsia="es-MX"/>
        </w:rPr>
        <w:t>. Por otro lado, el escrito presentó una tabla de referencia que contenía información sobre los gastos de pers</w:t>
      </w:r>
      <w:r w:rsidRPr="003E425B">
        <w:rPr>
          <w:rFonts w:ascii="Times New Roman" w:hAnsi="Times New Roman"/>
          <w:sz w:val="28"/>
          <w:lang w:eastAsia="es-MX"/>
        </w:rPr>
        <w:t xml:space="preserve">onal de los </w:t>
      </w:r>
      <w:r w:rsidRPr="003E425B">
        <w:rPr>
          <w:rFonts w:ascii="Times New Roman" w:hAnsi="Times New Roman"/>
          <w:sz w:val="28"/>
          <w:lang w:eastAsia="es-MX"/>
        </w:rPr>
        <w:t>m</w:t>
      </w:r>
      <w:r w:rsidRPr="003E425B">
        <w:rPr>
          <w:rFonts w:ascii="Times New Roman" w:hAnsi="Times New Roman"/>
          <w:sz w:val="28"/>
          <w:lang w:eastAsia="es-MX"/>
        </w:rPr>
        <w:t xml:space="preserve">inisterios para la vigencia 2023, los cuales oscilaban entre 18.000 y 2 billones de pesos. </w:t>
      </w:r>
      <w:r w:rsidRPr="003E425B">
        <w:rPr>
          <w:rFonts w:ascii="Times New Roman" w:hAnsi="Times New Roman"/>
          <w:sz w:val="28"/>
          <w:lang w:eastAsia="es-MX"/>
        </w:rPr>
        <w:t>Sin embargo, el escrito de comentarios no especificaba</w:t>
      </w:r>
      <w:r w:rsidRPr="003E425B">
        <w:rPr>
          <w:rFonts w:ascii="Times New Roman" w:hAnsi="Times New Roman"/>
          <w:sz w:val="28"/>
          <w:lang w:eastAsia="es-MX"/>
        </w:rPr>
        <w:t>, dentro de este rango, a cuán</w:t>
      </w:r>
      <w:r w:rsidRPr="003E425B">
        <w:rPr>
          <w:rFonts w:ascii="Times New Roman" w:hAnsi="Times New Roman"/>
          <w:sz w:val="28"/>
          <w:lang w:eastAsia="es-MX"/>
        </w:rPr>
        <w:t>t</w:t>
      </w:r>
      <w:r w:rsidRPr="003E425B">
        <w:rPr>
          <w:rFonts w:ascii="Times New Roman" w:hAnsi="Times New Roman"/>
          <w:sz w:val="28"/>
          <w:lang w:eastAsia="es-MX"/>
        </w:rPr>
        <w:t xml:space="preserve">o ascenderían los gastos de personal del nuevo ministerio. </w:t>
      </w:r>
    </w:p>
    <w:p w:rsidR="002860D7" w:rsidRPr="003E425B" w:rsidRDefault="003E425B" w:rsidP="00010108">
      <w:pPr>
        <w:rPr>
          <w:rFonts w:ascii="Times New Roman" w:hAnsi="Times New Roman" w:cs="Times New Roman"/>
          <w:sz w:val="28"/>
          <w:lang w:eastAsia="es-MX"/>
        </w:rPr>
      </w:pPr>
    </w:p>
    <w:p w:rsidR="006800C7" w:rsidRPr="003E425B" w:rsidRDefault="003E425B" w:rsidP="009A2858">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El pliego modificatorio que se propuso para las plenarias incluyó un artículo que definía la estructura orgánica del Ministerio de Igualdad y Equidad. </w:t>
      </w:r>
      <w:r w:rsidRPr="003E425B">
        <w:rPr>
          <w:rFonts w:ascii="Times New Roman" w:hAnsi="Times New Roman"/>
          <w:sz w:val="28"/>
          <w:lang w:eastAsia="es-MX"/>
        </w:rPr>
        <w:t>En</w:t>
      </w:r>
      <w:r w:rsidRPr="003E425B">
        <w:rPr>
          <w:rFonts w:ascii="Times New Roman" w:hAnsi="Times New Roman"/>
          <w:sz w:val="28"/>
          <w:lang w:eastAsia="es-MX"/>
        </w:rPr>
        <w:t xml:space="preserve"> el informe de ponencia para las plenarias, los ponentes estimaron el costo fiscal de creación del nuev</w:t>
      </w:r>
      <w:r w:rsidRPr="003E425B">
        <w:rPr>
          <w:rFonts w:ascii="Times New Roman" w:hAnsi="Times New Roman"/>
          <w:sz w:val="28"/>
          <w:lang w:eastAsia="es-MX"/>
        </w:rPr>
        <w:t xml:space="preserve">o ministerio en 18.000 millones. Esta estimación, </w:t>
      </w:r>
      <w:r w:rsidRPr="003E425B">
        <w:rPr>
          <w:rFonts w:ascii="Times New Roman" w:hAnsi="Times New Roman"/>
          <w:sz w:val="28"/>
          <w:lang w:eastAsia="es-MX"/>
        </w:rPr>
        <w:t>empero</w:t>
      </w:r>
      <w:r w:rsidRPr="003E425B">
        <w:rPr>
          <w:rFonts w:ascii="Times New Roman" w:hAnsi="Times New Roman"/>
          <w:sz w:val="28"/>
          <w:lang w:eastAsia="es-MX"/>
        </w:rPr>
        <w:t xml:space="preserve">, no </w:t>
      </w:r>
      <w:r w:rsidRPr="003E425B">
        <w:rPr>
          <w:rFonts w:ascii="Times New Roman" w:hAnsi="Times New Roman"/>
          <w:sz w:val="28"/>
          <w:lang w:eastAsia="es-MX"/>
        </w:rPr>
        <w:t>estaba</w:t>
      </w:r>
      <w:r w:rsidRPr="003E425B">
        <w:rPr>
          <w:rFonts w:ascii="Times New Roman" w:hAnsi="Times New Roman"/>
          <w:sz w:val="28"/>
          <w:lang w:eastAsia="es-MX"/>
        </w:rPr>
        <w:t xml:space="preserve"> fundament</w:t>
      </w:r>
      <w:r w:rsidRPr="003E425B">
        <w:rPr>
          <w:rFonts w:ascii="Times New Roman" w:hAnsi="Times New Roman"/>
          <w:sz w:val="28"/>
          <w:lang w:eastAsia="es-MX"/>
        </w:rPr>
        <w:t>ada</w:t>
      </w:r>
      <w:r w:rsidRPr="003E425B">
        <w:rPr>
          <w:rFonts w:ascii="Times New Roman" w:hAnsi="Times New Roman"/>
          <w:sz w:val="28"/>
          <w:lang w:eastAsia="es-MX"/>
        </w:rPr>
        <w:t xml:space="preserve">, </w:t>
      </w:r>
      <w:r w:rsidRPr="003E425B">
        <w:rPr>
          <w:rFonts w:ascii="Times New Roman" w:hAnsi="Times New Roman"/>
          <w:sz w:val="28"/>
          <w:lang w:eastAsia="es-MX"/>
        </w:rPr>
        <w:t>era insuficiente</w:t>
      </w:r>
      <w:r w:rsidRPr="003E425B">
        <w:rPr>
          <w:rFonts w:ascii="Times New Roman" w:hAnsi="Times New Roman"/>
          <w:sz w:val="28"/>
          <w:lang w:eastAsia="es-MX"/>
        </w:rPr>
        <w:t xml:space="preserve"> y</w:t>
      </w:r>
      <w:r w:rsidRPr="003E425B">
        <w:rPr>
          <w:rFonts w:ascii="Times New Roman" w:hAnsi="Times New Roman"/>
          <w:sz w:val="28"/>
          <w:lang w:eastAsia="es-MX"/>
        </w:rPr>
        <w:t xml:space="preserve"> </w:t>
      </w:r>
      <w:r w:rsidRPr="003E425B">
        <w:rPr>
          <w:rFonts w:ascii="Times New Roman" w:hAnsi="Times New Roman"/>
          <w:sz w:val="28"/>
          <w:lang w:eastAsia="es-MX"/>
        </w:rPr>
        <w:t xml:space="preserve">no </w:t>
      </w:r>
      <w:r w:rsidRPr="003E425B">
        <w:rPr>
          <w:rFonts w:ascii="Times New Roman" w:hAnsi="Times New Roman"/>
          <w:sz w:val="28"/>
          <w:lang w:eastAsia="es-MX"/>
        </w:rPr>
        <w:t>fue validada por el Gobierno Nacional</w:t>
      </w:r>
      <w:r w:rsidRPr="003E425B">
        <w:rPr>
          <w:rFonts w:ascii="Times New Roman" w:hAnsi="Times New Roman"/>
          <w:sz w:val="28"/>
          <w:lang w:eastAsia="es-MX"/>
        </w:rPr>
        <w:t>.</w:t>
      </w:r>
      <w:r w:rsidRPr="003E425B">
        <w:rPr>
          <w:rFonts w:ascii="Times New Roman" w:hAnsi="Times New Roman"/>
          <w:sz w:val="28"/>
          <w:lang w:eastAsia="es-MX"/>
        </w:rPr>
        <w:t xml:space="preserve"> </w:t>
      </w:r>
      <w:r w:rsidRPr="003E425B">
        <w:rPr>
          <w:rFonts w:ascii="Times New Roman" w:hAnsi="Times New Roman"/>
          <w:sz w:val="28"/>
          <w:lang w:eastAsia="es-MX"/>
        </w:rPr>
        <w:t>P</w:t>
      </w:r>
      <w:r w:rsidRPr="003E425B">
        <w:rPr>
          <w:rFonts w:ascii="Times New Roman" w:hAnsi="Times New Roman"/>
          <w:sz w:val="28"/>
          <w:lang w:eastAsia="es-MX"/>
        </w:rPr>
        <w:t>or el contrario, parecería contradecir los comentarios que presentó el MHCP, así como las intervenciones que mie</w:t>
      </w:r>
      <w:r w:rsidRPr="003E425B">
        <w:rPr>
          <w:rFonts w:ascii="Times New Roman" w:hAnsi="Times New Roman"/>
          <w:sz w:val="28"/>
          <w:lang w:eastAsia="es-MX"/>
        </w:rPr>
        <w:t xml:space="preserve">mbros del Gobierno Nacional </w:t>
      </w:r>
      <w:r w:rsidRPr="003E425B">
        <w:rPr>
          <w:rFonts w:ascii="Times New Roman" w:hAnsi="Times New Roman"/>
          <w:sz w:val="28"/>
          <w:lang w:eastAsia="es-MX"/>
        </w:rPr>
        <w:t>hicieron</w:t>
      </w:r>
      <w:r w:rsidRPr="003E425B">
        <w:rPr>
          <w:rFonts w:ascii="Times New Roman" w:hAnsi="Times New Roman"/>
          <w:sz w:val="28"/>
          <w:lang w:eastAsia="es-MX"/>
        </w:rPr>
        <w:t xml:space="preserve"> en las plenarias.</w:t>
      </w:r>
      <w:r w:rsidRPr="003E425B">
        <w:rPr>
          <w:rFonts w:ascii="Times New Roman" w:hAnsi="Times New Roman"/>
          <w:sz w:val="28"/>
          <w:lang w:eastAsia="es-MX"/>
        </w:rPr>
        <w:t xml:space="preserve"> </w:t>
      </w:r>
      <w:r w:rsidRPr="003E425B">
        <w:rPr>
          <w:rFonts w:ascii="Times New Roman" w:hAnsi="Times New Roman"/>
          <w:sz w:val="28"/>
          <w:lang w:eastAsia="es-MX"/>
        </w:rPr>
        <w:t xml:space="preserve">Primero, no </w:t>
      </w:r>
      <w:r w:rsidRPr="003E425B">
        <w:rPr>
          <w:rFonts w:ascii="Times New Roman" w:hAnsi="Times New Roman"/>
          <w:sz w:val="28"/>
          <w:lang w:eastAsia="es-MX"/>
        </w:rPr>
        <w:t xml:space="preserve">estaba </w:t>
      </w:r>
      <w:r w:rsidRPr="003E425B">
        <w:rPr>
          <w:rFonts w:ascii="Times New Roman" w:hAnsi="Times New Roman"/>
          <w:sz w:val="28"/>
          <w:lang w:eastAsia="es-MX"/>
        </w:rPr>
        <w:t>fundament</w:t>
      </w:r>
      <w:r w:rsidRPr="003E425B">
        <w:rPr>
          <w:rFonts w:ascii="Times New Roman" w:hAnsi="Times New Roman"/>
          <w:sz w:val="28"/>
          <w:lang w:eastAsia="es-MX"/>
        </w:rPr>
        <w:t>ada y era insuficiente</w:t>
      </w:r>
      <w:r w:rsidRPr="003E425B">
        <w:rPr>
          <w:rFonts w:ascii="Times New Roman" w:hAnsi="Times New Roman"/>
          <w:sz w:val="28"/>
          <w:lang w:eastAsia="es-MX"/>
        </w:rPr>
        <w:t xml:space="preserve"> porque</w:t>
      </w:r>
      <w:r w:rsidRPr="003E425B">
        <w:rPr>
          <w:rFonts w:ascii="Times New Roman" w:hAnsi="Times New Roman"/>
          <w:sz w:val="28"/>
          <w:lang w:eastAsia="es-MX"/>
        </w:rPr>
        <w:t xml:space="preserve"> </w:t>
      </w:r>
      <w:r w:rsidRPr="003E425B">
        <w:rPr>
          <w:rFonts w:ascii="Times New Roman" w:hAnsi="Times New Roman"/>
          <w:i/>
          <w:iCs/>
          <w:sz w:val="28"/>
          <w:lang w:eastAsia="es-MX"/>
        </w:rPr>
        <w:t>(i)</w:t>
      </w:r>
      <w:r w:rsidRPr="003E425B">
        <w:rPr>
          <w:rFonts w:ascii="Times New Roman" w:hAnsi="Times New Roman"/>
          <w:sz w:val="28"/>
          <w:lang w:eastAsia="es-MX"/>
        </w:rPr>
        <w:t xml:space="preserve"> los ponentes y el </w:t>
      </w:r>
      <w:r w:rsidRPr="003E425B">
        <w:rPr>
          <w:rFonts w:ascii="Times New Roman" w:hAnsi="Times New Roman"/>
          <w:sz w:val="28"/>
          <w:lang w:eastAsia="es-MX"/>
        </w:rPr>
        <w:t>Gobierno Nacional no explicaron el sustento técnico de dicha estimación</w:t>
      </w:r>
      <w:r w:rsidRPr="003E425B">
        <w:rPr>
          <w:rFonts w:ascii="Times New Roman" w:hAnsi="Times New Roman"/>
          <w:sz w:val="28"/>
          <w:lang w:eastAsia="es-MX"/>
        </w:rPr>
        <w:t>,</w:t>
      </w:r>
      <w:r w:rsidRPr="003E425B">
        <w:rPr>
          <w:rFonts w:ascii="Times New Roman" w:hAnsi="Times New Roman"/>
          <w:sz w:val="28"/>
          <w:lang w:eastAsia="es-MX"/>
        </w:rPr>
        <w:t xml:space="preserve"> </w:t>
      </w:r>
      <w:r w:rsidRPr="003E425B">
        <w:rPr>
          <w:rFonts w:ascii="Times New Roman" w:hAnsi="Times New Roman"/>
          <w:i/>
          <w:iCs/>
          <w:sz w:val="28"/>
          <w:lang w:eastAsia="es-MX"/>
        </w:rPr>
        <w:t>(ii)</w:t>
      </w:r>
      <w:r w:rsidRPr="003E425B">
        <w:rPr>
          <w:rFonts w:ascii="Times New Roman" w:hAnsi="Times New Roman"/>
          <w:sz w:val="28"/>
          <w:lang w:eastAsia="es-MX"/>
        </w:rPr>
        <w:t xml:space="preserve"> </w:t>
      </w:r>
      <w:r w:rsidRPr="003E425B">
        <w:rPr>
          <w:rFonts w:ascii="Times New Roman" w:hAnsi="Times New Roman"/>
          <w:sz w:val="28"/>
          <w:lang w:eastAsia="es-MX"/>
        </w:rPr>
        <w:t xml:space="preserve">la </w:t>
      </w:r>
      <w:r w:rsidRPr="003E425B">
        <w:rPr>
          <w:rFonts w:ascii="Times New Roman" w:hAnsi="Times New Roman"/>
          <w:iCs/>
          <w:sz w:val="28"/>
          <w:lang w:val="es-ES" w:eastAsia="es-MX"/>
        </w:rPr>
        <w:t xml:space="preserve">tabla de referencia que </w:t>
      </w:r>
      <w:r w:rsidRPr="003E425B">
        <w:rPr>
          <w:rFonts w:ascii="Times New Roman" w:hAnsi="Times New Roman"/>
          <w:iCs/>
          <w:sz w:val="28"/>
          <w:lang w:val="es-ES" w:eastAsia="es-MX"/>
        </w:rPr>
        <w:t xml:space="preserve">los ponentes </w:t>
      </w:r>
      <w:r w:rsidRPr="003E425B">
        <w:rPr>
          <w:rFonts w:ascii="Times New Roman" w:hAnsi="Times New Roman"/>
          <w:iCs/>
          <w:sz w:val="28"/>
          <w:lang w:val="es-ES" w:eastAsia="es-MX"/>
        </w:rPr>
        <w:t>pre</w:t>
      </w:r>
      <w:r w:rsidRPr="003E425B">
        <w:rPr>
          <w:rFonts w:ascii="Times New Roman" w:hAnsi="Times New Roman"/>
          <w:iCs/>
          <w:sz w:val="28"/>
          <w:lang w:val="es-ES" w:eastAsia="es-MX"/>
        </w:rPr>
        <w:t xml:space="preserve">sentaron, que supuestamente servía de fundamento para </w:t>
      </w:r>
      <w:r w:rsidRPr="003E425B">
        <w:rPr>
          <w:rFonts w:ascii="Times New Roman" w:hAnsi="Times New Roman"/>
          <w:iCs/>
          <w:sz w:val="28"/>
          <w:lang w:val="es-ES" w:eastAsia="es-MX"/>
        </w:rPr>
        <w:t>la</w:t>
      </w:r>
      <w:r w:rsidRPr="003E425B">
        <w:rPr>
          <w:rFonts w:ascii="Times New Roman" w:hAnsi="Times New Roman"/>
          <w:iCs/>
          <w:sz w:val="28"/>
          <w:lang w:val="es-ES" w:eastAsia="es-MX"/>
        </w:rPr>
        <w:t xml:space="preserve"> estimación, sólo contenía información sobre los </w:t>
      </w:r>
      <w:r w:rsidRPr="003E425B">
        <w:rPr>
          <w:rFonts w:ascii="Times New Roman" w:hAnsi="Times New Roman"/>
          <w:i/>
          <w:sz w:val="28"/>
          <w:lang w:val="es-ES" w:eastAsia="es-MX"/>
        </w:rPr>
        <w:t>gastos de personal</w:t>
      </w:r>
      <w:r w:rsidRPr="003E425B">
        <w:rPr>
          <w:rFonts w:ascii="Times New Roman" w:hAnsi="Times New Roman"/>
          <w:iCs/>
          <w:sz w:val="28"/>
          <w:lang w:val="es-ES" w:eastAsia="es-MX"/>
        </w:rPr>
        <w:t xml:space="preserve"> de los ministerios que ya estaban en operación.</w:t>
      </w:r>
      <w:r w:rsidRPr="003E425B">
        <w:rPr>
          <w:rFonts w:ascii="Times New Roman" w:hAnsi="Times New Roman"/>
          <w:iCs/>
          <w:sz w:val="28"/>
          <w:lang w:val="es-ES" w:eastAsia="es-MX"/>
        </w:rPr>
        <w:t xml:space="preserve"> Sin embargo, </w:t>
      </w:r>
      <w:r w:rsidRPr="003E425B">
        <w:rPr>
          <w:rFonts w:ascii="Times New Roman" w:hAnsi="Times New Roman"/>
          <w:iCs/>
          <w:sz w:val="28"/>
          <w:lang w:val="es-ES" w:eastAsia="es-MX"/>
        </w:rPr>
        <w:t>no cobijaba los gastos generales de funcionamiento</w:t>
      </w:r>
      <w:r w:rsidRPr="003E425B">
        <w:rPr>
          <w:rFonts w:ascii="Times New Roman" w:hAnsi="Times New Roman"/>
          <w:iCs/>
          <w:sz w:val="28"/>
          <w:lang w:val="es-ES" w:eastAsia="es-MX"/>
        </w:rPr>
        <w:t xml:space="preserve"> y </w:t>
      </w:r>
      <w:r w:rsidRPr="003E425B">
        <w:rPr>
          <w:rFonts w:ascii="Times New Roman" w:hAnsi="Times New Roman"/>
          <w:iCs/>
          <w:sz w:val="28"/>
          <w:lang w:val="es-ES" w:eastAsia="es-MX"/>
        </w:rPr>
        <w:t xml:space="preserve">tampoco </w:t>
      </w:r>
      <w:r w:rsidRPr="003E425B">
        <w:rPr>
          <w:rFonts w:ascii="Times New Roman" w:hAnsi="Times New Roman"/>
          <w:iCs/>
          <w:sz w:val="28"/>
          <w:lang w:val="es-ES" w:eastAsia="es-MX"/>
        </w:rPr>
        <w:t>especificaba cuáles serán los gastos de personal del nuevo ministerio</w:t>
      </w:r>
      <w:r w:rsidRPr="003E425B">
        <w:rPr>
          <w:rFonts w:ascii="Times New Roman" w:hAnsi="Times New Roman"/>
          <w:iCs/>
          <w:sz w:val="28"/>
          <w:lang w:val="es-ES" w:eastAsia="es-MX"/>
        </w:rPr>
        <w:t xml:space="preserve">. </w:t>
      </w:r>
      <w:r w:rsidRPr="003E425B">
        <w:rPr>
          <w:rFonts w:ascii="Times New Roman" w:hAnsi="Times New Roman"/>
          <w:sz w:val="28"/>
          <w:lang w:eastAsia="es-MX"/>
        </w:rPr>
        <w:t>Por el contrario, se reitera,</w:t>
      </w:r>
      <w:r w:rsidRPr="003E425B">
        <w:rPr>
          <w:rFonts w:ascii="Times New Roman" w:hAnsi="Times New Roman"/>
          <w:sz w:val="28"/>
          <w:lang w:eastAsia="es-MX"/>
        </w:rPr>
        <w:t xml:space="preserve"> el MHCP señaló que no era posible estimar el costo fiscal del nuevo ministerio. </w:t>
      </w:r>
    </w:p>
    <w:p w:rsidR="006800C7" w:rsidRPr="003E425B" w:rsidRDefault="003E425B" w:rsidP="006800C7">
      <w:pPr>
        <w:pStyle w:val="Prrafodelista"/>
        <w:spacing w:line="240" w:lineRule="auto"/>
        <w:ind w:left="0"/>
        <w:rPr>
          <w:rFonts w:ascii="Times New Roman" w:hAnsi="Times New Roman"/>
          <w:sz w:val="28"/>
          <w:lang w:eastAsia="es-MX"/>
        </w:rPr>
      </w:pPr>
    </w:p>
    <w:p w:rsidR="00CC32A2" w:rsidRPr="003E425B" w:rsidRDefault="003E425B" w:rsidP="00CC32A2">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Segundo</w:t>
      </w:r>
      <w:r w:rsidRPr="003E425B">
        <w:rPr>
          <w:rFonts w:ascii="Times New Roman" w:hAnsi="Times New Roman"/>
          <w:sz w:val="28"/>
          <w:lang w:eastAsia="es-MX"/>
        </w:rPr>
        <w:t xml:space="preserve">, </w:t>
      </w:r>
      <w:r w:rsidRPr="003E425B">
        <w:rPr>
          <w:rFonts w:ascii="Times New Roman" w:hAnsi="Times New Roman"/>
          <w:sz w:val="28"/>
          <w:lang w:eastAsia="es-MX"/>
        </w:rPr>
        <w:t>la</w:t>
      </w:r>
      <w:r w:rsidRPr="003E425B">
        <w:rPr>
          <w:rFonts w:ascii="Times New Roman" w:hAnsi="Times New Roman"/>
          <w:sz w:val="28"/>
          <w:lang w:eastAsia="es-MX"/>
        </w:rPr>
        <w:t xml:space="preserve"> estimación </w:t>
      </w:r>
      <w:r w:rsidRPr="003E425B">
        <w:rPr>
          <w:rFonts w:ascii="Times New Roman" w:hAnsi="Times New Roman"/>
          <w:sz w:val="28"/>
          <w:lang w:eastAsia="es-MX"/>
        </w:rPr>
        <w:t xml:space="preserve">que presentaron los ponentes </w:t>
      </w:r>
      <w:r w:rsidRPr="003E425B">
        <w:rPr>
          <w:rFonts w:ascii="Times New Roman" w:hAnsi="Times New Roman"/>
          <w:sz w:val="28"/>
          <w:lang w:eastAsia="es-MX"/>
        </w:rPr>
        <w:t xml:space="preserve">parecía </w:t>
      </w:r>
      <w:r w:rsidRPr="003E425B">
        <w:rPr>
          <w:rFonts w:ascii="Times New Roman" w:hAnsi="Times New Roman"/>
          <w:sz w:val="28"/>
          <w:lang w:eastAsia="es-MX"/>
        </w:rPr>
        <w:t>contrad</w:t>
      </w:r>
      <w:r w:rsidRPr="003E425B">
        <w:rPr>
          <w:rFonts w:ascii="Times New Roman" w:hAnsi="Times New Roman"/>
          <w:sz w:val="28"/>
          <w:lang w:eastAsia="es-MX"/>
        </w:rPr>
        <w:t xml:space="preserve">ecir </w:t>
      </w:r>
      <w:r w:rsidRPr="003E425B">
        <w:rPr>
          <w:rFonts w:ascii="Times New Roman" w:hAnsi="Times New Roman"/>
          <w:sz w:val="28"/>
          <w:lang w:eastAsia="es-MX"/>
        </w:rPr>
        <w:t>l</w:t>
      </w:r>
      <w:r w:rsidRPr="003E425B">
        <w:rPr>
          <w:rFonts w:ascii="Times New Roman" w:hAnsi="Times New Roman"/>
          <w:sz w:val="28"/>
          <w:lang w:eastAsia="es-MX"/>
        </w:rPr>
        <w:t>as últimas inte</w:t>
      </w:r>
      <w:r w:rsidRPr="003E425B">
        <w:rPr>
          <w:rFonts w:ascii="Times New Roman" w:hAnsi="Times New Roman"/>
          <w:sz w:val="28"/>
          <w:lang w:eastAsia="es-MX"/>
        </w:rPr>
        <w:t>rvenciones</w:t>
      </w:r>
      <w:r w:rsidRPr="003E425B">
        <w:rPr>
          <w:rFonts w:ascii="Times New Roman" w:hAnsi="Times New Roman"/>
          <w:sz w:val="28"/>
          <w:lang w:eastAsia="es-MX"/>
        </w:rPr>
        <w:t xml:space="preserve"> que presentó el Gobierno Nacional en el debate en la plenaria del Senado de la República. </w:t>
      </w:r>
      <w:r w:rsidRPr="003E425B">
        <w:rPr>
          <w:rFonts w:ascii="Times New Roman" w:hAnsi="Times New Roman"/>
          <w:sz w:val="28"/>
          <w:lang w:eastAsia="es-MX"/>
        </w:rPr>
        <w:t>La</w:t>
      </w:r>
      <w:r w:rsidRPr="003E425B">
        <w:rPr>
          <w:rFonts w:ascii="Times New Roman" w:hAnsi="Times New Roman"/>
          <w:sz w:val="28"/>
          <w:lang w:eastAsia="es-MX"/>
        </w:rPr>
        <w:t xml:space="preserve"> Sala </w:t>
      </w:r>
      <w:r w:rsidRPr="003E425B">
        <w:rPr>
          <w:rFonts w:ascii="Times New Roman" w:hAnsi="Times New Roman"/>
          <w:sz w:val="28"/>
          <w:lang w:eastAsia="es-MX"/>
        </w:rPr>
        <w:t xml:space="preserve">Plena </w:t>
      </w:r>
      <w:r w:rsidRPr="003E425B">
        <w:rPr>
          <w:rFonts w:ascii="Times New Roman" w:hAnsi="Times New Roman"/>
          <w:sz w:val="28"/>
          <w:lang w:eastAsia="es-MX"/>
        </w:rPr>
        <w:t xml:space="preserve">resalta que la última intervención del Gobierno Nacional </w:t>
      </w:r>
      <w:r w:rsidRPr="003E425B">
        <w:rPr>
          <w:rFonts w:ascii="Times New Roman" w:hAnsi="Times New Roman"/>
          <w:sz w:val="28"/>
          <w:lang w:eastAsia="es-MX"/>
        </w:rPr>
        <w:t>que se ref</w:t>
      </w:r>
      <w:r w:rsidRPr="003E425B">
        <w:rPr>
          <w:rFonts w:ascii="Times New Roman" w:hAnsi="Times New Roman"/>
          <w:sz w:val="28"/>
          <w:lang w:eastAsia="es-MX"/>
        </w:rPr>
        <w:t>irió</w:t>
      </w:r>
      <w:r w:rsidRPr="003E425B">
        <w:rPr>
          <w:rFonts w:ascii="Times New Roman" w:hAnsi="Times New Roman"/>
          <w:sz w:val="28"/>
          <w:lang w:eastAsia="es-MX"/>
        </w:rPr>
        <w:t xml:space="preserve"> a este punto </w:t>
      </w:r>
      <w:r w:rsidRPr="003E425B">
        <w:rPr>
          <w:rFonts w:ascii="Times New Roman" w:hAnsi="Times New Roman"/>
          <w:sz w:val="28"/>
          <w:lang w:eastAsia="es-MX"/>
        </w:rPr>
        <w:t xml:space="preserve">en el debate </w:t>
      </w:r>
      <w:r w:rsidRPr="003E425B">
        <w:rPr>
          <w:rFonts w:ascii="Times New Roman" w:hAnsi="Times New Roman"/>
          <w:sz w:val="28"/>
          <w:lang w:eastAsia="es-MX"/>
        </w:rPr>
        <w:t xml:space="preserve">en las plenaria </w:t>
      </w:r>
      <w:r w:rsidRPr="003E425B">
        <w:rPr>
          <w:rFonts w:ascii="Times New Roman" w:hAnsi="Times New Roman"/>
          <w:sz w:val="28"/>
          <w:lang w:eastAsia="es-MX"/>
        </w:rPr>
        <w:t xml:space="preserve">fue la que hizo el Ministro del Interior, el señor Hernando Alfonso Prada Gil. </w:t>
      </w:r>
      <w:r w:rsidRPr="003E425B">
        <w:rPr>
          <w:rFonts w:ascii="Times New Roman" w:hAnsi="Times New Roman"/>
          <w:sz w:val="28"/>
          <w:lang w:eastAsia="es-MX"/>
        </w:rPr>
        <w:t>E</w:t>
      </w:r>
      <w:r w:rsidRPr="003E425B">
        <w:rPr>
          <w:rFonts w:ascii="Times New Roman" w:hAnsi="Times New Roman"/>
          <w:sz w:val="28"/>
          <w:lang w:eastAsia="es-MX"/>
        </w:rPr>
        <w:t xml:space="preserve">l Ministro del Interior insistió, como lo había advertido el MHCP, que no era posible estimar el costo del nuevo </w:t>
      </w:r>
      <w:r w:rsidRPr="003E425B">
        <w:rPr>
          <w:rFonts w:ascii="Times New Roman" w:hAnsi="Times New Roman"/>
          <w:sz w:val="28"/>
          <w:lang w:eastAsia="es-MX"/>
        </w:rPr>
        <w:t>m</w:t>
      </w:r>
      <w:r w:rsidRPr="003E425B">
        <w:rPr>
          <w:rFonts w:ascii="Times New Roman" w:hAnsi="Times New Roman"/>
          <w:sz w:val="28"/>
          <w:lang w:eastAsia="es-MX"/>
        </w:rPr>
        <w:t>inisterio y que la viabilidad financiera se estudiaría en el f</w:t>
      </w:r>
      <w:r w:rsidRPr="003E425B">
        <w:rPr>
          <w:rFonts w:ascii="Times New Roman" w:hAnsi="Times New Roman"/>
          <w:sz w:val="28"/>
          <w:lang w:eastAsia="es-MX"/>
        </w:rPr>
        <w:t xml:space="preserve">uturo, en el marco de las normas con fuerza de ley que expidiera el Presidente de la República en ejercicio de las facultades extraordinarias. </w:t>
      </w:r>
      <w:r w:rsidRPr="003E425B">
        <w:rPr>
          <w:rFonts w:ascii="Times New Roman" w:hAnsi="Times New Roman"/>
          <w:sz w:val="28"/>
          <w:lang w:eastAsia="es-MX"/>
        </w:rPr>
        <w:t>Esta afirmación contradecía</w:t>
      </w:r>
      <w:r w:rsidRPr="003E425B">
        <w:rPr>
          <w:rFonts w:ascii="Times New Roman" w:hAnsi="Times New Roman"/>
          <w:sz w:val="28"/>
          <w:lang w:eastAsia="es-MX"/>
        </w:rPr>
        <w:t xml:space="preserve">, </w:t>
      </w:r>
      <w:r w:rsidRPr="003E425B">
        <w:rPr>
          <w:rFonts w:ascii="Times New Roman" w:hAnsi="Times New Roman"/>
          <w:sz w:val="28"/>
          <w:lang w:eastAsia="es-MX"/>
        </w:rPr>
        <w:t xml:space="preserve">o por lo menos ponía en duda </w:t>
      </w:r>
      <w:r w:rsidRPr="003E425B">
        <w:rPr>
          <w:rFonts w:ascii="Times New Roman" w:hAnsi="Times New Roman"/>
          <w:sz w:val="28"/>
          <w:lang w:eastAsia="es-MX"/>
        </w:rPr>
        <w:t xml:space="preserve">el fundamento </w:t>
      </w:r>
      <w:r w:rsidRPr="003E425B">
        <w:rPr>
          <w:rFonts w:ascii="Times New Roman" w:hAnsi="Times New Roman"/>
          <w:sz w:val="28"/>
          <w:lang w:eastAsia="es-MX"/>
        </w:rPr>
        <w:t>la estimación de 18.000 millones que efec</w:t>
      </w:r>
      <w:r w:rsidRPr="003E425B">
        <w:rPr>
          <w:rFonts w:ascii="Times New Roman" w:hAnsi="Times New Roman"/>
          <w:sz w:val="28"/>
          <w:lang w:eastAsia="es-MX"/>
        </w:rPr>
        <w:t xml:space="preserve">tuaron los ponentes o, por lo menos, confirma que su </w:t>
      </w:r>
      <w:r w:rsidRPr="003E425B">
        <w:rPr>
          <w:rFonts w:ascii="Times New Roman" w:hAnsi="Times New Roman"/>
          <w:sz w:val="28"/>
          <w:lang w:eastAsia="es-MX"/>
        </w:rPr>
        <w:t xml:space="preserve">sustento </w:t>
      </w:r>
      <w:r w:rsidRPr="003E425B">
        <w:rPr>
          <w:rFonts w:ascii="Times New Roman" w:hAnsi="Times New Roman"/>
          <w:sz w:val="28"/>
          <w:lang w:eastAsia="es-MX"/>
        </w:rPr>
        <w:t xml:space="preserve">no era claro. </w:t>
      </w:r>
      <w:r w:rsidRPr="003E425B">
        <w:rPr>
          <w:rFonts w:ascii="Times New Roman" w:hAnsi="Times New Roman"/>
          <w:sz w:val="28"/>
          <w:lang w:eastAsia="es-MX"/>
        </w:rPr>
        <w:t xml:space="preserve">Asimismo, </w:t>
      </w:r>
      <w:r w:rsidRPr="003E425B">
        <w:rPr>
          <w:rFonts w:ascii="Times New Roman" w:hAnsi="Times New Roman"/>
          <w:sz w:val="28"/>
          <w:lang w:eastAsia="es-MX"/>
        </w:rPr>
        <w:t>la Sala resalta que e</w:t>
      </w:r>
      <w:r w:rsidRPr="003E425B">
        <w:rPr>
          <w:rFonts w:ascii="Times New Roman" w:hAnsi="Times New Roman"/>
          <w:sz w:val="28"/>
          <w:lang w:eastAsia="es-MX"/>
        </w:rPr>
        <w:t xml:space="preserve">sta intervención </w:t>
      </w:r>
      <w:r w:rsidRPr="003E425B">
        <w:rPr>
          <w:rFonts w:ascii="Times New Roman" w:hAnsi="Times New Roman"/>
          <w:sz w:val="28"/>
          <w:lang w:eastAsia="es-MX"/>
        </w:rPr>
        <w:t>confirma la incertidumbre</w:t>
      </w:r>
      <w:r w:rsidRPr="003E425B">
        <w:rPr>
          <w:rFonts w:ascii="Times New Roman" w:hAnsi="Times New Roman"/>
          <w:sz w:val="28"/>
          <w:lang w:eastAsia="es-MX"/>
        </w:rPr>
        <w:t xml:space="preserve"> que existía</w:t>
      </w:r>
      <w:r w:rsidRPr="003E425B">
        <w:rPr>
          <w:rFonts w:ascii="Times New Roman" w:hAnsi="Times New Roman"/>
          <w:sz w:val="28"/>
          <w:lang w:eastAsia="es-MX"/>
        </w:rPr>
        <w:t xml:space="preserve"> en relación con alcance de la entidad que se estaba </w:t>
      </w:r>
      <w:r w:rsidRPr="003E425B">
        <w:rPr>
          <w:rFonts w:ascii="Times New Roman" w:hAnsi="Times New Roman"/>
          <w:sz w:val="28"/>
          <w:lang w:eastAsia="es-MX"/>
        </w:rPr>
        <w:t xml:space="preserve">aprobando </w:t>
      </w:r>
      <w:r w:rsidRPr="003E425B">
        <w:rPr>
          <w:rFonts w:ascii="Times New Roman" w:hAnsi="Times New Roman"/>
          <w:sz w:val="28"/>
          <w:lang w:eastAsia="es-MX"/>
        </w:rPr>
        <w:t>lo que impedía</w:t>
      </w:r>
      <w:r w:rsidRPr="003E425B">
        <w:rPr>
          <w:rFonts w:ascii="Times New Roman" w:hAnsi="Times New Roman"/>
          <w:sz w:val="28"/>
          <w:lang w:eastAsia="es-MX"/>
        </w:rPr>
        <w:t>, naturalmente,</w:t>
      </w:r>
      <w:r w:rsidRPr="003E425B">
        <w:rPr>
          <w:rFonts w:ascii="Times New Roman" w:hAnsi="Times New Roman"/>
          <w:sz w:val="28"/>
          <w:lang w:eastAsia="es-MX"/>
        </w:rPr>
        <w:t xml:space="preserve"> </w:t>
      </w:r>
      <w:r w:rsidRPr="003E425B">
        <w:rPr>
          <w:rFonts w:ascii="Times New Roman" w:hAnsi="Times New Roman"/>
          <w:sz w:val="28"/>
          <w:lang w:eastAsia="es-MX"/>
        </w:rPr>
        <w:t>co</w:t>
      </w:r>
      <w:r w:rsidRPr="003E425B">
        <w:rPr>
          <w:rFonts w:ascii="Times New Roman" w:hAnsi="Times New Roman"/>
          <w:sz w:val="28"/>
          <w:lang w:eastAsia="es-MX"/>
        </w:rPr>
        <w:t xml:space="preserve">mprender </w:t>
      </w:r>
      <w:r w:rsidRPr="003E425B">
        <w:rPr>
          <w:rFonts w:ascii="Times New Roman" w:hAnsi="Times New Roman"/>
          <w:sz w:val="28"/>
          <w:lang w:eastAsia="es-MX"/>
        </w:rPr>
        <w:t>su incidencia fiscal</w:t>
      </w:r>
      <w:r w:rsidRPr="003E425B">
        <w:rPr>
          <w:rFonts w:ascii="Times New Roman" w:hAnsi="Times New Roman"/>
          <w:sz w:val="28"/>
          <w:lang w:eastAsia="es-MX"/>
        </w:rPr>
        <w:t>. Esto, porque</w:t>
      </w:r>
      <w:r w:rsidRPr="003E425B">
        <w:rPr>
          <w:rFonts w:ascii="Times New Roman" w:hAnsi="Times New Roman"/>
          <w:sz w:val="28"/>
          <w:lang w:eastAsia="es-MX"/>
        </w:rPr>
        <w:t xml:space="preserve"> para ese momento </w:t>
      </w:r>
      <w:r w:rsidRPr="003E425B">
        <w:rPr>
          <w:rFonts w:ascii="Times New Roman" w:hAnsi="Times New Roman"/>
          <w:sz w:val="28"/>
          <w:lang w:eastAsia="es-MX"/>
        </w:rPr>
        <w:t>del trámite legislativo (debate en plenaria)</w:t>
      </w:r>
      <w:r w:rsidRPr="003E425B">
        <w:rPr>
          <w:rFonts w:ascii="Times New Roman" w:hAnsi="Times New Roman"/>
          <w:sz w:val="28"/>
          <w:lang w:eastAsia="es-MX"/>
        </w:rPr>
        <w:t xml:space="preserve">, el articulado del proyecto de ley, que fue finalmente aprobado, </w:t>
      </w:r>
      <w:r w:rsidRPr="003E425B">
        <w:rPr>
          <w:rFonts w:ascii="Times New Roman" w:hAnsi="Times New Roman"/>
          <w:i/>
          <w:iCs/>
          <w:sz w:val="28"/>
          <w:lang w:eastAsia="es-MX"/>
        </w:rPr>
        <w:t>(i)</w:t>
      </w:r>
      <w:r w:rsidRPr="003E425B">
        <w:rPr>
          <w:rFonts w:ascii="Times New Roman" w:hAnsi="Times New Roman"/>
          <w:sz w:val="28"/>
          <w:lang w:eastAsia="es-MX"/>
        </w:rPr>
        <w:t xml:space="preserve"> ya definía la estructura orgánica del nuevo Ministerio y </w:t>
      </w:r>
      <w:r w:rsidRPr="003E425B">
        <w:rPr>
          <w:rFonts w:ascii="Times New Roman" w:hAnsi="Times New Roman"/>
          <w:i/>
          <w:iCs/>
          <w:sz w:val="28"/>
          <w:lang w:eastAsia="es-MX"/>
        </w:rPr>
        <w:t>(ii)</w:t>
      </w:r>
      <w:r w:rsidRPr="003E425B">
        <w:rPr>
          <w:rFonts w:ascii="Times New Roman" w:hAnsi="Times New Roman"/>
          <w:sz w:val="28"/>
          <w:lang w:eastAsia="es-MX"/>
        </w:rPr>
        <w:t xml:space="preserve"> sólo concedía facul</w:t>
      </w:r>
      <w:r w:rsidRPr="003E425B">
        <w:rPr>
          <w:rFonts w:ascii="Times New Roman" w:hAnsi="Times New Roman"/>
          <w:sz w:val="28"/>
          <w:lang w:eastAsia="es-MX"/>
        </w:rPr>
        <w:t xml:space="preserve">tades extraordinarias para integrar el </w:t>
      </w:r>
      <w:r w:rsidRPr="003E425B">
        <w:rPr>
          <w:rFonts w:ascii="Times New Roman" w:hAnsi="Times New Roman"/>
          <w:i/>
          <w:iCs/>
          <w:sz w:val="28"/>
          <w:lang w:eastAsia="es-MX"/>
        </w:rPr>
        <w:t>sector</w:t>
      </w:r>
      <w:r w:rsidRPr="003E425B">
        <w:rPr>
          <w:rFonts w:ascii="Times New Roman" w:hAnsi="Times New Roman"/>
          <w:sz w:val="28"/>
          <w:lang w:eastAsia="es-MX"/>
        </w:rPr>
        <w:t xml:space="preserve"> administrativo</w:t>
      </w:r>
      <w:r w:rsidRPr="003E425B">
        <w:rPr>
          <w:rFonts w:ascii="Times New Roman" w:hAnsi="Times New Roman"/>
          <w:sz w:val="28"/>
          <w:lang w:eastAsia="es-MX"/>
        </w:rPr>
        <w:t xml:space="preserve">, no para crear el ministerio ni para definir su estructura orgánica. </w:t>
      </w:r>
      <w:r w:rsidRPr="003E425B">
        <w:rPr>
          <w:rFonts w:ascii="Times New Roman" w:hAnsi="Times New Roman"/>
          <w:sz w:val="28"/>
          <w:lang w:eastAsia="es-MX"/>
        </w:rPr>
        <w:t>En tales</w:t>
      </w:r>
      <w:r w:rsidRPr="003E425B">
        <w:rPr>
          <w:rFonts w:ascii="Times New Roman" w:hAnsi="Times New Roman"/>
          <w:sz w:val="28"/>
          <w:lang w:eastAsia="es-MX"/>
        </w:rPr>
        <w:t xml:space="preserve"> términos,</w:t>
      </w:r>
      <w:r w:rsidRPr="003E425B">
        <w:rPr>
          <w:rFonts w:ascii="Times New Roman" w:hAnsi="Times New Roman"/>
          <w:sz w:val="28"/>
          <w:lang w:eastAsia="es-MX"/>
        </w:rPr>
        <w:t xml:space="preserve"> no era claro en qué medida el ejercicio de las facultades extraordinarias </w:t>
      </w:r>
      <w:r w:rsidRPr="003E425B">
        <w:rPr>
          <w:rFonts w:ascii="Times New Roman" w:hAnsi="Times New Roman"/>
          <w:sz w:val="28"/>
          <w:lang w:eastAsia="es-MX"/>
        </w:rPr>
        <w:t>por parte del Presidente de la Re</w:t>
      </w:r>
      <w:r w:rsidRPr="003E425B">
        <w:rPr>
          <w:rFonts w:ascii="Times New Roman" w:hAnsi="Times New Roman"/>
          <w:sz w:val="28"/>
          <w:lang w:eastAsia="es-MX"/>
        </w:rPr>
        <w:t xml:space="preserve">pública </w:t>
      </w:r>
      <w:r w:rsidRPr="003E425B">
        <w:rPr>
          <w:rFonts w:ascii="Times New Roman" w:hAnsi="Times New Roman"/>
          <w:sz w:val="28"/>
          <w:lang w:eastAsia="es-MX"/>
        </w:rPr>
        <w:t>podría impactar el costo fiscal al que ascendería la entrada en operación del ministerio.</w:t>
      </w:r>
      <w:r w:rsidRPr="003E425B">
        <w:rPr>
          <w:rFonts w:ascii="Times New Roman" w:hAnsi="Times New Roman"/>
          <w:sz w:val="28"/>
          <w:lang w:eastAsia="es-MX"/>
        </w:rPr>
        <w:t xml:space="preserve"> </w:t>
      </w:r>
    </w:p>
    <w:p w:rsidR="00CC32A2" w:rsidRPr="003E425B" w:rsidRDefault="003E425B" w:rsidP="00CC32A2">
      <w:pPr>
        <w:pStyle w:val="Prrafodelista"/>
        <w:spacing w:line="240" w:lineRule="auto"/>
        <w:ind w:left="0"/>
        <w:rPr>
          <w:rFonts w:ascii="Times New Roman" w:hAnsi="Times New Roman"/>
          <w:sz w:val="28"/>
          <w:lang w:eastAsia="es-MX"/>
        </w:rPr>
      </w:pPr>
    </w:p>
    <w:p w:rsidR="00CC32A2" w:rsidRPr="003E425B" w:rsidRDefault="003E425B" w:rsidP="00CC32A2">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La Sala Plena </w:t>
      </w:r>
      <w:r w:rsidRPr="003E425B">
        <w:rPr>
          <w:rFonts w:ascii="Times New Roman" w:hAnsi="Times New Roman"/>
          <w:sz w:val="28"/>
          <w:lang w:eastAsia="es-MX"/>
        </w:rPr>
        <w:t>reconoce</w:t>
      </w:r>
      <w:r w:rsidRPr="003E425B">
        <w:rPr>
          <w:rFonts w:ascii="Times New Roman" w:hAnsi="Times New Roman"/>
          <w:sz w:val="28"/>
          <w:lang w:eastAsia="es-MX"/>
        </w:rPr>
        <w:t xml:space="preserve"> que la obligación de llevar a cabo el análisis de impacto fiscal es de naturaleza procesal-deliberativa</w:t>
      </w:r>
      <w:r w:rsidRPr="003E425B">
        <w:rPr>
          <w:rFonts w:ascii="Times New Roman" w:hAnsi="Times New Roman"/>
          <w:sz w:val="28"/>
          <w:lang w:eastAsia="es-MX"/>
        </w:rPr>
        <w:t>, no sustantiva</w:t>
      </w:r>
      <w:r w:rsidRPr="003E425B">
        <w:rPr>
          <w:rFonts w:ascii="Times New Roman" w:hAnsi="Times New Roman"/>
          <w:sz w:val="28"/>
          <w:lang w:eastAsia="es-MX"/>
        </w:rPr>
        <w:t>.</w:t>
      </w:r>
      <w:r w:rsidRPr="003E425B">
        <w:rPr>
          <w:rFonts w:ascii="Times New Roman" w:hAnsi="Times New Roman"/>
          <w:sz w:val="28"/>
          <w:lang w:eastAsia="es-MX"/>
        </w:rPr>
        <w:t xml:space="preserve"> Sin embargo, </w:t>
      </w:r>
      <w:r w:rsidRPr="003E425B">
        <w:rPr>
          <w:rFonts w:ascii="Times New Roman" w:hAnsi="Times New Roman"/>
          <w:sz w:val="28"/>
          <w:lang w:eastAsia="es-MX"/>
        </w:rPr>
        <w:t xml:space="preserve">de </w:t>
      </w:r>
      <w:r w:rsidRPr="003E425B">
        <w:rPr>
          <w:rFonts w:ascii="Times New Roman" w:hAnsi="Times New Roman"/>
          <w:sz w:val="28"/>
          <w:lang w:eastAsia="es-MX"/>
        </w:rPr>
        <w:t xml:space="preserve">acuerdo con la jurisprudencia constitucional, </w:t>
      </w:r>
      <w:r w:rsidRPr="003E425B">
        <w:rPr>
          <w:rFonts w:ascii="Times New Roman" w:hAnsi="Times New Roman"/>
          <w:sz w:val="28"/>
          <w:lang w:eastAsia="es-MX"/>
        </w:rPr>
        <w:t xml:space="preserve">la Corte debe constatar que </w:t>
      </w:r>
      <w:r w:rsidRPr="003E425B">
        <w:rPr>
          <w:rFonts w:ascii="Times New Roman" w:hAnsi="Times New Roman"/>
          <w:sz w:val="28"/>
          <w:lang w:eastAsia="es-MX"/>
        </w:rPr>
        <w:t>las estimaciones</w:t>
      </w:r>
      <w:r w:rsidRPr="003E425B">
        <w:rPr>
          <w:rFonts w:ascii="Times New Roman" w:hAnsi="Times New Roman"/>
          <w:sz w:val="28"/>
          <w:lang w:eastAsia="es-MX"/>
        </w:rPr>
        <w:t xml:space="preserve">, a pesar de que no deben ser exactas, estén, por lo menos, </w:t>
      </w:r>
      <w:r w:rsidRPr="003E425B">
        <w:rPr>
          <w:rFonts w:ascii="Times New Roman" w:hAnsi="Times New Roman"/>
          <w:sz w:val="28"/>
          <w:lang w:eastAsia="es-MX"/>
        </w:rPr>
        <w:t>mínimamente fundadas y</w:t>
      </w:r>
      <w:r w:rsidRPr="003E425B">
        <w:rPr>
          <w:rFonts w:ascii="Times New Roman" w:hAnsi="Times New Roman"/>
          <w:sz w:val="28"/>
          <w:lang w:eastAsia="es-MX"/>
        </w:rPr>
        <w:t xml:space="preserve"> sean</w:t>
      </w:r>
      <w:r w:rsidRPr="003E425B">
        <w:rPr>
          <w:rFonts w:ascii="Times New Roman" w:hAnsi="Times New Roman"/>
          <w:sz w:val="28"/>
          <w:lang w:eastAsia="es-MX"/>
        </w:rPr>
        <w:t xml:space="preserve"> claras. De lo contrario, </w:t>
      </w:r>
      <w:r w:rsidRPr="003E425B">
        <w:rPr>
          <w:rFonts w:ascii="Times New Roman" w:hAnsi="Times New Roman"/>
          <w:sz w:val="28"/>
          <w:lang w:eastAsia="es-MX"/>
        </w:rPr>
        <w:t>la obligación de llevar a cabo el análisis de impa</w:t>
      </w:r>
      <w:r w:rsidRPr="003E425B">
        <w:rPr>
          <w:rFonts w:ascii="Times New Roman" w:hAnsi="Times New Roman"/>
          <w:sz w:val="28"/>
          <w:lang w:eastAsia="es-MX"/>
        </w:rPr>
        <w:t xml:space="preserve">cto fiscal se convertiría en una mera formalidad que difícilmente podría contribuir a alcanzar las finalidades que el legislador orgánico persiguió con la expedición de la Ley 819 de 2003. </w:t>
      </w:r>
      <w:r w:rsidRPr="003E425B">
        <w:rPr>
          <w:rFonts w:ascii="Times New Roman" w:hAnsi="Times New Roman"/>
          <w:sz w:val="28"/>
          <w:lang w:eastAsia="es-MX"/>
        </w:rPr>
        <w:t>En tales términos, al exigir que la estimación del costo fiscal ten</w:t>
      </w:r>
      <w:r w:rsidRPr="003E425B">
        <w:rPr>
          <w:rFonts w:ascii="Times New Roman" w:hAnsi="Times New Roman"/>
          <w:sz w:val="28"/>
          <w:lang w:eastAsia="es-MX"/>
        </w:rPr>
        <w:t>ga un mínimo fundamento técnico y no sea contradictoria, la Corte no está sustantivando la exigencia orgánica prevista en el artíc</w:t>
      </w:r>
      <w:r w:rsidRPr="003E425B">
        <w:rPr>
          <w:rFonts w:ascii="Times New Roman" w:hAnsi="Times New Roman"/>
          <w:sz w:val="28"/>
          <w:lang w:eastAsia="es-MX"/>
        </w:rPr>
        <w:t>u</w:t>
      </w:r>
      <w:r w:rsidRPr="003E425B">
        <w:rPr>
          <w:rFonts w:ascii="Times New Roman" w:hAnsi="Times New Roman"/>
          <w:sz w:val="28"/>
          <w:lang w:eastAsia="es-MX"/>
        </w:rPr>
        <w:t>lo 7º de la Ley 819 de 2003. Por el contrario, únicamente la está dotando de contenido, de modo que efectivamente funcione co</w:t>
      </w:r>
      <w:r w:rsidRPr="003E425B">
        <w:rPr>
          <w:rFonts w:ascii="Times New Roman" w:hAnsi="Times New Roman"/>
          <w:sz w:val="28"/>
          <w:lang w:eastAsia="es-MX"/>
        </w:rPr>
        <w:t>mo un instrumento de racionalización de la actividad del legislador y contribuya a disciplinar las finanzas pública</w:t>
      </w:r>
      <w:r w:rsidRPr="003E425B">
        <w:rPr>
          <w:rFonts w:ascii="Times New Roman" w:hAnsi="Times New Roman"/>
          <w:sz w:val="28"/>
          <w:lang w:eastAsia="es-MX"/>
        </w:rPr>
        <w:t>s</w:t>
      </w:r>
      <w:r w:rsidRPr="003E425B">
        <w:rPr>
          <w:rFonts w:ascii="Times New Roman" w:hAnsi="Times New Roman"/>
          <w:sz w:val="28"/>
          <w:lang w:eastAsia="es-MX"/>
        </w:rPr>
        <w:t xml:space="preserve">, salvaguardar la estabilidad macroeconómica, </w:t>
      </w:r>
      <w:r w:rsidRPr="003E425B">
        <w:rPr>
          <w:rFonts w:ascii="Times New Roman" w:hAnsi="Times New Roman"/>
          <w:sz w:val="28"/>
          <w:lang w:eastAsia="es-MX"/>
        </w:rPr>
        <w:t>fortalece</w:t>
      </w:r>
      <w:r w:rsidRPr="003E425B">
        <w:rPr>
          <w:rFonts w:ascii="Times New Roman" w:hAnsi="Times New Roman"/>
          <w:sz w:val="28"/>
          <w:lang w:eastAsia="es-MX"/>
        </w:rPr>
        <w:t xml:space="preserve">r la transparencia en el trámite legislativo y </w:t>
      </w:r>
      <w:r w:rsidRPr="003E425B">
        <w:rPr>
          <w:rFonts w:ascii="Times New Roman" w:hAnsi="Times New Roman"/>
          <w:sz w:val="28"/>
          <w:lang w:eastAsia="es-MX"/>
        </w:rPr>
        <w:t>garantizar la aplicación efectiva de l</w:t>
      </w:r>
      <w:r w:rsidRPr="003E425B">
        <w:rPr>
          <w:rFonts w:ascii="Times New Roman" w:hAnsi="Times New Roman"/>
          <w:sz w:val="28"/>
          <w:lang w:eastAsia="es-MX"/>
        </w:rPr>
        <w:t xml:space="preserve">as leyes. </w:t>
      </w:r>
    </w:p>
    <w:p w:rsidR="002860D7" w:rsidRPr="003E425B" w:rsidRDefault="003E425B" w:rsidP="00CC32A2">
      <w:pPr>
        <w:pStyle w:val="Prrafodelista"/>
        <w:spacing w:line="240" w:lineRule="auto"/>
        <w:ind w:left="0"/>
        <w:rPr>
          <w:rFonts w:ascii="Times New Roman" w:hAnsi="Times New Roman"/>
          <w:sz w:val="28"/>
          <w:lang w:eastAsia="es-MX"/>
        </w:rPr>
      </w:pPr>
    </w:p>
    <w:p w:rsidR="002860D7"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 xml:space="preserve">(ii) </w:t>
      </w:r>
      <w:r w:rsidRPr="003E425B">
        <w:rPr>
          <w:rFonts w:ascii="Times New Roman" w:hAnsi="Times New Roman"/>
          <w:sz w:val="28"/>
          <w:u w:val="single"/>
          <w:lang w:eastAsia="es-MX"/>
        </w:rPr>
        <w:t>Fuente sustitutiva</w:t>
      </w:r>
      <w:r w:rsidRPr="003E425B">
        <w:rPr>
          <w:rFonts w:ascii="Times New Roman" w:hAnsi="Times New Roman"/>
          <w:sz w:val="28"/>
          <w:lang w:eastAsia="es-MX"/>
        </w:rPr>
        <w:t xml:space="preserve">. </w:t>
      </w:r>
      <w:r w:rsidRPr="003E425B">
        <w:rPr>
          <w:rFonts w:ascii="Times New Roman" w:hAnsi="Times New Roman"/>
          <w:sz w:val="28"/>
          <w:lang w:eastAsia="es-MX"/>
        </w:rPr>
        <w:t>El Gobierno Nacional, el MHCP y el Congreso de la República nunca identificaron, siquiera de forma mínima, la fuente de ingresos sustitutiva. Al margen de la incertidumbre y confusión sobre el costo fiscal de la iniciat</w:t>
      </w:r>
      <w:r w:rsidRPr="003E425B">
        <w:rPr>
          <w:rFonts w:ascii="Times New Roman" w:hAnsi="Times New Roman"/>
          <w:sz w:val="28"/>
          <w:lang w:eastAsia="es-MX"/>
        </w:rPr>
        <w:t xml:space="preserve">iva, tanto el Gobierno Nacional como el legislativo coincidían en que la creación del Ministerio de e Igualdad y Equidad tendría un costo fiscal. Pese a ello, nunca previeron </w:t>
      </w:r>
      <w:r w:rsidRPr="003E425B">
        <w:rPr>
          <w:rFonts w:ascii="Times New Roman" w:hAnsi="Times New Roman"/>
          <w:sz w:val="28"/>
          <w:lang w:eastAsia="es-MX"/>
        </w:rPr>
        <w:t xml:space="preserve">o debatieron sobre </w:t>
      </w:r>
      <w:r w:rsidRPr="003E425B">
        <w:rPr>
          <w:rFonts w:ascii="Times New Roman" w:hAnsi="Times New Roman"/>
          <w:sz w:val="28"/>
          <w:lang w:eastAsia="es-MX"/>
        </w:rPr>
        <w:t xml:space="preserve">los recursos que se </w:t>
      </w:r>
      <w:r w:rsidRPr="003E425B">
        <w:rPr>
          <w:rFonts w:ascii="Times New Roman" w:hAnsi="Times New Roman"/>
          <w:sz w:val="28"/>
          <w:lang w:eastAsia="es-MX"/>
        </w:rPr>
        <w:t xml:space="preserve">destinarían </w:t>
      </w:r>
      <w:r w:rsidRPr="003E425B">
        <w:rPr>
          <w:rFonts w:ascii="Times New Roman" w:hAnsi="Times New Roman"/>
          <w:sz w:val="28"/>
          <w:lang w:eastAsia="es-MX"/>
        </w:rPr>
        <w:t xml:space="preserve">para </w:t>
      </w:r>
      <w:r w:rsidRPr="003E425B">
        <w:rPr>
          <w:rFonts w:ascii="Times New Roman" w:hAnsi="Times New Roman"/>
          <w:sz w:val="28"/>
          <w:lang w:eastAsia="es-MX"/>
        </w:rPr>
        <w:t>financiar</w:t>
      </w:r>
      <w:r w:rsidRPr="003E425B">
        <w:rPr>
          <w:rFonts w:ascii="Times New Roman" w:hAnsi="Times New Roman"/>
          <w:sz w:val="28"/>
          <w:lang w:eastAsia="es-MX"/>
        </w:rPr>
        <w:t xml:space="preserve"> dicho costo.</w:t>
      </w:r>
      <w:r w:rsidRPr="003E425B">
        <w:rPr>
          <w:rFonts w:ascii="Times New Roman" w:hAnsi="Times New Roman"/>
          <w:sz w:val="28"/>
          <w:lang w:eastAsia="es-MX"/>
        </w:rPr>
        <w:t xml:space="preserve"> La</w:t>
      </w:r>
      <w:r w:rsidRPr="003E425B">
        <w:rPr>
          <w:rFonts w:ascii="Times New Roman" w:hAnsi="Times New Roman"/>
          <w:sz w:val="28"/>
          <w:lang w:eastAsia="es-MX"/>
        </w:rPr>
        <w:t xml:space="preserve"> Sala </w:t>
      </w:r>
      <w:r w:rsidRPr="003E425B">
        <w:rPr>
          <w:rFonts w:ascii="Times New Roman" w:hAnsi="Times New Roman"/>
          <w:sz w:val="28"/>
          <w:lang w:eastAsia="es-MX"/>
        </w:rPr>
        <w:t xml:space="preserve">Plena </w:t>
      </w:r>
      <w:r w:rsidRPr="003E425B">
        <w:rPr>
          <w:rFonts w:ascii="Times New Roman" w:hAnsi="Times New Roman"/>
          <w:sz w:val="28"/>
          <w:lang w:eastAsia="es-MX"/>
        </w:rPr>
        <w:t xml:space="preserve">reconoce que el Gobierno Nacional, el MCHP y algunos congresistas </w:t>
      </w:r>
      <w:r w:rsidRPr="003E425B">
        <w:rPr>
          <w:rFonts w:ascii="Times New Roman" w:hAnsi="Times New Roman"/>
          <w:sz w:val="28"/>
          <w:lang w:eastAsia="es-MX"/>
        </w:rPr>
        <w:t xml:space="preserve">señalaron que los recursos para financiar el ministerio provendrían del presupuesto General de la Nación. La Sala </w:t>
      </w:r>
      <w:r w:rsidRPr="003E425B">
        <w:rPr>
          <w:rFonts w:ascii="Times New Roman" w:hAnsi="Times New Roman"/>
          <w:sz w:val="28"/>
          <w:lang w:eastAsia="es-MX"/>
        </w:rPr>
        <w:t xml:space="preserve">Plena </w:t>
      </w:r>
      <w:r w:rsidRPr="003E425B">
        <w:rPr>
          <w:rFonts w:ascii="Times New Roman" w:hAnsi="Times New Roman"/>
          <w:sz w:val="28"/>
          <w:lang w:eastAsia="es-MX"/>
        </w:rPr>
        <w:t xml:space="preserve">reitera, </w:t>
      </w:r>
      <w:r w:rsidRPr="003E425B">
        <w:rPr>
          <w:rFonts w:ascii="Times New Roman" w:hAnsi="Times New Roman"/>
          <w:sz w:val="28"/>
          <w:lang w:eastAsia="es-MX"/>
        </w:rPr>
        <w:t>no obstante</w:t>
      </w:r>
      <w:r w:rsidRPr="003E425B">
        <w:rPr>
          <w:rFonts w:ascii="Times New Roman" w:hAnsi="Times New Roman"/>
          <w:sz w:val="28"/>
          <w:lang w:eastAsia="es-MX"/>
        </w:rPr>
        <w:t>, que</w:t>
      </w:r>
      <w:r w:rsidRPr="003E425B">
        <w:rPr>
          <w:rFonts w:ascii="Times New Roman" w:hAnsi="Times New Roman"/>
          <w:sz w:val="28"/>
          <w:lang w:eastAsia="es-MX"/>
        </w:rPr>
        <w:t>,</w:t>
      </w:r>
      <w:r w:rsidRPr="003E425B">
        <w:rPr>
          <w:rFonts w:ascii="Times New Roman" w:hAnsi="Times New Roman"/>
          <w:sz w:val="28"/>
          <w:lang w:eastAsia="es-MX"/>
        </w:rPr>
        <w:t xml:space="preserve"> conforme a la jurisprudencia constitucional, el Presupuesto General de la Nación no es una fuente de ingresos sustitutiva. </w:t>
      </w:r>
    </w:p>
    <w:p w:rsidR="002860D7" w:rsidRPr="003E425B" w:rsidRDefault="003E425B" w:rsidP="00010108">
      <w:pPr>
        <w:rPr>
          <w:rFonts w:ascii="Times New Roman" w:hAnsi="Times New Roman" w:cs="Times New Roman"/>
          <w:sz w:val="28"/>
          <w:lang w:eastAsia="es-MX"/>
        </w:rPr>
      </w:pPr>
    </w:p>
    <w:p w:rsidR="00C02F4C"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En síntesis, la Sala Plena reafirma que, conforme a la Constitución y la Ley 819 de 2003, el análisis de impacto fiscal constituye</w:t>
      </w:r>
      <w:r w:rsidRPr="003E425B">
        <w:rPr>
          <w:rFonts w:ascii="Times New Roman" w:hAnsi="Times New Roman"/>
          <w:sz w:val="28"/>
          <w:lang w:eastAsia="es-MX"/>
        </w:rPr>
        <w:t xml:space="preserve"> un importante instrumento de racionalización de la actividad legislativa, que busca salvaguardar la estabilidad </w:t>
      </w:r>
      <w:r w:rsidRPr="003E425B">
        <w:rPr>
          <w:rFonts w:ascii="Times New Roman" w:hAnsi="Times New Roman"/>
          <w:sz w:val="28"/>
          <w:lang w:eastAsia="es-MX"/>
        </w:rPr>
        <w:t>macroeconómica, ordenar las finanzas públicas, fortalecer el control ciudadano sobre las decisiones de gasto público y garantizar la aplicación</w:t>
      </w:r>
      <w:r w:rsidRPr="003E425B">
        <w:rPr>
          <w:rFonts w:ascii="Times New Roman" w:hAnsi="Times New Roman"/>
          <w:sz w:val="28"/>
          <w:lang w:eastAsia="es-MX"/>
        </w:rPr>
        <w:t xml:space="preserve"> efectiva de las leyes. </w:t>
      </w:r>
      <w:r w:rsidRPr="003E425B">
        <w:rPr>
          <w:rFonts w:ascii="Times New Roman" w:hAnsi="Times New Roman"/>
          <w:sz w:val="28"/>
          <w:lang w:eastAsia="es-MX"/>
        </w:rPr>
        <w:t>L</w:t>
      </w:r>
      <w:r w:rsidRPr="003E425B">
        <w:rPr>
          <w:rFonts w:ascii="Times New Roman" w:hAnsi="Times New Roman"/>
          <w:sz w:val="28"/>
          <w:lang w:eastAsia="es-MX"/>
        </w:rPr>
        <w:t xml:space="preserve">a aprobación de normas que crean nuevos organismos de la administración pública nacional, sin consideración al impacto fiscal que causan, compromete </w:t>
      </w:r>
      <w:r w:rsidRPr="003E425B">
        <w:rPr>
          <w:rFonts w:ascii="Times New Roman" w:hAnsi="Times New Roman"/>
          <w:sz w:val="28"/>
          <w:lang w:eastAsia="es-MX"/>
        </w:rPr>
        <w:t>el criterio de</w:t>
      </w:r>
      <w:r w:rsidRPr="003E425B">
        <w:rPr>
          <w:rFonts w:ascii="Times New Roman" w:hAnsi="Times New Roman"/>
          <w:sz w:val="28"/>
          <w:lang w:eastAsia="es-MX"/>
        </w:rPr>
        <w:t xml:space="preserve"> sostenibilidad fiscal previsto en el artículo 334 de la Constitució</w:t>
      </w:r>
      <w:r w:rsidRPr="003E425B">
        <w:rPr>
          <w:rFonts w:ascii="Times New Roman" w:hAnsi="Times New Roman"/>
          <w:sz w:val="28"/>
          <w:lang w:eastAsia="es-MX"/>
        </w:rPr>
        <w:t>n Política. En este caso, el examen global del trámite de aprobación legislativa de la Ley</w:t>
      </w:r>
      <w:r w:rsidRPr="003E425B">
        <w:rPr>
          <w:rFonts w:ascii="Times New Roman" w:hAnsi="Times New Roman"/>
          <w:sz w:val="28"/>
          <w:lang w:eastAsia="es-MX"/>
        </w:rPr>
        <w:t xml:space="preserve"> 2281 de 2023 evidencia que el Gobierno Nacional propuso la creación de un nuevo ministerio, y el Congreso de la República aprobó tal iniciativa, a pesar de que nunca</w:t>
      </w:r>
      <w:r w:rsidRPr="003E425B">
        <w:rPr>
          <w:rFonts w:ascii="Times New Roman" w:hAnsi="Times New Roman"/>
          <w:sz w:val="28"/>
          <w:lang w:eastAsia="es-MX"/>
        </w:rPr>
        <w:t xml:space="preserve"> contaron con</w:t>
      </w:r>
      <w:r w:rsidRPr="003E425B">
        <w:rPr>
          <w:rFonts w:ascii="Times New Roman" w:hAnsi="Times New Roman"/>
          <w:sz w:val="28"/>
          <w:lang w:eastAsia="es-MX"/>
        </w:rPr>
        <w:t xml:space="preserve"> </w:t>
      </w:r>
      <w:r w:rsidRPr="003E425B">
        <w:rPr>
          <w:rFonts w:ascii="Times New Roman" w:hAnsi="Times New Roman"/>
          <w:i/>
          <w:iCs/>
          <w:sz w:val="28"/>
          <w:lang w:eastAsia="es-MX"/>
        </w:rPr>
        <w:t>(i)</w:t>
      </w:r>
      <w:r w:rsidRPr="003E425B">
        <w:rPr>
          <w:rFonts w:ascii="Times New Roman" w:hAnsi="Times New Roman"/>
          <w:sz w:val="28"/>
          <w:lang w:eastAsia="es-MX"/>
        </w:rPr>
        <w:t xml:space="preserve"> el concepto del MHCP sobre su viabilidad financiera</w:t>
      </w:r>
      <w:r w:rsidRPr="003E425B">
        <w:rPr>
          <w:rFonts w:ascii="Times New Roman" w:hAnsi="Times New Roman"/>
          <w:sz w:val="28"/>
          <w:lang w:eastAsia="es-MX"/>
        </w:rPr>
        <w:t>, conforme a las exigencias previstas en el artí</w:t>
      </w:r>
      <w:r w:rsidRPr="003E425B">
        <w:rPr>
          <w:rFonts w:ascii="Times New Roman" w:hAnsi="Times New Roman"/>
          <w:sz w:val="28"/>
          <w:lang w:eastAsia="es-MX"/>
        </w:rPr>
        <w:t>c</w:t>
      </w:r>
      <w:r w:rsidRPr="003E425B">
        <w:rPr>
          <w:rFonts w:ascii="Times New Roman" w:hAnsi="Times New Roman"/>
          <w:sz w:val="28"/>
          <w:lang w:eastAsia="es-MX"/>
        </w:rPr>
        <w:t>ulo 7º de la Ley 819 de 2003</w:t>
      </w:r>
      <w:r w:rsidRPr="003E425B">
        <w:rPr>
          <w:rFonts w:ascii="Times New Roman" w:hAnsi="Times New Roman"/>
          <w:sz w:val="28"/>
          <w:lang w:eastAsia="es-MX"/>
        </w:rPr>
        <w:t xml:space="preserve"> </w:t>
      </w:r>
      <w:r w:rsidRPr="003E425B">
        <w:rPr>
          <w:rFonts w:ascii="Times New Roman" w:hAnsi="Times New Roman"/>
          <w:sz w:val="28"/>
          <w:lang w:eastAsia="es-MX"/>
        </w:rPr>
        <w:t>y</w:t>
      </w:r>
      <w:r w:rsidRPr="003E425B">
        <w:rPr>
          <w:rFonts w:ascii="Times New Roman" w:hAnsi="Times New Roman"/>
          <w:sz w:val="28"/>
          <w:lang w:eastAsia="es-MX"/>
        </w:rPr>
        <w:t xml:space="preserve"> </w:t>
      </w:r>
      <w:r w:rsidRPr="003E425B">
        <w:rPr>
          <w:rFonts w:ascii="Times New Roman" w:hAnsi="Times New Roman"/>
          <w:i/>
          <w:iCs/>
          <w:sz w:val="28"/>
          <w:lang w:eastAsia="es-MX"/>
        </w:rPr>
        <w:t>(ii)</w:t>
      </w:r>
      <w:r w:rsidRPr="003E425B">
        <w:rPr>
          <w:rFonts w:ascii="Times New Roman" w:hAnsi="Times New Roman"/>
          <w:sz w:val="28"/>
          <w:lang w:eastAsia="es-MX"/>
        </w:rPr>
        <w:t xml:space="preserve"> información </w:t>
      </w:r>
      <w:r w:rsidRPr="003E425B">
        <w:rPr>
          <w:rFonts w:ascii="Times New Roman" w:hAnsi="Times New Roman"/>
          <w:sz w:val="28"/>
          <w:lang w:eastAsia="es-MX"/>
        </w:rPr>
        <w:t xml:space="preserve">mínimamente </w:t>
      </w:r>
      <w:r w:rsidRPr="003E425B">
        <w:rPr>
          <w:rFonts w:ascii="Times New Roman" w:hAnsi="Times New Roman"/>
          <w:sz w:val="28"/>
          <w:lang w:eastAsia="es-MX"/>
        </w:rPr>
        <w:t xml:space="preserve">fundada </w:t>
      </w:r>
      <w:r w:rsidRPr="003E425B">
        <w:rPr>
          <w:rFonts w:ascii="Times New Roman" w:hAnsi="Times New Roman"/>
          <w:sz w:val="28"/>
          <w:lang w:eastAsia="es-MX"/>
        </w:rPr>
        <w:t>y c</w:t>
      </w:r>
      <w:r w:rsidRPr="003E425B">
        <w:rPr>
          <w:rFonts w:ascii="Times New Roman" w:hAnsi="Times New Roman"/>
          <w:sz w:val="28"/>
          <w:lang w:eastAsia="es-MX"/>
        </w:rPr>
        <w:t xml:space="preserve">oherente </w:t>
      </w:r>
      <w:r w:rsidRPr="003E425B">
        <w:rPr>
          <w:rFonts w:ascii="Times New Roman" w:hAnsi="Times New Roman"/>
          <w:sz w:val="28"/>
          <w:lang w:eastAsia="es-MX"/>
        </w:rPr>
        <w:t xml:space="preserve">sobre el costo fiscal de la </w:t>
      </w:r>
      <w:r w:rsidRPr="003E425B">
        <w:rPr>
          <w:rFonts w:ascii="Times New Roman" w:hAnsi="Times New Roman"/>
          <w:sz w:val="28"/>
          <w:lang w:eastAsia="es-MX"/>
        </w:rPr>
        <w:t>iniciativa</w:t>
      </w:r>
      <w:r w:rsidRPr="003E425B">
        <w:rPr>
          <w:rFonts w:ascii="Times New Roman" w:hAnsi="Times New Roman"/>
          <w:sz w:val="28"/>
          <w:lang w:eastAsia="es-MX"/>
        </w:rPr>
        <w:t xml:space="preserve"> y la fuente de ingr</w:t>
      </w:r>
      <w:r w:rsidRPr="003E425B">
        <w:rPr>
          <w:rFonts w:ascii="Times New Roman" w:hAnsi="Times New Roman"/>
          <w:sz w:val="28"/>
          <w:lang w:eastAsia="es-MX"/>
        </w:rPr>
        <w:t>esos sustitutiva para financiarla. Esto desconoce de forma clara y manifiesta el artículo 7º Ley 819 de 2003, así como el artículo 151 de la Constitución Política</w:t>
      </w:r>
      <w:r w:rsidRPr="003E425B">
        <w:rPr>
          <w:rFonts w:ascii="Times New Roman" w:hAnsi="Times New Roman"/>
          <w:sz w:val="28"/>
          <w:lang w:eastAsia="es-MX"/>
        </w:rPr>
        <w:t xml:space="preserve">, y conduce a la inexequibilidad de la </w:t>
      </w:r>
      <w:r w:rsidRPr="003E425B">
        <w:rPr>
          <w:rFonts w:ascii="Times New Roman" w:hAnsi="Times New Roman"/>
          <w:sz w:val="28"/>
          <w:lang w:eastAsia="es-MX"/>
        </w:rPr>
        <w:t>L</w:t>
      </w:r>
      <w:r w:rsidRPr="003E425B">
        <w:rPr>
          <w:rFonts w:ascii="Times New Roman" w:hAnsi="Times New Roman"/>
          <w:sz w:val="28"/>
          <w:lang w:eastAsia="es-MX"/>
        </w:rPr>
        <w:t>ey 2281 de 2023</w:t>
      </w:r>
      <w:r w:rsidRPr="003E425B">
        <w:rPr>
          <w:rStyle w:val="Refdenotaalpie"/>
          <w:rFonts w:ascii="Times New Roman" w:hAnsi="Times New Roman"/>
          <w:sz w:val="28"/>
          <w:lang w:eastAsia="es-MX"/>
        </w:rPr>
        <w:footnoteReference w:id="386"/>
      </w:r>
      <w:r w:rsidRPr="003E425B">
        <w:rPr>
          <w:rFonts w:ascii="Times New Roman" w:hAnsi="Times New Roman"/>
          <w:sz w:val="28"/>
          <w:lang w:eastAsia="es-MX"/>
        </w:rPr>
        <w:t xml:space="preserve">. </w:t>
      </w:r>
    </w:p>
    <w:p w:rsidR="00C02F4C"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Ttulo3"/>
        <w:numPr>
          <w:ilvl w:val="1"/>
          <w:numId w:val="37"/>
        </w:numPr>
        <w:ind w:hanging="650"/>
        <w:rPr>
          <w:rStyle w:val="Ttulo3Car"/>
          <w:rFonts w:cs="Times New Roman"/>
          <w:b/>
          <w:bCs/>
        </w:rPr>
      </w:pPr>
      <w:r w:rsidRPr="003E425B">
        <w:rPr>
          <w:rStyle w:val="Ttulo3Car"/>
          <w:rFonts w:cs="Times New Roman"/>
          <w:b/>
          <w:bCs/>
          <w:u w:val="single"/>
        </w:rPr>
        <w:t>Cargo tercero</w:t>
      </w:r>
      <w:r w:rsidRPr="003E425B">
        <w:rPr>
          <w:rStyle w:val="Ttulo3Car"/>
          <w:rFonts w:cs="Times New Roman"/>
          <w:b/>
          <w:bCs/>
        </w:rPr>
        <w:t xml:space="preserve">: presunto </w:t>
      </w:r>
      <w:r w:rsidRPr="003E425B">
        <w:rPr>
          <w:rStyle w:val="Ttulo3Car"/>
          <w:rFonts w:cs="Times New Roman"/>
          <w:b/>
          <w:bCs/>
        </w:rPr>
        <w:t>desconocimiento del numeral 10 del artículo 150 de la Constitución por incumplimiento del requisito de precisión en la concesión de facultades extraordinarias</w:t>
      </w:r>
      <w:r w:rsidRPr="003E425B">
        <w:rPr>
          <w:rStyle w:val="Refdenotaalpie"/>
          <w:rFonts w:ascii="Times New Roman" w:hAnsi="Times New Roman" w:cs="Times New Roman"/>
          <w:bCs/>
          <w:sz w:val="28"/>
        </w:rPr>
        <w:footnoteReference w:id="387"/>
      </w:r>
      <w:r w:rsidRPr="003E425B">
        <w:rPr>
          <w:rStyle w:val="Ttulo3Car"/>
          <w:rFonts w:cs="Times New Roman"/>
          <w:b/>
          <w:bCs/>
        </w:rPr>
        <w:t xml:space="preserve"> </w:t>
      </w:r>
    </w:p>
    <w:p w:rsidR="00832D81" w:rsidRPr="003E425B" w:rsidRDefault="003E425B" w:rsidP="00010108">
      <w:pPr>
        <w:rPr>
          <w:rFonts w:ascii="Times New Roman" w:hAnsi="Times New Roman" w:cs="Times New Roman"/>
          <w:sz w:val="28"/>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La demanda</w:t>
      </w:r>
      <w:r w:rsidRPr="003E425B">
        <w:rPr>
          <w:rFonts w:ascii="Times New Roman" w:hAnsi="Times New Roman"/>
          <w:color w:val="000000" w:themeColor="text1"/>
          <w:sz w:val="28"/>
        </w:rPr>
        <w:t>. Los demandantes sostienen que el artículo 12 de la Ley 2281 de 2023 vulnera el num</w:t>
      </w:r>
      <w:r w:rsidRPr="003E425B">
        <w:rPr>
          <w:rFonts w:ascii="Times New Roman" w:hAnsi="Times New Roman"/>
          <w:color w:val="000000" w:themeColor="text1"/>
          <w:sz w:val="28"/>
        </w:rPr>
        <w:t>eral 10 del artículo 150 de la Constitución, el cual dispone que las facultades extraordinarias que se concedan al Presidente de la República para expedir normas con fuerza de ley deben ser “precisas”. Sostienen</w:t>
      </w:r>
      <w:r w:rsidRPr="003E425B">
        <w:rPr>
          <w:rFonts w:ascii="Times New Roman" w:hAnsi="Times New Roman"/>
          <w:bCs/>
          <w:color w:val="000000" w:themeColor="text1"/>
          <w:sz w:val="28"/>
        </w:rPr>
        <w:t xml:space="preserve"> que el artículo 12 </w:t>
      </w:r>
      <w:r w:rsidRPr="003E425B">
        <w:rPr>
          <w:rFonts w:ascii="Times New Roman" w:hAnsi="Times New Roman"/>
          <w:color w:val="000000" w:themeColor="text1"/>
          <w:sz w:val="28"/>
        </w:rPr>
        <w:t xml:space="preserve">“equivale a otorgarle al </w:t>
      </w:r>
      <w:r w:rsidRPr="003E425B">
        <w:rPr>
          <w:rFonts w:ascii="Times New Roman" w:hAnsi="Times New Roman"/>
          <w:color w:val="000000" w:themeColor="text1"/>
          <w:sz w:val="28"/>
        </w:rPr>
        <w:t>primer mandatario una competencia ilimitada para reformar sin ningún tipo de límite la estructura de la administración nacional, toda vez que la integración de un nuevo sector administrativo no fue circunscrita por el legislador a unos parámetros materiale</w:t>
      </w:r>
      <w:r w:rsidRPr="003E425B">
        <w:rPr>
          <w:rFonts w:ascii="Times New Roman" w:hAnsi="Times New Roman"/>
          <w:color w:val="000000" w:themeColor="text1"/>
          <w:sz w:val="28"/>
        </w:rPr>
        <w:t>s claros dentro de los cuales puede actuar el primer mandatario”. A juicio de los demandantes, dado que el legislador no impuso ninguna limitación o criterio para la adscripción y vinculación de entidades al sector, el artículo 12 demandado habilita al Pre</w:t>
      </w:r>
      <w:r w:rsidRPr="003E425B">
        <w:rPr>
          <w:rFonts w:ascii="Times New Roman" w:hAnsi="Times New Roman"/>
          <w:color w:val="000000" w:themeColor="text1"/>
          <w:sz w:val="28"/>
        </w:rPr>
        <w:t>sidente de la República para “crear, suprimir o fusionar cuántas entidades quiera” y sin control alguno, lo cual es inconstitucional.</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Intervenciones</w:t>
      </w:r>
      <w:r w:rsidRPr="003E425B">
        <w:rPr>
          <w:rFonts w:ascii="Times New Roman" w:hAnsi="Times New Roman"/>
          <w:color w:val="000000" w:themeColor="text1"/>
          <w:sz w:val="28"/>
        </w:rPr>
        <w:t>. Diecinueve (19) intervinientes y la Procuradora General de la Nación solicitan a la Corte declarar la exe</w:t>
      </w:r>
      <w:r w:rsidRPr="003E425B">
        <w:rPr>
          <w:rFonts w:ascii="Times New Roman" w:hAnsi="Times New Roman"/>
          <w:color w:val="000000" w:themeColor="text1"/>
          <w:sz w:val="28"/>
        </w:rPr>
        <w:t>quibilidad del artículo 12 de la Ley 2281 de 2023. Consideran que las facultades extraordinarias otorgadas al Presidente de la República son claras y precisas, por tres razones principales. Primero, el objeto de la habilitación es específico dado que el ar</w:t>
      </w:r>
      <w:r w:rsidRPr="003E425B">
        <w:rPr>
          <w:rFonts w:ascii="Times New Roman" w:hAnsi="Times New Roman"/>
          <w:color w:val="000000" w:themeColor="text1"/>
          <w:sz w:val="28"/>
        </w:rPr>
        <w:t>tículo 12 demandado dispone de forma expresa que el Presidente de la República sólo puede llevar a cabo dos acciones: “vincular y adscribir” a las entidades necesarias para integrar el sector de igualdad y equidad</w:t>
      </w:r>
      <w:r w:rsidRPr="003E425B">
        <w:rPr>
          <w:rFonts w:ascii="Times New Roman" w:hAnsi="Times New Roman"/>
          <w:sz w:val="28"/>
          <w:vertAlign w:val="superscript"/>
        </w:rPr>
        <w:footnoteReference w:id="388"/>
      </w:r>
      <w:r w:rsidRPr="003E425B">
        <w:rPr>
          <w:rFonts w:ascii="Times New Roman" w:hAnsi="Times New Roman"/>
          <w:color w:val="000000" w:themeColor="text1"/>
          <w:sz w:val="28"/>
        </w:rPr>
        <w:t>. Segundo, argumentan que el alcance de la</w:t>
      </w:r>
      <w:r w:rsidRPr="003E425B">
        <w:rPr>
          <w:rFonts w:ascii="Times New Roman" w:hAnsi="Times New Roman"/>
          <w:color w:val="000000" w:themeColor="text1"/>
          <w:sz w:val="28"/>
        </w:rPr>
        <w:t xml:space="preserve"> habilitación es delimitable a partir de una interpretación sistemática del artículo 12 demandado con la Ley 489 de 1998 y la jurisprudencia constitucional, las cuales definen los conceptos de “sector administrativo”, “adscripción” y “vinculación”</w:t>
      </w:r>
      <w:r w:rsidRPr="003E425B">
        <w:rPr>
          <w:rStyle w:val="Refdenotaalpie"/>
          <w:rFonts w:ascii="Times New Roman" w:hAnsi="Times New Roman"/>
          <w:color w:val="000000" w:themeColor="text1"/>
          <w:sz w:val="28"/>
        </w:rPr>
        <w:footnoteReference w:id="389"/>
      </w:r>
      <w:r w:rsidRPr="003E425B">
        <w:rPr>
          <w:rFonts w:ascii="Times New Roman" w:hAnsi="Times New Roman"/>
          <w:color w:val="000000" w:themeColor="text1"/>
          <w:sz w:val="28"/>
        </w:rPr>
        <w:t>. Tercer</w:t>
      </w:r>
      <w:r w:rsidRPr="003E425B">
        <w:rPr>
          <w:rFonts w:ascii="Times New Roman" w:hAnsi="Times New Roman"/>
          <w:color w:val="000000" w:themeColor="text1"/>
          <w:sz w:val="28"/>
        </w:rPr>
        <w:t>o, aseguran que la jurisprudencia constitucional</w:t>
      </w:r>
      <w:r w:rsidRPr="003E425B">
        <w:rPr>
          <w:rFonts w:ascii="Times New Roman" w:hAnsi="Times New Roman"/>
          <w:sz w:val="28"/>
          <w:vertAlign w:val="superscript"/>
        </w:rPr>
        <w:footnoteReference w:id="390"/>
      </w:r>
      <w:r w:rsidRPr="003E425B">
        <w:rPr>
          <w:rFonts w:ascii="Times New Roman" w:hAnsi="Times New Roman"/>
          <w:color w:val="000000" w:themeColor="text1"/>
          <w:sz w:val="28"/>
        </w:rPr>
        <w:t xml:space="preserve"> ha señalado que el requisito de precisión de la habilitación no implica que el Congreso de la República deba definir de forma meticulosa el contenido de las facultades</w:t>
      </w:r>
      <w:r w:rsidRPr="003E425B">
        <w:rPr>
          <w:rFonts w:ascii="Times New Roman" w:hAnsi="Times New Roman"/>
          <w:sz w:val="28"/>
          <w:vertAlign w:val="superscript"/>
        </w:rPr>
        <w:footnoteReference w:id="391"/>
      </w:r>
      <w:r w:rsidRPr="003E425B">
        <w:rPr>
          <w:rFonts w:ascii="Times New Roman" w:hAnsi="Times New Roman"/>
          <w:color w:val="000000" w:themeColor="text1"/>
          <w:sz w:val="28"/>
        </w:rPr>
        <w:t xml:space="preserve">. Por el contrario, ha reconocido que </w:t>
      </w:r>
      <w:r w:rsidRPr="003E425B">
        <w:rPr>
          <w:rFonts w:ascii="Times New Roman" w:hAnsi="Times New Roman"/>
          <w:color w:val="000000" w:themeColor="text1"/>
          <w:sz w:val="28"/>
        </w:rPr>
        <w:t>la ley habilitante puede ser amplia y general</w:t>
      </w:r>
      <w:r w:rsidRPr="003E425B">
        <w:rPr>
          <w:rFonts w:ascii="Times New Roman" w:hAnsi="Times New Roman"/>
          <w:sz w:val="28"/>
          <w:vertAlign w:val="superscript"/>
        </w:rPr>
        <w:footnoteReference w:id="392"/>
      </w:r>
      <w:r w:rsidRPr="003E425B">
        <w:rPr>
          <w:rFonts w:ascii="Times New Roman" w:hAnsi="Times New Roman"/>
          <w:color w:val="000000" w:themeColor="text1"/>
          <w:sz w:val="28"/>
        </w:rPr>
        <w:t xml:space="preserve">. En tales términos, consideran que, en este caso, el Congreso de la República no estaba obligado a señalar de forma expresa las entidades que el Presidente de la República podía adscribir y vincular al Sector </w:t>
      </w:r>
      <w:r w:rsidRPr="003E425B">
        <w:rPr>
          <w:rFonts w:ascii="Times New Roman" w:hAnsi="Times New Roman"/>
          <w:color w:val="000000" w:themeColor="text1"/>
          <w:sz w:val="28"/>
        </w:rPr>
        <w:t>administrativo de Igualdad y Equidad. Por último, resaltan que, contrario a lo sostenido por los demandantes, la norma no habilitó al Presidente de la República para crear, modificar y/o fusionar entidades de la administración pública nacional, sino exclus</w:t>
      </w:r>
      <w:r w:rsidRPr="003E425B">
        <w:rPr>
          <w:rFonts w:ascii="Times New Roman" w:hAnsi="Times New Roman"/>
          <w:color w:val="000000" w:themeColor="text1"/>
          <w:sz w:val="28"/>
        </w:rPr>
        <w:t>ivamente para integrar el sector administrativo Igualdad y Equidad por medio de la adscripción y vinculación de entidades</w:t>
      </w:r>
      <w:r w:rsidRPr="003E425B">
        <w:rPr>
          <w:rFonts w:ascii="Times New Roman" w:hAnsi="Times New Roman"/>
          <w:sz w:val="28"/>
          <w:vertAlign w:val="superscript"/>
        </w:rPr>
        <w:footnoteReference w:id="393"/>
      </w:r>
      <w:r w:rsidRPr="003E425B">
        <w:rPr>
          <w:rFonts w:ascii="Times New Roman" w:hAnsi="Times New Roman"/>
          <w:color w:val="000000" w:themeColor="text1"/>
          <w:sz w:val="28"/>
        </w:rPr>
        <w:t>.</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Problema jurídico</w:t>
      </w:r>
      <w:r w:rsidRPr="003E425B">
        <w:rPr>
          <w:rFonts w:ascii="Times New Roman" w:hAnsi="Times New Roman"/>
          <w:color w:val="000000" w:themeColor="text1"/>
          <w:sz w:val="28"/>
        </w:rPr>
        <w:t xml:space="preserve">. En tales términos, la Sala Plena debe resolver el siguiente problema jurídico: </w:t>
      </w:r>
    </w:p>
    <w:p w:rsidR="00832D81" w:rsidRPr="003E425B" w:rsidRDefault="003E425B" w:rsidP="00010108">
      <w:pPr>
        <w:pStyle w:val="Prrafodelista"/>
        <w:spacing w:line="240" w:lineRule="auto"/>
        <w:rPr>
          <w:rFonts w:ascii="Times New Roman" w:hAnsi="Times New Roman"/>
          <w:color w:val="000000" w:themeColor="text1"/>
          <w:sz w:val="28"/>
        </w:rPr>
      </w:pPr>
    </w:p>
    <w:p w:rsidR="00832D81" w:rsidRPr="003E425B" w:rsidRDefault="003E425B" w:rsidP="00010108">
      <w:pPr>
        <w:pStyle w:val="Prrafodelista"/>
        <w:tabs>
          <w:tab w:val="left" w:pos="567"/>
        </w:tabs>
        <w:spacing w:line="240" w:lineRule="auto"/>
        <w:ind w:left="680" w:right="397"/>
        <w:rPr>
          <w:rFonts w:ascii="Times New Roman" w:hAnsi="Times New Roman"/>
          <w:color w:val="000000" w:themeColor="text1"/>
          <w:sz w:val="28"/>
        </w:rPr>
      </w:pPr>
      <w:r w:rsidRPr="003E425B">
        <w:rPr>
          <w:rFonts w:ascii="Times New Roman" w:hAnsi="Times New Roman"/>
          <w:color w:val="000000" w:themeColor="text1"/>
          <w:sz w:val="28"/>
        </w:rPr>
        <w:t xml:space="preserve">¿El artículo 12 de la Ley 2281 de 2023 vulnera </w:t>
      </w:r>
      <w:r w:rsidRPr="003E425B">
        <w:rPr>
          <w:rFonts w:ascii="Times New Roman" w:hAnsi="Times New Roman"/>
          <w:color w:val="000000" w:themeColor="text1"/>
          <w:sz w:val="28"/>
        </w:rPr>
        <w:t>e</w:t>
      </w:r>
      <w:r w:rsidRPr="003E425B">
        <w:rPr>
          <w:rFonts w:ascii="Times New Roman" w:hAnsi="Times New Roman"/>
          <w:color w:val="000000" w:themeColor="text1"/>
          <w:sz w:val="28"/>
        </w:rPr>
        <w:t>l numeral 10 del artículo 150 de la Constitución y, en particular, el requisito de precisión de la ley habilitante, al haber conferido facultades extraordinarias al Presidente de la República para “integrar a</w:t>
      </w:r>
      <w:r w:rsidRPr="003E425B">
        <w:rPr>
          <w:rFonts w:ascii="Times New Roman" w:hAnsi="Times New Roman"/>
          <w:color w:val="000000" w:themeColor="text1"/>
          <w:sz w:val="28"/>
        </w:rPr>
        <w:t>l Sector de Igualdad y Equidad con las entidades que defina como adscritas o vinculadas”?</w:t>
      </w:r>
    </w:p>
    <w:p w:rsidR="00832D81" w:rsidRPr="003E425B" w:rsidRDefault="003E425B" w:rsidP="00010108">
      <w:pPr>
        <w:rPr>
          <w:rFonts w:ascii="Times New Roman" w:hAnsi="Times New Roman" w:cs="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Metodología de decisión</w:t>
      </w:r>
      <w:r w:rsidRPr="003E425B">
        <w:rPr>
          <w:rFonts w:ascii="Times New Roman" w:hAnsi="Times New Roman"/>
          <w:color w:val="000000" w:themeColor="text1"/>
          <w:sz w:val="28"/>
        </w:rPr>
        <w:t xml:space="preserve">. Para resolver el problema jurídico, la Sala Plena seguirá la siguiente metodología. En primer lugar, se referirá a las condiciones procedimentales y límites que el numeral 10 del artículo 150 de la Constitución impone al Congreso de la República para la </w:t>
      </w:r>
      <w:r w:rsidRPr="003E425B">
        <w:rPr>
          <w:rFonts w:ascii="Times New Roman" w:hAnsi="Times New Roman"/>
          <w:color w:val="000000" w:themeColor="text1"/>
          <w:sz w:val="28"/>
        </w:rPr>
        <w:t>concesión de facultades extraordinarias al Presidente de la República. En esta sección la Sala Plena hará especial énfasis en el requisito de precisión de la ley habilitante (</w:t>
      </w:r>
      <w:r w:rsidRPr="003E425B">
        <w:rPr>
          <w:rFonts w:ascii="Times New Roman" w:hAnsi="Times New Roman"/>
          <w:b/>
          <w:bCs/>
          <w:color w:val="000000" w:themeColor="text1"/>
          <w:sz w:val="28"/>
        </w:rPr>
        <w:t xml:space="preserve">sección 4.3.1 </w:t>
      </w:r>
      <w:r w:rsidRPr="003E425B">
        <w:rPr>
          <w:rFonts w:ascii="Times New Roman" w:hAnsi="Times New Roman"/>
          <w:b/>
          <w:bCs/>
          <w:i/>
          <w:iCs/>
          <w:color w:val="000000" w:themeColor="text1"/>
          <w:sz w:val="28"/>
        </w:rPr>
        <w:t>infra</w:t>
      </w:r>
      <w:r w:rsidRPr="003E425B">
        <w:rPr>
          <w:rFonts w:ascii="Times New Roman" w:hAnsi="Times New Roman"/>
          <w:color w:val="000000" w:themeColor="text1"/>
          <w:sz w:val="28"/>
        </w:rPr>
        <w:t>). En segundo lugar, reiterará la jurisprudencia en relación c</w:t>
      </w:r>
      <w:r w:rsidRPr="003E425B">
        <w:rPr>
          <w:rFonts w:ascii="Times New Roman" w:hAnsi="Times New Roman"/>
          <w:color w:val="000000" w:themeColor="text1"/>
          <w:sz w:val="28"/>
        </w:rPr>
        <w:t>on la facultad del Congreso de la República de conceder facultades extraordinarias al Presidente de la República para modificar la administración pública nacional e integrar sectores administrativos (</w:t>
      </w:r>
      <w:r w:rsidRPr="003E425B">
        <w:rPr>
          <w:rFonts w:ascii="Times New Roman" w:hAnsi="Times New Roman"/>
          <w:b/>
          <w:bCs/>
          <w:color w:val="000000" w:themeColor="text1"/>
          <w:sz w:val="28"/>
        </w:rPr>
        <w:t>sección 4.3.2 infra</w:t>
      </w:r>
      <w:r w:rsidRPr="003E425B">
        <w:rPr>
          <w:rFonts w:ascii="Times New Roman" w:hAnsi="Times New Roman"/>
          <w:color w:val="000000" w:themeColor="text1"/>
          <w:sz w:val="28"/>
        </w:rPr>
        <w:t>). En tercer lugar, con fundamento en</w:t>
      </w:r>
      <w:r w:rsidRPr="003E425B">
        <w:rPr>
          <w:rFonts w:ascii="Times New Roman" w:hAnsi="Times New Roman"/>
          <w:color w:val="000000" w:themeColor="text1"/>
          <w:sz w:val="28"/>
        </w:rPr>
        <w:t xml:space="preserve"> estas consideraciones, la Sala Plena resolverá el cargo formulado por los demandantes (</w:t>
      </w:r>
      <w:r w:rsidRPr="003E425B">
        <w:rPr>
          <w:rFonts w:ascii="Times New Roman" w:hAnsi="Times New Roman"/>
          <w:b/>
          <w:bCs/>
          <w:color w:val="000000" w:themeColor="text1"/>
          <w:sz w:val="28"/>
        </w:rPr>
        <w:t xml:space="preserve">sección 4.3.3 </w:t>
      </w:r>
      <w:r w:rsidRPr="003E425B">
        <w:rPr>
          <w:rFonts w:ascii="Times New Roman" w:hAnsi="Times New Roman"/>
          <w:b/>
          <w:bCs/>
          <w:i/>
          <w:iCs/>
          <w:color w:val="000000" w:themeColor="text1"/>
          <w:sz w:val="28"/>
        </w:rPr>
        <w:t>infra</w:t>
      </w:r>
      <w:r w:rsidRPr="003E425B">
        <w:rPr>
          <w:rFonts w:ascii="Times New Roman" w:hAnsi="Times New Roman"/>
          <w:color w:val="000000" w:themeColor="text1"/>
          <w:sz w:val="28"/>
        </w:rPr>
        <w:t xml:space="preserve">).  </w:t>
      </w:r>
    </w:p>
    <w:p w:rsidR="00832D81" w:rsidRPr="003E425B" w:rsidRDefault="003E425B" w:rsidP="00010108">
      <w:pPr>
        <w:pStyle w:val="Prrafodelista"/>
        <w:spacing w:line="240" w:lineRule="auto"/>
        <w:ind w:left="0"/>
        <w:rPr>
          <w:rFonts w:ascii="Times New Roman" w:hAnsi="Times New Roman"/>
          <w:i/>
          <w:iCs/>
          <w:color w:val="000000" w:themeColor="text1"/>
          <w:sz w:val="28"/>
        </w:rPr>
      </w:pPr>
    </w:p>
    <w:p w:rsidR="00832D81" w:rsidRPr="003E425B" w:rsidRDefault="003E425B" w:rsidP="000C6CC6">
      <w:pPr>
        <w:pStyle w:val="Ttulo3"/>
        <w:numPr>
          <w:ilvl w:val="2"/>
          <w:numId w:val="37"/>
        </w:numPr>
        <w:ind w:hanging="940"/>
        <w:rPr>
          <w:rFonts w:ascii="Times New Roman" w:hAnsi="Times New Roman" w:cs="Times New Roman"/>
          <w:sz w:val="28"/>
        </w:rPr>
      </w:pPr>
      <w:r w:rsidRPr="003E425B">
        <w:rPr>
          <w:rStyle w:val="Ttulo4Car"/>
          <w:rFonts w:cs="Times New Roman"/>
          <w:b/>
          <w:iCs w:val="0"/>
        </w:rPr>
        <w:t>La concesión de facultades extraordinarias al Presidente de la República. Fundamento constitucional, condiciones y límites. Reiteración de juri</w:t>
      </w:r>
      <w:r w:rsidRPr="003E425B">
        <w:rPr>
          <w:rStyle w:val="Ttulo4Car"/>
          <w:rFonts w:cs="Times New Roman"/>
          <w:b/>
          <w:iCs w:val="0"/>
        </w:rPr>
        <w:t>sprudencia</w:t>
      </w:r>
      <w:r w:rsidRPr="003E425B">
        <w:rPr>
          <w:rFonts w:ascii="Times New Roman" w:hAnsi="Times New Roman" w:cs="Times New Roman"/>
          <w:sz w:val="28"/>
        </w:rPr>
        <w:t xml:space="preserve"> </w:t>
      </w:r>
    </w:p>
    <w:p w:rsidR="00832D81" w:rsidRPr="003E425B" w:rsidRDefault="003E425B" w:rsidP="00010108">
      <w:pPr>
        <w:rPr>
          <w:rFonts w:ascii="Times New Roman" w:hAnsi="Times New Roman" w:cs="Times New Roman"/>
          <w:sz w:val="28"/>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MX"/>
        </w:rPr>
        <w:t>El numeral 10º del artículo 150 de la Constitución faculta al Congreso de la República para conceder, mediante ley habilitante, facultades extraordinarias al Presidente de la República para expedir normas con fuerza de ley. Al respecto, dispon</w:t>
      </w:r>
      <w:r w:rsidRPr="003E425B">
        <w:rPr>
          <w:rFonts w:ascii="Times New Roman" w:hAnsi="Times New Roman"/>
          <w:color w:val="000000" w:themeColor="text1"/>
          <w:sz w:val="28"/>
          <w:lang w:val="es-MX"/>
        </w:rPr>
        <w:t>e que:</w:t>
      </w:r>
    </w:p>
    <w:p w:rsidR="00832D81" w:rsidRPr="003E425B" w:rsidRDefault="003E425B" w:rsidP="00010108">
      <w:pPr>
        <w:pStyle w:val="Prrafodelista"/>
        <w:tabs>
          <w:tab w:val="left" w:pos="567"/>
        </w:tabs>
        <w:spacing w:line="240" w:lineRule="auto"/>
        <w:ind w:left="0"/>
        <w:rPr>
          <w:rFonts w:ascii="Times New Roman" w:hAnsi="Times New Roman"/>
          <w:color w:val="000000" w:themeColor="text1"/>
          <w:sz w:val="28"/>
          <w:lang w:val="es-MX"/>
        </w:rPr>
      </w:pP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r w:rsidRPr="003E425B">
        <w:rPr>
          <w:rFonts w:ascii="Times New Roman" w:hAnsi="Times New Roman"/>
          <w:color w:val="000000" w:themeColor="text1"/>
          <w:sz w:val="28"/>
          <w:szCs w:val="20"/>
          <w:lang w:val="es-MX"/>
        </w:rPr>
        <w:t>“</w:t>
      </w:r>
      <w:r w:rsidRPr="003E425B">
        <w:rPr>
          <w:rFonts w:ascii="Times New Roman" w:hAnsi="Times New Roman"/>
          <w:color w:val="000000" w:themeColor="text1"/>
          <w:sz w:val="28"/>
          <w:szCs w:val="20"/>
        </w:rPr>
        <w:t xml:space="preserve">Artículo 150. Corresponde al Congreso hacer las leyes. Por medio de ellas ejerce las siguientes funciones: </w:t>
      </w: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p>
    <w:p w:rsidR="00832D81" w:rsidRPr="003E425B" w:rsidRDefault="003E425B" w:rsidP="00010108">
      <w:pPr>
        <w:pStyle w:val="Prrafodelista"/>
        <w:tabs>
          <w:tab w:val="left" w:pos="567"/>
        </w:tabs>
        <w:spacing w:line="240" w:lineRule="auto"/>
        <w:ind w:left="737" w:right="454"/>
        <w:jc w:val="center"/>
        <w:rPr>
          <w:rFonts w:ascii="Times New Roman" w:hAnsi="Times New Roman"/>
          <w:color w:val="000000" w:themeColor="text1"/>
          <w:sz w:val="28"/>
          <w:szCs w:val="20"/>
        </w:rPr>
      </w:pPr>
      <w:r w:rsidRPr="003E425B">
        <w:rPr>
          <w:rFonts w:ascii="Times New Roman" w:hAnsi="Times New Roman"/>
          <w:color w:val="000000" w:themeColor="text1"/>
          <w:sz w:val="28"/>
          <w:szCs w:val="20"/>
        </w:rPr>
        <w:t>(…)</w:t>
      </w: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r w:rsidRPr="003E425B">
        <w:rPr>
          <w:rFonts w:ascii="Times New Roman" w:hAnsi="Times New Roman"/>
          <w:color w:val="000000" w:themeColor="text1"/>
          <w:sz w:val="28"/>
          <w:szCs w:val="20"/>
        </w:rPr>
        <w:t xml:space="preserve">10. Revestir, hasta por seis meses, al Presidente de la República de </w:t>
      </w:r>
      <w:r w:rsidRPr="003E425B">
        <w:rPr>
          <w:rFonts w:ascii="Times New Roman" w:hAnsi="Times New Roman"/>
          <w:b/>
          <w:bCs/>
          <w:color w:val="000000" w:themeColor="text1"/>
          <w:sz w:val="28"/>
          <w:szCs w:val="20"/>
          <w:u w:val="single"/>
        </w:rPr>
        <w:t>precisas</w:t>
      </w:r>
      <w:r w:rsidRPr="003E425B">
        <w:rPr>
          <w:rFonts w:ascii="Times New Roman" w:hAnsi="Times New Roman"/>
          <w:color w:val="000000" w:themeColor="text1"/>
          <w:sz w:val="28"/>
          <w:szCs w:val="20"/>
        </w:rPr>
        <w:t xml:space="preserve"> facultades extraordinarias, para expedir normas con fuerza de ley cuando la necesidad lo exija o la conveniencia pública lo aconseje. Tales facultades deberán ser solicitadas expresamente por el Gobierno y su aprobación requerirá la mayoría absoluta de lo</w:t>
      </w:r>
      <w:r w:rsidRPr="003E425B">
        <w:rPr>
          <w:rFonts w:ascii="Times New Roman" w:hAnsi="Times New Roman"/>
          <w:color w:val="000000" w:themeColor="text1"/>
          <w:sz w:val="28"/>
          <w:szCs w:val="20"/>
        </w:rPr>
        <w:t>s miembros de una y otra Cámara.</w:t>
      </w: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r w:rsidRPr="003E425B">
        <w:rPr>
          <w:rFonts w:ascii="Times New Roman" w:hAnsi="Times New Roman"/>
          <w:color w:val="000000" w:themeColor="text1"/>
          <w:sz w:val="28"/>
          <w:szCs w:val="20"/>
        </w:rPr>
        <w:t>El Congreso podrá, en todo tiempo y por iniciativa propia, modificar los decretos leyes dictados por el Gobierno en uso de facultades extraordinarias.</w:t>
      </w: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p>
    <w:p w:rsidR="00832D81" w:rsidRPr="003E425B" w:rsidRDefault="003E425B" w:rsidP="00010108">
      <w:pPr>
        <w:pStyle w:val="Prrafodelista"/>
        <w:tabs>
          <w:tab w:val="left" w:pos="567"/>
        </w:tabs>
        <w:spacing w:line="240" w:lineRule="auto"/>
        <w:ind w:left="737" w:right="454"/>
        <w:rPr>
          <w:rFonts w:ascii="Times New Roman" w:hAnsi="Times New Roman"/>
          <w:color w:val="000000" w:themeColor="text1"/>
          <w:sz w:val="28"/>
          <w:szCs w:val="20"/>
        </w:rPr>
      </w:pPr>
      <w:r w:rsidRPr="003E425B">
        <w:rPr>
          <w:rFonts w:ascii="Times New Roman" w:hAnsi="Times New Roman"/>
          <w:color w:val="000000" w:themeColor="text1"/>
          <w:sz w:val="28"/>
          <w:szCs w:val="20"/>
        </w:rPr>
        <w:t>Estas facultades no se podrán conferir para expedir códigos, leyes est</w:t>
      </w:r>
      <w:r w:rsidRPr="003E425B">
        <w:rPr>
          <w:rFonts w:ascii="Times New Roman" w:hAnsi="Times New Roman"/>
          <w:color w:val="000000" w:themeColor="text1"/>
          <w:sz w:val="28"/>
          <w:szCs w:val="20"/>
        </w:rPr>
        <w:t xml:space="preserve">atutarias, orgánicas, ni las previstas en el numeral 20 del presente artículo, ni para decretar impuestos” (énfasis añadido). </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rPr>
        <w:t>La concesión de facultades extraordinarias es una expresión del principio de colaboración armónica de poderes (art. 113 de la CP</w:t>
      </w:r>
      <w:r w:rsidRPr="003E425B">
        <w:rPr>
          <w:rFonts w:ascii="Times New Roman" w:hAnsi="Times New Roman"/>
          <w:sz w:val="28"/>
        </w:rPr>
        <w:t>)</w:t>
      </w:r>
      <w:r w:rsidRPr="003E425B">
        <w:rPr>
          <w:rStyle w:val="Refdenotaalpie"/>
          <w:rFonts w:ascii="Times New Roman" w:hAnsi="Times New Roman"/>
          <w:sz w:val="28"/>
        </w:rPr>
        <w:footnoteReference w:id="394"/>
      </w:r>
      <w:r w:rsidRPr="003E425B">
        <w:rPr>
          <w:rFonts w:ascii="Times New Roman" w:hAnsi="Times New Roman"/>
          <w:sz w:val="28"/>
        </w:rPr>
        <w:t xml:space="preserve">. En efecto, la habilitación legislativa al Presidente de la República “resulta útil para la regulación de temas particularmente complejos por su contenido técnico, acelera la expedición de normas con fuerza de ley cuando resulta necesario para conjurar </w:t>
      </w:r>
      <w:r w:rsidRPr="003E425B">
        <w:rPr>
          <w:rFonts w:ascii="Times New Roman" w:hAnsi="Times New Roman"/>
          <w:sz w:val="28"/>
        </w:rPr>
        <w:t>crisis, y facilita ajustes atendiendo razones de conveniencia pública”</w:t>
      </w:r>
      <w:r w:rsidRPr="003E425B">
        <w:rPr>
          <w:rStyle w:val="Refdenotaalpie"/>
          <w:rFonts w:ascii="Times New Roman" w:hAnsi="Times New Roman"/>
          <w:sz w:val="28"/>
        </w:rPr>
        <w:footnoteReference w:id="395"/>
      </w:r>
      <w:r w:rsidRPr="003E425B">
        <w:rPr>
          <w:rFonts w:ascii="Times New Roman" w:hAnsi="Times New Roman"/>
          <w:sz w:val="28"/>
        </w:rPr>
        <w:t>.</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bCs/>
          <w:color w:val="000000" w:themeColor="text1"/>
          <w:sz w:val="28"/>
          <w:lang w:val="es-ES"/>
        </w:rPr>
        <w:t>La Corte Constitucional ha resaltado, sin embargo, que la concesión de facultades extraordinarias al Presidente de la República “debe ser excepcional”</w:t>
      </w:r>
      <w:r w:rsidRPr="003E425B">
        <w:rPr>
          <w:rFonts w:ascii="Times New Roman" w:hAnsi="Times New Roman"/>
          <w:bCs/>
          <w:color w:val="000000" w:themeColor="text1"/>
          <w:sz w:val="28"/>
          <w:vertAlign w:val="superscript"/>
          <w:lang w:val="es-ES"/>
        </w:rPr>
        <w:footnoteReference w:id="396"/>
      </w:r>
      <w:r w:rsidRPr="003E425B">
        <w:rPr>
          <w:rFonts w:ascii="Times New Roman" w:hAnsi="Times New Roman"/>
          <w:bCs/>
          <w:color w:val="000000" w:themeColor="text1"/>
          <w:sz w:val="28"/>
          <w:lang w:val="es-ES"/>
        </w:rPr>
        <w:t xml:space="preserve">. El principio de </w:t>
      </w:r>
      <w:r w:rsidRPr="003E425B">
        <w:rPr>
          <w:rFonts w:ascii="Times New Roman" w:hAnsi="Times New Roman"/>
          <w:bCs/>
          <w:color w:val="000000" w:themeColor="text1"/>
          <w:sz w:val="28"/>
          <w:lang w:val="es-ES"/>
        </w:rPr>
        <w:t>excepcionalidad de la delegación es</w:t>
      </w:r>
      <w:r w:rsidRPr="003E425B">
        <w:rPr>
          <w:rFonts w:ascii="Times New Roman" w:hAnsi="Times New Roman"/>
          <w:bCs/>
          <w:color w:val="000000" w:themeColor="text1"/>
          <w:sz w:val="28"/>
        </w:rPr>
        <w:t xml:space="preserve"> un rasgo definitorio y esencial de nuestra Constitución Política que busca salvaguardar el Estado de Derecho</w:t>
      </w:r>
      <w:r w:rsidRPr="003E425B">
        <w:rPr>
          <w:rFonts w:ascii="Times New Roman" w:hAnsi="Times New Roman"/>
          <w:bCs/>
          <w:color w:val="000000" w:themeColor="text1"/>
          <w:sz w:val="28"/>
          <w:vertAlign w:val="superscript"/>
        </w:rPr>
        <w:footnoteReference w:id="397"/>
      </w:r>
      <w:r w:rsidRPr="003E425B">
        <w:rPr>
          <w:rFonts w:ascii="Times New Roman" w:hAnsi="Times New Roman"/>
          <w:bCs/>
          <w:color w:val="000000" w:themeColor="text1"/>
          <w:sz w:val="28"/>
        </w:rPr>
        <w:t xml:space="preserve">. </w:t>
      </w:r>
      <w:r w:rsidRPr="003E425B">
        <w:rPr>
          <w:rFonts w:ascii="Times New Roman" w:hAnsi="Times New Roman"/>
          <w:bCs/>
          <w:color w:val="000000" w:themeColor="text1"/>
          <w:sz w:val="28"/>
          <w:lang w:eastAsia="es-ES"/>
        </w:rPr>
        <w:t>Lo anterior, en el entendido de que la posibilidad de que el Presidente de la República expida normas con fue</w:t>
      </w:r>
      <w:r w:rsidRPr="003E425B">
        <w:rPr>
          <w:rFonts w:ascii="Times New Roman" w:hAnsi="Times New Roman"/>
          <w:bCs/>
          <w:color w:val="000000" w:themeColor="text1"/>
          <w:sz w:val="28"/>
          <w:lang w:eastAsia="es-ES"/>
        </w:rPr>
        <w:t>rza de ley, si bien presenta múltiples ventajas, también genera graves riesgos para la democracia, relacionados con el debilitamiento de la institucionalidad y la erosión del principio de separación de poderes</w:t>
      </w:r>
      <w:r w:rsidRPr="003E425B">
        <w:rPr>
          <w:rFonts w:ascii="Times New Roman" w:hAnsi="Times New Roman"/>
          <w:bCs/>
          <w:color w:val="000000" w:themeColor="text1"/>
          <w:sz w:val="28"/>
          <w:vertAlign w:val="superscript"/>
          <w:lang w:eastAsia="es-ES"/>
        </w:rPr>
        <w:footnoteReference w:id="398"/>
      </w:r>
      <w:r w:rsidRPr="003E425B">
        <w:rPr>
          <w:rFonts w:ascii="Times New Roman" w:hAnsi="Times New Roman"/>
          <w:bCs/>
          <w:color w:val="000000" w:themeColor="text1"/>
          <w:sz w:val="28"/>
          <w:lang w:eastAsia="es-ES"/>
        </w:rPr>
        <w:t>.</w:t>
      </w:r>
      <w:r w:rsidRPr="003E425B">
        <w:rPr>
          <w:rFonts w:ascii="Times New Roman" w:hAnsi="Times New Roman"/>
          <w:color w:val="000000" w:themeColor="text1"/>
          <w:sz w:val="28"/>
          <w:lang w:val="es-MX"/>
        </w:rPr>
        <w:t xml:space="preserve"> En tales términos, </w:t>
      </w:r>
      <w:r w:rsidRPr="003E425B">
        <w:rPr>
          <w:rFonts w:ascii="Times New Roman" w:hAnsi="Times New Roman"/>
          <w:bCs/>
          <w:color w:val="000000" w:themeColor="text1"/>
          <w:sz w:val="28"/>
          <w:lang w:val="es-ES" w:eastAsia="es-ES"/>
        </w:rPr>
        <w:t>el constituyente dispuso:</w:t>
      </w:r>
      <w:r w:rsidRPr="003E425B">
        <w:rPr>
          <w:rFonts w:ascii="Times New Roman" w:hAnsi="Times New Roman"/>
          <w:bCs/>
          <w:color w:val="000000" w:themeColor="text1"/>
          <w:sz w:val="28"/>
          <w:lang w:val="es-ES" w:eastAsia="es-ES"/>
        </w:rPr>
        <w:t xml:space="preserve"> </w:t>
      </w:r>
      <w:r w:rsidRPr="003E425B">
        <w:rPr>
          <w:rFonts w:ascii="Times New Roman" w:hAnsi="Times New Roman"/>
          <w:bCs/>
          <w:i/>
          <w:iCs/>
          <w:color w:val="000000" w:themeColor="text1"/>
          <w:sz w:val="28"/>
          <w:lang w:val="es-ES" w:eastAsia="es-ES"/>
        </w:rPr>
        <w:t>(i)</w:t>
      </w:r>
      <w:r w:rsidRPr="003E425B">
        <w:rPr>
          <w:rFonts w:ascii="Times New Roman" w:hAnsi="Times New Roman"/>
          <w:bCs/>
          <w:color w:val="000000" w:themeColor="text1"/>
          <w:sz w:val="28"/>
          <w:lang w:val="es-ES" w:eastAsia="es-ES"/>
        </w:rPr>
        <w:t xml:space="preserve"> estrictas condiciones procedimentales para la aprobación de leyes que otorgan facultades extraordinarias y </w:t>
      </w:r>
      <w:r w:rsidRPr="003E425B">
        <w:rPr>
          <w:rFonts w:ascii="Times New Roman" w:hAnsi="Times New Roman"/>
          <w:bCs/>
          <w:i/>
          <w:iCs/>
          <w:color w:val="000000" w:themeColor="text1"/>
          <w:sz w:val="28"/>
          <w:lang w:val="es-ES" w:eastAsia="es-ES"/>
        </w:rPr>
        <w:t>(ii)</w:t>
      </w:r>
      <w:r w:rsidRPr="003E425B">
        <w:rPr>
          <w:rFonts w:ascii="Times New Roman" w:hAnsi="Times New Roman"/>
          <w:bCs/>
          <w:color w:val="000000" w:themeColor="text1"/>
          <w:sz w:val="28"/>
          <w:lang w:val="es-ES" w:eastAsia="es-ES"/>
        </w:rPr>
        <w:t xml:space="preserve"> límites temporales y materiales para la ley habilitante</w:t>
      </w:r>
      <w:r w:rsidRPr="003E425B">
        <w:rPr>
          <w:rStyle w:val="Refdenotaalpie"/>
          <w:rFonts w:ascii="Times New Roman" w:hAnsi="Times New Roman"/>
          <w:bCs/>
          <w:color w:val="000000" w:themeColor="text1"/>
          <w:sz w:val="28"/>
          <w:lang w:val="es-ES" w:eastAsia="es-ES"/>
        </w:rPr>
        <w:footnoteReference w:id="399"/>
      </w:r>
      <w:r w:rsidRPr="003E425B">
        <w:rPr>
          <w:rFonts w:ascii="Times New Roman" w:hAnsi="Times New Roman"/>
          <w:bCs/>
          <w:color w:val="000000" w:themeColor="text1"/>
          <w:sz w:val="28"/>
          <w:lang w:val="es-ES" w:eastAsia="es-ES"/>
        </w:rPr>
        <w:t>:</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bookmarkStart w:id="33" w:name="_Ref165375904"/>
      <w:r w:rsidRPr="003E425B">
        <w:rPr>
          <w:rFonts w:ascii="Times New Roman" w:hAnsi="Times New Roman"/>
          <w:color w:val="000000" w:themeColor="text1"/>
          <w:sz w:val="28"/>
        </w:rPr>
        <w:t xml:space="preserve">(i) </w:t>
      </w:r>
      <w:r w:rsidRPr="003E425B">
        <w:rPr>
          <w:rFonts w:ascii="Times New Roman" w:hAnsi="Times New Roman"/>
          <w:color w:val="000000" w:themeColor="text1"/>
          <w:sz w:val="28"/>
          <w:u w:val="single"/>
        </w:rPr>
        <w:t>Condiciones procedimentales</w:t>
      </w:r>
      <w:r w:rsidRPr="003E425B">
        <w:rPr>
          <w:rFonts w:ascii="Times New Roman" w:hAnsi="Times New Roman"/>
          <w:color w:val="000000" w:themeColor="text1"/>
          <w:sz w:val="28"/>
        </w:rPr>
        <w:t xml:space="preserve">. El numeral 10 del artículo 150 de la </w:t>
      </w:r>
      <w:r w:rsidRPr="003E425B">
        <w:rPr>
          <w:rFonts w:ascii="Times New Roman" w:hAnsi="Times New Roman"/>
          <w:color w:val="000000" w:themeColor="text1"/>
          <w:sz w:val="28"/>
        </w:rPr>
        <w:t>Constitución prevé tres condiciones procedimentales para la aprobación de leyes que otorgan facultades extraordinarias</w:t>
      </w:r>
      <w:r w:rsidRPr="003E425B">
        <w:rPr>
          <w:rStyle w:val="Refdenotaalpie"/>
          <w:rFonts w:ascii="Times New Roman" w:hAnsi="Times New Roman"/>
          <w:color w:val="000000" w:themeColor="text1"/>
          <w:sz w:val="28"/>
        </w:rPr>
        <w:footnoteReference w:id="400"/>
      </w:r>
      <w:r w:rsidRPr="003E425B">
        <w:rPr>
          <w:rFonts w:ascii="Times New Roman" w:hAnsi="Times New Roman"/>
          <w:color w:val="000000" w:themeColor="text1"/>
          <w:sz w:val="28"/>
        </w:rPr>
        <w:t>, relacionadas con la titularidad de la iniciativa, la justificación de la solicitud y las mayorías decisorias exigibles. En concreto, di</w:t>
      </w:r>
      <w:r w:rsidRPr="003E425B">
        <w:rPr>
          <w:rFonts w:ascii="Times New Roman" w:hAnsi="Times New Roman"/>
          <w:color w:val="000000" w:themeColor="text1"/>
          <w:sz w:val="28"/>
        </w:rPr>
        <w:t xml:space="preserve">spone que: </w:t>
      </w:r>
      <w:r w:rsidRPr="003E425B">
        <w:rPr>
          <w:rFonts w:ascii="Times New Roman" w:hAnsi="Times New Roman"/>
          <w:i/>
          <w:iCs/>
          <w:color w:val="000000" w:themeColor="text1"/>
          <w:sz w:val="28"/>
        </w:rPr>
        <w:t>(a)</w:t>
      </w:r>
      <w:r w:rsidRPr="003E425B">
        <w:rPr>
          <w:rFonts w:ascii="Times New Roman" w:hAnsi="Times New Roman"/>
          <w:color w:val="000000" w:themeColor="text1"/>
          <w:sz w:val="28"/>
        </w:rPr>
        <w:t xml:space="preserve"> la solicitud de facultades extraordinarias es de iniciativa privativa y exclusiva del Gobierno Nacional; en estos casos no es procedente la iniciativa legislativa</w:t>
      </w:r>
      <w:r w:rsidRPr="003E425B">
        <w:rPr>
          <w:rStyle w:val="Refdenotaalpie"/>
          <w:rFonts w:ascii="Times New Roman" w:hAnsi="Times New Roman"/>
          <w:color w:val="000000" w:themeColor="text1"/>
          <w:sz w:val="28"/>
        </w:rPr>
        <w:footnoteReference w:id="401"/>
      </w:r>
      <w:r w:rsidRPr="003E425B">
        <w:rPr>
          <w:rFonts w:ascii="Times New Roman" w:hAnsi="Times New Roman"/>
          <w:color w:val="000000" w:themeColor="text1"/>
          <w:sz w:val="28"/>
        </w:rPr>
        <w:t xml:space="preserve">; </w:t>
      </w:r>
      <w:r w:rsidRPr="003E425B">
        <w:rPr>
          <w:rFonts w:ascii="Times New Roman" w:hAnsi="Times New Roman"/>
          <w:i/>
          <w:iCs/>
          <w:color w:val="000000" w:themeColor="text1"/>
          <w:sz w:val="28"/>
        </w:rPr>
        <w:t>(b)</w:t>
      </w:r>
      <w:r w:rsidRPr="003E425B">
        <w:rPr>
          <w:rFonts w:ascii="Times New Roman" w:hAnsi="Times New Roman"/>
          <w:color w:val="000000" w:themeColor="text1"/>
          <w:sz w:val="28"/>
        </w:rPr>
        <w:t xml:space="preserve"> el Gobierno Nacional debe justificar la </w:t>
      </w:r>
      <w:r w:rsidRPr="003E425B">
        <w:rPr>
          <w:rFonts w:ascii="Times New Roman" w:hAnsi="Times New Roman"/>
          <w:iCs/>
          <w:color w:val="000000" w:themeColor="text1"/>
          <w:sz w:val="28"/>
          <w:lang w:val="es-ES"/>
        </w:rPr>
        <w:t>“necesidad” o “conveniencia públ</w:t>
      </w:r>
      <w:r w:rsidRPr="003E425B">
        <w:rPr>
          <w:rFonts w:ascii="Times New Roman" w:hAnsi="Times New Roman"/>
          <w:iCs/>
          <w:color w:val="000000" w:themeColor="text1"/>
          <w:sz w:val="28"/>
          <w:lang w:val="es-ES"/>
        </w:rPr>
        <w:t>ica”</w:t>
      </w:r>
      <w:r w:rsidRPr="003E425B">
        <w:rPr>
          <w:rFonts w:ascii="Times New Roman" w:hAnsi="Times New Roman"/>
          <w:i/>
          <w:color w:val="000000" w:themeColor="text1"/>
          <w:sz w:val="28"/>
          <w:lang w:val="es-ES"/>
        </w:rPr>
        <w:t xml:space="preserve"> </w:t>
      </w:r>
      <w:r w:rsidRPr="003E425B">
        <w:rPr>
          <w:rFonts w:ascii="Times New Roman" w:hAnsi="Times New Roman"/>
          <w:iCs/>
          <w:color w:val="000000" w:themeColor="text1"/>
          <w:sz w:val="28"/>
          <w:lang w:val="es-ES"/>
        </w:rPr>
        <w:t xml:space="preserve">de las facultades extraordinarias que solicita y </w:t>
      </w:r>
      <w:r w:rsidRPr="003E425B">
        <w:rPr>
          <w:rFonts w:ascii="Times New Roman" w:hAnsi="Times New Roman"/>
          <w:i/>
          <w:color w:val="000000" w:themeColor="text1"/>
          <w:sz w:val="28"/>
          <w:lang w:val="es-ES"/>
        </w:rPr>
        <w:t>(c)</w:t>
      </w:r>
      <w:r w:rsidRPr="003E425B">
        <w:rPr>
          <w:rFonts w:ascii="Times New Roman" w:hAnsi="Times New Roman"/>
          <w:iCs/>
          <w:color w:val="000000" w:themeColor="text1"/>
          <w:sz w:val="28"/>
          <w:lang w:val="es-ES"/>
        </w:rPr>
        <w:t xml:space="preserve"> el Congreso de la República debe aprobar la concesión de las facultades extraordinarias por </w:t>
      </w:r>
      <w:r w:rsidRPr="003E425B">
        <w:rPr>
          <w:rFonts w:ascii="Times New Roman" w:hAnsi="Times New Roman"/>
          <w:color w:val="000000" w:themeColor="text1"/>
          <w:sz w:val="28"/>
        </w:rPr>
        <w:t>mayoría absoluta.</w:t>
      </w:r>
      <w:bookmarkEnd w:id="33"/>
      <w:r w:rsidRPr="003E425B">
        <w:rPr>
          <w:rFonts w:ascii="Times New Roman" w:hAnsi="Times New Roman"/>
          <w:color w:val="000000" w:themeColor="text1"/>
          <w:sz w:val="28"/>
        </w:rPr>
        <w:t xml:space="preserve"> </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bookmarkStart w:id="34" w:name="_Ref165375908"/>
      <w:r w:rsidRPr="003E425B">
        <w:rPr>
          <w:rFonts w:ascii="Times New Roman" w:hAnsi="Times New Roman"/>
          <w:color w:val="000000" w:themeColor="text1"/>
          <w:sz w:val="28"/>
        </w:rPr>
        <w:t xml:space="preserve">(ii) </w:t>
      </w:r>
      <w:r w:rsidRPr="003E425B">
        <w:rPr>
          <w:rFonts w:ascii="Times New Roman" w:hAnsi="Times New Roman"/>
          <w:color w:val="000000" w:themeColor="text1"/>
          <w:sz w:val="28"/>
          <w:u w:val="single"/>
        </w:rPr>
        <w:t>Límites</w:t>
      </w:r>
      <w:r w:rsidRPr="003E425B">
        <w:rPr>
          <w:rFonts w:ascii="Times New Roman" w:hAnsi="Times New Roman"/>
          <w:color w:val="000000" w:themeColor="text1"/>
          <w:sz w:val="28"/>
        </w:rPr>
        <w:t xml:space="preserve">. La Constitución impone al Congreso de la República límites temporales y </w:t>
      </w:r>
      <w:r w:rsidRPr="003E425B">
        <w:rPr>
          <w:rFonts w:ascii="Times New Roman" w:hAnsi="Times New Roman"/>
          <w:color w:val="000000" w:themeColor="text1"/>
          <w:sz w:val="28"/>
        </w:rPr>
        <w:t>materiales que condicionan la validez y constitucionalidad de la ley habilitante. Conforme al inciso 1º del artículo 150.10 de la Constitución -</w:t>
      </w:r>
      <w:r w:rsidRPr="003E425B">
        <w:rPr>
          <w:rFonts w:ascii="Times New Roman" w:hAnsi="Times New Roman"/>
          <w:i/>
          <w:iCs/>
          <w:color w:val="000000" w:themeColor="text1"/>
          <w:sz w:val="28"/>
        </w:rPr>
        <w:t>límite temporal</w:t>
      </w:r>
      <w:r w:rsidRPr="003E425B">
        <w:rPr>
          <w:rFonts w:ascii="Times New Roman" w:hAnsi="Times New Roman"/>
          <w:color w:val="000000" w:themeColor="text1"/>
          <w:sz w:val="28"/>
        </w:rPr>
        <w:t>-, las facultades extraordinarias sólo podrán conferirse “hasta por seis meses”. De otro lado, ex</w:t>
      </w:r>
      <w:r w:rsidRPr="003E425B">
        <w:rPr>
          <w:rFonts w:ascii="Times New Roman" w:hAnsi="Times New Roman"/>
          <w:color w:val="000000" w:themeColor="text1"/>
          <w:sz w:val="28"/>
        </w:rPr>
        <w:t xml:space="preserve">isten dos tipos de </w:t>
      </w:r>
      <w:r w:rsidRPr="003E425B">
        <w:rPr>
          <w:rFonts w:ascii="Times New Roman" w:hAnsi="Times New Roman"/>
          <w:i/>
          <w:iCs/>
          <w:color w:val="000000" w:themeColor="text1"/>
          <w:sz w:val="28"/>
        </w:rPr>
        <w:t>límites materiales</w:t>
      </w:r>
      <w:r w:rsidRPr="003E425B">
        <w:rPr>
          <w:rFonts w:ascii="Times New Roman" w:hAnsi="Times New Roman"/>
          <w:color w:val="000000" w:themeColor="text1"/>
          <w:sz w:val="28"/>
        </w:rPr>
        <w:t xml:space="preserve"> relacionados con </w:t>
      </w:r>
      <w:r w:rsidRPr="003E425B">
        <w:rPr>
          <w:rFonts w:ascii="Times New Roman" w:hAnsi="Times New Roman"/>
          <w:i/>
          <w:iCs/>
          <w:color w:val="000000" w:themeColor="text1"/>
          <w:sz w:val="28"/>
        </w:rPr>
        <w:t>(a)</w:t>
      </w:r>
      <w:r w:rsidRPr="003E425B">
        <w:rPr>
          <w:rFonts w:ascii="Times New Roman" w:hAnsi="Times New Roman"/>
          <w:color w:val="000000" w:themeColor="text1"/>
          <w:sz w:val="28"/>
        </w:rPr>
        <w:t xml:space="preserve"> los asuntos que pueden delegarse y </w:t>
      </w:r>
      <w:r w:rsidRPr="003E425B">
        <w:rPr>
          <w:rFonts w:ascii="Times New Roman" w:hAnsi="Times New Roman"/>
          <w:i/>
          <w:iCs/>
          <w:color w:val="000000" w:themeColor="text1"/>
          <w:sz w:val="28"/>
        </w:rPr>
        <w:t>(b)</w:t>
      </w:r>
      <w:r w:rsidRPr="003E425B">
        <w:rPr>
          <w:rFonts w:ascii="Times New Roman" w:hAnsi="Times New Roman"/>
          <w:color w:val="000000" w:themeColor="text1"/>
          <w:sz w:val="28"/>
        </w:rPr>
        <w:t xml:space="preserve"> la extensión de las facultades extraordinarias. En cuanto a los asuntos que pueden ser delegados, el inciso 4º del artículo 150.10 de la Constitución dispone </w:t>
      </w:r>
      <w:r w:rsidRPr="003E425B">
        <w:rPr>
          <w:rFonts w:ascii="Times New Roman" w:hAnsi="Times New Roman"/>
          <w:color w:val="000000" w:themeColor="text1"/>
          <w:sz w:val="28"/>
        </w:rPr>
        <w:t xml:space="preserve">que las facultades extraordinarias “no se podrán conferir para expedir códigos, leyes estatutarias, orgánicas, ni las previstas en el numeral 20 del presente artículo, ni para decretar impuestos”. En cuanto a la extensión, </w:t>
      </w:r>
      <w:r w:rsidRPr="003E425B">
        <w:rPr>
          <w:rFonts w:ascii="Times New Roman" w:hAnsi="Times New Roman"/>
          <w:bCs/>
          <w:color w:val="000000" w:themeColor="text1"/>
          <w:sz w:val="28"/>
          <w:lang w:val="es-ES"/>
        </w:rPr>
        <w:t>por su parte, la Constitución exi</w:t>
      </w:r>
      <w:r w:rsidRPr="003E425B">
        <w:rPr>
          <w:rFonts w:ascii="Times New Roman" w:hAnsi="Times New Roman"/>
          <w:bCs/>
          <w:color w:val="000000" w:themeColor="text1"/>
          <w:sz w:val="28"/>
          <w:lang w:val="es-ES"/>
        </w:rPr>
        <w:t>ge que la ley habilitante sea “precisa”</w:t>
      </w:r>
      <w:r w:rsidRPr="003E425B">
        <w:rPr>
          <w:rStyle w:val="Refdenotaalpie"/>
          <w:rFonts w:ascii="Times New Roman" w:hAnsi="Times New Roman"/>
          <w:bCs/>
          <w:color w:val="000000" w:themeColor="text1"/>
          <w:sz w:val="28"/>
          <w:lang w:val="es-ES"/>
        </w:rPr>
        <w:footnoteReference w:id="402"/>
      </w:r>
      <w:r w:rsidRPr="003E425B">
        <w:rPr>
          <w:rFonts w:ascii="Times New Roman" w:hAnsi="Times New Roman"/>
          <w:bCs/>
          <w:color w:val="000000" w:themeColor="text1"/>
          <w:sz w:val="28"/>
          <w:lang w:val="es-ES"/>
        </w:rPr>
        <w:t>.</w:t>
      </w:r>
      <w:bookmarkEnd w:id="34"/>
      <w:r w:rsidRPr="003E425B">
        <w:rPr>
          <w:rFonts w:ascii="Times New Roman" w:hAnsi="Times New Roman"/>
          <w:bCs/>
          <w:color w:val="000000" w:themeColor="text1"/>
          <w:sz w:val="28"/>
          <w:lang w:val="es-ES"/>
        </w:rPr>
        <w:t xml:space="preserve"> </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La Corte Constitucional</w:t>
      </w:r>
      <w:r w:rsidRPr="003E425B">
        <w:rPr>
          <w:rStyle w:val="Refdenotaalpie"/>
          <w:rFonts w:ascii="Times New Roman" w:hAnsi="Times New Roman"/>
          <w:color w:val="000000" w:themeColor="text1"/>
          <w:sz w:val="28"/>
        </w:rPr>
        <w:footnoteReference w:id="403"/>
      </w:r>
      <w:r w:rsidRPr="003E425B">
        <w:rPr>
          <w:rFonts w:ascii="Times New Roman" w:hAnsi="Times New Roman"/>
          <w:color w:val="000000" w:themeColor="text1"/>
          <w:sz w:val="28"/>
        </w:rPr>
        <w:t xml:space="preserve"> ha reiterado que el requisito de precisión para la concesión de facultades extraordinarias exige que la ley habilitante defina</w:t>
      </w:r>
      <w:r w:rsidRPr="003E425B">
        <w:rPr>
          <w:rFonts w:ascii="Times New Roman" w:hAnsi="Times New Roman"/>
          <w:iCs/>
          <w:color w:val="000000" w:themeColor="text1"/>
          <w:sz w:val="28"/>
          <w:lang w:val="es-ES"/>
        </w:rPr>
        <w:t xml:space="preserve"> de forma clara, delimitable y específica el objeto y la finalidad de la habilitación</w:t>
      </w:r>
      <w:r w:rsidRPr="003E425B">
        <w:rPr>
          <w:rFonts w:ascii="Times New Roman" w:hAnsi="Times New Roman"/>
          <w:iCs/>
          <w:color w:val="000000" w:themeColor="text1"/>
          <w:sz w:val="28"/>
          <w:vertAlign w:val="superscript"/>
          <w:lang w:val="es-ES"/>
        </w:rPr>
        <w:footnoteReference w:id="404"/>
      </w:r>
      <w:r w:rsidRPr="003E425B">
        <w:rPr>
          <w:rFonts w:ascii="Times New Roman" w:hAnsi="Times New Roman"/>
          <w:iCs/>
          <w:color w:val="000000" w:themeColor="text1"/>
          <w:sz w:val="28"/>
          <w:lang w:val="es-ES"/>
        </w:rPr>
        <w:t>:</w:t>
      </w:r>
    </w:p>
    <w:p w:rsidR="009A2C78" w:rsidRPr="003E425B" w:rsidRDefault="003E425B" w:rsidP="00010108">
      <w:pPr>
        <w:pStyle w:val="Prrafodelista"/>
        <w:spacing w:line="240" w:lineRule="auto"/>
        <w:ind w:left="0"/>
        <w:rPr>
          <w:rFonts w:ascii="Times New Roman" w:hAnsi="Times New Roman"/>
          <w:sz w:val="28"/>
          <w:lang w:eastAsia="es-MX"/>
        </w:rPr>
      </w:pPr>
    </w:p>
    <w:p w:rsidR="0094078D" w:rsidRPr="003E425B" w:rsidRDefault="003E425B" w:rsidP="000C6CC6">
      <w:pPr>
        <w:pStyle w:val="Prrafodelista"/>
        <w:numPr>
          <w:ilvl w:val="1"/>
          <w:numId w:val="33"/>
        </w:numPr>
        <w:spacing w:line="240" w:lineRule="auto"/>
        <w:ind w:left="851" w:hanging="851"/>
        <w:rPr>
          <w:rFonts w:ascii="Times New Roman" w:hAnsi="Times New Roman"/>
          <w:sz w:val="28"/>
          <w:lang w:eastAsia="es-MX"/>
        </w:rPr>
      </w:pPr>
      <w:r w:rsidRPr="003E425B">
        <w:rPr>
          <w:rFonts w:ascii="Times New Roman" w:hAnsi="Times New Roman"/>
          <w:i/>
          <w:color w:val="000000" w:themeColor="text1"/>
          <w:sz w:val="28"/>
          <w:lang w:val="es-ES"/>
        </w:rPr>
        <w:t>El objeto de la habilitación</w:t>
      </w:r>
      <w:r w:rsidRPr="003E425B">
        <w:rPr>
          <w:rFonts w:ascii="Times New Roman" w:hAnsi="Times New Roman"/>
          <w:iCs/>
          <w:color w:val="000000" w:themeColor="text1"/>
          <w:sz w:val="28"/>
          <w:lang w:val="es-ES"/>
        </w:rPr>
        <w:t xml:space="preserve">. </w:t>
      </w:r>
      <w:r w:rsidRPr="003E425B">
        <w:rPr>
          <w:rFonts w:ascii="Times New Roman" w:hAnsi="Times New Roman"/>
          <w:color w:val="000000" w:themeColor="text1"/>
          <w:sz w:val="28"/>
          <w:lang w:val="es-ES"/>
        </w:rPr>
        <w:t xml:space="preserve">La ley habilitante debe individualizar y determinar de </w:t>
      </w:r>
      <w:r w:rsidRPr="003E425B">
        <w:rPr>
          <w:rFonts w:ascii="Times New Roman" w:hAnsi="Times New Roman"/>
          <w:color w:val="000000" w:themeColor="text1"/>
          <w:sz w:val="28"/>
        </w:rPr>
        <w:t>forma</w:t>
      </w:r>
      <w:r w:rsidRPr="003E425B">
        <w:rPr>
          <w:rFonts w:ascii="Times New Roman" w:hAnsi="Times New Roman"/>
          <w:i/>
          <w:iCs/>
          <w:color w:val="000000" w:themeColor="text1"/>
          <w:sz w:val="28"/>
        </w:rPr>
        <w:t xml:space="preserve"> </w:t>
      </w:r>
      <w:r w:rsidRPr="003E425B">
        <w:rPr>
          <w:rFonts w:ascii="Times New Roman" w:hAnsi="Times New Roman"/>
          <w:color w:val="000000" w:themeColor="text1"/>
          <w:sz w:val="28"/>
        </w:rPr>
        <w:t>clara</w:t>
      </w:r>
      <w:r w:rsidRPr="003E425B">
        <w:rPr>
          <w:rFonts w:ascii="Times New Roman" w:hAnsi="Times New Roman"/>
          <w:i/>
          <w:iCs/>
          <w:color w:val="000000" w:themeColor="text1"/>
          <w:sz w:val="28"/>
        </w:rPr>
        <w:t xml:space="preserve"> </w:t>
      </w:r>
      <w:r w:rsidRPr="003E425B">
        <w:rPr>
          <w:rFonts w:ascii="Times New Roman" w:hAnsi="Times New Roman"/>
          <w:color w:val="000000" w:themeColor="text1"/>
          <w:sz w:val="28"/>
        </w:rPr>
        <w:t xml:space="preserve">el </w:t>
      </w:r>
      <w:r w:rsidRPr="003E425B">
        <w:rPr>
          <w:rFonts w:ascii="Times New Roman" w:hAnsi="Times New Roman"/>
          <w:color w:val="000000" w:themeColor="text1"/>
          <w:sz w:val="28"/>
          <w:lang w:val="es-ES"/>
        </w:rPr>
        <w:t xml:space="preserve">objeto de la delegación, esto es, </w:t>
      </w:r>
      <w:r w:rsidRPr="003E425B">
        <w:rPr>
          <w:rFonts w:ascii="Times New Roman" w:hAnsi="Times New Roman"/>
          <w:bCs/>
          <w:color w:val="000000" w:themeColor="text1"/>
          <w:sz w:val="28"/>
          <w:lang w:val="es-ES"/>
        </w:rPr>
        <w:t>las materias específicas sobre la</w:t>
      </w:r>
      <w:r w:rsidRPr="003E425B">
        <w:rPr>
          <w:rFonts w:ascii="Times New Roman" w:hAnsi="Times New Roman"/>
          <w:bCs/>
          <w:color w:val="000000" w:themeColor="text1"/>
          <w:sz w:val="28"/>
          <w:lang w:val="es-ES"/>
        </w:rPr>
        <w:t>s cuales el Presidente de la República podrá expedir decretos con fuerza de ley</w:t>
      </w:r>
      <w:r w:rsidRPr="003E425B">
        <w:rPr>
          <w:rFonts w:ascii="Times New Roman" w:hAnsi="Times New Roman"/>
          <w:bCs/>
          <w:sz w:val="28"/>
          <w:vertAlign w:val="superscript"/>
          <w:lang w:val="es-ES"/>
        </w:rPr>
        <w:footnoteReference w:id="405"/>
      </w:r>
      <w:r w:rsidRPr="003E425B">
        <w:rPr>
          <w:rFonts w:ascii="Times New Roman" w:hAnsi="Times New Roman"/>
          <w:bCs/>
          <w:color w:val="000000" w:themeColor="text1"/>
          <w:sz w:val="28"/>
          <w:lang w:val="es-ES"/>
        </w:rPr>
        <w:t>. Esto implica que la ley habilitante debe ser inteligible</w:t>
      </w:r>
      <w:r w:rsidRPr="003E425B">
        <w:rPr>
          <w:rStyle w:val="Refdenotaalpie"/>
          <w:rFonts w:ascii="Times New Roman" w:hAnsi="Times New Roman"/>
          <w:bCs/>
          <w:color w:val="000000" w:themeColor="text1"/>
          <w:sz w:val="28"/>
          <w:lang w:val="es-ES"/>
        </w:rPr>
        <w:footnoteReference w:id="406"/>
      </w:r>
      <w:r w:rsidRPr="003E425B">
        <w:rPr>
          <w:rFonts w:ascii="Times New Roman" w:hAnsi="Times New Roman"/>
          <w:bCs/>
          <w:color w:val="000000" w:themeColor="text1"/>
          <w:sz w:val="28"/>
          <w:lang w:val="es-ES"/>
        </w:rPr>
        <w:t xml:space="preserve"> y</w:t>
      </w:r>
      <w:r w:rsidRPr="003E425B">
        <w:rPr>
          <w:rFonts w:ascii="Times New Roman" w:hAnsi="Times New Roman"/>
          <w:bCs/>
          <w:color w:val="000000" w:themeColor="text1"/>
          <w:sz w:val="28"/>
        </w:rPr>
        <w:t xml:space="preserve"> permitir al intérprete delimitar inequívocamente el campo de acción del ejecutivo</w:t>
      </w:r>
      <w:r w:rsidRPr="003E425B">
        <w:rPr>
          <w:rFonts w:ascii="Times New Roman" w:hAnsi="Times New Roman"/>
          <w:bCs/>
          <w:sz w:val="28"/>
          <w:vertAlign w:val="superscript"/>
          <w:lang w:val="es-ES_tradnl"/>
        </w:rPr>
        <w:footnoteReference w:id="407"/>
      </w:r>
      <w:r w:rsidRPr="003E425B">
        <w:rPr>
          <w:rFonts w:ascii="Times New Roman" w:hAnsi="Times New Roman"/>
          <w:bCs/>
          <w:color w:val="000000" w:themeColor="text1"/>
          <w:sz w:val="28"/>
          <w:lang w:val="es-ES_tradnl"/>
        </w:rPr>
        <w:t xml:space="preserve">. Las habilitaciones vagas e </w:t>
      </w:r>
      <w:r w:rsidRPr="003E425B">
        <w:rPr>
          <w:rFonts w:ascii="Times New Roman" w:hAnsi="Times New Roman"/>
          <w:bCs/>
          <w:color w:val="000000" w:themeColor="text1"/>
          <w:sz w:val="28"/>
          <w:lang w:val="es-ES_tradnl"/>
        </w:rPr>
        <w:t>indeterminadas, así como aquellas que equivalen a una renuncia no condicionada al ejercicio de una función que el Constituyente asignó al Congreso de la República</w:t>
      </w:r>
      <w:r w:rsidRPr="003E425B">
        <w:rPr>
          <w:rStyle w:val="Refdenotaalpie"/>
          <w:rFonts w:ascii="Times New Roman" w:hAnsi="Times New Roman"/>
          <w:bCs/>
          <w:color w:val="000000" w:themeColor="text1"/>
          <w:sz w:val="28"/>
        </w:rPr>
        <w:footnoteReference w:id="408"/>
      </w:r>
      <w:r w:rsidRPr="003E425B">
        <w:rPr>
          <w:rFonts w:ascii="Times New Roman" w:hAnsi="Times New Roman"/>
          <w:bCs/>
          <w:color w:val="000000" w:themeColor="text1"/>
          <w:sz w:val="28"/>
          <w:lang w:val="es-ES_tradnl"/>
        </w:rPr>
        <w:t xml:space="preserve">, </w:t>
      </w:r>
      <w:r w:rsidRPr="003E425B">
        <w:rPr>
          <w:rFonts w:ascii="Times New Roman" w:hAnsi="Times New Roman"/>
          <w:bCs/>
          <w:color w:val="000000" w:themeColor="text1"/>
          <w:sz w:val="28"/>
          <w:lang w:val="es-ES"/>
        </w:rPr>
        <w:t>“vulneran el carácter excepcional de la facultad legislativa presidencial”</w:t>
      </w:r>
      <w:r w:rsidRPr="003E425B">
        <w:rPr>
          <w:rFonts w:ascii="Times New Roman" w:hAnsi="Times New Roman"/>
          <w:bCs/>
          <w:sz w:val="28"/>
          <w:vertAlign w:val="superscript"/>
          <w:lang w:val="es-ES"/>
        </w:rPr>
        <w:footnoteReference w:id="409"/>
      </w:r>
      <w:r w:rsidRPr="003E425B">
        <w:rPr>
          <w:rFonts w:ascii="Times New Roman" w:hAnsi="Times New Roman"/>
          <w:bCs/>
          <w:color w:val="000000" w:themeColor="text1"/>
          <w:sz w:val="28"/>
          <w:lang w:val="es-ES"/>
        </w:rPr>
        <w:t xml:space="preserve">. </w:t>
      </w:r>
    </w:p>
    <w:p w:rsidR="00832D81" w:rsidRPr="003E425B" w:rsidRDefault="003E425B" w:rsidP="000C6CC6">
      <w:pPr>
        <w:pStyle w:val="Prrafodelista"/>
        <w:numPr>
          <w:ilvl w:val="1"/>
          <w:numId w:val="33"/>
        </w:numPr>
        <w:spacing w:line="240" w:lineRule="auto"/>
        <w:ind w:left="851" w:hanging="851"/>
        <w:rPr>
          <w:rFonts w:ascii="Times New Roman" w:hAnsi="Times New Roman"/>
          <w:sz w:val="28"/>
          <w:lang w:eastAsia="es-MX"/>
        </w:rPr>
      </w:pPr>
      <w:r w:rsidRPr="003E425B">
        <w:rPr>
          <w:rFonts w:ascii="Times New Roman" w:hAnsi="Times New Roman"/>
          <w:i/>
          <w:color w:val="000000" w:themeColor="text1"/>
          <w:sz w:val="28"/>
          <w:lang w:val="es-ES"/>
        </w:rPr>
        <w:t xml:space="preserve">La finalidad </w:t>
      </w:r>
      <w:r w:rsidRPr="003E425B">
        <w:rPr>
          <w:rFonts w:ascii="Times New Roman" w:hAnsi="Times New Roman"/>
          <w:i/>
          <w:color w:val="000000" w:themeColor="text1"/>
          <w:sz w:val="28"/>
          <w:lang w:val="es-ES"/>
        </w:rPr>
        <w:t>de la habilitación</w:t>
      </w:r>
      <w:r w:rsidRPr="003E425B">
        <w:rPr>
          <w:rFonts w:ascii="Times New Roman" w:hAnsi="Times New Roman"/>
          <w:iCs/>
          <w:color w:val="000000" w:themeColor="text1"/>
          <w:sz w:val="28"/>
          <w:lang w:val="es-ES"/>
        </w:rPr>
        <w:t>. El legislador debe definir</w:t>
      </w:r>
      <w:r w:rsidRPr="003E425B">
        <w:rPr>
          <w:rFonts w:ascii="Times New Roman" w:hAnsi="Times New Roman"/>
          <w:iCs/>
          <w:color w:val="000000" w:themeColor="text1"/>
          <w:sz w:val="28"/>
          <w:lang w:val="es-MX"/>
        </w:rPr>
        <w:t xml:space="preserve"> “los propósitos o finalidades que animan la concesión de facultades extraordinarias al Ejecutivo y han de orientar al legislador extraordinario, de forma que pueda respetar la voluntad del Congreso”</w:t>
      </w:r>
      <w:r w:rsidRPr="003E425B">
        <w:rPr>
          <w:rFonts w:ascii="Times New Roman" w:hAnsi="Times New Roman"/>
          <w:sz w:val="28"/>
          <w:vertAlign w:val="superscript"/>
          <w:lang w:val="es-MX"/>
        </w:rPr>
        <w:footnoteReference w:id="410"/>
      </w:r>
      <w:r w:rsidRPr="003E425B">
        <w:rPr>
          <w:rFonts w:ascii="Times New Roman" w:hAnsi="Times New Roman"/>
          <w:iCs/>
          <w:color w:val="000000" w:themeColor="text1"/>
          <w:sz w:val="28"/>
          <w:lang w:val="es-MX"/>
        </w:rPr>
        <w:t xml:space="preserve">. </w:t>
      </w:r>
      <w:r w:rsidRPr="003E425B">
        <w:rPr>
          <w:rFonts w:ascii="Times New Roman" w:hAnsi="Times New Roman"/>
          <w:iCs/>
          <w:color w:val="000000" w:themeColor="text1"/>
          <w:sz w:val="28"/>
          <w:lang w:val="es-ES"/>
        </w:rPr>
        <w:t>De acuer</w:t>
      </w:r>
      <w:r w:rsidRPr="003E425B">
        <w:rPr>
          <w:rFonts w:ascii="Times New Roman" w:hAnsi="Times New Roman"/>
          <w:iCs/>
          <w:color w:val="000000" w:themeColor="text1"/>
          <w:sz w:val="28"/>
          <w:lang w:val="es-ES"/>
        </w:rPr>
        <w:t xml:space="preserve">do con la jurisprudencia constitucional, debe existir coherencia </w:t>
      </w:r>
      <w:r w:rsidRPr="003E425B">
        <w:rPr>
          <w:rFonts w:ascii="Times New Roman" w:hAnsi="Times New Roman"/>
          <w:color w:val="000000" w:themeColor="text1"/>
          <w:sz w:val="28"/>
          <w:lang w:val="es-MX"/>
        </w:rPr>
        <w:t>“entre, los motivos que llevaron al legislador a concederlas, y el contenido mismo de la ley de facultades.</w:t>
      </w:r>
      <w:r w:rsidRPr="003E425B">
        <w:rPr>
          <w:rFonts w:ascii="Times New Roman" w:hAnsi="Times New Roman"/>
          <w:sz w:val="28"/>
        </w:rPr>
        <w:t xml:space="preserve"> </w:t>
      </w:r>
      <w:r w:rsidRPr="003E425B">
        <w:rPr>
          <w:rFonts w:ascii="Times New Roman" w:hAnsi="Times New Roman"/>
          <w:color w:val="000000" w:themeColor="text1"/>
          <w:sz w:val="28"/>
          <w:lang w:val="es-MX"/>
        </w:rPr>
        <w:t>Los dos extremos conforman una unidad indisoluble”</w:t>
      </w:r>
      <w:r w:rsidRPr="003E425B">
        <w:rPr>
          <w:rFonts w:ascii="Times New Roman" w:hAnsi="Times New Roman"/>
          <w:sz w:val="28"/>
          <w:vertAlign w:val="superscript"/>
          <w:lang w:val="es-MX"/>
        </w:rPr>
        <w:footnoteReference w:id="411"/>
      </w:r>
      <w:r w:rsidRPr="003E425B">
        <w:rPr>
          <w:rFonts w:ascii="Times New Roman" w:hAnsi="Times New Roman"/>
          <w:color w:val="000000" w:themeColor="text1"/>
          <w:sz w:val="28"/>
          <w:lang w:val="es-MX"/>
        </w:rPr>
        <w:t xml:space="preserve">. </w:t>
      </w:r>
    </w:p>
    <w:p w:rsidR="00832D81" w:rsidRPr="003E425B" w:rsidRDefault="003E425B" w:rsidP="00010108">
      <w:pPr>
        <w:rPr>
          <w:rFonts w:ascii="Times New Roman" w:hAnsi="Times New Roman" w:cs="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bookmarkStart w:id="35" w:name="_Ref165375960"/>
      <w:r w:rsidRPr="003E425B">
        <w:rPr>
          <w:rFonts w:ascii="Times New Roman" w:hAnsi="Times New Roman"/>
          <w:sz w:val="28"/>
        </w:rPr>
        <w:t>La jurisprudencia constituci</w:t>
      </w:r>
      <w:r w:rsidRPr="003E425B">
        <w:rPr>
          <w:rFonts w:ascii="Times New Roman" w:hAnsi="Times New Roman"/>
          <w:sz w:val="28"/>
        </w:rPr>
        <w:t xml:space="preserve">onal ha aclarado, sin embargo, que el requisito de precisión de la ley habilitante no implica exhaustividad y “no puede llegar al punto de hacer que sea el propio Legislador quien defina con detalle el </w:t>
      </w:r>
      <w:r w:rsidRPr="003E425B">
        <w:rPr>
          <w:rFonts w:ascii="Times New Roman" w:hAnsi="Times New Roman"/>
          <w:color w:val="000000" w:themeColor="text1"/>
          <w:sz w:val="28"/>
        </w:rPr>
        <w:t>contenido</w:t>
      </w:r>
      <w:r w:rsidRPr="003E425B">
        <w:rPr>
          <w:rFonts w:ascii="Times New Roman" w:hAnsi="Times New Roman"/>
          <w:sz w:val="28"/>
        </w:rPr>
        <w:t xml:space="preserve"> de las materias que debe regular el Ejecutiv</w:t>
      </w:r>
      <w:r w:rsidRPr="003E425B">
        <w:rPr>
          <w:rFonts w:ascii="Times New Roman" w:hAnsi="Times New Roman"/>
          <w:sz w:val="28"/>
        </w:rPr>
        <w:t>o con las facultades extraordinarias”</w:t>
      </w:r>
      <w:r w:rsidRPr="003E425B">
        <w:rPr>
          <w:rStyle w:val="Refdenotaalpie"/>
          <w:rFonts w:ascii="Times New Roman" w:hAnsi="Times New Roman"/>
          <w:sz w:val="28"/>
        </w:rPr>
        <w:footnoteReference w:id="412"/>
      </w:r>
      <w:r w:rsidRPr="003E425B">
        <w:rPr>
          <w:rFonts w:ascii="Times New Roman" w:hAnsi="Times New Roman"/>
          <w:sz w:val="28"/>
        </w:rPr>
        <w:t>. La Constitución permite que el objeto de la delegación tenga un grado razonable de amplitud</w:t>
      </w:r>
      <w:r w:rsidRPr="003E425B">
        <w:rPr>
          <w:rFonts w:ascii="Times New Roman" w:hAnsi="Times New Roman"/>
          <w:sz w:val="28"/>
          <w:vertAlign w:val="superscript"/>
          <w:lang w:val="es-ES"/>
        </w:rPr>
        <w:footnoteReference w:id="413"/>
      </w:r>
      <w:r w:rsidRPr="003E425B">
        <w:rPr>
          <w:rFonts w:ascii="Times New Roman" w:hAnsi="Times New Roman"/>
          <w:sz w:val="28"/>
        </w:rPr>
        <w:t>. Exigir al Congreso fijar unos parámetros minuciosos “tornaría inocua e innecesaria la concesión de facultades”</w:t>
      </w:r>
      <w:r w:rsidRPr="003E425B">
        <w:rPr>
          <w:rStyle w:val="Refdenotaalpie"/>
          <w:rFonts w:ascii="Times New Roman" w:hAnsi="Times New Roman"/>
          <w:sz w:val="28"/>
        </w:rPr>
        <w:footnoteReference w:id="414"/>
      </w:r>
      <w:r w:rsidRPr="003E425B">
        <w:rPr>
          <w:rFonts w:ascii="Times New Roman" w:hAnsi="Times New Roman"/>
          <w:sz w:val="28"/>
        </w:rPr>
        <w:t>, “restaría</w:t>
      </w:r>
      <w:r w:rsidRPr="003E425B">
        <w:rPr>
          <w:rFonts w:ascii="Times New Roman" w:hAnsi="Times New Roman"/>
          <w:sz w:val="28"/>
        </w:rPr>
        <w:t xml:space="preserve"> sentido a la delegación legislativa”</w:t>
      </w:r>
      <w:r w:rsidRPr="003E425B">
        <w:rPr>
          <w:rStyle w:val="Refdenotaalpie"/>
          <w:rFonts w:ascii="Times New Roman" w:hAnsi="Times New Roman"/>
          <w:sz w:val="28"/>
        </w:rPr>
        <w:footnoteReference w:id="415"/>
      </w:r>
      <w:r w:rsidRPr="003E425B">
        <w:rPr>
          <w:rFonts w:ascii="Times New Roman" w:hAnsi="Times New Roman"/>
          <w:sz w:val="28"/>
        </w:rPr>
        <w:t xml:space="preserve"> y “podría conducir al exabrupto de convertir al Ejecutivo delegado en un mero repetidor de lo autorizado taxativamente por el legislador ordinario”</w:t>
      </w:r>
      <w:r w:rsidRPr="003E425B">
        <w:rPr>
          <w:rStyle w:val="Refdenotaalpie"/>
          <w:rFonts w:ascii="Times New Roman" w:hAnsi="Times New Roman"/>
          <w:sz w:val="28"/>
        </w:rPr>
        <w:footnoteReference w:id="416"/>
      </w:r>
      <w:r w:rsidRPr="003E425B">
        <w:rPr>
          <w:rFonts w:ascii="Times New Roman" w:hAnsi="Times New Roman"/>
          <w:sz w:val="28"/>
        </w:rPr>
        <w:t xml:space="preserve">. En tales términos, el requisito de precisión exige que el objeto y </w:t>
      </w:r>
      <w:r w:rsidRPr="003E425B">
        <w:rPr>
          <w:rFonts w:ascii="Times New Roman" w:hAnsi="Times New Roman"/>
          <w:sz w:val="28"/>
        </w:rPr>
        <w:t xml:space="preserve">finalidad de la delegación queden razonablemente delimitadas y definidas en la ley habilitante; pero no impone al legislador la obligación de individualizar los </w:t>
      </w:r>
      <w:r w:rsidRPr="003E425B">
        <w:rPr>
          <w:rFonts w:ascii="Times New Roman" w:hAnsi="Times New Roman"/>
          <w:i/>
          <w:iCs/>
          <w:sz w:val="28"/>
        </w:rPr>
        <w:t>medios</w:t>
      </w:r>
      <w:r w:rsidRPr="003E425B">
        <w:rPr>
          <w:rFonts w:ascii="Times New Roman" w:hAnsi="Times New Roman"/>
          <w:sz w:val="28"/>
        </w:rPr>
        <w:t xml:space="preserve"> que el Gobierno Nacional debe emplear al ejercer las facultades extraordinarias. Es cons</w:t>
      </w:r>
      <w:r w:rsidRPr="003E425B">
        <w:rPr>
          <w:rFonts w:ascii="Times New Roman" w:hAnsi="Times New Roman"/>
          <w:sz w:val="28"/>
        </w:rPr>
        <w:t xml:space="preserve">titucionalmente admisible que, conforme al principio de colaboración armónica, la ley habilitante otorgue al Presidente de la República la potestad de elegir los medios para desarrollar el objeto y alcanzar las finalidades de la delegación que el Congreso </w:t>
      </w:r>
      <w:r w:rsidRPr="003E425B">
        <w:rPr>
          <w:rFonts w:ascii="Times New Roman" w:hAnsi="Times New Roman"/>
          <w:sz w:val="28"/>
        </w:rPr>
        <w:t>de la República defina</w:t>
      </w:r>
      <w:r w:rsidRPr="003E425B">
        <w:rPr>
          <w:rStyle w:val="Refdenotaalpie"/>
          <w:rFonts w:ascii="Times New Roman" w:hAnsi="Times New Roman"/>
          <w:sz w:val="28"/>
        </w:rPr>
        <w:footnoteReference w:id="417"/>
      </w:r>
      <w:r w:rsidRPr="003E425B">
        <w:rPr>
          <w:rFonts w:ascii="Times New Roman" w:hAnsi="Times New Roman"/>
          <w:sz w:val="28"/>
        </w:rPr>
        <w:t>.</w:t>
      </w:r>
      <w:bookmarkEnd w:id="35"/>
      <w:r w:rsidRPr="003E425B">
        <w:rPr>
          <w:rFonts w:ascii="Times New Roman" w:hAnsi="Times New Roman"/>
          <w:sz w:val="28"/>
        </w:rPr>
        <w:t xml:space="preserve"> </w:t>
      </w:r>
    </w:p>
    <w:p w:rsidR="00832D81" w:rsidRPr="003E425B" w:rsidRDefault="003E425B" w:rsidP="00010108">
      <w:pPr>
        <w:rPr>
          <w:rFonts w:ascii="Times New Roman" w:hAnsi="Times New Roman" w:cs="Times New Roman"/>
          <w:sz w:val="28"/>
        </w:rPr>
      </w:pPr>
    </w:p>
    <w:p w:rsidR="005E328E" w:rsidRPr="003E425B" w:rsidRDefault="003E425B" w:rsidP="000C6CC6">
      <w:pPr>
        <w:pStyle w:val="Ttulo3"/>
        <w:numPr>
          <w:ilvl w:val="2"/>
          <w:numId w:val="37"/>
        </w:numPr>
        <w:ind w:hanging="798"/>
        <w:rPr>
          <w:rFonts w:ascii="Times New Roman" w:hAnsi="Times New Roman" w:cs="Times New Roman"/>
          <w:sz w:val="28"/>
          <w:lang w:val="es-ES_tradnl"/>
        </w:rPr>
      </w:pPr>
      <w:r w:rsidRPr="003E425B">
        <w:rPr>
          <w:rFonts w:ascii="Times New Roman" w:hAnsi="Times New Roman" w:cs="Times New Roman"/>
          <w:sz w:val="28"/>
        </w:rPr>
        <w:t>Facultades extraordinarias para modificar la administración pública e integrar sectores administrativos</w:t>
      </w:r>
      <w:r w:rsidRPr="003E425B">
        <w:rPr>
          <w:rFonts w:ascii="Times New Roman" w:hAnsi="Times New Roman" w:cs="Times New Roman"/>
          <w:sz w:val="28"/>
        </w:rPr>
        <w:t xml:space="preserve"> </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bookmarkStart w:id="36" w:name="_Ref165376013"/>
      <w:r w:rsidRPr="003E425B">
        <w:rPr>
          <w:rFonts w:ascii="Times New Roman" w:hAnsi="Times New Roman"/>
          <w:iCs/>
          <w:color w:val="000000" w:themeColor="text1"/>
          <w:sz w:val="28"/>
          <w:lang w:val="es-MX"/>
        </w:rPr>
        <w:t>E</w:t>
      </w:r>
      <w:r w:rsidRPr="003E425B">
        <w:rPr>
          <w:rFonts w:ascii="Times New Roman" w:hAnsi="Times New Roman"/>
          <w:iCs/>
          <w:color w:val="000000" w:themeColor="text1"/>
          <w:sz w:val="28"/>
        </w:rPr>
        <w:t>l numeral 7º del artículo 150 de la Constitución prescribe que, en ejercicio de la cláusula general de competencia Legisla</w:t>
      </w:r>
      <w:r w:rsidRPr="003E425B">
        <w:rPr>
          <w:rFonts w:ascii="Times New Roman" w:hAnsi="Times New Roman"/>
          <w:iCs/>
          <w:color w:val="000000" w:themeColor="text1"/>
          <w:sz w:val="28"/>
        </w:rPr>
        <w:t>tiva, corresponde al Congreso expedir leyes para “determinar la estructura de la administración nacional y crear, suprimir o fusionar ministerios, departamentos administrativos, superintendencias, establecimientos públicos y otras entidades del orden nacio</w:t>
      </w:r>
      <w:r w:rsidRPr="003E425B">
        <w:rPr>
          <w:rFonts w:ascii="Times New Roman" w:hAnsi="Times New Roman"/>
          <w:iCs/>
          <w:color w:val="000000" w:themeColor="text1"/>
          <w:sz w:val="28"/>
        </w:rPr>
        <w:t xml:space="preserve">nal, señalando sus objetivos y estructura orgánica”. En concordancia, el artículo 42 de la Ley 489 de 1998 prevé que “[e]l Sector Administrativo está integrado por el Ministerio o Departamento Administrativo, las superintendencias y demás entidades </w:t>
      </w:r>
      <w:r w:rsidRPr="003E425B">
        <w:rPr>
          <w:rFonts w:ascii="Times New Roman" w:hAnsi="Times New Roman"/>
          <w:iCs/>
          <w:color w:val="000000" w:themeColor="text1"/>
          <w:sz w:val="28"/>
          <w:u w:val="single"/>
        </w:rPr>
        <w:t xml:space="preserve">que la </w:t>
      </w:r>
      <w:r w:rsidRPr="003E425B">
        <w:rPr>
          <w:rFonts w:ascii="Times New Roman" w:hAnsi="Times New Roman"/>
          <w:iCs/>
          <w:color w:val="000000" w:themeColor="text1"/>
          <w:sz w:val="28"/>
          <w:u w:val="single"/>
        </w:rPr>
        <w:t>ley</w:t>
      </w:r>
      <w:r w:rsidRPr="003E425B">
        <w:rPr>
          <w:rFonts w:ascii="Times New Roman" w:hAnsi="Times New Roman"/>
          <w:iCs/>
          <w:color w:val="000000" w:themeColor="text1"/>
          <w:sz w:val="28"/>
        </w:rPr>
        <w:t xml:space="preserve"> defina como adscritas o vinculadas a aquéllos según correspondiere a cada área” (subrayado fuera del texto).</w:t>
      </w:r>
      <w:bookmarkEnd w:id="36"/>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MX"/>
        </w:rPr>
        <w:t>La Corte Constitucional ha reiterado que la función constitucional del Congreso de la República de determinar la estructura de la administraci</w:t>
      </w:r>
      <w:r w:rsidRPr="003E425B">
        <w:rPr>
          <w:rFonts w:ascii="Times New Roman" w:hAnsi="Times New Roman"/>
          <w:color w:val="000000" w:themeColor="text1"/>
          <w:sz w:val="28"/>
          <w:lang w:val="es-MX"/>
        </w:rPr>
        <w:t>ón pública “</w:t>
      </w:r>
      <w:r w:rsidRPr="003E425B">
        <w:rPr>
          <w:rFonts w:ascii="Times New Roman" w:hAnsi="Times New Roman"/>
          <w:sz w:val="28"/>
        </w:rPr>
        <w:t>no se agota con la creación, supresión o fusión de los organismos que la integran, ‘sino que abarca proyecciones mucho más comprensivas que tienen que ver con el señalamiento de la estructura orgánica de cada uno de ellos, la precisión de sus o</w:t>
      </w:r>
      <w:r w:rsidRPr="003E425B">
        <w:rPr>
          <w:rFonts w:ascii="Times New Roman" w:hAnsi="Times New Roman"/>
          <w:sz w:val="28"/>
        </w:rPr>
        <w:t>bjetivos, sus funciones generales y la vinculación con otros organismos para fines del control’”</w:t>
      </w:r>
      <w:r w:rsidRPr="003E425B">
        <w:rPr>
          <w:rStyle w:val="Refdenotaalpie"/>
          <w:rFonts w:ascii="Times New Roman" w:hAnsi="Times New Roman"/>
          <w:sz w:val="28"/>
        </w:rPr>
        <w:footnoteReference w:id="418"/>
      </w:r>
      <w:r w:rsidRPr="003E425B">
        <w:rPr>
          <w:rFonts w:ascii="Times New Roman" w:hAnsi="Times New Roman"/>
          <w:sz w:val="28"/>
        </w:rPr>
        <w:t>.</w:t>
      </w:r>
      <w:r w:rsidRPr="003E425B">
        <w:rPr>
          <w:rFonts w:ascii="Times New Roman" w:hAnsi="Times New Roman"/>
          <w:i/>
          <w:iCs/>
          <w:sz w:val="28"/>
        </w:rPr>
        <w:t xml:space="preserve"> </w:t>
      </w:r>
      <w:r w:rsidRPr="003E425B">
        <w:rPr>
          <w:rFonts w:ascii="Times New Roman" w:hAnsi="Times New Roman"/>
          <w:sz w:val="28"/>
        </w:rPr>
        <w:t>Asimismo, este tribunal ha reiterado que esta función constitucional comprende la potestad de integrar los sectores administrativos, establecer las entidades</w:t>
      </w:r>
      <w:r w:rsidRPr="003E425B">
        <w:rPr>
          <w:rFonts w:ascii="Times New Roman" w:hAnsi="Times New Roman"/>
          <w:sz w:val="28"/>
        </w:rPr>
        <w:t xml:space="preserve"> u organismos que lo comprenden e “indicar el grado de relación -vinculación o adscripción- existente entre cierta entidad o determinado organismo y el ministerio o departamento administrativo que encabeza el sector correspondiente”</w:t>
      </w:r>
      <w:r w:rsidRPr="003E425B">
        <w:rPr>
          <w:rStyle w:val="Refdenotaalpie"/>
          <w:rFonts w:ascii="Times New Roman" w:hAnsi="Times New Roman"/>
          <w:sz w:val="28"/>
        </w:rPr>
        <w:footnoteReference w:id="419"/>
      </w:r>
      <w:r w:rsidRPr="003E425B">
        <w:rPr>
          <w:rFonts w:ascii="Times New Roman" w:hAnsi="Times New Roman"/>
          <w:sz w:val="28"/>
        </w:rPr>
        <w:t>.</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La Constitución perm</w:t>
      </w:r>
      <w:r w:rsidRPr="003E425B">
        <w:rPr>
          <w:rFonts w:ascii="Times New Roman" w:hAnsi="Times New Roman"/>
          <w:iCs/>
          <w:color w:val="000000" w:themeColor="text1"/>
          <w:sz w:val="28"/>
        </w:rPr>
        <w:t>ite que el Congreso de la República delegue al Presidente de la República, de forma temporal y precisa, el ejercicio de la función constitucional consagrada en el numeral 7º del artículo 150 de la Constitución</w:t>
      </w:r>
      <w:r w:rsidRPr="003E425B">
        <w:rPr>
          <w:rStyle w:val="Refdenotaalpie"/>
          <w:rFonts w:ascii="Times New Roman" w:hAnsi="Times New Roman"/>
          <w:iCs/>
          <w:color w:val="000000" w:themeColor="text1"/>
          <w:sz w:val="28"/>
        </w:rPr>
        <w:footnoteReference w:id="420"/>
      </w:r>
      <w:r w:rsidRPr="003E425B">
        <w:rPr>
          <w:rFonts w:ascii="Times New Roman" w:hAnsi="Times New Roman"/>
          <w:iCs/>
          <w:color w:val="000000" w:themeColor="text1"/>
          <w:sz w:val="28"/>
        </w:rPr>
        <w:t>. El constituyente asignó al Congreso de la Re</w:t>
      </w:r>
      <w:r w:rsidRPr="003E425B">
        <w:rPr>
          <w:rFonts w:ascii="Times New Roman" w:hAnsi="Times New Roman"/>
          <w:iCs/>
          <w:color w:val="000000" w:themeColor="text1"/>
          <w:sz w:val="28"/>
        </w:rPr>
        <w:t>pública la competencia “primaria y preferente”</w:t>
      </w:r>
      <w:r w:rsidRPr="003E425B">
        <w:rPr>
          <w:rStyle w:val="Refdenotaalpie"/>
          <w:rFonts w:ascii="Times New Roman" w:hAnsi="Times New Roman"/>
          <w:iCs/>
          <w:color w:val="000000" w:themeColor="text1"/>
          <w:sz w:val="28"/>
        </w:rPr>
        <w:t xml:space="preserve"> </w:t>
      </w:r>
      <w:r w:rsidRPr="003E425B">
        <w:rPr>
          <w:rStyle w:val="Refdenotaalpie"/>
          <w:rFonts w:ascii="Times New Roman" w:hAnsi="Times New Roman"/>
          <w:iCs/>
          <w:color w:val="000000" w:themeColor="text1"/>
          <w:sz w:val="28"/>
        </w:rPr>
        <w:footnoteReference w:id="421"/>
      </w:r>
      <w:r w:rsidRPr="003E425B">
        <w:rPr>
          <w:rFonts w:ascii="Times New Roman" w:hAnsi="Times New Roman"/>
          <w:iCs/>
          <w:color w:val="000000" w:themeColor="text1"/>
          <w:sz w:val="28"/>
        </w:rPr>
        <w:t xml:space="preserve"> para determinar la estructura de la administración pública. Sin embargo, en jurisprudencia pacífica y uniforme, la Corte Constitucional ha reconocido que el Congreso de la República podrá ejercer esta competencia </w:t>
      </w:r>
      <w:r w:rsidRPr="003E425B">
        <w:rPr>
          <w:rFonts w:ascii="Times New Roman" w:hAnsi="Times New Roman"/>
          <w:i/>
          <w:color w:val="000000" w:themeColor="text1"/>
          <w:sz w:val="28"/>
        </w:rPr>
        <w:t>(i)</w:t>
      </w:r>
      <w:r w:rsidRPr="003E425B">
        <w:rPr>
          <w:rFonts w:ascii="Times New Roman" w:hAnsi="Times New Roman"/>
          <w:iCs/>
          <w:color w:val="000000" w:themeColor="text1"/>
          <w:sz w:val="28"/>
        </w:rPr>
        <w:t xml:space="preserve"> de manera directa o </w:t>
      </w:r>
      <w:r w:rsidRPr="003E425B">
        <w:rPr>
          <w:rFonts w:ascii="Times New Roman" w:hAnsi="Times New Roman"/>
          <w:i/>
          <w:color w:val="000000" w:themeColor="text1"/>
          <w:sz w:val="28"/>
        </w:rPr>
        <w:t xml:space="preserve">(ii) </w:t>
      </w:r>
      <w:r w:rsidRPr="003E425B">
        <w:rPr>
          <w:rFonts w:ascii="Times New Roman" w:hAnsi="Times New Roman"/>
          <w:iCs/>
          <w:color w:val="000000" w:themeColor="text1"/>
          <w:sz w:val="28"/>
        </w:rPr>
        <w:t xml:space="preserve">a partir del </w:t>
      </w:r>
      <w:r w:rsidRPr="003E425B">
        <w:rPr>
          <w:rFonts w:ascii="Times New Roman" w:hAnsi="Times New Roman"/>
          <w:iCs/>
          <w:color w:val="000000" w:themeColor="text1"/>
          <w:sz w:val="28"/>
        </w:rPr>
        <w:t>otorgamiento de facultades extraordinarias</w:t>
      </w:r>
      <w:r w:rsidRPr="003E425B">
        <w:rPr>
          <w:rStyle w:val="Refdenotaalpie"/>
          <w:rFonts w:ascii="Times New Roman" w:hAnsi="Times New Roman"/>
          <w:iCs/>
          <w:color w:val="000000" w:themeColor="text1"/>
          <w:sz w:val="28"/>
        </w:rPr>
        <w:footnoteReference w:id="422"/>
      </w:r>
      <w:r w:rsidRPr="003E425B">
        <w:rPr>
          <w:rFonts w:ascii="Times New Roman" w:hAnsi="Times New Roman"/>
          <w:iCs/>
          <w:color w:val="000000" w:themeColor="text1"/>
          <w:sz w:val="28"/>
        </w:rPr>
        <w:t xml:space="preserve">, </w:t>
      </w:r>
      <w:r w:rsidRPr="003E425B">
        <w:rPr>
          <w:rFonts w:ascii="Times New Roman" w:hAnsi="Times New Roman"/>
          <w:color w:val="000000" w:themeColor="text1"/>
          <w:sz w:val="28"/>
          <w:lang w:val="es-MX"/>
        </w:rPr>
        <w:t>conforme al numeral 10º del artículo 150 de la Constitución.</w:t>
      </w:r>
      <w:r w:rsidRPr="003E425B">
        <w:rPr>
          <w:rFonts w:ascii="Times New Roman" w:hAnsi="Times New Roman"/>
          <w:color w:val="000000" w:themeColor="text1"/>
          <w:sz w:val="28"/>
        </w:rPr>
        <w:t xml:space="preserve"> </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 xml:space="preserve">En particular, la jurisprudencia constitucional ha enfatizado que la Constitución </w:t>
      </w:r>
      <w:r w:rsidRPr="003E425B">
        <w:rPr>
          <w:rFonts w:ascii="Times New Roman" w:hAnsi="Times New Roman"/>
          <w:iCs/>
          <w:color w:val="000000" w:themeColor="text1"/>
          <w:sz w:val="28"/>
        </w:rPr>
        <w:t>faculta al Congreso de la República para habilitar al Presidente</w:t>
      </w:r>
      <w:r w:rsidRPr="003E425B">
        <w:rPr>
          <w:rFonts w:ascii="Times New Roman" w:hAnsi="Times New Roman"/>
          <w:iCs/>
          <w:color w:val="000000" w:themeColor="text1"/>
          <w:sz w:val="28"/>
        </w:rPr>
        <w:t xml:space="preserve"> de la República para dictar normas con fuerza de ley dirigidas a integrar un determinado sector administrativo y definir las entidades adscritas o vinculadas</w:t>
      </w:r>
      <w:r w:rsidRPr="003E425B">
        <w:rPr>
          <w:rStyle w:val="Refdenotaalpie"/>
          <w:rFonts w:ascii="Times New Roman" w:hAnsi="Times New Roman"/>
          <w:iCs/>
          <w:color w:val="000000" w:themeColor="text1"/>
          <w:sz w:val="28"/>
        </w:rPr>
        <w:footnoteReference w:id="423"/>
      </w:r>
      <w:r w:rsidRPr="003E425B">
        <w:rPr>
          <w:rFonts w:ascii="Times New Roman" w:hAnsi="Times New Roman"/>
          <w:iCs/>
          <w:color w:val="000000" w:themeColor="text1"/>
          <w:sz w:val="28"/>
        </w:rPr>
        <w:t xml:space="preserve">. Lo anterior, siempre que se cumplan con las condiciones procedimentales y límites previstos en </w:t>
      </w:r>
      <w:r w:rsidRPr="003E425B">
        <w:rPr>
          <w:rFonts w:ascii="Times New Roman" w:hAnsi="Times New Roman"/>
          <w:iCs/>
          <w:color w:val="000000" w:themeColor="text1"/>
          <w:sz w:val="28"/>
        </w:rPr>
        <w:t>el numeral 10 del artículo 150 de la Constitución (ver párr</w:t>
      </w:r>
      <w:r w:rsidRPr="003E425B">
        <w:rPr>
          <w:rFonts w:ascii="Times New Roman" w:hAnsi="Times New Roman"/>
          <w:iCs/>
          <w:color w:val="000000" w:themeColor="text1"/>
          <w:sz w:val="28"/>
        </w:rPr>
        <w:t>.</w:t>
      </w:r>
      <w:r w:rsidRPr="003E425B">
        <w:rPr>
          <w:rFonts w:ascii="Times New Roman" w:hAnsi="Times New Roman"/>
          <w:iCs/>
          <w:color w:val="000000" w:themeColor="text1"/>
          <w:sz w:val="28"/>
        </w:rPr>
        <w:t xml:space="preserve"> </w:t>
      </w:r>
      <w:r w:rsidRPr="003E425B">
        <w:rPr>
          <w:rFonts w:ascii="Times New Roman" w:hAnsi="Times New Roman"/>
          <w:iCs/>
          <w:color w:val="000000" w:themeColor="text1"/>
          <w:sz w:val="28"/>
        </w:rPr>
        <w:t>261</w:t>
      </w:r>
      <w:r w:rsidRPr="003E425B">
        <w:rPr>
          <w:rFonts w:ascii="Times New Roman" w:hAnsi="Times New Roman"/>
          <w:iCs/>
          <w:color w:val="000000" w:themeColor="text1"/>
          <w:sz w:val="28"/>
        </w:rPr>
        <w:t>-</w:t>
      </w:r>
      <w:r w:rsidRPr="003E425B">
        <w:rPr>
          <w:rFonts w:ascii="Times New Roman" w:hAnsi="Times New Roman"/>
          <w:iCs/>
          <w:color w:val="000000" w:themeColor="text1"/>
          <w:sz w:val="28"/>
        </w:rPr>
        <w:fldChar w:fldCharType="begin"/>
      </w:r>
      <w:r w:rsidRPr="003E425B">
        <w:rPr>
          <w:rFonts w:ascii="Times New Roman" w:hAnsi="Times New Roman"/>
          <w:iCs/>
          <w:color w:val="000000" w:themeColor="text1"/>
          <w:sz w:val="28"/>
        </w:rPr>
        <w:instrText xml:space="preserve"> REF _Ref165375960 \r \h </w:instrText>
      </w:r>
      <w:r w:rsidRPr="003E425B">
        <w:rPr>
          <w:rFonts w:ascii="Times New Roman" w:hAnsi="Times New Roman"/>
          <w:iCs/>
          <w:color w:val="000000" w:themeColor="text1"/>
          <w:sz w:val="28"/>
        </w:rPr>
        <w:instrText xml:space="preserve"> \* MERGEFORMAT </w:instrText>
      </w:r>
      <w:r w:rsidRPr="003E425B">
        <w:rPr>
          <w:rFonts w:ascii="Times New Roman" w:hAnsi="Times New Roman"/>
          <w:iCs/>
          <w:color w:val="000000" w:themeColor="text1"/>
          <w:sz w:val="28"/>
        </w:rPr>
      </w:r>
      <w:r w:rsidRPr="003E425B">
        <w:rPr>
          <w:rFonts w:ascii="Times New Roman" w:hAnsi="Times New Roman"/>
          <w:iCs/>
          <w:color w:val="000000" w:themeColor="text1"/>
          <w:sz w:val="28"/>
        </w:rPr>
        <w:fldChar w:fldCharType="separate"/>
      </w:r>
      <w:r w:rsidRPr="003E425B">
        <w:rPr>
          <w:rFonts w:ascii="Times New Roman" w:hAnsi="Times New Roman"/>
          <w:iCs/>
          <w:color w:val="000000" w:themeColor="text1"/>
          <w:sz w:val="28"/>
        </w:rPr>
        <w:t>26</w:t>
      </w:r>
      <w:r w:rsidRPr="003E425B">
        <w:rPr>
          <w:rFonts w:ascii="Times New Roman" w:hAnsi="Times New Roman"/>
          <w:iCs/>
          <w:color w:val="000000" w:themeColor="text1"/>
          <w:sz w:val="28"/>
        </w:rPr>
        <w:fldChar w:fldCharType="end"/>
      </w:r>
      <w:r w:rsidRPr="003E425B">
        <w:rPr>
          <w:rFonts w:ascii="Times New Roman" w:hAnsi="Times New Roman"/>
          <w:iCs/>
          <w:color w:val="000000" w:themeColor="text1"/>
          <w:sz w:val="28"/>
        </w:rPr>
        <w:t>4</w:t>
      </w:r>
      <w:r w:rsidRPr="003E425B">
        <w:rPr>
          <w:rFonts w:ascii="Times New Roman" w:hAnsi="Times New Roman"/>
          <w:iCs/>
          <w:color w:val="000000" w:themeColor="text1"/>
          <w:sz w:val="28"/>
        </w:rPr>
        <w:t xml:space="preserve"> </w:t>
      </w:r>
      <w:r w:rsidRPr="003E425B">
        <w:rPr>
          <w:rFonts w:ascii="Times New Roman" w:hAnsi="Times New Roman"/>
          <w:i/>
          <w:color w:val="000000" w:themeColor="text1"/>
          <w:sz w:val="28"/>
        </w:rPr>
        <w:t>supra</w:t>
      </w:r>
      <w:r w:rsidRPr="003E425B">
        <w:rPr>
          <w:rFonts w:ascii="Times New Roman" w:hAnsi="Times New Roman"/>
          <w:iCs/>
          <w:color w:val="000000" w:themeColor="text1"/>
          <w:sz w:val="28"/>
        </w:rPr>
        <w:t xml:space="preserve">). Por su relevancia para resolver el cargo tercero formulado por los demandantes, la Sala Plena resalta las sentencias C-032 de 1999, C-1437 de 2000, C-121 de 2004 y C-240 de 2012: </w:t>
      </w:r>
    </w:p>
    <w:p w:rsidR="00832D81" w:rsidRPr="003E425B" w:rsidRDefault="003E425B" w:rsidP="00010108">
      <w:pPr>
        <w:pStyle w:val="Prrafodelista"/>
        <w:spacing w:line="240" w:lineRule="auto"/>
        <w:ind w:left="0"/>
        <w:rPr>
          <w:rFonts w:ascii="Times New Roman" w:hAnsi="Times New Roman"/>
          <w:sz w:val="28"/>
          <w:lang w:eastAsia="es-MX"/>
        </w:rPr>
      </w:pPr>
    </w:p>
    <w:p w:rsidR="00832D81"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lang w:val="es-ES"/>
        </w:rPr>
        <w:t>Sentencia C-032 de 1999</w:t>
      </w:r>
      <w:r w:rsidRPr="003E425B">
        <w:rPr>
          <w:rFonts w:ascii="Times New Roman" w:hAnsi="Times New Roman"/>
          <w:color w:val="000000" w:themeColor="text1"/>
          <w:sz w:val="28"/>
          <w:lang w:val="es-ES"/>
        </w:rPr>
        <w:t>. La Corte Constitucional examinó la constitucion</w:t>
      </w:r>
      <w:r w:rsidRPr="003E425B">
        <w:rPr>
          <w:rFonts w:ascii="Times New Roman" w:hAnsi="Times New Roman"/>
          <w:color w:val="000000" w:themeColor="text1"/>
          <w:sz w:val="28"/>
          <w:lang w:val="es-ES"/>
        </w:rPr>
        <w:t xml:space="preserve">alidad del artículo 89.2 de la Ley 181 de 1995 “Por la cual se dictan disposiciones para el fomento del deporte, la recreación, el aprovechamiento del tiempo libre y la educación física y se crea el Sistema Nacional del Deporte”. El artículo 89.2 confería </w:t>
      </w:r>
      <w:r w:rsidRPr="003E425B">
        <w:rPr>
          <w:rFonts w:ascii="Times New Roman" w:hAnsi="Times New Roman"/>
          <w:color w:val="000000" w:themeColor="text1"/>
          <w:sz w:val="28"/>
          <w:lang w:val="es-ES"/>
        </w:rPr>
        <w:t>facultades extraordinarias al Presidente de la República en los siguientes términos:</w:t>
      </w:r>
    </w:p>
    <w:p w:rsidR="00832D81" w:rsidRPr="003E425B" w:rsidRDefault="003E425B" w:rsidP="00010108">
      <w:pPr>
        <w:pStyle w:val="Prrafodelista"/>
        <w:spacing w:line="240" w:lineRule="auto"/>
        <w:rPr>
          <w:rFonts w:ascii="Times New Roman" w:hAnsi="Times New Roman"/>
          <w:color w:val="000000" w:themeColor="text1"/>
          <w:sz w:val="28"/>
          <w:lang w:val="es-ES"/>
        </w:rPr>
      </w:pPr>
    </w:p>
    <w:p w:rsidR="00832D81" w:rsidRPr="003E425B" w:rsidRDefault="003E425B" w:rsidP="00010108">
      <w:pPr>
        <w:ind w:left="737" w:right="567"/>
        <w:rPr>
          <w:rFonts w:ascii="Times New Roman" w:hAnsi="Times New Roman" w:cs="Times New Roman"/>
          <w:sz w:val="28"/>
          <w:szCs w:val="20"/>
        </w:rPr>
      </w:pPr>
      <w:r w:rsidRPr="003E425B">
        <w:rPr>
          <w:rFonts w:ascii="Times New Roman" w:hAnsi="Times New Roman" w:cs="Times New Roman"/>
          <w:sz w:val="28"/>
          <w:szCs w:val="20"/>
        </w:rPr>
        <w:t>“</w:t>
      </w:r>
      <w:r w:rsidRPr="003E425B">
        <w:rPr>
          <w:rFonts w:ascii="Times New Roman" w:hAnsi="Times New Roman" w:cs="Times New Roman"/>
          <w:b/>
          <w:bCs/>
          <w:sz w:val="28"/>
          <w:szCs w:val="20"/>
        </w:rPr>
        <w:t>Artículo 89</w:t>
      </w:r>
      <w:r w:rsidRPr="003E425B">
        <w:rPr>
          <w:rFonts w:ascii="Times New Roman" w:hAnsi="Times New Roman" w:cs="Times New Roman"/>
          <w:sz w:val="28"/>
          <w:szCs w:val="20"/>
        </w:rPr>
        <w:t>. Revístese al Presidente de la República de precisas facultades extraordinarias, por el termino de seis (6) meses a partir de la vigencia de esta Ley, para q</w:t>
      </w:r>
      <w:r w:rsidRPr="003E425B">
        <w:rPr>
          <w:rFonts w:ascii="Times New Roman" w:hAnsi="Times New Roman" w:cs="Times New Roman"/>
          <w:sz w:val="28"/>
          <w:szCs w:val="20"/>
        </w:rPr>
        <w:t>ue ejerza las siguientes atribuciones:</w:t>
      </w:r>
    </w:p>
    <w:p w:rsidR="00832D81" w:rsidRPr="003E425B" w:rsidRDefault="003E425B" w:rsidP="00010108">
      <w:pPr>
        <w:ind w:left="737" w:right="567"/>
        <w:jc w:val="center"/>
        <w:rPr>
          <w:rFonts w:ascii="Times New Roman" w:hAnsi="Times New Roman" w:cs="Times New Roman"/>
          <w:sz w:val="28"/>
          <w:szCs w:val="20"/>
        </w:rPr>
      </w:pPr>
    </w:p>
    <w:p w:rsidR="00832D81" w:rsidRPr="003E425B" w:rsidRDefault="003E425B" w:rsidP="00010108">
      <w:pPr>
        <w:ind w:left="737" w:right="567"/>
        <w:jc w:val="center"/>
        <w:rPr>
          <w:rFonts w:ascii="Times New Roman" w:hAnsi="Times New Roman" w:cs="Times New Roman"/>
          <w:sz w:val="28"/>
          <w:szCs w:val="20"/>
        </w:rPr>
      </w:pPr>
      <w:r w:rsidRPr="003E425B">
        <w:rPr>
          <w:rFonts w:ascii="Times New Roman" w:hAnsi="Times New Roman" w:cs="Times New Roman"/>
          <w:sz w:val="28"/>
          <w:szCs w:val="20"/>
        </w:rPr>
        <w:t>(…)</w:t>
      </w:r>
    </w:p>
    <w:p w:rsidR="00832D81" w:rsidRPr="003E425B" w:rsidRDefault="003E425B" w:rsidP="00010108">
      <w:pPr>
        <w:ind w:left="737" w:right="567"/>
        <w:rPr>
          <w:rFonts w:ascii="Times New Roman" w:hAnsi="Times New Roman" w:cs="Times New Roman"/>
          <w:sz w:val="28"/>
          <w:szCs w:val="20"/>
        </w:rPr>
      </w:pPr>
    </w:p>
    <w:p w:rsidR="00832D81" w:rsidRPr="003E425B" w:rsidRDefault="003E425B" w:rsidP="00010108">
      <w:pPr>
        <w:ind w:left="737" w:right="567"/>
        <w:rPr>
          <w:rFonts w:ascii="Times New Roman" w:hAnsi="Times New Roman" w:cs="Times New Roman"/>
          <w:sz w:val="28"/>
          <w:szCs w:val="20"/>
        </w:rPr>
      </w:pPr>
      <w:r w:rsidRPr="003E425B">
        <w:rPr>
          <w:rFonts w:ascii="Times New Roman" w:hAnsi="Times New Roman" w:cs="Times New Roman"/>
          <w:sz w:val="28"/>
          <w:szCs w:val="20"/>
        </w:rPr>
        <w:t xml:space="preserve">“2. </w:t>
      </w:r>
      <w:r w:rsidRPr="003E425B">
        <w:rPr>
          <w:rFonts w:ascii="Times New Roman" w:hAnsi="Times New Roman" w:cs="Times New Roman"/>
          <w:sz w:val="28"/>
          <w:szCs w:val="20"/>
          <w:u w:val="single"/>
        </w:rPr>
        <w:t>Revisar la legislación deportiva vigente y la estructura de los organismos del sector asociado, con el objeto de adecuarlos al contenido de esta Ley</w:t>
      </w:r>
      <w:r w:rsidRPr="003E425B">
        <w:rPr>
          <w:rFonts w:ascii="Times New Roman" w:hAnsi="Times New Roman" w:cs="Times New Roman"/>
          <w:sz w:val="28"/>
          <w:szCs w:val="20"/>
        </w:rPr>
        <w:t xml:space="preserve">”. </w:t>
      </w:r>
      <w:r w:rsidRPr="003E425B">
        <w:rPr>
          <w:rFonts w:ascii="Times New Roman" w:hAnsi="Times New Roman" w:cs="Times New Roman"/>
          <w:sz w:val="28"/>
          <w:szCs w:val="20"/>
          <w:u w:val="single"/>
        </w:rPr>
        <w:t xml:space="preserve"> </w:t>
      </w:r>
      <w:r w:rsidRPr="003E425B">
        <w:rPr>
          <w:rFonts w:ascii="Times New Roman" w:hAnsi="Times New Roman" w:cs="Times New Roman"/>
          <w:sz w:val="28"/>
          <w:szCs w:val="20"/>
        </w:rPr>
        <w:t xml:space="preserve"> </w:t>
      </w:r>
    </w:p>
    <w:p w:rsidR="00832D81"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
        </w:rPr>
        <w:t>A título preliminar, la Corte enfatizó que el requis</w:t>
      </w:r>
      <w:r w:rsidRPr="003E425B">
        <w:rPr>
          <w:rFonts w:ascii="Times New Roman" w:hAnsi="Times New Roman"/>
          <w:color w:val="000000" w:themeColor="text1"/>
          <w:sz w:val="28"/>
          <w:lang w:val="es-ES"/>
        </w:rPr>
        <w:t>ito de precisión (art. 150.10 de la CP) “no comporta una limitación absoluta ni rigurosa que obligue al Congreso a definir en forma meticulosa el contenido de los asuntos materia de regulación normativa, reduciendo a su mínima expresión el ejercicio de las</w:t>
      </w:r>
      <w:r w:rsidRPr="003E425B">
        <w:rPr>
          <w:rFonts w:ascii="Times New Roman" w:hAnsi="Times New Roman"/>
          <w:color w:val="000000" w:themeColor="text1"/>
          <w:sz w:val="28"/>
          <w:lang w:val="es-ES"/>
        </w:rPr>
        <w:t xml:space="preserve"> facultades y, por ende, tornándolas inoperantes e innecesarias”. Por el contrario, sólo supone que la ley habilitante “haya definido la materia [de la delegación] y se encuentren señalados sus objetivos, sin que incida en su legitimidad la extensión o amp</w:t>
      </w:r>
      <w:r w:rsidRPr="003E425B">
        <w:rPr>
          <w:rFonts w:ascii="Times New Roman" w:hAnsi="Times New Roman"/>
          <w:color w:val="000000" w:themeColor="text1"/>
          <w:sz w:val="28"/>
          <w:lang w:val="es-ES"/>
        </w:rPr>
        <w:t xml:space="preserve">litud de los temas por tratar”.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
        </w:rPr>
        <w:t xml:space="preserve">La Corte consideró que la habilitación legislativa prevista en el artículo 89.2 de la Ley 181 de 1995 satisfacía el requisito de precisión. Esto, porque definía </w:t>
      </w:r>
      <w:r w:rsidRPr="003E425B">
        <w:rPr>
          <w:rFonts w:ascii="Times New Roman" w:hAnsi="Times New Roman"/>
          <w:i/>
          <w:iCs/>
          <w:color w:val="000000" w:themeColor="text1"/>
          <w:sz w:val="28"/>
          <w:lang w:val="es-ES"/>
        </w:rPr>
        <w:t>(i)</w:t>
      </w:r>
      <w:r w:rsidRPr="003E425B">
        <w:rPr>
          <w:rFonts w:ascii="Times New Roman" w:hAnsi="Times New Roman"/>
          <w:color w:val="000000" w:themeColor="text1"/>
          <w:sz w:val="28"/>
          <w:lang w:val="es-ES"/>
        </w:rPr>
        <w:t xml:space="preserve"> el “ámbito material específico -la legislación deportiva </w:t>
      </w:r>
      <w:r w:rsidRPr="003E425B">
        <w:rPr>
          <w:rFonts w:ascii="Times New Roman" w:hAnsi="Times New Roman"/>
          <w:color w:val="000000" w:themeColor="text1"/>
          <w:sz w:val="28"/>
          <w:lang w:val="es-ES"/>
        </w:rPr>
        <w:t xml:space="preserve">vigente-” y </w:t>
      </w:r>
      <w:r w:rsidRPr="003E425B">
        <w:rPr>
          <w:rFonts w:ascii="Times New Roman" w:hAnsi="Times New Roman"/>
          <w:i/>
          <w:iCs/>
          <w:color w:val="000000" w:themeColor="text1"/>
          <w:sz w:val="28"/>
          <w:lang w:val="es-ES"/>
        </w:rPr>
        <w:t>(ii)</w:t>
      </w:r>
      <w:r w:rsidRPr="003E425B">
        <w:rPr>
          <w:rFonts w:ascii="Times New Roman" w:hAnsi="Times New Roman"/>
          <w:color w:val="000000" w:themeColor="text1"/>
          <w:sz w:val="28"/>
          <w:lang w:val="es-ES"/>
        </w:rPr>
        <w:t xml:space="preserve"> la finalidad de la habilitación “cuál es, precisamente, la adecuación de esa normatividad a la ley 181 de 1995”. Asimismo, la Corte resaltó que, a partir una interpretación sistemática de la Ley 181 de 1995, era posible inferir cuáles eran</w:t>
      </w:r>
      <w:r w:rsidRPr="003E425B">
        <w:rPr>
          <w:rFonts w:ascii="Times New Roman" w:hAnsi="Times New Roman"/>
          <w:color w:val="000000" w:themeColor="text1"/>
          <w:sz w:val="28"/>
          <w:lang w:val="es-ES"/>
        </w:rPr>
        <w:t xml:space="preserve"> las normas que debían ser reformadas por el Presidente de la República. Al respecto, </w:t>
      </w:r>
      <w:r w:rsidRPr="003E425B">
        <w:rPr>
          <w:rFonts w:ascii="Times New Roman" w:hAnsi="Times New Roman"/>
          <w:color w:val="000000" w:themeColor="text1"/>
          <w:sz w:val="28"/>
          <w:lang w:val="es-ES"/>
        </w:rPr>
        <w:t xml:space="preserve">la Corte </w:t>
      </w:r>
      <w:r w:rsidRPr="003E425B">
        <w:rPr>
          <w:rFonts w:ascii="Times New Roman" w:hAnsi="Times New Roman"/>
          <w:color w:val="000000" w:themeColor="text1"/>
          <w:sz w:val="28"/>
          <w:lang w:val="es-ES"/>
        </w:rPr>
        <w:t>señaló</w:t>
      </w:r>
      <w:r w:rsidRPr="003E425B">
        <w:rPr>
          <w:rFonts w:ascii="Times New Roman" w:hAnsi="Times New Roman"/>
          <w:color w:val="000000" w:themeColor="text1"/>
          <w:sz w:val="28"/>
          <w:lang w:val="es-ES"/>
        </w:rPr>
        <w:t xml:space="preserve"> que,</w:t>
      </w:r>
      <w:r w:rsidRPr="003E425B">
        <w:rPr>
          <w:rFonts w:ascii="Times New Roman" w:hAnsi="Times New Roman"/>
          <w:color w:val="000000" w:themeColor="text1"/>
          <w:sz w:val="28"/>
          <w:lang w:val="es-ES"/>
        </w:rPr>
        <w:t xml:space="preserve"> “de acuerdo con el contenido del artículo 28 de Ley 181 de 1995, la atribución legislativa debe concentrarse, específicamente, en la revisión de los </w:t>
      </w:r>
      <w:r w:rsidRPr="003E425B">
        <w:rPr>
          <w:rFonts w:ascii="Times New Roman" w:hAnsi="Times New Roman"/>
          <w:color w:val="000000" w:themeColor="text1"/>
          <w:sz w:val="28"/>
          <w:lang w:val="es-ES"/>
        </w:rPr>
        <w:t>Decretos leyes 2845 y 3158 de 1984 (y demás disposiciones concordantes) los cuales, según las voces del mismo artículo, contienen la estructura y régimen legal del deporte asociado”. Con fundamento en tales consideraciones, declaró la exequibilidad de la n</w:t>
      </w:r>
      <w:r w:rsidRPr="003E425B">
        <w:rPr>
          <w:rFonts w:ascii="Times New Roman" w:hAnsi="Times New Roman"/>
          <w:color w:val="000000" w:themeColor="text1"/>
          <w:sz w:val="28"/>
          <w:lang w:val="es-ES"/>
        </w:rPr>
        <w:t xml:space="preserve">orma demandada.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Sentencia C-1437 de 2000</w:t>
      </w:r>
      <w:r w:rsidRPr="003E425B">
        <w:rPr>
          <w:rFonts w:ascii="Times New Roman" w:hAnsi="Times New Roman"/>
          <w:color w:val="000000" w:themeColor="text1"/>
          <w:sz w:val="28"/>
        </w:rPr>
        <w:t>. La Corte examinó una demanda de constitucionalidad formulada en contra de la expresión “o el Gobierno Nacional” prevista en el artículo 42 de la Ley 489 de 1998. Este artículo disponía que el “</w:t>
      </w:r>
      <w:r w:rsidRPr="003E425B">
        <w:rPr>
          <w:rFonts w:ascii="Times New Roman" w:hAnsi="Times New Roman"/>
          <w:color w:val="000000" w:themeColor="text1"/>
          <w:sz w:val="28"/>
          <w:lang w:val="es-ES"/>
        </w:rPr>
        <w:t>Sector Administrati</w:t>
      </w:r>
      <w:r w:rsidRPr="003E425B">
        <w:rPr>
          <w:rFonts w:ascii="Times New Roman" w:hAnsi="Times New Roman"/>
          <w:color w:val="000000" w:themeColor="text1"/>
          <w:sz w:val="28"/>
          <w:lang w:val="es-ES"/>
        </w:rPr>
        <w:t xml:space="preserve">vo está integrado por el Ministerio o Departamento Administrativo, las superintendencias y demás entidades que la ley </w:t>
      </w:r>
      <w:r w:rsidRPr="003E425B">
        <w:rPr>
          <w:rFonts w:ascii="Times New Roman" w:hAnsi="Times New Roman"/>
          <w:color w:val="000000" w:themeColor="text1"/>
          <w:sz w:val="28"/>
          <w:u w:val="single"/>
          <w:lang w:val="es-ES"/>
        </w:rPr>
        <w:t>o el Gobierno Nacional</w:t>
      </w:r>
      <w:r w:rsidRPr="003E425B">
        <w:rPr>
          <w:rFonts w:ascii="Times New Roman" w:hAnsi="Times New Roman"/>
          <w:color w:val="000000" w:themeColor="text1"/>
          <w:sz w:val="28"/>
          <w:lang w:val="es-ES"/>
        </w:rPr>
        <w:t xml:space="preserve"> definan como adscritas o vinculadas a aquéllos según correspondiere a cada área”. El demandante argumentaba que el numeral 7º del artículo 150 de la Constitución establece que la definición de la estructura de la administración pública es competencia únic</w:t>
      </w:r>
      <w:r w:rsidRPr="003E425B">
        <w:rPr>
          <w:rFonts w:ascii="Times New Roman" w:hAnsi="Times New Roman"/>
          <w:color w:val="000000" w:themeColor="text1"/>
          <w:sz w:val="28"/>
          <w:lang w:val="es-ES"/>
        </w:rPr>
        <w:t>a y exclusiva del Congreso. Por esta razón, era inconstitucional que la disposición demandada habilitara al Gobierno Nacional, de forma general y sin ninguna limitación temporal y material, para modificar la estructura de la administración pública nacional</w:t>
      </w:r>
      <w:r w:rsidRPr="003E425B">
        <w:rPr>
          <w:rFonts w:ascii="Times New Roman" w:hAnsi="Times New Roman"/>
          <w:color w:val="000000" w:themeColor="text1"/>
          <w:sz w:val="28"/>
          <w:lang w:val="es-ES"/>
        </w:rPr>
        <w:t xml:space="preserve"> mediante la creación de sectores administrativos y la modificación de la adscripción y vinculación de las entidades que lo integraban.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
        </w:rPr>
        <w:t>La Corte Constitucional consideró que la expresión demandada vulneraba la Constitución. La Corte consideró que el nume</w:t>
      </w:r>
      <w:r w:rsidRPr="003E425B">
        <w:rPr>
          <w:rFonts w:ascii="Times New Roman" w:hAnsi="Times New Roman"/>
          <w:color w:val="000000" w:themeColor="text1"/>
          <w:sz w:val="28"/>
          <w:lang w:val="es-ES"/>
        </w:rPr>
        <w:t xml:space="preserve">ral 10 del artículo 150 de la Constitución </w:t>
      </w:r>
      <w:r w:rsidRPr="003E425B">
        <w:rPr>
          <w:rFonts w:ascii="Times New Roman" w:eastAsiaTheme="minorEastAsia" w:hAnsi="Times New Roman"/>
          <w:sz w:val="28"/>
          <w:lang w:val="es-ES"/>
        </w:rPr>
        <w:t>no permitía al Congreso de la República “</w:t>
      </w:r>
      <w:r w:rsidRPr="003E425B">
        <w:rPr>
          <w:rFonts w:ascii="Times New Roman" w:hAnsi="Times New Roman"/>
          <w:color w:val="000000" w:themeColor="text1"/>
          <w:sz w:val="28"/>
          <w:lang w:val="es-ES"/>
        </w:rPr>
        <w:t>despojarse de una atribución legislativa que le es propia [art. 150.7 de la Constitución] para entregarla indefinidamente y a perpetuidad al Ejecutivo”. Según la Corte, “la</w:t>
      </w:r>
      <w:r w:rsidRPr="003E425B">
        <w:rPr>
          <w:rFonts w:ascii="Times New Roman" w:hAnsi="Times New Roman"/>
          <w:color w:val="000000" w:themeColor="text1"/>
          <w:sz w:val="28"/>
          <w:lang w:val="es-ES"/>
        </w:rPr>
        <w:t xml:space="preserve"> atribución de definir cómo está integrado un sector administrativo y de establecer la adscripción o vinculación de un organismo o entidad a determinado ministerio o departamento administrativo es privativa del legislador. La ley no puede delegar en el Gob</w:t>
      </w:r>
      <w:r w:rsidRPr="003E425B">
        <w:rPr>
          <w:rFonts w:ascii="Times New Roman" w:hAnsi="Times New Roman"/>
          <w:color w:val="000000" w:themeColor="text1"/>
          <w:sz w:val="28"/>
          <w:lang w:val="es-ES"/>
        </w:rPr>
        <w:t>ierno, por vía general, indefinida y permanentemente funciones que le son propias”.</w:t>
      </w:r>
      <w:r w:rsidRPr="003E425B">
        <w:rPr>
          <w:rFonts w:ascii="Times New Roman" w:hAnsi="Times New Roman"/>
          <w:b/>
          <w:bCs/>
          <w:color w:val="000000" w:themeColor="text1"/>
          <w:sz w:val="28"/>
          <w:lang w:val="es-ES"/>
        </w:rPr>
        <w:t xml:space="preserve"> </w:t>
      </w:r>
      <w:r w:rsidRPr="003E425B">
        <w:rPr>
          <w:rFonts w:ascii="Times New Roman" w:hAnsi="Times New Roman"/>
          <w:color w:val="000000" w:themeColor="text1"/>
          <w:sz w:val="28"/>
          <w:lang w:val="es-ES"/>
        </w:rPr>
        <w:t>Por el contrario, señaló la Corte, la Constitución sólo permitía que el Congreso de la República concediera facultades extraordinarias al Presidente de la República para mo</w:t>
      </w:r>
      <w:r w:rsidRPr="003E425B">
        <w:rPr>
          <w:rFonts w:ascii="Times New Roman" w:hAnsi="Times New Roman"/>
          <w:color w:val="000000" w:themeColor="text1"/>
          <w:sz w:val="28"/>
          <w:lang w:val="es-ES"/>
        </w:rPr>
        <w:t>dificar la administración pública de forma temporal (6 meses) y para precisas materias definidas en la ley habilitante.</w:t>
      </w:r>
      <w:r w:rsidRPr="003E425B">
        <w:rPr>
          <w:rFonts w:ascii="Times New Roman" w:hAnsi="Times New Roman"/>
          <w:b/>
          <w:bCs/>
          <w:color w:val="000000" w:themeColor="text1"/>
          <w:sz w:val="28"/>
          <w:lang w:val="es-ES"/>
        </w:rPr>
        <w:t xml:space="preserve">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
        </w:rPr>
        <w:t>En tales términos, consideró que la expresión “o el Gobierno Nacional” prevista en el artículo 42 de la ley 489 de 1998 vulneraba la C</w:t>
      </w:r>
      <w:r w:rsidRPr="003E425B">
        <w:rPr>
          <w:rFonts w:ascii="Times New Roman" w:hAnsi="Times New Roman"/>
          <w:color w:val="000000" w:themeColor="text1"/>
          <w:sz w:val="28"/>
          <w:lang w:val="es-ES"/>
        </w:rPr>
        <w:t>onstitución, justamente porque le confería al ejecutivo la potestad de integrar sectores administrativos de forma indefinida y sin ninguna limitación temporal ni material. Por esta razón, declaró la inexequibilidad de la expresión demandada.</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 xml:space="preserve">Sentencia </w:t>
      </w:r>
      <w:r w:rsidRPr="003E425B">
        <w:rPr>
          <w:rFonts w:ascii="Times New Roman" w:hAnsi="Times New Roman"/>
          <w:i/>
          <w:iCs/>
          <w:color w:val="000000" w:themeColor="text1"/>
          <w:sz w:val="28"/>
        </w:rPr>
        <w:t>C-121 de 2004</w:t>
      </w:r>
      <w:r w:rsidRPr="003E425B">
        <w:rPr>
          <w:rFonts w:ascii="Times New Roman" w:hAnsi="Times New Roman"/>
          <w:color w:val="000000" w:themeColor="text1"/>
          <w:sz w:val="28"/>
        </w:rPr>
        <w:t>. La Corte Constitucional examinó una demanda de inconstitucionalidad en contra de, entre otras, los literales (f) y (e) del artículo 16 de la Ley 790 de 2002, “</w:t>
      </w:r>
      <w:r w:rsidRPr="003E425B">
        <w:rPr>
          <w:rFonts w:ascii="Times New Roman" w:hAnsi="Times New Roman"/>
          <w:color w:val="000000" w:themeColor="text1"/>
          <w:sz w:val="28"/>
          <w:lang w:val="es-ES_tradnl"/>
        </w:rPr>
        <w:t>por la cual se expiden disposiciones para adelantar el programa de renovación de l</w:t>
      </w:r>
      <w:r w:rsidRPr="003E425B">
        <w:rPr>
          <w:rFonts w:ascii="Times New Roman" w:hAnsi="Times New Roman"/>
          <w:color w:val="000000" w:themeColor="text1"/>
          <w:sz w:val="28"/>
          <w:lang w:val="es-ES_tradnl"/>
        </w:rPr>
        <w:t xml:space="preserve">a administración pública y se otorgan unas facultades extraordinarias al Presidente de la República”. El artículo 16 demandado </w:t>
      </w:r>
      <w:r w:rsidRPr="003E425B">
        <w:rPr>
          <w:rFonts w:ascii="Times New Roman" w:hAnsi="Times New Roman"/>
          <w:color w:val="000000" w:themeColor="text1"/>
          <w:sz w:val="28"/>
        </w:rPr>
        <w:t xml:space="preserve">confería facultades extraordinarias al Presidente de la República, para entre otras, </w:t>
      </w:r>
      <w:r w:rsidRPr="003E425B">
        <w:rPr>
          <w:rFonts w:ascii="Times New Roman" w:hAnsi="Times New Roman"/>
          <w:i/>
          <w:iCs/>
          <w:sz w:val="28"/>
        </w:rPr>
        <w:t>(i)</w:t>
      </w:r>
      <w:r w:rsidRPr="003E425B">
        <w:rPr>
          <w:rFonts w:ascii="Times New Roman" w:hAnsi="Times New Roman"/>
          <w:sz w:val="28"/>
        </w:rPr>
        <w:t xml:space="preserve"> “señalar, modificar y determinar los obj</w:t>
      </w:r>
      <w:r w:rsidRPr="003E425B">
        <w:rPr>
          <w:rFonts w:ascii="Times New Roman" w:hAnsi="Times New Roman"/>
          <w:sz w:val="28"/>
        </w:rPr>
        <w:t xml:space="preserve">etivos y la estructura orgánica de las entidades u organismos resultantes de las fusiones o escisiones y los de aquellas entidades u organismos a los cuales se trasladen las funciones de las suprimidas (literal e) y </w:t>
      </w:r>
      <w:r w:rsidRPr="003E425B">
        <w:rPr>
          <w:rFonts w:ascii="Times New Roman" w:hAnsi="Times New Roman"/>
          <w:i/>
          <w:iCs/>
          <w:sz w:val="28"/>
        </w:rPr>
        <w:t>(ii)</w:t>
      </w:r>
      <w:r w:rsidRPr="003E425B">
        <w:rPr>
          <w:rFonts w:ascii="Times New Roman" w:hAnsi="Times New Roman"/>
          <w:sz w:val="28"/>
        </w:rPr>
        <w:t xml:space="preserve"> “crear las entidades u organismos q</w:t>
      </w:r>
      <w:r w:rsidRPr="003E425B">
        <w:rPr>
          <w:rFonts w:ascii="Times New Roman" w:hAnsi="Times New Roman"/>
          <w:sz w:val="28"/>
        </w:rPr>
        <w:t xml:space="preserve">ue se requieran para desarrollar los objetivos que cumplían las entidades u organismos que se supriman, escindan, fusionen o transformen cuando a ello haya lugar” (literal f).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Los demandantes argumentaban que las facultades extraordinarias otorgadas al j</w:t>
      </w:r>
      <w:r w:rsidRPr="003E425B">
        <w:rPr>
          <w:rFonts w:ascii="Times New Roman" w:hAnsi="Times New Roman"/>
          <w:color w:val="000000" w:themeColor="text1"/>
          <w:sz w:val="28"/>
          <w:lang w:val="es-ES_tradnl"/>
        </w:rPr>
        <w:t>efe del Ejecutivo previstas en los literales (e) y (f) “son imprecisas pues no determinan con exactitud el número de entidades resultantes de las fusiones o escisiones, y resulta indeterminado el número de entidades u organismos que podría el Presidente de</w:t>
      </w:r>
      <w:r w:rsidRPr="003E425B">
        <w:rPr>
          <w:rFonts w:ascii="Times New Roman" w:hAnsi="Times New Roman"/>
          <w:color w:val="000000" w:themeColor="text1"/>
          <w:sz w:val="28"/>
          <w:lang w:val="es-ES_tradnl"/>
        </w:rPr>
        <w:t xml:space="preserve"> la República crear para desarrollar las funciones de las que se supriman, escindan, fusionen o transformen, todo lo cual hace que esas facultades obedezcan a criterios subjetivos no cuantificables en cuanto a las entidades afectadas”.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La Sala Plena enco</w:t>
      </w:r>
      <w:r w:rsidRPr="003E425B">
        <w:rPr>
          <w:rFonts w:ascii="Times New Roman" w:hAnsi="Times New Roman"/>
          <w:color w:val="000000" w:themeColor="text1"/>
          <w:sz w:val="28"/>
          <w:lang w:val="es-ES_tradnl"/>
        </w:rPr>
        <w:t>ntró que el artículo 16 de la Ley 790 de 2002 satisfacía el requisito de precisión. Esto, porque el inciso 1º señaló la finalidad de la habilitación de forma expresa, al indicar que las facultades se otorgaban con el “[p]ropósito de racionalizar la organiz</w:t>
      </w:r>
      <w:r w:rsidRPr="003E425B">
        <w:rPr>
          <w:rFonts w:ascii="Times New Roman" w:hAnsi="Times New Roman"/>
          <w:color w:val="000000" w:themeColor="text1"/>
          <w:sz w:val="28"/>
          <w:lang w:val="es-ES_tradnl"/>
        </w:rPr>
        <w:t xml:space="preserve">ación y funcionamiento de la administración Pública o con el objeto de garantizar la sostenibilidad financiera de la Nación”. Por otra parte, la Corte consideró que el objeto material de la habilitación prevista en los literales (f) y (e) era específico y </w:t>
      </w:r>
      <w:r w:rsidRPr="003E425B">
        <w:rPr>
          <w:rFonts w:ascii="Times New Roman" w:hAnsi="Times New Roman"/>
          <w:color w:val="000000" w:themeColor="text1"/>
          <w:sz w:val="28"/>
          <w:lang w:val="es-ES_tradnl"/>
        </w:rPr>
        <w:t xml:space="preserve">delimitable: </w:t>
      </w:r>
    </w:p>
    <w:p w:rsidR="005E328E" w:rsidRPr="003E425B" w:rsidRDefault="003E425B" w:rsidP="00010108">
      <w:pPr>
        <w:pStyle w:val="Prrafodelista"/>
        <w:spacing w:line="240" w:lineRule="auto"/>
        <w:ind w:left="0"/>
        <w:rPr>
          <w:rFonts w:ascii="Times New Roman" w:hAnsi="Times New Roman"/>
          <w:sz w:val="28"/>
          <w:lang w:eastAsia="es-MX"/>
        </w:rPr>
      </w:pPr>
    </w:p>
    <w:tbl>
      <w:tblPr>
        <w:tblStyle w:val="Tablaconcuadrcula"/>
        <w:tblW w:w="5000" w:type="pct"/>
        <w:tblLook w:val="04A0" w:firstRow="1" w:lastRow="0" w:firstColumn="1" w:lastColumn="0" w:noHBand="0" w:noVBand="1"/>
      </w:tblPr>
      <w:tblGrid>
        <w:gridCol w:w="1181"/>
        <w:gridCol w:w="7649"/>
      </w:tblGrid>
      <w:tr w:rsidR="005E328E" w:rsidRPr="003E425B" w:rsidTr="00E4520F">
        <w:tc>
          <w:tcPr>
            <w:tcW w:w="669" w:type="pct"/>
            <w:shd w:val="clear" w:color="auto" w:fill="BFBFBF" w:themeFill="background1" w:themeFillShade="BF"/>
          </w:tcPr>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r w:rsidRPr="003E425B">
              <w:rPr>
                <w:rFonts w:ascii="Times New Roman" w:hAnsi="Times New Roman"/>
                <w:b/>
                <w:bCs/>
                <w:color w:val="000000" w:themeColor="text1"/>
                <w:sz w:val="28"/>
                <w:szCs w:val="20"/>
                <w:lang w:val="es-ES_tradnl"/>
              </w:rPr>
              <w:t>Literal e)</w:t>
            </w:r>
          </w:p>
        </w:tc>
        <w:tc>
          <w:tcPr>
            <w:tcW w:w="4331" w:type="pct"/>
          </w:tcPr>
          <w:p w:rsidR="005E328E" w:rsidRPr="003E425B" w:rsidRDefault="003E425B" w:rsidP="00010108">
            <w:pPr>
              <w:tabs>
                <w:tab w:val="left" w:pos="567"/>
              </w:tabs>
              <w:rPr>
                <w:rFonts w:ascii="Times New Roman" w:hAnsi="Times New Roman" w:cs="Times New Roman"/>
                <w:color w:val="000000" w:themeColor="text1"/>
                <w:sz w:val="28"/>
                <w:szCs w:val="20"/>
                <w:lang w:val="es-ES_tradnl"/>
              </w:rPr>
            </w:pPr>
            <w:r w:rsidRPr="003E425B">
              <w:rPr>
                <w:rFonts w:ascii="Times New Roman" w:hAnsi="Times New Roman" w:cs="Times New Roman"/>
                <w:color w:val="000000" w:themeColor="text1"/>
                <w:sz w:val="28"/>
                <w:szCs w:val="20"/>
                <w:lang w:val="es-ES_tradnl"/>
              </w:rPr>
              <w:t>La Corte resaltó que el literal e) faculta al Presidente de la República para “</w:t>
            </w:r>
            <w:r w:rsidRPr="003E425B">
              <w:rPr>
                <w:rFonts w:ascii="Times New Roman" w:hAnsi="Times New Roman" w:cs="Times New Roman"/>
                <w:b/>
                <w:bCs/>
                <w:i/>
                <w:iCs/>
                <w:color w:val="000000" w:themeColor="text1"/>
                <w:sz w:val="28"/>
                <w:szCs w:val="20"/>
                <w:lang w:val="es-ES_tradnl"/>
              </w:rPr>
              <w:t>señalar</w:t>
            </w:r>
            <w:r w:rsidRPr="003E425B">
              <w:rPr>
                <w:rFonts w:ascii="Times New Roman" w:hAnsi="Times New Roman" w:cs="Times New Roman"/>
                <w:b/>
                <w:bCs/>
                <w:color w:val="000000" w:themeColor="text1"/>
                <w:sz w:val="28"/>
                <w:szCs w:val="20"/>
                <w:lang w:val="es-ES_tradnl"/>
              </w:rPr>
              <w:t xml:space="preserve">, </w:t>
            </w:r>
            <w:r w:rsidRPr="003E425B">
              <w:rPr>
                <w:rFonts w:ascii="Times New Roman" w:hAnsi="Times New Roman" w:cs="Times New Roman"/>
                <w:b/>
                <w:bCs/>
                <w:i/>
                <w:iCs/>
                <w:color w:val="000000" w:themeColor="text1"/>
                <w:sz w:val="28"/>
                <w:szCs w:val="20"/>
                <w:lang w:val="es-ES_tradnl"/>
              </w:rPr>
              <w:t>modificar</w:t>
            </w:r>
            <w:r w:rsidRPr="003E425B">
              <w:rPr>
                <w:rFonts w:ascii="Times New Roman" w:hAnsi="Times New Roman" w:cs="Times New Roman"/>
                <w:b/>
                <w:bCs/>
                <w:color w:val="000000" w:themeColor="text1"/>
                <w:sz w:val="28"/>
                <w:szCs w:val="20"/>
                <w:lang w:val="es-ES_tradnl"/>
              </w:rPr>
              <w:t xml:space="preserve"> o </w:t>
            </w:r>
            <w:r w:rsidRPr="003E425B">
              <w:rPr>
                <w:rFonts w:ascii="Times New Roman" w:hAnsi="Times New Roman" w:cs="Times New Roman"/>
                <w:b/>
                <w:bCs/>
                <w:i/>
                <w:iCs/>
                <w:color w:val="000000" w:themeColor="text1"/>
                <w:sz w:val="28"/>
                <w:szCs w:val="20"/>
                <w:lang w:val="es-ES_tradnl"/>
              </w:rPr>
              <w:t>determinar</w:t>
            </w:r>
            <w:r w:rsidRPr="003E425B">
              <w:rPr>
                <w:rFonts w:ascii="Times New Roman" w:hAnsi="Times New Roman" w:cs="Times New Roman"/>
                <w:color w:val="000000" w:themeColor="text1"/>
                <w:sz w:val="28"/>
                <w:szCs w:val="20"/>
                <w:lang w:val="es-ES_tradnl"/>
              </w:rPr>
              <w:t xml:space="preserve"> los objetivos y la estructura orgánica de las entidades u organismos que resulten de las fusiones o escisiones, así como de las entidades u organismos a los que se trasladen las funciones de las suprimidas”. En criterio de la Corte, estos tres verbos rect</w:t>
            </w:r>
            <w:r w:rsidRPr="003E425B">
              <w:rPr>
                <w:rFonts w:ascii="Times New Roman" w:hAnsi="Times New Roman" w:cs="Times New Roman"/>
                <w:color w:val="000000" w:themeColor="text1"/>
                <w:sz w:val="28"/>
                <w:szCs w:val="20"/>
                <w:lang w:val="es-ES_tradnl"/>
              </w:rPr>
              <w:t>ores “delimitan el campo de acción al cual se debe sujetar la actividad del Ejecutivo en relación con los objetivos y la estructura orgánica de las entidades u organismos a que se refiere la norma, es decir, solamente a las entidades de la administración n</w:t>
            </w:r>
            <w:r w:rsidRPr="003E425B">
              <w:rPr>
                <w:rFonts w:ascii="Times New Roman" w:hAnsi="Times New Roman" w:cs="Times New Roman"/>
                <w:color w:val="000000" w:themeColor="text1"/>
                <w:sz w:val="28"/>
                <w:szCs w:val="20"/>
                <w:lang w:val="es-ES_tradnl"/>
              </w:rPr>
              <w:t>acional que se fusionen o escindan, o a las que les sean trasladadas funciones de las suprimidas, organismos que no son otros que los que hacen parte del sector central o descentralizado de la administración, los cuales se encuentran establecidos en el art</w:t>
            </w:r>
            <w:r w:rsidRPr="003E425B">
              <w:rPr>
                <w:rFonts w:ascii="Times New Roman" w:hAnsi="Times New Roman" w:cs="Times New Roman"/>
                <w:color w:val="000000" w:themeColor="text1"/>
                <w:sz w:val="28"/>
                <w:szCs w:val="20"/>
                <w:lang w:val="es-ES_tradnl"/>
              </w:rPr>
              <w:t>ículo 38 de la Ley 489 de 1998.</w:t>
            </w:r>
          </w:p>
        </w:tc>
      </w:tr>
      <w:tr w:rsidR="005E328E" w:rsidRPr="003E425B" w:rsidTr="00E4520F">
        <w:tc>
          <w:tcPr>
            <w:tcW w:w="669" w:type="pct"/>
            <w:shd w:val="clear" w:color="auto" w:fill="BFBFBF" w:themeFill="background1" w:themeFillShade="BF"/>
          </w:tcPr>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p>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r w:rsidRPr="003E425B">
              <w:rPr>
                <w:rFonts w:ascii="Times New Roman" w:hAnsi="Times New Roman"/>
                <w:b/>
                <w:bCs/>
                <w:color w:val="000000" w:themeColor="text1"/>
                <w:sz w:val="28"/>
                <w:szCs w:val="20"/>
                <w:lang w:val="es-ES_tradnl"/>
              </w:rPr>
              <w:t>Literal f)</w:t>
            </w:r>
          </w:p>
        </w:tc>
        <w:tc>
          <w:tcPr>
            <w:tcW w:w="4331" w:type="pct"/>
          </w:tcPr>
          <w:p w:rsidR="005E328E" w:rsidRPr="003E425B" w:rsidRDefault="003E425B" w:rsidP="00010108">
            <w:pPr>
              <w:pStyle w:val="Prrafodelista"/>
              <w:tabs>
                <w:tab w:val="left" w:pos="567"/>
              </w:tabs>
              <w:spacing w:line="240" w:lineRule="auto"/>
              <w:ind w:left="0"/>
              <w:rPr>
                <w:rFonts w:ascii="Times New Roman" w:hAnsi="Times New Roman"/>
                <w:color w:val="000000" w:themeColor="text1"/>
                <w:sz w:val="28"/>
                <w:szCs w:val="20"/>
                <w:lang w:val="es-ES_tradnl"/>
              </w:rPr>
            </w:pPr>
            <w:r w:rsidRPr="003E425B">
              <w:rPr>
                <w:rFonts w:ascii="Times New Roman" w:hAnsi="Times New Roman"/>
                <w:color w:val="000000" w:themeColor="text1"/>
                <w:sz w:val="28"/>
                <w:szCs w:val="20"/>
                <w:lang w:val="es-ES_tradnl"/>
              </w:rPr>
              <w:t xml:space="preserve">El literal f) no “descono[ce] el requisito de precisión, como quiera que si bien las expresiones </w:t>
            </w:r>
            <w:r w:rsidRPr="003E425B">
              <w:rPr>
                <w:rFonts w:ascii="Times New Roman" w:hAnsi="Times New Roman"/>
                <w:color w:val="000000" w:themeColor="text1"/>
                <w:sz w:val="28"/>
                <w:szCs w:val="20"/>
                <w:lang w:val="es-ES_tradnl"/>
              </w:rPr>
              <w:t>‘</w:t>
            </w:r>
            <w:r w:rsidRPr="003E425B">
              <w:rPr>
                <w:rFonts w:ascii="Times New Roman" w:hAnsi="Times New Roman"/>
                <w:color w:val="000000" w:themeColor="text1"/>
                <w:sz w:val="28"/>
                <w:szCs w:val="20"/>
                <w:lang w:val="es-ES_tradnl"/>
              </w:rPr>
              <w:t>que se requieran</w:t>
            </w:r>
            <w:r w:rsidRPr="003E425B">
              <w:rPr>
                <w:rFonts w:ascii="Times New Roman" w:hAnsi="Times New Roman"/>
                <w:color w:val="000000" w:themeColor="text1"/>
                <w:sz w:val="28"/>
                <w:szCs w:val="20"/>
                <w:lang w:val="es-ES_tradnl"/>
              </w:rPr>
              <w:t>’</w:t>
            </w:r>
            <w:r w:rsidRPr="003E425B">
              <w:rPr>
                <w:rFonts w:ascii="Times New Roman" w:hAnsi="Times New Roman"/>
                <w:color w:val="000000" w:themeColor="text1"/>
                <w:sz w:val="28"/>
                <w:szCs w:val="20"/>
                <w:lang w:val="es-ES_tradnl"/>
              </w:rPr>
              <w:t xml:space="preserve"> y </w:t>
            </w:r>
            <w:r w:rsidRPr="003E425B">
              <w:rPr>
                <w:rFonts w:ascii="Times New Roman" w:hAnsi="Times New Roman"/>
                <w:color w:val="000000" w:themeColor="text1"/>
                <w:sz w:val="28"/>
                <w:szCs w:val="20"/>
                <w:lang w:val="es-ES_tradnl"/>
              </w:rPr>
              <w:t>‘</w:t>
            </w:r>
            <w:r w:rsidRPr="003E425B">
              <w:rPr>
                <w:rFonts w:ascii="Times New Roman" w:hAnsi="Times New Roman"/>
                <w:color w:val="000000" w:themeColor="text1"/>
                <w:sz w:val="28"/>
                <w:szCs w:val="20"/>
                <w:lang w:val="es-ES_tradnl"/>
              </w:rPr>
              <w:t>cuando a ello haya lugar</w:t>
            </w:r>
            <w:r w:rsidRPr="003E425B">
              <w:rPr>
                <w:rFonts w:ascii="Times New Roman" w:hAnsi="Times New Roman"/>
                <w:color w:val="000000" w:themeColor="text1"/>
                <w:sz w:val="28"/>
                <w:szCs w:val="20"/>
                <w:lang w:val="es-ES_tradnl"/>
              </w:rPr>
              <w:t>’</w:t>
            </w:r>
            <w:r w:rsidRPr="003E425B">
              <w:rPr>
                <w:rFonts w:ascii="Times New Roman" w:hAnsi="Times New Roman"/>
                <w:color w:val="000000" w:themeColor="text1"/>
                <w:sz w:val="28"/>
                <w:szCs w:val="20"/>
                <w:lang w:val="es-ES_tradnl"/>
              </w:rPr>
              <w:t xml:space="preserve">, otorgan al Ejecutivo un margen de acción amplio, como lo </w:t>
            </w:r>
            <w:r w:rsidRPr="003E425B">
              <w:rPr>
                <w:rFonts w:ascii="Times New Roman" w:hAnsi="Times New Roman"/>
                <w:color w:val="000000" w:themeColor="text1"/>
                <w:sz w:val="28"/>
                <w:szCs w:val="20"/>
                <w:lang w:val="es-ES_tradnl"/>
              </w:rPr>
              <w:t>sostiene la vista fiscal, ello no implica imprecisión, pues la creación de entidades a las que se refiere la norma, surge solamente de la necesidad de otorgar a una nueva los objetivos que cumplían las que sean suprimidas, fusionadas, escindidas o transfor</w:t>
            </w:r>
            <w:r w:rsidRPr="003E425B">
              <w:rPr>
                <w:rFonts w:ascii="Times New Roman" w:hAnsi="Times New Roman"/>
                <w:color w:val="000000" w:themeColor="text1"/>
                <w:sz w:val="28"/>
                <w:szCs w:val="20"/>
                <w:lang w:val="es-ES_tradnl"/>
              </w:rPr>
              <w:t>madas, y únicamente en el evento en que como lo señala la disposición acusada</w:t>
            </w:r>
            <w:r w:rsidRPr="003E425B">
              <w:rPr>
                <w:rFonts w:ascii="Times New Roman" w:hAnsi="Times New Roman"/>
                <w:b/>
                <w:bCs/>
                <w:sz w:val="28"/>
                <w:szCs w:val="20"/>
                <w:lang w:val="es-ES_tradnl" w:eastAsia="es-ES"/>
              </w:rPr>
              <w:t xml:space="preserve"> </w:t>
            </w:r>
            <w:r w:rsidRPr="003E425B">
              <w:rPr>
                <w:rFonts w:ascii="Times New Roman" w:hAnsi="Times New Roman"/>
                <w:color w:val="000000" w:themeColor="text1"/>
                <w:sz w:val="28"/>
                <w:szCs w:val="20"/>
                <w:lang w:val="es-ES_tradnl"/>
              </w:rPr>
              <w:t>a ello haya lugar”. Por lo demás, la Sala Plena consideró que “no les asiste razón a los demandantes cuando afirman que las facultades adolecen de falta del requisito de precisió</w:t>
            </w:r>
            <w:r w:rsidRPr="003E425B">
              <w:rPr>
                <w:rFonts w:ascii="Times New Roman" w:hAnsi="Times New Roman"/>
                <w:color w:val="000000" w:themeColor="text1"/>
                <w:sz w:val="28"/>
                <w:szCs w:val="20"/>
                <w:lang w:val="es-ES_tradnl"/>
              </w:rPr>
              <w:t>n, porque la ley habilitante no indica cuáles son las entidades u organismos que serán objeto del ejercicio de las facultades extraordinarias acusadas”. Esto puesto que, era posible interpretar que “no son otras que las entidades u organismos de la Adminis</w:t>
            </w:r>
            <w:r w:rsidRPr="003E425B">
              <w:rPr>
                <w:rFonts w:ascii="Times New Roman" w:hAnsi="Times New Roman"/>
                <w:color w:val="000000" w:themeColor="text1"/>
                <w:sz w:val="28"/>
                <w:szCs w:val="20"/>
                <w:lang w:val="es-ES_tradnl"/>
              </w:rPr>
              <w:t xml:space="preserve">tración pública nacional a las que se refiere el artículo 38 de la Ley 489 de 1998”. </w:t>
            </w:r>
          </w:p>
        </w:tc>
      </w:tr>
    </w:tbl>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 xml:space="preserve">Con fundamento en tales consideraciones, la Corte declaró la exequibilidad de los literales demandados.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
          <w:iCs/>
          <w:color w:val="000000" w:themeColor="text1"/>
          <w:sz w:val="28"/>
        </w:rPr>
        <w:t>Sentencia C-240 de 2012</w:t>
      </w:r>
      <w:r w:rsidRPr="003E425B">
        <w:rPr>
          <w:rFonts w:ascii="Times New Roman" w:hAnsi="Times New Roman"/>
          <w:color w:val="000000" w:themeColor="text1"/>
          <w:sz w:val="28"/>
        </w:rPr>
        <w:t xml:space="preserve">. La Corte Constitucional resolvió una </w:t>
      </w:r>
      <w:r w:rsidRPr="003E425B">
        <w:rPr>
          <w:rFonts w:ascii="Times New Roman" w:hAnsi="Times New Roman"/>
          <w:color w:val="000000" w:themeColor="text1"/>
          <w:sz w:val="28"/>
        </w:rPr>
        <w:t>demanda de inconstitucionalidad en contra del artículo 18 de la Ley 1441 de 2011, “[p]or medio de la cual se escinden unos Ministerios, se otorgan precisas facultades extraordinarias al Presidente de la República para modificar la estructura de la Administ</w:t>
      </w:r>
      <w:r w:rsidRPr="003E425B">
        <w:rPr>
          <w:rFonts w:ascii="Times New Roman" w:hAnsi="Times New Roman"/>
          <w:color w:val="000000" w:themeColor="text1"/>
          <w:sz w:val="28"/>
        </w:rPr>
        <w:t>ración Pública y la planta de personal de la Fiscalía General de la Nación”. El artículo demandado confería amplias facultades extraordinarias al Presidente de la República para modificar la administración pública:</w:t>
      </w:r>
    </w:p>
    <w:p w:rsidR="005E328E" w:rsidRPr="003E425B" w:rsidRDefault="003E425B" w:rsidP="00010108">
      <w:pPr>
        <w:pStyle w:val="Prrafodelista"/>
        <w:spacing w:line="240" w:lineRule="auto"/>
        <w:rPr>
          <w:rFonts w:ascii="Times New Roman" w:hAnsi="Times New Roman"/>
          <w:color w:val="000000" w:themeColor="text1"/>
          <w:sz w:val="28"/>
        </w:rPr>
      </w:pP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ARTÍCULO 18. FACULTADES EXTRAORDINARIAS. De conformidad con lo establecido en el artículo 150 numeral 10 de la Constitución Política, revístese al Presidente de la República de precisas facultades extraordinarias, por el término de seis (6) meses, contados</w:t>
      </w:r>
      <w:r w:rsidRPr="003E425B">
        <w:rPr>
          <w:rFonts w:ascii="Times New Roman" w:hAnsi="Times New Roman"/>
          <w:iCs/>
          <w:color w:val="000000" w:themeColor="text1"/>
          <w:sz w:val="28"/>
          <w:szCs w:val="20"/>
          <w:lang w:val="es-ES"/>
        </w:rPr>
        <w:t xml:space="preserve"> a partir de la fecha de publicación de la presente ley para:</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a) Crear, escindir, fusionar y suprimir, así como determinar la denominación, número, estructura orgánica y orden de precedencia de los departamentos administrativos;</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b) Determinar los objetivo</w:t>
      </w:r>
      <w:r w:rsidRPr="003E425B">
        <w:rPr>
          <w:rFonts w:ascii="Times New Roman" w:hAnsi="Times New Roman"/>
          <w:iCs/>
          <w:color w:val="000000" w:themeColor="text1"/>
          <w:sz w:val="28"/>
          <w:szCs w:val="20"/>
          <w:lang w:val="es-ES"/>
        </w:rPr>
        <w:t>s y la estructura orgánica de los Ministerios creados por disposición de la presente ley, así como la integración de los sectores administrativos respectivos;</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c) Modificar los objetivos y estructura orgánica de los Ministerios reorganizados por disposición</w:t>
      </w:r>
      <w:r w:rsidRPr="003E425B">
        <w:rPr>
          <w:rFonts w:ascii="Times New Roman" w:hAnsi="Times New Roman"/>
          <w:iCs/>
          <w:color w:val="000000" w:themeColor="text1"/>
          <w:sz w:val="28"/>
          <w:szCs w:val="20"/>
          <w:lang w:val="es-ES"/>
        </w:rPr>
        <w:t xml:space="preserve"> de la presente ley, así como la integración de los sectores administrativos respectivos;</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d) Reasignar funciones y competencias orgánicas entre las entidades y organismos de la Administración Pública nacional y entre estas y otras entidades y organismos de</w:t>
      </w:r>
      <w:r w:rsidRPr="003E425B">
        <w:rPr>
          <w:rFonts w:ascii="Times New Roman" w:hAnsi="Times New Roman"/>
          <w:iCs/>
          <w:color w:val="000000" w:themeColor="text1"/>
          <w:sz w:val="28"/>
          <w:szCs w:val="20"/>
          <w:lang w:val="es-ES"/>
        </w:rPr>
        <w:t>l Estado;</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e) Crear, escindir y cambiar la naturaleza jurídica de los establecimientos públicos y otras entidades u organismos de la rama ejecutiva del orden nacional;</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f) Señalar, modificar y determinar los objetivos y la estructura orgánica de las entidade</w:t>
      </w:r>
      <w:r w:rsidRPr="003E425B">
        <w:rPr>
          <w:rFonts w:ascii="Times New Roman" w:hAnsi="Times New Roman"/>
          <w:iCs/>
          <w:color w:val="000000" w:themeColor="text1"/>
          <w:sz w:val="28"/>
          <w:szCs w:val="20"/>
          <w:lang w:val="es-ES"/>
        </w:rPr>
        <w:t>s u organismos resultantes de las creaciones, fusiones o escisiones y los de aquellas entidades u organismos a los cuales se trasladen las funciones de las suprimidas, escindidas, fusionadas o transformadas, y de la Agencia Nacional para la Defensa Jurídic</w:t>
      </w:r>
      <w:r w:rsidRPr="003E425B">
        <w:rPr>
          <w:rFonts w:ascii="Times New Roman" w:hAnsi="Times New Roman"/>
          <w:iCs/>
          <w:color w:val="000000" w:themeColor="text1"/>
          <w:sz w:val="28"/>
          <w:szCs w:val="20"/>
          <w:lang w:val="es-ES"/>
        </w:rPr>
        <w:t>a del Estado;</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g) Crear las entidades u organismos que se requieran para desarrollar los objetivos que cumplían las entidades u organismos que se supriman, escindan, fusionen o transformen, cuando a ello haya lugar;</w:t>
      </w:r>
    </w:p>
    <w:p w:rsidR="005E328E" w:rsidRPr="003E425B" w:rsidRDefault="003E425B" w:rsidP="00010108">
      <w:pPr>
        <w:pStyle w:val="Prrafodelista"/>
        <w:tabs>
          <w:tab w:val="left" w:pos="567"/>
        </w:tabs>
        <w:spacing w:line="240" w:lineRule="auto"/>
        <w:ind w:left="737" w:right="397"/>
        <w:rPr>
          <w:rFonts w:ascii="Times New Roman" w:hAnsi="Times New Roman"/>
          <w:iCs/>
          <w:color w:val="000000" w:themeColor="text1"/>
          <w:sz w:val="28"/>
          <w:szCs w:val="20"/>
          <w:lang w:val="es-ES"/>
        </w:rPr>
      </w:pPr>
      <w:r w:rsidRPr="003E425B">
        <w:rPr>
          <w:rFonts w:ascii="Times New Roman" w:hAnsi="Times New Roman"/>
          <w:iCs/>
          <w:color w:val="000000" w:themeColor="text1"/>
          <w:sz w:val="28"/>
          <w:szCs w:val="20"/>
          <w:lang w:val="es-ES"/>
        </w:rPr>
        <w:t xml:space="preserve">h) </w:t>
      </w:r>
      <w:r w:rsidRPr="003E425B">
        <w:rPr>
          <w:rFonts w:ascii="Times New Roman" w:hAnsi="Times New Roman"/>
          <w:iCs/>
          <w:color w:val="000000" w:themeColor="text1"/>
          <w:sz w:val="28"/>
          <w:szCs w:val="20"/>
          <w:u w:val="single"/>
          <w:lang w:val="es-ES"/>
        </w:rPr>
        <w:t>Determinar la adscripción o la vincula</w:t>
      </w:r>
      <w:r w:rsidRPr="003E425B">
        <w:rPr>
          <w:rFonts w:ascii="Times New Roman" w:hAnsi="Times New Roman"/>
          <w:iCs/>
          <w:color w:val="000000" w:themeColor="text1"/>
          <w:sz w:val="28"/>
          <w:szCs w:val="20"/>
          <w:u w:val="single"/>
          <w:lang w:val="es-ES"/>
        </w:rPr>
        <w:t>ción de las entidades públicas nacionales descentralizadas</w:t>
      </w:r>
      <w:r w:rsidRPr="003E425B">
        <w:rPr>
          <w:rFonts w:ascii="Times New Roman" w:hAnsi="Times New Roman"/>
          <w:iCs/>
          <w:color w:val="000000" w:themeColor="text1"/>
          <w:sz w:val="28"/>
          <w:lang w:val="es-ES"/>
        </w:rPr>
        <w:t xml:space="preserve">” </w:t>
      </w:r>
      <w:r w:rsidRPr="003E425B">
        <w:rPr>
          <w:rFonts w:ascii="Times New Roman" w:hAnsi="Times New Roman"/>
          <w:iCs/>
          <w:color w:val="000000" w:themeColor="text1"/>
          <w:sz w:val="28"/>
          <w:szCs w:val="20"/>
          <w:lang w:val="es-ES"/>
        </w:rPr>
        <w:t>(subrayado fuera del texto)</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Los demandantes argumentaban que el artículo 18 de la Ley 1441 de 2011 desconocía el requisito de precisión para la concesión de facultades extraordinarias. Esto, porq</w:t>
      </w:r>
      <w:r w:rsidRPr="003E425B">
        <w:rPr>
          <w:rFonts w:ascii="Times New Roman" w:hAnsi="Times New Roman"/>
          <w:color w:val="000000" w:themeColor="text1"/>
          <w:sz w:val="28"/>
        </w:rPr>
        <w:t>ue “</w:t>
      </w:r>
      <w:r w:rsidRPr="003E425B">
        <w:rPr>
          <w:rFonts w:ascii="Times New Roman" w:hAnsi="Times New Roman"/>
          <w:color w:val="000000" w:themeColor="text1"/>
          <w:sz w:val="28"/>
          <w:lang w:val="es-ES_tradnl"/>
        </w:rPr>
        <w:t xml:space="preserve">en ninguno de los debates se advirtieron cuáles eran las entidades que se someterían a escisión, supresión o fusión, salvo los Ministerios, dejando un amplio margen al Gobierno para cambiar la naturaleza jurídica de cualquier ente del orden nacional”.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bookmarkStart w:id="37" w:name="_Ref165376049"/>
      <w:r w:rsidRPr="003E425B">
        <w:rPr>
          <w:rFonts w:ascii="Times New Roman" w:hAnsi="Times New Roman"/>
          <w:color w:val="000000" w:themeColor="text1"/>
          <w:sz w:val="28"/>
          <w:lang w:val="es-ES_tradnl"/>
        </w:rPr>
        <w:t>La Corte reiteró que “la precisión de las facultades extraordinarias no conlleva una descripción detallada y taxativa, pues ello tornaría inocua la labor del Presidente, siendo suficiente que el legislador determine los parámetros claros para que se efec</w:t>
      </w:r>
      <w:r w:rsidRPr="003E425B">
        <w:rPr>
          <w:rFonts w:ascii="Times New Roman" w:hAnsi="Times New Roman"/>
          <w:color w:val="000000" w:themeColor="text1"/>
          <w:sz w:val="28"/>
          <w:lang w:val="es-ES_tradnl"/>
        </w:rPr>
        <w:t>túe tal labor”. En tales términos, consideró que el artículo demandado, a pesar de haber otorgado amplias facultades, era constitucional porque el Congreso de la República precisó el objeto de la habilitación, al señalar que debían ejercerse para “(i) crea</w:t>
      </w:r>
      <w:r w:rsidRPr="003E425B">
        <w:rPr>
          <w:rFonts w:ascii="Times New Roman" w:hAnsi="Times New Roman"/>
          <w:color w:val="000000" w:themeColor="text1"/>
          <w:sz w:val="28"/>
          <w:lang w:val="es-ES_tradnl"/>
        </w:rPr>
        <w:t>r, escindir, fusionar y determinar la estructura orgánica de los departamentos administrativos (lit. a); (ii) reasignar las funciones y competencias entre las entidades de la administración (lit. b) y (iii) crear los empleos en la planta de la Fiscalía Gen</w:t>
      </w:r>
      <w:r w:rsidRPr="003E425B">
        <w:rPr>
          <w:rFonts w:ascii="Times New Roman" w:hAnsi="Times New Roman"/>
          <w:color w:val="000000" w:themeColor="text1"/>
          <w:sz w:val="28"/>
          <w:lang w:val="es-ES_tradnl"/>
        </w:rPr>
        <w:t>eral de la Nación, dada la eventual modificación del DAS (lit. j)”.</w:t>
      </w:r>
      <w:bookmarkEnd w:id="37"/>
      <w:r w:rsidRPr="003E425B">
        <w:rPr>
          <w:rFonts w:ascii="Times New Roman" w:hAnsi="Times New Roman"/>
          <w:color w:val="000000" w:themeColor="text1"/>
          <w:sz w:val="28"/>
          <w:lang w:val="es-ES_tradnl"/>
        </w:rPr>
        <w:t xml:space="preserve">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b/>
          <w:bCs/>
          <w:color w:val="000000" w:themeColor="text1"/>
          <w:sz w:val="28"/>
          <w:u w:val="single"/>
          <w:lang w:val="es-ES_tradnl"/>
        </w:rPr>
        <w:t>Síntesis de las reglas de decisión</w:t>
      </w:r>
      <w:r w:rsidRPr="003E425B">
        <w:rPr>
          <w:rFonts w:ascii="Times New Roman" w:hAnsi="Times New Roman"/>
          <w:color w:val="000000" w:themeColor="text1"/>
          <w:sz w:val="28"/>
          <w:lang w:val="es-ES_tradnl"/>
        </w:rPr>
        <w:t>. La siguiente tabla sintetiza las reglas de decisión relevantes para resolver el cargo tercero formulado por los demandantes:</w:t>
      </w:r>
    </w:p>
    <w:p w:rsidR="005E328E" w:rsidRPr="003E425B" w:rsidRDefault="003E425B" w:rsidP="00010108">
      <w:pPr>
        <w:pStyle w:val="Prrafodelista"/>
        <w:spacing w:line="240" w:lineRule="auto"/>
        <w:ind w:left="0"/>
        <w:rPr>
          <w:rFonts w:ascii="Times New Roman" w:hAnsi="Times New Roman"/>
          <w:b/>
          <w:bCs/>
          <w:color w:val="000000" w:themeColor="text1"/>
          <w:sz w:val="28"/>
          <w:u w:val="single"/>
          <w:lang w:val="es-ES_tradnl"/>
        </w:rPr>
      </w:pPr>
    </w:p>
    <w:tbl>
      <w:tblPr>
        <w:tblStyle w:val="Tablaconcuadrcula"/>
        <w:tblW w:w="5000" w:type="pct"/>
        <w:tblLook w:val="04A0" w:firstRow="1" w:lastRow="0" w:firstColumn="1" w:lastColumn="0" w:noHBand="0" w:noVBand="1"/>
      </w:tblPr>
      <w:tblGrid>
        <w:gridCol w:w="8830"/>
      </w:tblGrid>
      <w:tr w:rsidR="005E328E" w:rsidRPr="003E425B" w:rsidTr="00E4520F">
        <w:tc>
          <w:tcPr>
            <w:tcW w:w="5000" w:type="pct"/>
            <w:shd w:val="clear" w:color="auto" w:fill="D9D9D9" w:themeFill="background1" w:themeFillShade="D9"/>
          </w:tcPr>
          <w:p w:rsidR="005E328E" w:rsidRPr="003E425B" w:rsidRDefault="003E425B" w:rsidP="00010108">
            <w:pPr>
              <w:pStyle w:val="Prrafodelista"/>
              <w:tabs>
                <w:tab w:val="left" w:pos="567"/>
              </w:tabs>
              <w:spacing w:line="240" w:lineRule="auto"/>
              <w:ind w:left="0"/>
              <w:jc w:val="center"/>
              <w:rPr>
                <w:rFonts w:ascii="Times New Roman" w:hAnsi="Times New Roman"/>
                <w:b/>
                <w:bCs/>
                <w:color w:val="000000" w:themeColor="text1"/>
                <w:sz w:val="28"/>
                <w:szCs w:val="20"/>
                <w:lang w:val="es-ES_tradnl"/>
              </w:rPr>
            </w:pPr>
            <w:r w:rsidRPr="003E425B">
              <w:rPr>
                <w:rFonts w:ascii="Times New Roman" w:hAnsi="Times New Roman"/>
                <w:b/>
                <w:bCs/>
                <w:color w:val="000000" w:themeColor="text1"/>
                <w:sz w:val="28"/>
                <w:szCs w:val="20"/>
                <w:lang w:val="es-ES_tradnl"/>
              </w:rPr>
              <w:t xml:space="preserve">La concesión de </w:t>
            </w:r>
            <w:r w:rsidRPr="003E425B">
              <w:rPr>
                <w:rFonts w:ascii="Times New Roman" w:hAnsi="Times New Roman"/>
                <w:b/>
                <w:bCs/>
                <w:color w:val="000000" w:themeColor="text1"/>
                <w:sz w:val="28"/>
                <w:szCs w:val="20"/>
                <w:lang w:val="es-ES_tradnl"/>
              </w:rPr>
              <w:t>facultades extraordinarias: condiciones y límites constitucionales</w:t>
            </w:r>
          </w:p>
        </w:tc>
      </w:tr>
      <w:tr w:rsidR="005E328E" w:rsidRPr="003E425B" w:rsidTr="00E4520F">
        <w:tc>
          <w:tcPr>
            <w:tcW w:w="5000" w:type="pct"/>
          </w:tcPr>
          <w:p w:rsidR="005E328E" w:rsidRPr="003E425B" w:rsidRDefault="003E425B" w:rsidP="000C6CC6">
            <w:pPr>
              <w:pStyle w:val="Prrafodelista"/>
              <w:numPr>
                <w:ilvl w:val="0"/>
                <w:numId w:val="38"/>
              </w:numPr>
              <w:tabs>
                <w:tab w:val="left" w:pos="314"/>
              </w:tabs>
              <w:spacing w:line="240" w:lineRule="auto"/>
              <w:ind w:left="312" w:hanging="284"/>
              <w:rPr>
                <w:rFonts w:ascii="Times New Roman" w:hAnsi="Times New Roman"/>
                <w:color w:val="000000" w:themeColor="text1"/>
                <w:sz w:val="28"/>
                <w:szCs w:val="20"/>
                <w:lang w:val="es-ES_tradnl"/>
              </w:rPr>
            </w:pPr>
            <w:r w:rsidRPr="003E425B">
              <w:rPr>
                <w:rFonts w:ascii="Times New Roman" w:hAnsi="Times New Roman"/>
                <w:color w:val="000000" w:themeColor="text1"/>
                <w:sz w:val="28"/>
                <w:szCs w:val="20"/>
                <w:lang w:val="es-ES_tradnl"/>
              </w:rPr>
              <w:t>El Congreso de la República está facultado para conceder facultades extraordinarias al Presidente</w:t>
            </w:r>
            <w:r w:rsidRPr="003E425B">
              <w:rPr>
                <w:rFonts w:ascii="Times New Roman" w:hAnsi="Times New Roman"/>
                <w:color w:val="000000" w:themeColor="text1"/>
                <w:sz w:val="28"/>
                <w:szCs w:val="20"/>
                <w:lang w:val="es-ES_tradnl"/>
              </w:rPr>
              <w:t xml:space="preserve"> de la República para integrar sectores administrativos y definir las entidades que estarán adscritas y vinculadas. </w:t>
            </w:r>
          </w:p>
          <w:p w:rsidR="005E328E" w:rsidRPr="003E425B" w:rsidRDefault="003E425B" w:rsidP="000C6CC6">
            <w:pPr>
              <w:pStyle w:val="Prrafodelista"/>
              <w:numPr>
                <w:ilvl w:val="0"/>
                <w:numId w:val="38"/>
              </w:numPr>
              <w:tabs>
                <w:tab w:val="left" w:pos="314"/>
              </w:tabs>
              <w:spacing w:line="240" w:lineRule="auto"/>
              <w:ind w:left="312" w:hanging="284"/>
              <w:rPr>
                <w:rFonts w:ascii="Times New Roman" w:hAnsi="Times New Roman"/>
                <w:color w:val="000000" w:themeColor="text1"/>
                <w:sz w:val="28"/>
                <w:szCs w:val="20"/>
                <w:lang w:val="es-ES_tradnl"/>
              </w:rPr>
            </w:pPr>
            <w:r w:rsidRPr="003E425B">
              <w:rPr>
                <w:rFonts w:ascii="Times New Roman" w:hAnsi="Times New Roman"/>
                <w:color w:val="000000" w:themeColor="text1"/>
                <w:sz w:val="28"/>
                <w:szCs w:val="20"/>
                <w:lang w:val="es-ES_tradnl"/>
              </w:rPr>
              <w:t>La concesión de facultades extraordinarias en esta materia está sujeta al cumplimiento de las condiciones procedimentales y límites materia</w:t>
            </w:r>
            <w:r w:rsidRPr="003E425B">
              <w:rPr>
                <w:rFonts w:ascii="Times New Roman" w:hAnsi="Times New Roman"/>
                <w:color w:val="000000" w:themeColor="text1"/>
                <w:sz w:val="28"/>
                <w:szCs w:val="20"/>
                <w:lang w:val="es-ES_tradnl"/>
              </w:rPr>
              <w:t>les previstos en el numeral 10 del artículo 150 de la Constitución. La Constitución impone dos tipos de límites:</w:t>
            </w:r>
          </w:p>
          <w:p w:rsidR="005E328E" w:rsidRPr="003E425B" w:rsidRDefault="003E425B" w:rsidP="000C6CC6">
            <w:pPr>
              <w:pStyle w:val="Prrafodelista"/>
              <w:numPr>
                <w:ilvl w:val="0"/>
                <w:numId w:val="39"/>
              </w:numPr>
              <w:tabs>
                <w:tab w:val="left" w:pos="314"/>
              </w:tabs>
              <w:spacing w:line="240" w:lineRule="auto"/>
              <w:ind w:left="766" w:hanging="454"/>
              <w:rPr>
                <w:rFonts w:ascii="Times New Roman" w:hAnsi="Times New Roman"/>
                <w:color w:val="000000" w:themeColor="text1"/>
                <w:sz w:val="28"/>
                <w:szCs w:val="20"/>
                <w:lang w:val="es-ES_tradnl"/>
              </w:rPr>
            </w:pPr>
            <w:r w:rsidRPr="003E425B">
              <w:rPr>
                <w:rFonts w:ascii="Times New Roman" w:hAnsi="Times New Roman"/>
                <w:i/>
                <w:iCs/>
                <w:color w:val="000000" w:themeColor="text1"/>
                <w:sz w:val="28"/>
                <w:szCs w:val="20"/>
                <w:lang w:val="es-ES_tradnl"/>
              </w:rPr>
              <w:t>Temporal</w:t>
            </w:r>
            <w:r w:rsidRPr="003E425B">
              <w:rPr>
                <w:rFonts w:ascii="Times New Roman" w:hAnsi="Times New Roman"/>
                <w:color w:val="000000" w:themeColor="text1"/>
                <w:sz w:val="28"/>
                <w:szCs w:val="20"/>
                <w:lang w:val="es-ES_tradnl"/>
              </w:rPr>
              <w:t>. L</w:t>
            </w:r>
            <w:r w:rsidRPr="003E425B">
              <w:rPr>
                <w:rFonts w:ascii="Times New Roman" w:hAnsi="Times New Roman"/>
                <w:color w:val="000000" w:themeColor="text1"/>
                <w:sz w:val="28"/>
                <w:szCs w:val="20"/>
              </w:rPr>
              <w:t>as facultades extraordinarias sólo podrán conferirse “hasta por seis meses”.</w:t>
            </w:r>
          </w:p>
          <w:p w:rsidR="005E328E" w:rsidRPr="003E425B" w:rsidRDefault="003E425B" w:rsidP="000C6CC6">
            <w:pPr>
              <w:pStyle w:val="Prrafodelista"/>
              <w:numPr>
                <w:ilvl w:val="0"/>
                <w:numId w:val="39"/>
              </w:numPr>
              <w:tabs>
                <w:tab w:val="left" w:pos="314"/>
              </w:tabs>
              <w:spacing w:line="240" w:lineRule="auto"/>
              <w:ind w:left="766" w:hanging="454"/>
              <w:rPr>
                <w:rFonts w:ascii="Times New Roman" w:hAnsi="Times New Roman"/>
                <w:color w:val="000000" w:themeColor="text1"/>
                <w:sz w:val="28"/>
                <w:szCs w:val="20"/>
              </w:rPr>
            </w:pPr>
            <w:r w:rsidRPr="003E425B">
              <w:rPr>
                <w:rFonts w:ascii="Times New Roman" w:hAnsi="Times New Roman"/>
                <w:i/>
                <w:iCs/>
                <w:color w:val="000000" w:themeColor="text1"/>
                <w:sz w:val="28"/>
                <w:szCs w:val="20"/>
                <w:lang w:val="es-ES_tradnl"/>
              </w:rPr>
              <w:t>Material</w:t>
            </w:r>
            <w:r w:rsidRPr="003E425B">
              <w:rPr>
                <w:rFonts w:ascii="Times New Roman" w:hAnsi="Times New Roman"/>
                <w:color w:val="000000" w:themeColor="text1"/>
                <w:sz w:val="28"/>
                <w:szCs w:val="20"/>
                <w:lang w:val="es-ES_tradnl"/>
              </w:rPr>
              <w:t>. L</w:t>
            </w:r>
            <w:r w:rsidRPr="003E425B">
              <w:rPr>
                <w:rFonts w:ascii="Times New Roman" w:hAnsi="Times New Roman"/>
                <w:bCs/>
                <w:color w:val="000000" w:themeColor="text1"/>
                <w:sz w:val="28"/>
                <w:szCs w:val="20"/>
                <w:lang w:val="es-ES"/>
              </w:rPr>
              <w:t>a ley habilitante debe ser “precisa”. E</w:t>
            </w:r>
            <w:r w:rsidRPr="003E425B">
              <w:rPr>
                <w:rFonts w:ascii="Times New Roman" w:hAnsi="Times New Roman"/>
                <w:bCs/>
                <w:color w:val="000000" w:themeColor="text1"/>
                <w:sz w:val="28"/>
                <w:szCs w:val="20"/>
              </w:rPr>
              <w:t>l req</w:t>
            </w:r>
            <w:r w:rsidRPr="003E425B">
              <w:rPr>
                <w:rFonts w:ascii="Times New Roman" w:hAnsi="Times New Roman"/>
                <w:bCs/>
                <w:color w:val="000000" w:themeColor="text1"/>
                <w:sz w:val="28"/>
                <w:szCs w:val="20"/>
              </w:rPr>
              <w:t>uisito de precisión para la concesión de facultades extraordinarias exige que la ley habilitante defina</w:t>
            </w:r>
            <w:r w:rsidRPr="003E425B">
              <w:rPr>
                <w:rFonts w:ascii="Times New Roman" w:hAnsi="Times New Roman"/>
                <w:bCs/>
                <w:iCs/>
                <w:color w:val="000000" w:themeColor="text1"/>
                <w:sz w:val="28"/>
                <w:szCs w:val="20"/>
                <w:lang w:val="es-ES"/>
              </w:rPr>
              <w:t xml:space="preserve"> de forma clara, delimitable y específica el objeto y la finalidad de la habilitación. </w:t>
            </w:r>
          </w:p>
          <w:p w:rsidR="005E328E" w:rsidRPr="003E425B" w:rsidRDefault="003E425B" w:rsidP="000C6CC6">
            <w:pPr>
              <w:pStyle w:val="Prrafodelista"/>
              <w:numPr>
                <w:ilvl w:val="0"/>
                <w:numId w:val="38"/>
              </w:numPr>
              <w:tabs>
                <w:tab w:val="left" w:pos="314"/>
              </w:tabs>
              <w:spacing w:line="240" w:lineRule="auto"/>
              <w:ind w:left="312" w:hanging="284"/>
              <w:rPr>
                <w:rFonts w:ascii="Times New Roman" w:hAnsi="Times New Roman"/>
                <w:color w:val="000000" w:themeColor="text1"/>
                <w:sz w:val="28"/>
                <w:szCs w:val="20"/>
              </w:rPr>
            </w:pPr>
            <w:r w:rsidRPr="003E425B">
              <w:rPr>
                <w:rFonts w:ascii="Times New Roman" w:hAnsi="Times New Roman"/>
                <w:color w:val="000000" w:themeColor="text1"/>
                <w:sz w:val="28"/>
                <w:szCs w:val="20"/>
              </w:rPr>
              <w:t>La jurisprudencia constitucional ha aclarado, sin embargo, que el</w:t>
            </w:r>
            <w:r w:rsidRPr="003E425B">
              <w:rPr>
                <w:rFonts w:ascii="Times New Roman" w:hAnsi="Times New Roman"/>
                <w:color w:val="000000" w:themeColor="text1"/>
                <w:sz w:val="28"/>
                <w:szCs w:val="20"/>
              </w:rPr>
              <w:t xml:space="preserve"> requisito de precisión de la ley habilitante no implica exhaustividad. Es constitucionalmente admisible que, conforme al principio de colaboración armónica, la ley habilitante otorgue al Presidente de la República la potestad de elegir los medios para des</w:t>
            </w:r>
            <w:r w:rsidRPr="003E425B">
              <w:rPr>
                <w:rFonts w:ascii="Times New Roman" w:hAnsi="Times New Roman"/>
                <w:color w:val="000000" w:themeColor="text1"/>
                <w:sz w:val="28"/>
                <w:szCs w:val="20"/>
              </w:rPr>
              <w:t xml:space="preserve">arrollar el objeto y alcanzar las finalidades de la delegación que el Congreso de la República defina. </w:t>
            </w:r>
          </w:p>
        </w:tc>
      </w:tr>
    </w:tbl>
    <w:p w:rsidR="005E328E" w:rsidRPr="003E425B" w:rsidRDefault="003E425B" w:rsidP="00010108">
      <w:pPr>
        <w:rPr>
          <w:rFonts w:ascii="Times New Roman" w:hAnsi="Times New Roman" w:cs="Times New Roman"/>
          <w:color w:val="000000" w:themeColor="text1"/>
          <w:sz w:val="28"/>
          <w:szCs w:val="28"/>
          <w:lang w:val="es-ES_tradnl"/>
        </w:rPr>
      </w:pPr>
    </w:p>
    <w:p w:rsidR="005E328E" w:rsidRPr="003E425B" w:rsidRDefault="003E425B" w:rsidP="000C6CC6">
      <w:pPr>
        <w:pStyle w:val="Ttulo3"/>
        <w:numPr>
          <w:ilvl w:val="2"/>
          <w:numId w:val="40"/>
        </w:numPr>
        <w:ind w:hanging="798"/>
        <w:rPr>
          <w:rFonts w:ascii="Times New Roman" w:hAnsi="Times New Roman" w:cs="Times New Roman"/>
          <w:sz w:val="28"/>
          <w:lang w:val="es-ES_tradnl"/>
        </w:rPr>
      </w:pPr>
      <w:r w:rsidRPr="003E425B">
        <w:rPr>
          <w:rFonts w:ascii="Times New Roman" w:hAnsi="Times New Roman" w:cs="Times New Roman"/>
          <w:sz w:val="28"/>
          <w:lang w:val="es-ES_tradnl"/>
        </w:rPr>
        <w:t xml:space="preserve">Caso concreto: el artículo 12 de la Ley 2281 de 2023 no vulnera el artículo 150.10 de la Constitución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 xml:space="preserve">El artículo 12 de la Ley 2281 de 2023 confiere facultades extraordinarias al Presidente de la República en los siguientes términos: </w:t>
      </w:r>
    </w:p>
    <w:p w:rsidR="005E328E" w:rsidRPr="003E425B" w:rsidRDefault="003E425B" w:rsidP="00010108">
      <w:pPr>
        <w:pStyle w:val="Prrafodelista"/>
        <w:spacing w:line="240" w:lineRule="auto"/>
        <w:ind w:left="0"/>
        <w:rPr>
          <w:rFonts w:ascii="Times New Roman" w:hAnsi="Times New Roman"/>
          <w:color w:val="000000" w:themeColor="text1"/>
          <w:sz w:val="28"/>
          <w:lang w:val="es-ES_tradnl"/>
        </w:rPr>
      </w:pPr>
    </w:p>
    <w:p w:rsidR="005E328E" w:rsidRPr="003E425B" w:rsidRDefault="003E425B" w:rsidP="00010108">
      <w:pPr>
        <w:pStyle w:val="Prrafodelista"/>
        <w:tabs>
          <w:tab w:val="left" w:pos="709"/>
        </w:tabs>
        <w:spacing w:line="240" w:lineRule="auto"/>
        <w:ind w:left="680" w:right="397"/>
        <w:rPr>
          <w:rFonts w:ascii="Times New Roman" w:hAnsi="Times New Roman"/>
          <w:sz w:val="28"/>
          <w:szCs w:val="22"/>
          <w:lang w:val="es-ES_tradnl"/>
        </w:rPr>
      </w:pPr>
      <w:r w:rsidRPr="003E425B">
        <w:rPr>
          <w:rFonts w:ascii="Times New Roman" w:hAnsi="Times New Roman"/>
          <w:sz w:val="28"/>
          <w:szCs w:val="22"/>
        </w:rPr>
        <w:t>“</w:t>
      </w:r>
      <w:r w:rsidRPr="003E425B">
        <w:rPr>
          <w:rFonts w:ascii="Times New Roman" w:hAnsi="Times New Roman"/>
          <w:b/>
          <w:bCs/>
          <w:sz w:val="28"/>
          <w:szCs w:val="22"/>
        </w:rPr>
        <w:t>ARTÍCULO</w:t>
      </w:r>
      <w:r w:rsidRPr="003E425B">
        <w:rPr>
          <w:rFonts w:ascii="Times New Roman" w:hAnsi="Times New Roman"/>
          <w:sz w:val="28"/>
          <w:szCs w:val="22"/>
        </w:rPr>
        <w:t> </w:t>
      </w:r>
      <w:r w:rsidRPr="003E425B">
        <w:rPr>
          <w:rFonts w:ascii="Times New Roman" w:hAnsi="Times New Roman"/>
          <w:b/>
          <w:bCs/>
          <w:sz w:val="28"/>
          <w:szCs w:val="22"/>
        </w:rPr>
        <w:t>12. FACULTADES EXTRAORDINARIAS.</w:t>
      </w:r>
      <w:r w:rsidRPr="003E425B">
        <w:rPr>
          <w:rFonts w:ascii="Times New Roman" w:hAnsi="Times New Roman"/>
          <w:sz w:val="28"/>
          <w:szCs w:val="22"/>
        </w:rPr>
        <w:t xml:space="preserve"> Revístase al Presidente de la República de precisas facultades extraordinarias, </w:t>
      </w:r>
      <w:r w:rsidRPr="003E425B">
        <w:rPr>
          <w:rFonts w:ascii="Times New Roman" w:hAnsi="Times New Roman"/>
          <w:sz w:val="28"/>
          <w:szCs w:val="22"/>
        </w:rPr>
        <w:t>por el término de seis (6) meses, contados a partir de la fecha de publicación de la presente ley, para expedir normas con fuerza material de ley dirigidas a integrar al Sector de Igualdad y Equidad con las entidades que defina como adscritas o vinculadas.</w:t>
      </w:r>
      <w:r w:rsidRPr="003E425B">
        <w:rPr>
          <w:rFonts w:ascii="Times New Roman" w:hAnsi="Times New Roman"/>
          <w:sz w:val="28"/>
          <w:szCs w:val="22"/>
        </w:rPr>
        <w:t xml:space="preserve"> Lo anterior, de conformidad con lo establecido en el artículo 150 numeral </w:t>
      </w:r>
      <w:hyperlink r:id="rId14" w:anchor="150.n.10" w:history="1">
        <w:r w:rsidRPr="003E425B">
          <w:rPr>
            <w:rStyle w:val="Hipervnculo"/>
            <w:rFonts w:ascii="Times New Roman" w:hAnsi="Times New Roman"/>
            <w:color w:val="auto"/>
            <w:sz w:val="28"/>
            <w:szCs w:val="22"/>
          </w:rPr>
          <w:t>10</w:t>
        </w:r>
      </w:hyperlink>
      <w:r w:rsidRPr="003E425B">
        <w:rPr>
          <w:rFonts w:ascii="Times New Roman" w:hAnsi="Times New Roman"/>
          <w:sz w:val="28"/>
          <w:szCs w:val="22"/>
        </w:rPr>
        <w:t> de la Constitución Política”.</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 xml:space="preserve">La Sala Plena considera que el artículo 12 de </w:t>
      </w:r>
      <w:r w:rsidRPr="003E425B">
        <w:rPr>
          <w:rFonts w:ascii="Times New Roman" w:hAnsi="Times New Roman"/>
          <w:color w:val="000000" w:themeColor="text1"/>
          <w:sz w:val="28"/>
          <w:lang w:val="es-ES_tradnl"/>
        </w:rPr>
        <w:t>la Ley 2281 de 2023 no vulnera el numeral 10 del artículo 150 de la Constitución. A título preliminar, la Sala advierte que la norma demandada satisface el requisito de temporalidad, porque dispone expresamente el término de las facultades extraordinarias:</w:t>
      </w:r>
      <w:r w:rsidRPr="003E425B">
        <w:rPr>
          <w:rFonts w:ascii="Times New Roman" w:hAnsi="Times New Roman"/>
          <w:color w:val="000000" w:themeColor="text1"/>
          <w:sz w:val="28"/>
          <w:lang w:val="es-ES_tradnl"/>
        </w:rPr>
        <w:t xml:space="preserve"> seis (6) meses. Asimismo, la Sala Plena reitera que, conforme a la jurisprudencia constitucional reiterada y uniforme, el Congreso de la República está facultado para delegar al Presidente de la República la integración de sectores administrativos (ver pá</w:t>
      </w:r>
      <w:r w:rsidRPr="003E425B">
        <w:rPr>
          <w:rFonts w:ascii="Times New Roman" w:hAnsi="Times New Roman"/>
          <w:color w:val="000000" w:themeColor="text1"/>
          <w:sz w:val="28"/>
          <w:lang w:val="es-ES_tradnl"/>
        </w:rPr>
        <w:t>rr.</w:t>
      </w:r>
      <w:r w:rsidRPr="003E425B">
        <w:rPr>
          <w:rFonts w:ascii="Times New Roman" w:hAnsi="Times New Roman"/>
          <w:color w:val="000000" w:themeColor="text1"/>
          <w:sz w:val="28"/>
          <w:lang w:val="es-ES_tradnl"/>
        </w:rPr>
        <w:t xml:space="preserve"> </w:t>
      </w:r>
      <w:r w:rsidRPr="003E425B">
        <w:rPr>
          <w:rFonts w:ascii="Times New Roman" w:hAnsi="Times New Roman"/>
          <w:color w:val="000000" w:themeColor="text1"/>
          <w:sz w:val="28"/>
          <w:lang w:val="es-ES_tradnl"/>
        </w:rPr>
        <w:t>265</w:t>
      </w:r>
      <w:r w:rsidRPr="003E425B">
        <w:rPr>
          <w:rFonts w:ascii="Times New Roman" w:hAnsi="Times New Roman"/>
          <w:color w:val="000000" w:themeColor="text1"/>
          <w:sz w:val="28"/>
          <w:lang w:val="es-ES_tradnl"/>
        </w:rPr>
        <w:t>-</w:t>
      </w:r>
      <w:r w:rsidRPr="003E425B">
        <w:rPr>
          <w:rFonts w:ascii="Times New Roman" w:hAnsi="Times New Roman"/>
          <w:color w:val="000000" w:themeColor="text1"/>
          <w:sz w:val="28"/>
          <w:lang w:val="es-ES_tradnl"/>
        </w:rPr>
        <w:fldChar w:fldCharType="begin"/>
      </w:r>
      <w:r w:rsidRPr="003E425B">
        <w:rPr>
          <w:rFonts w:ascii="Times New Roman" w:hAnsi="Times New Roman"/>
          <w:color w:val="000000" w:themeColor="text1"/>
          <w:sz w:val="28"/>
          <w:lang w:val="es-ES_tradnl"/>
        </w:rPr>
        <w:instrText xml:space="preserve"> REF _Ref165376049 \r \h  \* MERGEFORMAT </w:instrText>
      </w:r>
      <w:r w:rsidRPr="003E425B">
        <w:rPr>
          <w:rFonts w:ascii="Times New Roman" w:hAnsi="Times New Roman"/>
          <w:color w:val="000000" w:themeColor="text1"/>
          <w:sz w:val="28"/>
          <w:lang w:val="es-ES_tradnl"/>
        </w:rPr>
      </w:r>
      <w:r w:rsidRPr="003E425B">
        <w:rPr>
          <w:rFonts w:ascii="Times New Roman" w:hAnsi="Times New Roman"/>
          <w:color w:val="000000" w:themeColor="text1"/>
          <w:sz w:val="28"/>
          <w:lang w:val="es-ES_tradnl"/>
        </w:rPr>
        <w:fldChar w:fldCharType="separate"/>
      </w:r>
      <w:r w:rsidRPr="003E425B">
        <w:rPr>
          <w:rFonts w:ascii="Times New Roman" w:hAnsi="Times New Roman"/>
          <w:color w:val="000000" w:themeColor="text1"/>
          <w:sz w:val="28"/>
          <w:lang w:val="es-ES_tradnl"/>
        </w:rPr>
        <w:t>28</w:t>
      </w:r>
      <w:r w:rsidRPr="003E425B">
        <w:rPr>
          <w:rFonts w:ascii="Times New Roman" w:hAnsi="Times New Roman"/>
          <w:color w:val="000000" w:themeColor="text1"/>
          <w:sz w:val="28"/>
          <w:lang w:val="es-ES_tradnl"/>
        </w:rPr>
        <w:fldChar w:fldCharType="end"/>
      </w:r>
      <w:r w:rsidRPr="003E425B">
        <w:rPr>
          <w:rFonts w:ascii="Times New Roman" w:hAnsi="Times New Roman"/>
          <w:color w:val="000000" w:themeColor="text1"/>
          <w:sz w:val="28"/>
          <w:lang w:val="es-ES_tradnl"/>
        </w:rPr>
        <w:t>1</w:t>
      </w:r>
      <w:r w:rsidRPr="003E425B">
        <w:rPr>
          <w:rFonts w:ascii="Times New Roman" w:hAnsi="Times New Roman"/>
          <w:color w:val="000000" w:themeColor="text1"/>
          <w:sz w:val="28"/>
          <w:lang w:val="es-ES_tradnl"/>
        </w:rPr>
        <w:t xml:space="preserve"> </w:t>
      </w:r>
      <w:r w:rsidRPr="003E425B">
        <w:rPr>
          <w:rFonts w:ascii="Times New Roman" w:hAnsi="Times New Roman"/>
          <w:i/>
          <w:iCs/>
          <w:color w:val="000000" w:themeColor="text1"/>
          <w:sz w:val="28"/>
          <w:lang w:val="es-ES_tradnl"/>
        </w:rPr>
        <w:t>supra</w:t>
      </w:r>
      <w:r w:rsidRPr="003E425B">
        <w:rPr>
          <w:rFonts w:ascii="Times New Roman" w:hAnsi="Times New Roman"/>
          <w:color w:val="000000" w:themeColor="text1"/>
          <w:sz w:val="28"/>
          <w:lang w:val="es-ES_tradnl"/>
        </w:rPr>
        <w:t xml:space="preserve">).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 xml:space="preserve">Ahora bien, la Corte considera que el artículo 12 de la Ley 2281 de 2023 satisface el requisito de precisión en la concesión de facultades extraordinarias, por tres razones: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u w:val="single"/>
          <w:lang w:val="es-ES_tradnl"/>
        </w:rPr>
        <w:t>Primero</w:t>
      </w:r>
      <w:r w:rsidRPr="003E425B">
        <w:rPr>
          <w:rFonts w:ascii="Times New Roman" w:hAnsi="Times New Roman"/>
          <w:color w:val="000000" w:themeColor="text1"/>
          <w:sz w:val="28"/>
          <w:lang w:val="es-ES_tradnl"/>
        </w:rPr>
        <w:t>. El Congreso de la República definió el objeto y finalidad de la habilit</w:t>
      </w:r>
      <w:r w:rsidRPr="003E425B">
        <w:rPr>
          <w:rFonts w:ascii="Times New Roman" w:hAnsi="Times New Roman"/>
          <w:color w:val="000000" w:themeColor="text1"/>
          <w:sz w:val="28"/>
          <w:lang w:val="es-ES_tradnl"/>
        </w:rPr>
        <w:t xml:space="preserve">ación de forma específica, clara y delimitable. A juicio de la Corte, el ámbito material de las facultades extraordinarias es </w:t>
      </w:r>
      <w:r w:rsidRPr="003E425B">
        <w:rPr>
          <w:rFonts w:ascii="Times New Roman" w:hAnsi="Times New Roman"/>
          <w:i/>
          <w:iCs/>
          <w:color w:val="000000" w:themeColor="text1"/>
          <w:sz w:val="28"/>
          <w:lang w:val="es-ES_tradnl"/>
        </w:rPr>
        <w:t>específico</w:t>
      </w:r>
      <w:r w:rsidRPr="003E425B">
        <w:rPr>
          <w:rFonts w:ascii="Times New Roman" w:hAnsi="Times New Roman"/>
          <w:color w:val="000000" w:themeColor="text1"/>
          <w:sz w:val="28"/>
          <w:lang w:val="es-ES_tradnl"/>
        </w:rPr>
        <w:t xml:space="preserve"> -no vago e indeterminado- porque el Congreso sólo confirió las facultades extraordinarias al Presidente de la República</w:t>
      </w:r>
      <w:r w:rsidRPr="003E425B">
        <w:rPr>
          <w:rFonts w:ascii="Times New Roman" w:hAnsi="Times New Roman"/>
          <w:color w:val="000000" w:themeColor="text1"/>
          <w:sz w:val="28"/>
          <w:lang w:val="es-ES_tradnl"/>
        </w:rPr>
        <w:t xml:space="preserve"> para integrar un </w:t>
      </w:r>
      <w:r w:rsidRPr="003E425B">
        <w:rPr>
          <w:rFonts w:ascii="Times New Roman" w:hAnsi="Times New Roman"/>
          <w:color w:val="000000" w:themeColor="text1"/>
          <w:sz w:val="28"/>
          <w:lang w:val="es-ES_tradnl"/>
        </w:rPr>
        <w:t>único</w:t>
      </w:r>
      <w:r w:rsidRPr="003E425B">
        <w:rPr>
          <w:rFonts w:ascii="Times New Roman" w:hAnsi="Times New Roman"/>
          <w:color w:val="000000" w:themeColor="text1"/>
          <w:sz w:val="28"/>
          <w:lang w:val="es-ES_tradnl"/>
        </w:rPr>
        <w:t xml:space="preserve"> </w:t>
      </w:r>
      <w:r w:rsidRPr="003E425B">
        <w:rPr>
          <w:rFonts w:ascii="Times New Roman" w:hAnsi="Times New Roman"/>
          <w:color w:val="000000" w:themeColor="text1"/>
          <w:sz w:val="28"/>
          <w:lang w:val="es-ES_tradnl"/>
        </w:rPr>
        <w:t xml:space="preserve">sector administrativo: el Sector administrativo de Igualdad y Equidad. En tales términos, el legislador no se desprendió de forma indefinida y permanente de la función constitucional prevista en el numeral 7º del artículo 150 de la </w:t>
      </w:r>
      <w:r w:rsidRPr="003E425B">
        <w:rPr>
          <w:rFonts w:ascii="Times New Roman" w:hAnsi="Times New Roman"/>
          <w:color w:val="000000" w:themeColor="text1"/>
          <w:sz w:val="28"/>
          <w:lang w:val="es-ES_tradnl"/>
        </w:rPr>
        <w:t xml:space="preserve">Constitución.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 xml:space="preserve">Por otra parte, el objeto y finalidad de la habilitación son </w:t>
      </w:r>
      <w:r w:rsidRPr="003E425B">
        <w:rPr>
          <w:rFonts w:ascii="Times New Roman" w:hAnsi="Times New Roman"/>
          <w:i/>
          <w:iCs/>
          <w:color w:val="000000" w:themeColor="text1"/>
          <w:sz w:val="28"/>
          <w:lang w:val="es-ES_tradnl"/>
        </w:rPr>
        <w:t>claros</w:t>
      </w:r>
      <w:r w:rsidRPr="003E425B">
        <w:rPr>
          <w:rFonts w:ascii="Times New Roman" w:hAnsi="Times New Roman"/>
          <w:color w:val="000000" w:themeColor="text1"/>
          <w:sz w:val="28"/>
          <w:lang w:val="es-ES_tradnl"/>
        </w:rPr>
        <w:t xml:space="preserve"> y </w:t>
      </w:r>
      <w:r w:rsidRPr="003E425B">
        <w:rPr>
          <w:rFonts w:ascii="Times New Roman" w:hAnsi="Times New Roman"/>
          <w:i/>
          <w:iCs/>
          <w:color w:val="000000" w:themeColor="text1"/>
          <w:sz w:val="28"/>
          <w:lang w:val="es-ES_tradnl"/>
        </w:rPr>
        <w:t>delimitables</w:t>
      </w:r>
      <w:r w:rsidRPr="003E425B">
        <w:rPr>
          <w:rFonts w:ascii="Times New Roman" w:hAnsi="Times New Roman"/>
          <w:color w:val="000000" w:themeColor="text1"/>
          <w:sz w:val="28"/>
          <w:lang w:val="es-ES_tradnl"/>
        </w:rPr>
        <w:t>. Esto es así, porque, tal y como lo señala la Procuraduría General de la Nación, la Ley 489 de 1998 define lo que se entiende por sector “administrativo”. En</w:t>
      </w:r>
      <w:r w:rsidRPr="003E425B">
        <w:rPr>
          <w:rFonts w:ascii="Times New Roman" w:hAnsi="Times New Roman"/>
          <w:color w:val="000000" w:themeColor="text1"/>
          <w:sz w:val="28"/>
          <w:lang w:val="es-ES_tradnl"/>
        </w:rPr>
        <w:t xml:space="preserve"> particular, el artículo 42 de esta ley dispone que el Sector Administrativo “está integrado por el Ministerio o Departamento Administrativo, las superintendencias y demás entidades que la ley defina cómo adscritas o vinculadas a aquellos según </w:t>
      </w:r>
      <w:r w:rsidRPr="003E425B">
        <w:rPr>
          <w:rFonts w:ascii="Times New Roman" w:hAnsi="Times New Roman"/>
          <w:color w:val="000000" w:themeColor="text1"/>
          <w:sz w:val="28"/>
          <w:lang w:val="es-ES_tradnl"/>
        </w:rPr>
        <w:t>correspondi</w:t>
      </w:r>
      <w:r w:rsidRPr="003E425B">
        <w:rPr>
          <w:rFonts w:ascii="Times New Roman" w:hAnsi="Times New Roman"/>
          <w:color w:val="000000" w:themeColor="text1"/>
          <w:sz w:val="28"/>
          <w:lang w:val="es-ES_tradnl"/>
        </w:rPr>
        <w:t xml:space="preserve">ere a cada área”. Asimismo, los verbos rectores de la habilitación -adscribir y vincular- han sido definidos por la jurisprudencia constitucional y contenciosa. </w:t>
      </w:r>
      <w:r w:rsidRPr="003E425B">
        <w:rPr>
          <w:rFonts w:ascii="Times New Roman" w:hAnsi="Times New Roman"/>
          <w:color w:val="000000" w:themeColor="text1"/>
          <w:sz w:val="28"/>
        </w:rPr>
        <w:t>De acuerdo con la Corte Constitucional y el Consejo de Estado, los conceptos de adscripción y v</w:t>
      </w:r>
      <w:r w:rsidRPr="003E425B">
        <w:rPr>
          <w:rFonts w:ascii="Times New Roman" w:hAnsi="Times New Roman"/>
          <w:color w:val="000000" w:themeColor="text1"/>
          <w:sz w:val="28"/>
        </w:rPr>
        <w:t>inculación hacen referencia “al grado de autonomía de que gozan [las entidades] en relación con el sector administrativo al que pertenecen”</w:t>
      </w:r>
      <w:r w:rsidRPr="003E425B">
        <w:rPr>
          <w:rFonts w:ascii="Times New Roman" w:hAnsi="Times New Roman"/>
          <w:color w:val="000000" w:themeColor="text1"/>
          <w:sz w:val="28"/>
          <w:vertAlign w:val="superscript"/>
        </w:rPr>
        <w:footnoteReference w:id="424"/>
      </w:r>
      <w:r w:rsidRPr="003E425B">
        <w:rPr>
          <w:rFonts w:ascii="Times New Roman" w:hAnsi="Times New Roman"/>
          <w:color w:val="000000" w:themeColor="text1"/>
          <w:sz w:val="28"/>
        </w:rPr>
        <w:t>. En concreto, se refieren al control de tutela que ejerce la cabeza del sector</w:t>
      </w:r>
      <w:r w:rsidRPr="003E425B">
        <w:rPr>
          <w:rFonts w:ascii="Times New Roman" w:hAnsi="Times New Roman"/>
          <w:color w:val="000000" w:themeColor="text1"/>
          <w:sz w:val="28"/>
          <w:vertAlign w:val="superscript"/>
        </w:rPr>
        <w:footnoteReference w:id="425"/>
      </w:r>
      <w:r w:rsidRPr="003E425B">
        <w:rPr>
          <w:rFonts w:ascii="Times New Roman" w:hAnsi="Times New Roman"/>
          <w:color w:val="000000" w:themeColor="text1"/>
          <w:sz w:val="28"/>
        </w:rPr>
        <w:t>. La adscripción y vinculación de en</w:t>
      </w:r>
      <w:r w:rsidRPr="003E425B">
        <w:rPr>
          <w:rFonts w:ascii="Times New Roman" w:hAnsi="Times New Roman"/>
          <w:color w:val="000000" w:themeColor="text1"/>
          <w:sz w:val="28"/>
        </w:rPr>
        <w:t>tidades no implica su fusión, escisión y liquidación</w:t>
      </w:r>
      <w:r w:rsidRPr="003E425B">
        <w:rPr>
          <w:rStyle w:val="Refdenotaalpie"/>
          <w:rFonts w:ascii="Times New Roman" w:hAnsi="Times New Roman"/>
          <w:color w:val="000000" w:themeColor="text1"/>
          <w:sz w:val="28"/>
        </w:rPr>
        <w:footnoteReference w:id="426"/>
      </w:r>
      <w:r w:rsidRPr="003E425B">
        <w:rPr>
          <w:rFonts w:ascii="Times New Roman" w:hAnsi="Times New Roman"/>
          <w:color w:val="000000" w:themeColor="text1"/>
          <w:sz w:val="28"/>
        </w:rPr>
        <w:t xml:space="preserve">. </w:t>
      </w:r>
    </w:p>
    <w:p w:rsidR="006C14F9" w:rsidRPr="003E425B" w:rsidRDefault="003E425B" w:rsidP="006C14F9">
      <w:pPr>
        <w:pStyle w:val="Prrafodelista"/>
        <w:rPr>
          <w:rFonts w:ascii="Times New Roman" w:hAnsi="Times New Roman"/>
          <w:sz w:val="28"/>
          <w:lang w:eastAsia="es-MX"/>
        </w:rPr>
      </w:pPr>
    </w:p>
    <w:p w:rsidR="006C14F9"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sz w:val="28"/>
          <w:lang w:eastAsia="es-MX"/>
        </w:rPr>
        <w:t>Por otra parte, la Sala Plena advierte que la exposición de motivos, los informes de ponencia</w:t>
      </w:r>
      <w:r w:rsidRPr="003E425B">
        <w:rPr>
          <w:rFonts w:ascii="Times New Roman" w:hAnsi="Times New Roman"/>
          <w:sz w:val="28"/>
          <w:lang w:eastAsia="es-MX"/>
        </w:rPr>
        <w:t xml:space="preserve">, y las intervenciones del Gobierno Nacional en los debates ante las comisiones y las plenarias, permiten inferir la finalidad y necesidad de la concesión de las facultades extraordinarias para la integración del sector administrativo </w:t>
      </w:r>
      <w:r w:rsidRPr="003E425B">
        <w:rPr>
          <w:rFonts w:ascii="Times New Roman" w:hAnsi="Times New Roman"/>
          <w:sz w:val="28"/>
          <w:lang w:eastAsia="es-MX"/>
        </w:rPr>
        <w:t>d</w:t>
      </w:r>
      <w:r w:rsidRPr="003E425B">
        <w:rPr>
          <w:rFonts w:ascii="Times New Roman" w:hAnsi="Times New Roman"/>
          <w:sz w:val="28"/>
          <w:lang w:eastAsia="es-MX"/>
        </w:rPr>
        <w:t>e Igualdad y Equidad</w:t>
      </w:r>
      <w:r w:rsidRPr="003E425B">
        <w:rPr>
          <w:rFonts w:ascii="Times New Roman" w:hAnsi="Times New Roman"/>
          <w:sz w:val="28"/>
          <w:lang w:eastAsia="es-MX"/>
        </w:rPr>
        <w:t>. En efecto, a lo largo del trámite legislativo se reiteró que</w:t>
      </w:r>
      <w:r w:rsidRPr="003E425B">
        <w:rPr>
          <w:rFonts w:ascii="Times New Roman" w:hAnsi="Times New Roman"/>
          <w:sz w:val="28"/>
          <w:lang w:eastAsia="es-MX"/>
        </w:rPr>
        <w:t>, conforme al diagnóstico que había efectuado el Gobierno Nacional, “[e]n un mapa institucional preliminar se encontraron 11 sectores, 14 Entidades, 26 Fondos, 102 dependencias, 24 Sistemas Naci</w:t>
      </w:r>
      <w:r w:rsidRPr="003E425B">
        <w:rPr>
          <w:rFonts w:ascii="Times New Roman" w:hAnsi="Times New Roman"/>
          <w:sz w:val="28"/>
          <w:lang w:eastAsia="es-MX"/>
        </w:rPr>
        <w:t>onales, 121 Mecanismos e instancias de articulación y coordinación (consejos, comisiones, comités) y 123 programas relacionados con la Igualdad y la Equidad”</w:t>
      </w:r>
      <w:r w:rsidRPr="003E425B">
        <w:rPr>
          <w:rFonts w:ascii="Times New Roman" w:hAnsi="Times New Roman"/>
          <w:sz w:val="28"/>
          <w:vertAlign w:val="superscript"/>
          <w:lang w:eastAsia="es-MX"/>
        </w:rPr>
        <w:footnoteReference w:id="427"/>
      </w:r>
      <w:r w:rsidRPr="003E425B">
        <w:rPr>
          <w:rFonts w:ascii="Times New Roman" w:hAnsi="Times New Roman"/>
          <w:sz w:val="28"/>
          <w:lang w:eastAsia="es-MX"/>
        </w:rPr>
        <w:t>. Los informes de ponencia señalaban “esta amplia dispersión de los esfuerzos del Gobierno Naciona</w:t>
      </w:r>
      <w:r w:rsidRPr="003E425B">
        <w:rPr>
          <w:rFonts w:ascii="Times New Roman" w:hAnsi="Times New Roman"/>
          <w:sz w:val="28"/>
          <w:lang w:eastAsia="es-MX"/>
        </w:rPr>
        <w:t>l puede resultar en ineficiencias en el gasto, la cobertura y, sobre todo el impacto”</w:t>
      </w:r>
      <w:r w:rsidRPr="003E425B">
        <w:rPr>
          <w:rFonts w:ascii="Times New Roman" w:hAnsi="Times New Roman"/>
          <w:sz w:val="28"/>
          <w:vertAlign w:val="superscript"/>
          <w:lang w:eastAsia="es-MX"/>
        </w:rPr>
        <w:footnoteReference w:id="428"/>
      </w:r>
      <w:r w:rsidRPr="003E425B">
        <w:rPr>
          <w:rFonts w:ascii="Times New Roman" w:hAnsi="Times New Roman"/>
          <w:sz w:val="28"/>
          <w:lang w:eastAsia="es-MX"/>
        </w:rPr>
        <w:t xml:space="preserve">. Por esta razón, </w:t>
      </w:r>
      <w:r w:rsidRPr="003E425B">
        <w:rPr>
          <w:rFonts w:ascii="Times New Roman" w:hAnsi="Times New Roman"/>
          <w:sz w:val="28"/>
          <w:lang w:eastAsia="es-MX"/>
        </w:rPr>
        <w:t xml:space="preserve">se proponía </w:t>
      </w:r>
      <w:r w:rsidRPr="003E425B">
        <w:rPr>
          <w:rFonts w:ascii="Times New Roman" w:hAnsi="Times New Roman"/>
          <w:i/>
          <w:iCs/>
          <w:sz w:val="28"/>
          <w:lang w:eastAsia="es-MX"/>
        </w:rPr>
        <w:t>(i)</w:t>
      </w:r>
      <w:r w:rsidRPr="003E425B">
        <w:rPr>
          <w:rFonts w:ascii="Times New Roman" w:hAnsi="Times New Roman"/>
          <w:sz w:val="28"/>
          <w:lang w:eastAsia="es-MX"/>
        </w:rPr>
        <w:t xml:space="preserve"> </w:t>
      </w:r>
      <w:r w:rsidRPr="003E425B">
        <w:rPr>
          <w:rFonts w:ascii="Times New Roman" w:hAnsi="Times New Roman"/>
          <w:sz w:val="28"/>
          <w:lang w:eastAsia="es-MX"/>
        </w:rPr>
        <w:t xml:space="preserve">crear el Ministerio de Igualdad y Equidad para </w:t>
      </w:r>
      <w:r w:rsidRPr="003E425B">
        <w:rPr>
          <w:rFonts w:ascii="Times New Roman" w:hAnsi="Times New Roman"/>
          <w:sz w:val="28"/>
          <w:lang w:eastAsia="es-MX"/>
        </w:rPr>
        <w:t xml:space="preserve">que </w:t>
      </w:r>
      <w:r w:rsidRPr="003E425B">
        <w:rPr>
          <w:rFonts w:ascii="Times New Roman" w:hAnsi="Times New Roman"/>
          <w:sz w:val="28"/>
          <w:lang w:eastAsia="es-MX"/>
        </w:rPr>
        <w:t>articular</w:t>
      </w:r>
      <w:r w:rsidRPr="003E425B">
        <w:rPr>
          <w:rFonts w:ascii="Times New Roman" w:hAnsi="Times New Roman"/>
          <w:sz w:val="28"/>
          <w:lang w:eastAsia="es-MX"/>
        </w:rPr>
        <w:t>a</w:t>
      </w:r>
      <w:r w:rsidRPr="003E425B">
        <w:rPr>
          <w:rFonts w:ascii="Times New Roman" w:hAnsi="Times New Roman"/>
          <w:sz w:val="28"/>
          <w:lang w:eastAsia="es-MX"/>
        </w:rPr>
        <w:t xml:space="preserve"> </w:t>
      </w:r>
      <w:r w:rsidRPr="003E425B">
        <w:rPr>
          <w:rFonts w:ascii="Times New Roman" w:hAnsi="Times New Roman"/>
          <w:sz w:val="28"/>
          <w:lang w:eastAsia="es-MX"/>
        </w:rPr>
        <w:t>la política pública</w:t>
      </w:r>
      <w:r w:rsidRPr="003E425B">
        <w:rPr>
          <w:rFonts w:ascii="Times New Roman" w:hAnsi="Times New Roman"/>
          <w:sz w:val="28"/>
          <w:lang w:eastAsia="es-MX"/>
        </w:rPr>
        <w:t xml:space="preserve"> de igualdad y equidad y </w:t>
      </w:r>
      <w:r w:rsidRPr="003E425B">
        <w:rPr>
          <w:rFonts w:ascii="Times New Roman" w:hAnsi="Times New Roman"/>
          <w:i/>
          <w:iCs/>
          <w:sz w:val="28"/>
          <w:lang w:eastAsia="es-MX"/>
        </w:rPr>
        <w:t>(ii)</w:t>
      </w:r>
      <w:r w:rsidRPr="003E425B">
        <w:rPr>
          <w:rFonts w:ascii="Times New Roman" w:hAnsi="Times New Roman"/>
          <w:sz w:val="28"/>
          <w:lang w:eastAsia="es-MX"/>
        </w:rPr>
        <w:t xml:space="preserve"> adscribir al sector todas</w:t>
      </w:r>
      <w:r w:rsidRPr="003E425B">
        <w:rPr>
          <w:rFonts w:ascii="Times New Roman" w:hAnsi="Times New Roman"/>
          <w:sz w:val="28"/>
          <w:lang w:eastAsia="es-MX"/>
        </w:rPr>
        <w:t xml:space="preserve"> las entidades</w:t>
      </w:r>
      <w:r w:rsidRPr="003E425B">
        <w:rPr>
          <w:rFonts w:ascii="Times New Roman" w:hAnsi="Times New Roman"/>
          <w:sz w:val="28"/>
          <w:lang w:eastAsia="es-MX"/>
        </w:rPr>
        <w:t xml:space="preserve">, dependencias, consejos, comités etc., </w:t>
      </w:r>
      <w:r w:rsidRPr="003E425B">
        <w:rPr>
          <w:rFonts w:ascii="Times New Roman" w:hAnsi="Times New Roman"/>
          <w:sz w:val="28"/>
          <w:lang w:eastAsia="es-MX"/>
        </w:rPr>
        <w:t xml:space="preserve">que </w:t>
      </w:r>
      <w:r w:rsidRPr="003E425B">
        <w:rPr>
          <w:rFonts w:ascii="Times New Roman" w:hAnsi="Times New Roman"/>
          <w:sz w:val="28"/>
          <w:lang w:eastAsia="es-MX"/>
        </w:rPr>
        <w:t xml:space="preserve">ejercían funciones relacionadas. </w:t>
      </w:r>
      <w:r w:rsidRPr="003E425B">
        <w:rPr>
          <w:rFonts w:ascii="Times New Roman" w:hAnsi="Times New Roman"/>
          <w:sz w:val="28"/>
          <w:lang w:eastAsia="es-MX"/>
        </w:rPr>
        <w:t xml:space="preserve">La Sala Plena reitera que, conforme a la jurisprudencia constitucional, la experticia del Gobierno </w:t>
      </w:r>
      <w:r w:rsidRPr="003E425B">
        <w:rPr>
          <w:rFonts w:ascii="Times New Roman" w:hAnsi="Times New Roman"/>
          <w:sz w:val="28"/>
          <w:lang w:eastAsia="es-MX"/>
        </w:rPr>
        <w:t>N</w:t>
      </w:r>
      <w:r w:rsidRPr="003E425B">
        <w:rPr>
          <w:rFonts w:ascii="Times New Roman" w:hAnsi="Times New Roman"/>
          <w:sz w:val="28"/>
          <w:lang w:eastAsia="es-MX"/>
        </w:rPr>
        <w:t xml:space="preserve">acional en estas materias </w:t>
      </w:r>
      <w:r w:rsidRPr="003E425B">
        <w:rPr>
          <w:rFonts w:ascii="Times New Roman" w:hAnsi="Times New Roman"/>
          <w:sz w:val="28"/>
          <w:lang w:eastAsia="es-MX"/>
        </w:rPr>
        <w:t>justifica la concesión de facultades ex</w:t>
      </w:r>
      <w:r w:rsidRPr="003E425B">
        <w:rPr>
          <w:rFonts w:ascii="Times New Roman" w:hAnsi="Times New Roman"/>
          <w:sz w:val="28"/>
          <w:lang w:eastAsia="es-MX"/>
        </w:rPr>
        <w:t>traordinarias</w:t>
      </w:r>
      <w:r w:rsidRPr="003E425B">
        <w:rPr>
          <w:rFonts w:ascii="Times New Roman" w:hAnsi="Times New Roman"/>
          <w:sz w:val="28"/>
          <w:lang w:eastAsia="es-MX"/>
        </w:rPr>
        <w:t>,</w:t>
      </w:r>
      <w:r w:rsidRPr="003E425B">
        <w:rPr>
          <w:rFonts w:ascii="Times New Roman" w:hAnsi="Times New Roman"/>
          <w:sz w:val="28"/>
          <w:lang w:eastAsia="es-MX"/>
        </w:rPr>
        <w:t xml:space="preserve"> contribuye a la eficiencia administrativa</w:t>
      </w:r>
      <w:r w:rsidRPr="003E425B">
        <w:rPr>
          <w:rFonts w:ascii="Times New Roman" w:hAnsi="Times New Roman"/>
          <w:sz w:val="28"/>
          <w:lang w:eastAsia="es-MX"/>
        </w:rPr>
        <w:t xml:space="preserve"> y</w:t>
      </w:r>
      <w:r w:rsidRPr="003E425B">
        <w:rPr>
          <w:rFonts w:ascii="Times New Roman" w:hAnsi="Times New Roman"/>
          <w:sz w:val="28"/>
          <w:lang w:eastAsia="es-MX"/>
        </w:rPr>
        <w:t xml:space="preserve"> </w:t>
      </w:r>
      <w:r w:rsidRPr="003E425B">
        <w:rPr>
          <w:rFonts w:ascii="Times New Roman" w:hAnsi="Times New Roman"/>
          <w:sz w:val="28"/>
          <w:lang w:eastAsia="es-MX"/>
        </w:rPr>
        <w:t xml:space="preserve">facilita ajustes </w:t>
      </w:r>
      <w:r w:rsidRPr="003E425B">
        <w:rPr>
          <w:rFonts w:ascii="Times New Roman" w:hAnsi="Times New Roman"/>
          <w:sz w:val="28"/>
          <w:lang w:eastAsia="es-MX"/>
        </w:rPr>
        <w:t xml:space="preserve">en la administración pública nacional </w:t>
      </w:r>
      <w:r w:rsidRPr="003E425B">
        <w:rPr>
          <w:rFonts w:ascii="Times New Roman" w:hAnsi="Times New Roman"/>
          <w:sz w:val="28"/>
          <w:lang w:eastAsia="es-MX"/>
        </w:rPr>
        <w:t>atendiendo razones de conveniencia pública</w:t>
      </w:r>
      <w:r w:rsidRPr="003E425B">
        <w:rPr>
          <w:rFonts w:ascii="Times New Roman" w:hAnsi="Times New Roman"/>
          <w:sz w:val="28"/>
          <w:lang w:eastAsia="es-MX"/>
        </w:rPr>
        <w:t xml:space="preserve">.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u w:val="single"/>
          <w:lang w:val="es-ES_tradnl"/>
        </w:rPr>
        <w:t>Segundo</w:t>
      </w:r>
      <w:r w:rsidRPr="003E425B">
        <w:rPr>
          <w:rFonts w:ascii="Times New Roman" w:hAnsi="Times New Roman"/>
          <w:color w:val="000000" w:themeColor="text1"/>
          <w:sz w:val="28"/>
          <w:lang w:val="es-ES_tradnl"/>
        </w:rPr>
        <w:t xml:space="preserve">. La Sala </w:t>
      </w:r>
      <w:r w:rsidRPr="003E425B">
        <w:rPr>
          <w:rFonts w:ascii="Times New Roman" w:hAnsi="Times New Roman"/>
          <w:color w:val="000000" w:themeColor="text1"/>
          <w:sz w:val="28"/>
          <w:lang w:val="es-ES_tradnl"/>
        </w:rPr>
        <w:t xml:space="preserve">Plena </w:t>
      </w:r>
      <w:r w:rsidRPr="003E425B">
        <w:rPr>
          <w:rFonts w:ascii="Times New Roman" w:hAnsi="Times New Roman"/>
          <w:color w:val="000000" w:themeColor="text1"/>
          <w:sz w:val="28"/>
          <w:lang w:val="es-ES_tradnl"/>
        </w:rPr>
        <w:t>reconoce que, tal y como advierten los demandantes, el Congreso de la República no definió los criterios a partir de los cuales el Presidente de la República debía adscribir y vincular entidades al sector administrativo de Igualdad y Equidad. En criterio d</w:t>
      </w:r>
      <w:r w:rsidRPr="003E425B">
        <w:rPr>
          <w:rFonts w:ascii="Times New Roman" w:hAnsi="Times New Roman"/>
          <w:color w:val="000000" w:themeColor="text1"/>
          <w:sz w:val="28"/>
          <w:lang w:val="es-ES_tradnl"/>
        </w:rPr>
        <w:t xml:space="preserve">e la Corte, sin embargo, esto no implica que la ley habilitante carezca de precisión. Como se expuso, la Corte Constitucional ha reiterado que </w:t>
      </w:r>
      <w:r w:rsidRPr="003E425B">
        <w:rPr>
          <w:rFonts w:ascii="Times New Roman" w:hAnsi="Times New Roman"/>
          <w:color w:val="000000" w:themeColor="text1"/>
          <w:sz w:val="28"/>
        </w:rPr>
        <w:t>el requisito de precisión de la ley habilitante no implica exhaustividad y “no puede llegar al punto de hacer que</w:t>
      </w:r>
      <w:r w:rsidRPr="003E425B">
        <w:rPr>
          <w:rFonts w:ascii="Times New Roman" w:hAnsi="Times New Roman"/>
          <w:color w:val="000000" w:themeColor="text1"/>
          <w:sz w:val="28"/>
        </w:rPr>
        <w:t xml:space="preserve"> sea el propio Legislador quien defina con detalle el contenido de las materias que debe regular el Ejecutivo con las facultades extraordinarias”</w:t>
      </w:r>
      <w:r w:rsidRPr="003E425B">
        <w:rPr>
          <w:rFonts w:ascii="Times New Roman" w:hAnsi="Times New Roman"/>
          <w:color w:val="000000" w:themeColor="text1"/>
          <w:sz w:val="28"/>
          <w:vertAlign w:val="superscript"/>
        </w:rPr>
        <w:footnoteReference w:id="429"/>
      </w:r>
      <w:r w:rsidRPr="003E425B">
        <w:rPr>
          <w:rFonts w:ascii="Times New Roman" w:hAnsi="Times New Roman"/>
          <w:color w:val="000000" w:themeColor="text1"/>
          <w:sz w:val="28"/>
        </w:rPr>
        <w:t>. Exigir al Congreso fijar unos parámetros minuciosos “tornaría inocua e innecesaria la concesión de facultade</w:t>
      </w:r>
      <w:r w:rsidRPr="003E425B">
        <w:rPr>
          <w:rFonts w:ascii="Times New Roman" w:hAnsi="Times New Roman"/>
          <w:color w:val="000000" w:themeColor="text1"/>
          <w:sz w:val="28"/>
        </w:rPr>
        <w:t>s”</w:t>
      </w:r>
      <w:r w:rsidRPr="003E425B">
        <w:rPr>
          <w:rFonts w:ascii="Times New Roman" w:hAnsi="Times New Roman"/>
          <w:color w:val="000000" w:themeColor="text1"/>
          <w:sz w:val="28"/>
          <w:vertAlign w:val="superscript"/>
        </w:rPr>
        <w:footnoteReference w:id="430"/>
      </w:r>
      <w:r w:rsidRPr="003E425B">
        <w:rPr>
          <w:rFonts w:ascii="Times New Roman" w:hAnsi="Times New Roman"/>
          <w:color w:val="000000" w:themeColor="text1"/>
          <w:sz w:val="28"/>
        </w:rPr>
        <w:t>, “restaría sentido a la delegación legislativa”</w:t>
      </w:r>
      <w:r w:rsidRPr="003E425B">
        <w:rPr>
          <w:rFonts w:ascii="Times New Roman" w:hAnsi="Times New Roman"/>
          <w:color w:val="000000" w:themeColor="text1"/>
          <w:sz w:val="28"/>
          <w:vertAlign w:val="superscript"/>
        </w:rPr>
        <w:footnoteReference w:id="431"/>
      </w:r>
      <w:r w:rsidRPr="003E425B">
        <w:rPr>
          <w:rFonts w:ascii="Times New Roman" w:hAnsi="Times New Roman"/>
          <w:color w:val="000000" w:themeColor="text1"/>
          <w:sz w:val="28"/>
        </w:rPr>
        <w:t xml:space="preserve"> y “podría conducir al exabrupto de convertir al Ejecutivo delegado en un mero repetidor de lo autorizado taxativamente por el legislador ordinario”</w:t>
      </w:r>
      <w:r w:rsidRPr="003E425B">
        <w:rPr>
          <w:rFonts w:ascii="Times New Roman" w:hAnsi="Times New Roman"/>
          <w:color w:val="000000" w:themeColor="text1"/>
          <w:sz w:val="28"/>
          <w:vertAlign w:val="superscript"/>
        </w:rPr>
        <w:footnoteReference w:id="432"/>
      </w:r>
      <w:r w:rsidRPr="003E425B">
        <w:rPr>
          <w:rFonts w:ascii="Times New Roman" w:hAnsi="Times New Roman"/>
          <w:color w:val="000000" w:themeColor="text1"/>
          <w:sz w:val="28"/>
        </w:rPr>
        <w:t xml:space="preserve">. En criterio de la Sala Plena, es constitucionalmente </w:t>
      </w:r>
      <w:r w:rsidRPr="003E425B">
        <w:rPr>
          <w:rFonts w:ascii="Times New Roman" w:hAnsi="Times New Roman"/>
          <w:color w:val="000000" w:themeColor="text1"/>
          <w:sz w:val="28"/>
        </w:rPr>
        <w:t>admisible que, en materias tales como la integración de un determinado sector administrativo, el Congreso de la República confiera un margen de acción al Presidente de la República para concretar las entidades que estarán adscritas y vinculadas, conforme a</w:t>
      </w:r>
      <w:r w:rsidRPr="003E425B">
        <w:rPr>
          <w:rFonts w:ascii="Times New Roman" w:hAnsi="Times New Roman"/>
          <w:color w:val="000000" w:themeColor="text1"/>
          <w:sz w:val="28"/>
        </w:rPr>
        <w:t xml:space="preserve"> los estudios y diagnósticos sobre gestión administrativa que realice.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u w:val="single"/>
        </w:rPr>
        <w:t>Tercero</w:t>
      </w:r>
      <w:r w:rsidRPr="003E425B">
        <w:rPr>
          <w:rFonts w:ascii="Times New Roman" w:hAnsi="Times New Roman"/>
          <w:color w:val="000000" w:themeColor="text1"/>
          <w:sz w:val="28"/>
        </w:rPr>
        <w:t>. Contrario a los sostenido por los demandantes, una interpretación literal, sistemática e histórica confirma que el artículo 12 de la Ley 2281 de 2023 no confiere al President</w:t>
      </w:r>
      <w:r w:rsidRPr="003E425B">
        <w:rPr>
          <w:rFonts w:ascii="Times New Roman" w:hAnsi="Times New Roman"/>
          <w:color w:val="000000" w:themeColor="text1"/>
          <w:sz w:val="28"/>
        </w:rPr>
        <w:t xml:space="preserve">e de la República la facultad de modificar, sin ningún límite, la administración pública nacional, mediante la creación, escisión, fusión y liquidación de entidades, organismos, direcciones y unidades administrativas. Esto es así, principalmente porque el </w:t>
      </w:r>
      <w:r w:rsidRPr="003E425B">
        <w:rPr>
          <w:rFonts w:ascii="Times New Roman" w:hAnsi="Times New Roman"/>
          <w:color w:val="000000" w:themeColor="text1"/>
          <w:sz w:val="28"/>
        </w:rPr>
        <w:t>texto del artículo 12 demandado, que es de interpretación restrictiva, no otorga tal competencia. Como se expuso, el artículo 12 sólo permite al Presidente de la República adscribir y vincular entidades lo cual, se reitera, no implica escisión, fusión o li</w:t>
      </w:r>
      <w:r w:rsidRPr="003E425B">
        <w:rPr>
          <w:rFonts w:ascii="Times New Roman" w:hAnsi="Times New Roman"/>
          <w:color w:val="000000" w:themeColor="text1"/>
          <w:sz w:val="28"/>
        </w:rPr>
        <w:t xml:space="preserve">quidación.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 xml:space="preserve">La Sala Plena advierte que el inciso final del artículo 11 de la Ley 2281 de 2023, después de definir la estructura orgánica del Ministerio de igualdad y Equidad, dispone que: </w:t>
      </w:r>
    </w:p>
    <w:p w:rsidR="009A4FFA"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10108">
      <w:pPr>
        <w:pStyle w:val="Prrafodelista"/>
        <w:tabs>
          <w:tab w:val="left" w:pos="567"/>
        </w:tabs>
        <w:spacing w:line="240" w:lineRule="auto"/>
        <w:ind w:right="397"/>
        <w:rPr>
          <w:rFonts w:ascii="Times New Roman" w:hAnsi="Times New Roman"/>
          <w:sz w:val="28"/>
          <w:szCs w:val="20"/>
        </w:rPr>
      </w:pPr>
      <w:r w:rsidRPr="003E425B">
        <w:rPr>
          <w:rFonts w:ascii="Times New Roman" w:hAnsi="Times New Roman"/>
          <w:sz w:val="28"/>
          <w:szCs w:val="20"/>
        </w:rPr>
        <w:t xml:space="preserve">“El Presidente de la República, con base en sus facultades </w:t>
      </w:r>
      <w:r w:rsidRPr="003E425B">
        <w:rPr>
          <w:rFonts w:ascii="Times New Roman" w:hAnsi="Times New Roman"/>
          <w:sz w:val="28"/>
          <w:szCs w:val="20"/>
        </w:rPr>
        <w:t>permanentes consagradas en el artículo 189 numerales </w:t>
      </w:r>
      <w:hyperlink r:id="rId15" w:anchor="189.n.16" w:history="1">
        <w:r w:rsidRPr="003E425B">
          <w:rPr>
            <w:rStyle w:val="Hipervnculo"/>
            <w:rFonts w:ascii="Times New Roman" w:hAnsi="Times New Roman"/>
            <w:color w:val="auto"/>
            <w:sz w:val="28"/>
            <w:szCs w:val="20"/>
          </w:rPr>
          <w:t>16</w:t>
        </w:r>
      </w:hyperlink>
      <w:r w:rsidRPr="003E425B">
        <w:rPr>
          <w:rFonts w:ascii="Times New Roman" w:hAnsi="Times New Roman"/>
          <w:sz w:val="28"/>
          <w:szCs w:val="20"/>
        </w:rPr>
        <w:t> y </w:t>
      </w:r>
      <w:hyperlink r:id="rId16" w:anchor="189.n.17" w:history="1">
        <w:r w:rsidRPr="003E425B">
          <w:rPr>
            <w:rStyle w:val="Hipervnculo"/>
            <w:rFonts w:ascii="Times New Roman" w:hAnsi="Times New Roman"/>
            <w:color w:val="auto"/>
            <w:sz w:val="28"/>
            <w:szCs w:val="20"/>
          </w:rPr>
          <w:t>17</w:t>
        </w:r>
      </w:hyperlink>
      <w:r w:rsidRPr="003E425B">
        <w:rPr>
          <w:rFonts w:ascii="Times New Roman" w:hAnsi="Times New Roman"/>
          <w:sz w:val="28"/>
          <w:szCs w:val="20"/>
        </w:rPr>
        <w:t> de la Constitución Política, podrá modificar la estructura del Ministerio con sujeción a los principios y reglas generales constitucionales y legales definidos, así como distribuir los negocios de otras entidades según su naturaleza, para lograr los</w:t>
      </w:r>
      <w:r w:rsidRPr="003E425B">
        <w:rPr>
          <w:rFonts w:ascii="Times New Roman" w:hAnsi="Times New Roman"/>
          <w:sz w:val="28"/>
          <w:szCs w:val="20"/>
        </w:rPr>
        <w:t xml:space="preserve"> fines de la presente Ley, en el marco de austeridad presupuestal.</w:t>
      </w:r>
    </w:p>
    <w:p w:rsidR="005E328E" w:rsidRPr="003E425B" w:rsidRDefault="003E425B" w:rsidP="00010108">
      <w:pPr>
        <w:pStyle w:val="Prrafodelista"/>
        <w:tabs>
          <w:tab w:val="left" w:pos="567"/>
        </w:tabs>
        <w:spacing w:line="240" w:lineRule="auto"/>
        <w:ind w:right="397"/>
        <w:rPr>
          <w:rFonts w:ascii="Times New Roman" w:hAnsi="Times New Roman"/>
          <w:sz w:val="28"/>
          <w:szCs w:val="20"/>
        </w:rPr>
      </w:pPr>
      <w:r w:rsidRPr="003E425B">
        <w:rPr>
          <w:rFonts w:ascii="Times New Roman" w:hAnsi="Times New Roman"/>
          <w:sz w:val="28"/>
          <w:szCs w:val="20"/>
        </w:rPr>
        <w:t> </w:t>
      </w:r>
    </w:p>
    <w:p w:rsidR="005E328E" w:rsidRPr="003E425B" w:rsidRDefault="003E425B" w:rsidP="00010108">
      <w:pPr>
        <w:pStyle w:val="Prrafodelista"/>
        <w:tabs>
          <w:tab w:val="left" w:pos="567"/>
        </w:tabs>
        <w:spacing w:line="240" w:lineRule="auto"/>
        <w:ind w:right="397"/>
        <w:rPr>
          <w:rFonts w:ascii="Times New Roman" w:hAnsi="Times New Roman"/>
          <w:sz w:val="28"/>
          <w:szCs w:val="20"/>
        </w:rPr>
      </w:pPr>
      <w:r w:rsidRPr="003E425B">
        <w:rPr>
          <w:rFonts w:ascii="Times New Roman" w:hAnsi="Times New Roman"/>
          <w:sz w:val="28"/>
          <w:szCs w:val="20"/>
        </w:rPr>
        <w:t>En cumplimiento del objeto del Ministerio de Igualdad y Equidad, el Presidente de la República deberá integrar al Ministerio de Igualdad y Equidad todas las áreas, dependencias y unidades</w:t>
      </w:r>
      <w:r w:rsidRPr="003E425B">
        <w:rPr>
          <w:rFonts w:ascii="Times New Roman" w:hAnsi="Times New Roman"/>
          <w:sz w:val="28"/>
          <w:szCs w:val="20"/>
        </w:rPr>
        <w:t xml:space="preserve"> administrativas, que sean necesarias para diseñar, formular, adoptar, dirigir, coordinar, articular, ejecutar y evaluar, las políticas, planes, programas, estrategias, proyectos y medidas para contribuir en la eliminación de las desigualdades económicas, </w:t>
      </w:r>
      <w:r w:rsidRPr="003E425B">
        <w:rPr>
          <w:rFonts w:ascii="Times New Roman" w:hAnsi="Times New Roman"/>
          <w:sz w:val="28"/>
          <w:szCs w:val="20"/>
        </w:rPr>
        <w:t xml:space="preserve">políticas y sociales; impulsar el goce del derecho a la igualdad y unificar la política de estado en materia de Igualdad y Equidad”.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lang w:val="es-ES_tradnl"/>
        </w:rPr>
        <w:t>En criterio de la</w:t>
      </w:r>
      <w:r w:rsidRPr="003E425B">
        <w:rPr>
          <w:rFonts w:ascii="Times New Roman" w:hAnsi="Times New Roman"/>
          <w:color w:val="000000" w:themeColor="text1"/>
          <w:sz w:val="28"/>
        </w:rPr>
        <w:t xml:space="preserve"> Sala Plena, sin embargo, el inciso final del artículo 11 de la Ley 2281 de 2023 no implica, como parece</w:t>
      </w:r>
      <w:r w:rsidRPr="003E425B">
        <w:rPr>
          <w:rFonts w:ascii="Times New Roman" w:hAnsi="Times New Roman"/>
          <w:color w:val="000000" w:themeColor="text1"/>
          <w:sz w:val="28"/>
        </w:rPr>
        <w:t>rían sugerirlo los demandantes, que</w:t>
      </w:r>
      <w:r w:rsidRPr="003E425B">
        <w:rPr>
          <w:rFonts w:ascii="Times New Roman" w:hAnsi="Times New Roman"/>
          <w:color w:val="000000" w:themeColor="text1"/>
          <w:sz w:val="28"/>
        </w:rPr>
        <w:t>,</w:t>
      </w:r>
      <w:r w:rsidRPr="003E425B">
        <w:rPr>
          <w:rFonts w:ascii="Times New Roman" w:hAnsi="Times New Roman"/>
          <w:color w:val="000000" w:themeColor="text1"/>
          <w:sz w:val="28"/>
        </w:rPr>
        <w:t xml:space="preserve"> en ejercicio de las facultades extraordinarias, el Presidente de la República pueda, mediante decretos con fuerza de ley, modificar la estructura de la administración pública nacional sin ningún límite, mediante la crea</w:t>
      </w:r>
      <w:r w:rsidRPr="003E425B">
        <w:rPr>
          <w:rFonts w:ascii="Times New Roman" w:hAnsi="Times New Roman"/>
          <w:color w:val="000000" w:themeColor="text1"/>
          <w:sz w:val="28"/>
        </w:rPr>
        <w:t xml:space="preserve">ción, escisión, fusión y liquidación de entidades, organismos, direcciones y unidades administrativas. Esto, porque los incisos finales del artículo 11 </w:t>
      </w:r>
      <w:r w:rsidRPr="003E425B">
        <w:rPr>
          <w:rFonts w:ascii="Times New Roman" w:hAnsi="Times New Roman"/>
          <w:i/>
          <w:iCs/>
          <w:color w:val="000000" w:themeColor="text1"/>
          <w:sz w:val="28"/>
        </w:rPr>
        <w:t>(i)</w:t>
      </w:r>
      <w:r w:rsidRPr="003E425B">
        <w:rPr>
          <w:rFonts w:ascii="Times New Roman" w:hAnsi="Times New Roman"/>
          <w:color w:val="000000" w:themeColor="text1"/>
          <w:sz w:val="28"/>
        </w:rPr>
        <w:t xml:space="preserve"> no confieren facultades extraordinarias y, por lo tanto, no forman parte del objeto material de la h</w:t>
      </w:r>
      <w:r w:rsidRPr="003E425B">
        <w:rPr>
          <w:rFonts w:ascii="Times New Roman" w:hAnsi="Times New Roman"/>
          <w:color w:val="000000" w:themeColor="text1"/>
          <w:sz w:val="28"/>
        </w:rPr>
        <w:t xml:space="preserve">abilitación y </w:t>
      </w:r>
      <w:r w:rsidRPr="003E425B">
        <w:rPr>
          <w:rFonts w:ascii="Times New Roman" w:hAnsi="Times New Roman"/>
          <w:i/>
          <w:iCs/>
          <w:color w:val="000000" w:themeColor="text1"/>
          <w:sz w:val="28"/>
        </w:rPr>
        <w:t>(ii)</w:t>
      </w:r>
      <w:r w:rsidRPr="003E425B">
        <w:rPr>
          <w:rFonts w:ascii="Times New Roman" w:hAnsi="Times New Roman"/>
          <w:color w:val="000000" w:themeColor="text1"/>
          <w:sz w:val="28"/>
        </w:rPr>
        <w:t xml:space="preserve"> se limitan a reiterar que, conforme a los numerales 16 y 17 del artículo 189 de la Constitución, el Presidente de la República tiene potestad </w:t>
      </w:r>
      <w:r w:rsidRPr="003E425B">
        <w:rPr>
          <w:rFonts w:ascii="Times New Roman" w:hAnsi="Times New Roman"/>
          <w:i/>
          <w:iCs/>
          <w:color w:val="000000" w:themeColor="text1"/>
          <w:sz w:val="28"/>
        </w:rPr>
        <w:t>reglamentaria</w:t>
      </w:r>
      <w:r w:rsidRPr="003E425B">
        <w:rPr>
          <w:rFonts w:ascii="Times New Roman" w:hAnsi="Times New Roman"/>
          <w:color w:val="000000" w:themeColor="text1"/>
          <w:sz w:val="28"/>
        </w:rPr>
        <w:t xml:space="preserve"> -no legislativa- para modificar la administración pública conforme a las reglas previstas en la </w:t>
      </w:r>
      <w:r w:rsidRPr="003E425B">
        <w:rPr>
          <w:rFonts w:ascii="Times New Roman" w:hAnsi="Times New Roman"/>
          <w:color w:val="000000" w:themeColor="text1"/>
          <w:sz w:val="28"/>
        </w:rPr>
        <w:t>L</w:t>
      </w:r>
      <w:r w:rsidRPr="003E425B">
        <w:rPr>
          <w:rFonts w:ascii="Times New Roman" w:hAnsi="Times New Roman"/>
          <w:color w:val="000000" w:themeColor="text1"/>
          <w:sz w:val="28"/>
        </w:rPr>
        <w:t>ey. Por lo demás, la Sala Plena resalta que los artículos 52 y 54 de la Ley 489 de 1998, entre otras, definen las reglas y principios que orientan y limitan e</w:t>
      </w:r>
      <w:r w:rsidRPr="003E425B">
        <w:rPr>
          <w:rFonts w:ascii="Times New Roman" w:hAnsi="Times New Roman"/>
          <w:color w:val="000000" w:themeColor="text1"/>
          <w:sz w:val="28"/>
        </w:rPr>
        <w:t xml:space="preserve">l ejercicio de la potestad reglamentaria del primer mandatario en estas materias. </w:t>
      </w:r>
    </w:p>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Por otra parte, la Sala advierte que los cambios que se introdujeron al artículo 12 en los debates parlamentarios reflejan que el Congreso de la República quiso limitar y c</w:t>
      </w:r>
      <w:r w:rsidRPr="003E425B">
        <w:rPr>
          <w:rFonts w:ascii="Times New Roman" w:hAnsi="Times New Roman"/>
          <w:color w:val="000000" w:themeColor="text1"/>
          <w:sz w:val="28"/>
        </w:rPr>
        <w:t>ircunscribir el alcance material de la habilitación. En efecto, la Sala Plena advierte que, tal y como se muestra en la siguiente tabla, las comisiones conjuntas aprobaron un artículo que confería amplias facultades extraordinarias al Presidente de la Repú</w:t>
      </w:r>
      <w:r w:rsidRPr="003E425B">
        <w:rPr>
          <w:rFonts w:ascii="Times New Roman" w:hAnsi="Times New Roman"/>
          <w:color w:val="000000" w:themeColor="text1"/>
          <w:sz w:val="28"/>
        </w:rPr>
        <w:t>blica para llevar a cabo una modificación a la administración pública nacional de mayor alcance. No obstante, el pliego modificatorio que fue aprobado finalmente por las plenarias precisó y limitó el objeto de las facultades extraordinarias que se confería</w:t>
      </w:r>
      <w:r w:rsidRPr="003E425B">
        <w:rPr>
          <w:rFonts w:ascii="Times New Roman" w:hAnsi="Times New Roman"/>
          <w:color w:val="000000" w:themeColor="text1"/>
          <w:sz w:val="28"/>
        </w:rPr>
        <w:t xml:space="preserve">n: </w:t>
      </w:r>
    </w:p>
    <w:p w:rsidR="005E328E" w:rsidRPr="003E425B" w:rsidRDefault="003E425B" w:rsidP="00010108">
      <w:pPr>
        <w:pStyle w:val="Prrafodelista"/>
        <w:spacing w:line="240" w:lineRule="auto"/>
        <w:ind w:left="0"/>
        <w:rPr>
          <w:rFonts w:ascii="Times New Roman" w:hAnsi="Times New Roman"/>
          <w:sz w:val="28"/>
          <w:lang w:eastAsia="es-MX"/>
        </w:rPr>
      </w:pPr>
    </w:p>
    <w:tbl>
      <w:tblPr>
        <w:tblStyle w:val="Tablaconcuadrcula"/>
        <w:tblW w:w="5000" w:type="pct"/>
        <w:tblLook w:val="04A0" w:firstRow="1" w:lastRow="0" w:firstColumn="1" w:lastColumn="0" w:noHBand="0" w:noVBand="1"/>
      </w:tblPr>
      <w:tblGrid>
        <w:gridCol w:w="2762"/>
        <w:gridCol w:w="3343"/>
        <w:gridCol w:w="2725"/>
      </w:tblGrid>
      <w:tr w:rsidR="005E328E" w:rsidRPr="003E425B" w:rsidTr="00E4520F">
        <w:tc>
          <w:tcPr>
            <w:tcW w:w="1564" w:type="pct"/>
            <w:shd w:val="clear" w:color="auto" w:fill="D9D9D9" w:themeFill="background1" w:themeFillShade="D9"/>
            <w:vAlign w:val="center"/>
          </w:tcPr>
          <w:p w:rsidR="005E328E" w:rsidRPr="003E425B" w:rsidRDefault="003E425B" w:rsidP="0035116C">
            <w:pPr>
              <w:jc w:val="center"/>
              <w:rPr>
                <w:rFonts w:ascii="Times New Roman" w:hAnsi="Times New Roman" w:cs="Times New Roman"/>
                <w:b/>
                <w:bCs/>
                <w:sz w:val="28"/>
                <w:szCs w:val="20"/>
              </w:rPr>
            </w:pPr>
            <w:r w:rsidRPr="003E425B">
              <w:rPr>
                <w:rFonts w:ascii="Times New Roman" w:hAnsi="Times New Roman" w:cs="Times New Roman"/>
                <w:b/>
                <w:bCs/>
                <w:sz w:val="28"/>
                <w:szCs w:val="20"/>
              </w:rPr>
              <w:t>Proyecto de ley original</w:t>
            </w:r>
          </w:p>
        </w:tc>
        <w:tc>
          <w:tcPr>
            <w:tcW w:w="1893" w:type="pct"/>
            <w:shd w:val="clear" w:color="auto" w:fill="D9D9D9" w:themeFill="background1" w:themeFillShade="D9"/>
            <w:vAlign w:val="center"/>
          </w:tcPr>
          <w:p w:rsidR="005E328E" w:rsidRPr="003E425B" w:rsidRDefault="003E425B" w:rsidP="0035116C">
            <w:pPr>
              <w:jc w:val="center"/>
              <w:rPr>
                <w:rFonts w:ascii="Times New Roman" w:hAnsi="Times New Roman" w:cs="Times New Roman"/>
                <w:b/>
                <w:bCs/>
                <w:sz w:val="28"/>
                <w:szCs w:val="20"/>
              </w:rPr>
            </w:pPr>
            <w:r w:rsidRPr="003E425B">
              <w:rPr>
                <w:rFonts w:ascii="Times New Roman" w:hAnsi="Times New Roman" w:cs="Times New Roman"/>
                <w:b/>
                <w:bCs/>
                <w:sz w:val="28"/>
                <w:szCs w:val="20"/>
              </w:rPr>
              <w:t>Texto aprobado en primer debate en comisiones</w:t>
            </w:r>
          </w:p>
        </w:tc>
        <w:tc>
          <w:tcPr>
            <w:tcW w:w="1543" w:type="pct"/>
            <w:shd w:val="clear" w:color="auto" w:fill="D9D9D9" w:themeFill="background1" w:themeFillShade="D9"/>
          </w:tcPr>
          <w:p w:rsidR="005E328E" w:rsidRPr="003E425B" w:rsidRDefault="003E425B" w:rsidP="00010108">
            <w:pPr>
              <w:jc w:val="center"/>
              <w:rPr>
                <w:rFonts w:ascii="Times New Roman" w:hAnsi="Times New Roman" w:cs="Times New Roman"/>
                <w:b/>
                <w:bCs/>
                <w:sz w:val="28"/>
                <w:szCs w:val="20"/>
              </w:rPr>
            </w:pPr>
            <w:r w:rsidRPr="003E425B">
              <w:rPr>
                <w:rFonts w:ascii="Times New Roman" w:hAnsi="Times New Roman" w:cs="Times New Roman"/>
                <w:b/>
                <w:bCs/>
                <w:sz w:val="28"/>
                <w:szCs w:val="20"/>
              </w:rPr>
              <w:t xml:space="preserve">Texto del pliego de modificatorio para debate en plenarias (aprobado) </w:t>
            </w:r>
          </w:p>
        </w:tc>
      </w:tr>
      <w:tr w:rsidR="005E328E" w:rsidRPr="003E425B" w:rsidTr="00E4520F">
        <w:tc>
          <w:tcPr>
            <w:tcW w:w="1564" w:type="pct"/>
          </w:tcPr>
          <w:p w:rsidR="005E328E" w:rsidRPr="003E425B" w:rsidRDefault="003E425B" w:rsidP="00010108">
            <w:pPr>
              <w:rPr>
                <w:rFonts w:ascii="Times New Roman" w:hAnsi="Times New Roman" w:cs="Times New Roman"/>
                <w:sz w:val="28"/>
                <w:szCs w:val="20"/>
              </w:rPr>
            </w:pPr>
            <w:r w:rsidRPr="003E425B">
              <w:rPr>
                <w:rFonts w:ascii="Times New Roman" w:hAnsi="Times New Roman" w:cs="Times New Roman"/>
                <w:b/>
                <w:bCs/>
                <w:sz w:val="28"/>
                <w:szCs w:val="20"/>
              </w:rPr>
              <w:t>Artículo 11. Facultades extraordinarias.</w:t>
            </w:r>
            <w:r w:rsidRPr="003E425B">
              <w:rPr>
                <w:rFonts w:ascii="Times New Roman" w:hAnsi="Times New Roman" w:cs="Times New Roman"/>
                <w:sz w:val="28"/>
                <w:szCs w:val="20"/>
              </w:rPr>
              <w:t xml:space="preserve"> Revístase al Presidente</w:t>
            </w:r>
            <w:r w:rsidRPr="003E425B">
              <w:rPr>
                <w:rFonts w:ascii="Times New Roman" w:hAnsi="Times New Roman" w:cs="Times New Roman"/>
                <w:sz w:val="28"/>
                <w:szCs w:val="20"/>
              </w:rPr>
              <w:t xml:space="preserve"> de la República de precisas facultades extraordinarias, por el término de seis (6) meses, contados a partir de la fecha de publicación de la presente ley, para expedir normas con fuerza material de ley dirigidas a integrar al Sector de Igualdad y Equidad </w:t>
            </w:r>
            <w:r w:rsidRPr="003E425B">
              <w:rPr>
                <w:rFonts w:ascii="Times New Roman" w:hAnsi="Times New Roman" w:cs="Times New Roman"/>
                <w:sz w:val="28"/>
                <w:szCs w:val="20"/>
              </w:rPr>
              <w:t>con las entidades que defina como adscritas o vinculadas. Lo anterior, de conformidad con lo establecido en el artículo 150 numeral 10 de la Constitución Política.</w:t>
            </w:r>
          </w:p>
        </w:tc>
        <w:tc>
          <w:tcPr>
            <w:tcW w:w="1893" w:type="pct"/>
          </w:tcPr>
          <w:p w:rsidR="005E328E" w:rsidRPr="003E425B" w:rsidRDefault="003E425B" w:rsidP="00010108">
            <w:pPr>
              <w:pStyle w:val="Pa29"/>
              <w:spacing w:line="240" w:lineRule="auto"/>
              <w:jc w:val="both"/>
              <w:rPr>
                <w:rFonts w:ascii="Times New Roman" w:hAnsi="Times New Roman"/>
                <w:color w:val="000000"/>
                <w:sz w:val="28"/>
                <w:szCs w:val="20"/>
              </w:rPr>
            </w:pPr>
            <w:r w:rsidRPr="003E425B">
              <w:rPr>
                <w:rFonts w:ascii="Times New Roman" w:hAnsi="Times New Roman"/>
                <w:b/>
                <w:bCs/>
                <w:color w:val="000000"/>
                <w:sz w:val="28"/>
                <w:szCs w:val="20"/>
              </w:rPr>
              <w:t xml:space="preserve">Artículo 11. </w:t>
            </w:r>
            <w:r w:rsidRPr="003E425B">
              <w:rPr>
                <w:rFonts w:ascii="Times New Roman" w:hAnsi="Times New Roman"/>
                <w:b/>
                <w:bCs/>
                <w:i/>
                <w:iCs/>
                <w:color w:val="000000"/>
                <w:sz w:val="28"/>
                <w:szCs w:val="20"/>
              </w:rPr>
              <w:t xml:space="preserve">Facultades extraordinarias. </w:t>
            </w:r>
            <w:r w:rsidRPr="003E425B">
              <w:rPr>
                <w:rFonts w:ascii="Times New Roman" w:hAnsi="Times New Roman"/>
                <w:color w:val="000000"/>
                <w:sz w:val="28"/>
                <w:szCs w:val="20"/>
              </w:rPr>
              <w:t>Revístase al Presidente de la República de precisas</w:t>
            </w:r>
            <w:r w:rsidRPr="003E425B">
              <w:rPr>
                <w:rFonts w:ascii="Times New Roman" w:hAnsi="Times New Roman"/>
                <w:color w:val="000000"/>
                <w:sz w:val="28"/>
                <w:szCs w:val="20"/>
              </w:rPr>
              <w:t xml:space="preserve"> facultades extraordinarias, por el término de seis (6) meses, contados a partir de la fecha de publicación de la presente ley, para expedir normas con fuerza material de ley dirigidas a integrar al Sec</w:t>
            </w:r>
            <w:r w:rsidRPr="003E425B">
              <w:rPr>
                <w:rFonts w:ascii="Times New Roman" w:hAnsi="Times New Roman"/>
                <w:color w:val="000000"/>
                <w:sz w:val="28"/>
                <w:szCs w:val="20"/>
              </w:rPr>
              <w:softHyphen/>
              <w:t>tor de Igualdad y Equidad con las entidades que defin</w:t>
            </w:r>
            <w:r w:rsidRPr="003E425B">
              <w:rPr>
                <w:rFonts w:ascii="Times New Roman" w:hAnsi="Times New Roman"/>
                <w:color w:val="000000"/>
                <w:sz w:val="28"/>
                <w:szCs w:val="20"/>
              </w:rPr>
              <w:t xml:space="preserve">a como adscritas o vinculadas, </w:t>
            </w:r>
            <w:r w:rsidRPr="003E425B">
              <w:rPr>
                <w:rFonts w:ascii="Times New Roman" w:hAnsi="Times New Roman"/>
                <w:b/>
                <w:bCs/>
                <w:color w:val="000000"/>
                <w:sz w:val="28"/>
                <w:szCs w:val="20"/>
                <w:u w:val="single"/>
              </w:rPr>
              <w:t>así como también para establecer la estructura orgánica del</w:t>
            </w:r>
            <w:r w:rsidRPr="003E425B">
              <w:rPr>
                <w:rFonts w:ascii="Times New Roman" w:hAnsi="Times New Roman"/>
                <w:color w:val="000000"/>
                <w:sz w:val="28"/>
                <w:szCs w:val="20"/>
                <w:u w:val="single"/>
              </w:rPr>
              <w:t xml:space="preserve"> </w:t>
            </w:r>
            <w:r w:rsidRPr="003E425B">
              <w:rPr>
                <w:rFonts w:ascii="Times New Roman" w:hAnsi="Times New Roman"/>
                <w:b/>
                <w:bCs/>
                <w:color w:val="000000"/>
                <w:sz w:val="28"/>
                <w:szCs w:val="20"/>
                <w:u w:val="single"/>
              </w:rPr>
              <w:t>Ministerio de la Igualdad y la Equidad. Unificar, eliminar, fusionar, reorganizar o reorganizar (sic) entidades del orden nacional existentes, Consejerías, direccion</w:t>
            </w:r>
            <w:r w:rsidRPr="003E425B">
              <w:rPr>
                <w:rFonts w:ascii="Times New Roman" w:hAnsi="Times New Roman"/>
                <w:b/>
                <w:bCs/>
                <w:color w:val="000000"/>
                <w:sz w:val="28"/>
                <w:szCs w:val="20"/>
                <w:u w:val="single"/>
              </w:rPr>
              <w:t>es y demás</w:t>
            </w:r>
            <w:r w:rsidRPr="003E425B">
              <w:rPr>
                <w:rFonts w:ascii="Times New Roman" w:hAnsi="Times New Roman"/>
                <w:color w:val="000000"/>
                <w:sz w:val="28"/>
                <w:szCs w:val="20"/>
              </w:rPr>
              <w:t>. Lo anterior, de conformidad con lo establecido en el artículo 150 numeral 10 de la Constitución Política.</w:t>
            </w:r>
          </w:p>
        </w:tc>
        <w:tc>
          <w:tcPr>
            <w:tcW w:w="1543" w:type="pct"/>
          </w:tcPr>
          <w:p w:rsidR="005E328E" w:rsidRPr="003E425B" w:rsidRDefault="003E425B" w:rsidP="00010108">
            <w:pPr>
              <w:rPr>
                <w:rFonts w:ascii="Times New Roman" w:hAnsi="Times New Roman" w:cs="Times New Roman"/>
                <w:sz w:val="28"/>
                <w:szCs w:val="20"/>
              </w:rPr>
            </w:pPr>
            <w:r w:rsidRPr="003E425B">
              <w:rPr>
                <w:rFonts w:ascii="Times New Roman" w:hAnsi="Times New Roman" w:cs="Times New Roman"/>
                <w:b/>
                <w:bCs/>
                <w:sz w:val="28"/>
                <w:szCs w:val="20"/>
              </w:rPr>
              <w:t xml:space="preserve">Artículo 12. Facultades extraordinarias. </w:t>
            </w:r>
            <w:r w:rsidRPr="003E425B">
              <w:rPr>
                <w:rFonts w:ascii="Times New Roman" w:hAnsi="Times New Roman" w:cs="Times New Roman"/>
                <w:sz w:val="28"/>
                <w:szCs w:val="20"/>
              </w:rPr>
              <w:t>Revístase al Presidente de la República de precisas facultades extraordinarias, por el término de</w:t>
            </w:r>
            <w:r w:rsidRPr="003E425B">
              <w:rPr>
                <w:rFonts w:ascii="Times New Roman" w:hAnsi="Times New Roman" w:cs="Times New Roman"/>
                <w:sz w:val="28"/>
                <w:szCs w:val="20"/>
              </w:rPr>
              <w:t xml:space="preserve"> seis (6) meses, contados a partir de la fecha de publicación de la presente ley, para expedir normas con fuerza material de ley dirigidas a integrar al Sector de Igualdad y Equidad con las entidades que defina como adscritas o vinculadas. Lo anterior, de </w:t>
            </w:r>
            <w:r w:rsidRPr="003E425B">
              <w:rPr>
                <w:rFonts w:ascii="Times New Roman" w:hAnsi="Times New Roman" w:cs="Times New Roman"/>
                <w:sz w:val="28"/>
                <w:szCs w:val="20"/>
              </w:rPr>
              <w:t>conformidad con lo establecido en el artículo 150 numeral 10 de la Constitución Política.</w:t>
            </w:r>
          </w:p>
        </w:tc>
      </w:tr>
    </w:tbl>
    <w:p w:rsidR="005E328E" w:rsidRPr="003E425B" w:rsidRDefault="003E425B" w:rsidP="00010108">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Como puede verse, las plenarias de ambas cámaras eliminaron el aparte del artículo 12 que concedía facultades extraordinarias al Presidente</w:t>
      </w:r>
      <w:r w:rsidRPr="003E425B">
        <w:rPr>
          <w:rFonts w:ascii="Times New Roman" w:hAnsi="Times New Roman"/>
          <w:color w:val="000000" w:themeColor="text1"/>
          <w:sz w:val="28"/>
        </w:rPr>
        <w:t xml:space="preserve"> de la República para “establecer la estructura orgánica del Ministerio de la Igualdad y la Equidad. Unificar, eliminar, fusionar o reorganizar entidades del orden nacional existentes, Consejerías, direcciones y demás”. Lo anterior, con el propósito de cir</w:t>
      </w:r>
      <w:r w:rsidRPr="003E425B">
        <w:rPr>
          <w:rFonts w:ascii="Times New Roman" w:hAnsi="Times New Roman"/>
          <w:color w:val="000000" w:themeColor="text1"/>
          <w:sz w:val="28"/>
        </w:rPr>
        <w:t>cunscribir el objeto de la habilitación, exclusivamente, a la integración del sector de Igualdad y Equidad mediante la adscripción y vinculación de entidades.</w:t>
      </w:r>
    </w:p>
    <w:p w:rsidR="005E328E" w:rsidRPr="003E425B" w:rsidRDefault="003E425B" w:rsidP="00010108">
      <w:pPr>
        <w:pStyle w:val="Prrafodelista"/>
        <w:spacing w:line="240" w:lineRule="auto"/>
        <w:ind w:left="0"/>
        <w:rPr>
          <w:rFonts w:ascii="Times New Roman" w:hAnsi="Times New Roman"/>
          <w:sz w:val="28"/>
          <w:lang w:eastAsia="es-MX"/>
        </w:rPr>
      </w:pPr>
    </w:p>
    <w:p w:rsidR="00E42E8D"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b/>
          <w:bCs/>
          <w:color w:val="000000" w:themeColor="text1"/>
          <w:sz w:val="28"/>
          <w:u w:val="single"/>
        </w:rPr>
        <w:t>Conclusión</w:t>
      </w:r>
      <w:r w:rsidRPr="003E425B">
        <w:rPr>
          <w:rFonts w:ascii="Times New Roman" w:hAnsi="Times New Roman"/>
          <w:color w:val="000000" w:themeColor="text1"/>
          <w:sz w:val="28"/>
        </w:rPr>
        <w:t xml:space="preserve">. En síntesis, la Corte concluye que el artículo 12 de la Ley 2281 de 2023 no vulnera </w:t>
      </w:r>
      <w:r w:rsidRPr="003E425B">
        <w:rPr>
          <w:rFonts w:ascii="Times New Roman" w:hAnsi="Times New Roman"/>
          <w:color w:val="000000" w:themeColor="text1"/>
          <w:sz w:val="28"/>
        </w:rPr>
        <w:t xml:space="preserve">el numeral 10 del artículo 150 de la Constitución y, en particular, el requisito de precisión.  Esto, por tres razones: </w:t>
      </w:r>
    </w:p>
    <w:p w:rsidR="00E42E8D" w:rsidRPr="003E425B" w:rsidRDefault="003E425B" w:rsidP="00E42E8D">
      <w:pPr>
        <w:pStyle w:val="Prrafodelista"/>
        <w:spacing w:line="240" w:lineRule="auto"/>
        <w:ind w:left="0"/>
        <w:rPr>
          <w:rFonts w:ascii="Times New Roman" w:hAnsi="Times New Roman"/>
          <w:sz w:val="28"/>
          <w:lang w:eastAsia="es-MX"/>
        </w:rPr>
      </w:pPr>
    </w:p>
    <w:p w:rsidR="005E328E" w:rsidRPr="003E425B" w:rsidRDefault="003E425B" w:rsidP="000C6CC6">
      <w:pPr>
        <w:pStyle w:val="Prrafodelista"/>
        <w:numPr>
          <w:ilvl w:val="1"/>
          <w:numId w:val="33"/>
        </w:numPr>
        <w:spacing w:line="240" w:lineRule="auto"/>
        <w:ind w:left="709" w:hanging="709"/>
        <w:rPr>
          <w:rFonts w:ascii="Times New Roman" w:hAnsi="Times New Roman"/>
          <w:sz w:val="28"/>
          <w:lang w:eastAsia="es-MX"/>
        </w:rPr>
      </w:pPr>
      <w:r w:rsidRPr="003E425B">
        <w:rPr>
          <w:rFonts w:ascii="Times New Roman" w:hAnsi="Times New Roman"/>
          <w:color w:val="000000" w:themeColor="text1"/>
          <w:sz w:val="28"/>
        </w:rPr>
        <w:t>La norma demandada define de forma clara, específica y delimitable la materia</w:t>
      </w:r>
      <w:r w:rsidRPr="003E425B">
        <w:rPr>
          <w:rFonts w:ascii="Times New Roman" w:hAnsi="Times New Roman"/>
          <w:color w:val="000000" w:themeColor="text1"/>
          <w:sz w:val="28"/>
        </w:rPr>
        <w:t>,</w:t>
      </w:r>
      <w:r w:rsidRPr="003E425B">
        <w:rPr>
          <w:rFonts w:ascii="Times New Roman" w:hAnsi="Times New Roman"/>
          <w:color w:val="000000" w:themeColor="text1"/>
          <w:sz w:val="28"/>
        </w:rPr>
        <w:t xml:space="preserve"> objeto </w:t>
      </w:r>
      <w:r w:rsidRPr="003E425B">
        <w:rPr>
          <w:rFonts w:ascii="Times New Roman" w:hAnsi="Times New Roman"/>
          <w:color w:val="000000" w:themeColor="text1"/>
          <w:sz w:val="28"/>
        </w:rPr>
        <w:t xml:space="preserve">y finalidad </w:t>
      </w:r>
      <w:r w:rsidRPr="003E425B">
        <w:rPr>
          <w:rFonts w:ascii="Times New Roman" w:hAnsi="Times New Roman"/>
          <w:color w:val="000000" w:themeColor="text1"/>
          <w:sz w:val="28"/>
        </w:rPr>
        <w:t>de</w:t>
      </w:r>
      <w:r w:rsidRPr="003E425B">
        <w:rPr>
          <w:rFonts w:ascii="Times New Roman" w:hAnsi="Times New Roman"/>
          <w:color w:val="000000" w:themeColor="text1"/>
          <w:sz w:val="28"/>
        </w:rPr>
        <w:t xml:space="preserve"> la</w:t>
      </w:r>
      <w:r w:rsidRPr="003E425B">
        <w:rPr>
          <w:rFonts w:ascii="Times New Roman" w:hAnsi="Times New Roman"/>
          <w:color w:val="000000" w:themeColor="text1"/>
          <w:sz w:val="28"/>
        </w:rPr>
        <w:t xml:space="preserve"> delegación: la integración del</w:t>
      </w:r>
      <w:r w:rsidRPr="003E425B">
        <w:rPr>
          <w:rFonts w:ascii="Times New Roman" w:hAnsi="Times New Roman"/>
          <w:color w:val="000000" w:themeColor="text1"/>
          <w:sz w:val="28"/>
        </w:rPr>
        <w:t xml:space="preserve"> sector administrativo mediante las entidades que el Presidente de la República defina como adscritas y vinculadas. Los conceptos de “sector” administrativo”, “vinculación” y “adscripción” están definidos en la Ley 489 de 1998 y han sido delimitados por la</w:t>
      </w:r>
      <w:r w:rsidRPr="003E425B">
        <w:rPr>
          <w:rFonts w:ascii="Times New Roman" w:hAnsi="Times New Roman"/>
          <w:color w:val="000000" w:themeColor="text1"/>
          <w:sz w:val="28"/>
        </w:rPr>
        <w:t xml:space="preserve"> jurisprudencia constitucional y contenciosa. </w:t>
      </w:r>
      <w:r w:rsidRPr="003E425B">
        <w:rPr>
          <w:rFonts w:ascii="Times New Roman" w:hAnsi="Times New Roman"/>
          <w:color w:val="000000" w:themeColor="text1"/>
          <w:sz w:val="28"/>
        </w:rPr>
        <w:t>Por lo demás, en la exposición de motivos, así como el procedimiento legislativo, se reiteró que la concesión de facultades extraordinarias buscaba que el Gobierno nacional, conforme a los diagnósticos que habí</w:t>
      </w:r>
      <w:r w:rsidRPr="003E425B">
        <w:rPr>
          <w:rFonts w:ascii="Times New Roman" w:hAnsi="Times New Roman"/>
          <w:color w:val="000000" w:themeColor="text1"/>
          <w:sz w:val="28"/>
        </w:rPr>
        <w:t xml:space="preserve">a llevado a cabo, integrara en un solo sector la política pública de igualdad y equidad, la cual se encontraba dispersa en múltiples entidades que formaban parte de diferentes sectores. </w:t>
      </w:r>
    </w:p>
    <w:p w:rsidR="005E328E" w:rsidRPr="003E425B" w:rsidRDefault="003E425B" w:rsidP="000C6CC6">
      <w:pPr>
        <w:pStyle w:val="Prrafodelista"/>
        <w:numPr>
          <w:ilvl w:val="1"/>
          <w:numId w:val="33"/>
        </w:numPr>
        <w:spacing w:line="240" w:lineRule="auto"/>
        <w:ind w:left="709" w:hanging="709"/>
        <w:rPr>
          <w:rFonts w:ascii="Times New Roman" w:hAnsi="Times New Roman"/>
          <w:sz w:val="28"/>
          <w:lang w:eastAsia="es-MX"/>
        </w:rPr>
      </w:pPr>
      <w:r w:rsidRPr="003E425B">
        <w:rPr>
          <w:rFonts w:ascii="Times New Roman" w:hAnsi="Times New Roman"/>
          <w:color w:val="000000" w:themeColor="text1"/>
          <w:sz w:val="28"/>
        </w:rPr>
        <w:t>El Congreso de la República no estaba obligado a establecer las entid</w:t>
      </w:r>
      <w:r w:rsidRPr="003E425B">
        <w:rPr>
          <w:rFonts w:ascii="Times New Roman" w:hAnsi="Times New Roman"/>
          <w:color w:val="000000" w:themeColor="text1"/>
          <w:sz w:val="28"/>
        </w:rPr>
        <w:t>ades que debían adscribirse o vincularse al sector, y tampoco a definir los criterios que el Presidente de la República debía tener en cuenta para integrar el sector administrativo de Igualdad y Equidad. Conforme a la jurisprudencia constitucional, reitera</w:t>
      </w:r>
      <w:r w:rsidRPr="003E425B">
        <w:rPr>
          <w:rFonts w:ascii="Times New Roman" w:hAnsi="Times New Roman"/>
          <w:color w:val="000000" w:themeColor="text1"/>
          <w:sz w:val="28"/>
        </w:rPr>
        <w:t xml:space="preserve">da y uniforme, el requisito de precisión no implica exhaustividad. En criterio de la Sala Plena, es constitucionalmente admisible que, en materias tales como la integración de un determinado sector, el Congreso de la República confiera un margen de acción </w:t>
      </w:r>
      <w:r w:rsidRPr="003E425B">
        <w:rPr>
          <w:rFonts w:ascii="Times New Roman" w:hAnsi="Times New Roman"/>
          <w:color w:val="000000" w:themeColor="text1"/>
          <w:sz w:val="28"/>
        </w:rPr>
        <w:t>al Presidente de la República para concretar las entidades que estarán adscritas y vinculadas, conforme a los estudios y diagnósticos sobre gestión administrativa que realice.</w:t>
      </w:r>
    </w:p>
    <w:p w:rsidR="001D7E8C" w:rsidRPr="003E425B" w:rsidRDefault="003E425B" w:rsidP="000C6CC6">
      <w:pPr>
        <w:pStyle w:val="Prrafodelista"/>
        <w:numPr>
          <w:ilvl w:val="1"/>
          <w:numId w:val="33"/>
        </w:numPr>
        <w:spacing w:line="240" w:lineRule="auto"/>
        <w:ind w:left="709" w:hanging="709"/>
        <w:rPr>
          <w:rFonts w:ascii="Times New Roman" w:hAnsi="Times New Roman"/>
          <w:sz w:val="28"/>
          <w:lang w:eastAsia="es-MX"/>
        </w:rPr>
      </w:pPr>
      <w:r w:rsidRPr="003E425B">
        <w:rPr>
          <w:rFonts w:ascii="Times New Roman" w:hAnsi="Times New Roman"/>
          <w:color w:val="000000" w:themeColor="text1"/>
          <w:sz w:val="28"/>
        </w:rPr>
        <w:t xml:space="preserve">El artículo 12 de la Ley 2281 de 2023 no confiere facultades extraordinarias al </w:t>
      </w:r>
      <w:r w:rsidRPr="003E425B">
        <w:rPr>
          <w:rFonts w:ascii="Times New Roman" w:hAnsi="Times New Roman"/>
          <w:color w:val="000000" w:themeColor="text1"/>
          <w:sz w:val="28"/>
        </w:rPr>
        <w:t>Presidente de la República para llevar a cabo, sin límite alguno, una modificación de la administración pública nacional mediante la creación, fusión, escisión y liquidación de entidades, direcciones y unidades administrativas. La interpretación literal, s</w:t>
      </w:r>
      <w:r w:rsidRPr="003E425B">
        <w:rPr>
          <w:rFonts w:ascii="Times New Roman" w:hAnsi="Times New Roman"/>
          <w:color w:val="000000" w:themeColor="text1"/>
          <w:sz w:val="28"/>
        </w:rPr>
        <w:t>istemática e histórica del artículo 12 demandado no permite inferir tal alcance. Por el contrario, confirma que el Congreso de la República quiso circunscribir el objeto de las facultades extraordinarias a la integración del sector administrativo de Iguald</w:t>
      </w:r>
      <w:r w:rsidRPr="003E425B">
        <w:rPr>
          <w:rFonts w:ascii="Times New Roman" w:hAnsi="Times New Roman"/>
          <w:color w:val="000000" w:themeColor="text1"/>
          <w:sz w:val="28"/>
        </w:rPr>
        <w:t xml:space="preserve">ad y Equidad y, al mismo tiempo, excluir la posibilidad de que, mediante decretos con fuerza ley, el Presidente de la República llevara a cabo una modificación de la administración pública nacional de mayor alcance. </w:t>
      </w:r>
    </w:p>
    <w:p w:rsidR="001D7E8C" w:rsidRPr="003E425B" w:rsidRDefault="003E425B" w:rsidP="00010108">
      <w:pPr>
        <w:rPr>
          <w:rFonts w:ascii="Times New Roman" w:hAnsi="Times New Roman" w:cs="Times New Roman"/>
          <w:sz w:val="28"/>
          <w:lang w:eastAsia="es-MX"/>
        </w:rPr>
      </w:pPr>
    </w:p>
    <w:p w:rsidR="00FC1204" w:rsidRPr="003E425B" w:rsidRDefault="003E425B" w:rsidP="000C6CC6">
      <w:pPr>
        <w:pStyle w:val="Ttulo3"/>
        <w:numPr>
          <w:ilvl w:val="0"/>
          <w:numId w:val="40"/>
        </w:numPr>
        <w:rPr>
          <w:rFonts w:ascii="Times New Roman" w:hAnsi="Times New Roman" w:cs="Times New Roman"/>
          <w:sz w:val="28"/>
        </w:rPr>
      </w:pPr>
      <w:r w:rsidRPr="003E425B">
        <w:rPr>
          <w:rFonts w:ascii="Times New Roman" w:hAnsi="Times New Roman" w:cs="Times New Roman"/>
          <w:sz w:val="28"/>
        </w:rPr>
        <w:t>Decisión, efectos y remedio</w:t>
      </w:r>
    </w:p>
    <w:p w:rsidR="00FC1204" w:rsidRPr="003E425B" w:rsidRDefault="003E425B" w:rsidP="00010108">
      <w:pPr>
        <w:rPr>
          <w:rFonts w:ascii="Times New Roman" w:hAnsi="Times New Roman" w:cs="Times New Roman"/>
          <w:sz w:val="28"/>
          <w:lang w:eastAsia="es-MX"/>
        </w:rPr>
      </w:pPr>
    </w:p>
    <w:p w:rsidR="00FC1204" w:rsidRPr="003E425B" w:rsidRDefault="003E425B" w:rsidP="000C6CC6">
      <w:pPr>
        <w:pStyle w:val="Ttulo4"/>
        <w:numPr>
          <w:ilvl w:val="0"/>
          <w:numId w:val="41"/>
        </w:numPr>
        <w:rPr>
          <w:rFonts w:ascii="Times New Roman" w:hAnsi="Times New Roman" w:cs="Times New Roman"/>
          <w:sz w:val="28"/>
        </w:rPr>
      </w:pPr>
      <w:r w:rsidRPr="003E425B">
        <w:rPr>
          <w:rFonts w:ascii="Times New Roman" w:hAnsi="Times New Roman" w:cs="Times New Roman"/>
          <w:sz w:val="28"/>
        </w:rPr>
        <w:t>Las decisiones de inexequibilidad diferida. Reiteración de jurisprudencia</w:t>
      </w:r>
    </w:p>
    <w:p w:rsidR="00FC1204" w:rsidRPr="003E425B" w:rsidRDefault="003E425B" w:rsidP="00010108">
      <w:pPr>
        <w:rPr>
          <w:rFonts w:ascii="Times New Roman" w:hAnsi="Times New Roman" w:cs="Times New Roman"/>
          <w:sz w:val="28"/>
          <w:lang w:eastAsia="es-MX"/>
        </w:rPr>
      </w:pPr>
    </w:p>
    <w:p w:rsidR="001D7E8C"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 xml:space="preserve">La Corte Constitucional constató la existencia de </w:t>
      </w:r>
      <w:r w:rsidRPr="003E425B">
        <w:rPr>
          <w:rFonts w:ascii="Times New Roman" w:hAnsi="Times New Roman"/>
          <w:iCs/>
          <w:color w:val="000000" w:themeColor="text1"/>
          <w:sz w:val="28"/>
        </w:rPr>
        <w:t>un</w:t>
      </w:r>
      <w:r w:rsidRPr="003E425B">
        <w:rPr>
          <w:rFonts w:ascii="Times New Roman" w:hAnsi="Times New Roman"/>
          <w:iCs/>
          <w:color w:val="000000" w:themeColor="text1"/>
          <w:sz w:val="28"/>
        </w:rPr>
        <w:t xml:space="preserve"> vicio de procedimiento en el trámite legislativo de aprobación de la Ley 2281 de 2023: el incumplimiento de la obligación consis</w:t>
      </w:r>
      <w:r w:rsidRPr="003E425B">
        <w:rPr>
          <w:rFonts w:ascii="Times New Roman" w:hAnsi="Times New Roman"/>
          <w:iCs/>
          <w:color w:val="000000" w:themeColor="text1"/>
          <w:sz w:val="28"/>
        </w:rPr>
        <w:t xml:space="preserve">tente en analizar el impacto fiscal de la iniciativa, conforme a las exigencias previstas en el artículo 7º de la </w:t>
      </w:r>
      <w:r w:rsidRPr="003E425B">
        <w:rPr>
          <w:rFonts w:ascii="Times New Roman" w:hAnsi="Times New Roman"/>
          <w:iCs/>
          <w:color w:val="000000" w:themeColor="text1"/>
          <w:sz w:val="28"/>
        </w:rPr>
        <w:t>L</w:t>
      </w:r>
      <w:r w:rsidRPr="003E425B">
        <w:rPr>
          <w:rFonts w:ascii="Times New Roman" w:hAnsi="Times New Roman"/>
          <w:iCs/>
          <w:color w:val="000000" w:themeColor="text1"/>
          <w:sz w:val="28"/>
        </w:rPr>
        <w:t>ey 819 de 2003. Por lo tanto, corresponde a la Corte definir la decisión que debe adoptarse y sus efectos en el tiempo (inexequibilidad, inex</w:t>
      </w:r>
      <w:r w:rsidRPr="003E425B">
        <w:rPr>
          <w:rFonts w:ascii="Times New Roman" w:hAnsi="Times New Roman"/>
          <w:iCs/>
          <w:color w:val="000000" w:themeColor="text1"/>
          <w:sz w:val="28"/>
        </w:rPr>
        <w:t>equibilidad diferida, etc.).</w:t>
      </w:r>
    </w:p>
    <w:p w:rsidR="001D7E8C" w:rsidRPr="003E425B" w:rsidRDefault="003E425B" w:rsidP="00010108">
      <w:pPr>
        <w:pStyle w:val="Prrafodelista"/>
        <w:spacing w:line="240" w:lineRule="auto"/>
        <w:ind w:left="0"/>
        <w:rPr>
          <w:rFonts w:ascii="Times New Roman" w:hAnsi="Times New Roman"/>
          <w:sz w:val="28"/>
          <w:lang w:eastAsia="es-MX"/>
        </w:rPr>
      </w:pPr>
    </w:p>
    <w:p w:rsidR="001D7E8C"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El artículo 45 de la Ley 270 de 1996 confiere a la Corte Constitucional la competencia para definir los efectos en el tiempo de las sentencias de constitucionalidad. En este sentido, este tribunal ha resaltado que las sentenci</w:t>
      </w:r>
      <w:r w:rsidRPr="003E425B">
        <w:rPr>
          <w:rFonts w:ascii="Times New Roman" w:hAnsi="Times New Roman"/>
          <w:iCs/>
          <w:color w:val="000000" w:themeColor="text1"/>
          <w:sz w:val="28"/>
        </w:rPr>
        <w:t xml:space="preserve">as que declaren la inexequibilidad de la norma demandada pueden tener efecto inmediato o diferido. La declaratoria de efectos diferidos busca </w:t>
      </w:r>
      <w:r w:rsidRPr="003E425B">
        <w:rPr>
          <w:rFonts w:ascii="Times New Roman" w:hAnsi="Times New Roman"/>
          <w:i/>
          <w:iCs/>
          <w:color w:val="000000" w:themeColor="text1"/>
          <w:sz w:val="28"/>
        </w:rPr>
        <w:t xml:space="preserve">(i) </w:t>
      </w:r>
      <w:r w:rsidRPr="003E425B">
        <w:rPr>
          <w:rFonts w:ascii="Times New Roman" w:hAnsi="Times New Roman"/>
          <w:color w:val="000000" w:themeColor="text1"/>
          <w:sz w:val="28"/>
        </w:rPr>
        <w:t>evitar que la expulsión automática de la norma del ordenamiento jurídico produzca un vacío normativo que afect</w:t>
      </w:r>
      <w:r w:rsidRPr="003E425B">
        <w:rPr>
          <w:rFonts w:ascii="Times New Roman" w:hAnsi="Times New Roman"/>
          <w:color w:val="000000" w:themeColor="text1"/>
          <w:sz w:val="28"/>
        </w:rPr>
        <w:t>e irrazonablemente otros derechos, principios y valores constitucionales</w:t>
      </w:r>
      <w:r w:rsidRPr="003E425B">
        <w:rPr>
          <w:rFonts w:ascii="Times New Roman" w:hAnsi="Times New Roman"/>
          <w:sz w:val="28"/>
          <w:vertAlign w:val="superscript"/>
        </w:rPr>
        <w:footnoteReference w:id="433"/>
      </w:r>
      <w:r w:rsidRPr="003E425B">
        <w:rPr>
          <w:rFonts w:ascii="Times New Roman" w:hAnsi="Times New Roman"/>
          <w:color w:val="000000" w:themeColor="text1"/>
          <w:sz w:val="28"/>
        </w:rPr>
        <w:t xml:space="preserve"> y </w:t>
      </w:r>
      <w:r w:rsidRPr="003E425B">
        <w:rPr>
          <w:rFonts w:ascii="Times New Roman" w:hAnsi="Times New Roman"/>
          <w:i/>
          <w:iCs/>
          <w:color w:val="000000" w:themeColor="text1"/>
          <w:sz w:val="28"/>
        </w:rPr>
        <w:t>(ii)</w:t>
      </w:r>
      <w:r w:rsidRPr="003E425B">
        <w:rPr>
          <w:rFonts w:ascii="Times New Roman" w:hAnsi="Times New Roman"/>
          <w:color w:val="000000" w:themeColor="text1"/>
          <w:sz w:val="28"/>
        </w:rPr>
        <w:t xml:space="preserve"> otorgar “un plazo prudencial para que el Legislador corrija la inconstitucionalidad que ha sido constatada”</w:t>
      </w:r>
      <w:r w:rsidRPr="003E425B">
        <w:rPr>
          <w:rFonts w:ascii="Times New Roman" w:hAnsi="Times New Roman"/>
          <w:sz w:val="28"/>
          <w:vertAlign w:val="superscript"/>
        </w:rPr>
        <w:footnoteReference w:id="434"/>
      </w:r>
      <w:r w:rsidRPr="003E425B">
        <w:rPr>
          <w:rFonts w:ascii="Times New Roman" w:hAnsi="Times New Roman"/>
          <w:color w:val="000000" w:themeColor="text1"/>
          <w:sz w:val="28"/>
        </w:rPr>
        <w:t>.</w:t>
      </w:r>
      <w:r w:rsidRPr="003E425B">
        <w:rPr>
          <w:rFonts w:ascii="Times New Roman" w:hAnsi="Times New Roman"/>
          <w:iCs/>
          <w:color w:val="000000" w:themeColor="text1"/>
          <w:sz w:val="28"/>
        </w:rPr>
        <w:t xml:space="preserve"> </w:t>
      </w:r>
    </w:p>
    <w:p w:rsidR="001D7E8C" w:rsidRPr="003E425B" w:rsidRDefault="003E425B" w:rsidP="00010108">
      <w:pPr>
        <w:pStyle w:val="Prrafodelista"/>
        <w:spacing w:line="240" w:lineRule="auto"/>
        <w:ind w:left="0"/>
        <w:rPr>
          <w:rFonts w:ascii="Times New Roman" w:hAnsi="Times New Roman"/>
          <w:sz w:val="28"/>
          <w:lang w:eastAsia="es-MX"/>
        </w:rPr>
      </w:pPr>
    </w:p>
    <w:p w:rsidR="001D7E8C"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La Corte Constitucional ha optado por diferir los efectos de sentencias de constitucionalidad que declaran la inexequibilidad de leyes por vicios de procedimiento en su formación</w:t>
      </w:r>
      <w:r w:rsidRPr="003E425B">
        <w:rPr>
          <w:rStyle w:val="Refdenotaalpie"/>
          <w:rFonts w:ascii="Times New Roman" w:hAnsi="Times New Roman"/>
          <w:iCs/>
          <w:color w:val="000000" w:themeColor="text1"/>
          <w:sz w:val="28"/>
        </w:rPr>
        <w:footnoteReference w:id="435"/>
      </w:r>
      <w:r w:rsidRPr="003E425B">
        <w:rPr>
          <w:rFonts w:ascii="Times New Roman" w:hAnsi="Times New Roman"/>
          <w:iCs/>
          <w:color w:val="000000" w:themeColor="text1"/>
          <w:sz w:val="28"/>
        </w:rPr>
        <w:t>. Asimismo, ha acudido al diferimiento de decisiones de inexequibilidad de no</w:t>
      </w:r>
      <w:r w:rsidRPr="003E425B">
        <w:rPr>
          <w:rFonts w:ascii="Times New Roman" w:hAnsi="Times New Roman"/>
          <w:iCs/>
          <w:color w:val="000000" w:themeColor="text1"/>
          <w:sz w:val="28"/>
        </w:rPr>
        <w:t>rmas que introducían modificaciones a la organización político-administrativa del país</w:t>
      </w:r>
      <w:r w:rsidRPr="003E425B">
        <w:rPr>
          <w:rStyle w:val="Refdenotaalpie"/>
          <w:rFonts w:ascii="Times New Roman" w:hAnsi="Times New Roman"/>
          <w:iCs/>
          <w:color w:val="000000" w:themeColor="text1"/>
          <w:sz w:val="28"/>
        </w:rPr>
        <w:footnoteReference w:id="436"/>
      </w:r>
      <w:r w:rsidRPr="003E425B">
        <w:rPr>
          <w:rFonts w:ascii="Times New Roman" w:hAnsi="Times New Roman"/>
          <w:iCs/>
          <w:color w:val="000000" w:themeColor="text1"/>
          <w:sz w:val="28"/>
        </w:rPr>
        <w:t xml:space="preserve"> o eran indispensables para el funcionamiento de un sector de la administración</w:t>
      </w:r>
      <w:r w:rsidRPr="003E425B">
        <w:rPr>
          <w:rStyle w:val="Refdenotaalpie"/>
          <w:rFonts w:ascii="Times New Roman" w:hAnsi="Times New Roman"/>
          <w:iCs/>
          <w:color w:val="000000" w:themeColor="text1"/>
          <w:sz w:val="28"/>
        </w:rPr>
        <w:footnoteReference w:id="437"/>
      </w:r>
      <w:r w:rsidRPr="003E425B">
        <w:rPr>
          <w:rFonts w:ascii="Times New Roman" w:hAnsi="Times New Roman"/>
          <w:iCs/>
          <w:color w:val="000000" w:themeColor="text1"/>
          <w:sz w:val="28"/>
        </w:rPr>
        <w:t xml:space="preserve">. Estas decisiones han estado fundadas en </w:t>
      </w:r>
      <w:r w:rsidRPr="003E425B">
        <w:rPr>
          <w:rFonts w:ascii="Times New Roman" w:hAnsi="Times New Roman"/>
          <w:i/>
          <w:color w:val="000000" w:themeColor="text1"/>
          <w:sz w:val="28"/>
        </w:rPr>
        <w:t>(i)</w:t>
      </w:r>
      <w:r w:rsidRPr="003E425B">
        <w:rPr>
          <w:rFonts w:ascii="Times New Roman" w:hAnsi="Times New Roman"/>
          <w:iCs/>
          <w:color w:val="000000" w:themeColor="text1"/>
          <w:sz w:val="28"/>
        </w:rPr>
        <w:t xml:space="preserve"> el amplio margen de libertad configurativa </w:t>
      </w:r>
      <w:r w:rsidRPr="003E425B">
        <w:rPr>
          <w:rFonts w:ascii="Times New Roman" w:hAnsi="Times New Roman"/>
          <w:iCs/>
          <w:color w:val="000000" w:themeColor="text1"/>
          <w:sz w:val="28"/>
        </w:rPr>
        <w:t>que tiene el Legislador para adoptar una medida que corrija el vicio de inconstitucionalidad advertido por la Corte</w:t>
      </w:r>
      <w:r w:rsidRPr="003E425B">
        <w:rPr>
          <w:rStyle w:val="Refdenotaalpie"/>
          <w:rFonts w:ascii="Times New Roman" w:hAnsi="Times New Roman"/>
          <w:iCs/>
          <w:color w:val="000000" w:themeColor="text1"/>
          <w:sz w:val="28"/>
        </w:rPr>
        <w:footnoteReference w:id="438"/>
      </w:r>
      <w:r w:rsidRPr="003E425B">
        <w:rPr>
          <w:rFonts w:ascii="Times New Roman" w:hAnsi="Times New Roman"/>
          <w:iCs/>
          <w:color w:val="000000" w:themeColor="text1"/>
          <w:sz w:val="28"/>
        </w:rPr>
        <w:t xml:space="preserve"> y </w:t>
      </w:r>
      <w:r w:rsidRPr="003E425B">
        <w:rPr>
          <w:rFonts w:ascii="Times New Roman" w:hAnsi="Times New Roman"/>
          <w:i/>
          <w:color w:val="000000" w:themeColor="text1"/>
          <w:sz w:val="28"/>
        </w:rPr>
        <w:t>(ii)</w:t>
      </w:r>
      <w:r w:rsidRPr="003E425B">
        <w:rPr>
          <w:rFonts w:ascii="Times New Roman" w:hAnsi="Times New Roman"/>
          <w:iCs/>
          <w:color w:val="000000" w:themeColor="text1"/>
          <w:sz w:val="28"/>
        </w:rPr>
        <w:t xml:space="preserve"> evitar que la declaratoria de inexequibilidad con efectos inmediatos afecte el desarrollo de la función administrativa y la consecuc</w:t>
      </w:r>
      <w:r w:rsidRPr="003E425B">
        <w:rPr>
          <w:rFonts w:ascii="Times New Roman" w:hAnsi="Times New Roman"/>
          <w:iCs/>
          <w:color w:val="000000" w:themeColor="text1"/>
          <w:sz w:val="28"/>
        </w:rPr>
        <w:t xml:space="preserve">ión de los fines sociales del Estado. </w:t>
      </w:r>
    </w:p>
    <w:p w:rsidR="001D7E8C" w:rsidRPr="003E425B" w:rsidRDefault="003E425B" w:rsidP="00010108">
      <w:pPr>
        <w:pStyle w:val="Prrafodelista"/>
        <w:spacing w:line="240" w:lineRule="auto"/>
        <w:ind w:left="0"/>
        <w:rPr>
          <w:rFonts w:ascii="Times New Roman" w:hAnsi="Times New Roman"/>
          <w:sz w:val="28"/>
          <w:lang w:eastAsia="es-MX"/>
        </w:rPr>
      </w:pPr>
    </w:p>
    <w:p w:rsidR="00FC1204"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Con todo, de acuerdo con la jurisprudencia constitucional, el diferimiento está supeditado al cumplimiento de cuatro requisitos y cargas de argumentación</w:t>
      </w:r>
      <w:r w:rsidRPr="003E425B">
        <w:rPr>
          <w:rStyle w:val="Refdenotaalpie"/>
          <w:rFonts w:ascii="Times New Roman" w:hAnsi="Times New Roman"/>
          <w:iCs/>
          <w:color w:val="000000" w:themeColor="text1"/>
          <w:sz w:val="28"/>
        </w:rPr>
        <w:footnoteReference w:id="439"/>
      </w:r>
      <w:r w:rsidRPr="003E425B">
        <w:rPr>
          <w:rFonts w:ascii="Times New Roman" w:hAnsi="Times New Roman"/>
          <w:iCs/>
          <w:color w:val="000000" w:themeColor="text1"/>
          <w:sz w:val="28"/>
        </w:rPr>
        <w:t>:</w:t>
      </w:r>
    </w:p>
    <w:p w:rsidR="00FC1204" w:rsidRPr="003E425B" w:rsidRDefault="003E425B" w:rsidP="00010108">
      <w:pPr>
        <w:pStyle w:val="Prrafodelista"/>
        <w:spacing w:line="240" w:lineRule="auto"/>
        <w:ind w:left="0"/>
        <w:rPr>
          <w:rFonts w:ascii="Times New Roman" w:hAnsi="Times New Roman"/>
          <w:sz w:val="28"/>
          <w:lang w:eastAsia="es-MX"/>
        </w:rPr>
      </w:pPr>
    </w:p>
    <w:p w:rsidR="001541D8" w:rsidRPr="003E425B" w:rsidRDefault="003E425B" w:rsidP="006E12C8">
      <w:pPr>
        <w:pStyle w:val="Prrafodelista"/>
        <w:numPr>
          <w:ilvl w:val="1"/>
          <w:numId w:val="33"/>
        </w:numPr>
        <w:spacing w:line="240" w:lineRule="auto"/>
        <w:ind w:left="851" w:hanging="567"/>
        <w:rPr>
          <w:rFonts w:ascii="Times New Roman" w:hAnsi="Times New Roman"/>
          <w:sz w:val="28"/>
          <w:lang w:eastAsia="es-MX"/>
        </w:rPr>
      </w:pPr>
      <w:r w:rsidRPr="003E425B">
        <w:rPr>
          <w:rFonts w:ascii="Times New Roman" w:hAnsi="Times New Roman"/>
          <w:iCs/>
          <w:color w:val="000000" w:themeColor="text1"/>
          <w:sz w:val="28"/>
        </w:rPr>
        <w:t>La Corte debe justificar la</w:t>
      </w:r>
      <w:r w:rsidRPr="003E425B">
        <w:rPr>
          <w:rFonts w:ascii="Times New Roman" w:hAnsi="Times New Roman"/>
          <w:i/>
          <w:iCs/>
          <w:color w:val="000000" w:themeColor="text1"/>
          <w:sz w:val="28"/>
        </w:rPr>
        <w:t xml:space="preserve"> </w:t>
      </w:r>
      <w:r w:rsidRPr="003E425B">
        <w:rPr>
          <w:rFonts w:ascii="Times New Roman" w:hAnsi="Times New Roman"/>
          <w:color w:val="000000" w:themeColor="text1"/>
          <w:sz w:val="28"/>
        </w:rPr>
        <w:t xml:space="preserve">modalidad de decisión. </w:t>
      </w:r>
    </w:p>
    <w:p w:rsidR="001541D8" w:rsidRPr="003E425B" w:rsidRDefault="003E425B" w:rsidP="006E12C8">
      <w:pPr>
        <w:pStyle w:val="Prrafodelista"/>
        <w:numPr>
          <w:ilvl w:val="1"/>
          <w:numId w:val="33"/>
        </w:numPr>
        <w:spacing w:line="240" w:lineRule="auto"/>
        <w:ind w:left="851" w:hanging="567"/>
        <w:rPr>
          <w:rFonts w:ascii="Times New Roman" w:hAnsi="Times New Roman"/>
          <w:sz w:val="28"/>
          <w:lang w:eastAsia="es-MX"/>
        </w:rPr>
      </w:pPr>
      <w:r w:rsidRPr="003E425B">
        <w:rPr>
          <w:rFonts w:ascii="Times New Roman" w:hAnsi="Times New Roman"/>
          <w:color w:val="000000" w:themeColor="text1"/>
          <w:sz w:val="28"/>
        </w:rPr>
        <w:t>La Cort</w:t>
      </w:r>
      <w:r w:rsidRPr="003E425B">
        <w:rPr>
          <w:rFonts w:ascii="Times New Roman" w:hAnsi="Times New Roman"/>
          <w:color w:val="000000" w:themeColor="text1"/>
          <w:sz w:val="28"/>
        </w:rPr>
        <w:t xml:space="preserve">e debe constatar que existen suficientes elementos fácticos y jurídicos que demuestren que la declaración de inconstitucionalidad inmediata “ocasiona una situación constitucionalmente peor que el mantenimiento en el ordenamiento de la disposición acusada, </w:t>
      </w:r>
      <w:r w:rsidRPr="003E425B">
        <w:rPr>
          <w:rFonts w:ascii="Times New Roman" w:hAnsi="Times New Roman"/>
          <w:color w:val="000000" w:themeColor="text1"/>
          <w:sz w:val="28"/>
        </w:rPr>
        <w:t>cuya inconstitucionalidad fue verificada en el proceso”</w:t>
      </w:r>
      <w:r w:rsidRPr="003E425B">
        <w:rPr>
          <w:rStyle w:val="Refdenotaalpie"/>
          <w:rFonts w:ascii="Times New Roman" w:hAnsi="Times New Roman"/>
          <w:color w:val="000000" w:themeColor="text1"/>
          <w:sz w:val="28"/>
        </w:rPr>
        <w:footnoteReference w:id="440"/>
      </w:r>
      <w:r w:rsidRPr="003E425B">
        <w:rPr>
          <w:rFonts w:ascii="Times New Roman" w:hAnsi="Times New Roman"/>
          <w:iCs/>
          <w:color w:val="000000" w:themeColor="text1"/>
          <w:sz w:val="28"/>
        </w:rPr>
        <w:t xml:space="preserve">. </w:t>
      </w:r>
    </w:p>
    <w:p w:rsidR="001541D8" w:rsidRPr="003E425B" w:rsidRDefault="003E425B" w:rsidP="006E12C8">
      <w:pPr>
        <w:pStyle w:val="Prrafodelista"/>
        <w:numPr>
          <w:ilvl w:val="1"/>
          <w:numId w:val="33"/>
        </w:numPr>
        <w:spacing w:line="240" w:lineRule="auto"/>
        <w:ind w:left="851" w:hanging="567"/>
        <w:rPr>
          <w:rFonts w:ascii="Times New Roman" w:hAnsi="Times New Roman"/>
          <w:sz w:val="28"/>
          <w:lang w:eastAsia="es-MX"/>
        </w:rPr>
      </w:pPr>
      <w:r w:rsidRPr="003E425B">
        <w:rPr>
          <w:rFonts w:ascii="Times New Roman" w:hAnsi="Times New Roman"/>
          <w:iCs/>
          <w:color w:val="000000" w:themeColor="text1"/>
          <w:sz w:val="28"/>
        </w:rPr>
        <w:t>La Corte debe</w:t>
      </w:r>
      <w:r w:rsidRPr="003E425B">
        <w:rPr>
          <w:rFonts w:ascii="Times New Roman" w:hAnsi="Times New Roman"/>
          <w:i/>
          <w:iCs/>
          <w:color w:val="000000" w:themeColor="text1"/>
          <w:sz w:val="28"/>
        </w:rPr>
        <w:t xml:space="preserve"> </w:t>
      </w:r>
      <w:r w:rsidRPr="003E425B">
        <w:rPr>
          <w:rFonts w:ascii="Times New Roman" w:hAnsi="Times New Roman"/>
          <w:color w:val="000000" w:themeColor="text1"/>
          <w:sz w:val="28"/>
        </w:rPr>
        <w:t>“explicar por qué es más adecuado recurrir a una inexequibilidad diferida que a una sentencia integradora, para lo cual deberá tener en cuenta, entre otras cosas, qué tanta libertad d</w:t>
      </w:r>
      <w:r w:rsidRPr="003E425B">
        <w:rPr>
          <w:rFonts w:ascii="Times New Roman" w:hAnsi="Times New Roman"/>
          <w:color w:val="000000" w:themeColor="text1"/>
          <w:sz w:val="28"/>
        </w:rPr>
        <w:t>e configuración tiene el Legislador en la materia, y qué tan lesivo a los principios y valores constitucionales es el mantenimiento de la disposición acusada en el ordenamiento”</w:t>
      </w:r>
      <w:r w:rsidRPr="003E425B">
        <w:rPr>
          <w:rStyle w:val="Refdenotaalpie"/>
          <w:rFonts w:ascii="Times New Roman" w:hAnsi="Times New Roman"/>
          <w:color w:val="000000" w:themeColor="text1"/>
          <w:sz w:val="28"/>
        </w:rPr>
        <w:footnoteReference w:id="441"/>
      </w:r>
      <w:r w:rsidRPr="003E425B">
        <w:rPr>
          <w:rFonts w:ascii="Times New Roman" w:hAnsi="Times New Roman"/>
          <w:color w:val="000000" w:themeColor="text1"/>
          <w:sz w:val="28"/>
        </w:rPr>
        <w:t>.</w:t>
      </w:r>
      <w:r w:rsidRPr="003E425B">
        <w:rPr>
          <w:rFonts w:ascii="Times New Roman" w:hAnsi="Times New Roman"/>
          <w:i/>
          <w:iCs/>
          <w:color w:val="000000" w:themeColor="text1"/>
          <w:sz w:val="28"/>
        </w:rPr>
        <w:t xml:space="preserve"> </w:t>
      </w:r>
    </w:p>
    <w:p w:rsidR="00FC1204" w:rsidRPr="003E425B" w:rsidRDefault="003E425B" w:rsidP="006E12C8">
      <w:pPr>
        <w:pStyle w:val="Prrafodelista"/>
        <w:numPr>
          <w:ilvl w:val="1"/>
          <w:numId w:val="33"/>
        </w:numPr>
        <w:spacing w:line="240" w:lineRule="auto"/>
        <w:ind w:left="851" w:hanging="567"/>
        <w:rPr>
          <w:rFonts w:ascii="Times New Roman" w:hAnsi="Times New Roman"/>
          <w:sz w:val="28"/>
          <w:lang w:eastAsia="es-MX"/>
        </w:rPr>
      </w:pPr>
      <w:r w:rsidRPr="003E425B">
        <w:rPr>
          <w:rFonts w:ascii="Times New Roman" w:hAnsi="Times New Roman"/>
          <w:color w:val="000000" w:themeColor="text1"/>
          <w:sz w:val="28"/>
        </w:rPr>
        <w:t>La Corte</w:t>
      </w:r>
      <w:r w:rsidRPr="003E425B">
        <w:rPr>
          <w:rFonts w:ascii="Times New Roman" w:hAnsi="Times New Roman"/>
          <w:i/>
          <w:iCs/>
          <w:color w:val="000000" w:themeColor="text1"/>
          <w:sz w:val="28"/>
        </w:rPr>
        <w:t xml:space="preserve"> </w:t>
      </w:r>
      <w:r w:rsidRPr="003E425B">
        <w:rPr>
          <w:rFonts w:ascii="Times New Roman" w:hAnsi="Times New Roman"/>
          <w:color w:val="000000" w:themeColor="text1"/>
          <w:sz w:val="28"/>
        </w:rPr>
        <w:t>debe justificar la extensión del plazo conferido al legislador, el</w:t>
      </w:r>
      <w:r w:rsidRPr="003E425B">
        <w:rPr>
          <w:rFonts w:ascii="Times New Roman" w:hAnsi="Times New Roman"/>
          <w:color w:val="000000" w:themeColor="text1"/>
          <w:sz w:val="28"/>
        </w:rPr>
        <w:t xml:space="preserve"> cual depende, en gran medida, de la complejidad misma del tema y del posible impacto de la preservación de la regulación en la vigencia de los principios y derechos constitucionales”</w:t>
      </w:r>
      <w:r w:rsidRPr="003E425B">
        <w:rPr>
          <w:rStyle w:val="Refdenotaalpie"/>
          <w:rFonts w:ascii="Times New Roman" w:hAnsi="Times New Roman"/>
          <w:color w:val="000000" w:themeColor="text1"/>
          <w:sz w:val="28"/>
        </w:rPr>
        <w:footnoteReference w:id="442"/>
      </w:r>
      <w:r w:rsidRPr="003E425B">
        <w:rPr>
          <w:rFonts w:ascii="Times New Roman" w:hAnsi="Times New Roman"/>
          <w:color w:val="000000" w:themeColor="text1"/>
          <w:sz w:val="28"/>
        </w:rPr>
        <w:t>.</w:t>
      </w:r>
    </w:p>
    <w:p w:rsidR="00FC1204" w:rsidRPr="003E425B" w:rsidRDefault="003E425B" w:rsidP="00010108">
      <w:pPr>
        <w:rPr>
          <w:rFonts w:ascii="Times New Roman" w:hAnsi="Times New Roman" w:cs="Times New Roman"/>
          <w:sz w:val="28"/>
          <w:lang w:eastAsia="es-MX"/>
        </w:rPr>
      </w:pPr>
    </w:p>
    <w:p w:rsidR="00FC1204" w:rsidRPr="003E425B" w:rsidRDefault="003E425B" w:rsidP="000C6CC6">
      <w:pPr>
        <w:pStyle w:val="Ttulo4"/>
        <w:numPr>
          <w:ilvl w:val="0"/>
          <w:numId w:val="41"/>
        </w:numPr>
        <w:ind w:hanging="578"/>
        <w:rPr>
          <w:rFonts w:ascii="Times New Roman" w:hAnsi="Times New Roman" w:cs="Times New Roman"/>
          <w:sz w:val="28"/>
        </w:rPr>
      </w:pPr>
      <w:r w:rsidRPr="003E425B">
        <w:rPr>
          <w:rFonts w:ascii="Times New Roman" w:hAnsi="Times New Roman" w:cs="Times New Roman"/>
          <w:sz w:val="28"/>
        </w:rPr>
        <w:t>La Corte declarará la inexequibilidad diferida de la Ley 2281 de 2023</w:t>
      </w:r>
    </w:p>
    <w:p w:rsidR="00FC1204" w:rsidRPr="003E425B" w:rsidRDefault="003E425B" w:rsidP="00010108">
      <w:pPr>
        <w:rPr>
          <w:rFonts w:ascii="Times New Roman" w:hAnsi="Times New Roman" w:cs="Times New Roman"/>
          <w:sz w:val="28"/>
          <w:lang w:eastAsia="es-MX"/>
        </w:rPr>
      </w:pPr>
    </w:p>
    <w:p w:rsidR="00FC1204"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 xml:space="preserve">La Corte Constitucional considera que, en este caso, debe declarar la inexequibilidad de la Ley 2281 de 2023. Lo anterior, habida cuenta de que el Congreso de la República desconoció la obligación de </w:t>
      </w:r>
      <w:r w:rsidRPr="003E425B">
        <w:rPr>
          <w:rFonts w:ascii="Times New Roman" w:hAnsi="Times New Roman"/>
          <w:color w:val="000000" w:themeColor="text1"/>
          <w:sz w:val="28"/>
        </w:rPr>
        <w:t>analizar</w:t>
      </w:r>
      <w:r w:rsidRPr="003E425B">
        <w:rPr>
          <w:rFonts w:ascii="Times New Roman" w:hAnsi="Times New Roman"/>
          <w:color w:val="000000" w:themeColor="text1"/>
          <w:sz w:val="28"/>
        </w:rPr>
        <w:t xml:space="preserve"> el impacto fiscal de la medida legislativa, conforme al artículo 7 de la Ley 819 de 2003. Con todo, la Sala considera que debe diferir los efectos de la decisión. Lo anterior, debido a que, en atención </w:t>
      </w:r>
      <w:r w:rsidRPr="003E425B">
        <w:rPr>
          <w:rFonts w:ascii="Times New Roman" w:hAnsi="Times New Roman"/>
          <w:color w:val="000000" w:themeColor="text1"/>
          <w:sz w:val="28"/>
        </w:rPr>
        <w:t>a</w:t>
      </w:r>
      <w:r w:rsidRPr="003E425B">
        <w:rPr>
          <w:rFonts w:ascii="Times New Roman" w:hAnsi="Times New Roman"/>
          <w:color w:val="000000" w:themeColor="text1"/>
          <w:sz w:val="28"/>
        </w:rPr>
        <w:t>l objeto del Ministerio de Igualdad y Equidad y su a</w:t>
      </w:r>
      <w:r w:rsidRPr="003E425B">
        <w:rPr>
          <w:rFonts w:ascii="Times New Roman" w:hAnsi="Times New Roman"/>
          <w:color w:val="000000" w:themeColor="text1"/>
          <w:sz w:val="28"/>
        </w:rPr>
        <w:t xml:space="preserve">ctividad misional, la expulsión inmediata de la ley podría afectar los derechos de sujetos de especial protección constitucional y desarticular la política pública dirigida a su protección. </w:t>
      </w:r>
    </w:p>
    <w:p w:rsidR="00FC1204" w:rsidRPr="003E425B" w:rsidRDefault="003E425B" w:rsidP="00010108">
      <w:pPr>
        <w:pStyle w:val="Prrafodelista"/>
        <w:spacing w:line="240" w:lineRule="auto"/>
        <w:ind w:left="0"/>
        <w:rPr>
          <w:rFonts w:ascii="Times New Roman" w:hAnsi="Times New Roman"/>
          <w:sz w:val="28"/>
          <w:lang w:eastAsia="es-MX"/>
        </w:rPr>
      </w:pPr>
    </w:p>
    <w:p w:rsidR="00FC1204"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 xml:space="preserve">La Ley 2281 de 2023 dispuso que el objeto del </w:t>
      </w:r>
      <w:r w:rsidRPr="003E425B">
        <w:rPr>
          <w:rFonts w:ascii="Times New Roman" w:hAnsi="Times New Roman"/>
          <w:iCs/>
          <w:color w:val="000000" w:themeColor="text1"/>
          <w:sz w:val="28"/>
        </w:rPr>
        <w:t>Ministerio de Igua</w:t>
      </w:r>
      <w:r w:rsidRPr="003E425B">
        <w:rPr>
          <w:rFonts w:ascii="Times New Roman" w:hAnsi="Times New Roman"/>
          <w:iCs/>
          <w:color w:val="000000" w:themeColor="text1"/>
          <w:sz w:val="28"/>
        </w:rPr>
        <w:t>ldad y Equidad es la promoción y garantía del derecho fundamental a la igualdad de sujetos de especial protección constitucional. En concreto, el artículo 3 previó que el referido ministerio tendría como objeto “contribuir en la eliminación de las desigual</w:t>
      </w:r>
      <w:r w:rsidRPr="003E425B">
        <w:rPr>
          <w:rFonts w:ascii="Times New Roman" w:hAnsi="Times New Roman"/>
          <w:iCs/>
          <w:color w:val="000000" w:themeColor="text1"/>
          <w:sz w:val="28"/>
        </w:rPr>
        <w:t>dades económicas, políticas y sociales; impulsar el goce del derecho a la igualdad; el cumplimiento de los principios de no discriminación y no regresividad; la defensa de los sujetos de especial protección constitucional de población vulnerable y de grupo</w:t>
      </w:r>
      <w:r w:rsidRPr="003E425B">
        <w:rPr>
          <w:rFonts w:ascii="Times New Roman" w:hAnsi="Times New Roman"/>
          <w:iCs/>
          <w:color w:val="000000" w:themeColor="text1"/>
          <w:sz w:val="28"/>
        </w:rPr>
        <w:t>s históricamente discriminados o marginados, incorporando y adoptando los enfoques de derechos, de género, diferencial, étnico-racial e interseccional”</w:t>
      </w:r>
      <w:r w:rsidRPr="003E425B">
        <w:rPr>
          <w:rStyle w:val="Refdenotaalpie"/>
          <w:rFonts w:ascii="Times New Roman" w:hAnsi="Times New Roman"/>
          <w:iCs/>
          <w:color w:val="000000" w:themeColor="text1"/>
          <w:sz w:val="28"/>
        </w:rPr>
        <w:footnoteReference w:id="443"/>
      </w:r>
      <w:r w:rsidRPr="003E425B">
        <w:rPr>
          <w:rFonts w:ascii="Times New Roman" w:hAnsi="Times New Roman"/>
          <w:iCs/>
          <w:color w:val="000000" w:themeColor="text1"/>
          <w:sz w:val="28"/>
        </w:rPr>
        <w:t xml:space="preserve">. Asimismo, el artículo 6 de la </w:t>
      </w:r>
      <w:r w:rsidRPr="003E425B">
        <w:rPr>
          <w:rFonts w:ascii="Times New Roman" w:hAnsi="Times New Roman"/>
          <w:iCs/>
          <w:color w:val="000000" w:themeColor="text1"/>
          <w:sz w:val="28"/>
        </w:rPr>
        <w:t>referida l</w:t>
      </w:r>
      <w:r w:rsidRPr="003E425B">
        <w:rPr>
          <w:rFonts w:ascii="Times New Roman" w:hAnsi="Times New Roman"/>
          <w:iCs/>
          <w:color w:val="000000" w:themeColor="text1"/>
          <w:sz w:val="28"/>
        </w:rPr>
        <w:t>ey creó el Sistema Nacional de Cuidado, el cual busca articula</w:t>
      </w:r>
      <w:r w:rsidRPr="003E425B">
        <w:rPr>
          <w:rFonts w:ascii="Times New Roman" w:hAnsi="Times New Roman"/>
          <w:iCs/>
          <w:color w:val="000000" w:themeColor="text1"/>
          <w:sz w:val="28"/>
        </w:rPr>
        <w:t>r los “servicios, regulaciones, políticas y acciones técnicas e institucionales existentes y nuevas, con el objeto de dar respuesta a las demandas de cuidado de los hogares de manera corresponsable entre la nación, el sector privado, la sociedad civil, las</w:t>
      </w:r>
      <w:r w:rsidRPr="003E425B">
        <w:rPr>
          <w:rFonts w:ascii="Times New Roman" w:hAnsi="Times New Roman"/>
          <w:iCs/>
          <w:color w:val="000000" w:themeColor="text1"/>
          <w:sz w:val="28"/>
        </w:rPr>
        <w:t xml:space="preserve"> comunidades y entre mujeres y hombres en sus diferencias y diversidad para promover una nueva organización social de los cuidados del país y garantizar los derechos humanos de las personas cuidadoras”.</w:t>
      </w:r>
    </w:p>
    <w:p w:rsidR="00FC1204" w:rsidRPr="003E425B" w:rsidRDefault="003E425B" w:rsidP="00010108">
      <w:pPr>
        <w:pStyle w:val="Prrafodelista"/>
        <w:spacing w:line="240" w:lineRule="auto"/>
        <w:ind w:left="0"/>
        <w:rPr>
          <w:rFonts w:ascii="Times New Roman" w:hAnsi="Times New Roman"/>
          <w:sz w:val="28"/>
          <w:lang w:eastAsia="es-MX"/>
        </w:rPr>
      </w:pPr>
    </w:p>
    <w:p w:rsidR="00FC1204"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Por otra parte, la Sala advierte que, conforme a las</w:t>
      </w:r>
      <w:r w:rsidRPr="003E425B">
        <w:rPr>
          <w:rFonts w:ascii="Times New Roman" w:hAnsi="Times New Roman"/>
          <w:color w:val="000000" w:themeColor="text1"/>
          <w:sz w:val="28"/>
        </w:rPr>
        <w:t xml:space="preserve"> facultades extraordinarias que fueron conferidas por el artículo 12, así como en ejercicio de la potestad reglamentaria (art. 189 de la CP), el Presidente de la República ha expedido múltiples decretos ley, decretos reglamentarios y resoluciones dirigidos</w:t>
      </w:r>
      <w:r w:rsidRPr="003E425B">
        <w:rPr>
          <w:rFonts w:ascii="Times New Roman" w:hAnsi="Times New Roman"/>
          <w:color w:val="000000" w:themeColor="text1"/>
          <w:sz w:val="28"/>
        </w:rPr>
        <w:t xml:space="preserve"> a integrar el </w:t>
      </w:r>
      <w:r w:rsidRPr="003E425B">
        <w:rPr>
          <w:rFonts w:ascii="Times New Roman" w:hAnsi="Times New Roman"/>
          <w:color w:val="000000" w:themeColor="text1"/>
          <w:sz w:val="28"/>
        </w:rPr>
        <w:t>S</w:t>
      </w:r>
      <w:r w:rsidRPr="003E425B">
        <w:rPr>
          <w:rFonts w:ascii="Times New Roman" w:hAnsi="Times New Roman"/>
          <w:color w:val="000000" w:themeColor="text1"/>
          <w:sz w:val="28"/>
        </w:rPr>
        <w:t xml:space="preserve">ector </w:t>
      </w:r>
      <w:r w:rsidRPr="003E425B">
        <w:rPr>
          <w:rFonts w:ascii="Times New Roman" w:hAnsi="Times New Roman"/>
          <w:color w:val="000000" w:themeColor="text1"/>
          <w:sz w:val="28"/>
        </w:rPr>
        <w:t>a</w:t>
      </w:r>
      <w:r w:rsidRPr="003E425B">
        <w:rPr>
          <w:rFonts w:ascii="Times New Roman" w:hAnsi="Times New Roman"/>
          <w:color w:val="000000" w:themeColor="text1"/>
          <w:sz w:val="28"/>
        </w:rPr>
        <w:t>dministrativo de Igualdad y Equidad y desarrollar su actividad misional</w:t>
      </w:r>
      <w:r w:rsidRPr="003E425B">
        <w:rPr>
          <w:rFonts w:ascii="Times New Roman" w:hAnsi="Times New Roman"/>
          <w:iCs/>
          <w:color w:val="000000" w:themeColor="text1"/>
          <w:sz w:val="28"/>
        </w:rPr>
        <w:t>. En particular, la Sala resalta que por medio del Decreto Ley 1074 de 2023 el Presidente de la República integró el sector administrativo de igualdad mediante la</w:t>
      </w:r>
      <w:r w:rsidRPr="003E425B">
        <w:rPr>
          <w:rFonts w:ascii="Times New Roman" w:hAnsi="Times New Roman"/>
          <w:iCs/>
          <w:color w:val="000000" w:themeColor="text1"/>
          <w:sz w:val="28"/>
        </w:rPr>
        <w:t xml:space="preserve"> adscripción de </w:t>
      </w:r>
      <w:r w:rsidRPr="003E425B">
        <w:rPr>
          <w:rFonts w:ascii="Times New Roman" w:hAnsi="Times New Roman"/>
          <w:i/>
          <w:iCs/>
          <w:color w:val="000000" w:themeColor="text1"/>
          <w:sz w:val="28"/>
        </w:rPr>
        <w:t xml:space="preserve">(i) </w:t>
      </w:r>
      <w:r w:rsidRPr="003E425B">
        <w:rPr>
          <w:rFonts w:ascii="Times New Roman" w:hAnsi="Times New Roman"/>
          <w:iCs/>
          <w:color w:val="000000" w:themeColor="text1"/>
          <w:sz w:val="28"/>
        </w:rPr>
        <w:t xml:space="preserve">el Instituto Colombiano de Bienestar Familiar (ICBF), </w:t>
      </w:r>
      <w:r w:rsidRPr="003E425B">
        <w:rPr>
          <w:rFonts w:ascii="Times New Roman" w:hAnsi="Times New Roman"/>
          <w:i/>
          <w:iCs/>
          <w:color w:val="000000" w:themeColor="text1"/>
          <w:sz w:val="28"/>
        </w:rPr>
        <w:t>(ii)</w:t>
      </w:r>
      <w:r w:rsidRPr="003E425B">
        <w:rPr>
          <w:rFonts w:ascii="Times New Roman" w:hAnsi="Times New Roman"/>
          <w:iCs/>
          <w:color w:val="000000" w:themeColor="text1"/>
          <w:sz w:val="28"/>
        </w:rPr>
        <w:t xml:space="preserve"> el Instituto Nacional para Sordos (INSOR) y </w:t>
      </w:r>
      <w:r w:rsidRPr="003E425B">
        <w:rPr>
          <w:rFonts w:ascii="Times New Roman" w:hAnsi="Times New Roman"/>
          <w:i/>
          <w:iCs/>
          <w:color w:val="000000" w:themeColor="text1"/>
          <w:sz w:val="28"/>
        </w:rPr>
        <w:t>(iii)</w:t>
      </w:r>
      <w:r w:rsidRPr="003E425B">
        <w:rPr>
          <w:rFonts w:ascii="Times New Roman" w:hAnsi="Times New Roman"/>
          <w:iCs/>
          <w:color w:val="000000" w:themeColor="text1"/>
          <w:sz w:val="28"/>
        </w:rPr>
        <w:t xml:space="preserve"> el Instituto Nacional para Ciegos (INCI). </w:t>
      </w:r>
    </w:p>
    <w:p w:rsidR="00FC1204" w:rsidRPr="003E425B" w:rsidRDefault="003E425B" w:rsidP="00010108">
      <w:pPr>
        <w:pStyle w:val="Prrafodelista"/>
        <w:spacing w:line="240" w:lineRule="auto"/>
        <w:ind w:left="0"/>
        <w:rPr>
          <w:rFonts w:ascii="Times New Roman" w:hAnsi="Times New Roman"/>
          <w:sz w:val="28"/>
          <w:lang w:eastAsia="es-MX"/>
        </w:rPr>
      </w:pPr>
    </w:p>
    <w:p w:rsidR="00FC1204"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Asimismo, mediante el Decreto reglamentario 1075 de 2023, el Presidente de la Repúb</w:t>
      </w:r>
      <w:r w:rsidRPr="003E425B">
        <w:rPr>
          <w:rFonts w:ascii="Times New Roman" w:hAnsi="Times New Roman"/>
          <w:iCs/>
          <w:color w:val="000000" w:themeColor="text1"/>
          <w:sz w:val="28"/>
        </w:rPr>
        <w:t xml:space="preserve">lica desarrolló la estructura del ministerio y dispuso, entre otras, que “los temas relacionados con mujer, juventud, discapacidad, atención social a población migrante, LGTBIQ+, y los asociados a la superación de la pobreza, atendidos por el Departamento </w:t>
      </w:r>
      <w:r w:rsidRPr="003E425B">
        <w:rPr>
          <w:rFonts w:ascii="Times New Roman" w:hAnsi="Times New Roman"/>
          <w:iCs/>
          <w:color w:val="000000" w:themeColor="text1"/>
          <w:sz w:val="28"/>
        </w:rPr>
        <w:t>Administrativo de la Presidencia de la República a través de las Consejerías para la Mujer y la Juventud</w:t>
      </w:r>
      <w:r w:rsidRPr="003E425B">
        <w:rPr>
          <w:rFonts w:ascii="Times New Roman" w:hAnsi="Times New Roman"/>
          <w:iCs/>
          <w:color w:val="000000" w:themeColor="text1"/>
          <w:sz w:val="28"/>
        </w:rPr>
        <w:t xml:space="preserve"> [y]</w:t>
      </w:r>
      <w:r w:rsidRPr="003E425B">
        <w:rPr>
          <w:rFonts w:ascii="Times New Roman" w:hAnsi="Times New Roman"/>
          <w:iCs/>
          <w:color w:val="000000" w:themeColor="text1"/>
          <w:sz w:val="28"/>
        </w:rPr>
        <w:t xml:space="preserve"> la Subdirección General para la Superación de la Pobreza del Departamento Administrativo para la Prosperidad Social, serán asumidos en adelante por</w:t>
      </w:r>
      <w:r w:rsidRPr="003E425B">
        <w:rPr>
          <w:rFonts w:ascii="Times New Roman" w:hAnsi="Times New Roman"/>
          <w:iCs/>
          <w:color w:val="000000" w:themeColor="text1"/>
          <w:sz w:val="28"/>
        </w:rPr>
        <w:t xml:space="preserve"> el Ministerio de Igualdad y Equidad, en concordancia con el propósito para el cual fue creado según la Ley”</w:t>
      </w:r>
      <w:r w:rsidRPr="003E425B">
        <w:rPr>
          <w:rStyle w:val="Refdenotaalpie"/>
          <w:rFonts w:ascii="Times New Roman" w:hAnsi="Times New Roman"/>
          <w:iCs/>
          <w:color w:val="000000" w:themeColor="text1"/>
          <w:sz w:val="28"/>
        </w:rPr>
        <w:footnoteReference w:id="444"/>
      </w:r>
      <w:r w:rsidRPr="003E425B">
        <w:rPr>
          <w:rFonts w:ascii="Times New Roman" w:hAnsi="Times New Roman"/>
          <w:iCs/>
          <w:color w:val="000000" w:themeColor="text1"/>
          <w:sz w:val="28"/>
        </w:rPr>
        <w:t>. Por su parte, mediante el Decreto reglamentario 1076 de 2023</w:t>
      </w:r>
      <w:r w:rsidRPr="003E425B">
        <w:rPr>
          <w:rFonts w:ascii="Times New Roman" w:hAnsi="Times New Roman"/>
          <w:color w:val="212529"/>
          <w:sz w:val="28"/>
          <w:shd w:val="clear" w:color="auto" w:fill="FFFFFF"/>
        </w:rPr>
        <w:t xml:space="preserve"> se estableció </w:t>
      </w:r>
      <w:r w:rsidRPr="003E425B">
        <w:rPr>
          <w:rFonts w:ascii="Times New Roman" w:hAnsi="Times New Roman"/>
          <w:iCs/>
          <w:color w:val="000000" w:themeColor="text1"/>
          <w:sz w:val="28"/>
        </w:rPr>
        <w:t>la planta de personal del ministerio. Por lo demás, en cumplimiento de</w:t>
      </w:r>
      <w:r w:rsidRPr="003E425B">
        <w:rPr>
          <w:rFonts w:ascii="Times New Roman" w:hAnsi="Times New Roman"/>
          <w:iCs/>
          <w:color w:val="000000" w:themeColor="text1"/>
          <w:sz w:val="28"/>
        </w:rPr>
        <w:t xml:space="preserve"> lo dispuesto en el artículo 2.1.2.1.2.0 del Decreto 1081 de 2015, el Ministerio de Igualdad y Equidad publicó su agenda regulatoria.</w:t>
      </w:r>
    </w:p>
    <w:p w:rsidR="00FC1204" w:rsidRPr="003E425B" w:rsidRDefault="003E425B" w:rsidP="00010108">
      <w:pPr>
        <w:pStyle w:val="Prrafodelista"/>
        <w:spacing w:line="240" w:lineRule="auto"/>
        <w:ind w:left="0"/>
        <w:rPr>
          <w:rFonts w:ascii="Times New Roman" w:hAnsi="Times New Roman"/>
          <w:sz w:val="28"/>
          <w:lang w:eastAsia="es-MX"/>
        </w:rPr>
      </w:pPr>
    </w:p>
    <w:p w:rsidR="00FC1204" w:rsidRPr="003E425B" w:rsidRDefault="003E425B" w:rsidP="000C6CC6">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En tales términos, la Sala considera que declarar la inexequibilidad con efectos inmediatos de la Ley 2281 de 2023, impli</w:t>
      </w:r>
      <w:r w:rsidRPr="003E425B">
        <w:rPr>
          <w:rFonts w:ascii="Times New Roman" w:hAnsi="Times New Roman"/>
          <w:iCs/>
          <w:color w:val="000000" w:themeColor="text1"/>
          <w:sz w:val="28"/>
        </w:rPr>
        <w:t>caría la eliminación del sector administrativo de Igualdad y Equidad y, naturalmente, del ministerio que lo encabeza. En criterio de la Corte, esto podría causar una desarticulación institucional que afectaría la implementación de la política pública que h</w:t>
      </w:r>
      <w:r w:rsidRPr="003E425B">
        <w:rPr>
          <w:rFonts w:ascii="Times New Roman" w:hAnsi="Times New Roman"/>
          <w:iCs/>
          <w:color w:val="000000" w:themeColor="text1"/>
          <w:sz w:val="28"/>
        </w:rPr>
        <w:t>a sido diseñada por el legislador y el ejecutivo para garantizar los derechos de sujetos de especial protección constitucional. Habida cuenta de las necesidades apremiantes de estos sujetos, tal desarticulación y afectaciones en la implementación de la pol</w:t>
      </w:r>
      <w:r w:rsidRPr="003E425B">
        <w:rPr>
          <w:rFonts w:ascii="Times New Roman" w:hAnsi="Times New Roman"/>
          <w:iCs/>
          <w:color w:val="000000" w:themeColor="text1"/>
          <w:sz w:val="28"/>
        </w:rPr>
        <w:t>ítica podrían comprometer la vigencia del principio de igualdad y, en concreto, el mandato de igualdad real y sustantiva previsto en el artículo 13.3 de la Carta Política</w:t>
      </w:r>
      <w:r w:rsidRPr="003E425B">
        <w:rPr>
          <w:rFonts w:ascii="Times New Roman" w:hAnsi="Times New Roman"/>
          <w:iCs/>
          <w:color w:val="000000" w:themeColor="text1"/>
          <w:sz w:val="28"/>
        </w:rPr>
        <w:t xml:space="preserve">, así como otros derechos de estos sujetos. </w:t>
      </w:r>
    </w:p>
    <w:p w:rsidR="00FC1204" w:rsidRPr="003E425B" w:rsidRDefault="003E425B" w:rsidP="00010108">
      <w:pPr>
        <w:pStyle w:val="Prrafodelista"/>
        <w:spacing w:line="240" w:lineRule="auto"/>
        <w:ind w:left="0"/>
        <w:rPr>
          <w:rFonts w:ascii="Times New Roman" w:hAnsi="Times New Roman"/>
          <w:sz w:val="28"/>
          <w:lang w:eastAsia="es-MX"/>
        </w:rPr>
      </w:pPr>
    </w:p>
    <w:p w:rsidR="0018045D" w:rsidRPr="003E425B" w:rsidRDefault="003E425B" w:rsidP="0018045D">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color w:val="000000" w:themeColor="text1"/>
          <w:sz w:val="28"/>
        </w:rPr>
        <w:t xml:space="preserve">Por estas razones, la Sala diferirá los </w:t>
      </w:r>
      <w:r w:rsidRPr="003E425B">
        <w:rPr>
          <w:rFonts w:ascii="Times New Roman" w:hAnsi="Times New Roman"/>
          <w:color w:val="000000" w:themeColor="text1"/>
          <w:sz w:val="28"/>
        </w:rPr>
        <w:t xml:space="preserve">efectos de esta decisión por el término prudencial </w:t>
      </w:r>
      <w:r w:rsidRPr="003E425B">
        <w:rPr>
          <w:rFonts w:ascii="Times New Roman" w:hAnsi="Times New Roman"/>
          <w:color w:val="000000" w:themeColor="text1"/>
          <w:sz w:val="28"/>
        </w:rPr>
        <w:t xml:space="preserve">de </w:t>
      </w:r>
      <w:r w:rsidRPr="003E425B">
        <w:rPr>
          <w:rFonts w:ascii="Times New Roman" w:hAnsi="Times New Roman"/>
          <w:color w:val="000000" w:themeColor="text1"/>
          <w:sz w:val="28"/>
        </w:rPr>
        <w:t>dos</w:t>
      </w:r>
      <w:r w:rsidRPr="003E425B">
        <w:rPr>
          <w:rFonts w:ascii="Times New Roman" w:hAnsi="Times New Roman"/>
          <w:color w:val="000000" w:themeColor="text1"/>
          <w:sz w:val="28"/>
        </w:rPr>
        <w:t xml:space="preserve"> (</w:t>
      </w:r>
      <w:r w:rsidRPr="003E425B">
        <w:rPr>
          <w:rFonts w:ascii="Times New Roman" w:hAnsi="Times New Roman"/>
          <w:color w:val="000000" w:themeColor="text1"/>
          <w:sz w:val="28"/>
        </w:rPr>
        <w:t>2</w:t>
      </w:r>
      <w:r w:rsidRPr="003E425B">
        <w:rPr>
          <w:rFonts w:ascii="Times New Roman" w:hAnsi="Times New Roman"/>
          <w:color w:val="000000" w:themeColor="text1"/>
          <w:sz w:val="28"/>
        </w:rPr>
        <w:t>) legislatura</w:t>
      </w:r>
      <w:r w:rsidRPr="003E425B">
        <w:rPr>
          <w:rFonts w:ascii="Times New Roman" w:hAnsi="Times New Roman"/>
          <w:color w:val="000000" w:themeColor="text1"/>
          <w:sz w:val="28"/>
        </w:rPr>
        <w:t>s</w:t>
      </w:r>
      <w:r w:rsidRPr="003E425B">
        <w:rPr>
          <w:rFonts w:ascii="Times New Roman" w:hAnsi="Times New Roman"/>
          <w:color w:val="000000" w:themeColor="text1"/>
          <w:sz w:val="28"/>
        </w:rPr>
        <w:t xml:space="preserve">. </w:t>
      </w:r>
      <w:r w:rsidRPr="003E425B">
        <w:rPr>
          <w:rFonts w:ascii="Times New Roman" w:hAnsi="Times New Roman"/>
          <w:iCs/>
          <w:color w:val="000000" w:themeColor="text1"/>
          <w:sz w:val="28"/>
        </w:rPr>
        <w:t>Una vez culmine</w:t>
      </w:r>
      <w:r w:rsidRPr="003E425B">
        <w:rPr>
          <w:rFonts w:ascii="Times New Roman" w:hAnsi="Times New Roman"/>
          <w:iCs/>
          <w:color w:val="000000" w:themeColor="text1"/>
          <w:sz w:val="28"/>
        </w:rPr>
        <w:t xml:space="preserve"> la legislatura 2025-2026, la Ley 2281 de 2023 dejará de producir efectos definitivamente y no formará parte del ordenamiento jurídico. </w:t>
      </w:r>
      <w:r w:rsidRPr="003E425B">
        <w:rPr>
          <w:rFonts w:ascii="Times New Roman" w:hAnsi="Times New Roman"/>
          <w:color w:val="000000" w:themeColor="text1"/>
          <w:sz w:val="28"/>
        </w:rPr>
        <w:t xml:space="preserve">La Sala considera que este término prudencial reduciría los riesgos de la inexequibilidad inmediata advertidos, debido a que permitiría que </w:t>
      </w:r>
      <w:r w:rsidRPr="003E425B">
        <w:rPr>
          <w:rFonts w:ascii="Times New Roman" w:hAnsi="Times New Roman"/>
          <w:i/>
          <w:iCs/>
          <w:color w:val="000000" w:themeColor="text1"/>
          <w:sz w:val="28"/>
        </w:rPr>
        <w:t>(i)</w:t>
      </w:r>
      <w:r w:rsidRPr="003E425B">
        <w:rPr>
          <w:rFonts w:ascii="Times New Roman" w:hAnsi="Times New Roman"/>
          <w:color w:val="000000" w:themeColor="text1"/>
          <w:sz w:val="28"/>
        </w:rPr>
        <w:t xml:space="preserve"> </w:t>
      </w:r>
      <w:r w:rsidRPr="003E425B">
        <w:rPr>
          <w:rFonts w:ascii="Times New Roman" w:hAnsi="Times New Roman"/>
          <w:iCs/>
          <w:color w:val="000000" w:themeColor="text1"/>
          <w:sz w:val="28"/>
        </w:rPr>
        <w:t>el Legislador, por iniciativa legislativa del Gobierno Nacional, si así lo considera, apruebe la creación del Mi</w:t>
      </w:r>
      <w:r w:rsidRPr="003E425B">
        <w:rPr>
          <w:rFonts w:ascii="Times New Roman" w:hAnsi="Times New Roman"/>
          <w:iCs/>
          <w:color w:val="000000" w:themeColor="text1"/>
          <w:sz w:val="28"/>
        </w:rPr>
        <w:t xml:space="preserve">nisterio de Igualdad y Equidad de conformidad con la totalidad de exigencias constitucionales y orgánicas o </w:t>
      </w:r>
      <w:r w:rsidRPr="003E425B">
        <w:rPr>
          <w:rFonts w:ascii="Times New Roman" w:hAnsi="Times New Roman"/>
          <w:i/>
          <w:color w:val="000000" w:themeColor="text1"/>
          <w:sz w:val="28"/>
        </w:rPr>
        <w:t>(ii)</w:t>
      </w:r>
      <w:r w:rsidRPr="003E425B">
        <w:rPr>
          <w:rFonts w:ascii="Times New Roman" w:hAnsi="Times New Roman"/>
          <w:iCs/>
          <w:color w:val="000000" w:themeColor="text1"/>
          <w:sz w:val="28"/>
        </w:rPr>
        <w:t xml:space="preserve"> en su defecto, el Gobierno Nacional tenga un tiempo prudencial para reasignar las funciones que fueron otorgadas al Ministerio de Igualdad y Eq</w:t>
      </w:r>
      <w:r w:rsidRPr="003E425B">
        <w:rPr>
          <w:rFonts w:ascii="Times New Roman" w:hAnsi="Times New Roman"/>
          <w:iCs/>
          <w:color w:val="000000" w:themeColor="text1"/>
          <w:sz w:val="28"/>
        </w:rPr>
        <w:t>uidad y llevar a cabo las modificaciones en la administración pública nacional que correspondan para garantizar la articulación de la política pública dirigida a garantizar los derechos de los sujetos de especial protección constitucional</w:t>
      </w:r>
      <w:r w:rsidRPr="003E425B">
        <w:rPr>
          <w:rStyle w:val="Refdenotaalpie"/>
          <w:rFonts w:ascii="Times New Roman" w:hAnsi="Times New Roman"/>
          <w:iCs/>
          <w:color w:val="000000" w:themeColor="text1"/>
          <w:sz w:val="28"/>
        </w:rPr>
        <w:footnoteReference w:id="445"/>
      </w:r>
      <w:r w:rsidRPr="003E425B">
        <w:rPr>
          <w:rFonts w:ascii="Times New Roman" w:hAnsi="Times New Roman"/>
          <w:iCs/>
          <w:color w:val="000000" w:themeColor="text1"/>
          <w:sz w:val="28"/>
        </w:rPr>
        <w:t xml:space="preserve">. </w:t>
      </w:r>
    </w:p>
    <w:p w:rsidR="0018045D" w:rsidRPr="003E425B" w:rsidRDefault="003E425B" w:rsidP="0018045D">
      <w:pPr>
        <w:pStyle w:val="Prrafodelista"/>
        <w:rPr>
          <w:rFonts w:ascii="Times New Roman" w:hAnsi="Times New Roman"/>
          <w:iCs/>
          <w:color w:val="000000" w:themeColor="text1"/>
          <w:sz w:val="28"/>
        </w:rPr>
      </w:pPr>
    </w:p>
    <w:p w:rsidR="001D7E8C" w:rsidRPr="003E425B" w:rsidRDefault="003E425B" w:rsidP="0018045D">
      <w:pPr>
        <w:pStyle w:val="Prrafodelista"/>
        <w:numPr>
          <w:ilvl w:val="0"/>
          <w:numId w:val="33"/>
        </w:numPr>
        <w:spacing w:line="240" w:lineRule="auto"/>
        <w:ind w:left="0" w:firstLine="0"/>
        <w:rPr>
          <w:rFonts w:ascii="Times New Roman" w:hAnsi="Times New Roman"/>
          <w:sz w:val="28"/>
          <w:lang w:eastAsia="es-MX"/>
        </w:rPr>
      </w:pPr>
      <w:r w:rsidRPr="003E425B">
        <w:rPr>
          <w:rFonts w:ascii="Times New Roman" w:hAnsi="Times New Roman"/>
          <w:iCs/>
          <w:color w:val="000000" w:themeColor="text1"/>
          <w:sz w:val="28"/>
        </w:rPr>
        <w:t>Por lo demás,</w:t>
      </w:r>
      <w:r w:rsidRPr="003E425B">
        <w:rPr>
          <w:rFonts w:ascii="Times New Roman" w:hAnsi="Times New Roman"/>
          <w:iCs/>
          <w:color w:val="000000" w:themeColor="text1"/>
          <w:sz w:val="28"/>
        </w:rPr>
        <w:t xml:space="preserve"> la Sala Plena</w:t>
      </w:r>
      <w:r w:rsidRPr="003E425B">
        <w:rPr>
          <w:rFonts w:ascii="Times New Roman" w:hAnsi="Times New Roman"/>
          <w:iCs/>
          <w:color w:val="000000" w:themeColor="text1"/>
          <w:sz w:val="28"/>
        </w:rPr>
        <w:t xml:space="preserve"> destaca</w:t>
      </w:r>
      <w:r w:rsidRPr="003E425B">
        <w:rPr>
          <w:rFonts w:ascii="Times New Roman" w:hAnsi="Times New Roman"/>
          <w:iCs/>
          <w:color w:val="000000" w:themeColor="text1"/>
          <w:sz w:val="28"/>
        </w:rPr>
        <w:t xml:space="preserve"> que este término de diferimiento es </w:t>
      </w:r>
      <w:r w:rsidRPr="003E425B">
        <w:rPr>
          <w:rFonts w:ascii="Times New Roman" w:hAnsi="Times New Roman"/>
          <w:iCs/>
          <w:color w:val="000000" w:themeColor="text1"/>
          <w:sz w:val="28"/>
        </w:rPr>
        <w:t xml:space="preserve">coherente </w:t>
      </w:r>
      <w:r w:rsidRPr="003E425B">
        <w:rPr>
          <w:rFonts w:ascii="Times New Roman" w:hAnsi="Times New Roman"/>
          <w:iCs/>
          <w:color w:val="000000" w:themeColor="text1"/>
          <w:sz w:val="28"/>
        </w:rPr>
        <w:t xml:space="preserve">con </w:t>
      </w:r>
      <w:r w:rsidRPr="003E425B">
        <w:rPr>
          <w:rFonts w:ascii="Times New Roman" w:hAnsi="Times New Roman"/>
          <w:iCs/>
          <w:color w:val="000000" w:themeColor="text1"/>
          <w:sz w:val="28"/>
        </w:rPr>
        <w:t>aquel que la</w:t>
      </w:r>
      <w:r w:rsidRPr="003E425B">
        <w:rPr>
          <w:rFonts w:ascii="Times New Roman" w:hAnsi="Times New Roman"/>
          <w:iCs/>
          <w:color w:val="000000" w:themeColor="text1"/>
          <w:sz w:val="28"/>
        </w:rPr>
        <w:t xml:space="preserve"> Corte </w:t>
      </w:r>
      <w:r w:rsidRPr="003E425B">
        <w:rPr>
          <w:rFonts w:ascii="Times New Roman" w:hAnsi="Times New Roman"/>
          <w:iCs/>
          <w:color w:val="000000" w:themeColor="text1"/>
          <w:sz w:val="28"/>
        </w:rPr>
        <w:t>dispuso</w:t>
      </w:r>
      <w:r w:rsidRPr="003E425B">
        <w:rPr>
          <w:rFonts w:ascii="Times New Roman" w:hAnsi="Times New Roman"/>
          <w:iCs/>
          <w:color w:val="000000" w:themeColor="text1"/>
          <w:sz w:val="28"/>
        </w:rPr>
        <w:t xml:space="preserve"> en la sentencia C-047 de 2021, en l</w:t>
      </w:r>
      <w:r w:rsidRPr="003E425B">
        <w:rPr>
          <w:rFonts w:ascii="Times New Roman" w:hAnsi="Times New Roman"/>
          <w:iCs/>
          <w:color w:val="000000" w:themeColor="text1"/>
          <w:sz w:val="28"/>
        </w:rPr>
        <w:t>a</w:t>
      </w:r>
      <w:r w:rsidRPr="003E425B">
        <w:rPr>
          <w:rFonts w:ascii="Times New Roman" w:hAnsi="Times New Roman"/>
          <w:iCs/>
          <w:color w:val="000000" w:themeColor="text1"/>
          <w:sz w:val="28"/>
        </w:rPr>
        <w:t xml:space="preserve"> que declaró al inexequibilidad diferida de la Ley </w:t>
      </w:r>
      <w:r w:rsidRPr="003E425B">
        <w:rPr>
          <w:rFonts w:ascii="Times New Roman" w:hAnsi="Times New Roman"/>
          <w:iCs/>
          <w:color w:val="000000" w:themeColor="text1"/>
          <w:sz w:val="28"/>
        </w:rPr>
        <w:t xml:space="preserve">1951 del 24 de enero de 2019, “por medio de la cual se crea el Ministerio de Ciencia, Tecnología e Innovación, se fortalece el Sistema Nacional de Ciencia, Tecnología e Innovación y se dictan otras disposiciones”. </w:t>
      </w:r>
      <w:r w:rsidRPr="003E425B">
        <w:rPr>
          <w:rFonts w:ascii="Times New Roman" w:hAnsi="Times New Roman"/>
          <w:iCs/>
          <w:color w:val="000000" w:themeColor="text1"/>
          <w:sz w:val="28"/>
        </w:rPr>
        <w:t xml:space="preserve">En esta decisión la Corte señaló que: </w:t>
      </w:r>
    </w:p>
    <w:p w:rsidR="00FB2647" w:rsidRPr="003E425B" w:rsidRDefault="003E425B" w:rsidP="00FB2647">
      <w:pPr>
        <w:pStyle w:val="Prrafodelista"/>
        <w:rPr>
          <w:rFonts w:ascii="Times New Roman" w:hAnsi="Times New Roman"/>
          <w:sz w:val="28"/>
          <w:lang w:eastAsia="es-MX"/>
        </w:rPr>
      </w:pPr>
    </w:p>
    <w:p w:rsidR="00FB2647" w:rsidRPr="003E425B" w:rsidRDefault="003E425B" w:rsidP="00FB2647">
      <w:pPr>
        <w:pStyle w:val="Prrafodelista"/>
        <w:spacing w:line="240" w:lineRule="auto"/>
        <w:ind w:left="737" w:right="284"/>
        <w:rPr>
          <w:rFonts w:ascii="Times New Roman" w:hAnsi="Times New Roman"/>
          <w:sz w:val="28"/>
          <w:szCs w:val="24"/>
          <w:lang w:eastAsia="es-MX"/>
        </w:rPr>
      </w:pPr>
      <w:r w:rsidRPr="003E425B">
        <w:rPr>
          <w:rFonts w:ascii="Times New Roman" w:hAnsi="Times New Roman"/>
          <w:sz w:val="28"/>
          <w:szCs w:val="24"/>
          <w:lang w:val="es-ES_tradnl" w:eastAsia="es-MX"/>
        </w:rPr>
        <w:t>“D</w:t>
      </w:r>
      <w:r w:rsidRPr="003E425B">
        <w:rPr>
          <w:rFonts w:ascii="Times New Roman" w:hAnsi="Times New Roman"/>
          <w:sz w:val="28"/>
          <w:szCs w:val="24"/>
          <w:lang w:val="es-ES_tradnl" w:eastAsia="es-MX"/>
        </w:rPr>
        <w:t>e </w:t>
      </w:r>
      <w:r w:rsidRPr="003E425B">
        <w:rPr>
          <w:rFonts w:ascii="Times New Roman" w:hAnsi="Times New Roman"/>
          <w:sz w:val="28"/>
          <w:szCs w:val="24"/>
          <w:lang w:eastAsia="es-MX"/>
        </w:rPr>
        <w:t>acuerdo con lo expuesto, dado que la Ley 1951 de 2019 no reguló la estructura orgánica del Ministerio de Ciencia, Tecnología e Innovación, el cargo por violación del art. 150.7 de la Constitución prospera y, por tanto, es procedente su inexequibilidad. N</w:t>
      </w:r>
      <w:r w:rsidRPr="003E425B">
        <w:rPr>
          <w:rFonts w:ascii="Times New Roman" w:hAnsi="Times New Roman"/>
          <w:sz w:val="28"/>
          <w:szCs w:val="24"/>
          <w:lang w:eastAsia="es-MX"/>
        </w:rPr>
        <w:t>o obstante, en atención a la </w:t>
      </w:r>
      <w:r w:rsidRPr="003E425B">
        <w:rPr>
          <w:rFonts w:ascii="Times New Roman" w:hAnsi="Times New Roman"/>
          <w:sz w:val="28"/>
          <w:szCs w:val="24"/>
          <w:lang w:val="es-ES_tradnl" w:eastAsia="es-MX"/>
        </w:rPr>
        <w:t>necesidad de no afectar gravemente la continuidad en el cumplimiento de las finalidades constitucionales del citado ministerio, en los términos del art. 70 de la Constitución, y los derechos de las personas vinculadas a la enti</w:t>
      </w:r>
      <w:r w:rsidRPr="003E425B">
        <w:rPr>
          <w:rFonts w:ascii="Times New Roman" w:hAnsi="Times New Roman"/>
          <w:sz w:val="28"/>
          <w:szCs w:val="24"/>
          <w:lang w:val="es-ES_tradnl" w:eastAsia="es-MX"/>
        </w:rPr>
        <w:t>dad y a los programas y proyectos que desarrolla en materia de ciencia, tecnología e innovación, </w:t>
      </w:r>
      <w:r w:rsidRPr="003E425B">
        <w:rPr>
          <w:rFonts w:ascii="Times New Roman" w:hAnsi="Times New Roman"/>
          <w:sz w:val="28"/>
          <w:szCs w:val="24"/>
          <w:lang w:eastAsia="es-MX"/>
        </w:rPr>
        <w:t>la </w:t>
      </w:r>
      <w:r w:rsidRPr="003E425B">
        <w:rPr>
          <w:rFonts w:ascii="Times New Roman" w:hAnsi="Times New Roman"/>
          <w:sz w:val="28"/>
          <w:szCs w:val="24"/>
          <w:lang w:val="es-ES_tradnl" w:eastAsia="es-MX"/>
        </w:rPr>
        <w:t xml:space="preserve">inexequibilidad se declarará con efectos </w:t>
      </w:r>
      <w:r w:rsidRPr="003E425B">
        <w:rPr>
          <w:rFonts w:ascii="Times New Roman" w:hAnsi="Times New Roman"/>
          <w:b/>
          <w:bCs/>
          <w:sz w:val="28"/>
          <w:szCs w:val="24"/>
          <w:u w:val="single"/>
          <w:lang w:val="es-ES_tradnl" w:eastAsia="es-MX"/>
        </w:rPr>
        <w:t>diferidos a dos legislaturas completas</w:t>
      </w:r>
      <w:r w:rsidRPr="003E425B">
        <w:rPr>
          <w:rFonts w:ascii="Times New Roman" w:hAnsi="Times New Roman"/>
          <w:sz w:val="28"/>
          <w:szCs w:val="24"/>
          <w:lang w:val="es-ES_tradnl" w:eastAsia="es-MX"/>
        </w:rPr>
        <w:t xml:space="preserve">, contadas a partir del 20 de julio de 2021. En relación con esto último, es </w:t>
      </w:r>
      <w:r w:rsidRPr="003E425B">
        <w:rPr>
          <w:rFonts w:ascii="Times New Roman" w:hAnsi="Times New Roman"/>
          <w:sz w:val="28"/>
          <w:szCs w:val="24"/>
          <w:lang w:val="es-ES_tradnl" w:eastAsia="es-MX"/>
        </w:rPr>
        <w:t>importante resaltar que l</w:t>
      </w:r>
      <w:r w:rsidRPr="003E425B">
        <w:rPr>
          <w:rFonts w:ascii="Times New Roman" w:hAnsi="Times New Roman"/>
          <w:sz w:val="28"/>
          <w:szCs w:val="24"/>
          <w:lang w:eastAsia="es-MX"/>
        </w:rPr>
        <w:t xml:space="preserve">a Corte ha diferido los efectos de la inexequibilidad de algunas de sus providencias para precaver que una expulsión automática de la disposición o de la ley comprometa gravemente otros principios y valores constitucionales, razón </w:t>
      </w:r>
      <w:r w:rsidRPr="003E425B">
        <w:rPr>
          <w:rFonts w:ascii="Times New Roman" w:hAnsi="Times New Roman"/>
          <w:sz w:val="28"/>
          <w:szCs w:val="24"/>
          <w:lang w:eastAsia="es-MX"/>
        </w:rPr>
        <w:t>que justifica otorgar un término prudencial al Legislador para que enmiende la inconstitucionalidad evidenciada” (subrayados fuera del texto).</w:t>
      </w:r>
    </w:p>
    <w:p w:rsidR="00FB2647" w:rsidRPr="003E425B" w:rsidRDefault="003E425B" w:rsidP="00FB2647">
      <w:pPr>
        <w:ind w:right="284"/>
        <w:rPr>
          <w:rFonts w:ascii="Times New Roman" w:hAnsi="Times New Roman" w:cs="Times New Roman"/>
          <w:sz w:val="28"/>
          <w:szCs w:val="24"/>
          <w:lang w:eastAsia="es-MX"/>
        </w:rPr>
      </w:pPr>
    </w:p>
    <w:p w:rsidR="00FB2647" w:rsidRPr="003E425B" w:rsidRDefault="003E425B" w:rsidP="00FB2647">
      <w:pPr>
        <w:pStyle w:val="Prrafodelista"/>
        <w:numPr>
          <w:ilvl w:val="0"/>
          <w:numId w:val="33"/>
        </w:numPr>
        <w:spacing w:line="240" w:lineRule="auto"/>
        <w:ind w:left="0" w:firstLine="0"/>
        <w:rPr>
          <w:rFonts w:ascii="Times New Roman" w:hAnsi="Times New Roman"/>
          <w:color w:val="000000" w:themeColor="text1"/>
          <w:sz w:val="28"/>
        </w:rPr>
      </w:pPr>
      <w:r w:rsidRPr="003E425B">
        <w:rPr>
          <w:rFonts w:ascii="Times New Roman" w:hAnsi="Times New Roman"/>
          <w:color w:val="000000" w:themeColor="text1"/>
          <w:sz w:val="28"/>
        </w:rPr>
        <w:t xml:space="preserve">La Sala Plena reconoce que el fundamento de la declaratoria de inexequibilidad </w:t>
      </w:r>
      <w:r w:rsidRPr="003E425B">
        <w:rPr>
          <w:rFonts w:ascii="Times New Roman" w:hAnsi="Times New Roman"/>
          <w:color w:val="000000" w:themeColor="text1"/>
          <w:sz w:val="28"/>
        </w:rPr>
        <w:t>de la Ley 1951 de 20</w:t>
      </w:r>
      <w:r w:rsidRPr="003E425B">
        <w:rPr>
          <w:rFonts w:ascii="Times New Roman" w:hAnsi="Times New Roman"/>
          <w:color w:val="000000" w:themeColor="text1"/>
          <w:sz w:val="28"/>
        </w:rPr>
        <w:t>1</w:t>
      </w:r>
      <w:r w:rsidRPr="003E425B">
        <w:rPr>
          <w:rFonts w:ascii="Times New Roman" w:hAnsi="Times New Roman"/>
          <w:color w:val="000000" w:themeColor="text1"/>
          <w:sz w:val="28"/>
        </w:rPr>
        <w:t xml:space="preserve">9 </w:t>
      </w:r>
      <w:r w:rsidRPr="003E425B">
        <w:rPr>
          <w:rFonts w:ascii="Times New Roman" w:hAnsi="Times New Roman"/>
          <w:color w:val="000000" w:themeColor="text1"/>
          <w:sz w:val="28"/>
        </w:rPr>
        <w:t>en la sent</w:t>
      </w:r>
      <w:r w:rsidRPr="003E425B">
        <w:rPr>
          <w:rFonts w:ascii="Times New Roman" w:hAnsi="Times New Roman"/>
          <w:color w:val="000000" w:themeColor="text1"/>
          <w:sz w:val="28"/>
        </w:rPr>
        <w:t xml:space="preserve">encia C-047 de 2021 es distinto al que ahora sustenta </w:t>
      </w:r>
      <w:r w:rsidRPr="003E425B">
        <w:rPr>
          <w:rFonts w:ascii="Times New Roman" w:hAnsi="Times New Roman"/>
          <w:color w:val="000000" w:themeColor="text1"/>
          <w:sz w:val="28"/>
        </w:rPr>
        <w:t>la inexequibilidad de la Ley 2281 de 2023. Con todo, la Corte considera que la sentencia C-047 de 2021 es un precedente relevante en cuanto al término del diferimiento, debido a que, precisamente, el di</w:t>
      </w:r>
      <w:r w:rsidRPr="003E425B">
        <w:rPr>
          <w:rFonts w:ascii="Times New Roman" w:hAnsi="Times New Roman"/>
          <w:color w:val="000000" w:themeColor="text1"/>
          <w:sz w:val="28"/>
        </w:rPr>
        <w:t xml:space="preserve">ferimiento </w:t>
      </w:r>
      <w:r w:rsidRPr="003E425B">
        <w:rPr>
          <w:rFonts w:ascii="Times New Roman" w:hAnsi="Times New Roman"/>
          <w:color w:val="000000" w:themeColor="text1"/>
          <w:sz w:val="28"/>
        </w:rPr>
        <w:t>se basó en la misma consideración</w:t>
      </w:r>
      <w:r w:rsidRPr="003E425B">
        <w:rPr>
          <w:rFonts w:ascii="Times New Roman" w:hAnsi="Times New Roman"/>
          <w:color w:val="000000" w:themeColor="text1"/>
          <w:sz w:val="28"/>
        </w:rPr>
        <w:t xml:space="preserve">: la expulsión inmediata de la Ley </w:t>
      </w:r>
      <w:r w:rsidRPr="003E425B">
        <w:rPr>
          <w:rFonts w:ascii="Times New Roman" w:hAnsi="Times New Roman"/>
          <w:color w:val="000000" w:themeColor="text1"/>
          <w:sz w:val="28"/>
        </w:rPr>
        <w:t>podría afectar gravemente la continuidad en el cumplimiento de las finalidades constitucionales de</w:t>
      </w:r>
      <w:r w:rsidRPr="003E425B">
        <w:rPr>
          <w:rFonts w:ascii="Times New Roman" w:hAnsi="Times New Roman"/>
          <w:color w:val="000000" w:themeColor="text1"/>
          <w:sz w:val="28"/>
        </w:rPr>
        <w:t xml:space="preserve"> un</w:t>
      </w:r>
      <w:r w:rsidRPr="003E425B">
        <w:rPr>
          <w:rFonts w:ascii="Times New Roman" w:hAnsi="Times New Roman"/>
          <w:color w:val="000000" w:themeColor="text1"/>
          <w:sz w:val="28"/>
        </w:rPr>
        <w:t xml:space="preserve"> ministerio, así como los derechos de las personas que se benefician de sus </w:t>
      </w:r>
      <w:r w:rsidRPr="003E425B">
        <w:rPr>
          <w:rFonts w:ascii="Times New Roman" w:hAnsi="Times New Roman"/>
          <w:color w:val="000000" w:themeColor="text1"/>
          <w:sz w:val="28"/>
        </w:rPr>
        <w:t xml:space="preserve">programas. </w:t>
      </w:r>
      <w:r w:rsidRPr="003E425B">
        <w:rPr>
          <w:rFonts w:ascii="Times New Roman" w:hAnsi="Times New Roman"/>
          <w:color w:val="000000" w:themeColor="text1"/>
          <w:sz w:val="28"/>
        </w:rPr>
        <w:t xml:space="preserve">Con fundamento en tales consideraciones, la Corte concluye que el diferimiento de la inexequibilidad </w:t>
      </w:r>
      <w:r w:rsidRPr="003E425B">
        <w:rPr>
          <w:rFonts w:ascii="Times New Roman" w:hAnsi="Times New Roman"/>
          <w:color w:val="000000" w:themeColor="text1"/>
          <w:sz w:val="28"/>
        </w:rPr>
        <w:t xml:space="preserve">de la Ley 2281 de 2023, </w:t>
      </w:r>
      <w:r w:rsidRPr="003E425B">
        <w:rPr>
          <w:rFonts w:ascii="Times New Roman" w:hAnsi="Times New Roman"/>
          <w:color w:val="000000" w:themeColor="text1"/>
          <w:sz w:val="28"/>
        </w:rPr>
        <w:t>por dos legislaturas</w:t>
      </w:r>
      <w:r w:rsidRPr="003E425B">
        <w:rPr>
          <w:rFonts w:ascii="Times New Roman" w:hAnsi="Times New Roman"/>
          <w:color w:val="000000" w:themeColor="text1"/>
          <w:sz w:val="28"/>
        </w:rPr>
        <w:t>, se justifica</w:t>
      </w:r>
      <w:r w:rsidRPr="003E425B">
        <w:rPr>
          <w:rFonts w:ascii="Times New Roman" w:hAnsi="Times New Roman"/>
          <w:color w:val="000000" w:themeColor="text1"/>
          <w:sz w:val="28"/>
        </w:rPr>
        <w:t xml:space="preserve"> y es necesario</w:t>
      </w:r>
      <w:r w:rsidRPr="003E425B">
        <w:rPr>
          <w:rFonts w:ascii="Times New Roman" w:hAnsi="Times New Roman"/>
          <w:color w:val="000000" w:themeColor="text1"/>
          <w:sz w:val="28"/>
        </w:rPr>
        <w:t xml:space="preserve"> en este caso. </w:t>
      </w:r>
    </w:p>
    <w:p w:rsidR="00226670" w:rsidRPr="003E425B" w:rsidRDefault="003E425B" w:rsidP="00BA1AC2">
      <w:pPr>
        <w:pStyle w:val="Prrafodelista"/>
        <w:spacing w:line="240" w:lineRule="auto"/>
        <w:ind w:left="0"/>
        <w:rPr>
          <w:rFonts w:ascii="Times New Roman" w:hAnsi="Times New Roman"/>
          <w:b/>
          <w:bCs/>
          <w:color w:val="000000" w:themeColor="text1"/>
          <w:sz w:val="28"/>
        </w:rPr>
      </w:pPr>
    </w:p>
    <w:p w:rsidR="001D7E8C" w:rsidRPr="003E425B" w:rsidRDefault="003E425B" w:rsidP="00010108">
      <w:pPr>
        <w:rPr>
          <w:rFonts w:ascii="Times New Roman" w:hAnsi="Times New Roman" w:cs="Times New Roman"/>
          <w:b/>
          <w:bCs/>
          <w:color w:val="000000" w:themeColor="text1"/>
          <w:sz w:val="28"/>
        </w:rPr>
      </w:pPr>
      <w:r w:rsidRPr="003E425B">
        <w:rPr>
          <w:rFonts w:ascii="Times New Roman" w:hAnsi="Times New Roman" w:cs="Times New Roman"/>
          <w:b/>
          <w:bCs/>
          <w:color w:val="000000" w:themeColor="text1"/>
          <w:sz w:val="28"/>
        </w:rPr>
        <w:t>I</w:t>
      </w:r>
      <w:r w:rsidRPr="003E425B">
        <w:rPr>
          <w:rFonts w:ascii="Times New Roman" w:hAnsi="Times New Roman" w:cs="Times New Roman"/>
          <w:b/>
          <w:bCs/>
          <w:color w:val="000000" w:themeColor="text1"/>
          <w:sz w:val="28"/>
        </w:rPr>
        <w:t>II</w:t>
      </w:r>
      <w:r w:rsidRPr="003E425B">
        <w:rPr>
          <w:rFonts w:ascii="Times New Roman" w:hAnsi="Times New Roman" w:cs="Times New Roman"/>
          <w:b/>
          <w:bCs/>
          <w:color w:val="000000" w:themeColor="text1"/>
          <w:sz w:val="28"/>
        </w:rPr>
        <w:t xml:space="preserve">. DECISIÓN </w:t>
      </w:r>
    </w:p>
    <w:p w:rsidR="001D7E8C" w:rsidRPr="003E425B" w:rsidRDefault="003E425B" w:rsidP="00010108">
      <w:pPr>
        <w:rPr>
          <w:rFonts w:ascii="Times New Roman" w:hAnsi="Times New Roman" w:cs="Times New Roman"/>
          <w:sz w:val="28"/>
        </w:rPr>
      </w:pPr>
    </w:p>
    <w:p w:rsidR="001D7E8C" w:rsidRPr="003E425B" w:rsidRDefault="003E425B" w:rsidP="00010108">
      <w:pP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 xml:space="preserve">La Corte Constitucional de Colombia, </w:t>
      </w:r>
      <w:r w:rsidRPr="003E425B">
        <w:rPr>
          <w:rFonts w:ascii="Times New Roman" w:hAnsi="Times New Roman" w:cs="Times New Roman"/>
          <w:color w:val="000000" w:themeColor="text1"/>
          <w:sz w:val="28"/>
        </w:rPr>
        <w:t>administrando justicia en nombre del pueblo y por mandato de la Constitución,</w:t>
      </w:r>
    </w:p>
    <w:p w:rsidR="001D7E8C" w:rsidRPr="003E425B" w:rsidRDefault="003E425B" w:rsidP="00010108">
      <w:pPr>
        <w:pStyle w:val="Prrafodelista"/>
        <w:spacing w:line="240" w:lineRule="auto"/>
        <w:rPr>
          <w:rFonts w:ascii="Times New Roman" w:hAnsi="Times New Roman"/>
          <w:color w:val="000000" w:themeColor="text1"/>
          <w:sz w:val="28"/>
        </w:rPr>
      </w:pPr>
      <w:r w:rsidRPr="003E425B">
        <w:rPr>
          <w:rFonts w:ascii="Times New Roman" w:hAnsi="Times New Roman"/>
          <w:color w:val="000000" w:themeColor="text1"/>
          <w:sz w:val="28"/>
        </w:rPr>
        <w:t> </w:t>
      </w:r>
    </w:p>
    <w:p w:rsidR="001D7E8C" w:rsidRPr="003E425B" w:rsidRDefault="003E425B" w:rsidP="00010108">
      <w:pPr>
        <w:pStyle w:val="Prrafodelista"/>
        <w:spacing w:line="240" w:lineRule="auto"/>
        <w:jc w:val="center"/>
        <w:rPr>
          <w:rFonts w:ascii="Times New Roman" w:hAnsi="Times New Roman"/>
          <w:color w:val="000000" w:themeColor="text1"/>
          <w:sz w:val="28"/>
        </w:rPr>
      </w:pPr>
      <w:r w:rsidRPr="003E425B">
        <w:rPr>
          <w:rFonts w:ascii="Times New Roman" w:hAnsi="Times New Roman"/>
          <w:b/>
          <w:bCs/>
          <w:color w:val="000000" w:themeColor="text1"/>
          <w:sz w:val="28"/>
        </w:rPr>
        <w:t>RESUELVE:</w:t>
      </w:r>
    </w:p>
    <w:p w:rsidR="001D7E8C" w:rsidRPr="003E425B" w:rsidRDefault="003E425B" w:rsidP="00010108">
      <w:pPr>
        <w:pStyle w:val="Prrafodelista"/>
        <w:spacing w:line="240" w:lineRule="auto"/>
        <w:rPr>
          <w:rFonts w:ascii="Times New Roman" w:hAnsi="Times New Roman"/>
          <w:color w:val="000000" w:themeColor="text1"/>
          <w:sz w:val="28"/>
        </w:rPr>
      </w:pPr>
    </w:p>
    <w:p w:rsidR="00BB5E7E" w:rsidRPr="003E425B" w:rsidRDefault="003E425B" w:rsidP="00BB5E7E">
      <w:pPr>
        <w:pStyle w:val="Prrafodelista"/>
        <w:rPr>
          <w:rFonts w:ascii="Times New Roman" w:hAnsi="Times New Roman"/>
          <w:b/>
          <w:bCs/>
          <w:color w:val="000000" w:themeColor="text1"/>
          <w:sz w:val="28"/>
        </w:rPr>
      </w:pPr>
    </w:p>
    <w:p w:rsidR="00BB5E7E" w:rsidRPr="003E425B" w:rsidRDefault="003E425B" w:rsidP="00BB5E7E">
      <w:pPr>
        <w:rPr>
          <w:rFonts w:ascii="Times New Roman" w:hAnsi="Times New Roman" w:cs="Times New Roman"/>
          <w:b/>
          <w:bCs/>
          <w:color w:val="000000" w:themeColor="text1"/>
          <w:sz w:val="28"/>
        </w:rPr>
      </w:pPr>
      <w:r w:rsidRPr="003E425B">
        <w:rPr>
          <w:rFonts w:ascii="Times New Roman" w:hAnsi="Times New Roman" w:cs="Times New Roman"/>
          <w:b/>
          <w:bCs/>
          <w:color w:val="000000" w:themeColor="text1"/>
          <w:sz w:val="28"/>
        </w:rPr>
        <w:t xml:space="preserve">PRIMERO. </w:t>
      </w:r>
      <w:r w:rsidRPr="003E425B">
        <w:rPr>
          <w:rFonts w:ascii="Times New Roman" w:hAnsi="Times New Roman" w:cs="Times New Roman"/>
          <w:color w:val="000000" w:themeColor="text1"/>
          <w:sz w:val="28"/>
        </w:rPr>
        <w:t>Declarar</w:t>
      </w:r>
      <w:r w:rsidRPr="003E425B">
        <w:rPr>
          <w:rFonts w:ascii="Times New Roman" w:hAnsi="Times New Roman" w:cs="Times New Roman"/>
          <w:b/>
          <w:bCs/>
          <w:color w:val="000000" w:themeColor="text1"/>
          <w:sz w:val="28"/>
        </w:rPr>
        <w:t xml:space="preserve"> </w:t>
      </w:r>
      <w:r w:rsidRPr="003E425B">
        <w:rPr>
          <w:rFonts w:ascii="Times New Roman" w:hAnsi="Times New Roman" w:cs="Times New Roman"/>
          <w:b/>
          <w:bCs/>
          <w:color w:val="000000" w:themeColor="text1"/>
          <w:sz w:val="28"/>
        </w:rPr>
        <w:t xml:space="preserve">INEXEQUIBLE </w:t>
      </w:r>
      <w:r w:rsidRPr="003E425B">
        <w:rPr>
          <w:rFonts w:ascii="Times New Roman" w:hAnsi="Times New Roman" w:cs="Times New Roman"/>
          <w:color w:val="000000" w:themeColor="text1"/>
          <w:sz w:val="28"/>
        </w:rPr>
        <w:t xml:space="preserve">la Ley 2281 de 2023, “[p]or medio de la cual se crea el Ministerio de Igualdad y Equidad y se dictan otras disposiciones”, por vicios </w:t>
      </w:r>
      <w:r w:rsidRPr="003E425B">
        <w:rPr>
          <w:rFonts w:ascii="Times New Roman" w:hAnsi="Times New Roman" w:cs="Times New Roman"/>
          <w:color w:val="000000" w:themeColor="text1"/>
          <w:sz w:val="28"/>
        </w:rPr>
        <w:t>de procedimiento en su formación.</w:t>
      </w:r>
    </w:p>
    <w:p w:rsidR="00BB5E7E" w:rsidRPr="003E425B" w:rsidRDefault="003E425B" w:rsidP="00BB5E7E">
      <w:pPr>
        <w:rPr>
          <w:rFonts w:ascii="Times New Roman" w:hAnsi="Times New Roman" w:cs="Times New Roman"/>
          <w:b/>
          <w:bCs/>
          <w:color w:val="000000" w:themeColor="text1"/>
          <w:sz w:val="28"/>
        </w:rPr>
      </w:pPr>
    </w:p>
    <w:p w:rsidR="001D7E8C" w:rsidRPr="003E425B" w:rsidRDefault="003E425B" w:rsidP="00BB5E7E">
      <w:pPr>
        <w:rPr>
          <w:rFonts w:ascii="Times New Roman" w:hAnsi="Times New Roman" w:cs="Times New Roman"/>
          <w:b/>
          <w:bCs/>
          <w:color w:val="000000" w:themeColor="text1"/>
          <w:sz w:val="28"/>
        </w:rPr>
      </w:pPr>
      <w:r w:rsidRPr="003E425B">
        <w:rPr>
          <w:rFonts w:ascii="Times New Roman" w:hAnsi="Times New Roman" w:cs="Times New Roman"/>
          <w:b/>
          <w:bCs/>
          <w:color w:val="000000" w:themeColor="text1"/>
          <w:sz w:val="28"/>
        </w:rPr>
        <w:t>SEGUNDO.</w:t>
      </w:r>
      <w:r w:rsidRPr="003E425B">
        <w:rPr>
          <w:rFonts w:ascii="Times New Roman" w:hAnsi="Times New Roman" w:cs="Times New Roman"/>
          <w:b/>
          <w:bCs/>
          <w:color w:val="000000" w:themeColor="text1"/>
          <w:sz w:val="28"/>
        </w:rPr>
        <w:t xml:space="preserve"> </w:t>
      </w:r>
      <w:r w:rsidRPr="003E425B">
        <w:rPr>
          <w:rFonts w:ascii="Times New Roman" w:hAnsi="Times New Roman" w:cs="Times New Roman"/>
          <w:b/>
          <w:bCs/>
          <w:color w:val="000000" w:themeColor="text1"/>
          <w:sz w:val="28"/>
        </w:rPr>
        <w:t>DIFERIR</w:t>
      </w:r>
      <w:r w:rsidRPr="003E425B">
        <w:rPr>
          <w:rFonts w:ascii="Times New Roman" w:hAnsi="Times New Roman" w:cs="Times New Roman"/>
          <w:b/>
          <w:bCs/>
          <w:color w:val="000000" w:themeColor="text1"/>
          <w:sz w:val="28"/>
        </w:rPr>
        <w:t xml:space="preserve"> </w:t>
      </w:r>
      <w:r w:rsidRPr="003E425B">
        <w:rPr>
          <w:rFonts w:ascii="Times New Roman" w:hAnsi="Times New Roman" w:cs="Times New Roman"/>
          <w:color w:val="000000" w:themeColor="text1"/>
          <w:sz w:val="28"/>
        </w:rPr>
        <w:t>los efectos de la presente decisió</w:t>
      </w:r>
      <w:r w:rsidRPr="003E425B">
        <w:rPr>
          <w:rFonts w:ascii="Times New Roman" w:hAnsi="Times New Roman" w:cs="Times New Roman"/>
          <w:color w:val="000000" w:themeColor="text1"/>
          <w:sz w:val="28"/>
        </w:rPr>
        <w:t>n, por el término de dos (2) legislaturas, contadas a partir del 20 de julio 2024. Una vez culmine la legislatura 2025-2026, la Ley 2281 de 2023 dejará de</w:t>
      </w:r>
      <w:r w:rsidRPr="003E425B">
        <w:rPr>
          <w:rFonts w:ascii="Times New Roman" w:hAnsi="Times New Roman" w:cs="Times New Roman"/>
          <w:color w:val="000000" w:themeColor="text1"/>
          <w:sz w:val="28"/>
        </w:rPr>
        <w:t xml:space="preserve"> producir efectos definitivamente y no formará parte del ordenamiento jurídico.</w:t>
      </w:r>
    </w:p>
    <w:p w:rsidR="00BB5E7E" w:rsidRPr="003E425B" w:rsidRDefault="003E425B" w:rsidP="00BB5E7E">
      <w:pPr>
        <w:rPr>
          <w:rFonts w:ascii="Times New Roman" w:hAnsi="Times New Roman" w:cs="Times New Roman"/>
          <w:color w:val="000000" w:themeColor="text1"/>
          <w:sz w:val="28"/>
        </w:rPr>
      </w:pPr>
    </w:p>
    <w:p w:rsidR="001D7E8C" w:rsidRPr="003E425B" w:rsidRDefault="003E425B" w:rsidP="00010108">
      <w:pP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Notifíquese, comuníquese y cúmplase,</w:t>
      </w:r>
      <w:r w:rsidRPr="003E425B">
        <w:rPr>
          <w:rFonts w:ascii="Times New Roman" w:hAnsi="Times New Roman" w:cs="Times New Roman"/>
          <w:color w:val="000000" w:themeColor="text1"/>
          <w:sz w:val="28"/>
        </w:rPr>
        <w:t xml:space="preserve"> </w:t>
      </w:r>
    </w:p>
    <w:p w:rsidR="00CA1B55" w:rsidRPr="003E425B" w:rsidRDefault="003E425B" w:rsidP="00010108">
      <w:pPr>
        <w:rPr>
          <w:rFonts w:ascii="Times New Roman" w:hAnsi="Times New Roman" w:cs="Times New Roman"/>
          <w:color w:val="000000" w:themeColor="text1"/>
          <w:sz w:val="28"/>
        </w:rPr>
      </w:pPr>
    </w:p>
    <w:p w:rsidR="00CA1B55" w:rsidRPr="003E425B" w:rsidRDefault="003E425B" w:rsidP="00010108">
      <w:pP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JOSE FERNANDO REYES CUARTAS</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Presidente</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NATALIA ÁNGEL CABO</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Magistrada</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JUAN CARLOS CORTÉS GONZÁLEZ</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Magistrado</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 xml:space="preserve">DIANA FAJARDO </w:t>
      </w:r>
      <w:r w:rsidRPr="003E425B">
        <w:rPr>
          <w:rFonts w:ascii="Times New Roman" w:hAnsi="Times New Roman" w:cs="Times New Roman"/>
          <w:color w:val="000000" w:themeColor="text1"/>
          <w:sz w:val="28"/>
        </w:rPr>
        <w:t>RIVERA</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Magistrada</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VLADIMIR FERNÁNDEZ ANDRADE</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Magistrado</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Con impedimento aceptado</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JORGE ENRIQUE IBÁÑEZ NAJAR</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Magistrado</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Con salvamento parcial de voto y aclaración de voto</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ANTONIO JOSÉ LIZARAZO OCAMPO</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Magistrado</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PAOLA ANDREA MENESES MOSQUERA</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Magistrada</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CRISTINA PARDO SCHLESINGER</w:t>
      </w: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Magistrada</w:t>
      </w: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p>
    <w:p w:rsidR="00CA1B55"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ANDREA LILIANA ROMERO LOPEZ</w:t>
      </w:r>
    </w:p>
    <w:p w:rsidR="00E4520F" w:rsidRPr="003E425B" w:rsidRDefault="003E425B" w:rsidP="00CA1B55">
      <w:pPr>
        <w:jc w:val="cente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t>Secretaria General</w:t>
      </w:r>
    </w:p>
    <w:p w:rsidR="00E4520F" w:rsidRPr="003E425B" w:rsidRDefault="003E425B">
      <w:pPr>
        <w:rPr>
          <w:rFonts w:ascii="Times New Roman" w:hAnsi="Times New Roman" w:cs="Times New Roman"/>
          <w:color w:val="000000" w:themeColor="text1"/>
          <w:sz w:val="28"/>
        </w:rPr>
      </w:pPr>
      <w:r w:rsidRPr="003E425B">
        <w:rPr>
          <w:rFonts w:ascii="Times New Roman" w:hAnsi="Times New Roman" w:cs="Times New Roman"/>
          <w:color w:val="000000" w:themeColor="text1"/>
          <w:sz w:val="28"/>
        </w:rPr>
        <w:br w:type="page"/>
      </w:r>
    </w:p>
    <w:p w:rsidR="00E4520F" w:rsidRPr="003E425B" w:rsidRDefault="003E425B" w:rsidP="00CA1B55">
      <w:pPr>
        <w:jc w:val="center"/>
        <w:rPr>
          <w:rFonts w:ascii="Times New Roman" w:hAnsi="Times New Roman" w:cs="Times New Roman"/>
          <w:color w:val="000000" w:themeColor="text1"/>
          <w:sz w:val="28"/>
        </w:rPr>
      </w:pPr>
    </w:p>
    <w:tbl>
      <w:tblPr>
        <w:tblStyle w:val="Tablaconcuadrcula"/>
        <w:tblW w:w="5000" w:type="pct"/>
        <w:tblLook w:val="04A0" w:firstRow="1" w:lastRow="0" w:firstColumn="1" w:lastColumn="0" w:noHBand="0" w:noVBand="1"/>
      </w:tblPr>
      <w:tblGrid>
        <w:gridCol w:w="454"/>
        <w:gridCol w:w="2711"/>
        <w:gridCol w:w="6261"/>
        <w:gridCol w:w="1326"/>
        <w:gridCol w:w="4820"/>
        <w:gridCol w:w="1742"/>
      </w:tblGrid>
      <w:tr w:rsidR="00E4520F" w:rsidRPr="003E425B" w:rsidTr="00E4520F">
        <w:tc>
          <w:tcPr>
            <w:tcW w:w="131" w:type="pct"/>
            <w:shd w:val="clear" w:color="auto" w:fill="D9D9D9" w:themeFill="background1" w:themeFillShade="D9"/>
            <w:vAlign w:val="center"/>
          </w:tcPr>
          <w:p w:rsidR="00E4520F" w:rsidRPr="003E425B" w:rsidRDefault="003E425B" w:rsidP="00974D25">
            <w:pPr>
              <w:jc w:val="center"/>
              <w:rPr>
                <w:rFonts w:ascii="Times New Roman" w:hAnsi="Times New Roman" w:cs="Times New Roman"/>
                <w:b/>
                <w:bCs/>
                <w:sz w:val="28"/>
              </w:rPr>
            </w:pPr>
            <w:r w:rsidRPr="003E425B">
              <w:rPr>
                <w:rFonts w:ascii="Times New Roman" w:hAnsi="Times New Roman" w:cs="Times New Roman"/>
                <w:b/>
                <w:bCs/>
                <w:sz w:val="28"/>
              </w:rPr>
              <w:t>#</w:t>
            </w:r>
          </w:p>
        </w:tc>
        <w:tc>
          <w:tcPr>
            <w:tcW w:w="783" w:type="pct"/>
            <w:shd w:val="clear" w:color="auto" w:fill="D9D9D9" w:themeFill="background1" w:themeFillShade="D9"/>
            <w:vAlign w:val="center"/>
          </w:tcPr>
          <w:p w:rsidR="00E4520F" w:rsidRPr="003E425B" w:rsidRDefault="003E425B" w:rsidP="00974D25">
            <w:pPr>
              <w:jc w:val="center"/>
              <w:rPr>
                <w:rFonts w:ascii="Times New Roman" w:hAnsi="Times New Roman" w:cs="Times New Roman"/>
                <w:b/>
                <w:bCs/>
                <w:sz w:val="28"/>
              </w:rPr>
            </w:pPr>
            <w:r w:rsidRPr="003E425B">
              <w:rPr>
                <w:rFonts w:ascii="Times New Roman" w:hAnsi="Times New Roman" w:cs="Times New Roman"/>
                <w:b/>
                <w:bCs/>
                <w:sz w:val="28"/>
              </w:rPr>
              <w:t>Interviniente</w:t>
            </w:r>
          </w:p>
        </w:tc>
        <w:tc>
          <w:tcPr>
            <w:tcW w:w="2191" w:type="pct"/>
            <w:gridSpan w:val="2"/>
            <w:shd w:val="clear" w:color="auto" w:fill="D9D9D9" w:themeFill="background1" w:themeFillShade="D9"/>
            <w:vAlign w:val="center"/>
          </w:tcPr>
          <w:p w:rsidR="00E4520F" w:rsidRPr="003E425B" w:rsidRDefault="003E425B" w:rsidP="00974D25">
            <w:pPr>
              <w:jc w:val="center"/>
              <w:rPr>
                <w:rFonts w:ascii="Times New Roman" w:hAnsi="Times New Roman" w:cs="Times New Roman"/>
                <w:b/>
                <w:bCs/>
                <w:sz w:val="28"/>
              </w:rPr>
            </w:pPr>
            <w:r w:rsidRPr="003E425B">
              <w:rPr>
                <w:rFonts w:ascii="Times New Roman" w:hAnsi="Times New Roman" w:cs="Times New Roman"/>
                <w:b/>
                <w:bCs/>
                <w:sz w:val="28"/>
              </w:rPr>
              <w:t>Cargos por vicios de procedimiento (contra la totalidad de la Ley 2281 de 2023)</w:t>
            </w:r>
          </w:p>
        </w:tc>
        <w:tc>
          <w:tcPr>
            <w:tcW w:w="1392" w:type="pct"/>
            <w:shd w:val="clear" w:color="auto" w:fill="D9D9D9" w:themeFill="background1" w:themeFillShade="D9"/>
            <w:vAlign w:val="center"/>
          </w:tcPr>
          <w:p w:rsidR="00E4520F" w:rsidRPr="003E425B" w:rsidRDefault="003E425B" w:rsidP="00974D25">
            <w:pPr>
              <w:jc w:val="center"/>
              <w:rPr>
                <w:rFonts w:ascii="Times New Roman" w:hAnsi="Times New Roman" w:cs="Times New Roman"/>
                <w:b/>
                <w:bCs/>
                <w:sz w:val="28"/>
              </w:rPr>
            </w:pPr>
            <w:r w:rsidRPr="003E425B">
              <w:rPr>
                <w:rFonts w:ascii="Times New Roman" w:hAnsi="Times New Roman" w:cs="Times New Roman"/>
                <w:b/>
                <w:bCs/>
                <w:sz w:val="28"/>
              </w:rPr>
              <w:t>Cargo por imprecisión en las facultades extraordinarias</w:t>
            </w:r>
            <w:r w:rsidRPr="003E425B">
              <w:rPr>
                <w:rFonts w:ascii="Times New Roman" w:hAnsi="Times New Roman" w:cs="Times New Roman"/>
                <w:b/>
                <w:bCs/>
                <w:sz w:val="28"/>
              </w:rPr>
              <w:t xml:space="preserve"> (contra el artículo 12 de la Ley 2281 de 2023)</w:t>
            </w:r>
          </w:p>
        </w:tc>
        <w:tc>
          <w:tcPr>
            <w:tcW w:w="503" w:type="pct"/>
            <w:shd w:val="clear" w:color="auto" w:fill="D9D9D9" w:themeFill="background1" w:themeFillShade="D9"/>
            <w:vAlign w:val="center"/>
          </w:tcPr>
          <w:p w:rsidR="00E4520F" w:rsidRPr="003E425B" w:rsidRDefault="003E425B" w:rsidP="00974D25">
            <w:pPr>
              <w:jc w:val="center"/>
              <w:rPr>
                <w:rFonts w:ascii="Times New Roman" w:hAnsi="Times New Roman" w:cs="Times New Roman"/>
                <w:b/>
                <w:bCs/>
                <w:sz w:val="28"/>
              </w:rPr>
            </w:pPr>
            <w:r w:rsidRPr="003E425B">
              <w:rPr>
                <w:rFonts w:ascii="Times New Roman" w:hAnsi="Times New Roman" w:cs="Times New Roman"/>
                <w:b/>
                <w:bCs/>
                <w:sz w:val="28"/>
              </w:rPr>
              <w:t>Solicitud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Departamento Administrativo de la Presidencia de la República (DAPRE)</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No se desconoció la obligación del legislador de evaluar el impacto fiscal del proyecto, por las siguientes razones. Primero, “el fin constitucional de la sostenibilidad fiscal es instrumental y su objetivo es alcanzar de manera progresiva las finalidades</w:t>
            </w:r>
            <w:r w:rsidRPr="003E425B">
              <w:rPr>
                <w:rFonts w:ascii="Times New Roman" w:hAnsi="Times New Roman" w:cs="Times New Roman"/>
                <w:sz w:val="28"/>
              </w:rPr>
              <w:t xml:space="preserve"> del Estado Social y Democrático de Derecho, lo que es también un mandato legal en el que se enmarca la creación del Ministerio de Igualdad y Equidad, por lo que invocar este instrumento como una fórmula de control sin tener en cuenta la apuesta y el conte</w:t>
            </w:r>
            <w:r w:rsidRPr="003E425B">
              <w:rPr>
                <w:rFonts w:ascii="Times New Roman" w:hAnsi="Times New Roman" w:cs="Times New Roman"/>
                <w:sz w:val="28"/>
              </w:rPr>
              <w:t>nido de la Ley 2281 de 2023 es equivocado y puede menoscabar el goce efectivo de derechos fundamentales”</w:t>
            </w:r>
            <w:r w:rsidRPr="003E425B">
              <w:rPr>
                <w:rStyle w:val="Refdenotaalpie"/>
                <w:rFonts w:ascii="Times New Roman" w:hAnsi="Times New Roman" w:cs="Times New Roman"/>
                <w:sz w:val="28"/>
              </w:rPr>
              <w:footnoteReference w:id="446"/>
            </w:r>
            <w:r w:rsidRPr="003E425B">
              <w:rPr>
                <w:rFonts w:ascii="Times New Roman" w:hAnsi="Times New Roman" w:cs="Times New Roman"/>
                <w:sz w:val="28"/>
              </w:rPr>
              <w:t>.</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Segundo, “el requisito del concepto de impacto fiscal dentro del procedimiento legislativo tiene un fin deliberativo; esto es, que los congresistas c</w:t>
            </w:r>
            <w:r w:rsidRPr="003E425B">
              <w:rPr>
                <w:rFonts w:ascii="Times New Roman" w:hAnsi="Times New Roman" w:cs="Times New Roman"/>
                <w:sz w:val="28"/>
              </w:rPr>
              <w:t>uenten con elementos para identificar el posible impacto fiscal de una medida legislativa y puedan con este instrumento dar un debate informado, lo que efectivamente sucedió”</w:t>
            </w:r>
            <w:r w:rsidRPr="003E425B">
              <w:rPr>
                <w:rStyle w:val="Refdenotaalpie"/>
                <w:rFonts w:ascii="Times New Roman" w:hAnsi="Times New Roman" w:cs="Times New Roman"/>
                <w:sz w:val="28"/>
              </w:rPr>
              <w:footnoteReference w:id="447"/>
            </w:r>
            <w:r w:rsidRPr="003E425B">
              <w:rPr>
                <w:rFonts w:ascii="Times New Roman" w:hAnsi="Times New Roman" w:cs="Times New Roman"/>
                <w:sz w:val="28"/>
              </w:rPr>
              <w:t>. En efecto, el debate de este proyecto “estuvo precedido de deliberaciones basad</w:t>
            </w:r>
            <w:r w:rsidRPr="003E425B">
              <w:rPr>
                <w:rFonts w:ascii="Times New Roman" w:hAnsi="Times New Roman" w:cs="Times New Roman"/>
                <w:sz w:val="28"/>
              </w:rPr>
              <w:t>as en consideraciones básicas sobre las necesidades presupuestales globales de la implementación de la misma y por tanto, de sus efectos fiscales”.</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Tercero, la Ley 2281 de 2023 es una norma que constituye una autorización de gasto y no una ordenación del g</w:t>
            </w:r>
            <w:r w:rsidRPr="003E425B">
              <w:rPr>
                <w:rFonts w:ascii="Times New Roman" w:hAnsi="Times New Roman" w:cs="Times New Roman"/>
                <w:sz w:val="28"/>
              </w:rPr>
              <w:t xml:space="preserve">asto. En todo caso, el Ministerio de Hacienda y Crédito Público sí determinó el impacto fiscal en el concepto radicado ante el Congreso el 12 de diciembre de 2022. En este, el MHCP aportó un cuadro con “los costos de referencia de los actuales Ministerios </w:t>
            </w:r>
            <w:r w:rsidRPr="003E425B">
              <w:rPr>
                <w:rFonts w:ascii="Times New Roman" w:hAnsi="Times New Roman" w:cs="Times New Roman"/>
                <w:sz w:val="28"/>
              </w:rPr>
              <w:t>para la vigencia 2022 y 2023” e indica que “el costo del Ministerio de la Igualdad y la Equidad puede estar incluido dentro de las apropiaciones vigentes en otros sectores, al permitirse contar con funcionarios trasladados de otras entidades de la rama Eje</w:t>
            </w:r>
            <w:r w:rsidRPr="003E425B">
              <w:rPr>
                <w:rFonts w:ascii="Times New Roman" w:hAnsi="Times New Roman" w:cs="Times New Roman"/>
                <w:sz w:val="28"/>
              </w:rPr>
              <w:t>cutiva”. Así las cosas, “el análisis de impacto fiscal se efectuó con base en la información que reflejaba el proyecto de ley de la ahora Ley 2281 de 2023 (…) realizar un análisis exacto de costos asociados al proyecto no era posible. Sin embargo, consient</w:t>
            </w:r>
            <w:r w:rsidRPr="003E425B">
              <w:rPr>
                <w:rFonts w:ascii="Times New Roman" w:hAnsi="Times New Roman" w:cs="Times New Roman"/>
                <w:sz w:val="28"/>
              </w:rPr>
              <w:t>e de la importancia de que el Congreso de la República conociera una estimación de costos de la iniciativa (…), se presentaron comparaciones con gastos de ministerios existentes que podrían asemejarse al futuro Ministerio de Igualdad y Equidad”. En todo ca</w:t>
            </w:r>
            <w:r w:rsidRPr="003E425B">
              <w:rPr>
                <w:rFonts w:ascii="Times New Roman" w:hAnsi="Times New Roman" w:cs="Times New Roman"/>
                <w:sz w:val="28"/>
              </w:rPr>
              <w:t>so “la exactitud de los costos asociados al proyecto de ley solo podría ser conocidos una vez expedidas ‘las normas con fuerza material de ley dirigidas a integrar al Sector de Igualdad y Equidad con las entidades que defina como adscritas o vinculadas’”.</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Por lo demás, la iniciativa legislativa fue presentada conjuntamente por el Gobierno y algunos congresistas, lo cual implica que el cumplimiento de los requisitos de valoración del impacto fiscal de la medida debe evaluarse “bajo un escrutinio deferente de</w:t>
            </w:r>
            <w:r w:rsidRPr="003E425B">
              <w:rPr>
                <w:rFonts w:ascii="Times New Roman" w:hAnsi="Times New Roman" w:cs="Times New Roman"/>
                <w:sz w:val="28"/>
              </w:rPr>
              <w:t xml:space="preserve"> las decisiones adoptadas”.</w:t>
            </w:r>
          </w:p>
          <w:p w:rsidR="00E4520F" w:rsidRPr="003E425B" w:rsidRDefault="003E425B" w:rsidP="00974D25">
            <w:pPr>
              <w:rPr>
                <w:rFonts w:ascii="Times New Roman" w:hAnsi="Times New Roman" w:cs="Times New Roman"/>
                <w:sz w:val="28"/>
              </w:rPr>
            </w:pPr>
          </w:p>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No se presentan los vicios de forma alegados por los demandantes, en tanto el informe de ponencia del proyecto en primer debate se aprobó con el quorum y las mayorías requeridas. Según la jurisprudencia const</w:t>
            </w:r>
            <w:r w:rsidRPr="003E425B">
              <w:rPr>
                <w:rFonts w:ascii="Times New Roman" w:hAnsi="Times New Roman" w:cs="Times New Roman"/>
                <w:sz w:val="28"/>
              </w:rPr>
              <w:t>itucional “es factible tramitar un proyecto de ley conforme a dos mayorías distintas, según la naturaleza de las diferentes disposiciones contenidas en el proyecto de ley (…), en este caso, únicamente [el] artículo 12 que es el que confiere facultades extr</w:t>
            </w:r>
            <w:r w:rsidRPr="003E425B">
              <w:rPr>
                <w:rFonts w:ascii="Times New Roman" w:hAnsi="Times New Roman" w:cs="Times New Roman"/>
                <w:sz w:val="28"/>
              </w:rPr>
              <w:t>aordinarias al presidente de la República” debió ser aprobado por mayoría absoluta. Esto, en efecto ocurrió, pues en cada una de las sesiones parlamentarias, “el artículo que otorga facultades extraordinarias se votó por separado (siendo el 11 en comisione</w:t>
            </w:r>
            <w:r w:rsidRPr="003E425B">
              <w:rPr>
                <w:rFonts w:ascii="Times New Roman" w:hAnsi="Times New Roman" w:cs="Times New Roman"/>
                <w:sz w:val="28"/>
              </w:rPr>
              <w:t xml:space="preserve">s y el 12 en plenarias), alcanzó mayorías absolutas y dicha situación fue certificada por las secretarias en cada caso”. </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De otro lado, los accionantes afirman que al momento de la votación no existía quórum decisorio en la Comisión Primera del Senado y pr</w:t>
            </w:r>
            <w:r w:rsidRPr="003E425B">
              <w:rPr>
                <w:rFonts w:ascii="Times New Roman" w:hAnsi="Times New Roman" w:cs="Times New Roman"/>
                <w:sz w:val="28"/>
              </w:rPr>
              <w:t>etenden demostrarlo mediante imágenes y videos. Sin embargo, de acuerdo con la Corte Constitucional, para verificar la no conformación del quórum para decidir sobre una ley es necesario aportar pruebas idóneas que permitan demostrar la ausencia de los miem</w:t>
            </w:r>
            <w:r w:rsidRPr="003E425B">
              <w:rPr>
                <w:rFonts w:ascii="Times New Roman" w:hAnsi="Times New Roman" w:cs="Times New Roman"/>
                <w:sz w:val="28"/>
              </w:rPr>
              <w:t xml:space="preserve">bros requeridos para constituir el quórum, tales como actas de sesión, listados de asistencia o testimonios de testigos presenciales. En estos términos, los demandantes “no cumplen con el estándar de prueba que respalde de manera contundente su pretensión </w:t>
            </w:r>
            <w:r w:rsidRPr="003E425B">
              <w:rPr>
                <w:rFonts w:ascii="Times New Roman" w:hAnsi="Times New Roman" w:cs="Times New Roman"/>
                <w:sz w:val="28"/>
              </w:rPr>
              <w:t>de declarar la inexequibilidad de la Ley”. Por lo demás, “si se acreditaron las mayorías para aprobar las facultades extraordinarias, también, de forma automática, se acredita el quorum decisorio en la medida en que el número mínimo para que se sostenga es</w:t>
            </w:r>
            <w:r w:rsidRPr="003E425B">
              <w:rPr>
                <w:rFonts w:ascii="Times New Roman" w:hAnsi="Times New Roman" w:cs="Times New Roman"/>
                <w:sz w:val="28"/>
              </w:rPr>
              <w:t>te quorum es el de la mitad de los miembros de la comisión o de la plenaria respectiva, lo que es también el número mínimo más uno de las mayorías absolutas”.</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Este cargo carece de certeza en la medida en que se basa en una interpretación subjetiva y person</w:t>
            </w:r>
            <w:r w:rsidRPr="003E425B">
              <w:rPr>
                <w:rFonts w:ascii="Times New Roman" w:hAnsi="Times New Roman" w:cs="Times New Roman"/>
                <w:sz w:val="28"/>
              </w:rPr>
              <w:t xml:space="preserve">al de los actores que no se desprende del texto de la norma. </w:t>
            </w:r>
          </w:p>
          <w:p w:rsidR="00E4520F" w:rsidRPr="003E425B" w:rsidRDefault="003E425B" w:rsidP="00974D25">
            <w:pPr>
              <w:rPr>
                <w:rFonts w:ascii="Times New Roman" w:hAnsi="Times New Roman" w:cs="Times New Roman"/>
                <w:sz w:val="28"/>
              </w:rPr>
            </w:pP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Con todo, si se admitiera que el cargo es apto, las facultades extraordinarias otorgadas al presidente de la República en el artículo 12 de la Ley 2281 de 2023, cumplen con el requisito de claridad y precisión previsto en el artículo 150.10 de la Constituc</w:t>
            </w:r>
            <w:r w:rsidRPr="003E425B">
              <w:rPr>
                <w:rFonts w:ascii="Times New Roman" w:hAnsi="Times New Roman" w:cs="Times New Roman"/>
                <w:sz w:val="28"/>
              </w:rPr>
              <w:t>ión Política y definido por la jurisprudencia constitucional, en tanto la materia a regular se encuentra expresamente determinada y delimitada en la norma acusada. En este sentido, “la norma es clara al señalar dos acciones que estarían dentro de las facul</w:t>
            </w:r>
            <w:r w:rsidRPr="003E425B">
              <w:rPr>
                <w:rFonts w:ascii="Times New Roman" w:hAnsi="Times New Roman" w:cs="Times New Roman"/>
                <w:sz w:val="28"/>
              </w:rPr>
              <w:t>tades extraordinarias, que son vincular y adscribir, a las diferentes entidades necesarias para integrar el Sector de Igualdad”. En relación con los conceptos de vinculación y adscripción la jurisprudencia ha explicado que “denotan grados de relación de de</w:t>
            </w:r>
            <w:r w:rsidRPr="003E425B">
              <w:rPr>
                <w:rFonts w:ascii="Times New Roman" w:hAnsi="Times New Roman" w:cs="Times New Roman"/>
                <w:sz w:val="28"/>
              </w:rPr>
              <w:t>pendencia no jerárquica que se predican entre organismos principales de la administración y organismos que, no obstante tener reconocida autonomía administrativa- ostenten o no personalidad jurídica-, deben actuar bajo la orientación y coordinación de aque</w:t>
            </w:r>
            <w:r w:rsidRPr="003E425B">
              <w:rPr>
                <w:rFonts w:ascii="Times New Roman" w:hAnsi="Times New Roman" w:cs="Times New Roman"/>
                <w:sz w:val="28"/>
              </w:rPr>
              <w:t xml:space="preserve">llos”. </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En estos términos, “no hay ningún tipo de indeterminación en la materia objeto de las facultades extraordinarias previstas en el artículo 12 de la Ley 2281 de 2023, en la medida en que supone dos tipos de acciones dirigidas a un fin ya que se trata</w:t>
            </w:r>
            <w:r w:rsidRPr="003E425B">
              <w:rPr>
                <w:rFonts w:ascii="Times New Roman" w:hAnsi="Times New Roman" w:cs="Times New Roman"/>
                <w:sz w:val="28"/>
              </w:rPr>
              <w:t xml:space="preserve"> única y exclusivamente de la integración de las entidades necesarias para la conformación del Sector. Tampoco se presenta un exceso en las facultades otorgadas por el legislador, dado que se no son utilizadas ‘para expedir los códigos, recaer sobre materi</w:t>
            </w:r>
            <w:r w:rsidRPr="003E425B">
              <w:rPr>
                <w:rFonts w:ascii="Times New Roman" w:hAnsi="Times New Roman" w:cs="Times New Roman"/>
                <w:sz w:val="28"/>
              </w:rPr>
              <w:t>as de reserva de ley estatutaria, de ley orgánica, para expedir leyes marco para el decreto o modificación de impuesto’, que son prohibiciones específicas para estas normas”.</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Además, “al interior de la exposición de motivos del proyecto de ley y los inform</w:t>
            </w:r>
            <w:r w:rsidRPr="003E425B">
              <w:rPr>
                <w:rFonts w:ascii="Times New Roman" w:hAnsi="Times New Roman" w:cs="Times New Roman"/>
                <w:sz w:val="28"/>
              </w:rPr>
              <w:t xml:space="preserve">es de ponencias durante el trámite legislativo, se evidencia (...) la ausencia de un sector organizado y coordinado”. Esto “genera, por ejemplo, el incumplimiento o cumplimiento parcial de órdenes estructurales de la Corte Constitucional. En consecuencia, </w:t>
            </w:r>
            <w:r w:rsidRPr="003E425B">
              <w:rPr>
                <w:rFonts w:ascii="Times New Roman" w:hAnsi="Times New Roman" w:cs="Times New Roman"/>
                <w:sz w:val="28"/>
              </w:rPr>
              <w:t>resulta pertinente y necesario atribuir facultades extraordinarias al presidente de la República para integrar, organizar y fortalecer el Sector de Igualdad y Equidad”.</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xml:space="preserve">En suma, “las facultades extraordinarias concedidas en la Ley 2281 de 2023 son claras, </w:t>
            </w:r>
            <w:r w:rsidRPr="003E425B">
              <w:rPr>
                <w:rFonts w:ascii="Times New Roman" w:hAnsi="Times New Roman" w:cs="Times New Roman"/>
                <w:sz w:val="28"/>
              </w:rPr>
              <w:t>precisas y responden a la necesidad de fortalecer el andamiaje institucional que garantice el efectivo desarrollo de las políticas de igualdad y equidad del Gobierno Nacional”.</w:t>
            </w:r>
          </w:p>
        </w:tc>
        <w:tc>
          <w:tcPr>
            <w:tcW w:w="503" w:type="pct"/>
            <w:vAlign w:val="center"/>
          </w:tcPr>
          <w:p w:rsidR="00E4520F" w:rsidRPr="003E425B" w:rsidRDefault="003E425B" w:rsidP="00974D25">
            <w:pPr>
              <w:rPr>
                <w:rFonts w:ascii="Times New Roman" w:hAnsi="Times New Roman" w:cs="Times New Roman"/>
                <w:i/>
                <w:iCs/>
                <w:sz w:val="28"/>
              </w:rPr>
            </w:pPr>
            <w:r w:rsidRPr="003E425B">
              <w:rPr>
                <w:rFonts w:ascii="Times New Roman" w:hAnsi="Times New Roman" w:cs="Times New Roman"/>
                <w:i/>
                <w:iCs/>
                <w:sz w:val="28"/>
              </w:rPr>
              <w:t>Cargos en contra de la totalidad de la Ley:</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Exequibilidad.</w:t>
            </w:r>
          </w:p>
          <w:p w:rsidR="00E4520F" w:rsidRPr="003E425B" w:rsidRDefault="003E425B" w:rsidP="00974D25">
            <w:pPr>
              <w:rPr>
                <w:rFonts w:ascii="Times New Roman" w:hAnsi="Times New Roman" w:cs="Times New Roman"/>
                <w:i/>
                <w:iCs/>
                <w:sz w:val="28"/>
              </w:rPr>
            </w:pPr>
            <w:r w:rsidRPr="003E425B">
              <w:rPr>
                <w:rFonts w:ascii="Times New Roman" w:hAnsi="Times New Roman" w:cs="Times New Roman"/>
                <w:i/>
                <w:iCs/>
                <w:sz w:val="28"/>
              </w:rPr>
              <w:t>Cargo en contra de</w:t>
            </w:r>
            <w:r w:rsidRPr="003E425B">
              <w:rPr>
                <w:rFonts w:ascii="Times New Roman" w:hAnsi="Times New Roman" w:cs="Times New Roman"/>
                <w:i/>
                <w:iCs/>
                <w:sz w:val="28"/>
              </w:rPr>
              <w:t>l artículo 12:</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Inhibición y de forma subsidiaria exequibilidad.</w:t>
            </w:r>
          </w:p>
          <w:p w:rsidR="00E4520F" w:rsidRPr="003E425B" w:rsidRDefault="003E425B" w:rsidP="00974D25">
            <w:pPr>
              <w:rPr>
                <w:rFonts w:ascii="Times New Roman" w:hAnsi="Times New Roman" w:cs="Times New Roman"/>
                <w:sz w:val="28"/>
              </w:rPr>
            </w:pP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Departamento Administrativo de la Función Pública (DAFP)</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Congreso de la República conoció el concepto de impacto fiscal presentado por el MHCP</w:t>
            </w:r>
            <w:r w:rsidRPr="003E425B">
              <w:rPr>
                <w:rFonts w:ascii="Times New Roman" w:hAnsi="Times New Roman" w:cs="Times New Roman"/>
                <w:sz w:val="28"/>
              </w:rPr>
              <w:t xml:space="preserve"> en la ponencia para primer debate en las comisiones primeras constitucionales “en el cual se constató que se estima que el Ministerio de Igualdad y Equidad tendrá un costo de 18.239 millones de pesos anuales, y que al no tener definido en el proyecto de l</w:t>
            </w:r>
            <w:r w:rsidRPr="003E425B">
              <w:rPr>
                <w:rFonts w:ascii="Times New Roman" w:hAnsi="Times New Roman" w:cs="Times New Roman"/>
                <w:sz w:val="28"/>
              </w:rPr>
              <w:t>ey una fuente de ingresos adicional, de conformidad con el artículo 7 de la Ley 819 de 2003 (Orgánica del presupuesto), los costos del Ministerio serán atendidos con los presupuestos apropiados por el Presupuesto General de la Nación para cada vigencia”.</w:t>
            </w:r>
          </w:p>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Q</w:t>
            </w:r>
            <w:r w:rsidRPr="003E425B">
              <w:rPr>
                <w:rFonts w:ascii="Times New Roman" w:hAnsi="Times New Roman" w:cs="Times New Roman"/>
                <w:i/>
                <w:iCs/>
                <w:sz w:val="28"/>
              </w:rPr>
              <w:t>uórum y mayorías</w:t>
            </w:r>
            <w:r w:rsidRPr="003E425B">
              <w:rPr>
                <w:rFonts w:ascii="Times New Roman" w:hAnsi="Times New Roman" w:cs="Times New Roman"/>
                <w:sz w:val="28"/>
              </w:rPr>
              <w:t>. En el trámite de aprobación de la Ley 2281 de 2023 “se vulnero el principio democrático consagrado en el artículo 157 de la Carta Política, debido a que no se realizó la deliberación requerida para expedir la ley en mención, por vicios de</w:t>
            </w:r>
            <w:r w:rsidRPr="003E425B">
              <w:rPr>
                <w:rFonts w:ascii="Times New Roman" w:hAnsi="Times New Roman" w:cs="Times New Roman"/>
                <w:sz w:val="28"/>
              </w:rPr>
              <w:t xml:space="preserve"> forma, sin embargo no se cuenta con las pruebas fehacientes que así lo determinen, lo que permite concluir que no hay lugar a la prosperidad del cargo formulado, en tanto no se cuenta con la argumentación consistente y coherente que permita concluir que s</w:t>
            </w:r>
            <w:r w:rsidRPr="003E425B">
              <w:rPr>
                <w:rFonts w:ascii="Times New Roman" w:hAnsi="Times New Roman" w:cs="Times New Roman"/>
                <w:sz w:val="28"/>
              </w:rPr>
              <w:t>e transgredió el Art. 157 de la Carta Política, de todos modos no se avizora que la ponencia fue aprobada en los debate sin las mayorías ni el quorum requerido”.</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El cargo no satisface las exigencias argumentativas para sustentar un cargo de constitucionali</w:t>
            </w:r>
            <w:r w:rsidRPr="003E425B">
              <w:rPr>
                <w:rFonts w:ascii="Times New Roman" w:hAnsi="Times New Roman" w:cs="Times New Roman"/>
                <w:sz w:val="28"/>
              </w:rPr>
              <w:t>dad, dado que no presenta razones claras, ciertas, específicas, pertinentes y suficientes. Lo anterior, dado que “si bien hay un despliegue de la demanda, en ella no se expresan las razones por las cuales se considera que la disposición acusada es contrari</w:t>
            </w:r>
            <w:r w:rsidRPr="003E425B">
              <w:rPr>
                <w:rFonts w:ascii="Times New Roman" w:hAnsi="Times New Roman" w:cs="Times New Roman"/>
                <w:sz w:val="28"/>
              </w:rPr>
              <w:t xml:space="preserve">a a [los] art. 150.10 y 157 de la Constitución Política, que se desarrolla un enunciativo normativo, más sin embargo no se concretan de manera razonable los cargos formulados, citando al mismo tiempo algunas sentencias de la Corte Constitucional a fines a </w:t>
            </w:r>
            <w:r w:rsidRPr="003E425B">
              <w:rPr>
                <w:rFonts w:ascii="Times New Roman" w:hAnsi="Times New Roman" w:cs="Times New Roman"/>
                <w:sz w:val="28"/>
              </w:rPr>
              <w:t xml:space="preserve">las normas vulneradas”. </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En cualquier caso, de admitirse que el cargo es apto, el artículo 12 atacado cumple con los requisitos de precisión y claridad en la concesión de las facultades otorgadas al Presidente</w:t>
            </w:r>
            <w:r w:rsidRPr="003E425B">
              <w:rPr>
                <w:rFonts w:ascii="Times New Roman" w:hAnsi="Times New Roman" w:cs="Times New Roman"/>
                <w:sz w:val="28"/>
              </w:rPr>
              <w:t xml:space="preserve"> de la Republica. Esto, habida cuenta de que establece límites claros dentro de los cuales actuará el ejecutivo.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Inhibición y de forma subsidiaria exequibilidad.</w:t>
            </w:r>
          </w:p>
          <w:p w:rsidR="00E4520F" w:rsidRPr="003E425B" w:rsidRDefault="003E425B" w:rsidP="00974D25">
            <w:pPr>
              <w:rPr>
                <w:rFonts w:ascii="Times New Roman" w:hAnsi="Times New Roman" w:cs="Times New Roman"/>
                <w:sz w:val="28"/>
              </w:rPr>
            </w:pP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3</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Departamento Administrativo de Prosperidad social (DAPS)</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cargo carece d</w:t>
            </w:r>
            <w:r w:rsidRPr="003E425B">
              <w:rPr>
                <w:rFonts w:ascii="Times New Roman" w:hAnsi="Times New Roman" w:cs="Times New Roman"/>
                <w:sz w:val="28"/>
              </w:rPr>
              <w:t>e pertinencia y suficiencia. Esto, dado que se funda en una especulación consistente en que la Ley no es acorde con el Marco Fiscal de Mediano Plazo. Esta duda es insuficiente para argumentar la inexequibilidad de la Ley, habida cuenta de “la naturaleza me</w:t>
            </w:r>
            <w:r w:rsidRPr="003E425B">
              <w:rPr>
                <w:rFonts w:ascii="Times New Roman" w:hAnsi="Times New Roman" w:cs="Times New Roman"/>
                <w:sz w:val="28"/>
              </w:rPr>
              <w:t>ramente instrumental de este parámetro de evaluación de políticas públicas y a la existencia de estudios técnicos que soportan su factibilidad fiscal y su previsible impacto positivo en la construcción de un modelo económico equilibrado y coherente con las</w:t>
            </w:r>
            <w:r w:rsidRPr="003E425B">
              <w:rPr>
                <w:rFonts w:ascii="Times New Roman" w:hAnsi="Times New Roman" w:cs="Times New Roman"/>
                <w:sz w:val="28"/>
              </w:rPr>
              <w:t xml:space="preserve"> exigencias materiales de igualdad contenidas en la Constitución Política”. </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En cualquier caso, en el trámite legislativo sí se estudió el impacto fiscal. En efecto, “los costos de creación del Ministerio de la Igualdad fueron expuestos en los debates dura</w:t>
            </w:r>
            <w:r w:rsidRPr="003E425B">
              <w:rPr>
                <w:rFonts w:ascii="Times New Roman" w:hAnsi="Times New Roman" w:cs="Times New Roman"/>
                <w:sz w:val="28"/>
              </w:rPr>
              <w:t>nte el trámite legislativo y se estimaron con referencia a procesos de creación y funcionamiento de otras carteras. A su vez, el Ministerio de Hacienda y Crédito Público rindió concepto de viabilidad fiscal según el cual la medida se inscribe el marco fisc</w:t>
            </w:r>
            <w:r w:rsidRPr="003E425B">
              <w:rPr>
                <w:rFonts w:ascii="Times New Roman" w:hAnsi="Times New Roman" w:cs="Times New Roman"/>
                <w:sz w:val="28"/>
              </w:rPr>
              <w:t xml:space="preserve">al de mediano y largo y plazo, siendo en consecuencia responsable con los imperativos de estabilidad y racionalidad contenidos en la regla fiscal”. Por lo demás, manifiesta que declarar la Ley inexequible por esta razón implicaría sobreponer la disciplina </w:t>
            </w:r>
            <w:r w:rsidRPr="003E425B">
              <w:rPr>
                <w:rFonts w:ascii="Times New Roman" w:hAnsi="Times New Roman" w:cs="Times New Roman"/>
                <w:sz w:val="28"/>
              </w:rPr>
              <w:t>fiscal que es apenas una guía para la actuación estatal a un principio de la mayor importancia en el ordenamiento constitucional.</w:t>
            </w:r>
          </w:p>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El cargo carece de especificidad. Esto, porque la demanda se limita a “señalar en forma genérica una presun</w:t>
            </w:r>
            <w:r w:rsidRPr="003E425B">
              <w:rPr>
                <w:rFonts w:ascii="Times New Roman" w:hAnsi="Times New Roman" w:cs="Times New Roman"/>
                <w:sz w:val="28"/>
              </w:rPr>
              <w:t>ta violación de la Constitución Política por omisión del quórum deliberativo exigido para la aprobación de leyes que otorgan facultades extraordinarias al Presidente de la República”. Así las cosas, sugiere que no es claro por qué la totalidad de la ley se</w:t>
            </w:r>
            <w:r w:rsidRPr="003E425B">
              <w:rPr>
                <w:rFonts w:ascii="Times New Roman" w:hAnsi="Times New Roman" w:cs="Times New Roman"/>
                <w:sz w:val="28"/>
              </w:rPr>
              <w:t xml:space="preserve">ría inexequible, pese a que es solo respecto del artículo que transfiere facultades que se debía acreditar “una votación cuya validez depende de la presencia de mayorías absolutas”. </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Con todo, los demandantes no demuestran, mediante pruebas idóneas, que la</w:t>
            </w:r>
            <w:r w:rsidRPr="003E425B">
              <w:rPr>
                <w:rFonts w:ascii="Times New Roman" w:hAnsi="Times New Roman" w:cs="Times New Roman"/>
                <w:sz w:val="28"/>
              </w:rPr>
              <w:t xml:space="preserve"> aprobación del artículo que confiere las facultades extraordinarias se haya dado sin el quorum decisorio exigido, esto es una mayoría absoluta. Esto, porque conforme a la sentencia C-763 de 2022 “la falta de quórum para la aprobación de una ley es un hech</w:t>
            </w:r>
            <w:r w:rsidRPr="003E425B">
              <w:rPr>
                <w:rFonts w:ascii="Times New Roman" w:hAnsi="Times New Roman" w:cs="Times New Roman"/>
                <w:sz w:val="28"/>
              </w:rPr>
              <w:t>o que debe ser probado, y la prueba idónea es la presentación de las actas de sesión en las que conste la asistencia de los congresistas o, en su defecto, los listados de asistencia”. En estos términos, “durante las sesiones en las que la norma fue discuti</w:t>
            </w:r>
            <w:r w:rsidRPr="003E425B">
              <w:rPr>
                <w:rFonts w:ascii="Times New Roman" w:hAnsi="Times New Roman" w:cs="Times New Roman"/>
                <w:sz w:val="28"/>
              </w:rPr>
              <w:t xml:space="preserve">da, es decir, el 28 de noviembre de 2022 en Comisiones Primeras Constitucionales conjuntas, el 12 de diciembre de 2022 en La Plenaria del Senado de la Republica y el 12 de diciembre de 2022 en La Plenaria de la Cámara de Representantes, siempre se respetó </w:t>
            </w:r>
            <w:r w:rsidRPr="003E425B">
              <w:rPr>
                <w:rFonts w:ascii="Times New Roman" w:hAnsi="Times New Roman" w:cs="Times New Roman"/>
                <w:sz w:val="28"/>
              </w:rPr>
              <w:t>el quórum y se construyeron las mayorías absolutas, tal como fue avalado por las respectivas Secretarías”.</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xml:space="preserve">El cargo carece de certeza. No es </w:t>
            </w:r>
            <w:r w:rsidRPr="003E425B">
              <w:rPr>
                <w:rFonts w:ascii="Times New Roman" w:hAnsi="Times New Roman" w:cs="Times New Roman"/>
                <w:i/>
                <w:iCs/>
                <w:sz w:val="28"/>
              </w:rPr>
              <w:t>cierto</w:t>
            </w:r>
            <w:r w:rsidRPr="003E425B">
              <w:rPr>
                <w:rFonts w:ascii="Times New Roman" w:hAnsi="Times New Roman" w:cs="Times New Roman"/>
                <w:sz w:val="28"/>
              </w:rPr>
              <w:t>, porque “de la lectura de la norma demandada se puede colegir, sin mayor esfuerzo, el margen de libertad con</w:t>
            </w:r>
            <w:r w:rsidRPr="003E425B">
              <w:rPr>
                <w:rFonts w:ascii="Times New Roman" w:hAnsi="Times New Roman" w:cs="Times New Roman"/>
                <w:sz w:val="28"/>
              </w:rPr>
              <w:t>cedido y las restricciones levantadas contra un eventual ejercicio discrecional del poder por parte del Presidente de la República”, de modo que la presunta vaguedad de las facultades extraordinarias atribuidas al Ejecutivo es meramente hipotética. Además,</w:t>
            </w:r>
            <w:r w:rsidRPr="003E425B">
              <w:rPr>
                <w:rFonts w:ascii="Times New Roman" w:hAnsi="Times New Roman" w:cs="Times New Roman"/>
                <w:sz w:val="28"/>
              </w:rPr>
              <w:t xml:space="preserve"> los demandantes parecen atacar la constitucionalidad de las normas que serán expedidas con ocasión de las facultades concedidas al Presidente. Sin embargo, dichas normas no han sido proferidas.</w:t>
            </w:r>
          </w:p>
          <w:p w:rsidR="00E4520F" w:rsidRPr="003E425B" w:rsidRDefault="003E425B" w:rsidP="00974D25">
            <w:pPr>
              <w:rPr>
                <w:rFonts w:ascii="Times New Roman" w:hAnsi="Times New Roman" w:cs="Times New Roman"/>
                <w:sz w:val="28"/>
              </w:rPr>
            </w:pP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xml:space="preserve">En todo caso, el legislador sí confirió facultades de forma </w:t>
            </w:r>
            <w:r w:rsidRPr="003E425B">
              <w:rPr>
                <w:rFonts w:ascii="Times New Roman" w:hAnsi="Times New Roman" w:cs="Times New Roman"/>
                <w:sz w:val="28"/>
              </w:rPr>
              <w:t>clara y precisa. Esto es así, porque el texto de la disposición acusada da cuenta de que el legislador encargó al presidente de la conformación de un sector específico de la administración. Este encargo está limitado por el objeto de la Ley y por las labor</w:t>
            </w:r>
            <w:r w:rsidRPr="003E425B">
              <w:rPr>
                <w:rFonts w:ascii="Times New Roman" w:hAnsi="Times New Roman" w:cs="Times New Roman"/>
                <w:sz w:val="28"/>
              </w:rPr>
              <w:t>es de vinculación y adscripción que dispuso el legislador. Además, el Consejo de Estado ha precisado que “tanto la adscripción como la vinculación (…) denotan grados de relación de dependencia no jerárquica que se predican entre organismos principales de l</w:t>
            </w:r>
            <w:r w:rsidRPr="003E425B">
              <w:rPr>
                <w:rFonts w:ascii="Times New Roman" w:hAnsi="Times New Roman" w:cs="Times New Roman"/>
                <w:sz w:val="28"/>
              </w:rPr>
              <w:t>a administración y organismos que, no obstante tener reconocida autonomía administrativa - ostenten o no personalidad jurídica-, deben actuar bajo la orientación y coordinación de aquellos”</w:t>
            </w:r>
            <w:r w:rsidRPr="003E425B">
              <w:rPr>
                <w:rStyle w:val="Refdenotaalpie"/>
                <w:rFonts w:ascii="Times New Roman" w:hAnsi="Times New Roman" w:cs="Times New Roman"/>
                <w:sz w:val="28"/>
              </w:rPr>
              <w:footnoteReference w:id="448"/>
            </w:r>
            <w:r w:rsidRPr="003E425B">
              <w:rPr>
                <w:rFonts w:ascii="Times New Roman" w:hAnsi="Times New Roman" w:cs="Times New Roman"/>
                <w:sz w:val="28"/>
              </w:rPr>
              <w:t xml:space="preserve">, de manera que las facultades están claramente delimitadas. </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Inhi</w:t>
            </w:r>
            <w:r w:rsidRPr="003E425B">
              <w:rPr>
                <w:rFonts w:ascii="Times New Roman" w:hAnsi="Times New Roman" w:cs="Times New Roman"/>
                <w:sz w:val="28"/>
              </w:rPr>
              <w:t>bición y de forma subsidiaria 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4</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Ministerio del Interior</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En el trámite de la Ley sí se discutió su impacto fiscal. Esto es reconocido por los demandantes cuando lo tildan de “escueto”. Sin embargo, la inconformidad de los demandantes con el nivel del debate, no implican que la Ley sea inconstitucional. Además, </w:t>
            </w:r>
            <w:r w:rsidRPr="003E425B">
              <w:rPr>
                <w:rFonts w:ascii="Times New Roman" w:hAnsi="Times New Roman" w:cs="Times New Roman"/>
                <w:sz w:val="28"/>
              </w:rPr>
              <w:t xml:space="preserve">el MHCP conceptuó sobre su conformidad con el MFMP, pero incluso si no lo hubiera hecho, la Ley no habría incurrido en ningún defecto. </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El primer debate contó con quorum deliberatorio y el proyecto de ley se aprobó por mayoría absoluta. </w:t>
            </w:r>
            <w:r w:rsidRPr="003E425B">
              <w:rPr>
                <w:rFonts w:ascii="Times New Roman" w:hAnsi="Times New Roman" w:cs="Times New Roman"/>
                <w:sz w:val="28"/>
              </w:rPr>
              <w:t xml:space="preserve">El 24 de noviembre de 2022 se realizó la sesión de las Comisiones Constitucionales Primeras Conjuntas. Luego de que no se aprobara la proposición de archivo del proyecto, la Secretaría indicó que se desintegró el quorum decisorio, por lo que se levantó la </w:t>
            </w:r>
            <w:r w:rsidRPr="003E425B">
              <w:rPr>
                <w:rFonts w:ascii="Times New Roman" w:hAnsi="Times New Roman" w:cs="Times New Roman"/>
                <w:sz w:val="28"/>
              </w:rPr>
              <w:t>sesión y se convocó para el 28 de noviembre de 2022. El 28 de noviembre de 2022, se realizó la sesión de las Comisiones Constitucionales Primeras Conjuntas. En dicha sesión, las Secretarías del Senado y la Cámara de Representantes constataron que existía q</w:t>
            </w:r>
            <w:r w:rsidRPr="003E425B">
              <w:rPr>
                <w:rFonts w:ascii="Times New Roman" w:hAnsi="Times New Roman" w:cs="Times New Roman"/>
                <w:sz w:val="28"/>
              </w:rPr>
              <w:t>uórum decisorio en cada una de las comisiones. A continuación, se votaron en bloque los artículos 1, 2, 7, 8, 9, 10, 14 y 15, los cuales fueron aprobados por 26 representantes, de los 28 presentes y 15 de los 16 senadores presentes. Luego, se votaron de fo</w:t>
            </w:r>
            <w:r w:rsidRPr="003E425B">
              <w:rPr>
                <w:rFonts w:ascii="Times New Roman" w:hAnsi="Times New Roman" w:cs="Times New Roman"/>
                <w:sz w:val="28"/>
              </w:rPr>
              <w:t>rma individual los artículos 11 (12 de la Ley), 3, 4, 12, 13, 5 y el título, en ese orden. Cada una de las anteriores votaciones fue aprobada por mayoría absoluta, aun cuando solo el artículo 11 del proyecto (12 de la ley) lo requería. Así las cosas, contr</w:t>
            </w:r>
            <w:r w:rsidRPr="003E425B">
              <w:rPr>
                <w:rFonts w:ascii="Times New Roman" w:hAnsi="Times New Roman" w:cs="Times New Roman"/>
                <w:sz w:val="28"/>
              </w:rPr>
              <w:t>ario a lo manifestado por los demandantes, el proyecto de ley fue aprobado por mayoría absoluta, en dos sesiones. Por lo demás, las fotografías allegadas por los demandantes, “no son el medio probatorio para determinar si existió quorum o no, frente a la v</w:t>
            </w:r>
            <w:r w:rsidRPr="003E425B">
              <w:rPr>
                <w:rFonts w:ascii="Times New Roman" w:hAnsi="Times New Roman" w:cs="Times New Roman"/>
                <w:sz w:val="28"/>
              </w:rPr>
              <w:t>otación del primer debate del Proyecto de Ley (…), pues ello se logra refrendar con las actas de las gacetas allegadas al proceso de inconstitucionalidad, por parte tanto de la Secretaría del Senado, como la Secretaría de la Cámara de Representantes, en la</w:t>
            </w:r>
            <w:r w:rsidRPr="003E425B">
              <w:rPr>
                <w:rFonts w:ascii="Times New Roman" w:hAnsi="Times New Roman" w:cs="Times New Roman"/>
                <w:sz w:val="28"/>
              </w:rPr>
              <w:t>s cuales consta la participación, deliberación y votación surtida por los congresistas en dicho trámite legislativo y constituyen el único documento oficial idóneo para constatar el trámite legislativo”.</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El cargo es inepto, por carecer de certeza. La acusa</w:t>
            </w:r>
            <w:r w:rsidRPr="003E425B">
              <w:rPr>
                <w:rFonts w:ascii="Times New Roman" w:hAnsi="Times New Roman" w:cs="Times New Roman"/>
                <w:sz w:val="28"/>
              </w:rPr>
              <w:t>ción de los demandantes se centra en que el artículo 12 de la ley presuntamente otorga una competencia ilimitada al Presidente de la República. Los demandantes justifican esta afirmación en la “mala fe de la potestad reglamentaria en cabeza del Ejecutivo a</w:t>
            </w:r>
            <w:r w:rsidRPr="003E425B">
              <w:rPr>
                <w:rFonts w:ascii="Times New Roman" w:hAnsi="Times New Roman" w:cs="Times New Roman"/>
                <w:sz w:val="28"/>
              </w:rPr>
              <w:t>l momento de expedir los respectivos decretos que deriven de dicha competencia”, lo cual demuestra que la vulneración que atribuyen los demandantes es hipotética. En estos términos, “la particular visión del actor sobre lo que, en su sentir, regula la norm</w:t>
            </w:r>
            <w:r w:rsidRPr="003E425B">
              <w:rPr>
                <w:rFonts w:ascii="Times New Roman" w:hAnsi="Times New Roman" w:cs="Times New Roman"/>
                <w:sz w:val="28"/>
              </w:rPr>
              <w:t>atividad acusada, no vicia per se por inconstitucionalidad las reglas demandadas” y por tanto la Corte debe declararse inhibida en relación con este cargo.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 y de forma subsidiaria inhibición.</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5</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Ministerio de Hacienda</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La Ley 2281 de 2023 no contiene una orden de gasto, sino que simplemente autoriza la inclusión de un gasto en el Presupuesto General de la Nación (PGN), porque su implementación requiere desarrollo normativo. En la ley demandada, el Congreso de la Repúbli</w:t>
            </w:r>
            <w:r w:rsidRPr="003E425B">
              <w:rPr>
                <w:rFonts w:ascii="Times New Roman" w:hAnsi="Times New Roman" w:cs="Times New Roman"/>
                <w:sz w:val="28"/>
              </w:rPr>
              <w:t>ca únicamente: (i) dispuso la creación de un nuevo organismo principal del sector central de la Rama Ejecutiva en el orden nacional, rector del Sector administrativo de Igualdad y Equidad y de sus entidades adscritas o vinculadas denominado Ministerio de l</w:t>
            </w:r>
            <w:r w:rsidRPr="003E425B">
              <w:rPr>
                <w:rFonts w:ascii="Times New Roman" w:hAnsi="Times New Roman" w:cs="Times New Roman"/>
                <w:sz w:val="28"/>
              </w:rPr>
              <w:t>a Igualdad y la Equidad (artículo 2); (ii) consagró su objeto misional (artículo 3); estableció cuáles serían sus funciones (artículo 4); y (iii) dispuso la creación del Sistema Nacional del Cuidado (artículo 6). De acuerdo con la Dirección General del Pre</w:t>
            </w:r>
            <w:r w:rsidRPr="003E425B">
              <w:rPr>
                <w:rFonts w:ascii="Times New Roman" w:hAnsi="Times New Roman" w:cs="Times New Roman"/>
                <w:sz w:val="28"/>
              </w:rPr>
              <w:t xml:space="preserve">supuesto Público Nacional, estas disposiciones “desde el punto de vista presupuestal, constituyen una autorización de gasto, que se financiarían con el patrimonio del Ministerio de Ministerio de Igualdad y Equidad”. Este patrimonio, estará supeditado a la </w:t>
            </w:r>
            <w:r w:rsidRPr="003E425B">
              <w:rPr>
                <w:rFonts w:ascii="Times New Roman" w:hAnsi="Times New Roman" w:cs="Times New Roman"/>
                <w:sz w:val="28"/>
              </w:rPr>
              <w:t>disponibilidad presupuestal de recursos que puedan ser apropiados para tal fin. En efecto, según el artículo 39 del Estatuto Orgánico de Presupuesto (EOP), “los gastos autorizados por Leyes preexistentes a la presentación del proyecto anual del Presupuesto</w:t>
            </w:r>
            <w:r w:rsidRPr="003E425B">
              <w:rPr>
                <w:rFonts w:ascii="Times New Roman" w:hAnsi="Times New Roman" w:cs="Times New Roman"/>
                <w:sz w:val="28"/>
              </w:rPr>
              <w:t xml:space="preserve"> General de la Nación, serán incorporados a éste, de acuerdo con la disponibilidad de recursos, y las prioridades del Gobierno, si corresponden a funciones de órganos del nivel nacional y guardan concordancia con el Plan Nacional de Inversiones”. En este s</w:t>
            </w:r>
            <w:r w:rsidRPr="003E425B">
              <w:rPr>
                <w:rFonts w:ascii="Times New Roman" w:hAnsi="Times New Roman" w:cs="Times New Roman"/>
                <w:sz w:val="28"/>
              </w:rPr>
              <w:t>entido, “la aprobación legislativa de un gasto es condición necesaria, pero no suficiente para poder llevarlo a cabo”, pues corresponde al Gobierno decidir qué gastos ordenados por las leyes se incluyen en el respectivo proyecto de presupuesto, en un marco</w:t>
            </w:r>
            <w:r w:rsidRPr="003E425B">
              <w:rPr>
                <w:rFonts w:ascii="Times New Roman" w:hAnsi="Times New Roman" w:cs="Times New Roman"/>
                <w:sz w:val="28"/>
              </w:rPr>
              <w:t xml:space="preserve"> de sostenibilidad fiscal (artículo 346 CP). Así las cosas, en la medida en que la Ley demandada solo comporta una habilitación o autorización legal para incluir gasto, “se tiene que armonizar con las restricciones del Marco Fiscal de Mediano Plazo y con l</w:t>
            </w:r>
            <w:r w:rsidRPr="003E425B">
              <w:rPr>
                <w:rFonts w:ascii="Times New Roman" w:hAnsi="Times New Roman" w:cs="Times New Roman"/>
                <w:sz w:val="28"/>
              </w:rPr>
              <w:t>as proyecciones de gastos de mediano plazo”. Sin embargo, “no son vinculantes los deberes de que trata el artículo 7 de la Ley 819 de 2003”.</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En cualquier caso, con el propósito de que el legislador conociera una estimación de costos de la iniciativa, el MH</w:t>
            </w:r>
            <w:r w:rsidRPr="003E425B">
              <w:rPr>
                <w:rFonts w:ascii="Times New Roman" w:hAnsi="Times New Roman" w:cs="Times New Roman"/>
                <w:sz w:val="28"/>
              </w:rPr>
              <w:t xml:space="preserve">CP expuso los costos de referencia de los ministerios existentes para la vigencia 2022 y 2023 “únicamente en lo que se refiere a los gastos de personal y sin tener en cuenta los programas de inversión, pues (…) estas erogaciones dependen de la estructura, </w:t>
            </w:r>
            <w:r w:rsidRPr="003E425B">
              <w:rPr>
                <w:rFonts w:ascii="Times New Roman" w:hAnsi="Times New Roman" w:cs="Times New Roman"/>
                <w:sz w:val="28"/>
              </w:rPr>
              <w:t>el alcance y las funciones del nuevo Ministerio”.</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Por lo demás, la Corte debe recordar que “cuando la iniciativa legislativa ha sido presentada conjuntamente por el Gobierno y algunos congresistas, el cumplimiento de los requisitos de valoración del impact</w:t>
            </w:r>
            <w:r w:rsidRPr="003E425B">
              <w:rPr>
                <w:rFonts w:ascii="Times New Roman" w:hAnsi="Times New Roman" w:cs="Times New Roman"/>
                <w:sz w:val="28"/>
              </w:rPr>
              <w:t>o fiscal de la medida en el curso del trámite se evalúa bajo un (…) control débil de las cargas deliberativas por existencia de acuerdo entre el Gobierno y el Congreso”. Al respecto, indicó que ello se hizo en la sentencia C-540 de 2012.</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No se pronunció en relación con este cargo.</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se pronunció en relación con este cargo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i/>
                <w:iCs/>
                <w:sz w:val="28"/>
              </w:rPr>
              <w:t xml:space="preserve">Cargo por omisión de analizar el impacto fiscal: </w:t>
            </w:r>
            <w:r w:rsidRPr="003E425B">
              <w:rPr>
                <w:rFonts w:ascii="Times New Roman" w:hAnsi="Times New Roman" w:cs="Times New Roman"/>
                <w:sz w:val="28"/>
              </w:rPr>
              <w:t>exequibilidad.</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se pronunció en relación con los demás cargos.</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6</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Ministerio de Justicia</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La Ley no vulneró esta obligación, porque “lo importante es que la iniciativa cuente, durante el trámite legislativo, con el concepto del Ministerio de Hacienda y Crédito Público, (…) al tenerlo en cuenta, el proyecto se aprueba consultando y sopesando el</w:t>
            </w:r>
            <w:r w:rsidRPr="003E425B">
              <w:rPr>
                <w:rFonts w:ascii="Times New Roman" w:hAnsi="Times New Roman" w:cs="Times New Roman"/>
                <w:sz w:val="28"/>
              </w:rPr>
              <w:t xml:space="preserve"> impacto fiscal y determinando la fuente de ingresos y su conformidad con el Marco Fiscal de Mediano Plazo”. En el presente caso, “el proyecto de Ley sí tuvo en cuenta, al momento de los debates en Plenarias de Cámara y Senado, la información que tenía a m</w:t>
            </w:r>
            <w:r w:rsidRPr="003E425B">
              <w:rPr>
                <w:rFonts w:ascii="Times New Roman" w:hAnsi="Times New Roman" w:cs="Times New Roman"/>
                <w:sz w:val="28"/>
              </w:rPr>
              <w:t>ano sobre el impacto fiscal del proyecto, con lo cual se cumplió con el requisito de evaluación de dicho impacto”.</w:t>
            </w:r>
          </w:p>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El cargo es inepto. Los accionantes parten de una interpretación subjetiva del numeral 2 del artículo 119 de la Ley 5 de 1</w:t>
            </w:r>
            <w:r w:rsidRPr="003E425B">
              <w:rPr>
                <w:rFonts w:ascii="Times New Roman" w:hAnsi="Times New Roman" w:cs="Times New Roman"/>
                <w:sz w:val="28"/>
              </w:rPr>
              <w:t xml:space="preserve">992 y el artículo 150 de la CP, dado que esta disposición no exige que cuando apenas un artículo de la ley otorgue facultades extraordinarias, la totalidad de la ley deba aprobarse por mayoría absoluta. </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En cualquier caso, el artículo que otorga dichas fac</w:t>
            </w:r>
            <w:r w:rsidRPr="003E425B">
              <w:rPr>
                <w:rFonts w:ascii="Times New Roman" w:hAnsi="Times New Roman" w:cs="Times New Roman"/>
                <w:sz w:val="28"/>
              </w:rPr>
              <w:t xml:space="preserve">ultades fue aprobado por mayoría absoluta. En efecto, “en la certificación allegada a la Corte por la secretaría de la Comisión primera de Cámara, [se advierte] que en [la] comisión primera de Cámara la votación por el artículo 11 de la ponencia [12 de la </w:t>
            </w:r>
            <w:r w:rsidRPr="003E425B">
              <w:rPr>
                <w:rFonts w:ascii="Times New Roman" w:hAnsi="Times New Roman" w:cs="Times New Roman"/>
                <w:sz w:val="28"/>
              </w:rPr>
              <w:t xml:space="preserve">Ley], el cual concede las facultades extraordinarias, fue de 23 votos por el sí y 5 por el no, mientras que en Comisión Primera de Senado, como consta en el video de la sesión, la votación por dicho artículo fue de 14 votos por sí y 2 votos por el no, con </w:t>
            </w:r>
            <w:r w:rsidRPr="003E425B">
              <w:rPr>
                <w:rFonts w:ascii="Times New Roman" w:hAnsi="Times New Roman" w:cs="Times New Roman"/>
                <w:sz w:val="28"/>
              </w:rPr>
              <w:t>lo cual se alcanzó ampliamente la mayoría absoluta de los votos de cada una de las comisiones”.</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xml:space="preserve">Las facultades concedidas al ejecutivo son precisas y claras, porque la materia a la que se refieren es determinable. La fórmula general “integrar al Sector de </w:t>
            </w:r>
            <w:r w:rsidRPr="003E425B">
              <w:rPr>
                <w:rFonts w:ascii="Times New Roman" w:hAnsi="Times New Roman" w:cs="Times New Roman"/>
                <w:sz w:val="28"/>
              </w:rPr>
              <w:t xml:space="preserve">Igualdad y Equidad con las entidades que defina como adscritas o vinculadas”, es determinable, pues el artículo 42 de la Ley 489 de 1998 (orgánica de la Administración Pública) explica cómo está integrado un sector administrativo. Además, el artículo 68 </w:t>
            </w:r>
            <w:r w:rsidRPr="003E425B">
              <w:rPr>
                <w:rFonts w:ascii="Times New Roman" w:hAnsi="Times New Roman" w:cs="Times New Roman"/>
                <w:i/>
                <w:iCs/>
                <w:sz w:val="28"/>
              </w:rPr>
              <w:t>ej</w:t>
            </w:r>
            <w:r w:rsidRPr="003E425B">
              <w:rPr>
                <w:rFonts w:ascii="Times New Roman" w:hAnsi="Times New Roman" w:cs="Times New Roman"/>
                <w:i/>
                <w:iCs/>
                <w:sz w:val="28"/>
              </w:rPr>
              <w:t>usdem</w:t>
            </w:r>
            <w:r w:rsidRPr="003E425B">
              <w:rPr>
                <w:rFonts w:ascii="Times New Roman" w:hAnsi="Times New Roman" w:cs="Times New Roman"/>
                <w:sz w:val="28"/>
              </w:rPr>
              <w:t xml:space="preserve"> contempla la tipología de entidades que están adscritas o vinculadas a un Ministerio. Así mismo, el parágrafo del artículo 50 de la misma Ley contempla cuáles entidades son adscritas y cuáles son vinculadas a un organismo principal de la administraci</w:t>
            </w:r>
            <w:r w:rsidRPr="003E425B">
              <w:rPr>
                <w:rFonts w:ascii="Times New Roman" w:hAnsi="Times New Roman" w:cs="Times New Roman"/>
                <w:sz w:val="28"/>
              </w:rPr>
              <w:t>ón.</w:t>
            </w:r>
          </w:p>
          <w:p w:rsidR="00E4520F" w:rsidRPr="003E425B" w:rsidRDefault="003E425B" w:rsidP="00974D25">
            <w:pPr>
              <w:rPr>
                <w:rFonts w:ascii="Times New Roman" w:hAnsi="Times New Roman" w:cs="Times New Roman"/>
                <w:sz w:val="28"/>
              </w:rPr>
            </w:pP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 e inhibición</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7</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Comisión Colombiana de Juristas</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trámite legislativo satisfizo la carga de análisis de impacto fiscal que exige la jurisprudencia. Conforme a la jurisprudencia correspondía al Congreso (i) valorar y anal</w:t>
            </w:r>
            <w:r w:rsidRPr="003E425B">
              <w:rPr>
                <w:rFonts w:ascii="Times New Roman" w:hAnsi="Times New Roman" w:cs="Times New Roman"/>
                <w:sz w:val="28"/>
              </w:rPr>
              <w:t>izar los conceptos del Ministerio de Hacienda y (ii) discutir el impacto a partir de las propuestas y exposiciones de motivos del proyecto de ley. La supuesta insuficiencia de los argumentos de la exposición de motivos y el concepto del Ministerio de Hacie</w:t>
            </w:r>
            <w:r w:rsidRPr="003E425B">
              <w:rPr>
                <w:rFonts w:ascii="Times New Roman" w:hAnsi="Times New Roman" w:cs="Times New Roman"/>
                <w:sz w:val="28"/>
              </w:rPr>
              <w:t>nda y Crédito Público no obsta para considerar que se transgredió el deber constitucional de estudiar el impacto fiscal. De hecho, calificar la discusión como insuficiente demuestra que ella ocurrió.</w:t>
            </w:r>
          </w:p>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La ley fue aprobada por las mayorías </w:t>
            </w:r>
            <w:r w:rsidRPr="003E425B">
              <w:rPr>
                <w:rFonts w:ascii="Times New Roman" w:hAnsi="Times New Roman" w:cs="Times New Roman"/>
                <w:sz w:val="28"/>
              </w:rPr>
              <w:t>exigidas por la ley. El hecho de que en una ley se concedan facultades extraordinarias al Presidente, no obliga que la totalidad de la ley deba ser aprobada con mayorías absolutas (C-092 de 2022). Basta con que el artículo que las concede acredite ese requ</w:t>
            </w:r>
            <w:r w:rsidRPr="003E425B">
              <w:rPr>
                <w:rFonts w:ascii="Times New Roman" w:hAnsi="Times New Roman" w:cs="Times New Roman"/>
                <w:sz w:val="28"/>
              </w:rPr>
              <w:t xml:space="preserve">isito, como ocurrió en el presente caso.  </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 facultades concedidas</w:t>
            </w:r>
            <w:r w:rsidRPr="003E425B">
              <w:rPr>
                <w:rFonts w:ascii="Times New Roman" w:hAnsi="Times New Roman" w:cs="Times New Roman"/>
                <w:sz w:val="28"/>
              </w:rPr>
              <w:t xml:space="preserve"> no son indeterminadas ni ilimitadas. Estas están circunscritas al desarrollo de dos actividades, de un lado adscribir y, de otro, vincular a entidades a la conformación del Sector de Igualdad y Equidad, a través de la expedición de normas con fuerza mater</w:t>
            </w:r>
            <w:r w:rsidRPr="003E425B">
              <w:rPr>
                <w:rFonts w:ascii="Times New Roman" w:hAnsi="Times New Roman" w:cs="Times New Roman"/>
                <w:sz w:val="28"/>
              </w:rPr>
              <w:t>ial de ley. La adscripción y la vinculación han sido definidas por la jurisprudencia. Además dichas facultades cuentan con un límite temporal de 6 meses para ser ejercidas. En estos términos, el cargo “no consulta al texto e interpretación posible y razona</w:t>
            </w:r>
            <w:r w:rsidRPr="003E425B">
              <w:rPr>
                <w:rFonts w:ascii="Times New Roman" w:hAnsi="Times New Roman" w:cs="Times New Roman"/>
                <w:sz w:val="28"/>
              </w:rPr>
              <w:t>ble de la norma, al contrario, parece fundarse en fundamentos alarmistas y arbitrarios que no se desprenden del contenido del texto del artículo demandado”.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8</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Universidad Libre</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 xml:space="preserve">Impacto Fiscal. </w:t>
            </w:r>
            <w:r w:rsidRPr="003E425B">
              <w:rPr>
                <w:rFonts w:ascii="Times New Roman" w:hAnsi="Times New Roman" w:cs="Times New Roman"/>
                <w:sz w:val="28"/>
              </w:rPr>
              <w:t>No es claro que este deber haya sido satisfecho,</w:t>
            </w:r>
            <w:r w:rsidRPr="003E425B">
              <w:rPr>
                <w:rFonts w:ascii="Times New Roman" w:hAnsi="Times New Roman" w:cs="Times New Roman"/>
                <w:sz w:val="28"/>
              </w:rPr>
              <w:t xml:space="preserve"> razón por la cual la Corte deberá determinarlo. Los argumentos de los demandantes “están basados en su inconformidad política y en su oposición como parte de un sector del Congreso en contra de las explicaciones rendidas durante el trámite legislativo sob</w:t>
            </w:r>
            <w:r w:rsidRPr="003E425B">
              <w:rPr>
                <w:rFonts w:ascii="Times New Roman" w:hAnsi="Times New Roman" w:cs="Times New Roman"/>
                <w:sz w:val="28"/>
              </w:rPr>
              <w:t>re las fuentes de financiamiento y el costo de las medidas adoptadas por la Ley demandada”. Sin embargo, el concepto del MHCP no ilustra de forma suficiente el impacto fiscal que tendrá la norma. Por tanto, la Corte deberá determinar si la estimación el co</w:t>
            </w:r>
            <w:r w:rsidRPr="003E425B">
              <w:rPr>
                <w:rFonts w:ascii="Times New Roman" w:hAnsi="Times New Roman" w:cs="Times New Roman"/>
                <w:sz w:val="28"/>
              </w:rPr>
              <w:t>sto del Ministerio es suficiente para entender satisfecho el análisis de impacto fiscal que correspondía hacer al Congreso.</w:t>
            </w:r>
          </w:p>
          <w:p w:rsidR="00E4520F" w:rsidRPr="003E425B" w:rsidRDefault="003E425B" w:rsidP="00E4520F">
            <w:pPr>
              <w:numPr>
                <w:ilvl w:val="0"/>
                <w:numId w:val="42"/>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La ley fue aprobada por las mayorías exigidas por la ley. La inclusión de un artículo que otorgue facultades extr</w:t>
            </w:r>
            <w:r w:rsidRPr="003E425B">
              <w:rPr>
                <w:rFonts w:ascii="Times New Roman" w:hAnsi="Times New Roman" w:cs="Times New Roman"/>
                <w:sz w:val="28"/>
              </w:rPr>
              <w:t xml:space="preserve">aordinarias en un proyecto de ley ordinaria no obliga a que la totalidad de la ley deba ser aprobada por mayoría absoluta (C-092 de 2020). La sentencia C-816 de 2004 citada por los demandantes no puede ser aplicada al caso concreto en la medida en que, en </w:t>
            </w:r>
            <w:r w:rsidRPr="003E425B">
              <w:rPr>
                <w:rFonts w:ascii="Times New Roman" w:hAnsi="Times New Roman" w:cs="Times New Roman"/>
                <w:sz w:val="28"/>
              </w:rPr>
              <w:t>esa providencia la Corte Constitucional analizó la constitucionalidad de un de un acto legislativo cuyo propósito es el de reformar la Constitución Política, lo que no sucede en el presente caso.</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Las facultades concedidas al ejecutivo son precisas y claras. No debe confundirse la falta de precisión o claridad con el uso de formas lingüísticas generales. El Congreso no está obligado a realizar “una limitación absoluta ni rigurosa que obligue al Cong</w:t>
            </w:r>
            <w:r w:rsidRPr="003E425B">
              <w:rPr>
                <w:rFonts w:ascii="Times New Roman" w:hAnsi="Times New Roman" w:cs="Times New Roman"/>
                <w:sz w:val="28"/>
              </w:rPr>
              <w:t xml:space="preserve">reso a definir en forma meticulosa el contenido de los asuntos materia de regulación normativa” (C-032 de 1999). En el presente caso, las facultades otorgadas se limitan a permitir integrar el Sector de Igualdad y Equidad “i) adscribiendo y ii) vinculando </w:t>
            </w:r>
            <w:r w:rsidRPr="003E425B">
              <w:rPr>
                <w:rFonts w:ascii="Times New Roman" w:hAnsi="Times New Roman" w:cs="Times New Roman"/>
                <w:sz w:val="28"/>
              </w:rPr>
              <w:t>a este las entidades que permitan conformarlo”.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9</w:t>
            </w:r>
          </w:p>
        </w:tc>
        <w:tc>
          <w:tcPr>
            <w:tcW w:w="783" w:type="pct"/>
            <w:vAlign w:val="center"/>
          </w:tcPr>
          <w:p w:rsidR="00E4520F" w:rsidRPr="003E425B" w:rsidRDefault="003E425B" w:rsidP="00974D25">
            <w:pPr>
              <w:jc w:val="center"/>
              <w:rPr>
                <w:rFonts w:ascii="Times New Roman" w:hAnsi="Times New Roman" w:cs="Times New Roman"/>
                <w:sz w:val="28"/>
              </w:rPr>
            </w:pPr>
            <w:r w:rsidRPr="003E425B">
              <w:rPr>
                <w:rFonts w:ascii="Times New Roman" w:eastAsia="Times New Roman" w:hAnsi="Times New Roman" w:cs="Times New Roman"/>
                <w:color w:val="000000"/>
                <w:sz w:val="28"/>
              </w:rPr>
              <w:t>Universidad del Bosque</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Congreso evaluó el impacto fiscal de la medida. El Ministerio de la Igualdad “contribuiría a mejorar la sostenibilidad fiscal al promover la inclusió</w:t>
            </w:r>
            <w:r w:rsidRPr="003E425B">
              <w:rPr>
                <w:rFonts w:ascii="Times New Roman" w:hAnsi="Times New Roman" w:cs="Times New Roman"/>
                <w:sz w:val="28"/>
              </w:rPr>
              <w:t>n y la participación efectiva de los grupos vulnerables o discriminados, lo cual generaría mayor crecimiento económico, mayor recaudo tributario y menor gasto social”. Por lo tanto, la creación del Ministerio de Equidad e Igualdad es una medida que respeta</w:t>
            </w:r>
            <w:r w:rsidRPr="003E425B">
              <w:rPr>
                <w:rFonts w:ascii="Times New Roman" w:hAnsi="Times New Roman" w:cs="Times New Roman"/>
                <w:sz w:val="28"/>
              </w:rPr>
              <w:t xml:space="preserve"> el principio constitucional de sostenibilidad fiscal. </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En el presente caso, no se logró probar que se disolvió el quórum de la sesión conjunta de las comisiones en primer debate. La “falta de quórum para la aprobación de una ley, es un </w:t>
            </w:r>
            <w:r w:rsidRPr="003E425B">
              <w:rPr>
                <w:rFonts w:ascii="Times New Roman" w:hAnsi="Times New Roman" w:cs="Times New Roman"/>
                <w:sz w:val="28"/>
              </w:rPr>
              <w:t xml:space="preserve">hecho que debe ser probado, y la prueba idónea es la presentación de las actas de sesión en las que conste la asistencia de los congresistas o, en su defecto, los listados de asistencia” (C-763 de 2002). </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Las facultades concedidas al ejecutivo son precisas</w:t>
            </w:r>
            <w:r w:rsidRPr="003E425B">
              <w:rPr>
                <w:rFonts w:ascii="Times New Roman" w:hAnsi="Times New Roman" w:cs="Times New Roman"/>
                <w:sz w:val="28"/>
              </w:rPr>
              <w:t xml:space="preserve"> y claras, pese a ser generales. Esto, porque las palabras “adscribir” y “vincular”, delimitan el alcance de las mismas.</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10</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María José Pizarro</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En el trámite de la Ley sí se discutió su impacto fiscal. Si bien en la exposición de motivos no se estimó el costo de la creación del Ministerio de Igualdad y Equidad, esto sí se debatió en la discusión del informe de ponencia en la sesión de Comisiones </w:t>
            </w:r>
            <w:r w:rsidRPr="003E425B">
              <w:rPr>
                <w:rFonts w:ascii="Times New Roman" w:hAnsi="Times New Roman" w:cs="Times New Roman"/>
                <w:sz w:val="28"/>
              </w:rPr>
              <w:t>Constitucionales Primeras conjuntas, en parte, por los cuestionamientos de la oposición frente al costo. Para la creación de ministerios en el momento del debate, es imposible estimar una medida certera dado que las leyes sólo están obligadas a crear la “e</w:t>
            </w:r>
            <w:r w:rsidRPr="003E425B">
              <w:rPr>
                <w:rFonts w:ascii="Times New Roman" w:hAnsi="Times New Roman" w:cs="Times New Roman"/>
                <w:sz w:val="28"/>
              </w:rPr>
              <w:t>structura orgánica” de la entidad que se crea y, por ende, no incluye una determinación absoluta de su planta de personal y de la oferta institucional que determinar el presupuesto de inversión y gasto.</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La ley fue aprobada por las mayorí</w:t>
            </w:r>
            <w:r w:rsidRPr="003E425B">
              <w:rPr>
                <w:rFonts w:ascii="Times New Roman" w:hAnsi="Times New Roman" w:cs="Times New Roman"/>
                <w:sz w:val="28"/>
              </w:rPr>
              <w:t xml:space="preserve">as exigidas. La jurisprudencia de la Corte Constitucional permite que un artículo de una ley ordinaria otorgue facultades extraordinarias sin que esto implique que toda la ley deba ser votada por mayorías absolutas (C-092 de 2022). </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Las facultades concedid</w:t>
            </w:r>
            <w:r w:rsidRPr="003E425B">
              <w:rPr>
                <w:rFonts w:ascii="Times New Roman" w:hAnsi="Times New Roman" w:cs="Times New Roman"/>
                <w:sz w:val="28"/>
              </w:rPr>
              <w:t>as al ejecutivo no están indeterminadas. El artículo 12 de la ley es claro “al señalar dos acciones que estarían dentro de las facultades extraordinarias, que son vincular y adscribir, a las diferentes entidades necesarias para integrar el Sector de Iguald</w:t>
            </w:r>
            <w:r w:rsidRPr="003E425B">
              <w:rPr>
                <w:rFonts w:ascii="Times New Roman" w:hAnsi="Times New Roman" w:cs="Times New Roman"/>
                <w:sz w:val="28"/>
              </w:rPr>
              <w:t>ad, lo que sería el objeto de las facultades extraordinarias”. Estas dos acciones han sido definidas por la Corte Constitucional. Por lo demás, las facultades no fueron concedidas (i) para expedir los códigos, (ii) no recaen sobre materias de reserva de le</w:t>
            </w:r>
            <w:r w:rsidRPr="003E425B">
              <w:rPr>
                <w:rFonts w:ascii="Times New Roman" w:hAnsi="Times New Roman" w:cs="Times New Roman"/>
                <w:sz w:val="28"/>
              </w:rPr>
              <w:t>y estatutaria ni orgánica, (iii) para expedir leyes marco, ni (iv) para el decreto o modificación de impuesto. De esta manera, tampoco contrarían las prohibiciones expresas en ese sentido.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11</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 xml:space="preserve">Ana Isabel Arenas Saavedra, Ángela María Robledo </w:t>
            </w:r>
            <w:r w:rsidRPr="003E425B">
              <w:rPr>
                <w:rFonts w:ascii="Times New Roman" w:eastAsia="Times New Roman" w:hAnsi="Times New Roman" w:cs="Times New Roman"/>
                <w:color w:val="000000"/>
                <w:sz w:val="28"/>
              </w:rPr>
              <w:t>y 35 congresistas y organizaciones más</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trámite legislativo cumplió este requisito en los términos exigidos por la jurisprudencia. El alcance del requisito de evaluar de impacto fiscal “debe analizarse a la luz del objetivo constitucional</w:t>
            </w:r>
            <w:r w:rsidRPr="003E425B">
              <w:rPr>
                <w:rFonts w:ascii="Times New Roman" w:hAnsi="Times New Roman" w:cs="Times New Roman"/>
                <w:sz w:val="28"/>
              </w:rPr>
              <w:t xml:space="preserve"> de salvaguardar la dimensión prestacional de [el derecho a la igualdad] sin supeditar su goce efectivo a la regla fiscal o a una determinación demasiado rígida, y por tanto limitada, de sus costos”. En cualquier caso, el trámite del proyecto de ley que di</w:t>
            </w:r>
            <w:r w:rsidRPr="003E425B">
              <w:rPr>
                <w:rFonts w:ascii="Times New Roman" w:hAnsi="Times New Roman" w:cs="Times New Roman"/>
                <w:sz w:val="28"/>
              </w:rPr>
              <w:t>o lugar a la aprobación de la ley 2281 de 2023 “estuvo precedido de deliberaciones basadas en consideraciones básicas sobre las necesidades presupuestales globales de la implementación de la misma y por tanto, de sus efectos fiscales”, lo cual satisface el</w:t>
            </w:r>
            <w:r w:rsidRPr="003E425B">
              <w:rPr>
                <w:rFonts w:ascii="Times New Roman" w:hAnsi="Times New Roman" w:cs="Times New Roman"/>
                <w:sz w:val="28"/>
              </w:rPr>
              <w:t xml:space="preserve"> estándar jurisprudencial exigido para estos casos. Por lo demás, la Corte debe valorar que la iniciativa legislativa ha sido presentada conjuntamente por el Gobierno y algunos congresistas, por tanto, “el cumplimiento de los requisitos de valoración del i</w:t>
            </w:r>
            <w:r w:rsidRPr="003E425B">
              <w:rPr>
                <w:rFonts w:ascii="Times New Roman" w:hAnsi="Times New Roman" w:cs="Times New Roman"/>
                <w:sz w:val="28"/>
              </w:rPr>
              <w:t>mpacto fiscal de la medida en el curso del trámite se evalúa bajo un escrutinio deferente de las decisiones adoptadas”.</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La ley fue aprobada por las mayorías exigidas. La jurisprudencia de la Corte Constitucional permite que un artículo d</w:t>
            </w:r>
            <w:r w:rsidRPr="003E425B">
              <w:rPr>
                <w:rFonts w:ascii="Times New Roman" w:hAnsi="Times New Roman" w:cs="Times New Roman"/>
                <w:sz w:val="28"/>
              </w:rPr>
              <w:t>e una ley ordinaria otorgue facultades extraordinarias sin que esto implique que toda la ley deba ser votada por mayorías absolutas (C-092 de 2022). El acta del debate de las comisiones primeras constitucionales conjuntas demuestra que el artículo 12 de la</w:t>
            </w:r>
            <w:r w:rsidRPr="003E425B">
              <w:rPr>
                <w:rFonts w:ascii="Times New Roman" w:hAnsi="Times New Roman" w:cs="Times New Roman"/>
                <w:sz w:val="28"/>
              </w:rPr>
              <w:t xml:space="preserve"> Ley fue aprobado por mayoría absoluta. Además, los demandantes no aportaron pruebas idóneas para demostrar lo contrario. La acreditación de mayorías absolutas supone evidentemente la acreditación del quorum decisorio. </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Las facultades concedidas al ejecuti</w:t>
            </w:r>
            <w:r w:rsidRPr="003E425B">
              <w:rPr>
                <w:rFonts w:ascii="Times New Roman" w:hAnsi="Times New Roman" w:cs="Times New Roman"/>
                <w:sz w:val="28"/>
              </w:rPr>
              <w:t>vo no están indeterminadas. El artículo 12 de la ley es claro “al señalar dos acciones que estarían dentro de las facultades extraordinarias, que son vincular y adscribir, a las diferentes entidades necesarias para integrar el Sector de Igualdad, lo que se</w:t>
            </w:r>
            <w:r w:rsidRPr="003E425B">
              <w:rPr>
                <w:rFonts w:ascii="Times New Roman" w:hAnsi="Times New Roman" w:cs="Times New Roman"/>
                <w:sz w:val="28"/>
              </w:rPr>
              <w:t>ría el objeto de las facultades extraordinarias”. Estas dos acciones han sido definidas por la Corte Constitucional. Por lo demás, las facultades no fueron concedidas (i) para expedir los códigos, (ii) no recaen sobre materias de reserva de ley estatutaria</w:t>
            </w:r>
            <w:r w:rsidRPr="003E425B">
              <w:rPr>
                <w:rFonts w:ascii="Times New Roman" w:hAnsi="Times New Roman" w:cs="Times New Roman"/>
                <w:sz w:val="28"/>
              </w:rPr>
              <w:t xml:space="preserve"> ni orgánica, (iii) para expedir leyes marco, ni (iv) para el decreto o modificación de impuesto. De esta manera, tampoco contrarían las prohibiciones expresas en ese sentido.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12</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Alexander López Maya</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La ley 2281 de 2023 cuenta con estudio de impacto fiscal y por tanto su trámite no está viciado. En la ponencia para primer debate de las comisiones primeras constitucionales que obraron de manera conjunta se incluyó un análisis de impacto fiscal en el qu</w:t>
            </w:r>
            <w:r w:rsidRPr="003E425B">
              <w:rPr>
                <w:rFonts w:ascii="Times New Roman" w:hAnsi="Times New Roman" w:cs="Times New Roman"/>
                <w:sz w:val="28"/>
              </w:rPr>
              <w:t>e se indicó que “se estima que el Ministerio de Igualdad y Equidad tendrá un costo de 18.239 millones de pesos, de acuerdo con fuentes del Ministerio de Hacienda y Crédito Público, y se estima que la fuente para la apropiación de estos recursos devendrán (</w:t>
            </w:r>
            <w:r w:rsidRPr="003E425B">
              <w:rPr>
                <w:rFonts w:ascii="Times New Roman" w:hAnsi="Times New Roman" w:cs="Times New Roman"/>
                <w:sz w:val="28"/>
              </w:rPr>
              <w:t>sic) del Presupuesto General de la Nación”. A esto se suma que el 12 de diciembre de 2022 el Ministerio de Hacienda y Crédito Público envió su concepto de impacto fiscal. Con estos dos insumos “el Congreso de la República obtuvo una consciencia de la reali</w:t>
            </w:r>
            <w:r w:rsidRPr="003E425B">
              <w:rPr>
                <w:rFonts w:ascii="Times New Roman" w:hAnsi="Times New Roman" w:cs="Times New Roman"/>
                <w:sz w:val="28"/>
              </w:rPr>
              <w:t>dad macroeconómica del país y de los impactos que pudiera tener la adopción del Ministerio de la Igualdad y Equidad, la cual asumió al aprobar los cuatro debates constitucionalmente necesarios para que adoptar una ley de la república”.</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E</w:t>
            </w:r>
            <w:r w:rsidRPr="003E425B">
              <w:rPr>
                <w:rFonts w:ascii="Times New Roman" w:hAnsi="Times New Roman" w:cs="Times New Roman"/>
                <w:sz w:val="28"/>
              </w:rPr>
              <w:t xml:space="preserve">s posible que una ley contenga disposiciones orgánicas y ordinarias y, por tanto, que sus artículos sean aprobados por mayorías diferentes (C-052 de 2015). Si bien la ley 2281 de 2023 “es mayoritariamente ordinaria, el artículo 12 fue aprobado con respeto </w:t>
            </w:r>
            <w:r w:rsidRPr="003E425B">
              <w:rPr>
                <w:rFonts w:ascii="Times New Roman" w:hAnsi="Times New Roman" w:cs="Times New Roman"/>
                <w:sz w:val="28"/>
              </w:rPr>
              <w:t xml:space="preserve">de las exigencias de la reserva de ley orgánica de conformidad con el artículo 150.10 de la Constitución Política de 1991”. </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El tenor literal del artículo 12 determina la facultad otorgada al presidente de la República, tanto temporalmente como materialmen</w:t>
            </w:r>
            <w:r w:rsidRPr="003E425B">
              <w:rPr>
                <w:rFonts w:ascii="Times New Roman" w:hAnsi="Times New Roman" w:cs="Times New Roman"/>
                <w:sz w:val="28"/>
              </w:rPr>
              <w:t xml:space="preserve">te. El límite temporal son los 6 meses durante los cuales podrá ejercerlas. El material son las tareas de vinculación y adscripción que se encuentran reguladas en el ordenamiento. </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13</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Alirio Uribe</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 xml:space="preserve">Impacto Fiscal. </w:t>
            </w:r>
            <w:r w:rsidRPr="003E425B">
              <w:rPr>
                <w:rFonts w:ascii="Times New Roman" w:hAnsi="Times New Roman" w:cs="Times New Roman"/>
                <w:sz w:val="28"/>
              </w:rPr>
              <w:t xml:space="preserve">El Congreso sí evaluó el impacto fiscal de la Ley demandada. Los argumentos de los demandantes demuestran que este asunto fue discutido, sin embargo manifiestan su desacuerdo con la forma en que ocurrió. Esta inconformidad es insuficiente para estructurar </w:t>
            </w:r>
            <w:r w:rsidRPr="003E425B">
              <w:rPr>
                <w:rFonts w:ascii="Times New Roman" w:hAnsi="Times New Roman" w:cs="Times New Roman"/>
                <w:sz w:val="28"/>
              </w:rPr>
              <w:t>un vicio de procedimiento. Máxime, habida cuenta de que el estándar jurisprudencial únicamente exige “una mínima consideración (…) para que sea posible establecer referentes básicos para analizar el impacto fiscal del proyecto”. El debate del proyecto cons</w:t>
            </w:r>
            <w:r w:rsidRPr="003E425B">
              <w:rPr>
                <w:rFonts w:ascii="Times New Roman" w:hAnsi="Times New Roman" w:cs="Times New Roman"/>
                <w:sz w:val="28"/>
              </w:rPr>
              <w:t>ideró que el Ministerio costaría cerca de 18.239 millones de pesos y que, “al no tener definido en el proyecto de ley una fuente de ingresos adicional, de conformidad con el artículo 7 de la Ley 819 de 2003 (Orgánica del presupuesto), los costos del Minist</w:t>
            </w:r>
            <w:r w:rsidRPr="003E425B">
              <w:rPr>
                <w:rFonts w:ascii="Times New Roman" w:hAnsi="Times New Roman" w:cs="Times New Roman"/>
                <w:sz w:val="28"/>
              </w:rPr>
              <w:t xml:space="preserve">erio serán atendidos con los presupuestos apropiados por el Presupuesto General de la Nación para cada vigencia”. Además, para el segundo debate, el MHCP conceptuó. </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No se pronunció sobre este cargo.</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Las facultades no están indeterminada</w:t>
            </w:r>
            <w:r w:rsidRPr="003E425B">
              <w:rPr>
                <w:rFonts w:ascii="Times New Roman" w:hAnsi="Times New Roman" w:cs="Times New Roman"/>
                <w:sz w:val="28"/>
              </w:rPr>
              <w:t>s. El alcance de las mismas es claro: expedir normas con fuerza material de ley dirigidas a integrar al Sector de Igualdad y Equidad con las entidades que se definan como adscritas o vinculadas. En el presente caso, las facultades fueron concedidas conform</w:t>
            </w:r>
            <w:r w:rsidRPr="003E425B">
              <w:rPr>
                <w:rFonts w:ascii="Times New Roman" w:hAnsi="Times New Roman" w:cs="Times New Roman"/>
                <w:sz w:val="28"/>
              </w:rPr>
              <w:t>e a la Constitución, porque “(i) fueron solicitadas expresamente por el Gobierno Nacional desde la radicación del proyecto de ley, en el texto del proyecto original; (ii) fueron aprobadas por las mayorías absolutas de senado y cámara en cada uno de sus deb</w:t>
            </w:r>
            <w:r w:rsidRPr="003E425B">
              <w:rPr>
                <w:rFonts w:ascii="Times New Roman" w:hAnsi="Times New Roman" w:cs="Times New Roman"/>
                <w:sz w:val="28"/>
              </w:rPr>
              <w:t>ates, como consta en las actas correspondientes y en los soportes audiovisuales de las sesiones (…); (iii) en la exposición de motivos y en los debates del proyecto de ley se pudo evidenciar por qué era necesaria crear una cartera ministerial que articular</w:t>
            </w:r>
            <w:r w:rsidRPr="003E425B">
              <w:rPr>
                <w:rFonts w:ascii="Times New Roman" w:hAnsi="Times New Roman" w:cs="Times New Roman"/>
                <w:sz w:val="28"/>
              </w:rPr>
              <w:t>a las acciones del ejecutivo en materia de igualdad (iv) con estas facultades no se busca crear ningún código, ni modificar una ley estatutaria u orgánica, ni tampoco colocar impuestos, ni ninguna de las materias que son competencia del Congreso de la Repú</w:t>
            </w:r>
            <w:r w:rsidRPr="003E425B">
              <w:rPr>
                <w:rFonts w:ascii="Times New Roman" w:hAnsi="Times New Roman" w:cs="Times New Roman"/>
                <w:sz w:val="28"/>
              </w:rPr>
              <w:t>blica; (v) su término es de seis meses; y (vi) no elimina la competencia del Congreso de la República para modificar los decretos legislativos en cualquier momento”.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14</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Luz María Múnera</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trámite legislativo cumplió este requisito en los términos exigidos por la jurisprudencia. El alcance del requisito de evaluar de impacto fiscal “debe analizarse a la luz del objetivo constitucional de salvaguardar la dimensión prestacional de [el dere</w:t>
            </w:r>
            <w:r w:rsidRPr="003E425B">
              <w:rPr>
                <w:rFonts w:ascii="Times New Roman" w:hAnsi="Times New Roman" w:cs="Times New Roman"/>
                <w:sz w:val="28"/>
              </w:rPr>
              <w:t>cho a la igualdad] sin supeditar su goce efectivo a la regla fiscal o a una determinación demasiado rígida, y por tanto limitada, de sus costos”. En cualquier caso, el trámite del proyecto de ley que dio lugar a la aprobación de la ley 2281 de 2023 “estuvo</w:t>
            </w:r>
            <w:r w:rsidRPr="003E425B">
              <w:rPr>
                <w:rFonts w:ascii="Times New Roman" w:hAnsi="Times New Roman" w:cs="Times New Roman"/>
                <w:sz w:val="28"/>
              </w:rPr>
              <w:t xml:space="preserve"> precedido de deliberaciones basadas en consideraciones básicas sobre las necesidades presupuestales globales de la implementación de la misma y por tanto, de sus efectos fiscales”, lo cual satisface el estándar jurisprudencial exigido para estos casos. Po</w:t>
            </w:r>
            <w:r w:rsidRPr="003E425B">
              <w:rPr>
                <w:rFonts w:ascii="Times New Roman" w:hAnsi="Times New Roman" w:cs="Times New Roman"/>
                <w:sz w:val="28"/>
              </w:rPr>
              <w:t xml:space="preserve">r lo demás, la Corte debe valorar que la iniciativa legislativa ha sido presentada conjuntamente por el Gobierno y algunos congresistas, por tanto, “el cumplimiento de los requisitos de valoración del impacto fiscal de la medida en el curso del trámite se </w:t>
            </w:r>
            <w:r w:rsidRPr="003E425B">
              <w:rPr>
                <w:rFonts w:ascii="Times New Roman" w:hAnsi="Times New Roman" w:cs="Times New Roman"/>
                <w:sz w:val="28"/>
              </w:rPr>
              <w:t>evalúa bajo un escrutinio deferente de las decisiones adoptadas”.</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Manifestó acogerse “a las actas de las sesiones conjuntas donde se consigna el requisito de las mayorías absolutas”.</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La facultades obedecen a “la necesidad de revisar admi</w:t>
            </w:r>
            <w:r w:rsidRPr="003E425B">
              <w:rPr>
                <w:rFonts w:ascii="Times New Roman" w:hAnsi="Times New Roman" w:cs="Times New Roman"/>
                <w:sz w:val="28"/>
              </w:rPr>
              <w:t>nistrativamente la oferta institucional para consolidar un sector de Igualdad y Equidad con potencial transformador al reunir a las entidades competentes, con el objetivo de articularlas y mejorar su rendimiento”. El uso de estas facultades se debe sustent</w:t>
            </w:r>
            <w:r w:rsidRPr="003E425B">
              <w:rPr>
                <w:rFonts w:ascii="Times New Roman" w:hAnsi="Times New Roman" w:cs="Times New Roman"/>
                <w:sz w:val="28"/>
              </w:rPr>
              <w:t>ar en el análisis técnico que actualmente adelanta la “Mesa Técnica entre la Vicepresidencia de la República, el Departamento Administrativo de la Función Pública y el Ministerio de Hacienda y Crédito Público para definir los aspectos que faltan sobre el s</w:t>
            </w:r>
            <w:r w:rsidRPr="003E425B">
              <w:rPr>
                <w:rFonts w:ascii="Times New Roman" w:hAnsi="Times New Roman" w:cs="Times New Roman"/>
                <w:sz w:val="28"/>
              </w:rPr>
              <w:t xml:space="preserve">ector y que atiende a discusiones con base en elementos como la capacidad y necesidad institucional”. </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15</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Harold Sua</w:t>
            </w:r>
          </w:p>
        </w:tc>
        <w:tc>
          <w:tcPr>
            <w:tcW w:w="2191" w:type="pct"/>
            <w:gridSpan w:val="2"/>
            <w:vAlign w:val="center"/>
          </w:tcPr>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Congreso no realizó el análisis de impacto fiscal. La exposición de motivos del proyecto de ley carece de</w:t>
            </w:r>
            <w:r w:rsidRPr="003E425B">
              <w:rPr>
                <w:rFonts w:ascii="Times New Roman" w:hAnsi="Times New Roman" w:cs="Times New Roman"/>
                <w:sz w:val="28"/>
              </w:rPr>
              <w:t xml:space="preserve"> la indicación siquiera sumaria de los costos fiscales de la creación del Ministerio de la Igualdad. Esto fue admitido por el MHCP que sostuvo que “el costo preciso de creación y operación del nuevo Ministerio se puede tener una vez se cuente con la estruc</w:t>
            </w:r>
            <w:r w:rsidRPr="003E425B">
              <w:rPr>
                <w:rFonts w:ascii="Times New Roman" w:hAnsi="Times New Roman" w:cs="Times New Roman"/>
                <w:sz w:val="28"/>
              </w:rPr>
              <w:t>tura final de la entidad”.</w:t>
            </w:r>
          </w:p>
          <w:p w:rsidR="00E4520F" w:rsidRPr="003E425B" w:rsidRDefault="003E425B" w:rsidP="00E4520F">
            <w:pPr>
              <w:numPr>
                <w:ilvl w:val="0"/>
                <w:numId w:val="42"/>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No se pronunció en relación con este cargo.</w:t>
            </w:r>
          </w:p>
        </w:tc>
        <w:tc>
          <w:tcPr>
            <w:tcW w:w="1392"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se pronunció en relación con este cargo.</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i/>
                <w:iCs/>
                <w:sz w:val="28"/>
              </w:rPr>
              <w:t xml:space="preserve">Cargo por omisión de analizar el impacto fiscal: </w:t>
            </w:r>
            <w:r w:rsidRPr="003E425B">
              <w:rPr>
                <w:rFonts w:ascii="Times New Roman" w:hAnsi="Times New Roman" w:cs="Times New Roman"/>
                <w:sz w:val="28"/>
              </w:rPr>
              <w:t>Inexequibilidad.</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se pronunció en relación con los demás cargos.</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16</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Departamento Nacional de Planeación (DNP)</w:t>
            </w:r>
          </w:p>
        </w:tc>
        <w:tc>
          <w:tcPr>
            <w:tcW w:w="3583" w:type="pct"/>
            <w:gridSpan w:val="3"/>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se pronunció en relación con ninguno de los cargos de la demanda. Planteó argumentos a favor de la “pertinencia de contar con una entidad rectora como el Ministerio de Igualdad y Equidad, que sea la instancia re</w:t>
            </w:r>
            <w:r w:rsidRPr="003E425B">
              <w:rPr>
                <w:rFonts w:ascii="Times New Roman" w:hAnsi="Times New Roman" w:cs="Times New Roman"/>
                <w:sz w:val="28"/>
              </w:rPr>
              <w:t>ctora para aunar esfuerzos orientados a disminuir las brechas de acceso, contrarrestar los fenómenos de la exclusión que enfrenta la población y superar las barreras para el acceso a bienes y servicios básico, especialmente de los grupos vulnerables”. Al r</w:t>
            </w:r>
            <w:r w:rsidRPr="003E425B">
              <w:rPr>
                <w:rFonts w:ascii="Times New Roman" w:hAnsi="Times New Roman" w:cs="Times New Roman"/>
                <w:sz w:val="28"/>
              </w:rPr>
              <w:t>especto, enlistó una serie de asuntos que en la actualidad se encuentran a cargo del DNP y que el Ministerio de la Igualdad debería “consolidar y desarrollar”, entre estos: la Política Nacional de Equidad de Género para las Mujeres (Conpes 4080 de 2022), l</w:t>
            </w:r>
            <w:r w:rsidRPr="003E425B">
              <w:rPr>
                <w:rFonts w:ascii="Times New Roman" w:hAnsi="Times New Roman" w:cs="Times New Roman"/>
                <w:sz w:val="28"/>
              </w:rPr>
              <w:t>a Evaluación de resultados e institucional del CONPES 161 de 2013, la política pública para la garantía de derechos de las personas de los sectores sociales LGBTI (Decreto 762 de 2018), el Pacto Colombia con las juventudes: Estrategia para fortalecer el de</w:t>
            </w:r>
            <w:r w:rsidRPr="003E425B">
              <w:rPr>
                <w:rFonts w:ascii="Times New Roman" w:hAnsi="Times New Roman" w:cs="Times New Roman"/>
                <w:sz w:val="28"/>
              </w:rPr>
              <w:t>sarrollo integral de la juventud (Conpes 4040 de 2021), la Política de personas en condición de discapacidad y los Lineamientos de política en materia del sistema nacional de cuidado.</w:t>
            </w:r>
            <w:r w:rsidRPr="003E425B">
              <w:rPr>
                <w:rFonts w:ascii="Times New Roman" w:hAnsi="Times New Roman" w:cs="Times New Roman"/>
                <w:sz w:val="28"/>
              </w:rPr>
              <w:tab/>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hace ninguna solicitud expresa.</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17</w:t>
            </w:r>
          </w:p>
        </w:tc>
        <w:tc>
          <w:tcPr>
            <w:tcW w:w="783"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Jahel Quiroga</w:t>
            </w:r>
          </w:p>
        </w:tc>
        <w:tc>
          <w:tcPr>
            <w:tcW w:w="3583" w:type="pct"/>
            <w:gridSpan w:val="3"/>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se pronunció en</w:t>
            </w:r>
            <w:r w:rsidRPr="003E425B">
              <w:rPr>
                <w:rFonts w:ascii="Times New Roman" w:hAnsi="Times New Roman" w:cs="Times New Roman"/>
                <w:sz w:val="28"/>
              </w:rPr>
              <w:t xml:space="preserve"> relación con ninguno de los cargos de la demanda. Resaltó que Colombia ha adquirido obligaciones internacionales para promover la igualdad de género y el desarrollo sostenible, como la Agenda 2030 de la ONU y el Objetivo de Desarrollo Sostenible 5. Además</w:t>
            </w:r>
            <w:r w:rsidRPr="003E425B">
              <w:rPr>
                <w:rFonts w:ascii="Times New Roman" w:hAnsi="Times New Roman" w:cs="Times New Roman"/>
                <w:sz w:val="28"/>
              </w:rPr>
              <w:t>, debe cumplir con los compromisos establecidos por el Comité de la CEDAW, el Sistema Interamericano de Derechos Humanos y otros organismos. El Ministerio de Igualdad tiene la misión de promover políticas y medidas que fomenten la igualdad de género en tod</w:t>
            </w:r>
            <w:r w:rsidRPr="003E425B">
              <w:rPr>
                <w:rFonts w:ascii="Times New Roman" w:hAnsi="Times New Roman" w:cs="Times New Roman"/>
                <w:sz w:val="28"/>
              </w:rPr>
              <w:t>as las áreas, y debe liderar el cambio que ha sido una de las principales banderas del gobierno actual. Así mismo, destacó que el Ministerio de Igualdad es una institución vital para el futuro de Colombia, que sentará las bases para cerrar las brechas de d</w:t>
            </w:r>
            <w:r w:rsidRPr="003E425B">
              <w:rPr>
                <w:rFonts w:ascii="Times New Roman" w:hAnsi="Times New Roman" w:cs="Times New Roman"/>
                <w:sz w:val="28"/>
              </w:rPr>
              <w:t>esigualdad, especialmente aquellas asociadas con la discriminación de género. Finalmente, sostuvo que “la igualdad es un derecho humano fundamental que debe ser protegido y garantizado por el Estado, y el Ministerio de Igualdad es la herramienta más efecti</w:t>
            </w:r>
            <w:r w:rsidRPr="003E425B">
              <w:rPr>
                <w:rFonts w:ascii="Times New Roman" w:hAnsi="Times New Roman" w:cs="Times New Roman"/>
                <w:sz w:val="28"/>
              </w:rPr>
              <w:t>va que tiene Colombia para cumplir con esta tarea”.</w:t>
            </w:r>
          </w:p>
        </w:tc>
        <w:tc>
          <w:tcPr>
            <w:tcW w:w="503" w:type="pct"/>
            <w:vAlign w:val="center"/>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hace ninguna solicitud expresa.</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18</w:t>
            </w:r>
          </w:p>
        </w:tc>
        <w:tc>
          <w:tcPr>
            <w:tcW w:w="783" w:type="pct"/>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hAnsi="Times New Roman" w:cs="Times New Roman"/>
                <w:sz w:val="28"/>
              </w:rPr>
              <w:t>Juntanza de mujeres y disidencias sexuales de género de Cali</w:t>
            </w:r>
          </w:p>
        </w:tc>
        <w:tc>
          <w:tcPr>
            <w:tcW w:w="3583" w:type="pct"/>
            <w:gridSpan w:val="3"/>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xml:space="preserve">No presentan ningún argumento concreto sobre la demanda, se limitan a resaltar la importancia de la </w:t>
            </w:r>
            <w:r w:rsidRPr="003E425B">
              <w:rPr>
                <w:rFonts w:ascii="Times New Roman" w:hAnsi="Times New Roman" w:cs="Times New Roman"/>
                <w:sz w:val="28"/>
              </w:rPr>
              <w:t>creación del Ministerio de la Igualdad para las mujeres y las personas con identidades de género diversa.</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Rechazan la demanda formulada por las accionantes.</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19</w:t>
            </w:r>
          </w:p>
        </w:tc>
        <w:tc>
          <w:tcPr>
            <w:tcW w:w="783" w:type="pct"/>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hAnsi="Times New Roman" w:cs="Times New Roman"/>
                <w:sz w:val="28"/>
              </w:rPr>
              <w:t>Red de mujeres del caribe, Red de Mujeres Afrolatinoamericanas</w:t>
            </w:r>
            <w:r w:rsidRPr="003E425B">
              <w:rPr>
                <w:rFonts w:ascii="Times New Roman" w:hAnsi="Times New Roman" w:cs="Times New Roman"/>
                <w:sz w:val="28"/>
              </w:rPr>
              <w:t>, Afrocaribeñas y de la Diáspora, Mesa Nacional Del Cuidado Del Movimiento De Cuidadores Familiares De Personas Con Discapacidad Y Dependencia Funcional De Colombia y Corporación Casa de la mujer</w:t>
            </w:r>
            <w:r w:rsidRPr="003E425B">
              <w:rPr>
                <w:rStyle w:val="Refdenotaalpie"/>
                <w:rFonts w:ascii="Times New Roman" w:hAnsi="Times New Roman" w:cs="Times New Roman"/>
                <w:sz w:val="28"/>
              </w:rPr>
              <w:footnoteReference w:id="449"/>
            </w:r>
            <w:r w:rsidRPr="003E425B">
              <w:rPr>
                <w:rFonts w:ascii="Times New Roman" w:hAnsi="Times New Roman" w:cs="Times New Roman"/>
                <w:sz w:val="28"/>
              </w:rPr>
              <w:t xml:space="preserve"> </w:t>
            </w:r>
          </w:p>
        </w:tc>
        <w:tc>
          <w:tcPr>
            <w:tcW w:w="1808" w:type="pct"/>
          </w:tcPr>
          <w:p w:rsidR="00E4520F" w:rsidRPr="003E425B" w:rsidRDefault="003E425B" w:rsidP="00E4520F">
            <w:pPr>
              <w:pStyle w:val="Prrafodelista"/>
              <w:numPr>
                <w:ilvl w:val="0"/>
                <w:numId w:val="43"/>
              </w:numPr>
              <w:spacing w:line="240" w:lineRule="auto"/>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 xml:space="preserve">Sostienen que la exposición de motivos no </w:t>
            </w:r>
            <w:r w:rsidRPr="003E425B">
              <w:rPr>
                <w:rFonts w:ascii="Times New Roman" w:hAnsi="Times New Roman"/>
                <w:sz w:val="28"/>
              </w:rPr>
              <w:t>tiene que estimar el costo de la medida legislativa y, en todo caso, este fue un asunto debatido en las comisiones conjuntas. Asimismo, indican que para la creación de ministerios no se debe estimar el costo de manera absoluta. El MHCP rindió concepto sobr</w:t>
            </w:r>
            <w:r w:rsidRPr="003E425B">
              <w:rPr>
                <w:rFonts w:ascii="Times New Roman" w:hAnsi="Times New Roman"/>
                <w:sz w:val="28"/>
              </w:rPr>
              <w:t>e la viabilidad del proyecto, el cual fue leído en la plenaria del Senado. El fin de este concepto es deliberativo, no una fórmula de control. El objetivo del ministerio es la reorganización institucional enfocada al cumplimiento de obligaciones internacio</w:t>
            </w:r>
            <w:r w:rsidRPr="003E425B">
              <w:rPr>
                <w:rFonts w:ascii="Times New Roman" w:hAnsi="Times New Roman"/>
                <w:sz w:val="28"/>
              </w:rPr>
              <w:t>nales del estado, de manera progresiva, y no tendría costos exorbitantes para las finanzas del Estado. Señalan que el ministerio busca la protección de derechos sociales, por lo que la sostenibilidad no se puede usar en contra de dicho objetivo. Por otra p</w:t>
            </w:r>
            <w:r w:rsidRPr="003E425B">
              <w:rPr>
                <w:rFonts w:ascii="Times New Roman" w:hAnsi="Times New Roman"/>
                <w:sz w:val="28"/>
              </w:rPr>
              <w:t xml:space="preserve">arte, el concepto de impacto fiscal es un criterio auxiliar u orientador, por lo que cumple una función dialógica o deliberativa. Señalan que la jurisprudencia constitucional ha indicado que </w:t>
            </w:r>
            <w:r w:rsidRPr="003E425B">
              <w:rPr>
                <w:rFonts w:ascii="Times New Roman" w:hAnsi="Times New Roman"/>
                <w:sz w:val="28"/>
                <w:lang w:val="es-ES"/>
              </w:rPr>
              <w:t>“cuando la medida legislativa no impone al Gobierno la realizació</w:t>
            </w:r>
            <w:r w:rsidRPr="003E425B">
              <w:rPr>
                <w:rFonts w:ascii="Times New Roman" w:hAnsi="Times New Roman"/>
                <w:sz w:val="28"/>
                <w:lang w:val="es-ES"/>
              </w:rPr>
              <w:t>n de un gasto y prevé únicamente una habilitación o autorización legal para incluirlo en el presupuesto, el incumplimiento del artículo 7º de la Ley 819 de 2003 no afecta, en principio, la constitucionalidad de la ley”. Indican que el concepto fue efectiva</w:t>
            </w:r>
            <w:r w:rsidRPr="003E425B">
              <w:rPr>
                <w:rFonts w:ascii="Times New Roman" w:hAnsi="Times New Roman"/>
                <w:sz w:val="28"/>
                <w:lang w:val="es-ES"/>
              </w:rPr>
              <w:t>mente debatido en la plenaria del Senado. Finalmente, como fue presentado por el Gobierno y algunos congresistas, la jurisprudencia ha señalado que el cumplimiento del requisito de valoración del impacto fiscal se debe analizar de manera deferente.</w:t>
            </w:r>
          </w:p>
          <w:p w:rsidR="00E4520F" w:rsidRPr="003E425B" w:rsidRDefault="003E425B" w:rsidP="00E4520F">
            <w:pPr>
              <w:pStyle w:val="Prrafodelista"/>
              <w:numPr>
                <w:ilvl w:val="0"/>
                <w:numId w:val="43"/>
              </w:numPr>
              <w:spacing w:line="240" w:lineRule="auto"/>
              <w:ind w:left="0" w:firstLine="0"/>
              <w:rPr>
                <w:rFonts w:ascii="Times New Roman" w:hAnsi="Times New Roman"/>
                <w:sz w:val="28"/>
              </w:rPr>
            </w:pPr>
            <w:r w:rsidRPr="003E425B">
              <w:rPr>
                <w:rFonts w:ascii="Times New Roman" w:hAnsi="Times New Roman"/>
                <w:i/>
                <w:iCs/>
                <w:sz w:val="28"/>
              </w:rPr>
              <w:t xml:space="preserve">Quórum </w:t>
            </w:r>
            <w:r w:rsidRPr="003E425B">
              <w:rPr>
                <w:rFonts w:ascii="Times New Roman" w:hAnsi="Times New Roman"/>
                <w:i/>
                <w:iCs/>
                <w:sz w:val="28"/>
              </w:rPr>
              <w:t xml:space="preserve">y mayorías. </w:t>
            </w:r>
            <w:r w:rsidRPr="003E425B">
              <w:rPr>
                <w:rFonts w:ascii="Times New Roman" w:hAnsi="Times New Roman"/>
                <w:sz w:val="28"/>
              </w:rPr>
              <w:t>Indican que la jurisprudencia constitucional “</w:t>
            </w:r>
            <w:r w:rsidRPr="003E425B">
              <w:rPr>
                <w:rFonts w:ascii="Times New Roman" w:hAnsi="Times New Roman"/>
                <w:sz w:val="28"/>
                <w:lang w:val="es-ES"/>
              </w:rPr>
              <w:t>permite que un articulo de una ley ordinaria otorgue facultades extraordinarias sin que esto implique que toda la ley deba ser votada por mayorías absolutas”. Esto, porque nunca ha exigido la aproba</w:t>
            </w:r>
            <w:r w:rsidRPr="003E425B">
              <w:rPr>
                <w:rFonts w:ascii="Times New Roman" w:hAnsi="Times New Roman"/>
                <w:sz w:val="28"/>
                <w:lang w:val="es-ES"/>
              </w:rPr>
              <w:t>ción de mayorías absolutas en estos casos. Aseguran que, en todo caso, la norma alcanzó la mayoría absoluta en todos los debates. Además, los demandantes no aportan pruebas idóneas para sustentar que se disolvió el quórum en la sesión del 28 de noviembre d</w:t>
            </w:r>
            <w:r w:rsidRPr="003E425B">
              <w:rPr>
                <w:rFonts w:ascii="Times New Roman" w:hAnsi="Times New Roman"/>
                <w:sz w:val="28"/>
                <w:lang w:val="es-ES"/>
              </w:rPr>
              <w:t>e 2022, tales como actas, listados de asistencia o testimonios. Las pruebas aportadas no respaldan de manera contundente la inexequibilidad.</w:t>
            </w:r>
          </w:p>
        </w:tc>
        <w:tc>
          <w:tcPr>
            <w:tcW w:w="1775" w:type="pct"/>
            <w:gridSpan w:val="2"/>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El artículo 12 cumple con los requisitos de precisión y claridad, en los términos de la jurisprudencia constitucion</w:t>
            </w:r>
            <w:r w:rsidRPr="003E425B">
              <w:rPr>
                <w:rFonts w:ascii="Times New Roman" w:hAnsi="Times New Roman" w:cs="Times New Roman"/>
                <w:sz w:val="28"/>
              </w:rPr>
              <w:t>al, porque otorga al presidente facultades extraordinarias para vincular y adscribir a las</w:t>
            </w:r>
          </w:p>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diferentes entidades necesarias para integrar el Sector de Igualdad.</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20</w:t>
            </w:r>
          </w:p>
        </w:tc>
        <w:tc>
          <w:tcPr>
            <w:tcW w:w="783" w:type="pct"/>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hAnsi="Times New Roman" w:cs="Times New Roman"/>
                <w:sz w:val="28"/>
              </w:rPr>
              <w:t xml:space="preserve">Consultoría para los Derechos </w:t>
            </w:r>
            <w:r w:rsidRPr="003E425B">
              <w:rPr>
                <w:rFonts w:ascii="Times New Roman" w:hAnsi="Times New Roman" w:cs="Times New Roman"/>
                <w:sz w:val="28"/>
              </w:rPr>
              <w:t>humanos y el desplazamiento forzado</w:t>
            </w:r>
          </w:p>
        </w:tc>
        <w:tc>
          <w:tcPr>
            <w:tcW w:w="1808" w:type="pct"/>
          </w:tcPr>
          <w:p w:rsidR="00E4520F" w:rsidRPr="003E425B" w:rsidRDefault="003E425B" w:rsidP="00E4520F">
            <w:pPr>
              <w:pStyle w:val="Prrafodelista"/>
              <w:numPr>
                <w:ilvl w:val="0"/>
                <w:numId w:val="43"/>
              </w:numPr>
              <w:spacing w:line="240" w:lineRule="auto"/>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 xml:space="preserve">El proyecto si cumplió con la carga requerida en el artículo 7 de la Ley 819 de 2003 y la jurisprudencia de la Corte. Aseguran que la interpretación de los demandantes es estricta y rígida. Señala que no </w:t>
            </w:r>
            <w:r w:rsidRPr="003E425B">
              <w:rPr>
                <w:rFonts w:ascii="Times New Roman" w:hAnsi="Times New Roman"/>
                <w:sz w:val="28"/>
              </w:rPr>
              <w:t>se requiere un análisis pormenorizado, sino una deliberación mínima que permita definir los impactos fiscales que tendría el proyecto. Además, la ausencia de un concepto del MHCP no afecta la decisión del Congreso, en tanto se haya debatido el impacto fisc</w:t>
            </w:r>
            <w:r w:rsidRPr="003E425B">
              <w:rPr>
                <w:rFonts w:ascii="Times New Roman" w:hAnsi="Times New Roman"/>
                <w:sz w:val="28"/>
              </w:rPr>
              <w:t xml:space="preserve">al. En este caso, </w:t>
            </w:r>
            <w:r w:rsidRPr="003E425B">
              <w:rPr>
                <w:rFonts w:ascii="Times New Roman" w:hAnsi="Times New Roman"/>
                <w:i/>
                <w:iCs/>
                <w:sz w:val="28"/>
              </w:rPr>
              <w:t xml:space="preserve">(i) </w:t>
            </w:r>
            <w:r w:rsidRPr="003E425B">
              <w:rPr>
                <w:rFonts w:ascii="Times New Roman" w:hAnsi="Times New Roman"/>
                <w:sz w:val="28"/>
              </w:rPr>
              <w:t xml:space="preserve">el MHCP sí presentó el concepto de impacto fiscal, en el que propuso costos de referencia del ministerio y </w:t>
            </w:r>
            <w:r w:rsidRPr="003E425B">
              <w:rPr>
                <w:rFonts w:ascii="Times New Roman" w:hAnsi="Times New Roman"/>
                <w:i/>
                <w:iCs/>
                <w:sz w:val="28"/>
              </w:rPr>
              <w:t>(ii)</w:t>
            </w:r>
            <w:r w:rsidRPr="003E425B">
              <w:rPr>
                <w:rFonts w:ascii="Times New Roman" w:hAnsi="Times New Roman"/>
                <w:sz w:val="28"/>
              </w:rPr>
              <w:t xml:space="preserve"> aun si se considerara que no existió concepto, el impacto si fue tenido en cuenta por el Congreso para estudiar la viabili</w:t>
            </w:r>
            <w:r w:rsidRPr="003E425B">
              <w:rPr>
                <w:rFonts w:ascii="Times New Roman" w:hAnsi="Times New Roman"/>
                <w:sz w:val="28"/>
              </w:rPr>
              <w:t xml:space="preserve">dad de la norma. Con todo, </w:t>
            </w:r>
            <w:r w:rsidRPr="003E425B">
              <w:rPr>
                <w:rFonts w:ascii="Times New Roman" w:hAnsi="Times New Roman"/>
                <w:i/>
                <w:iCs/>
                <w:sz w:val="28"/>
              </w:rPr>
              <w:t>(iii)</w:t>
            </w:r>
            <w:r w:rsidRPr="003E425B">
              <w:rPr>
                <w:rFonts w:ascii="Times New Roman" w:hAnsi="Times New Roman"/>
                <w:sz w:val="28"/>
              </w:rPr>
              <w:t xml:space="preserve"> el artículo 13 de la norma previó límites para la creación del ministerio y su estructura, dentro de los cuales se encuentran la disponibilidad fiscal del país.</w:t>
            </w:r>
          </w:p>
          <w:p w:rsidR="00E4520F" w:rsidRPr="003E425B" w:rsidRDefault="003E425B" w:rsidP="00E4520F">
            <w:pPr>
              <w:pStyle w:val="Prrafodelista"/>
              <w:numPr>
                <w:ilvl w:val="0"/>
                <w:numId w:val="43"/>
              </w:numPr>
              <w:spacing w:line="240" w:lineRule="auto"/>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 xml:space="preserve">Señalan que la Gaceta 097 de 27 de febrero </w:t>
            </w:r>
            <w:r w:rsidRPr="003E425B">
              <w:rPr>
                <w:rFonts w:ascii="Times New Roman" w:hAnsi="Times New Roman"/>
                <w:sz w:val="28"/>
              </w:rPr>
              <w:t xml:space="preserve">de 2027 evidencia que en la discusión en primer debate (i) participaron 19 senadores y 37 representantes, lo que en principio superaría la mayoría absoluta y </w:t>
            </w:r>
            <w:r w:rsidRPr="003E425B">
              <w:rPr>
                <w:rFonts w:ascii="Times New Roman" w:hAnsi="Times New Roman"/>
                <w:i/>
                <w:iCs/>
                <w:sz w:val="28"/>
              </w:rPr>
              <w:t>(ii)</w:t>
            </w:r>
            <w:r w:rsidRPr="003E425B">
              <w:rPr>
                <w:rFonts w:ascii="Times New Roman" w:hAnsi="Times New Roman"/>
                <w:sz w:val="28"/>
              </w:rPr>
              <w:t xml:space="preserve"> todas las proposiciones fueron aprobadas o negadas por mayoría absoluta. Asimismo, la Gaceta </w:t>
            </w:r>
            <w:r w:rsidRPr="003E425B">
              <w:rPr>
                <w:rFonts w:ascii="Times New Roman" w:hAnsi="Times New Roman"/>
                <w:sz w:val="28"/>
              </w:rPr>
              <w:t>expone que el artículo 11 requería ser aprobado por mayoría absoluta y que hubo dos proposiciones para eliminar el artículo, las cuales fueron negada por mayoría absoluta. Con todo, consideran que la mayoría absoluta se exige únicamente para el artículo 11</w:t>
            </w:r>
            <w:r w:rsidRPr="003E425B">
              <w:rPr>
                <w:rFonts w:ascii="Times New Roman" w:hAnsi="Times New Roman"/>
                <w:sz w:val="28"/>
              </w:rPr>
              <w:t xml:space="preserve"> del proyecto (12 de la Ley) y no de la totalidad de la norma. Además, los artículos fueron aprobados por mayoría absoluta, por lo que hubo una deliberación de los artículos y la falta de aprobación del informe de ponencia no lo desestima.</w:t>
            </w:r>
          </w:p>
        </w:tc>
        <w:tc>
          <w:tcPr>
            <w:tcW w:w="1775" w:type="pct"/>
            <w:gridSpan w:val="2"/>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Consideran que l</w:t>
            </w:r>
            <w:r w:rsidRPr="003E425B">
              <w:rPr>
                <w:rFonts w:ascii="Times New Roman" w:hAnsi="Times New Roman" w:cs="Times New Roman"/>
                <w:sz w:val="28"/>
              </w:rPr>
              <w:t>a norma sí definió claramente los límites del ejercicio de las facultades extraordinarias. Esto, porque la norma no habilitó al Presidente para crear, modificar y/o fusionar entidades, sino exclusivamente para integrad el sector de la igualdad y equidad, e</w:t>
            </w:r>
            <w:r w:rsidRPr="003E425B">
              <w:rPr>
                <w:rFonts w:ascii="Times New Roman" w:hAnsi="Times New Roman" w:cs="Times New Roman"/>
                <w:sz w:val="28"/>
              </w:rPr>
              <w:t>sto a través de la determinación de las entidades adscritas o vinculadas a dicho sector. Por esto, la habilitación presidencial “está delimitada y circunscrita a determinar las entidades ya existentes en el Estado colombiano que conformarán el nuevo sector</w:t>
            </w:r>
            <w:r w:rsidRPr="003E425B">
              <w:rPr>
                <w:rFonts w:ascii="Times New Roman" w:hAnsi="Times New Roman" w:cs="Times New Roman"/>
                <w:sz w:val="28"/>
              </w:rPr>
              <w:t xml:space="preserve"> creado”. En su criterio, la interpretación de los demandantes no es acorde a la disposición demandada. Asimismo, señalan que la jurisprudencia constitucional ha precisado que la habilitación no implica que el congreso deba definir de forma meticulosa el c</w:t>
            </w:r>
            <w:r w:rsidRPr="003E425B">
              <w:rPr>
                <w:rFonts w:ascii="Times New Roman" w:hAnsi="Times New Roman" w:cs="Times New Roman"/>
                <w:sz w:val="28"/>
              </w:rPr>
              <w:t>ontenido de la materia.</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21</w:t>
            </w:r>
          </w:p>
        </w:tc>
        <w:tc>
          <w:tcPr>
            <w:tcW w:w="783" w:type="pct"/>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hAnsi="Times New Roman" w:cs="Times New Roman"/>
                <w:sz w:val="28"/>
              </w:rPr>
              <w:t>Ilex acción jurídica</w:t>
            </w:r>
          </w:p>
        </w:tc>
        <w:tc>
          <w:tcPr>
            <w:tcW w:w="1808" w:type="pct"/>
          </w:tcPr>
          <w:p w:rsidR="00E4520F" w:rsidRPr="003E425B" w:rsidRDefault="003E425B" w:rsidP="00E4520F">
            <w:pPr>
              <w:pStyle w:val="Prrafodelista"/>
              <w:numPr>
                <w:ilvl w:val="0"/>
                <w:numId w:val="43"/>
              </w:numPr>
              <w:spacing w:line="240" w:lineRule="auto"/>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Señalan que, de acuerdo con la jurisprudencia constitucional, la evaluación del impacto fiscal es un criterio de racionalidad legis</w:t>
            </w:r>
            <w:r w:rsidRPr="003E425B">
              <w:rPr>
                <w:rFonts w:ascii="Times New Roman" w:hAnsi="Times New Roman"/>
                <w:sz w:val="28"/>
              </w:rPr>
              <w:t>lativa, auxiliar y orientador para nutrir la deliberación y el cumplimiento de fines esenciales del estado social. Indican que el artículo 7º de la Ley 819/03 no puede interpretarse de modo tal que la falta de concurrencia del Ministerio de Hacienda y Créd</w:t>
            </w:r>
            <w:r w:rsidRPr="003E425B">
              <w:rPr>
                <w:rFonts w:ascii="Times New Roman" w:hAnsi="Times New Roman"/>
                <w:sz w:val="28"/>
              </w:rPr>
              <w:t xml:space="preserve">ito Público dentro del proceso legislativo, afecte la validez constitucional del trámite respectivo (C-315 de 2008). En este sentido, indican que </w:t>
            </w:r>
            <w:r w:rsidRPr="003E425B">
              <w:rPr>
                <w:rFonts w:ascii="Times New Roman" w:hAnsi="Times New Roman"/>
                <w:i/>
                <w:iCs/>
                <w:sz w:val="28"/>
              </w:rPr>
              <w:t xml:space="preserve">(i) </w:t>
            </w:r>
            <w:r w:rsidRPr="003E425B">
              <w:rPr>
                <w:rFonts w:ascii="Times New Roman" w:hAnsi="Times New Roman"/>
                <w:sz w:val="28"/>
              </w:rPr>
              <w:t xml:space="preserve">la imposición del análisis de impacto fiscal como requisito de trámite para la aprobación de las iniciativas legislativas, supone una carga irrazonable para el Legislador y </w:t>
            </w:r>
            <w:r w:rsidRPr="003E425B">
              <w:rPr>
                <w:rFonts w:ascii="Times New Roman" w:hAnsi="Times New Roman"/>
                <w:i/>
                <w:iCs/>
                <w:sz w:val="28"/>
              </w:rPr>
              <w:t xml:space="preserve">(ii) </w:t>
            </w:r>
            <w:r w:rsidRPr="003E425B">
              <w:rPr>
                <w:rFonts w:ascii="Times New Roman" w:hAnsi="Times New Roman"/>
                <w:sz w:val="28"/>
              </w:rPr>
              <w:t>eso limita la competencia del Congreso para hacer las leyes, al otorgar una es</w:t>
            </w:r>
            <w:r w:rsidRPr="003E425B">
              <w:rPr>
                <w:rFonts w:ascii="Times New Roman" w:hAnsi="Times New Roman"/>
                <w:sz w:val="28"/>
              </w:rPr>
              <w:t>pecie de poder de veto al Ejecutivo, a través del Ministerio de Hacienda. Finalmente, indican que la misma demanda presenta pruebas sobre el desarrollo de la deliberación sobre el impacto fiscal del proyecto de ley, incluso con la presentación de ponencias</w:t>
            </w:r>
            <w:r w:rsidRPr="003E425B">
              <w:rPr>
                <w:rFonts w:ascii="Times New Roman" w:hAnsi="Times New Roman"/>
                <w:sz w:val="28"/>
              </w:rPr>
              <w:t xml:space="preserve"> negativas sobre el proyecto con el argumento del impacto fiscal negativo y la misma posibilidad de discutir sobre la suficiencia o insuficiencia del concepto del Ministerio de Hacienda y Crédito Público.</w:t>
            </w:r>
          </w:p>
          <w:p w:rsidR="00E4520F" w:rsidRPr="003E425B" w:rsidRDefault="003E425B" w:rsidP="00E4520F">
            <w:pPr>
              <w:pStyle w:val="Prrafodelista"/>
              <w:numPr>
                <w:ilvl w:val="0"/>
                <w:numId w:val="43"/>
              </w:numPr>
              <w:spacing w:line="240" w:lineRule="auto"/>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 xml:space="preserve">Consideran que el segundo cargo es </w:t>
            </w:r>
            <w:r w:rsidRPr="003E425B">
              <w:rPr>
                <w:rFonts w:ascii="Times New Roman" w:hAnsi="Times New Roman"/>
                <w:b/>
                <w:bCs/>
                <w:sz w:val="28"/>
              </w:rPr>
              <w:t>inepto</w:t>
            </w:r>
            <w:r w:rsidRPr="003E425B">
              <w:rPr>
                <w:rFonts w:ascii="Times New Roman" w:hAnsi="Times New Roman"/>
                <w:sz w:val="28"/>
              </w:rPr>
              <w:t>, porque las evidencias que presentaron no dan cuenta de las irregularidades que denuncian. Señalan que existen grabaciones y actas que contradicen lo que manifiestan los actores. Finalmente, afirman que una ley pue</w:t>
            </w:r>
            <w:r w:rsidRPr="003E425B">
              <w:rPr>
                <w:rFonts w:ascii="Times New Roman" w:hAnsi="Times New Roman"/>
                <w:sz w:val="28"/>
              </w:rPr>
              <w:t>de conceder facultades extraordinarias al Presidente sin que ello implique que la totalidad de la Ley deba ser aprobada por mayorías absolutas. Esto, de acuerdo con la sentencia C-092 de 2022.</w:t>
            </w:r>
          </w:p>
        </w:tc>
        <w:tc>
          <w:tcPr>
            <w:tcW w:w="1775" w:type="pct"/>
            <w:gridSpan w:val="2"/>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Afirman que el artículo 12 de la Ley demandada no vulnera el ar</w:t>
            </w:r>
            <w:r w:rsidRPr="003E425B">
              <w:rPr>
                <w:rFonts w:ascii="Times New Roman" w:hAnsi="Times New Roman" w:cs="Times New Roman"/>
                <w:sz w:val="28"/>
              </w:rPr>
              <w:t xml:space="preserve">tículo 150.10 de la CP. La norma acusada </w:t>
            </w:r>
            <w:r w:rsidRPr="003E425B">
              <w:rPr>
                <w:rFonts w:ascii="Times New Roman" w:hAnsi="Times New Roman" w:cs="Times New Roman"/>
                <w:i/>
                <w:iCs/>
                <w:sz w:val="28"/>
              </w:rPr>
              <w:t>(i)</w:t>
            </w:r>
            <w:r w:rsidRPr="003E425B">
              <w:rPr>
                <w:rFonts w:ascii="Times New Roman" w:hAnsi="Times New Roman" w:cs="Times New Roman"/>
                <w:sz w:val="28"/>
              </w:rPr>
              <w:t xml:space="preserve"> está limitada en el tiempo (6 meses); y </w:t>
            </w:r>
            <w:r w:rsidRPr="003E425B">
              <w:rPr>
                <w:rFonts w:ascii="Times New Roman" w:hAnsi="Times New Roman" w:cs="Times New Roman"/>
                <w:i/>
                <w:iCs/>
                <w:sz w:val="28"/>
              </w:rPr>
              <w:t>(ii)</w:t>
            </w:r>
            <w:r w:rsidRPr="003E425B">
              <w:rPr>
                <w:rFonts w:ascii="Times New Roman" w:hAnsi="Times New Roman" w:cs="Times New Roman"/>
                <w:sz w:val="28"/>
              </w:rPr>
              <w:t xml:space="preserve"> se limita a dos acciones o competencias: vincular y adscribir. Por lo tanto, señalan que el cargo formulado “no consulta al texto y está lejos de realizar una interpr</w:t>
            </w:r>
            <w:r w:rsidRPr="003E425B">
              <w:rPr>
                <w:rFonts w:ascii="Times New Roman" w:hAnsi="Times New Roman" w:cs="Times New Roman"/>
                <w:sz w:val="28"/>
              </w:rPr>
              <w:t>etación razonable de la norma, por el contrario, parece es una interpretación alarmista, arbitraria y que no se desprende del contenido literal del texto del artículo demandado”.</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Exequibilidad e inhibición</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22</w:t>
            </w:r>
          </w:p>
        </w:tc>
        <w:tc>
          <w:tcPr>
            <w:tcW w:w="783" w:type="pct"/>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hAnsi="Times New Roman" w:cs="Times New Roman"/>
                <w:sz w:val="28"/>
              </w:rPr>
              <w:t>Conferencia Nacional de Organizaciones Afrocol</w:t>
            </w:r>
            <w:r w:rsidRPr="003E425B">
              <w:rPr>
                <w:rFonts w:ascii="Times New Roman" w:hAnsi="Times New Roman" w:cs="Times New Roman"/>
                <w:sz w:val="28"/>
              </w:rPr>
              <w:t>ombianas</w:t>
            </w:r>
          </w:p>
        </w:tc>
        <w:tc>
          <w:tcPr>
            <w:tcW w:w="1808"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 xml:space="preserve">Señalan que el principio de sostenibilidad Fiscal no puede ser invocado para menoscabar derechos fundamentales, ni para restringir su alcance o negar su protección efectiva. Indican que este principio no puede usarse en contra de los derechos que </w:t>
            </w:r>
            <w:r w:rsidRPr="003E425B">
              <w:rPr>
                <w:rFonts w:ascii="Times New Roman" w:hAnsi="Times New Roman" w:cs="Times New Roman"/>
                <w:sz w:val="28"/>
              </w:rPr>
              <w:t xml:space="preserve">busca garantizar el Ministerio. </w:t>
            </w:r>
          </w:p>
        </w:tc>
        <w:tc>
          <w:tcPr>
            <w:tcW w:w="1775" w:type="pct"/>
            <w:gridSpan w:val="2"/>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No presentan ningún argumento en específico. Se limitan a señalar la importancia de la creación del Ministerio para varios sectores de la sociedad.</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24</w:t>
            </w:r>
          </w:p>
        </w:tc>
        <w:tc>
          <w:tcPr>
            <w:tcW w:w="783" w:type="pct"/>
          </w:tcPr>
          <w:p w:rsidR="00E4520F" w:rsidRPr="003E425B" w:rsidRDefault="003E425B" w:rsidP="00974D25">
            <w:pPr>
              <w:jc w:val="center"/>
              <w:rPr>
                <w:rFonts w:ascii="Times New Roman" w:hAnsi="Times New Roman" w:cs="Times New Roman"/>
                <w:sz w:val="28"/>
              </w:rPr>
            </w:pPr>
            <w:r w:rsidRPr="003E425B">
              <w:rPr>
                <w:rFonts w:ascii="Times New Roman" w:hAnsi="Times New Roman" w:cs="Times New Roman"/>
                <w:sz w:val="28"/>
              </w:rPr>
              <w:t xml:space="preserve">CJ Mujeres </w:t>
            </w:r>
            <w:r w:rsidRPr="003E425B">
              <w:rPr>
                <w:rFonts w:ascii="Times New Roman" w:hAnsi="Times New Roman" w:cs="Times New Roman"/>
                <w:sz w:val="28"/>
              </w:rPr>
              <w:t>Uniandes</w:t>
            </w:r>
          </w:p>
        </w:tc>
        <w:tc>
          <w:tcPr>
            <w:tcW w:w="1808" w:type="pct"/>
          </w:tcPr>
          <w:p w:rsidR="00E4520F" w:rsidRPr="003E425B" w:rsidRDefault="003E425B" w:rsidP="00E4520F">
            <w:pPr>
              <w:pStyle w:val="Prrafodelista"/>
              <w:numPr>
                <w:ilvl w:val="0"/>
                <w:numId w:val="43"/>
              </w:numPr>
              <w:spacing w:line="240" w:lineRule="auto"/>
              <w:ind w:left="0" w:firstLine="0"/>
              <w:contextualSpacing w:val="0"/>
              <w:rPr>
                <w:rFonts w:ascii="Times New Roman" w:hAnsi="Times New Roman"/>
                <w:sz w:val="28"/>
              </w:rPr>
            </w:pPr>
            <w:r w:rsidRPr="003E425B">
              <w:rPr>
                <w:rFonts w:ascii="Times New Roman" w:hAnsi="Times New Roman"/>
                <w:i/>
                <w:iCs/>
                <w:sz w:val="28"/>
              </w:rPr>
              <w:t>Impacto fiscal.</w:t>
            </w:r>
            <w:r w:rsidRPr="003E425B">
              <w:rPr>
                <w:rFonts w:ascii="Times New Roman" w:hAnsi="Times New Roman"/>
                <w:sz w:val="28"/>
              </w:rPr>
              <w:t xml:space="preserve"> Afirman que, si bien en los debates de comisión no se definió un plan fiscal del costo del Ministerio, lo cierto es que no es posible estimar cual sería el costo exacto para su funcionamiento a través de los años. Además, la sostenibilidad fiscal no debe </w:t>
            </w:r>
            <w:r w:rsidRPr="003E425B">
              <w:rPr>
                <w:rFonts w:ascii="Times New Roman" w:hAnsi="Times New Roman"/>
                <w:sz w:val="28"/>
              </w:rPr>
              <w:t>socavar, restringir o negar la protección efectiva de los derechos fundamentales. En su criterio, es excesivo exigir solicitar que se presente un presupuesto detallado para la creación del Ministerio, y la sostenibilidad fiscal no puede usarse como argumen</w:t>
            </w:r>
            <w:r w:rsidRPr="003E425B">
              <w:rPr>
                <w:rFonts w:ascii="Times New Roman" w:hAnsi="Times New Roman"/>
                <w:sz w:val="28"/>
              </w:rPr>
              <w:t>to para poner trabas en la creación de un ministerio que responde a necesidades sociales. Finalmente, indican que el Ministerio de la Igualdad está destinado a aportar de manera significativa al avance en la igualdad de género y la defensa y garantía de lo</w:t>
            </w:r>
            <w:r w:rsidRPr="003E425B">
              <w:rPr>
                <w:rFonts w:ascii="Times New Roman" w:hAnsi="Times New Roman"/>
                <w:sz w:val="28"/>
              </w:rPr>
              <w:t>s derechos de las mujeres y de la población con identidad de género u orientación sexual diversa.</w:t>
            </w:r>
          </w:p>
          <w:p w:rsidR="00E4520F" w:rsidRPr="003E425B" w:rsidRDefault="003E425B" w:rsidP="00E4520F">
            <w:pPr>
              <w:pStyle w:val="Prrafodelista"/>
              <w:numPr>
                <w:ilvl w:val="0"/>
                <w:numId w:val="43"/>
              </w:numPr>
              <w:spacing w:line="240" w:lineRule="auto"/>
              <w:ind w:left="0" w:firstLine="0"/>
              <w:rPr>
                <w:rFonts w:ascii="Times New Roman" w:hAnsi="Times New Roman"/>
                <w:sz w:val="28"/>
              </w:rPr>
            </w:pPr>
            <w:r w:rsidRPr="003E425B">
              <w:rPr>
                <w:rFonts w:ascii="Times New Roman" w:hAnsi="Times New Roman"/>
                <w:i/>
                <w:iCs/>
                <w:sz w:val="28"/>
              </w:rPr>
              <w:t xml:space="preserve">Quórum y mayoría. </w:t>
            </w:r>
            <w:r w:rsidRPr="003E425B">
              <w:rPr>
                <w:rFonts w:ascii="Times New Roman" w:hAnsi="Times New Roman"/>
                <w:sz w:val="28"/>
              </w:rPr>
              <w:t>Aseguran que la jurisprudencia de la Corte Constitucional ha autorizado con anterioridad que una ley ordinaria incluya un artículo que otorg</w:t>
            </w:r>
            <w:r w:rsidRPr="003E425B">
              <w:rPr>
                <w:rFonts w:ascii="Times New Roman" w:hAnsi="Times New Roman"/>
                <w:sz w:val="28"/>
              </w:rPr>
              <w:t>a facultades extraordinarias sin que la totalidad de la ley deba aprobarse con mayoría absoluta</w:t>
            </w:r>
            <w:r w:rsidRPr="003E425B">
              <w:rPr>
                <w:rStyle w:val="Refdenotaalpie"/>
                <w:rFonts w:ascii="Times New Roman" w:hAnsi="Times New Roman"/>
                <w:sz w:val="28"/>
              </w:rPr>
              <w:footnoteReference w:id="450"/>
            </w:r>
            <w:r w:rsidRPr="003E425B">
              <w:rPr>
                <w:rFonts w:ascii="Times New Roman" w:hAnsi="Times New Roman"/>
                <w:sz w:val="28"/>
              </w:rPr>
              <w:t>. Por esto, no es válido ni proporcional extender la obligación de votar con mayorías absolutas un artículo que otorga facultades extraordinarias a los informes</w:t>
            </w:r>
            <w:r w:rsidRPr="003E425B">
              <w:rPr>
                <w:rFonts w:ascii="Times New Roman" w:hAnsi="Times New Roman"/>
                <w:sz w:val="28"/>
              </w:rPr>
              <w:t xml:space="preserve"> de ponencia de toda una ley ordinaria. Por otra parte, indican que el artículo demandando se votó individualmente y se aprobó con la mayoría absoluta necesaria. Igualmente, los demandantes no aportan pruebas idóneas y suficientes para soportar que se diso</w:t>
            </w:r>
            <w:r w:rsidRPr="003E425B">
              <w:rPr>
                <w:rFonts w:ascii="Times New Roman" w:hAnsi="Times New Roman"/>
                <w:sz w:val="28"/>
              </w:rPr>
              <w:t>lvió el quórum en la sesión conjunta, como lo serían actas.</w:t>
            </w:r>
          </w:p>
        </w:tc>
        <w:tc>
          <w:tcPr>
            <w:tcW w:w="1775" w:type="pct"/>
            <w:gridSpan w:val="2"/>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Afirman que las facultades extraordinarias deben ser claras y precisas, esto es, individualizadas, pormenorizadas y determinadas. Igualmente, el hecho de que el legislador otorgue las atribuciones</w:t>
            </w:r>
            <w:r w:rsidRPr="003E425B">
              <w:rPr>
                <w:rFonts w:ascii="Times New Roman" w:hAnsi="Times New Roman" w:cs="Times New Roman"/>
                <w:sz w:val="28"/>
              </w:rPr>
              <w:t xml:space="preserve"> de manera amplia y hayan sido adscritas a través de una formulación general y no detallada o taxativa, no permite afirmar que las facultades carezcan de precisión. Por el contrario, lo que exige la Constitución es que la Ley determine inequívocamente la m</w:t>
            </w:r>
            <w:r w:rsidRPr="003E425B">
              <w:rPr>
                <w:rFonts w:ascii="Times New Roman" w:hAnsi="Times New Roman" w:cs="Times New Roman"/>
                <w:sz w:val="28"/>
              </w:rPr>
              <w:t>ateria sobre la cual el Presidente puede legislar, a través de facultades que no resulten vagas, ambiguas, imprecisas o indeterminadas</w:t>
            </w:r>
            <w:r w:rsidRPr="003E425B">
              <w:rPr>
                <w:rStyle w:val="Refdenotaalpie"/>
                <w:rFonts w:ascii="Times New Roman" w:hAnsi="Times New Roman" w:cs="Times New Roman"/>
                <w:sz w:val="28"/>
              </w:rPr>
              <w:footnoteReference w:id="451"/>
            </w:r>
            <w:r w:rsidRPr="003E425B">
              <w:rPr>
                <w:rFonts w:ascii="Times New Roman" w:hAnsi="Times New Roman" w:cs="Times New Roman"/>
                <w:sz w:val="28"/>
              </w:rPr>
              <w:t>. En su criterio, la norma demandada es clara sobre el campo de acción, la materia, los objetivos y los fines de las facu</w:t>
            </w:r>
            <w:r w:rsidRPr="003E425B">
              <w:rPr>
                <w:rFonts w:ascii="Times New Roman" w:hAnsi="Times New Roman" w:cs="Times New Roman"/>
                <w:sz w:val="28"/>
              </w:rPr>
              <w:t>ltades.</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r w:rsidR="00E4520F" w:rsidRPr="003E425B" w:rsidTr="00E4520F">
        <w:tc>
          <w:tcPr>
            <w:tcW w:w="131" w:type="pct"/>
            <w:vAlign w:val="center"/>
          </w:tcPr>
          <w:p w:rsidR="00E4520F" w:rsidRPr="003E425B" w:rsidRDefault="003E425B" w:rsidP="00974D25">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25</w:t>
            </w:r>
          </w:p>
        </w:tc>
        <w:tc>
          <w:tcPr>
            <w:tcW w:w="783" w:type="pct"/>
          </w:tcPr>
          <w:p w:rsidR="00E4520F" w:rsidRPr="003E425B" w:rsidRDefault="003E425B" w:rsidP="00974D25">
            <w:pPr>
              <w:jc w:val="center"/>
              <w:rPr>
                <w:rFonts w:ascii="Times New Roman" w:hAnsi="Times New Roman" w:cs="Times New Roman"/>
                <w:sz w:val="28"/>
              </w:rPr>
            </w:pPr>
            <w:r w:rsidRPr="003E425B">
              <w:rPr>
                <w:rFonts w:ascii="Times New Roman" w:hAnsi="Times New Roman" w:cs="Times New Roman"/>
                <w:sz w:val="28"/>
              </w:rPr>
              <w:t>Escuela Nacional Sindical</w:t>
            </w:r>
          </w:p>
        </w:tc>
        <w:tc>
          <w:tcPr>
            <w:tcW w:w="1808" w:type="pct"/>
          </w:tcPr>
          <w:p w:rsidR="00E4520F" w:rsidRPr="003E425B" w:rsidRDefault="003E425B" w:rsidP="00E4520F">
            <w:pPr>
              <w:pStyle w:val="Prrafodelista"/>
              <w:numPr>
                <w:ilvl w:val="0"/>
                <w:numId w:val="43"/>
              </w:numPr>
              <w:spacing w:line="240" w:lineRule="auto"/>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Señalan que la jurisprudencia constitucional (C-110 de 2019), no se pueden invocar criterios fiscales para menoscabar, restringir o negar la protección de derechos fundamentales. Asimismo, afirman que el requisito previsto en el artículo 7° de la Ley 819 d</w:t>
            </w:r>
            <w:r w:rsidRPr="003E425B">
              <w:rPr>
                <w:rFonts w:ascii="Times New Roman" w:hAnsi="Times New Roman"/>
                <w:sz w:val="28"/>
              </w:rPr>
              <w:t xml:space="preserve">e 2003 es un instrumento de racionalización de la actividad legislativa, </w:t>
            </w:r>
            <w:r w:rsidRPr="003E425B">
              <w:rPr>
                <w:rFonts w:ascii="Times New Roman" w:hAnsi="Times New Roman"/>
                <w:sz w:val="28"/>
                <w:lang w:val="es-ES"/>
              </w:rPr>
              <w:t>con el fin de que ella se realice con conocimiento de causa de los costos fiscales que genera cada una de las leyes aprobadas por el Congreso. Una interpretación rígida le daría al MH</w:t>
            </w:r>
            <w:r w:rsidRPr="003E425B">
              <w:rPr>
                <w:rFonts w:ascii="Times New Roman" w:hAnsi="Times New Roman"/>
                <w:sz w:val="28"/>
                <w:lang w:val="es-ES"/>
              </w:rPr>
              <w:t>CP un poder de veto legislativo. En el caso concreto, señalan que, en el trámite legislativo, especialmente en la primera ponencia de comisión primera, se tocó el tema y se indicó el costo del Ministerio de la Igualdad. Además, el 12 de diciembre de 2022 e</w:t>
            </w:r>
            <w:r w:rsidRPr="003E425B">
              <w:rPr>
                <w:rFonts w:ascii="Times New Roman" w:hAnsi="Times New Roman"/>
                <w:sz w:val="28"/>
                <w:lang w:val="es-ES"/>
              </w:rPr>
              <w:t>l MHCP presentó un concepto sobre la Ley y su impacto fiscal, donde no expone ninguna oposición.</w:t>
            </w:r>
          </w:p>
          <w:p w:rsidR="00E4520F" w:rsidRPr="003E425B" w:rsidRDefault="003E425B" w:rsidP="00E4520F">
            <w:pPr>
              <w:pStyle w:val="Prrafodelista"/>
              <w:numPr>
                <w:ilvl w:val="0"/>
                <w:numId w:val="43"/>
              </w:numPr>
              <w:spacing w:line="240" w:lineRule="auto"/>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 xml:space="preserve">Indican que </w:t>
            </w:r>
            <w:r w:rsidRPr="003E425B">
              <w:rPr>
                <w:rFonts w:ascii="Times New Roman" w:hAnsi="Times New Roman"/>
                <w:i/>
                <w:iCs/>
                <w:sz w:val="28"/>
              </w:rPr>
              <w:t>(i)</w:t>
            </w:r>
            <w:r w:rsidRPr="003E425B">
              <w:rPr>
                <w:rFonts w:ascii="Times New Roman" w:hAnsi="Times New Roman"/>
                <w:sz w:val="28"/>
              </w:rPr>
              <w:t xml:space="preserve"> la sentencia que invocan los demandantes (C-816 de 2004) estudia las mayorías calificadas del informe de ponencia para actos</w:t>
            </w:r>
            <w:r w:rsidRPr="003E425B">
              <w:rPr>
                <w:rFonts w:ascii="Times New Roman" w:hAnsi="Times New Roman"/>
                <w:sz w:val="28"/>
              </w:rPr>
              <w:t xml:space="preserve"> legislativos, lo cual es distinto a este caso y </w:t>
            </w:r>
            <w:r w:rsidRPr="003E425B">
              <w:rPr>
                <w:rFonts w:ascii="Times New Roman" w:hAnsi="Times New Roman"/>
                <w:i/>
                <w:iCs/>
                <w:sz w:val="28"/>
              </w:rPr>
              <w:t>(ii)</w:t>
            </w:r>
            <w:r w:rsidRPr="003E425B">
              <w:rPr>
                <w:rFonts w:ascii="Times New Roman" w:hAnsi="Times New Roman"/>
                <w:sz w:val="28"/>
              </w:rPr>
              <w:t xml:space="preserve"> la jurisprudencia de la Corte Constitucional</w:t>
            </w:r>
            <w:r w:rsidRPr="003E425B">
              <w:rPr>
                <w:rStyle w:val="Refdenotaalpie"/>
                <w:rFonts w:ascii="Times New Roman" w:hAnsi="Times New Roman"/>
                <w:sz w:val="28"/>
              </w:rPr>
              <w:footnoteReference w:id="452"/>
            </w:r>
            <w:r w:rsidRPr="003E425B">
              <w:rPr>
                <w:rFonts w:ascii="Times New Roman" w:hAnsi="Times New Roman"/>
                <w:sz w:val="28"/>
              </w:rPr>
              <w:t xml:space="preserve"> ha señalado que cuando una ley ordinaria toque temas de leyes “orgánicas”, la totalidad de la ley no debe tramitarse de manera distinta. A partir de lo ante</w:t>
            </w:r>
            <w:r w:rsidRPr="003E425B">
              <w:rPr>
                <w:rFonts w:ascii="Times New Roman" w:hAnsi="Times New Roman"/>
                <w:sz w:val="28"/>
              </w:rPr>
              <w:t>rior, señalan que el 28 de noviembre, y 12 de diciembre de 2022 las comisiones y plenarias de las cámaras votaron el proyecto con las mayorías necesarias.</w:t>
            </w:r>
          </w:p>
        </w:tc>
        <w:tc>
          <w:tcPr>
            <w:tcW w:w="1775" w:type="pct"/>
            <w:gridSpan w:val="2"/>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Afirman que el artículo demandado no otorga poderes plenipotenciarios al presidente, sino que estos p</w:t>
            </w:r>
            <w:r w:rsidRPr="003E425B">
              <w:rPr>
                <w:rFonts w:ascii="Times New Roman" w:hAnsi="Times New Roman" w:cs="Times New Roman"/>
                <w:sz w:val="28"/>
              </w:rPr>
              <w:t>oderes están claramente delimitados y los decretos con fuerza de ley que expedirá serán con ocasión a la integración del MinIgualdad al andamiaje del ejecutivo. Con todo, señalan que la Corte Constitucional podrá estudiar la constitucionalidad de los decre</w:t>
            </w:r>
            <w:r w:rsidRPr="003E425B">
              <w:rPr>
                <w:rFonts w:ascii="Times New Roman" w:hAnsi="Times New Roman" w:cs="Times New Roman"/>
                <w:sz w:val="28"/>
              </w:rPr>
              <w:t>tos con fuerza de ley que se expida.</w:t>
            </w:r>
          </w:p>
        </w:tc>
        <w:tc>
          <w:tcPr>
            <w:tcW w:w="503" w:type="pct"/>
          </w:tcPr>
          <w:p w:rsidR="00E4520F" w:rsidRPr="003E425B" w:rsidRDefault="003E425B" w:rsidP="00974D25">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bl>
    <w:p w:rsidR="00E4520F" w:rsidRPr="003E425B" w:rsidRDefault="003E425B" w:rsidP="00E4520F">
      <w:pPr>
        <w:rPr>
          <w:rFonts w:ascii="Times New Roman" w:hAnsi="Times New Roman" w:cs="Times New Roman"/>
          <w:sz w:val="28"/>
        </w:rPr>
      </w:pPr>
    </w:p>
    <w:p w:rsidR="00CA1B55" w:rsidRPr="003E425B" w:rsidRDefault="003E425B" w:rsidP="00CA1B55">
      <w:pPr>
        <w:jc w:val="center"/>
        <w:rPr>
          <w:rFonts w:ascii="Times New Roman" w:hAnsi="Times New Roman" w:cs="Times New Roman"/>
          <w:color w:val="000000" w:themeColor="text1"/>
          <w:sz w:val="28"/>
        </w:rPr>
      </w:pPr>
    </w:p>
    <w:tbl>
      <w:tblPr>
        <w:tblStyle w:val="Tablaconcuadrcula"/>
        <w:tblW w:w="0" w:type="auto"/>
        <w:tblLook w:val="04A0" w:firstRow="1" w:lastRow="0" w:firstColumn="1" w:lastColumn="0" w:noHBand="0" w:noVBand="1"/>
      </w:tblPr>
      <w:tblGrid>
        <w:gridCol w:w="453"/>
        <w:gridCol w:w="2712"/>
        <w:gridCol w:w="6261"/>
        <w:gridCol w:w="1326"/>
        <w:gridCol w:w="4821"/>
        <w:gridCol w:w="1741"/>
      </w:tblGrid>
      <w:tr w:rsidR="002D3CD8" w:rsidRPr="003E425B" w:rsidTr="00E16802">
        <w:tc>
          <w:tcPr>
            <w:tcW w:w="453" w:type="dxa"/>
            <w:shd w:val="clear" w:color="auto" w:fill="D9D9D9" w:themeFill="background1" w:themeFillShade="D9"/>
            <w:vAlign w:val="center"/>
          </w:tcPr>
          <w:p w:rsidR="002D3CD8" w:rsidRPr="003E425B" w:rsidRDefault="003E425B" w:rsidP="00727401">
            <w:pPr>
              <w:jc w:val="center"/>
              <w:rPr>
                <w:rFonts w:ascii="Times New Roman" w:hAnsi="Times New Roman" w:cs="Times New Roman"/>
                <w:b/>
                <w:bCs/>
                <w:sz w:val="28"/>
              </w:rPr>
            </w:pPr>
            <w:r w:rsidRPr="003E425B">
              <w:rPr>
                <w:rFonts w:ascii="Times New Roman" w:hAnsi="Times New Roman" w:cs="Times New Roman"/>
                <w:b/>
                <w:bCs/>
                <w:sz w:val="28"/>
              </w:rPr>
              <w:t>#</w:t>
            </w:r>
          </w:p>
        </w:tc>
        <w:tc>
          <w:tcPr>
            <w:tcW w:w="2712" w:type="dxa"/>
            <w:shd w:val="clear" w:color="auto" w:fill="D9D9D9" w:themeFill="background1" w:themeFillShade="D9"/>
            <w:vAlign w:val="center"/>
          </w:tcPr>
          <w:p w:rsidR="002D3CD8" w:rsidRPr="003E425B" w:rsidRDefault="003E425B" w:rsidP="00727401">
            <w:pPr>
              <w:jc w:val="center"/>
              <w:rPr>
                <w:rFonts w:ascii="Times New Roman" w:hAnsi="Times New Roman" w:cs="Times New Roman"/>
                <w:b/>
                <w:bCs/>
                <w:sz w:val="28"/>
              </w:rPr>
            </w:pPr>
            <w:r w:rsidRPr="003E425B">
              <w:rPr>
                <w:rFonts w:ascii="Times New Roman" w:hAnsi="Times New Roman" w:cs="Times New Roman"/>
                <w:b/>
                <w:bCs/>
                <w:sz w:val="28"/>
              </w:rPr>
              <w:t>Interviniente</w:t>
            </w:r>
          </w:p>
        </w:tc>
        <w:tc>
          <w:tcPr>
            <w:tcW w:w="7587" w:type="dxa"/>
            <w:gridSpan w:val="2"/>
            <w:shd w:val="clear" w:color="auto" w:fill="D9D9D9" w:themeFill="background1" w:themeFillShade="D9"/>
            <w:vAlign w:val="center"/>
          </w:tcPr>
          <w:p w:rsidR="002D3CD8" w:rsidRPr="003E425B" w:rsidRDefault="003E425B" w:rsidP="003F1E70">
            <w:pPr>
              <w:jc w:val="center"/>
              <w:rPr>
                <w:rFonts w:ascii="Times New Roman" w:hAnsi="Times New Roman" w:cs="Times New Roman"/>
                <w:b/>
                <w:bCs/>
                <w:sz w:val="28"/>
              </w:rPr>
            </w:pPr>
            <w:r w:rsidRPr="003E425B">
              <w:rPr>
                <w:rFonts w:ascii="Times New Roman" w:hAnsi="Times New Roman" w:cs="Times New Roman"/>
                <w:b/>
                <w:bCs/>
                <w:sz w:val="28"/>
              </w:rPr>
              <w:t xml:space="preserve">Cargos </w:t>
            </w:r>
            <w:r w:rsidRPr="003E425B">
              <w:rPr>
                <w:rFonts w:ascii="Times New Roman" w:hAnsi="Times New Roman" w:cs="Times New Roman"/>
                <w:b/>
                <w:bCs/>
                <w:sz w:val="28"/>
              </w:rPr>
              <w:t>por vicios de procedimiento</w:t>
            </w:r>
            <w:r w:rsidRPr="003E425B">
              <w:rPr>
                <w:rFonts w:ascii="Times New Roman" w:hAnsi="Times New Roman" w:cs="Times New Roman"/>
                <w:b/>
                <w:bCs/>
                <w:sz w:val="28"/>
              </w:rPr>
              <w:t xml:space="preserve"> (contra la totalidad de la Ley 2281 de 2023)</w:t>
            </w:r>
          </w:p>
        </w:tc>
        <w:tc>
          <w:tcPr>
            <w:tcW w:w="4821" w:type="dxa"/>
            <w:shd w:val="clear" w:color="auto" w:fill="D9D9D9" w:themeFill="background1" w:themeFillShade="D9"/>
            <w:vAlign w:val="center"/>
          </w:tcPr>
          <w:p w:rsidR="002D3CD8" w:rsidRPr="003E425B" w:rsidRDefault="003E425B" w:rsidP="003F1E70">
            <w:pPr>
              <w:jc w:val="center"/>
              <w:rPr>
                <w:rFonts w:ascii="Times New Roman" w:hAnsi="Times New Roman" w:cs="Times New Roman"/>
                <w:b/>
                <w:bCs/>
                <w:sz w:val="28"/>
              </w:rPr>
            </w:pPr>
            <w:r w:rsidRPr="003E425B">
              <w:rPr>
                <w:rFonts w:ascii="Times New Roman" w:hAnsi="Times New Roman" w:cs="Times New Roman"/>
                <w:b/>
                <w:bCs/>
                <w:sz w:val="28"/>
              </w:rPr>
              <w:t xml:space="preserve">Cargo </w:t>
            </w:r>
            <w:r w:rsidRPr="003E425B">
              <w:rPr>
                <w:rFonts w:ascii="Times New Roman" w:hAnsi="Times New Roman" w:cs="Times New Roman"/>
                <w:b/>
                <w:bCs/>
                <w:sz w:val="28"/>
              </w:rPr>
              <w:t>por imprecisión en las facultades extraordinarias</w:t>
            </w:r>
            <w:r w:rsidRPr="003E425B">
              <w:rPr>
                <w:rFonts w:ascii="Times New Roman" w:hAnsi="Times New Roman" w:cs="Times New Roman"/>
                <w:b/>
                <w:bCs/>
                <w:sz w:val="28"/>
              </w:rPr>
              <w:t xml:space="preserve"> (contra el artículo 12 de la Ley 2281 de 2023)</w:t>
            </w:r>
          </w:p>
        </w:tc>
        <w:tc>
          <w:tcPr>
            <w:tcW w:w="1741" w:type="dxa"/>
            <w:shd w:val="clear" w:color="auto" w:fill="D9D9D9" w:themeFill="background1" w:themeFillShade="D9"/>
            <w:vAlign w:val="center"/>
          </w:tcPr>
          <w:p w:rsidR="002D3CD8" w:rsidRPr="003E425B" w:rsidRDefault="003E425B" w:rsidP="00C05AA9">
            <w:pPr>
              <w:jc w:val="center"/>
              <w:rPr>
                <w:rFonts w:ascii="Times New Roman" w:hAnsi="Times New Roman" w:cs="Times New Roman"/>
                <w:b/>
                <w:bCs/>
                <w:sz w:val="28"/>
              </w:rPr>
            </w:pPr>
            <w:r w:rsidRPr="003E425B">
              <w:rPr>
                <w:rFonts w:ascii="Times New Roman" w:hAnsi="Times New Roman" w:cs="Times New Roman"/>
                <w:b/>
                <w:bCs/>
                <w:sz w:val="28"/>
              </w:rPr>
              <w:t>Solicitud</w:t>
            </w:r>
          </w:p>
        </w:tc>
      </w:tr>
      <w:tr w:rsidR="002D3CD8" w:rsidRPr="003E425B" w:rsidTr="00E16802">
        <w:tc>
          <w:tcPr>
            <w:tcW w:w="453" w:type="dxa"/>
            <w:vAlign w:val="center"/>
          </w:tcPr>
          <w:p w:rsidR="002D3CD8" w:rsidRPr="003E425B" w:rsidRDefault="003E425B" w:rsidP="00727401">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p>
        </w:tc>
        <w:tc>
          <w:tcPr>
            <w:tcW w:w="2712" w:type="dxa"/>
            <w:vAlign w:val="center"/>
          </w:tcPr>
          <w:p w:rsidR="002D3CD8" w:rsidRPr="003E425B" w:rsidRDefault="003E425B" w:rsidP="00727401">
            <w:pPr>
              <w:jc w:val="center"/>
              <w:rPr>
                <w:rFonts w:ascii="Times New Roman" w:hAnsi="Times New Roman" w:cs="Times New Roman"/>
                <w:sz w:val="28"/>
              </w:rPr>
            </w:pPr>
            <w:r w:rsidRPr="003E425B">
              <w:rPr>
                <w:rFonts w:ascii="Times New Roman" w:eastAsia="Times New Roman" w:hAnsi="Times New Roman" w:cs="Times New Roman"/>
                <w:color w:val="000000"/>
                <w:sz w:val="28"/>
              </w:rPr>
              <w:t>Departamento Administrativo de la Presidencia de la República (DAPRE)</w:t>
            </w:r>
          </w:p>
        </w:tc>
        <w:tc>
          <w:tcPr>
            <w:tcW w:w="7587" w:type="dxa"/>
            <w:gridSpan w:val="2"/>
            <w:vAlign w:val="center"/>
          </w:tcPr>
          <w:p w:rsidR="00FC7F98" w:rsidRPr="003E425B" w:rsidRDefault="003E425B" w:rsidP="003F1E70">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No se desconoci</w:t>
            </w:r>
            <w:r w:rsidRPr="003E425B">
              <w:rPr>
                <w:rFonts w:ascii="Times New Roman" w:hAnsi="Times New Roman" w:cs="Times New Roman"/>
                <w:sz w:val="28"/>
              </w:rPr>
              <w:t>ó</w:t>
            </w:r>
            <w:r w:rsidRPr="003E425B">
              <w:rPr>
                <w:rFonts w:ascii="Times New Roman" w:hAnsi="Times New Roman" w:cs="Times New Roman"/>
                <w:sz w:val="28"/>
              </w:rPr>
              <w:t xml:space="preserve"> la obligación del legislador</w:t>
            </w:r>
            <w:r w:rsidRPr="003E425B">
              <w:rPr>
                <w:rFonts w:ascii="Times New Roman" w:hAnsi="Times New Roman" w:cs="Times New Roman"/>
                <w:sz w:val="28"/>
              </w:rPr>
              <w:t xml:space="preserve"> </w:t>
            </w:r>
            <w:r w:rsidRPr="003E425B">
              <w:rPr>
                <w:rFonts w:ascii="Times New Roman" w:hAnsi="Times New Roman" w:cs="Times New Roman"/>
                <w:sz w:val="28"/>
              </w:rPr>
              <w:t>de evaluar el impacto fiscal del proyecto,</w:t>
            </w:r>
            <w:r w:rsidRPr="003E425B">
              <w:rPr>
                <w:rFonts w:ascii="Times New Roman" w:hAnsi="Times New Roman" w:cs="Times New Roman"/>
                <w:sz w:val="28"/>
              </w:rPr>
              <w:t xml:space="preserve"> por </w:t>
            </w:r>
            <w:r w:rsidRPr="003E425B">
              <w:rPr>
                <w:rFonts w:ascii="Times New Roman" w:hAnsi="Times New Roman" w:cs="Times New Roman"/>
                <w:sz w:val="28"/>
              </w:rPr>
              <w:t>las siguientes</w:t>
            </w:r>
            <w:r w:rsidRPr="003E425B">
              <w:rPr>
                <w:rFonts w:ascii="Times New Roman" w:hAnsi="Times New Roman" w:cs="Times New Roman"/>
                <w:sz w:val="28"/>
              </w:rPr>
              <w:t xml:space="preserve"> razones.</w:t>
            </w:r>
            <w:r w:rsidRPr="003E425B">
              <w:rPr>
                <w:rFonts w:ascii="Times New Roman" w:hAnsi="Times New Roman" w:cs="Times New Roman"/>
                <w:sz w:val="28"/>
              </w:rPr>
              <w:t xml:space="preserve"> Primero,</w:t>
            </w:r>
            <w:r w:rsidRPr="003E425B">
              <w:rPr>
                <w:rFonts w:ascii="Times New Roman" w:hAnsi="Times New Roman" w:cs="Times New Roman"/>
                <w:sz w:val="28"/>
              </w:rPr>
              <w:t xml:space="preserve"> </w:t>
            </w:r>
            <w:r w:rsidRPr="003E425B">
              <w:rPr>
                <w:rFonts w:ascii="Times New Roman" w:hAnsi="Times New Roman" w:cs="Times New Roman"/>
                <w:sz w:val="28"/>
              </w:rPr>
              <w:t xml:space="preserve">“el fin constitucional de la sostenibilidad fiscal es instrumental y su objetivo es alcanzar de manera progresiva las finalidades del Estado Social y Democrático de Derecho, lo que es también un mandato legal en el que se enmarca la </w:t>
            </w:r>
            <w:r w:rsidRPr="003E425B">
              <w:rPr>
                <w:rFonts w:ascii="Times New Roman" w:hAnsi="Times New Roman" w:cs="Times New Roman"/>
                <w:sz w:val="28"/>
              </w:rPr>
              <w:t>creación del Ministerio de Igualdad y Equidad, por lo que invocar este instrumento como una fórmula de control sin tener en cuenta la apuesta y el contenido de la Ley 2281 de 2023 es equivocado y puede menoscabar el goce efectivo de derechos fundamentales”</w:t>
            </w:r>
            <w:r w:rsidRPr="003E425B">
              <w:rPr>
                <w:rStyle w:val="Refdenotaalpie"/>
                <w:rFonts w:ascii="Times New Roman" w:hAnsi="Times New Roman" w:cs="Times New Roman"/>
                <w:sz w:val="28"/>
              </w:rPr>
              <w:footnoteReference w:id="453"/>
            </w:r>
            <w:r w:rsidRPr="003E425B">
              <w:rPr>
                <w:rFonts w:ascii="Times New Roman" w:hAnsi="Times New Roman" w:cs="Times New Roman"/>
                <w:sz w:val="28"/>
              </w:rPr>
              <w:t>.</w:t>
            </w:r>
          </w:p>
          <w:p w:rsidR="00FF4AA9" w:rsidRPr="003E425B" w:rsidRDefault="003E425B" w:rsidP="00426A4C">
            <w:pPr>
              <w:rPr>
                <w:rFonts w:ascii="Times New Roman" w:hAnsi="Times New Roman" w:cs="Times New Roman"/>
                <w:sz w:val="28"/>
              </w:rPr>
            </w:pPr>
            <w:r w:rsidRPr="003E425B">
              <w:rPr>
                <w:rFonts w:ascii="Times New Roman" w:hAnsi="Times New Roman" w:cs="Times New Roman"/>
                <w:sz w:val="28"/>
              </w:rPr>
              <w:t>Segundo, “el requisito del concepto de impacto fiscal dentro del procedimiento legislativo tiene un fin deliberativo; esto es, que los congresistas cuenten con elementos para identificar el posible impacto fiscal de una medida legislativa y puedan con e</w:t>
            </w:r>
            <w:r w:rsidRPr="003E425B">
              <w:rPr>
                <w:rFonts w:ascii="Times New Roman" w:hAnsi="Times New Roman" w:cs="Times New Roman"/>
                <w:sz w:val="28"/>
              </w:rPr>
              <w:t>ste instrumento dar un debate informado, lo que efectivamente sucedió</w:t>
            </w:r>
            <w:r w:rsidRPr="003E425B">
              <w:rPr>
                <w:rFonts w:ascii="Times New Roman" w:hAnsi="Times New Roman" w:cs="Times New Roman"/>
                <w:sz w:val="28"/>
              </w:rPr>
              <w:t>”</w:t>
            </w:r>
            <w:r w:rsidRPr="003E425B">
              <w:rPr>
                <w:rStyle w:val="Refdenotaalpie"/>
                <w:rFonts w:ascii="Times New Roman" w:hAnsi="Times New Roman" w:cs="Times New Roman"/>
                <w:sz w:val="28"/>
              </w:rPr>
              <w:footnoteReference w:id="454"/>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efecto</w:t>
            </w:r>
            <w:r w:rsidRPr="003E425B">
              <w:rPr>
                <w:rFonts w:ascii="Times New Roman" w:hAnsi="Times New Roman" w:cs="Times New Roman"/>
                <w:sz w:val="28"/>
              </w:rPr>
              <w:t>,</w:t>
            </w:r>
            <w:r w:rsidRPr="003E425B">
              <w:rPr>
                <w:rFonts w:ascii="Times New Roman" w:hAnsi="Times New Roman" w:cs="Times New Roman"/>
                <w:sz w:val="28"/>
              </w:rPr>
              <w:t xml:space="preserve"> el debate de este proyecto</w:t>
            </w:r>
            <w:r w:rsidRPr="003E425B">
              <w:rPr>
                <w:rFonts w:ascii="Times New Roman" w:hAnsi="Times New Roman" w:cs="Times New Roman"/>
                <w:sz w:val="28"/>
              </w:rPr>
              <w:t xml:space="preserve"> </w:t>
            </w:r>
            <w:r w:rsidRPr="003E425B">
              <w:rPr>
                <w:rFonts w:ascii="Times New Roman" w:hAnsi="Times New Roman" w:cs="Times New Roman"/>
                <w:sz w:val="28"/>
              </w:rPr>
              <w:t>“</w:t>
            </w:r>
            <w:r w:rsidRPr="003E425B">
              <w:rPr>
                <w:rFonts w:ascii="Times New Roman" w:hAnsi="Times New Roman" w:cs="Times New Roman"/>
                <w:sz w:val="28"/>
              </w:rPr>
              <w:t>estuvo precedido de deliberaciones basadas en consideraciones básicas sobre las necesidades presupuestales globales de la implementación de la m</w:t>
            </w:r>
            <w:r w:rsidRPr="003E425B">
              <w:rPr>
                <w:rFonts w:ascii="Times New Roman" w:hAnsi="Times New Roman" w:cs="Times New Roman"/>
                <w:sz w:val="28"/>
              </w:rPr>
              <w:t>isma y por tanto, de sus efectos fiscales</w:t>
            </w:r>
            <w:r w:rsidRPr="003E425B">
              <w:rPr>
                <w:rFonts w:ascii="Times New Roman" w:hAnsi="Times New Roman" w:cs="Times New Roman"/>
                <w:sz w:val="28"/>
              </w:rPr>
              <w:t>”</w:t>
            </w:r>
            <w:r w:rsidRPr="003E425B">
              <w:rPr>
                <w:rFonts w:ascii="Times New Roman" w:hAnsi="Times New Roman" w:cs="Times New Roman"/>
                <w:sz w:val="28"/>
              </w:rPr>
              <w:t>.</w:t>
            </w:r>
          </w:p>
          <w:p w:rsidR="002D3CD8" w:rsidRPr="003E425B" w:rsidRDefault="003E425B" w:rsidP="00426A4C">
            <w:pPr>
              <w:rPr>
                <w:rFonts w:ascii="Times New Roman" w:hAnsi="Times New Roman" w:cs="Times New Roman"/>
                <w:sz w:val="28"/>
              </w:rPr>
            </w:pPr>
            <w:r w:rsidRPr="003E425B">
              <w:rPr>
                <w:rFonts w:ascii="Times New Roman" w:hAnsi="Times New Roman" w:cs="Times New Roman"/>
                <w:sz w:val="28"/>
              </w:rPr>
              <w:t>T</w:t>
            </w:r>
            <w:r w:rsidRPr="003E425B">
              <w:rPr>
                <w:rFonts w:ascii="Times New Roman" w:hAnsi="Times New Roman" w:cs="Times New Roman"/>
                <w:sz w:val="28"/>
              </w:rPr>
              <w:t xml:space="preserve">ercero, </w:t>
            </w:r>
            <w:r w:rsidRPr="003E425B">
              <w:rPr>
                <w:rFonts w:ascii="Times New Roman" w:hAnsi="Times New Roman" w:cs="Times New Roman"/>
                <w:sz w:val="28"/>
              </w:rPr>
              <w:t>la Ley 2281 de</w:t>
            </w:r>
            <w:r w:rsidRPr="003E425B">
              <w:rPr>
                <w:rFonts w:ascii="Times New Roman" w:hAnsi="Times New Roman" w:cs="Times New Roman"/>
                <w:sz w:val="28"/>
              </w:rPr>
              <w:t xml:space="preserve"> </w:t>
            </w:r>
            <w:r w:rsidRPr="003E425B">
              <w:rPr>
                <w:rFonts w:ascii="Times New Roman" w:hAnsi="Times New Roman" w:cs="Times New Roman"/>
                <w:sz w:val="28"/>
              </w:rPr>
              <w:t>2023 es una norma que constituye una autorización de gasto y no una ordenación del gasto</w:t>
            </w:r>
            <w:r w:rsidRPr="003E425B">
              <w:rPr>
                <w:rFonts w:ascii="Times New Roman" w:hAnsi="Times New Roman" w:cs="Times New Roman"/>
                <w:sz w:val="28"/>
              </w:rPr>
              <w:t>. E</w:t>
            </w:r>
            <w:r w:rsidRPr="003E425B">
              <w:rPr>
                <w:rFonts w:ascii="Times New Roman" w:hAnsi="Times New Roman" w:cs="Times New Roman"/>
                <w:sz w:val="28"/>
              </w:rPr>
              <w:t xml:space="preserve">n todo caso, </w:t>
            </w:r>
            <w:r w:rsidRPr="003E425B">
              <w:rPr>
                <w:rFonts w:ascii="Times New Roman" w:hAnsi="Times New Roman" w:cs="Times New Roman"/>
                <w:sz w:val="28"/>
              </w:rPr>
              <w:t>el Ministerio de Hacienda y Crédito Público</w:t>
            </w:r>
            <w:r w:rsidRPr="003E425B">
              <w:rPr>
                <w:rFonts w:ascii="Times New Roman" w:hAnsi="Times New Roman" w:cs="Times New Roman"/>
                <w:sz w:val="28"/>
              </w:rPr>
              <w:t xml:space="preserve"> sí</w:t>
            </w:r>
            <w:r w:rsidRPr="003E425B">
              <w:rPr>
                <w:rFonts w:ascii="Times New Roman" w:hAnsi="Times New Roman" w:cs="Times New Roman"/>
                <w:sz w:val="28"/>
              </w:rPr>
              <w:t xml:space="preserve"> determinó el impacto fiscal</w:t>
            </w:r>
            <w:r w:rsidRPr="003E425B">
              <w:rPr>
                <w:rFonts w:ascii="Times New Roman" w:hAnsi="Times New Roman" w:cs="Times New Roman"/>
                <w:sz w:val="28"/>
              </w:rPr>
              <w:t xml:space="preserve"> en</w:t>
            </w:r>
            <w:r w:rsidRPr="003E425B">
              <w:rPr>
                <w:rFonts w:ascii="Times New Roman" w:hAnsi="Times New Roman" w:cs="Times New Roman"/>
                <w:sz w:val="28"/>
              </w:rPr>
              <w:t xml:space="preserve"> el con</w:t>
            </w:r>
            <w:r w:rsidRPr="003E425B">
              <w:rPr>
                <w:rFonts w:ascii="Times New Roman" w:hAnsi="Times New Roman" w:cs="Times New Roman"/>
                <w:sz w:val="28"/>
              </w:rPr>
              <w:t xml:space="preserve">cepto </w:t>
            </w:r>
            <w:r w:rsidRPr="003E425B">
              <w:rPr>
                <w:rFonts w:ascii="Times New Roman" w:hAnsi="Times New Roman" w:cs="Times New Roman"/>
                <w:sz w:val="28"/>
              </w:rPr>
              <w:t xml:space="preserve">radicado ante el Congreso </w:t>
            </w:r>
            <w:r w:rsidRPr="003E425B">
              <w:rPr>
                <w:rFonts w:ascii="Times New Roman" w:hAnsi="Times New Roman" w:cs="Times New Roman"/>
                <w:sz w:val="28"/>
              </w:rPr>
              <w:t>el 12 de diciembre de 2022</w:t>
            </w:r>
            <w:r w:rsidRPr="003E425B">
              <w:rPr>
                <w:rFonts w:ascii="Times New Roman" w:hAnsi="Times New Roman" w:cs="Times New Roman"/>
                <w:sz w:val="28"/>
              </w:rPr>
              <w:t>.</w:t>
            </w:r>
            <w:r w:rsidRPr="003E425B">
              <w:rPr>
                <w:rFonts w:ascii="Times New Roman" w:hAnsi="Times New Roman" w:cs="Times New Roman"/>
                <w:sz w:val="28"/>
              </w:rPr>
              <w:t xml:space="preserve"> En este, el MHCP </w:t>
            </w:r>
            <w:r w:rsidRPr="003E425B">
              <w:rPr>
                <w:rFonts w:ascii="Times New Roman" w:hAnsi="Times New Roman" w:cs="Times New Roman"/>
                <w:sz w:val="28"/>
              </w:rPr>
              <w:t xml:space="preserve">aportó un cuadro con “los costos de referencia de los actuales Ministerios para la vigencia 2022 y 2023” e indica que “el costo del Ministerio de la Igualdad y la Equidad puede </w:t>
            </w:r>
            <w:r w:rsidRPr="003E425B">
              <w:rPr>
                <w:rFonts w:ascii="Times New Roman" w:hAnsi="Times New Roman" w:cs="Times New Roman"/>
                <w:sz w:val="28"/>
              </w:rPr>
              <w:t>estar incluido dentro de las apropiaciones vigentes en otros sectores, al permitirse contar con funcionarios trasladados de otras entidades de la rama Ejecutiva”.</w:t>
            </w:r>
            <w:r w:rsidRPr="003E425B">
              <w:rPr>
                <w:rFonts w:ascii="Times New Roman" w:hAnsi="Times New Roman" w:cs="Times New Roman"/>
                <w:sz w:val="28"/>
              </w:rPr>
              <w:t xml:space="preserve"> Así las cosas,</w:t>
            </w:r>
            <w:r w:rsidRPr="003E425B">
              <w:rPr>
                <w:rFonts w:ascii="Times New Roman" w:hAnsi="Times New Roman" w:cs="Times New Roman"/>
                <w:sz w:val="28"/>
              </w:rPr>
              <w:t xml:space="preserve"> </w:t>
            </w:r>
            <w:r w:rsidRPr="003E425B">
              <w:rPr>
                <w:rFonts w:ascii="Times New Roman" w:hAnsi="Times New Roman" w:cs="Times New Roman"/>
                <w:sz w:val="28"/>
              </w:rPr>
              <w:t>“el análisis de impacto fiscal se efectuó con base en la información que refle</w:t>
            </w:r>
            <w:r w:rsidRPr="003E425B">
              <w:rPr>
                <w:rFonts w:ascii="Times New Roman" w:hAnsi="Times New Roman" w:cs="Times New Roman"/>
                <w:sz w:val="28"/>
              </w:rPr>
              <w:t>jaba el proyecto de ley de la ahora Ley 2281 de 2023</w:t>
            </w:r>
            <w:r w:rsidRPr="003E425B">
              <w:rPr>
                <w:rFonts w:ascii="Times New Roman" w:hAnsi="Times New Roman" w:cs="Times New Roman"/>
                <w:sz w:val="28"/>
              </w:rPr>
              <w:t xml:space="preserve"> (…)</w:t>
            </w:r>
            <w:r w:rsidRPr="003E425B">
              <w:rPr>
                <w:rFonts w:ascii="Times New Roman" w:hAnsi="Times New Roman" w:cs="Times New Roman"/>
                <w:sz w:val="28"/>
              </w:rPr>
              <w:t xml:space="preserve"> realizar un análisis exacto de costos asociados al proyecto no era posible. Sin embargo, consiente de la importancia de que el Congreso de la República conociera una estimación de costos de la inicia</w:t>
            </w:r>
            <w:r w:rsidRPr="003E425B">
              <w:rPr>
                <w:rFonts w:ascii="Times New Roman" w:hAnsi="Times New Roman" w:cs="Times New Roman"/>
                <w:sz w:val="28"/>
              </w:rPr>
              <w:t>tiva (</w:t>
            </w:r>
            <w:r w:rsidRPr="003E425B">
              <w:rPr>
                <w:rFonts w:ascii="Times New Roman" w:hAnsi="Times New Roman" w:cs="Times New Roman"/>
                <w:sz w:val="28"/>
              </w:rPr>
              <w:t>…</w:t>
            </w:r>
            <w:r w:rsidRPr="003E425B">
              <w:rPr>
                <w:rFonts w:ascii="Times New Roman" w:hAnsi="Times New Roman" w:cs="Times New Roman"/>
                <w:sz w:val="28"/>
              </w:rPr>
              <w:t>), se presentaron comparaciones con gastos de ministerios existentes que podrían asemejarse al futuro Ministerio de Igualdad y Equidad”</w:t>
            </w:r>
            <w:r w:rsidRPr="003E425B">
              <w:rPr>
                <w:rFonts w:ascii="Times New Roman" w:hAnsi="Times New Roman" w:cs="Times New Roman"/>
                <w:sz w:val="28"/>
              </w:rPr>
              <w:t>.</w:t>
            </w:r>
            <w:r w:rsidRPr="003E425B">
              <w:rPr>
                <w:rFonts w:ascii="Times New Roman" w:hAnsi="Times New Roman" w:cs="Times New Roman"/>
                <w:sz w:val="28"/>
              </w:rPr>
              <w:t xml:space="preserve"> En todo caso “la exactitud de los costos asociados al proyecto de ley solo podría ser conocidos una vez expedida</w:t>
            </w:r>
            <w:r w:rsidRPr="003E425B">
              <w:rPr>
                <w:rFonts w:ascii="Times New Roman" w:hAnsi="Times New Roman" w:cs="Times New Roman"/>
                <w:sz w:val="28"/>
              </w:rPr>
              <w:t xml:space="preserve">s </w:t>
            </w:r>
            <w:r w:rsidRPr="003E425B">
              <w:rPr>
                <w:rFonts w:ascii="Times New Roman" w:hAnsi="Times New Roman" w:cs="Times New Roman"/>
                <w:sz w:val="28"/>
              </w:rPr>
              <w:t>‘</w:t>
            </w:r>
            <w:r w:rsidRPr="003E425B">
              <w:rPr>
                <w:rFonts w:ascii="Times New Roman" w:hAnsi="Times New Roman" w:cs="Times New Roman"/>
                <w:sz w:val="28"/>
              </w:rPr>
              <w:t>las normas con fuerza material de ley dirigidas a integrar al Sector de Igualdad y Equidad con las entidades que defina como adscritas o vinculadas</w:t>
            </w:r>
            <w:r w:rsidRPr="003E425B">
              <w:rPr>
                <w:rFonts w:ascii="Times New Roman" w:hAnsi="Times New Roman" w:cs="Times New Roman"/>
                <w:sz w:val="28"/>
              </w:rPr>
              <w:t>’</w:t>
            </w:r>
            <w:r w:rsidRPr="003E425B">
              <w:rPr>
                <w:rFonts w:ascii="Times New Roman" w:hAnsi="Times New Roman" w:cs="Times New Roman"/>
                <w:sz w:val="28"/>
              </w:rPr>
              <w:t>”</w:t>
            </w:r>
            <w:r w:rsidRPr="003E425B">
              <w:rPr>
                <w:rFonts w:ascii="Times New Roman" w:hAnsi="Times New Roman" w:cs="Times New Roman"/>
                <w:sz w:val="28"/>
              </w:rPr>
              <w:t>.</w:t>
            </w:r>
          </w:p>
          <w:p w:rsidR="0000406A" w:rsidRPr="003E425B" w:rsidRDefault="003E425B" w:rsidP="00FC7F98">
            <w:pPr>
              <w:rPr>
                <w:rFonts w:ascii="Times New Roman" w:hAnsi="Times New Roman" w:cs="Times New Roman"/>
                <w:sz w:val="28"/>
              </w:rPr>
            </w:pPr>
            <w:r w:rsidRPr="003E425B">
              <w:rPr>
                <w:rFonts w:ascii="Times New Roman" w:hAnsi="Times New Roman" w:cs="Times New Roman"/>
                <w:sz w:val="28"/>
              </w:rPr>
              <w:t>Por</w:t>
            </w:r>
            <w:r w:rsidRPr="003E425B">
              <w:rPr>
                <w:rFonts w:ascii="Times New Roman" w:hAnsi="Times New Roman" w:cs="Times New Roman"/>
                <w:sz w:val="28"/>
              </w:rPr>
              <w:t xml:space="preserve"> lo</w:t>
            </w:r>
            <w:r w:rsidRPr="003E425B">
              <w:rPr>
                <w:rFonts w:ascii="Times New Roman" w:hAnsi="Times New Roman" w:cs="Times New Roman"/>
                <w:sz w:val="28"/>
              </w:rPr>
              <w:t xml:space="preserve"> demás, </w:t>
            </w:r>
            <w:r w:rsidRPr="003E425B">
              <w:rPr>
                <w:rFonts w:ascii="Times New Roman" w:hAnsi="Times New Roman" w:cs="Times New Roman"/>
                <w:sz w:val="28"/>
              </w:rPr>
              <w:t xml:space="preserve">la iniciativa legislativa </w:t>
            </w:r>
            <w:r w:rsidRPr="003E425B">
              <w:rPr>
                <w:rFonts w:ascii="Times New Roman" w:hAnsi="Times New Roman" w:cs="Times New Roman"/>
                <w:sz w:val="28"/>
              </w:rPr>
              <w:t>fue</w:t>
            </w:r>
            <w:r w:rsidRPr="003E425B">
              <w:rPr>
                <w:rFonts w:ascii="Times New Roman" w:hAnsi="Times New Roman" w:cs="Times New Roman"/>
                <w:sz w:val="28"/>
              </w:rPr>
              <w:t xml:space="preserve"> presentada conjuntamente por el Gobierno y algunos congres</w:t>
            </w:r>
            <w:r w:rsidRPr="003E425B">
              <w:rPr>
                <w:rFonts w:ascii="Times New Roman" w:hAnsi="Times New Roman" w:cs="Times New Roman"/>
                <w:sz w:val="28"/>
              </w:rPr>
              <w:t>istas</w:t>
            </w:r>
            <w:r w:rsidRPr="003E425B">
              <w:rPr>
                <w:rFonts w:ascii="Times New Roman" w:hAnsi="Times New Roman" w:cs="Times New Roman"/>
                <w:sz w:val="28"/>
              </w:rPr>
              <w:t>, lo cual</w:t>
            </w:r>
            <w:r w:rsidRPr="003E425B">
              <w:rPr>
                <w:rFonts w:ascii="Times New Roman" w:hAnsi="Times New Roman" w:cs="Times New Roman"/>
                <w:sz w:val="28"/>
              </w:rPr>
              <w:t xml:space="preserve"> implica que el cumplimiento de los requisitos de valoración del impacto fiscal de la medida </w:t>
            </w:r>
            <w:r w:rsidRPr="003E425B">
              <w:rPr>
                <w:rFonts w:ascii="Times New Roman" w:hAnsi="Times New Roman" w:cs="Times New Roman"/>
                <w:sz w:val="28"/>
              </w:rPr>
              <w:t>debe</w:t>
            </w:r>
            <w:r w:rsidRPr="003E425B">
              <w:rPr>
                <w:rFonts w:ascii="Times New Roman" w:hAnsi="Times New Roman" w:cs="Times New Roman"/>
                <w:sz w:val="28"/>
              </w:rPr>
              <w:t xml:space="preserve"> eval</w:t>
            </w:r>
            <w:r w:rsidRPr="003E425B">
              <w:rPr>
                <w:rFonts w:ascii="Times New Roman" w:hAnsi="Times New Roman" w:cs="Times New Roman"/>
                <w:sz w:val="28"/>
              </w:rPr>
              <w:t>u</w:t>
            </w:r>
            <w:r w:rsidRPr="003E425B">
              <w:rPr>
                <w:rFonts w:ascii="Times New Roman" w:hAnsi="Times New Roman" w:cs="Times New Roman"/>
                <w:sz w:val="28"/>
              </w:rPr>
              <w:t>a</w:t>
            </w:r>
            <w:r w:rsidRPr="003E425B">
              <w:rPr>
                <w:rFonts w:ascii="Times New Roman" w:hAnsi="Times New Roman" w:cs="Times New Roman"/>
                <w:sz w:val="28"/>
              </w:rPr>
              <w:t>rse</w:t>
            </w:r>
            <w:r w:rsidRPr="003E425B">
              <w:rPr>
                <w:rFonts w:ascii="Times New Roman" w:hAnsi="Times New Roman" w:cs="Times New Roman"/>
                <w:sz w:val="28"/>
              </w:rPr>
              <w:t xml:space="preserve"> </w:t>
            </w:r>
            <w:r w:rsidRPr="003E425B">
              <w:rPr>
                <w:rFonts w:ascii="Times New Roman" w:hAnsi="Times New Roman" w:cs="Times New Roman"/>
                <w:sz w:val="28"/>
              </w:rPr>
              <w:t>“</w:t>
            </w:r>
            <w:r w:rsidRPr="003E425B">
              <w:rPr>
                <w:rFonts w:ascii="Times New Roman" w:hAnsi="Times New Roman" w:cs="Times New Roman"/>
                <w:sz w:val="28"/>
              </w:rPr>
              <w:t>bajo un escrutinio deferente de las decisiones adoptadas</w:t>
            </w:r>
            <w:r w:rsidRPr="003E425B">
              <w:rPr>
                <w:rFonts w:ascii="Times New Roman" w:hAnsi="Times New Roman" w:cs="Times New Roman"/>
                <w:sz w:val="28"/>
              </w:rPr>
              <w:t>”</w:t>
            </w:r>
            <w:r w:rsidRPr="003E425B">
              <w:rPr>
                <w:rFonts w:ascii="Times New Roman" w:hAnsi="Times New Roman" w:cs="Times New Roman"/>
                <w:sz w:val="28"/>
              </w:rPr>
              <w:t>.</w:t>
            </w:r>
          </w:p>
          <w:p w:rsidR="00361661" w:rsidRPr="003E425B" w:rsidRDefault="003E425B" w:rsidP="00361661">
            <w:pPr>
              <w:rPr>
                <w:rFonts w:ascii="Times New Roman" w:hAnsi="Times New Roman" w:cs="Times New Roman"/>
                <w:sz w:val="28"/>
              </w:rPr>
            </w:pPr>
          </w:p>
          <w:p w:rsidR="00283B83" w:rsidRPr="003E425B" w:rsidRDefault="003E425B" w:rsidP="00623B8B">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w:t>
            </w:r>
            <w:r w:rsidRPr="003E425B">
              <w:rPr>
                <w:rFonts w:ascii="Times New Roman" w:hAnsi="Times New Roman" w:cs="Times New Roman"/>
                <w:sz w:val="28"/>
              </w:rPr>
              <w:t xml:space="preserve"> No se presentan los vicios de forma alegados por los demandantes, en tanto el informe de ponencia del proyecto en primer debate se aprobó con el quorum y las mayorías requeridas.</w:t>
            </w:r>
            <w:r w:rsidRPr="003E425B">
              <w:rPr>
                <w:rFonts w:ascii="Times New Roman" w:hAnsi="Times New Roman" w:cs="Times New Roman"/>
                <w:sz w:val="28"/>
              </w:rPr>
              <w:t xml:space="preserve"> </w:t>
            </w:r>
            <w:r w:rsidRPr="003E425B">
              <w:rPr>
                <w:rFonts w:ascii="Times New Roman" w:hAnsi="Times New Roman" w:cs="Times New Roman"/>
                <w:sz w:val="28"/>
              </w:rPr>
              <w:t>S</w:t>
            </w:r>
            <w:r w:rsidRPr="003E425B">
              <w:rPr>
                <w:rFonts w:ascii="Times New Roman" w:hAnsi="Times New Roman" w:cs="Times New Roman"/>
                <w:sz w:val="28"/>
              </w:rPr>
              <w:t xml:space="preserve">egún la jurisprudencia constitucional </w:t>
            </w:r>
            <w:r w:rsidRPr="003E425B">
              <w:rPr>
                <w:rFonts w:ascii="Times New Roman" w:hAnsi="Times New Roman" w:cs="Times New Roman"/>
                <w:sz w:val="28"/>
              </w:rPr>
              <w:t>“</w:t>
            </w:r>
            <w:r w:rsidRPr="003E425B">
              <w:rPr>
                <w:rFonts w:ascii="Times New Roman" w:hAnsi="Times New Roman" w:cs="Times New Roman"/>
                <w:sz w:val="28"/>
              </w:rPr>
              <w:t xml:space="preserve">es factible tramitar un proyecto de </w:t>
            </w:r>
            <w:r w:rsidRPr="003E425B">
              <w:rPr>
                <w:rFonts w:ascii="Times New Roman" w:hAnsi="Times New Roman" w:cs="Times New Roman"/>
                <w:sz w:val="28"/>
              </w:rPr>
              <w:t>ley conforme a dos mayorías distintas, según la naturaleza de las diferentes disposiciones contenidas en el proyecto de ley</w:t>
            </w:r>
            <w:r w:rsidRPr="003E425B">
              <w:rPr>
                <w:rFonts w:ascii="Times New Roman" w:hAnsi="Times New Roman" w:cs="Times New Roman"/>
                <w:sz w:val="28"/>
              </w:rPr>
              <w:t xml:space="preserve"> (…)</w:t>
            </w:r>
            <w:r w:rsidRPr="003E425B">
              <w:rPr>
                <w:rFonts w:ascii="Times New Roman" w:hAnsi="Times New Roman" w:cs="Times New Roman"/>
                <w:sz w:val="28"/>
              </w:rPr>
              <w:t xml:space="preserve">, en este caso, únicamente </w:t>
            </w:r>
            <w:r w:rsidRPr="003E425B">
              <w:rPr>
                <w:rFonts w:ascii="Times New Roman" w:hAnsi="Times New Roman" w:cs="Times New Roman"/>
                <w:sz w:val="28"/>
              </w:rPr>
              <w:t>[</w:t>
            </w:r>
            <w:r w:rsidRPr="003E425B">
              <w:rPr>
                <w:rFonts w:ascii="Times New Roman" w:hAnsi="Times New Roman" w:cs="Times New Roman"/>
                <w:sz w:val="28"/>
              </w:rPr>
              <w:t>el</w:t>
            </w:r>
            <w:r w:rsidRPr="003E425B">
              <w:rPr>
                <w:rFonts w:ascii="Times New Roman" w:hAnsi="Times New Roman" w:cs="Times New Roman"/>
                <w:sz w:val="28"/>
              </w:rPr>
              <w:t>]</w:t>
            </w:r>
            <w:r w:rsidRPr="003E425B">
              <w:rPr>
                <w:rFonts w:ascii="Times New Roman" w:hAnsi="Times New Roman" w:cs="Times New Roman"/>
                <w:sz w:val="28"/>
              </w:rPr>
              <w:t xml:space="preserve"> artículo 12 que es el que confiere facultades extraordinarias al presidente de la República</w:t>
            </w:r>
            <w:r w:rsidRPr="003E425B">
              <w:rPr>
                <w:rFonts w:ascii="Times New Roman" w:hAnsi="Times New Roman" w:cs="Times New Roman"/>
                <w:sz w:val="28"/>
              </w:rPr>
              <w:t>”</w:t>
            </w:r>
            <w:r w:rsidRPr="003E425B">
              <w:rPr>
                <w:rFonts w:ascii="Times New Roman" w:hAnsi="Times New Roman" w:cs="Times New Roman"/>
                <w:sz w:val="28"/>
              </w:rPr>
              <w:t xml:space="preserve"> deb</w:t>
            </w:r>
            <w:r w:rsidRPr="003E425B">
              <w:rPr>
                <w:rFonts w:ascii="Times New Roman" w:hAnsi="Times New Roman" w:cs="Times New Roman"/>
                <w:sz w:val="28"/>
              </w:rPr>
              <w:t>i</w:t>
            </w:r>
            <w:r w:rsidRPr="003E425B">
              <w:rPr>
                <w:rFonts w:ascii="Times New Roman" w:hAnsi="Times New Roman" w:cs="Times New Roman"/>
                <w:sz w:val="28"/>
              </w:rPr>
              <w:t>ó</w:t>
            </w:r>
            <w:r w:rsidRPr="003E425B">
              <w:rPr>
                <w:rFonts w:ascii="Times New Roman" w:hAnsi="Times New Roman" w:cs="Times New Roman"/>
                <w:sz w:val="28"/>
              </w:rPr>
              <w:t xml:space="preserve"> ser aprobado por mayoría absoluta</w:t>
            </w:r>
            <w:r w:rsidRPr="003E425B">
              <w:rPr>
                <w:rFonts w:ascii="Times New Roman" w:hAnsi="Times New Roman" w:cs="Times New Roman"/>
                <w:sz w:val="28"/>
              </w:rPr>
              <w:t xml:space="preserve">. </w:t>
            </w:r>
            <w:r w:rsidRPr="003E425B">
              <w:rPr>
                <w:rFonts w:ascii="Times New Roman" w:hAnsi="Times New Roman" w:cs="Times New Roman"/>
                <w:sz w:val="28"/>
              </w:rPr>
              <w:t>Esto, en efecto ocurrió</w:t>
            </w:r>
            <w:r w:rsidRPr="003E425B">
              <w:rPr>
                <w:rFonts w:ascii="Times New Roman" w:hAnsi="Times New Roman" w:cs="Times New Roman"/>
                <w:sz w:val="28"/>
              </w:rPr>
              <w:t>, pues e</w:t>
            </w:r>
            <w:r w:rsidRPr="003E425B">
              <w:rPr>
                <w:rFonts w:ascii="Times New Roman" w:hAnsi="Times New Roman" w:cs="Times New Roman"/>
                <w:sz w:val="28"/>
              </w:rPr>
              <w:t xml:space="preserve">n cada una de </w:t>
            </w:r>
            <w:r w:rsidRPr="003E425B">
              <w:rPr>
                <w:rFonts w:ascii="Times New Roman" w:hAnsi="Times New Roman" w:cs="Times New Roman"/>
                <w:sz w:val="28"/>
              </w:rPr>
              <w:t>l</w:t>
            </w:r>
            <w:r w:rsidRPr="003E425B">
              <w:rPr>
                <w:rFonts w:ascii="Times New Roman" w:hAnsi="Times New Roman" w:cs="Times New Roman"/>
                <w:sz w:val="28"/>
              </w:rPr>
              <w:t xml:space="preserve">as sesiones parlamentarias, </w:t>
            </w:r>
            <w:r w:rsidRPr="003E425B">
              <w:rPr>
                <w:rFonts w:ascii="Times New Roman" w:hAnsi="Times New Roman" w:cs="Times New Roman"/>
                <w:sz w:val="28"/>
              </w:rPr>
              <w:t>“</w:t>
            </w:r>
            <w:r w:rsidRPr="003E425B">
              <w:rPr>
                <w:rFonts w:ascii="Times New Roman" w:hAnsi="Times New Roman" w:cs="Times New Roman"/>
                <w:sz w:val="28"/>
              </w:rPr>
              <w:t xml:space="preserve">el artículo que otorga facultades extraordinarias se votó por separado (siendo el 11 en comisiones y el 12 en plenarias), alcanzó mayorías </w:t>
            </w:r>
            <w:r w:rsidRPr="003E425B">
              <w:rPr>
                <w:rFonts w:ascii="Times New Roman" w:hAnsi="Times New Roman" w:cs="Times New Roman"/>
                <w:sz w:val="28"/>
              </w:rPr>
              <w:t>absolutas y dicha situación fue certificada por las secretarias en cada caso”.</w:t>
            </w:r>
            <w:r w:rsidRPr="003E425B">
              <w:rPr>
                <w:rFonts w:ascii="Times New Roman" w:hAnsi="Times New Roman" w:cs="Times New Roman"/>
                <w:sz w:val="28"/>
              </w:rPr>
              <w:t xml:space="preserve"> </w:t>
            </w:r>
          </w:p>
          <w:p w:rsidR="0006633A" w:rsidRPr="003E425B" w:rsidRDefault="003E425B" w:rsidP="0075118A">
            <w:pPr>
              <w:rPr>
                <w:rFonts w:ascii="Times New Roman" w:hAnsi="Times New Roman" w:cs="Times New Roman"/>
                <w:sz w:val="28"/>
              </w:rPr>
            </w:pPr>
            <w:r w:rsidRPr="003E425B">
              <w:rPr>
                <w:rFonts w:ascii="Times New Roman" w:hAnsi="Times New Roman" w:cs="Times New Roman"/>
                <w:sz w:val="28"/>
              </w:rPr>
              <w:t>De otro lado, l</w:t>
            </w:r>
            <w:r w:rsidRPr="003E425B">
              <w:rPr>
                <w:rFonts w:ascii="Times New Roman" w:hAnsi="Times New Roman" w:cs="Times New Roman"/>
                <w:sz w:val="28"/>
              </w:rPr>
              <w:t>os accionantes afirma</w:t>
            </w:r>
            <w:r w:rsidRPr="003E425B">
              <w:rPr>
                <w:rFonts w:ascii="Times New Roman" w:hAnsi="Times New Roman" w:cs="Times New Roman"/>
                <w:sz w:val="28"/>
              </w:rPr>
              <w:t>n</w:t>
            </w:r>
            <w:r w:rsidRPr="003E425B">
              <w:rPr>
                <w:rFonts w:ascii="Times New Roman" w:hAnsi="Times New Roman" w:cs="Times New Roman"/>
                <w:sz w:val="28"/>
              </w:rPr>
              <w:t xml:space="preserve"> que al momento de la votación no existía quórum decisorio en la Comisión Primera del Senado</w:t>
            </w:r>
            <w:r w:rsidRPr="003E425B">
              <w:rPr>
                <w:rFonts w:ascii="Times New Roman" w:hAnsi="Times New Roman" w:cs="Times New Roman"/>
                <w:sz w:val="28"/>
              </w:rPr>
              <w:t xml:space="preserve"> y pretenden demostrarlo mediante </w:t>
            </w:r>
            <w:r w:rsidRPr="003E425B">
              <w:rPr>
                <w:rFonts w:ascii="Times New Roman" w:hAnsi="Times New Roman" w:cs="Times New Roman"/>
                <w:sz w:val="28"/>
              </w:rPr>
              <w:t>imágenes y vi</w:t>
            </w:r>
            <w:r w:rsidRPr="003E425B">
              <w:rPr>
                <w:rFonts w:ascii="Times New Roman" w:hAnsi="Times New Roman" w:cs="Times New Roman"/>
                <w:sz w:val="28"/>
              </w:rPr>
              <w:t xml:space="preserve">deos. Sin embargo, de acuerdo con la Corte Constitucional, para verificar la no conformación del quórum para decidir sobre una ley es necesario </w:t>
            </w:r>
            <w:r w:rsidRPr="003E425B">
              <w:rPr>
                <w:rFonts w:ascii="Times New Roman" w:hAnsi="Times New Roman" w:cs="Times New Roman"/>
                <w:sz w:val="28"/>
              </w:rPr>
              <w:t>aportar</w:t>
            </w:r>
            <w:r w:rsidRPr="003E425B">
              <w:rPr>
                <w:rFonts w:ascii="Times New Roman" w:hAnsi="Times New Roman" w:cs="Times New Roman"/>
                <w:sz w:val="28"/>
              </w:rPr>
              <w:t xml:space="preserve"> pruebas idóneas que permitan demostrar la ausencia de los miembros requeridos para constituir el quórum,</w:t>
            </w:r>
            <w:r w:rsidRPr="003E425B">
              <w:rPr>
                <w:rFonts w:ascii="Times New Roman" w:hAnsi="Times New Roman" w:cs="Times New Roman"/>
                <w:sz w:val="28"/>
              </w:rPr>
              <w:t xml:space="preserve"> tales como actas de sesión, listados de asistencia o testimonios de testigos presenciales.</w:t>
            </w:r>
            <w:r w:rsidRPr="003E425B">
              <w:rPr>
                <w:rFonts w:ascii="Times New Roman" w:hAnsi="Times New Roman" w:cs="Times New Roman"/>
                <w:sz w:val="28"/>
              </w:rPr>
              <w:t xml:space="preserve"> En estos términos, los demandantes “no cumplen con el estándar de prueba que respalde de manera contundente su pretensión de declarar la inexequibilidad de la Ley”.</w:t>
            </w:r>
            <w:r w:rsidRPr="003E425B">
              <w:rPr>
                <w:rFonts w:ascii="Times New Roman" w:hAnsi="Times New Roman" w:cs="Times New Roman"/>
                <w:sz w:val="28"/>
              </w:rPr>
              <w:t xml:space="preserve"> Por lo demás, “si se acreditaron las mayorías para aprobar las facultades extraordinarias, también, de forma automática, se acredita el quorum decisorio en la medida en que el número mínimo para que se sostenga este quorum es el de la mitad de los miembro</w:t>
            </w:r>
            <w:r w:rsidRPr="003E425B">
              <w:rPr>
                <w:rFonts w:ascii="Times New Roman" w:hAnsi="Times New Roman" w:cs="Times New Roman"/>
                <w:sz w:val="28"/>
              </w:rPr>
              <w:t>s de la comisión o de la plenaria respectiva, lo que es también el número mínimo más uno de las mayorías absolutas”.</w:t>
            </w:r>
          </w:p>
        </w:tc>
        <w:tc>
          <w:tcPr>
            <w:tcW w:w="4821" w:type="dxa"/>
            <w:vAlign w:val="center"/>
          </w:tcPr>
          <w:p w:rsidR="00086603" w:rsidRPr="003E425B" w:rsidRDefault="003E425B" w:rsidP="00815CDD">
            <w:pPr>
              <w:rPr>
                <w:rFonts w:ascii="Times New Roman" w:hAnsi="Times New Roman" w:cs="Times New Roman"/>
                <w:sz w:val="28"/>
              </w:rPr>
            </w:pPr>
            <w:r w:rsidRPr="003E425B">
              <w:rPr>
                <w:rFonts w:ascii="Times New Roman" w:hAnsi="Times New Roman" w:cs="Times New Roman"/>
                <w:sz w:val="28"/>
              </w:rPr>
              <w:t xml:space="preserve">Este cargo carece de certeza en la medida en que se basa en una interpretación subjetiva y personal de los actores que no </w:t>
            </w:r>
            <w:r w:rsidRPr="003E425B">
              <w:rPr>
                <w:rFonts w:ascii="Times New Roman" w:hAnsi="Times New Roman" w:cs="Times New Roman"/>
                <w:sz w:val="28"/>
              </w:rPr>
              <w:t>se desprende</w:t>
            </w:r>
            <w:r w:rsidRPr="003E425B">
              <w:rPr>
                <w:rFonts w:ascii="Times New Roman" w:hAnsi="Times New Roman" w:cs="Times New Roman"/>
                <w:sz w:val="28"/>
              </w:rPr>
              <w:t xml:space="preserve"> del </w:t>
            </w:r>
            <w:r w:rsidRPr="003E425B">
              <w:rPr>
                <w:rFonts w:ascii="Times New Roman" w:hAnsi="Times New Roman" w:cs="Times New Roman"/>
                <w:sz w:val="28"/>
              </w:rPr>
              <w:t>texto de la norma.</w:t>
            </w:r>
            <w:r w:rsidRPr="003E425B">
              <w:rPr>
                <w:rFonts w:ascii="Times New Roman" w:hAnsi="Times New Roman" w:cs="Times New Roman"/>
                <w:sz w:val="28"/>
              </w:rPr>
              <w:t xml:space="preserve"> </w:t>
            </w:r>
          </w:p>
          <w:p w:rsidR="00866C50" w:rsidRPr="003E425B" w:rsidRDefault="003E425B" w:rsidP="007431BA">
            <w:pPr>
              <w:rPr>
                <w:rFonts w:ascii="Times New Roman" w:hAnsi="Times New Roman" w:cs="Times New Roman"/>
                <w:sz w:val="28"/>
              </w:rPr>
            </w:pPr>
          </w:p>
          <w:p w:rsidR="00FA752D" w:rsidRPr="003E425B" w:rsidRDefault="003E425B" w:rsidP="007431BA">
            <w:pPr>
              <w:rPr>
                <w:rFonts w:ascii="Times New Roman" w:hAnsi="Times New Roman" w:cs="Times New Roman"/>
                <w:sz w:val="28"/>
              </w:rPr>
            </w:pPr>
            <w:r w:rsidRPr="003E425B">
              <w:rPr>
                <w:rFonts w:ascii="Times New Roman" w:hAnsi="Times New Roman" w:cs="Times New Roman"/>
                <w:sz w:val="28"/>
              </w:rPr>
              <w:t>Con todo, si se admitiera que el cargo es apto, l</w:t>
            </w:r>
            <w:r w:rsidRPr="003E425B">
              <w:rPr>
                <w:rFonts w:ascii="Times New Roman" w:hAnsi="Times New Roman" w:cs="Times New Roman"/>
                <w:sz w:val="28"/>
              </w:rPr>
              <w:t>as facultades extraordinarias otorgadas al presidente de la República en el artículo 12 de la Ley 2281 de 2023, cumplen con el requisito de claridad y precisión previsto en el artículo 1</w:t>
            </w:r>
            <w:r w:rsidRPr="003E425B">
              <w:rPr>
                <w:rFonts w:ascii="Times New Roman" w:hAnsi="Times New Roman" w:cs="Times New Roman"/>
                <w:sz w:val="28"/>
              </w:rPr>
              <w:t>50</w:t>
            </w:r>
            <w:r w:rsidRPr="003E425B">
              <w:rPr>
                <w:rFonts w:ascii="Times New Roman" w:hAnsi="Times New Roman" w:cs="Times New Roman"/>
                <w:sz w:val="28"/>
              </w:rPr>
              <w:t>.</w:t>
            </w:r>
            <w:r w:rsidRPr="003E425B">
              <w:rPr>
                <w:rFonts w:ascii="Times New Roman" w:hAnsi="Times New Roman" w:cs="Times New Roman"/>
                <w:sz w:val="28"/>
              </w:rPr>
              <w:t>10 de la Constitución Política y definido por la jurisprudencia constitucional, en tanto la materia a regular se encuentra expresamente determinada y delimitada en la norma acusada.</w:t>
            </w:r>
            <w:r w:rsidRPr="003E425B">
              <w:rPr>
                <w:rFonts w:ascii="Times New Roman" w:hAnsi="Times New Roman" w:cs="Times New Roman"/>
                <w:sz w:val="28"/>
              </w:rPr>
              <w:t xml:space="preserve"> </w:t>
            </w:r>
            <w:r w:rsidRPr="003E425B">
              <w:rPr>
                <w:rFonts w:ascii="Times New Roman" w:hAnsi="Times New Roman" w:cs="Times New Roman"/>
                <w:sz w:val="28"/>
              </w:rPr>
              <w:t>En este sentido</w:t>
            </w:r>
            <w:r w:rsidRPr="003E425B">
              <w:rPr>
                <w:rFonts w:ascii="Times New Roman" w:hAnsi="Times New Roman" w:cs="Times New Roman"/>
                <w:sz w:val="28"/>
              </w:rPr>
              <w:t>,</w:t>
            </w:r>
            <w:r w:rsidRPr="003E425B">
              <w:rPr>
                <w:rFonts w:ascii="Times New Roman" w:hAnsi="Times New Roman" w:cs="Times New Roman"/>
                <w:sz w:val="28"/>
              </w:rPr>
              <w:t xml:space="preserve"> “la norma es clara al señalar dos acciones que estarían dentro de las facultades extraordinarias, que son vincular y adscribir, a las diferentes entidades necesarias para integrar el Sector de Igualdad”</w:t>
            </w:r>
            <w:r w:rsidRPr="003E425B">
              <w:rPr>
                <w:rFonts w:ascii="Times New Roman" w:hAnsi="Times New Roman" w:cs="Times New Roman"/>
                <w:sz w:val="28"/>
              </w:rPr>
              <w:t>.</w:t>
            </w:r>
            <w:r w:rsidRPr="003E425B">
              <w:rPr>
                <w:rFonts w:ascii="Times New Roman" w:hAnsi="Times New Roman" w:cs="Times New Roman"/>
                <w:sz w:val="28"/>
              </w:rPr>
              <w:t xml:space="preserve"> En relación con los conceptos de </w:t>
            </w:r>
            <w:r w:rsidRPr="003E425B">
              <w:rPr>
                <w:rFonts w:ascii="Times New Roman" w:hAnsi="Times New Roman" w:cs="Times New Roman"/>
                <w:sz w:val="28"/>
              </w:rPr>
              <w:t xml:space="preserve">vinculación </w:t>
            </w:r>
            <w:r w:rsidRPr="003E425B">
              <w:rPr>
                <w:rFonts w:ascii="Times New Roman" w:hAnsi="Times New Roman" w:cs="Times New Roman"/>
                <w:sz w:val="28"/>
              </w:rPr>
              <w:t>y</w:t>
            </w:r>
            <w:r w:rsidRPr="003E425B">
              <w:rPr>
                <w:rFonts w:ascii="Times New Roman" w:hAnsi="Times New Roman" w:cs="Times New Roman"/>
                <w:sz w:val="28"/>
              </w:rPr>
              <w:t xml:space="preserve"> adsc</w:t>
            </w:r>
            <w:r w:rsidRPr="003E425B">
              <w:rPr>
                <w:rFonts w:ascii="Times New Roman" w:hAnsi="Times New Roman" w:cs="Times New Roman"/>
                <w:sz w:val="28"/>
              </w:rPr>
              <w:t xml:space="preserve">ripción la jurisprudencia </w:t>
            </w:r>
            <w:r w:rsidRPr="003E425B">
              <w:rPr>
                <w:rFonts w:ascii="Times New Roman" w:hAnsi="Times New Roman" w:cs="Times New Roman"/>
                <w:sz w:val="28"/>
              </w:rPr>
              <w:t>ha explicado que “</w:t>
            </w:r>
            <w:r w:rsidRPr="003E425B">
              <w:rPr>
                <w:rFonts w:ascii="Times New Roman" w:hAnsi="Times New Roman" w:cs="Times New Roman"/>
                <w:sz w:val="28"/>
              </w:rPr>
              <w:t>denotan grados de relación de dependencia no jerárquica que se predican entre organismos principales de la administración y organismos que, no obstante tener reconocida autonomía administrativa- ostenten o no per</w:t>
            </w:r>
            <w:r w:rsidRPr="003E425B">
              <w:rPr>
                <w:rFonts w:ascii="Times New Roman" w:hAnsi="Times New Roman" w:cs="Times New Roman"/>
                <w:sz w:val="28"/>
              </w:rPr>
              <w:t>sonalidad jurídica-, deben actuar bajo la orientación y coordinación de aquellos</w:t>
            </w:r>
            <w:r w:rsidRPr="003E425B">
              <w:rPr>
                <w:rFonts w:ascii="Times New Roman" w:hAnsi="Times New Roman" w:cs="Times New Roman"/>
                <w:sz w:val="28"/>
              </w:rPr>
              <w:t>”</w:t>
            </w:r>
            <w:r w:rsidRPr="003E425B">
              <w:rPr>
                <w:rFonts w:ascii="Times New Roman" w:hAnsi="Times New Roman" w:cs="Times New Roman"/>
                <w:sz w:val="28"/>
              </w:rPr>
              <w:t>.</w:t>
            </w:r>
            <w:r w:rsidRPr="003E425B">
              <w:rPr>
                <w:rFonts w:ascii="Times New Roman" w:hAnsi="Times New Roman" w:cs="Times New Roman"/>
                <w:sz w:val="28"/>
              </w:rPr>
              <w:t xml:space="preserve"> </w:t>
            </w:r>
          </w:p>
          <w:p w:rsidR="00CE4A47" w:rsidRPr="003E425B" w:rsidRDefault="003E425B" w:rsidP="007431BA">
            <w:pPr>
              <w:rPr>
                <w:rFonts w:ascii="Times New Roman" w:hAnsi="Times New Roman" w:cs="Times New Roman"/>
                <w:sz w:val="28"/>
              </w:rPr>
            </w:pPr>
            <w:r w:rsidRPr="003E425B">
              <w:rPr>
                <w:rFonts w:ascii="Times New Roman" w:hAnsi="Times New Roman" w:cs="Times New Roman"/>
                <w:sz w:val="28"/>
              </w:rPr>
              <w:t xml:space="preserve">En estos términos, </w:t>
            </w:r>
            <w:r w:rsidRPr="003E425B">
              <w:rPr>
                <w:rFonts w:ascii="Times New Roman" w:hAnsi="Times New Roman" w:cs="Times New Roman"/>
                <w:sz w:val="28"/>
              </w:rPr>
              <w:t>“no hay ningún tipo de indeterminación en la materia objeto de las facultades extraordinarias previstas en el artículo 12 de la Ley 2281 de 2023, en la m</w:t>
            </w:r>
            <w:r w:rsidRPr="003E425B">
              <w:rPr>
                <w:rFonts w:ascii="Times New Roman" w:hAnsi="Times New Roman" w:cs="Times New Roman"/>
                <w:sz w:val="28"/>
              </w:rPr>
              <w:t xml:space="preserve">edida en que supone dos tipos de acciones dirigidas a un fin ya que se trata única y exclusivamente de la integración de las entidades necesarias para la conformación del Sector. Tampoco se presenta un exceso en las facultades otorgadas por el legislador, </w:t>
            </w:r>
            <w:r w:rsidRPr="003E425B">
              <w:rPr>
                <w:rFonts w:ascii="Times New Roman" w:hAnsi="Times New Roman" w:cs="Times New Roman"/>
                <w:sz w:val="28"/>
              </w:rPr>
              <w:t>dado que se no son utilizadas ‘para expedir los códigos, recaer sobre materias de reserva de ley estatutaria, de ley orgánica, para expedir leyes marco para el decreto o modificación de impuesto’, que son prohibiciones específicas para estas normas”.</w:t>
            </w:r>
          </w:p>
          <w:p w:rsidR="00A5556A" w:rsidRPr="003E425B" w:rsidRDefault="003E425B" w:rsidP="00656791">
            <w:pPr>
              <w:rPr>
                <w:rFonts w:ascii="Times New Roman" w:hAnsi="Times New Roman" w:cs="Times New Roman"/>
                <w:sz w:val="28"/>
              </w:rPr>
            </w:pPr>
            <w:r w:rsidRPr="003E425B">
              <w:rPr>
                <w:rFonts w:ascii="Times New Roman" w:hAnsi="Times New Roman" w:cs="Times New Roman"/>
                <w:sz w:val="28"/>
              </w:rPr>
              <w:t>Ademá</w:t>
            </w:r>
            <w:r w:rsidRPr="003E425B">
              <w:rPr>
                <w:rFonts w:ascii="Times New Roman" w:hAnsi="Times New Roman" w:cs="Times New Roman"/>
                <w:sz w:val="28"/>
              </w:rPr>
              <w:t xml:space="preserve">s, “al interior de la exposición de motivos del proyecto de ley y los informes de ponencias durante el trámite legislativo, se evidencia </w:t>
            </w:r>
            <w:r w:rsidRPr="003E425B">
              <w:rPr>
                <w:rFonts w:ascii="Times New Roman" w:hAnsi="Times New Roman" w:cs="Times New Roman"/>
                <w:sz w:val="28"/>
              </w:rPr>
              <w:t xml:space="preserve">(...) </w:t>
            </w:r>
            <w:r w:rsidRPr="003E425B">
              <w:rPr>
                <w:rFonts w:ascii="Times New Roman" w:hAnsi="Times New Roman" w:cs="Times New Roman"/>
                <w:sz w:val="28"/>
              </w:rPr>
              <w:t>l</w:t>
            </w:r>
            <w:r w:rsidRPr="003E425B">
              <w:rPr>
                <w:rFonts w:ascii="Times New Roman" w:hAnsi="Times New Roman" w:cs="Times New Roman"/>
                <w:sz w:val="28"/>
              </w:rPr>
              <w:t>a ausencia de un sector organizado y coordinado</w:t>
            </w:r>
            <w:r w:rsidRPr="003E425B">
              <w:rPr>
                <w:rFonts w:ascii="Times New Roman" w:hAnsi="Times New Roman" w:cs="Times New Roman"/>
                <w:sz w:val="28"/>
              </w:rPr>
              <w:t>”. Esto “</w:t>
            </w:r>
            <w:r w:rsidRPr="003E425B">
              <w:rPr>
                <w:rFonts w:ascii="Times New Roman" w:hAnsi="Times New Roman" w:cs="Times New Roman"/>
                <w:sz w:val="28"/>
              </w:rPr>
              <w:t>genera, por ejemplo,</w:t>
            </w:r>
            <w:r w:rsidRPr="003E425B">
              <w:rPr>
                <w:rFonts w:ascii="Times New Roman" w:hAnsi="Times New Roman" w:cs="Times New Roman"/>
                <w:sz w:val="28"/>
              </w:rPr>
              <w:t xml:space="preserve"> </w:t>
            </w:r>
            <w:r w:rsidRPr="003E425B">
              <w:rPr>
                <w:rFonts w:ascii="Times New Roman" w:hAnsi="Times New Roman" w:cs="Times New Roman"/>
                <w:sz w:val="28"/>
              </w:rPr>
              <w:t xml:space="preserve">el incumplimiento o cumplimiento </w:t>
            </w:r>
            <w:r w:rsidRPr="003E425B">
              <w:rPr>
                <w:rFonts w:ascii="Times New Roman" w:hAnsi="Times New Roman" w:cs="Times New Roman"/>
                <w:sz w:val="28"/>
              </w:rPr>
              <w:t>parcial de órdenes estructurales de</w:t>
            </w:r>
            <w:r w:rsidRPr="003E425B">
              <w:rPr>
                <w:rFonts w:ascii="Times New Roman" w:hAnsi="Times New Roman" w:cs="Times New Roman"/>
                <w:sz w:val="28"/>
              </w:rPr>
              <w:t xml:space="preserve"> </w:t>
            </w:r>
            <w:r w:rsidRPr="003E425B">
              <w:rPr>
                <w:rFonts w:ascii="Times New Roman" w:hAnsi="Times New Roman" w:cs="Times New Roman"/>
                <w:sz w:val="28"/>
              </w:rPr>
              <w:t>la Corte Constitucional. En consecuencia, resulta pertinente y necesario</w:t>
            </w:r>
            <w:r w:rsidRPr="003E425B">
              <w:rPr>
                <w:rFonts w:ascii="Times New Roman" w:hAnsi="Times New Roman" w:cs="Times New Roman"/>
                <w:sz w:val="28"/>
              </w:rPr>
              <w:t xml:space="preserve"> </w:t>
            </w:r>
            <w:r w:rsidRPr="003E425B">
              <w:rPr>
                <w:rFonts w:ascii="Times New Roman" w:hAnsi="Times New Roman" w:cs="Times New Roman"/>
                <w:sz w:val="28"/>
              </w:rPr>
              <w:t>atribuir facultades extraordinarias al presidente de la República para</w:t>
            </w:r>
            <w:r w:rsidRPr="003E425B">
              <w:rPr>
                <w:rFonts w:ascii="Times New Roman" w:hAnsi="Times New Roman" w:cs="Times New Roman"/>
                <w:sz w:val="28"/>
              </w:rPr>
              <w:t xml:space="preserve"> </w:t>
            </w:r>
            <w:r w:rsidRPr="003E425B">
              <w:rPr>
                <w:rFonts w:ascii="Times New Roman" w:hAnsi="Times New Roman" w:cs="Times New Roman"/>
                <w:sz w:val="28"/>
              </w:rPr>
              <w:t>integrar, organizar y fortalecer el Sector de Igualdad y Equidad</w:t>
            </w:r>
            <w:r w:rsidRPr="003E425B">
              <w:rPr>
                <w:rFonts w:ascii="Times New Roman" w:hAnsi="Times New Roman" w:cs="Times New Roman"/>
                <w:sz w:val="28"/>
              </w:rPr>
              <w:t>”</w:t>
            </w:r>
            <w:r w:rsidRPr="003E425B">
              <w:rPr>
                <w:rFonts w:ascii="Times New Roman" w:hAnsi="Times New Roman" w:cs="Times New Roman"/>
                <w:sz w:val="28"/>
              </w:rPr>
              <w:t>.</w:t>
            </w:r>
          </w:p>
          <w:p w:rsidR="00C80D01" w:rsidRPr="003E425B" w:rsidRDefault="003E425B" w:rsidP="00C80D01">
            <w:pPr>
              <w:rPr>
                <w:rFonts w:ascii="Times New Roman" w:hAnsi="Times New Roman" w:cs="Times New Roman"/>
                <w:sz w:val="28"/>
              </w:rPr>
            </w:pPr>
            <w:r w:rsidRPr="003E425B">
              <w:rPr>
                <w:rFonts w:ascii="Times New Roman" w:hAnsi="Times New Roman" w:cs="Times New Roman"/>
                <w:sz w:val="28"/>
              </w:rPr>
              <w:t xml:space="preserve">En suma, </w:t>
            </w:r>
            <w:r w:rsidRPr="003E425B">
              <w:rPr>
                <w:rFonts w:ascii="Times New Roman" w:hAnsi="Times New Roman" w:cs="Times New Roman"/>
                <w:sz w:val="28"/>
              </w:rPr>
              <w:t>“las facultades extraordinarias concedidas en la Ley 2281 de 2023 son claras, precisas y responden a la necesidad de fortalecer el andamiaje institucional que garantice el efectivo desarrollo de las políticas de igualdad y equidad del Gobierno Nacional”.</w:t>
            </w:r>
          </w:p>
        </w:tc>
        <w:tc>
          <w:tcPr>
            <w:tcW w:w="1741" w:type="dxa"/>
            <w:vAlign w:val="center"/>
          </w:tcPr>
          <w:p w:rsidR="00551D6C" w:rsidRPr="003E425B" w:rsidRDefault="003E425B" w:rsidP="00551D6C">
            <w:pPr>
              <w:rPr>
                <w:rFonts w:ascii="Times New Roman" w:hAnsi="Times New Roman" w:cs="Times New Roman"/>
                <w:i/>
                <w:iCs/>
                <w:sz w:val="28"/>
              </w:rPr>
            </w:pPr>
            <w:r w:rsidRPr="003E425B">
              <w:rPr>
                <w:rFonts w:ascii="Times New Roman" w:hAnsi="Times New Roman" w:cs="Times New Roman"/>
                <w:i/>
                <w:iCs/>
                <w:sz w:val="28"/>
              </w:rPr>
              <w:t>C</w:t>
            </w:r>
            <w:r w:rsidRPr="003E425B">
              <w:rPr>
                <w:rFonts w:ascii="Times New Roman" w:hAnsi="Times New Roman" w:cs="Times New Roman"/>
                <w:i/>
                <w:iCs/>
                <w:sz w:val="28"/>
              </w:rPr>
              <w:t>argos en contra de la totalidad de la Ley:</w:t>
            </w:r>
          </w:p>
          <w:p w:rsidR="00551D6C" w:rsidRPr="003E425B" w:rsidRDefault="003E425B" w:rsidP="00551D6C">
            <w:pPr>
              <w:rPr>
                <w:rFonts w:ascii="Times New Roman" w:hAnsi="Times New Roman" w:cs="Times New Roman"/>
                <w:sz w:val="28"/>
              </w:rPr>
            </w:pPr>
            <w:r w:rsidRPr="003E425B">
              <w:rPr>
                <w:rFonts w:ascii="Times New Roman" w:hAnsi="Times New Roman" w:cs="Times New Roman"/>
                <w:sz w:val="28"/>
              </w:rPr>
              <w:t>- Exequibilidad.</w:t>
            </w:r>
          </w:p>
          <w:p w:rsidR="00D92E58" w:rsidRPr="003E425B" w:rsidRDefault="003E425B" w:rsidP="00551D6C">
            <w:pPr>
              <w:rPr>
                <w:rFonts w:ascii="Times New Roman" w:hAnsi="Times New Roman" w:cs="Times New Roman"/>
                <w:i/>
                <w:iCs/>
                <w:sz w:val="28"/>
              </w:rPr>
            </w:pPr>
            <w:r w:rsidRPr="003E425B">
              <w:rPr>
                <w:rFonts w:ascii="Times New Roman" w:hAnsi="Times New Roman" w:cs="Times New Roman"/>
                <w:i/>
                <w:iCs/>
                <w:sz w:val="28"/>
              </w:rPr>
              <w:t>Cargo en contra del artículo 12:</w:t>
            </w:r>
          </w:p>
          <w:p w:rsidR="000B48B6" w:rsidRPr="003E425B" w:rsidRDefault="003E425B" w:rsidP="00C05AA9">
            <w:pPr>
              <w:rPr>
                <w:rFonts w:ascii="Times New Roman" w:hAnsi="Times New Roman" w:cs="Times New Roman"/>
                <w:sz w:val="28"/>
              </w:rPr>
            </w:pPr>
            <w:r w:rsidRPr="003E425B">
              <w:rPr>
                <w:rFonts w:ascii="Times New Roman" w:hAnsi="Times New Roman" w:cs="Times New Roman"/>
                <w:sz w:val="28"/>
              </w:rPr>
              <w:t xml:space="preserve">- </w:t>
            </w:r>
            <w:r w:rsidRPr="003E425B">
              <w:rPr>
                <w:rFonts w:ascii="Times New Roman" w:hAnsi="Times New Roman" w:cs="Times New Roman"/>
                <w:sz w:val="28"/>
              </w:rPr>
              <w:t xml:space="preserve">Inhibición </w:t>
            </w:r>
            <w:r w:rsidRPr="003E425B">
              <w:rPr>
                <w:rFonts w:ascii="Times New Roman" w:hAnsi="Times New Roman" w:cs="Times New Roman"/>
                <w:sz w:val="28"/>
              </w:rPr>
              <w:t xml:space="preserve">y de forma </w:t>
            </w:r>
            <w:r w:rsidRPr="003E425B">
              <w:rPr>
                <w:rFonts w:ascii="Times New Roman" w:hAnsi="Times New Roman" w:cs="Times New Roman"/>
                <w:sz w:val="28"/>
              </w:rPr>
              <w:t>subsidiaria</w:t>
            </w:r>
            <w:r w:rsidRPr="003E425B">
              <w:rPr>
                <w:rFonts w:ascii="Times New Roman" w:hAnsi="Times New Roman" w:cs="Times New Roman"/>
                <w:sz w:val="28"/>
              </w:rPr>
              <w:t xml:space="preserve"> exequibilidad.</w:t>
            </w:r>
          </w:p>
          <w:p w:rsidR="002D3CD8" w:rsidRPr="003E425B" w:rsidRDefault="003E425B" w:rsidP="00C05AA9">
            <w:pPr>
              <w:rPr>
                <w:rFonts w:ascii="Times New Roman" w:hAnsi="Times New Roman" w:cs="Times New Roman"/>
                <w:sz w:val="28"/>
              </w:rPr>
            </w:pPr>
          </w:p>
        </w:tc>
      </w:tr>
      <w:tr w:rsidR="002D3CD8" w:rsidRPr="003E425B" w:rsidTr="00E16802">
        <w:tc>
          <w:tcPr>
            <w:tcW w:w="453" w:type="dxa"/>
            <w:vAlign w:val="center"/>
          </w:tcPr>
          <w:p w:rsidR="002D3CD8" w:rsidRPr="003E425B" w:rsidRDefault="003E425B" w:rsidP="00727401">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w:t>
            </w:r>
          </w:p>
        </w:tc>
        <w:tc>
          <w:tcPr>
            <w:tcW w:w="2712" w:type="dxa"/>
            <w:vAlign w:val="center"/>
          </w:tcPr>
          <w:p w:rsidR="002D3CD8" w:rsidRPr="003E425B" w:rsidRDefault="003E425B" w:rsidP="00727401">
            <w:pPr>
              <w:jc w:val="center"/>
              <w:rPr>
                <w:rFonts w:ascii="Times New Roman" w:hAnsi="Times New Roman" w:cs="Times New Roman"/>
                <w:sz w:val="28"/>
              </w:rPr>
            </w:pPr>
            <w:r w:rsidRPr="003E425B">
              <w:rPr>
                <w:rFonts w:ascii="Times New Roman" w:eastAsia="Times New Roman" w:hAnsi="Times New Roman" w:cs="Times New Roman"/>
                <w:color w:val="000000"/>
                <w:sz w:val="28"/>
              </w:rPr>
              <w:t>Departamento Administrativo de la Función Pública (DAFP)</w:t>
            </w:r>
          </w:p>
        </w:tc>
        <w:tc>
          <w:tcPr>
            <w:tcW w:w="7587" w:type="dxa"/>
            <w:gridSpan w:val="2"/>
            <w:vAlign w:val="center"/>
          </w:tcPr>
          <w:p w:rsidR="00804286" w:rsidRPr="003E425B" w:rsidRDefault="003E425B" w:rsidP="0094579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 xml:space="preserve">El Congreso de la República conoció el concepto de impacto fiscal presentado por el MHCP en la ponencia para primer debate en las comisiones primeras constitucionales </w:t>
            </w:r>
            <w:r w:rsidRPr="003E425B">
              <w:rPr>
                <w:rFonts w:ascii="Times New Roman" w:hAnsi="Times New Roman" w:cs="Times New Roman"/>
                <w:sz w:val="28"/>
              </w:rPr>
              <w:t>“</w:t>
            </w:r>
            <w:r w:rsidRPr="003E425B">
              <w:rPr>
                <w:rFonts w:ascii="Times New Roman" w:hAnsi="Times New Roman" w:cs="Times New Roman"/>
                <w:sz w:val="28"/>
              </w:rPr>
              <w:t>en el cual se constató que se estima que el Ministerio de Igualdad y Equidad tendrá un c</w:t>
            </w:r>
            <w:r w:rsidRPr="003E425B">
              <w:rPr>
                <w:rFonts w:ascii="Times New Roman" w:hAnsi="Times New Roman" w:cs="Times New Roman"/>
                <w:sz w:val="28"/>
              </w:rPr>
              <w:t>osto de 18.239 millones de pesos anuales, y que al no tener definido en el proyecto de ley una fuente de ingresos adicional, de conformidad con el artículo 7 de la Ley 819 de 2003 (Orgánica del presupuesto), los costos del Ministerio serán atendidos con lo</w:t>
            </w:r>
            <w:r w:rsidRPr="003E425B">
              <w:rPr>
                <w:rFonts w:ascii="Times New Roman" w:hAnsi="Times New Roman" w:cs="Times New Roman"/>
                <w:sz w:val="28"/>
              </w:rPr>
              <w:t>s presupuestos apropiados por el Presupuesto General de la Nación para cada vigencia</w:t>
            </w:r>
            <w:r w:rsidRPr="003E425B">
              <w:rPr>
                <w:rFonts w:ascii="Times New Roman" w:hAnsi="Times New Roman" w:cs="Times New Roman"/>
                <w:sz w:val="28"/>
              </w:rPr>
              <w:t>”</w:t>
            </w:r>
            <w:r w:rsidRPr="003E425B">
              <w:rPr>
                <w:rFonts w:ascii="Times New Roman" w:hAnsi="Times New Roman" w:cs="Times New Roman"/>
                <w:sz w:val="28"/>
              </w:rPr>
              <w:t>.</w:t>
            </w:r>
          </w:p>
          <w:p w:rsidR="002D3CD8" w:rsidRPr="003E425B" w:rsidRDefault="003E425B" w:rsidP="0094579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E</w:t>
            </w:r>
            <w:r w:rsidRPr="003E425B">
              <w:rPr>
                <w:rFonts w:ascii="Times New Roman" w:hAnsi="Times New Roman" w:cs="Times New Roman"/>
                <w:sz w:val="28"/>
              </w:rPr>
              <w:t xml:space="preserve">n el trámite de aprobación de la Ley 2281 de 2023 </w:t>
            </w:r>
            <w:r w:rsidRPr="003E425B">
              <w:rPr>
                <w:rFonts w:ascii="Times New Roman" w:hAnsi="Times New Roman" w:cs="Times New Roman"/>
                <w:sz w:val="28"/>
              </w:rPr>
              <w:t>“</w:t>
            </w:r>
            <w:r w:rsidRPr="003E425B">
              <w:rPr>
                <w:rFonts w:ascii="Times New Roman" w:hAnsi="Times New Roman" w:cs="Times New Roman"/>
                <w:sz w:val="28"/>
              </w:rPr>
              <w:t>se vulnero el principio democrático consagrado en el artículo 157 de la Carta Política, debido a q</w:t>
            </w:r>
            <w:r w:rsidRPr="003E425B">
              <w:rPr>
                <w:rFonts w:ascii="Times New Roman" w:hAnsi="Times New Roman" w:cs="Times New Roman"/>
                <w:sz w:val="28"/>
              </w:rPr>
              <w:t>ue no se realizó la deliberación requerida para expedir la ley en mención, por vicios de forma, sin embargo no se cuenta con las pruebas fehacientes que así lo determinen, lo que permite concluir que no hay lugar a la prosperidad del cargo formulado, en ta</w:t>
            </w:r>
            <w:r w:rsidRPr="003E425B">
              <w:rPr>
                <w:rFonts w:ascii="Times New Roman" w:hAnsi="Times New Roman" w:cs="Times New Roman"/>
                <w:sz w:val="28"/>
              </w:rPr>
              <w:t>nto no se cuenta con la argumentación consistente y coherente que permita concluir que se transgredió el Art. 157 de la Carta Política, de todos modos no se avizora que la ponencia fue aprobada en los debate sin las mayorías ni el quorum requerido”.</w:t>
            </w:r>
          </w:p>
        </w:tc>
        <w:tc>
          <w:tcPr>
            <w:tcW w:w="4821" w:type="dxa"/>
            <w:vAlign w:val="center"/>
          </w:tcPr>
          <w:p w:rsidR="006B4981" w:rsidRPr="003E425B" w:rsidRDefault="003E425B" w:rsidP="003F1E70">
            <w:pPr>
              <w:rPr>
                <w:rFonts w:ascii="Times New Roman" w:hAnsi="Times New Roman" w:cs="Times New Roman"/>
                <w:sz w:val="28"/>
              </w:rPr>
            </w:pPr>
            <w:r w:rsidRPr="003E425B">
              <w:rPr>
                <w:rFonts w:ascii="Times New Roman" w:hAnsi="Times New Roman" w:cs="Times New Roman"/>
                <w:sz w:val="28"/>
              </w:rPr>
              <w:t>El car</w:t>
            </w:r>
            <w:r w:rsidRPr="003E425B">
              <w:rPr>
                <w:rFonts w:ascii="Times New Roman" w:hAnsi="Times New Roman" w:cs="Times New Roman"/>
                <w:sz w:val="28"/>
              </w:rPr>
              <w:t>go no satisface las exigencias argumentativas para sustentar un cargo de constitucionalidad, dado que no presenta razones claras, ciertas, específicas, pertinentes y suficientes.</w:t>
            </w:r>
            <w:r w:rsidRPr="003E425B">
              <w:rPr>
                <w:rFonts w:ascii="Times New Roman" w:hAnsi="Times New Roman" w:cs="Times New Roman"/>
                <w:sz w:val="28"/>
              </w:rPr>
              <w:t xml:space="preserve"> Lo anterior, dado que “si bien hay un despliegue de la demanda, en ella no se</w:t>
            </w:r>
            <w:r w:rsidRPr="003E425B">
              <w:rPr>
                <w:rFonts w:ascii="Times New Roman" w:hAnsi="Times New Roman" w:cs="Times New Roman"/>
                <w:sz w:val="28"/>
              </w:rPr>
              <w:t xml:space="preserve"> expresan las razones por las cuales se considera que la disposición acusada es contraria a [los] art. 150.10 y 157 de la Constitución Política, que se desarrolla un enunciativo normativo, más sin embargo no se concretan de manera razonable los cargos form</w:t>
            </w:r>
            <w:r w:rsidRPr="003E425B">
              <w:rPr>
                <w:rFonts w:ascii="Times New Roman" w:hAnsi="Times New Roman" w:cs="Times New Roman"/>
                <w:sz w:val="28"/>
              </w:rPr>
              <w:t>ulados, citando al mismo tiempo algunas sentencias de la Corte Constitucional a fines a las normas vulneradas”.</w:t>
            </w:r>
            <w:r w:rsidRPr="003E425B">
              <w:rPr>
                <w:rFonts w:ascii="Times New Roman" w:hAnsi="Times New Roman" w:cs="Times New Roman"/>
                <w:sz w:val="28"/>
              </w:rPr>
              <w:t xml:space="preserve"> </w:t>
            </w:r>
          </w:p>
          <w:p w:rsidR="002D3CD8" w:rsidRPr="003E425B" w:rsidRDefault="003E425B" w:rsidP="003F1E70">
            <w:pPr>
              <w:rPr>
                <w:rFonts w:ascii="Times New Roman" w:hAnsi="Times New Roman" w:cs="Times New Roman"/>
                <w:sz w:val="28"/>
              </w:rPr>
            </w:pPr>
            <w:r w:rsidRPr="003E425B">
              <w:rPr>
                <w:rFonts w:ascii="Times New Roman" w:hAnsi="Times New Roman" w:cs="Times New Roman"/>
                <w:sz w:val="28"/>
              </w:rPr>
              <w:t>En cualquier caso, de admitirse que el cargo es apto, e</w:t>
            </w:r>
            <w:r w:rsidRPr="003E425B">
              <w:rPr>
                <w:rFonts w:ascii="Times New Roman" w:hAnsi="Times New Roman" w:cs="Times New Roman"/>
                <w:sz w:val="28"/>
              </w:rPr>
              <w:t xml:space="preserve">l artículo 12 atacado cumple con los requisitos de precisión y claridad en la concesión </w:t>
            </w:r>
            <w:r w:rsidRPr="003E425B">
              <w:rPr>
                <w:rFonts w:ascii="Times New Roman" w:hAnsi="Times New Roman" w:cs="Times New Roman"/>
                <w:sz w:val="28"/>
              </w:rPr>
              <w:t>de las facultades otorgadas al Presidente de la Republica.</w:t>
            </w:r>
            <w:r w:rsidRPr="003E425B">
              <w:rPr>
                <w:rFonts w:ascii="Times New Roman" w:hAnsi="Times New Roman" w:cs="Times New Roman"/>
                <w:sz w:val="28"/>
              </w:rPr>
              <w:t xml:space="preserve"> </w:t>
            </w:r>
            <w:r w:rsidRPr="003E425B">
              <w:rPr>
                <w:rFonts w:ascii="Times New Roman" w:hAnsi="Times New Roman" w:cs="Times New Roman"/>
                <w:sz w:val="28"/>
              </w:rPr>
              <w:t>Esto, habida cuenta de que establece límites claros dentro de los cuales actuará el ejecutivo.</w:t>
            </w:r>
          </w:p>
        </w:tc>
        <w:tc>
          <w:tcPr>
            <w:tcW w:w="1741" w:type="dxa"/>
            <w:vAlign w:val="center"/>
          </w:tcPr>
          <w:p w:rsidR="00797627" w:rsidRPr="003E425B" w:rsidRDefault="003E425B" w:rsidP="00797627">
            <w:pPr>
              <w:rPr>
                <w:rFonts w:ascii="Times New Roman" w:hAnsi="Times New Roman" w:cs="Times New Roman"/>
                <w:sz w:val="28"/>
              </w:rPr>
            </w:pPr>
            <w:r w:rsidRPr="003E425B">
              <w:rPr>
                <w:rFonts w:ascii="Times New Roman" w:hAnsi="Times New Roman" w:cs="Times New Roman"/>
                <w:sz w:val="28"/>
              </w:rPr>
              <w:t>Inhibición y de forma subsidiaria exequibilidad.</w:t>
            </w:r>
          </w:p>
          <w:p w:rsidR="002D3CD8" w:rsidRPr="003E425B" w:rsidRDefault="003E425B" w:rsidP="00C05AA9">
            <w:pPr>
              <w:rPr>
                <w:rFonts w:ascii="Times New Roman" w:hAnsi="Times New Roman" w:cs="Times New Roman"/>
                <w:sz w:val="28"/>
              </w:rPr>
            </w:pPr>
          </w:p>
        </w:tc>
      </w:tr>
      <w:tr w:rsidR="002D3CD8" w:rsidRPr="003E425B" w:rsidTr="00E16802">
        <w:tc>
          <w:tcPr>
            <w:tcW w:w="453" w:type="dxa"/>
            <w:vAlign w:val="center"/>
          </w:tcPr>
          <w:p w:rsidR="002D3CD8" w:rsidRPr="003E425B" w:rsidRDefault="003E425B" w:rsidP="00727401">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3</w:t>
            </w:r>
          </w:p>
        </w:tc>
        <w:tc>
          <w:tcPr>
            <w:tcW w:w="2712" w:type="dxa"/>
            <w:vAlign w:val="center"/>
          </w:tcPr>
          <w:p w:rsidR="002D3CD8" w:rsidRPr="003E425B" w:rsidRDefault="003E425B" w:rsidP="00727401">
            <w:pPr>
              <w:jc w:val="center"/>
              <w:rPr>
                <w:rFonts w:ascii="Times New Roman" w:hAnsi="Times New Roman" w:cs="Times New Roman"/>
                <w:sz w:val="28"/>
              </w:rPr>
            </w:pPr>
            <w:r w:rsidRPr="003E425B">
              <w:rPr>
                <w:rFonts w:ascii="Times New Roman" w:eastAsia="Times New Roman" w:hAnsi="Times New Roman" w:cs="Times New Roman"/>
                <w:color w:val="000000"/>
                <w:sz w:val="28"/>
              </w:rPr>
              <w:t>Departamento Administrativo de Prosperidad social</w:t>
            </w:r>
            <w:r w:rsidRPr="003E425B">
              <w:rPr>
                <w:rFonts w:ascii="Times New Roman" w:eastAsia="Times New Roman" w:hAnsi="Times New Roman" w:cs="Times New Roman"/>
                <w:color w:val="000000"/>
                <w:sz w:val="28"/>
              </w:rPr>
              <w:t xml:space="preserve"> (DAPS)</w:t>
            </w:r>
          </w:p>
        </w:tc>
        <w:tc>
          <w:tcPr>
            <w:tcW w:w="7587" w:type="dxa"/>
            <w:gridSpan w:val="2"/>
            <w:vAlign w:val="center"/>
          </w:tcPr>
          <w:p w:rsidR="005C3E0B" w:rsidRPr="003E425B" w:rsidRDefault="003E425B" w:rsidP="00B81A2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 xml:space="preserve">El cargo carece de pertinencia y suficiencia. Esto, dado que </w:t>
            </w:r>
            <w:r w:rsidRPr="003E425B">
              <w:rPr>
                <w:rFonts w:ascii="Times New Roman" w:hAnsi="Times New Roman" w:cs="Times New Roman"/>
                <w:sz w:val="28"/>
              </w:rPr>
              <w:t xml:space="preserve">se funda en una especulación </w:t>
            </w:r>
            <w:r w:rsidRPr="003E425B">
              <w:rPr>
                <w:rFonts w:ascii="Times New Roman" w:hAnsi="Times New Roman" w:cs="Times New Roman"/>
                <w:sz w:val="28"/>
              </w:rPr>
              <w:t>consistente en que</w:t>
            </w:r>
            <w:r w:rsidRPr="003E425B">
              <w:rPr>
                <w:rFonts w:ascii="Times New Roman" w:hAnsi="Times New Roman" w:cs="Times New Roman"/>
                <w:sz w:val="28"/>
              </w:rPr>
              <w:t xml:space="preserve"> la Ley</w:t>
            </w:r>
            <w:r w:rsidRPr="003E425B">
              <w:rPr>
                <w:rFonts w:ascii="Times New Roman" w:hAnsi="Times New Roman" w:cs="Times New Roman"/>
                <w:sz w:val="28"/>
              </w:rPr>
              <w:t xml:space="preserve"> no es acorde con el Marco Fiscal de Mediano Plazo</w:t>
            </w:r>
            <w:r w:rsidRPr="003E425B">
              <w:rPr>
                <w:rFonts w:ascii="Times New Roman" w:hAnsi="Times New Roman" w:cs="Times New Roman"/>
                <w:sz w:val="28"/>
              </w:rPr>
              <w:t xml:space="preserve">. Esta duda es insuficiente para </w:t>
            </w:r>
            <w:r w:rsidRPr="003E425B">
              <w:rPr>
                <w:rFonts w:ascii="Times New Roman" w:hAnsi="Times New Roman" w:cs="Times New Roman"/>
                <w:sz w:val="28"/>
              </w:rPr>
              <w:t xml:space="preserve">argumentar la inexequibilidad de </w:t>
            </w:r>
            <w:r w:rsidRPr="003E425B">
              <w:rPr>
                <w:rFonts w:ascii="Times New Roman" w:hAnsi="Times New Roman" w:cs="Times New Roman"/>
                <w:sz w:val="28"/>
              </w:rPr>
              <w:t>la Ley, habida cuenta de “</w:t>
            </w:r>
            <w:r w:rsidRPr="003E425B">
              <w:rPr>
                <w:rFonts w:ascii="Times New Roman" w:hAnsi="Times New Roman" w:cs="Times New Roman"/>
                <w:sz w:val="28"/>
              </w:rPr>
              <w:t>la naturaleza meramente instrumental de este parámetro de evaluación de políticas públicas y a la existencia de estudios técnicos que soportan su factibilidad fiscal y su previsible impacto positivo en la construcción de un modelo</w:t>
            </w:r>
            <w:r w:rsidRPr="003E425B">
              <w:rPr>
                <w:rFonts w:ascii="Times New Roman" w:hAnsi="Times New Roman" w:cs="Times New Roman"/>
                <w:sz w:val="28"/>
              </w:rPr>
              <w:t xml:space="preserve"> económico equilibrado y coherente con las exigencias materiales de igualdad contenidas en la Constitución Política</w:t>
            </w:r>
            <w:r w:rsidRPr="003E425B">
              <w:rPr>
                <w:rFonts w:ascii="Times New Roman" w:hAnsi="Times New Roman" w:cs="Times New Roman"/>
                <w:sz w:val="28"/>
              </w:rPr>
              <w:t>”</w:t>
            </w:r>
            <w:r w:rsidRPr="003E425B">
              <w:rPr>
                <w:rFonts w:ascii="Times New Roman" w:hAnsi="Times New Roman" w:cs="Times New Roman"/>
                <w:sz w:val="28"/>
              </w:rPr>
              <w:t>.</w:t>
            </w:r>
            <w:r w:rsidRPr="003E425B">
              <w:rPr>
                <w:rFonts w:ascii="Times New Roman" w:hAnsi="Times New Roman" w:cs="Times New Roman"/>
                <w:sz w:val="28"/>
              </w:rPr>
              <w:t xml:space="preserve"> </w:t>
            </w:r>
          </w:p>
          <w:p w:rsidR="00D475AF" w:rsidRPr="003E425B" w:rsidRDefault="003E425B" w:rsidP="00D475AF">
            <w:pPr>
              <w:rPr>
                <w:rFonts w:ascii="Times New Roman" w:hAnsi="Times New Roman" w:cs="Times New Roman"/>
                <w:sz w:val="28"/>
              </w:rPr>
            </w:pPr>
            <w:r w:rsidRPr="003E425B">
              <w:rPr>
                <w:rFonts w:ascii="Times New Roman" w:hAnsi="Times New Roman" w:cs="Times New Roman"/>
                <w:sz w:val="28"/>
              </w:rPr>
              <w:t xml:space="preserve">En cualquier caso, </w:t>
            </w:r>
            <w:r w:rsidRPr="003E425B">
              <w:rPr>
                <w:rFonts w:ascii="Times New Roman" w:hAnsi="Times New Roman" w:cs="Times New Roman"/>
                <w:sz w:val="28"/>
              </w:rPr>
              <w:t xml:space="preserve">en el trámite legislativo sí se estudió el impacto fiscal. </w:t>
            </w:r>
            <w:r w:rsidRPr="003E425B">
              <w:rPr>
                <w:rFonts w:ascii="Times New Roman" w:hAnsi="Times New Roman" w:cs="Times New Roman"/>
                <w:sz w:val="28"/>
              </w:rPr>
              <w:t xml:space="preserve">En efecto, </w:t>
            </w:r>
            <w:r w:rsidRPr="003E425B">
              <w:rPr>
                <w:rFonts w:ascii="Times New Roman" w:hAnsi="Times New Roman" w:cs="Times New Roman"/>
                <w:sz w:val="28"/>
              </w:rPr>
              <w:t>“</w:t>
            </w:r>
            <w:r w:rsidRPr="003E425B">
              <w:rPr>
                <w:rFonts w:ascii="Times New Roman" w:hAnsi="Times New Roman" w:cs="Times New Roman"/>
                <w:sz w:val="28"/>
              </w:rPr>
              <w:t>los costos de creación del Ministerio de la Igu</w:t>
            </w:r>
            <w:r w:rsidRPr="003E425B">
              <w:rPr>
                <w:rFonts w:ascii="Times New Roman" w:hAnsi="Times New Roman" w:cs="Times New Roman"/>
                <w:sz w:val="28"/>
              </w:rPr>
              <w:t>aldad fueron expuestos en los debates durante el trámite legislativo y se estimaron con referencia a procesos de creación y funcionamiento de otras carteras. A su vez, el Ministerio de Hacienda y Crédito Público rindió concepto de viabilidad fiscal según e</w:t>
            </w:r>
            <w:r w:rsidRPr="003E425B">
              <w:rPr>
                <w:rFonts w:ascii="Times New Roman" w:hAnsi="Times New Roman" w:cs="Times New Roman"/>
                <w:sz w:val="28"/>
              </w:rPr>
              <w:t>l cual la medida se inscribe el marco fiscal de mediano y largo y plazo, siendo en consecuencia responsable con los imperativos de estabilidad y racionalidad contenidos en la regla fiscal</w:t>
            </w:r>
            <w:r w:rsidRPr="003E425B">
              <w:rPr>
                <w:rFonts w:ascii="Times New Roman" w:hAnsi="Times New Roman" w:cs="Times New Roman"/>
                <w:sz w:val="28"/>
              </w:rPr>
              <w:t>”</w:t>
            </w:r>
            <w:r w:rsidRPr="003E425B">
              <w:rPr>
                <w:rFonts w:ascii="Times New Roman" w:hAnsi="Times New Roman" w:cs="Times New Roman"/>
                <w:sz w:val="28"/>
              </w:rPr>
              <w:t>. Por</w:t>
            </w:r>
            <w:r w:rsidRPr="003E425B">
              <w:rPr>
                <w:rFonts w:ascii="Times New Roman" w:hAnsi="Times New Roman" w:cs="Times New Roman"/>
                <w:sz w:val="28"/>
              </w:rPr>
              <w:t xml:space="preserve"> lo demás, manifiesta que </w:t>
            </w:r>
            <w:r w:rsidRPr="003E425B">
              <w:rPr>
                <w:rFonts w:ascii="Times New Roman" w:hAnsi="Times New Roman" w:cs="Times New Roman"/>
                <w:sz w:val="28"/>
              </w:rPr>
              <w:t xml:space="preserve">declarar la Ley inexequible por esta </w:t>
            </w:r>
            <w:r w:rsidRPr="003E425B">
              <w:rPr>
                <w:rFonts w:ascii="Times New Roman" w:hAnsi="Times New Roman" w:cs="Times New Roman"/>
                <w:sz w:val="28"/>
              </w:rPr>
              <w:t xml:space="preserve">razón implicaría sobreponer la </w:t>
            </w:r>
            <w:r w:rsidRPr="003E425B">
              <w:rPr>
                <w:rFonts w:ascii="Times New Roman" w:hAnsi="Times New Roman" w:cs="Times New Roman"/>
                <w:sz w:val="28"/>
              </w:rPr>
              <w:t xml:space="preserve">disciplina fiscal que es apenas una guía para la actuación estatal a un principio </w:t>
            </w:r>
            <w:r w:rsidRPr="003E425B">
              <w:rPr>
                <w:rFonts w:ascii="Times New Roman" w:hAnsi="Times New Roman" w:cs="Times New Roman"/>
                <w:sz w:val="28"/>
              </w:rPr>
              <w:t>de la mayor importancia en el ordenamiento constitucional.</w:t>
            </w:r>
          </w:p>
          <w:p w:rsidR="002D3CD8" w:rsidRPr="003E425B" w:rsidRDefault="003E425B" w:rsidP="00B81A2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El cargo carece de especificidad</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 xml:space="preserve">Esto, porque </w:t>
            </w:r>
            <w:r w:rsidRPr="003E425B">
              <w:rPr>
                <w:rFonts w:ascii="Times New Roman" w:hAnsi="Times New Roman" w:cs="Times New Roman"/>
                <w:sz w:val="28"/>
              </w:rPr>
              <w:t>la demanda se limi</w:t>
            </w:r>
            <w:r w:rsidRPr="003E425B">
              <w:rPr>
                <w:rFonts w:ascii="Times New Roman" w:hAnsi="Times New Roman" w:cs="Times New Roman"/>
                <w:sz w:val="28"/>
              </w:rPr>
              <w:t xml:space="preserve">ta </w:t>
            </w:r>
            <w:r w:rsidRPr="003E425B">
              <w:rPr>
                <w:rFonts w:ascii="Times New Roman" w:hAnsi="Times New Roman" w:cs="Times New Roman"/>
                <w:sz w:val="28"/>
              </w:rPr>
              <w:t>a “s</w:t>
            </w:r>
            <w:r w:rsidRPr="003E425B">
              <w:rPr>
                <w:rFonts w:ascii="Times New Roman" w:hAnsi="Times New Roman" w:cs="Times New Roman"/>
                <w:sz w:val="28"/>
              </w:rPr>
              <w:t>eñalar en forma genérica una presunta violación de la Constitución Política por omisión del quórum deliberativo exigido para la aprobación de leyes que otorgan facultades extraordinarias al Presidente de la República</w:t>
            </w:r>
            <w:r w:rsidRPr="003E425B">
              <w:rPr>
                <w:rFonts w:ascii="Times New Roman" w:hAnsi="Times New Roman" w:cs="Times New Roman"/>
                <w:sz w:val="28"/>
              </w:rPr>
              <w:t>”.</w:t>
            </w:r>
            <w:r w:rsidRPr="003E425B">
              <w:rPr>
                <w:rFonts w:ascii="Times New Roman" w:hAnsi="Times New Roman" w:cs="Times New Roman"/>
                <w:sz w:val="28"/>
              </w:rPr>
              <w:t xml:space="preserve"> Así las cosas,</w:t>
            </w:r>
            <w:r w:rsidRPr="003E425B">
              <w:rPr>
                <w:rFonts w:ascii="Times New Roman" w:hAnsi="Times New Roman" w:cs="Times New Roman"/>
                <w:sz w:val="28"/>
              </w:rPr>
              <w:t xml:space="preserve"> sugiere que no es claro por qué la totalidad de la ley sería inexequible, pese a que es solo respecto de</w:t>
            </w:r>
            <w:r w:rsidRPr="003E425B">
              <w:rPr>
                <w:rFonts w:ascii="Times New Roman" w:hAnsi="Times New Roman" w:cs="Times New Roman"/>
                <w:sz w:val="28"/>
              </w:rPr>
              <w:t>l artículo que transfiere facultades que se debía acr</w:t>
            </w:r>
            <w:r w:rsidRPr="003E425B">
              <w:rPr>
                <w:rFonts w:ascii="Times New Roman" w:hAnsi="Times New Roman" w:cs="Times New Roman"/>
                <w:sz w:val="28"/>
              </w:rPr>
              <w:t>editar “una votación cuya validez depende de la presencia de mayorías absolutas”.</w:t>
            </w:r>
            <w:r w:rsidRPr="003E425B">
              <w:rPr>
                <w:rFonts w:ascii="Times New Roman" w:hAnsi="Times New Roman" w:cs="Times New Roman"/>
                <w:sz w:val="28"/>
              </w:rPr>
              <w:t xml:space="preserve"> </w:t>
            </w:r>
          </w:p>
          <w:p w:rsidR="00C20152" w:rsidRPr="003E425B" w:rsidRDefault="003E425B" w:rsidP="00C20152">
            <w:pPr>
              <w:rPr>
                <w:rFonts w:ascii="Times New Roman" w:hAnsi="Times New Roman" w:cs="Times New Roman"/>
                <w:sz w:val="28"/>
              </w:rPr>
            </w:pPr>
            <w:r w:rsidRPr="003E425B">
              <w:rPr>
                <w:rFonts w:ascii="Times New Roman" w:hAnsi="Times New Roman" w:cs="Times New Roman"/>
                <w:sz w:val="28"/>
              </w:rPr>
              <w:t>Con todo, los d</w:t>
            </w:r>
            <w:r w:rsidRPr="003E425B">
              <w:rPr>
                <w:rFonts w:ascii="Times New Roman" w:hAnsi="Times New Roman" w:cs="Times New Roman"/>
                <w:sz w:val="28"/>
              </w:rPr>
              <w:t>emandantes no demuestran</w:t>
            </w:r>
            <w:r w:rsidRPr="003E425B">
              <w:rPr>
                <w:rFonts w:ascii="Times New Roman" w:hAnsi="Times New Roman" w:cs="Times New Roman"/>
                <w:sz w:val="28"/>
              </w:rPr>
              <w:t>,</w:t>
            </w:r>
            <w:r w:rsidRPr="003E425B">
              <w:rPr>
                <w:rFonts w:ascii="Times New Roman" w:hAnsi="Times New Roman" w:cs="Times New Roman"/>
                <w:sz w:val="28"/>
              </w:rPr>
              <w:t xml:space="preserve"> mediante pruebas idóneas</w:t>
            </w:r>
            <w:r w:rsidRPr="003E425B">
              <w:rPr>
                <w:rFonts w:ascii="Times New Roman" w:hAnsi="Times New Roman" w:cs="Times New Roman"/>
                <w:sz w:val="28"/>
              </w:rPr>
              <w:t>,</w:t>
            </w:r>
            <w:r w:rsidRPr="003E425B">
              <w:rPr>
                <w:rFonts w:ascii="Times New Roman" w:hAnsi="Times New Roman" w:cs="Times New Roman"/>
                <w:sz w:val="28"/>
              </w:rPr>
              <w:t xml:space="preserve"> que la </w:t>
            </w:r>
            <w:r w:rsidRPr="003E425B">
              <w:rPr>
                <w:rFonts w:ascii="Times New Roman" w:hAnsi="Times New Roman" w:cs="Times New Roman"/>
                <w:sz w:val="28"/>
              </w:rPr>
              <w:t>aprobación del artículo que confiere las facultades extraordinarias</w:t>
            </w:r>
            <w:r w:rsidRPr="003E425B">
              <w:rPr>
                <w:rFonts w:ascii="Times New Roman" w:hAnsi="Times New Roman" w:cs="Times New Roman"/>
                <w:sz w:val="28"/>
              </w:rPr>
              <w:t xml:space="preserve"> s</w:t>
            </w:r>
            <w:r w:rsidRPr="003E425B">
              <w:rPr>
                <w:rFonts w:ascii="Times New Roman" w:hAnsi="Times New Roman" w:cs="Times New Roman"/>
                <w:sz w:val="28"/>
              </w:rPr>
              <w:t>e haya dado</w:t>
            </w:r>
            <w:r w:rsidRPr="003E425B">
              <w:rPr>
                <w:rFonts w:ascii="Times New Roman" w:hAnsi="Times New Roman" w:cs="Times New Roman"/>
                <w:sz w:val="28"/>
              </w:rPr>
              <w:t xml:space="preserve"> sin el quorum decisorio exigido</w:t>
            </w:r>
            <w:r w:rsidRPr="003E425B">
              <w:rPr>
                <w:rFonts w:ascii="Times New Roman" w:hAnsi="Times New Roman" w:cs="Times New Roman"/>
                <w:sz w:val="28"/>
              </w:rPr>
              <w:t>, esto es</w:t>
            </w:r>
            <w:r w:rsidRPr="003E425B">
              <w:rPr>
                <w:rFonts w:ascii="Times New Roman" w:hAnsi="Times New Roman" w:cs="Times New Roman"/>
                <w:sz w:val="28"/>
              </w:rPr>
              <w:t xml:space="preserve"> una mayoría absoluta</w:t>
            </w:r>
            <w:r w:rsidRPr="003E425B">
              <w:rPr>
                <w:rFonts w:ascii="Times New Roman" w:hAnsi="Times New Roman" w:cs="Times New Roman"/>
                <w:sz w:val="28"/>
              </w:rPr>
              <w:t>. Esto, porque conforme a la sentencia C-</w:t>
            </w:r>
            <w:r w:rsidRPr="003E425B">
              <w:rPr>
                <w:rFonts w:ascii="Times New Roman" w:hAnsi="Times New Roman" w:cs="Times New Roman"/>
                <w:sz w:val="28"/>
              </w:rPr>
              <w:t>763 de 2022 “l</w:t>
            </w:r>
            <w:r w:rsidRPr="003E425B">
              <w:rPr>
                <w:rFonts w:ascii="Times New Roman" w:hAnsi="Times New Roman" w:cs="Times New Roman"/>
                <w:sz w:val="28"/>
              </w:rPr>
              <w:t xml:space="preserve">a falta de quórum para la aprobación de una ley es un hecho que debe ser probado, y la prueba idónea es la presentación de las actas de sesión en las que conste la asistencia de los congresistas o, en su defecto, los listados de asistencia”. </w:t>
            </w:r>
            <w:r w:rsidRPr="003E425B">
              <w:rPr>
                <w:rFonts w:ascii="Times New Roman" w:hAnsi="Times New Roman" w:cs="Times New Roman"/>
                <w:sz w:val="28"/>
              </w:rPr>
              <w:t>En estos térmi</w:t>
            </w:r>
            <w:r w:rsidRPr="003E425B">
              <w:rPr>
                <w:rFonts w:ascii="Times New Roman" w:hAnsi="Times New Roman" w:cs="Times New Roman"/>
                <w:sz w:val="28"/>
              </w:rPr>
              <w:t>nos, “durante las sesiones en las que la norma fue discutida, es decir, el 28 de noviembre de 2022 en Comisiones Primeras Constitucionales conjuntas, el 12 de diciembre de 2022 en La Plenaria del Senado de la Republica y el 12 de diciembre de 2022 en La Pl</w:t>
            </w:r>
            <w:r w:rsidRPr="003E425B">
              <w:rPr>
                <w:rFonts w:ascii="Times New Roman" w:hAnsi="Times New Roman" w:cs="Times New Roman"/>
                <w:sz w:val="28"/>
              </w:rPr>
              <w:t>enaria de la Cámara de Representantes, siempre se respetó el quórum y se construyeron las mayorías absolutas, tal como fue avalado por las respectivas Secretarías”</w:t>
            </w:r>
            <w:r w:rsidRPr="003E425B">
              <w:rPr>
                <w:rFonts w:ascii="Times New Roman" w:hAnsi="Times New Roman" w:cs="Times New Roman"/>
                <w:sz w:val="28"/>
              </w:rPr>
              <w:t>.</w:t>
            </w:r>
          </w:p>
        </w:tc>
        <w:tc>
          <w:tcPr>
            <w:tcW w:w="4821" w:type="dxa"/>
            <w:vAlign w:val="center"/>
          </w:tcPr>
          <w:p w:rsidR="002D3CD8" w:rsidRPr="003E425B" w:rsidRDefault="003E425B" w:rsidP="00F620E0">
            <w:pPr>
              <w:rPr>
                <w:rFonts w:ascii="Times New Roman" w:hAnsi="Times New Roman" w:cs="Times New Roman"/>
                <w:sz w:val="28"/>
              </w:rPr>
            </w:pPr>
            <w:r w:rsidRPr="003E425B">
              <w:rPr>
                <w:rFonts w:ascii="Times New Roman" w:hAnsi="Times New Roman" w:cs="Times New Roman"/>
                <w:sz w:val="28"/>
              </w:rPr>
              <w:t>El cargo carece de certeza</w:t>
            </w:r>
            <w:r w:rsidRPr="003E425B">
              <w:rPr>
                <w:rFonts w:ascii="Times New Roman" w:hAnsi="Times New Roman" w:cs="Times New Roman"/>
                <w:sz w:val="28"/>
              </w:rPr>
              <w:t>.</w:t>
            </w:r>
            <w:r w:rsidRPr="003E425B">
              <w:rPr>
                <w:rFonts w:ascii="Times New Roman" w:hAnsi="Times New Roman" w:cs="Times New Roman"/>
                <w:sz w:val="28"/>
              </w:rPr>
              <w:t xml:space="preserve"> No es </w:t>
            </w:r>
            <w:r w:rsidRPr="003E425B">
              <w:rPr>
                <w:rFonts w:ascii="Times New Roman" w:hAnsi="Times New Roman" w:cs="Times New Roman"/>
                <w:i/>
                <w:iCs/>
                <w:sz w:val="28"/>
              </w:rPr>
              <w:t>cierto</w:t>
            </w:r>
            <w:r w:rsidRPr="003E425B">
              <w:rPr>
                <w:rFonts w:ascii="Times New Roman" w:hAnsi="Times New Roman" w:cs="Times New Roman"/>
                <w:sz w:val="28"/>
              </w:rPr>
              <w:t xml:space="preserve">, porque “de la lectura de la norma demandada se puede colegir, sin mayor esfuerzo, el margen de libertad concedido y las restricciones levantadas contra un eventual ejercicio discrecional del poder por parte del Presidente de la República”, de modo que </w:t>
            </w:r>
            <w:r w:rsidRPr="003E425B">
              <w:rPr>
                <w:rFonts w:ascii="Times New Roman" w:hAnsi="Times New Roman" w:cs="Times New Roman"/>
                <w:sz w:val="28"/>
              </w:rPr>
              <w:t>la</w:t>
            </w:r>
            <w:r w:rsidRPr="003E425B">
              <w:rPr>
                <w:rFonts w:ascii="Times New Roman" w:hAnsi="Times New Roman" w:cs="Times New Roman"/>
                <w:sz w:val="28"/>
              </w:rPr>
              <w:t xml:space="preserve"> presunta vaguedad de las facultades extraordinarias atribuidas al Ejecutivo es meramente </w:t>
            </w:r>
            <w:r w:rsidRPr="003E425B">
              <w:rPr>
                <w:rFonts w:ascii="Times New Roman" w:hAnsi="Times New Roman" w:cs="Times New Roman"/>
                <w:sz w:val="28"/>
              </w:rPr>
              <w:t>hipotética.</w:t>
            </w:r>
            <w:r w:rsidRPr="003E425B">
              <w:rPr>
                <w:rFonts w:ascii="Times New Roman" w:hAnsi="Times New Roman" w:cs="Times New Roman"/>
                <w:sz w:val="28"/>
              </w:rPr>
              <w:t xml:space="preserve"> Además, los demandantes parecen atacar la constitucionalidad de las normas que serán expedidas con ocasión de las facultades concedidas al Presidente. Sin</w:t>
            </w:r>
            <w:r w:rsidRPr="003E425B">
              <w:rPr>
                <w:rFonts w:ascii="Times New Roman" w:hAnsi="Times New Roman" w:cs="Times New Roman"/>
                <w:sz w:val="28"/>
              </w:rPr>
              <w:t xml:space="preserve"> embargo, </w:t>
            </w:r>
            <w:r w:rsidRPr="003E425B">
              <w:rPr>
                <w:rFonts w:ascii="Times New Roman" w:hAnsi="Times New Roman" w:cs="Times New Roman"/>
                <w:sz w:val="28"/>
              </w:rPr>
              <w:t>dichas normas no han sido proferidas.</w:t>
            </w:r>
          </w:p>
          <w:p w:rsidR="00AB023B" w:rsidRPr="003E425B" w:rsidRDefault="003E425B" w:rsidP="00F620E0">
            <w:pPr>
              <w:rPr>
                <w:rFonts w:ascii="Times New Roman" w:hAnsi="Times New Roman" w:cs="Times New Roman"/>
                <w:sz w:val="28"/>
              </w:rPr>
            </w:pPr>
          </w:p>
          <w:p w:rsidR="00AB023B" w:rsidRPr="003E425B" w:rsidRDefault="003E425B" w:rsidP="00F620E0">
            <w:pPr>
              <w:rPr>
                <w:rFonts w:ascii="Times New Roman" w:hAnsi="Times New Roman" w:cs="Times New Roman"/>
                <w:sz w:val="28"/>
              </w:rPr>
            </w:pPr>
            <w:r w:rsidRPr="003E425B">
              <w:rPr>
                <w:rFonts w:ascii="Times New Roman" w:hAnsi="Times New Roman" w:cs="Times New Roman"/>
                <w:sz w:val="28"/>
              </w:rPr>
              <w:t xml:space="preserve">En todo caso, el legislador sí confirió facultades de forma clara y precisa. </w:t>
            </w:r>
            <w:r w:rsidRPr="003E425B">
              <w:rPr>
                <w:rFonts w:ascii="Times New Roman" w:hAnsi="Times New Roman" w:cs="Times New Roman"/>
                <w:sz w:val="28"/>
              </w:rPr>
              <w:t xml:space="preserve">Esto es así, porque el texto de la disposición acusada da cuenta de que </w:t>
            </w:r>
            <w:r w:rsidRPr="003E425B">
              <w:rPr>
                <w:rFonts w:ascii="Times New Roman" w:hAnsi="Times New Roman" w:cs="Times New Roman"/>
                <w:sz w:val="28"/>
              </w:rPr>
              <w:t xml:space="preserve">el legislador encargó al presidente de la conformación de </w:t>
            </w:r>
            <w:r w:rsidRPr="003E425B">
              <w:rPr>
                <w:rFonts w:ascii="Times New Roman" w:hAnsi="Times New Roman" w:cs="Times New Roman"/>
                <w:sz w:val="28"/>
              </w:rPr>
              <w:t xml:space="preserve">un sector específico de la administración. Este encargo está limitado por el objeto de la Ley y por las labores de vinculación y adscripción </w:t>
            </w:r>
            <w:r w:rsidRPr="003E425B">
              <w:rPr>
                <w:rFonts w:ascii="Times New Roman" w:hAnsi="Times New Roman" w:cs="Times New Roman"/>
                <w:sz w:val="28"/>
              </w:rPr>
              <w:t xml:space="preserve">que dispuso el legislador. </w:t>
            </w:r>
            <w:r w:rsidRPr="003E425B">
              <w:rPr>
                <w:rFonts w:ascii="Times New Roman" w:hAnsi="Times New Roman" w:cs="Times New Roman"/>
                <w:sz w:val="28"/>
              </w:rPr>
              <w:t xml:space="preserve">Además, </w:t>
            </w:r>
            <w:r w:rsidRPr="003E425B">
              <w:rPr>
                <w:rFonts w:ascii="Times New Roman" w:hAnsi="Times New Roman" w:cs="Times New Roman"/>
                <w:sz w:val="28"/>
              </w:rPr>
              <w:t>el Consejo de Estado</w:t>
            </w:r>
            <w:r w:rsidRPr="003E425B">
              <w:rPr>
                <w:rFonts w:ascii="Times New Roman" w:hAnsi="Times New Roman" w:cs="Times New Roman"/>
                <w:sz w:val="28"/>
              </w:rPr>
              <w:t xml:space="preserve"> ha precisado </w:t>
            </w:r>
            <w:r w:rsidRPr="003E425B">
              <w:rPr>
                <w:rFonts w:ascii="Times New Roman" w:hAnsi="Times New Roman" w:cs="Times New Roman"/>
                <w:sz w:val="28"/>
              </w:rPr>
              <w:t>que “tanto la adscripción como la vinculación</w:t>
            </w:r>
            <w:r w:rsidRPr="003E425B">
              <w:rPr>
                <w:rFonts w:ascii="Times New Roman" w:hAnsi="Times New Roman" w:cs="Times New Roman"/>
                <w:sz w:val="28"/>
              </w:rPr>
              <w:t xml:space="preserve"> </w:t>
            </w:r>
            <w:r w:rsidRPr="003E425B">
              <w:rPr>
                <w:rFonts w:ascii="Times New Roman" w:hAnsi="Times New Roman" w:cs="Times New Roman"/>
                <w:sz w:val="28"/>
              </w:rPr>
              <w:t>(…)</w:t>
            </w:r>
            <w:r w:rsidRPr="003E425B">
              <w:rPr>
                <w:rFonts w:ascii="Times New Roman" w:hAnsi="Times New Roman" w:cs="Times New Roman"/>
                <w:sz w:val="28"/>
              </w:rPr>
              <w:t xml:space="preserve"> denotan grados de relación de dependencia no jerárquica que se predican entre organismos principales de la administración y organismos que, no obstante tener reconocida autonomía administrativa - ostenten o no personalidad jurídica-, deben actuar bajo </w:t>
            </w:r>
            <w:r w:rsidRPr="003E425B">
              <w:rPr>
                <w:rFonts w:ascii="Times New Roman" w:hAnsi="Times New Roman" w:cs="Times New Roman"/>
                <w:sz w:val="28"/>
              </w:rPr>
              <w:t>la orientación y coordinación de aquellos”</w:t>
            </w:r>
            <w:r w:rsidRPr="003E425B">
              <w:rPr>
                <w:rStyle w:val="Refdenotaalpie"/>
                <w:rFonts w:ascii="Times New Roman" w:hAnsi="Times New Roman" w:cs="Times New Roman"/>
                <w:sz w:val="28"/>
              </w:rPr>
              <w:footnoteReference w:id="455"/>
            </w:r>
            <w:r w:rsidRPr="003E425B">
              <w:rPr>
                <w:rFonts w:ascii="Times New Roman" w:hAnsi="Times New Roman" w:cs="Times New Roman"/>
                <w:sz w:val="28"/>
              </w:rPr>
              <w:t>, de manera que las facultades están claramente delimitadas.</w:t>
            </w:r>
            <w:r w:rsidRPr="003E425B">
              <w:rPr>
                <w:rFonts w:ascii="Times New Roman" w:hAnsi="Times New Roman" w:cs="Times New Roman"/>
                <w:sz w:val="28"/>
              </w:rPr>
              <w:t xml:space="preserve"> </w:t>
            </w:r>
          </w:p>
        </w:tc>
        <w:tc>
          <w:tcPr>
            <w:tcW w:w="1741" w:type="dxa"/>
            <w:vAlign w:val="center"/>
          </w:tcPr>
          <w:p w:rsidR="002D3CD8" w:rsidRPr="003E425B" w:rsidRDefault="003E425B" w:rsidP="00C05AA9">
            <w:pPr>
              <w:rPr>
                <w:rFonts w:ascii="Times New Roman" w:hAnsi="Times New Roman" w:cs="Times New Roman"/>
                <w:sz w:val="28"/>
              </w:rPr>
            </w:pPr>
            <w:r w:rsidRPr="003E425B">
              <w:rPr>
                <w:rFonts w:ascii="Times New Roman" w:hAnsi="Times New Roman" w:cs="Times New Roman"/>
                <w:sz w:val="28"/>
              </w:rPr>
              <w:t>Inhibición y de forma subsidiaria exequibilidad.</w:t>
            </w:r>
          </w:p>
        </w:tc>
      </w:tr>
      <w:tr w:rsidR="002D3CD8" w:rsidRPr="003E425B" w:rsidTr="00E16802">
        <w:tc>
          <w:tcPr>
            <w:tcW w:w="453" w:type="dxa"/>
            <w:vAlign w:val="center"/>
          </w:tcPr>
          <w:p w:rsidR="002D3CD8" w:rsidRPr="003E425B" w:rsidRDefault="003E425B" w:rsidP="00727401">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4</w:t>
            </w:r>
          </w:p>
        </w:tc>
        <w:tc>
          <w:tcPr>
            <w:tcW w:w="2712" w:type="dxa"/>
            <w:vAlign w:val="center"/>
          </w:tcPr>
          <w:p w:rsidR="002D3CD8" w:rsidRPr="003E425B" w:rsidRDefault="003E425B" w:rsidP="00727401">
            <w:pPr>
              <w:jc w:val="center"/>
              <w:rPr>
                <w:rFonts w:ascii="Times New Roman" w:hAnsi="Times New Roman" w:cs="Times New Roman"/>
                <w:sz w:val="28"/>
              </w:rPr>
            </w:pPr>
            <w:r w:rsidRPr="003E425B">
              <w:rPr>
                <w:rFonts w:ascii="Times New Roman" w:eastAsia="Times New Roman" w:hAnsi="Times New Roman" w:cs="Times New Roman"/>
                <w:color w:val="000000"/>
                <w:sz w:val="28"/>
              </w:rPr>
              <w:t>Ministerio del Interior</w:t>
            </w:r>
          </w:p>
        </w:tc>
        <w:tc>
          <w:tcPr>
            <w:tcW w:w="7587" w:type="dxa"/>
            <w:gridSpan w:val="2"/>
            <w:vAlign w:val="center"/>
          </w:tcPr>
          <w:p w:rsidR="000200E0" w:rsidRPr="003E425B" w:rsidRDefault="003E425B" w:rsidP="000200E0">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 xml:space="preserve">En el trámite de la Ley sí se discutió su impacto fiscal. Esto es reconocido por los demandantes cuando lo tildan de “escueto”. Sin embargo, </w:t>
            </w:r>
            <w:r w:rsidRPr="003E425B">
              <w:rPr>
                <w:rFonts w:ascii="Times New Roman" w:hAnsi="Times New Roman" w:cs="Times New Roman"/>
                <w:sz w:val="28"/>
              </w:rPr>
              <w:t>la inconformidad de los demandantes con el nivel del debate, no implican que la Ley sea inconstitucional. Además, e</w:t>
            </w:r>
            <w:r w:rsidRPr="003E425B">
              <w:rPr>
                <w:rFonts w:ascii="Times New Roman" w:hAnsi="Times New Roman" w:cs="Times New Roman"/>
                <w:sz w:val="28"/>
              </w:rPr>
              <w:t xml:space="preserve">l MHCP </w:t>
            </w:r>
            <w:r w:rsidRPr="003E425B">
              <w:rPr>
                <w:rFonts w:ascii="Times New Roman" w:hAnsi="Times New Roman" w:cs="Times New Roman"/>
                <w:sz w:val="28"/>
              </w:rPr>
              <w:t xml:space="preserve">conceptuó sobre su conformidad con el MFMP, pero incluso si no lo hubiera hecho, la Ley no habría incurrido en ningún defecto. </w:t>
            </w:r>
          </w:p>
          <w:p w:rsidR="00462DD7" w:rsidRPr="003E425B" w:rsidRDefault="003E425B" w:rsidP="000200E0">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 xml:space="preserve">El primer debate contó con quorum deliberatorio y el proyecto de ley se aprobó por mayoría absoluta. </w:t>
            </w:r>
            <w:r w:rsidRPr="003E425B">
              <w:rPr>
                <w:rFonts w:ascii="Times New Roman" w:hAnsi="Times New Roman" w:cs="Times New Roman"/>
                <w:sz w:val="28"/>
              </w:rPr>
              <w:t>El 24 de noviembre de 2022</w:t>
            </w:r>
            <w:r w:rsidRPr="003E425B">
              <w:rPr>
                <w:rFonts w:ascii="Times New Roman" w:hAnsi="Times New Roman" w:cs="Times New Roman"/>
                <w:sz w:val="28"/>
              </w:rPr>
              <w:t xml:space="preserve"> se realizó la sesión de las Comisiones Constitucionales Primeras Conjuntas</w:t>
            </w:r>
            <w:r w:rsidRPr="003E425B">
              <w:rPr>
                <w:rFonts w:ascii="Times New Roman" w:hAnsi="Times New Roman" w:cs="Times New Roman"/>
                <w:sz w:val="28"/>
              </w:rPr>
              <w:t>.</w:t>
            </w:r>
            <w:r w:rsidRPr="003E425B">
              <w:rPr>
                <w:rFonts w:ascii="Times New Roman" w:hAnsi="Times New Roman" w:cs="Times New Roman"/>
                <w:sz w:val="28"/>
              </w:rPr>
              <w:t xml:space="preserve"> Luego de que no se aprobara la proposición de archivo del proyecto,</w:t>
            </w:r>
            <w:r w:rsidRPr="003E425B">
              <w:rPr>
                <w:rFonts w:ascii="Times New Roman" w:hAnsi="Times New Roman" w:cs="Times New Roman"/>
                <w:sz w:val="28"/>
              </w:rPr>
              <w:t xml:space="preserve"> la Secretaría indicó que se desintegró el quorum decisorio, por lo que se levantó la</w:t>
            </w:r>
            <w:r w:rsidRPr="003E425B">
              <w:rPr>
                <w:rFonts w:ascii="Times New Roman" w:hAnsi="Times New Roman" w:cs="Times New Roman"/>
                <w:sz w:val="28"/>
              </w:rPr>
              <w:t xml:space="preserve"> </w:t>
            </w:r>
            <w:r w:rsidRPr="003E425B">
              <w:rPr>
                <w:rFonts w:ascii="Times New Roman" w:hAnsi="Times New Roman" w:cs="Times New Roman"/>
                <w:sz w:val="28"/>
              </w:rPr>
              <w:t>sesión y se convocó para el 28 de noviembre de 2022.</w:t>
            </w:r>
            <w:r w:rsidRPr="003E425B">
              <w:rPr>
                <w:rFonts w:ascii="Times New Roman" w:hAnsi="Times New Roman" w:cs="Times New Roman"/>
                <w:sz w:val="28"/>
              </w:rPr>
              <w:t xml:space="preserve"> </w:t>
            </w:r>
            <w:r w:rsidRPr="003E425B">
              <w:rPr>
                <w:rFonts w:ascii="Times New Roman" w:hAnsi="Times New Roman" w:cs="Times New Roman"/>
                <w:sz w:val="28"/>
              </w:rPr>
              <w:t>El 28 de noviembre de 2022</w:t>
            </w:r>
            <w:r w:rsidRPr="003E425B">
              <w:rPr>
                <w:rFonts w:ascii="Times New Roman" w:hAnsi="Times New Roman" w:cs="Times New Roman"/>
                <w:sz w:val="28"/>
              </w:rPr>
              <w:t>, se realizó la sesión de las Comisiones Constitucionales Primeras Conjuntas. En dicha sesión</w:t>
            </w:r>
            <w:r w:rsidRPr="003E425B">
              <w:rPr>
                <w:rFonts w:ascii="Times New Roman" w:hAnsi="Times New Roman" w:cs="Times New Roman"/>
                <w:sz w:val="28"/>
              </w:rPr>
              <w:t xml:space="preserve">, </w:t>
            </w:r>
            <w:r w:rsidRPr="003E425B">
              <w:rPr>
                <w:rFonts w:ascii="Times New Roman" w:hAnsi="Times New Roman" w:cs="Times New Roman"/>
                <w:sz w:val="28"/>
              </w:rPr>
              <w:t>la</w:t>
            </w:r>
            <w:r w:rsidRPr="003E425B">
              <w:rPr>
                <w:rFonts w:ascii="Times New Roman" w:hAnsi="Times New Roman" w:cs="Times New Roman"/>
                <w:sz w:val="28"/>
              </w:rPr>
              <w:t>s</w:t>
            </w:r>
            <w:r w:rsidRPr="003E425B">
              <w:rPr>
                <w:rFonts w:ascii="Times New Roman" w:hAnsi="Times New Roman" w:cs="Times New Roman"/>
                <w:sz w:val="28"/>
              </w:rPr>
              <w:t xml:space="preserve"> Secretaría</w:t>
            </w:r>
            <w:r w:rsidRPr="003E425B">
              <w:rPr>
                <w:rFonts w:ascii="Times New Roman" w:hAnsi="Times New Roman" w:cs="Times New Roman"/>
                <w:sz w:val="28"/>
              </w:rPr>
              <w:t>s</w:t>
            </w:r>
            <w:r w:rsidRPr="003E425B">
              <w:rPr>
                <w:rFonts w:ascii="Times New Roman" w:hAnsi="Times New Roman" w:cs="Times New Roman"/>
                <w:sz w:val="28"/>
              </w:rPr>
              <w:t xml:space="preserve"> de</w:t>
            </w:r>
            <w:r w:rsidRPr="003E425B">
              <w:rPr>
                <w:rFonts w:ascii="Times New Roman" w:hAnsi="Times New Roman" w:cs="Times New Roman"/>
                <w:sz w:val="28"/>
              </w:rPr>
              <w:t xml:space="preserve">l Senado </w:t>
            </w:r>
            <w:r w:rsidRPr="003E425B">
              <w:rPr>
                <w:rFonts w:ascii="Times New Roman" w:hAnsi="Times New Roman" w:cs="Times New Roman"/>
                <w:sz w:val="28"/>
              </w:rPr>
              <w:t xml:space="preserve">y la Cámara de Representantes </w:t>
            </w:r>
            <w:r w:rsidRPr="003E425B">
              <w:rPr>
                <w:rFonts w:ascii="Times New Roman" w:hAnsi="Times New Roman" w:cs="Times New Roman"/>
                <w:sz w:val="28"/>
              </w:rPr>
              <w:t>constat</w:t>
            </w:r>
            <w:r w:rsidRPr="003E425B">
              <w:rPr>
                <w:rFonts w:ascii="Times New Roman" w:hAnsi="Times New Roman" w:cs="Times New Roman"/>
                <w:sz w:val="28"/>
              </w:rPr>
              <w:t>aron</w:t>
            </w:r>
            <w:r w:rsidRPr="003E425B">
              <w:rPr>
                <w:rFonts w:ascii="Times New Roman" w:hAnsi="Times New Roman" w:cs="Times New Roman"/>
                <w:sz w:val="28"/>
              </w:rPr>
              <w:t xml:space="preserve"> que existía q</w:t>
            </w:r>
            <w:r w:rsidRPr="003E425B">
              <w:rPr>
                <w:rFonts w:ascii="Times New Roman" w:hAnsi="Times New Roman" w:cs="Times New Roman"/>
                <w:sz w:val="28"/>
              </w:rPr>
              <w:t>uórum decisorio en</w:t>
            </w:r>
            <w:r w:rsidRPr="003E425B">
              <w:rPr>
                <w:rFonts w:ascii="Times New Roman" w:hAnsi="Times New Roman" w:cs="Times New Roman"/>
                <w:sz w:val="28"/>
              </w:rPr>
              <w:t xml:space="preserve"> </w:t>
            </w:r>
            <w:r w:rsidRPr="003E425B">
              <w:rPr>
                <w:rFonts w:ascii="Times New Roman" w:hAnsi="Times New Roman" w:cs="Times New Roman"/>
                <w:sz w:val="28"/>
              </w:rPr>
              <w:t>cada una de las comisiones</w:t>
            </w:r>
            <w:r w:rsidRPr="003E425B">
              <w:rPr>
                <w:rFonts w:ascii="Times New Roman" w:hAnsi="Times New Roman" w:cs="Times New Roman"/>
                <w:sz w:val="28"/>
              </w:rPr>
              <w:t>.</w:t>
            </w:r>
            <w:r w:rsidRPr="003E425B">
              <w:rPr>
                <w:rFonts w:ascii="Times New Roman" w:hAnsi="Times New Roman" w:cs="Times New Roman"/>
                <w:sz w:val="28"/>
              </w:rPr>
              <w:t xml:space="preserve"> A continuación, se votaron en bloque los artículos 1, 2, 7, </w:t>
            </w:r>
            <w:r w:rsidRPr="003E425B">
              <w:rPr>
                <w:rFonts w:ascii="Times New Roman" w:hAnsi="Times New Roman" w:cs="Times New Roman"/>
                <w:sz w:val="28"/>
              </w:rPr>
              <w:t xml:space="preserve">8, 9, 10, 14 y 15, los cuales fueron aprobados por </w:t>
            </w:r>
            <w:r w:rsidRPr="003E425B">
              <w:rPr>
                <w:rFonts w:ascii="Times New Roman" w:hAnsi="Times New Roman" w:cs="Times New Roman"/>
                <w:sz w:val="28"/>
              </w:rPr>
              <w:t xml:space="preserve">26 representantes, de los 28 presentes y 15 de los 16 </w:t>
            </w:r>
            <w:r w:rsidRPr="003E425B">
              <w:rPr>
                <w:rFonts w:ascii="Times New Roman" w:hAnsi="Times New Roman" w:cs="Times New Roman"/>
                <w:sz w:val="28"/>
              </w:rPr>
              <w:t xml:space="preserve">senadores presentes. Luego, se votaron de </w:t>
            </w:r>
            <w:r w:rsidRPr="003E425B">
              <w:rPr>
                <w:rFonts w:ascii="Times New Roman" w:hAnsi="Times New Roman" w:cs="Times New Roman"/>
                <w:sz w:val="28"/>
              </w:rPr>
              <w:t>forma individual los artículos 1</w:t>
            </w:r>
            <w:r w:rsidRPr="003E425B">
              <w:rPr>
                <w:rFonts w:ascii="Times New Roman" w:hAnsi="Times New Roman" w:cs="Times New Roman"/>
                <w:sz w:val="28"/>
              </w:rPr>
              <w:t>1 (12 de la Ley)</w:t>
            </w:r>
            <w:r w:rsidRPr="003E425B">
              <w:rPr>
                <w:rFonts w:ascii="Times New Roman" w:hAnsi="Times New Roman" w:cs="Times New Roman"/>
                <w:sz w:val="28"/>
              </w:rPr>
              <w:t>,</w:t>
            </w:r>
            <w:r w:rsidRPr="003E425B">
              <w:rPr>
                <w:rFonts w:ascii="Times New Roman" w:hAnsi="Times New Roman" w:cs="Times New Roman"/>
                <w:sz w:val="28"/>
              </w:rPr>
              <w:t xml:space="preserve"> 3, </w:t>
            </w:r>
            <w:r w:rsidRPr="003E425B">
              <w:rPr>
                <w:rFonts w:ascii="Times New Roman" w:hAnsi="Times New Roman" w:cs="Times New Roman"/>
                <w:sz w:val="28"/>
              </w:rPr>
              <w:t xml:space="preserve">4, 12, 13, 5 y el título, en ese orden. </w:t>
            </w:r>
            <w:r w:rsidRPr="003E425B">
              <w:rPr>
                <w:rFonts w:ascii="Times New Roman" w:hAnsi="Times New Roman" w:cs="Times New Roman"/>
                <w:sz w:val="28"/>
              </w:rPr>
              <w:t>Cada una de las anteriores votaciones fue aprobada por mayoría absoluta, aun cuando solo el artículo 11 del proyecto (12 de la ley) lo requería.</w:t>
            </w:r>
            <w:r w:rsidRPr="003E425B">
              <w:rPr>
                <w:rFonts w:ascii="Times New Roman" w:hAnsi="Times New Roman" w:cs="Times New Roman"/>
                <w:sz w:val="28"/>
              </w:rPr>
              <w:t xml:space="preserve"> </w:t>
            </w:r>
            <w:r w:rsidRPr="003E425B">
              <w:rPr>
                <w:rFonts w:ascii="Times New Roman" w:hAnsi="Times New Roman" w:cs="Times New Roman"/>
                <w:sz w:val="28"/>
              </w:rPr>
              <w:t>Así las cosas, con</w:t>
            </w:r>
            <w:r w:rsidRPr="003E425B">
              <w:rPr>
                <w:rFonts w:ascii="Times New Roman" w:hAnsi="Times New Roman" w:cs="Times New Roman"/>
                <w:sz w:val="28"/>
              </w:rPr>
              <w:t>trario a lo manifestado por los demandantes</w:t>
            </w:r>
            <w:r w:rsidRPr="003E425B">
              <w:rPr>
                <w:rFonts w:ascii="Times New Roman" w:hAnsi="Times New Roman" w:cs="Times New Roman"/>
                <w:sz w:val="28"/>
              </w:rPr>
              <w:t>,</w:t>
            </w:r>
            <w:r w:rsidRPr="003E425B">
              <w:rPr>
                <w:rFonts w:ascii="Times New Roman" w:hAnsi="Times New Roman" w:cs="Times New Roman"/>
                <w:sz w:val="28"/>
              </w:rPr>
              <w:t xml:space="preserve"> el proyecto de ley fue aprobado por mayoría </w:t>
            </w:r>
            <w:r w:rsidRPr="003E425B">
              <w:rPr>
                <w:rFonts w:ascii="Times New Roman" w:hAnsi="Times New Roman" w:cs="Times New Roman"/>
                <w:sz w:val="28"/>
              </w:rPr>
              <w:t xml:space="preserve">absoluta, </w:t>
            </w:r>
            <w:r w:rsidRPr="003E425B">
              <w:rPr>
                <w:rFonts w:ascii="Times New Roman" w:hAnsi="Times New Roman" w:cs="Times New Roman"/>
                <w:sz w:val="28"/>
              </w:rPr>
              <w:t>en dos sesiones</w:t>
            </w:r>
            <w:r w:rsidRPr="003E425B">
              <w:rPr>
                <w:rFonts w:ascii="Times New Roman" w:hAnsi="Times New Roman" w:cs="Times New Roman"/>
                <w:sz w:val="28"/>
              </w:rPr>
              <w:t>.</w:t>
            </w:r>
            <w:r w:rsidRPr="003E425B">
              <w:rPr>
                <w:rFonts w:ascii="Times New Roman" w:hAnsi="Times New Roman" w:cs="Times New Roman"/>
                <w:sz w:val="28"/>
              </w:rPr>
              <w:t xml:space="preserve"> Por lo demás, las fotografías allegadas por los demandantes, </w:t>
            </w:r>
            <w:r w:rsidRPr="003E425B">
              <w:rPr>
                <w:rFonts w:ascii="Times New Roman" w:hAnsi="Times New Roman" w:cs="Times New Roman"/>
                <w:sz w:val="28"/>
              </w:rPr>
              <w:t>“no son el medio probatorio para determinar si existió quorum o no, frente a la</w:t>
            </w:r>
            <w:r w:rsidRPr="003E425B">
              <w:rPr>
                <w:rFonts w:ascii="Times New Roman" w:hAnsi="Times New Roman" w:cs="Times New Roman"/>
                <w:sz w:val="28"/>
              </w:rPr>
              <w:t xml:space="preserve"> votación del primer debate del Proyecto de Ley (…), pues ello se logra refrendar con las actas de las gacetas allegadas al proceso de inconstitucionalidad, por parte tanto de la Secretaría del Senado, como la Secretaría de la Cámara de Representantes, en </w:t>
            </w:r>
            <w:r w:rsidRPr="003E425B">
              <w:rPr>
                <w:rFonts w:ascii="Times New Roman" w:hAnsi="Times New Roman" w:cs="Times New Roman"/>
                <w:sz w:val="28"/>
              </w:rPr>
              <w:t>las cuales consta la participación, deliberación y votación surtida por los congresistas en dicho trámite legislativo y constituyen el único documento oficial idóneo para constatar el trámite legislativo</w:t>
            </w:r>
            <w:r w:rsidRPr="003E425B">
              <w:rPr>
                <w:rFonts w:ascii="Times New Roman" w:hAnsi="Times New Roman" w:cs="Times New Roman"/>
                <w:sz w:val="28"/>
              </w:rPr>
              <w:t>”.</w:t>
            </w:r>
          </w:p>
        </w:tc>
        <w:tc>
          <w:tcPr>
            <w:tcW w:w="4821" w:type="dxa"/>
            <w:vAlign w:val="center"/>
          </w:tcPr>
          <w:p w:rsidR="002D3CD8" w:rsidRPr="003E425B" w:rsidRDefault="003E425B" w:rsidP="003F1E70">
            <w:pPr>
              <w:rPr>
                <w:rFonts w:ascii="Times New Roman" w:hAnsi="Times New Roman" w:cs="Times New Roman"/>
                <w:sz w:val="28"/>
              </w:rPr>
            </w:pPr>
            <w:r w:rsidRPr="003E425B">
              <w:rPr>
                <w:rFonts w:ascii="Times New Roman" w:hAnsi="Times New Roman" w:cs="Times New Roman"/>
                <w:sz w:val="28"/>
              </w:rPr>
              <w:t xml:space="preserve">El </w:t>
            </w:r>
            <w:r w:rsidRPr="003E425B">
              <w:rPr>
                <w:rFonts w:ascii="Times New Roman" w:hAnsi="Times New Roman" w:cs="Times New Roman"/>
                <w:sz w:val="28"/>
              </w:rPr>
              <w:t>cargo es inepto</w:t>
            </w:r>
            <w:r w:rsidRPr="003E425B">
              <w:rPr>
                <w:rFonts w:ascii="Times New Roman" w:hAnsi="Times New Roman" w:cs="Times New Roman"/>
                <w:sz w:val="28"/>
              </w:rPr>
              <w:t>, por carecer de certeza</w:t>
            </w:r>
            <w:r w:rsidRPr="003E425B">
              <w:rPr>
                <w:rFonts w:ascii="Times New Roman" w:hAnsi="Times New Roman" w:cs="Times New Roman"/>
                <w:sz w:val="28"/>
              </w:rPr>
              <w:t xml:space="preserve">. </w:t>
            </w:r>
            <w:r w:rsidRPr="003E425B">
              <w:rPr>
                <w:rFonts w:ascii="Times New Roman" w:hAnsi="Times New Roman" w:cs="Times New Roman"/>
                <w:sz w:val="28"/>
              </w:rPr>
              <w:t>La acu</w:t>
            </w:r>
            <w:r w:rsidRPr="003E425B">
              <w:rPr>
                <w:rFonts w:ascii="Times New Roman" w:hAnsi="Times New Roman" w:cs="Times New Roman"/>
                <w:sz w:val="28"/>
              </w:rPr>
              <w:t>sación de l</w:t>
            </w:r>
            <w:r w:rsidRPr="003E425B">
              <w:rPr>
                <w:rFonts w:ascii="Times New Roman" w:hAnsi="Times New Roman" w:cs="Times New Roman"/>
                <w:sz w:val="28"/>
              </w:rPr>
              <w:t>o</w:t>
            </w:r>
            <w:r w:rsidRPr="003E425B">
              <w:rPr>
                <w:rFonts w:ascii="Times New Roman" w:hAnsi="Times New Roman" w:cs="Times New Roman"/>
                <w:sz w:val="28"/>
              </w:rPr>
              <w:t>s demandantes se centra</w:t>
            </w:r>
            <w:r w:rsidRPr="003E425B">
              <w:rPr>
                <w:rFonts w:ascii="Times New Roman" w:hAnsi="Times New Roman" w:cs="Times New Roman"/>
                <w:sz w:val="28"/>
              </w:rPr>
              <w:t xml:space="preserve"> </w:t>
            </w:r>
            <w:r w:rsidRPr="003E425B">
              <w:rPr>
                <w:rFonts w:ascii="Times New Roman" w:hAnsi="Times New Roman" w:cs="Times New Roman"/>
                <w:sz w:val="28"/>
              </w:rPr>
              <w:t>en que el artículo 12 de la ley</w:t>
            </w:r>
            <w:r w:rsidRPr="003E425B">
              <w:rPr>
                <w:rFonts w:ascii="Times New Roman" w:hAnsi="Times New Roman" w:cs="Times New Roman"/>
                <w:sz w:val="28"/>
              </w:rPr>
              <w:t xml:space="preserve"> presuntamente</w:t>
            </w:r>
            <w:r w:rsidRPr="003E425B">
              <w:rPr>
                <w:rFonts w:ascii="Times New Roman" w:hAnsi="Times New Roman" w:cs="Times New Roman"/>
                <w:sz w:val="28"/>
              </w:rPr>
              <w:t xml:space="preserve"> otorga una competencia ilimitada al Presidente de la República</w:t>
            </w:r>
            <w:r w:rsidRPr="003E425B">
              <w:rPr>
                <w:rFonts w:ascii="Times New Roman" w:hAnsi="Times New Roman" w:cs="Times New Roman"/>
                <w:sz w:val="28"/>
              </w:rPr>
              <w:t xml:space="preserve">. </w:t>
            </w:r>
            <w:r w:rsidRPr="003E425B">
              <w:rPr>
                <w:rFonts w:ascii="Times New Roman" w:hAnsi="Times New Roman" w:cs="Times New Roman"/>
                <w:sz w:val="28"/>
              </w:rPr>
              <w:t>Los demandantes justifican esta afirmación en la “</w:t>
            </w:r>
            <w:r w:rsidRPr="003E425B">
              <w:rPr>
                <w:rFonts w:ascii="Times New Roman" w:hAnsi="Times New Roman" w:cs="Times New Roman"/>
                <w:sz w:val="28"/>
              </w:rPr>
              <w:t>mala fe de la potestad reglamentaria en cabeza del Ejecutivo</w:t>
            </w:r>
            <w:r w:rsidRPr="003E425B">
              <w:rPr>
                <w:rFonts w:ascii="Times New Roman" w:hAnsi="Times New Roman" w:cs="Times New Roman"/>
                <w:sz w:val="28"/>
              </w:rPr>
              <w:t xml:space="preserve"> al momento de expedir los respectivos decretos que deriven de dicha competencia</w:t>
            </w:r>
            <w:r w:rsidRPr="003E425B">
              <w:rPr>
                <w:rFonts w:ascii="Times New Roman" w:hAnsi="Times New Roman" w:cs="Times New Roman"/>
                <w:sz w:val="28"/>
              </w:rPr>
              <w:t>”</w:t>
            </w:r>
            <w:r w:rsidRPr="003E425B">
              <w:rPr>
                <w:rFonts w:ascii="Times New Roman" w:hAnsi="Times New Roman" w:cs="Times New Roman"/>
                <w:sz w:val="28"/>
              </w:rPr>
              <w:t>, lo cual demuestra que la vulneración que atribuyen los demandantes es hipotética</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estos términos</w:t>
            </w:r>
            <w:r w:rsidRPr="003E425B">
              <w:rPr>
                <w:rFonts w:ascii="Times New Roman" w:hAnsi="Times New Roman" w:cs="Times New Roman"/>
                <w:sz w:val="28"/>
              </w:rPr>
              <w:t xml:space="preserve">, </w:t>
            </w:r>
            <w:r w:rsidRPr="003E425B">
              <w:rPr>
                <w:rFonts w:ascii="Times New Roman" w:hAnsi="Times New Roman" w:cs="Times New Roman"/>
                <w:sz w:val="28"/>
              </w:rPr>
              <w:t>“</w:t>
            </w:r>
            <w:r w:rsidRPr="003E425B">
              <w:rPr>
                <w:rFonts w:ascii="Times New Roman" w:hAnsi="Times New Roman" w:cs="Times New Roman"/>
                <w:sz w:val="28"/>
              </w:rPr>
              <w:t xml:space="preserve">la particular visión del actor sobre lo que, en su sentir, regula la </w:t>
            </w:r>
            <w:r w:rsidRPr="003E425B">
              <w:rPr>
                <w:rFonts w:ascii="Times New Roman" w:hAnsi="Times New Roman" w:cs="Times New Roman"/>
                <w:sz w:val="28"/>
              </w:rPr>
              <w:t>normatividad acusada, no vicia per se por inconstitucionalidad las reglas demandadas</w:t>
            </w:r>
            <w:r w:rsidRPr="003E425B">
              <w:rPr>
                <w:rFonts w:ascii="Times New Roman" w:hAnsi="Times New Roman" w:cs="Times New Roman"/>
                <w:sz w:val="28"/>
              </w:rPr>
              <w:t>”</w:t>
            </w:r>
            <w:r w:rsidRPr="003E425B">
              <w:rPr>
                <w:rFonts w:ascii="Times New Roman" w:hAnsi="Times New Roman" w:cs="Times New Roman"/>
                <w:sz w:val="28"/>
              </w:rPr>
              <w:t xml:space="preserve"> y por tanto la Corte debe declararse inhibida en relación con este cargo</w:t>
            </w:r>
            <w:r w:rsidRPr="003E425B">
              <w:rPr>
                <w:rFonts w:ascii="Times New Roman" w:hAnsi="Times New Roman" w:cs="Times New Roman"/>
                <w:sz w:val="28"/>
              </w:rPr>
              <w:t>.</w:t>
            </w:r>
          </w:p>
        </w:tc>
        <w:tc>
          <w:tcPr>
            <w:tcW w:w="1741" w:type="dxa"/>
            <w:vAlign w:val="center"/>
          </w:tcPr>
          <w:p w:rsidR="002D3CD8" w:rsidRPr="003E425B" w:rsidRDefault="003E425B" w:rsidP="00C05AA9">
            <w:pPr>
              <w:rPr>
                <w:rFonts w:ascii="Times New Roman" w:hAnsi="Times New Roman" w:cs="Times New Roman"/>
                <w:sz w:val="28"/>
              </w:rPr>
            </w:pPr>
            <w:r w:rsidRPr="003E425B">
              <w:rPr>
                <w:rFonts w:ascii="Times New Roman" w:hAnsi="Times New Roman" w:cs="Times New Roman"/>
                <w:sz w:val="28"/>
              </w:rPr>
              <w:t>Exequibilidad y de forma subsidiaria inhibición.</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5</w:t>
            </w:r>
          </w:p>
        </w:tc>
        <w:tc>
          <w:tcPr>
            <w:tcW w:w="2712" w:type="dxa"/>
            <w:vAlign w:val="center"/>
          </w:tcPr>
          <w:p w:rsidR="007426E2" w:rsidRPr="003E425B" w:rsidRDefault="003E425B" w:rsidP="007426E2">
            <w:pPr>
              <w:jc w:val="center"/>
              <w:rPr>
                <w:rFonts w:ascii="Times New Roman" w:hAnsi="Times New Roman" w:cs="Times New Roman"/>
                <w:sz w:val="28"/>
              </w:rPr>
            </w:pPr>
            <w:r w:rsidRPr="003E425B">
              <w:rPr>
                <w:rFonts w:ascii="Times New Roman" w:eastAsia="Times New Roman" w:hAnsi="Times New Roman" w:cs="Times New Roman"/>
                <w:color w:val="000000"/>
                <w:sz w:val="28"/>
              </w:rPr>
              <w:t>Ministerio de Hacienda</w:t>
            </w:r>
          </w:p>
        </w:tc>
        <w:tc>
          <w:tcPr>
            <w:tcW w:w="7587" w:type="dxa"/>
            <w:gridSpan w:val="2"/>
            <w:vAlign w:val="center"/>
          </w:tcPr>
          <w:p w:rsidR="007426E2" w:rsidRPr="003E425B" w:rsidRDefault="003E425B" w:rsidP="007426E2">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La Ley 2281 de 2023 no contiene una orden de gasto, sino que simplemente autoriza la inclusión de un gasto en el Presupuesto General de la Nación (PGN), porque su implementación requiere desarrollo normativo. En la ley demandada, el Congreso de la Repúbli</w:t>
            </w:r>
            <w:r w:rsidRPr="003E425B">
              <w:rPr>
                <w:rFonts w:ascii="Times New Roman" w:hAnsi="Times New Roman" w:cs="Times New Roman"/>
                <w:sz w:val="28"/>
              </w:rPr>
              <w:t>ca únicamente: (i) dispuso la creación de un nuevo organismo principal del sector central de la Rama Ejecutiva en el orden nacional, rector del Sector administrativo de Igualdad y Equidad y de sus entidades adscritas o vinculadas denominado Ministerio de l</w:t>
            </w:r>
            <w:r w:rsidRPr="003E425B">
              <w:rPr>
                <w:rFonts w:ascii="Times New Roman" w:hAnsi="Times New Roman" w:cs="Times New Roman"/>
                <w:sz w:val="28"/>
              </w:rPr>
              <w:t>a Igualdad y la Equidad (artículo 2); (ii) consagró su objeto misional (artículo 3); estableció cuáles serían sus funciones (artículo 4); y (iii) dispuso la creación del Sistema Nacional del Cuidado (artículo 6). De acuerdo con la Dirección General del Pre</w:t>
            </w:r>
            <w:r w:rsidRPr="003E425B">
              <w:rPr>
                <w:rFonts w:ascii="Times New Roman" w:hAnsi="Times New Roman" w:cs="Times New Roman"/>
                <w:sz w:val="28"/>
              </w:rPr>
              <w:t xml:space="preserve">supuesto Público Nacional, estas disposiciones “desde el punto de vista presupuestal, constituyen una autorización de gasto, que se financiarían con el patrimonio del Ministerio de Ministerio de Igualdad y Equidad”. Este patrimonio, estará supeditado a la </w:t>
            </w:r>
            <w:r w:rsidRPr="003E425B">
              <w:rPr>
                <w:rFonts w:ascii="Times New Roman" w:hAnsi="Times New Roman" w:cs="Times New Roman"/>
                <w:sz w:val="28"/>
              </w:rPr>
              <w:t>disponibilidad presupuestal de recursos que puedan ser apropiados para tal fin. En efecto, según el artículo 39 del Estatuto Orgánico de Presupuesto (EOP), “los gastos autorizados por Leyes preexistentes a la presentación del proyecto anual del Presupuesto</w:t>
            </w:r>
            <w:r w:rsidRPr="003E425B">
              <w:rPr>
                <w:rFonts w:ascii="Times New Roman" w:hAnsi="Times New Roman" w:cs="Times New Roman"/>
                <w:sz w:val="28"/>
              </w:rPr>
              <w:t xml:space="preserve"> General de la Nación, serán incorporados a éste, de acuerdo con la disponibilidad de recursos, y las prioridades del Gobierno, si corresponden a funciones de órganos del nivel nacional y guardan concordancia con el Plan Nacional de Inversiones”. En este s</w:t>
            </w:r>
            <w:r w:rsidRPr="003E425B">
              <w:rPr>
                <w:rFonts w:ascii="Times New Roman" w:hAnsi="Times New Roman" w:cs="Times New Roman"/>
                <w:sz w:val="28"/>
              </w:rPr>
              <w:t>entido, “la aprobación legislativa de un gasto es condición necesaria, pero no suficiente para poder llevarlo a cabo”, pues corresponde al Gobierno decidir qué gastos ordenados por las leyes se incluyen en el respectivo proyecto de presupuesto, en un marco</w:t>
            </w:r>
            <w:r w:rsidRPr="003E425B">
              <w:rPr>
                <w:rFonts w:ascii="Times New Roman" w:hAnsi="Times New Roman" w:cs="Times New Roman"/>
                <w:sz w:val="28"/>
              </w:rPr>
              <w:t xml:space="preserve"> de sostenibilidad fiscal (artículo 346 CP). Así las cosas, en la medida en que la Ley demandada solo comporta una habilitación o autorización legal para incluir gasto, “se tiene que armonizar con las restricciones del Marco Fiscal de Mediano Plazo y con l</w:t>
            </w:r>
            <w:r w:rsidRPr="003E425B">
              <w:rPr>
                <w:rFonts w:ascii="Times New Roman" w:hAnsi="Times New Roman" w:cs="Times New Roman"/>
                <w:sz w:val="28"/>
              </w:rPr>
              <w:t>as proyecciones de gastos de mediano plazo”. Sin embargo, “no son vinculantes los deberes de que trata el artículo 7 de la Ley 819 de 2003”.</w:t>
            </w:r>
          </w:p>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En cualquier caso, con el propósito de que el legislador conociera una estimación de costos de la iniciativa, el MH</w:t>
            </w:r>
            <w:r w:rsidRPr="003E425B">
              <w:rPr>
                <w:rFonts w:ascii="Times New Roman" w:hAnsi="Times New Roman" w:cs="Times New Roman"/>
                <w:sz w:val="28"/>
              </w:rPr>
              <w:t xml:space="preserve">CP expuso los costos de referencia de los ministerios existentes para la vigencia 2022 y 2023 “únicamente en lo que se refiere a los gastos de personal y sin tener en cuenta los programas de inversión, pues (…) estas erogaciones dependen de la estructura, </w:t>
            </w:r>
            <w:r w:rsidRPr="003E425B">
              <w:rPr>
                <w:rFonts w:ascii="Times New Roman" w:hAnsi="Times New Roman" w:cs="Times New Roman"/>
                <w:sz w:val="28"/>
              </w:rPr>
              <w:t>el alcance y las funciones del nuevo Ministerio”.</w:t>
            </w:r>
          </w:p>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Por lo demás, la Corte debe recordar que “cuando la iniciativa legislativa ha sido presentada conjuntamente por el Gobierno y algunos congresistas, el cumplimiento de los requisitos de valoración del impact</w:t>
            </w:r>
            <w:r w:rsidRPr="003E425B">
              <w:rPr>
                <w:rFonts w:ascii="Times New Roman" w:hAnsi="Times New Roman" w:cs="Times New Roman"/>
                <w:sz w:val="28"/>
              </w:rPr>
              <w:t>o fiscal de la medida en el curso del trámite se evalúa bajo un (…) control débil de las cargas deliberativas por existencia de acuerdo entre el Gobierno y el Congreso”. Al respecto, indicó que ello se hizo en la sentencia C-540 de 2012.</w:t>
            </w:r>
          </w:p>
          <w:p w:rsidR="007426E2" w:rsidRPr="003E425B" w:rsidRDefault="003E425B" w:rsidP="007426E2">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No se pronunció en relación con este cargo.</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No se pronunció en relación con este cargo</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i/>
                <w:iCs/>
                <w:sz w:val="28"/>
              </w:rPr>
              <w:t xml:space="preserve">Cargo por omisión de analizar el impacto fiscal: </w:t>
            </w:r>
            <w:r w:rsidRPr="003E425B">
              <w:rPr>
                <w:rFonts w:ascii="Times New Roman" w:hAnsi="Times New Roman" w:cs="Times New Roman"/>
                <w:sz w:val="28"/>
              </w:rPr>
              <w:t>exequibilidad.</w:t>
            </w:r>
          </w:p>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No se pronunció en relación con los demás cargos.</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6</w:t>
            </w:r>
          </w:p>
        </w:tc>
        <w:tc>
          <w:tcPr>
            <w:tcW w:w="2712" w:type="dxa"/>
            <w:vAlign w:val="center"/>
          </w:tcPr>
          <w:p w:rsidR="007426E2" w:rsidRPr="003E425B" w:rsidRDefault="003E425B" w:rsidP="007426E2">
            <w:pPr>
              <w:jc w:val="center"/>
              <w:rPr>
                <w:rFonts w:ascii="Times New Roman" w:hAnsi="Times New Roman" w:cs="Times New Roman"/>
                <w:sz w:val="28"/>
              </w:rPr>
            </w:pPr>
            <w:r w:rsidRPr="003E425B">
              <w:rPr>
                <w:rFonts w:ascii="Times New Roman" w:eastAsia="Times New Roman" w:hAnsi="Times New Roman" w:cs="Times New Roman"/>
                <w:color w:val="000000"/>
                <w:sz w:val="28"/>
              </w:rPr>
              <w:t>Ministerio de Justicia</w:t>
            </w:r>
          </w:p>
        </w:tc>
        <w:tc>
          <w:tcPr>
            <w:tcW w:w="7587" w:type="dxa"/>
            <w:gridSpan w:val="2"/>
            <w:vAlign w:val="center"/>
          </w:tcPr>
          <w:p w:rsidR="007426E2" w:rsidRPr="003E425B" w:rsidRDefault="003E425B" w:rsidP="00143D7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La Ley no vu</w:t>
            </w:r>
            <w:r w:rsidRPr="003E425B">
              <w:rPr>
                <w:rFonts w:ascii="Times New Roman" w:hAnsi="Times New Roman" w:cs="Times New Roman"/>
                <w:sz w:val="28"/>
              </w:rPr>
              <w:t xml:space="preserve">lneró esta obligación, porque “lo importante es que la iniciativa cuente, durante el trámite legislativo, con el concepto del Ministerio de Hacienda y Crédito Público, </w:t>
            </w:r>
            <w:r w:rsidRPr="003E425B">
              <w:rPr>
                <w:rFonts w:ascii="Times New Roman" w:hAnsi="Times New Roman" w:cs="Times New Roman"/>
                <w:sz w:val="28"/>
              </w:rPr>
              <w:t>(…)</w:t>
            </w:r>
            <w:r w:rsidRPr="003E425B">
              <w:rPr>
                <w:rFonts w:ascii="Times New Roman" w:hAnsi="Times New Roman" w:cs="Times New Roman"/>
                <w:sz w:val="28"/>
              </w:rPr>
              <w:t xml:space="preserve"> al tenerlo en cuenta, el proyecto se aprueba consultando y sopesando el impacto fisc</w:t>
            </w:r>
            <w:r w:rsidRPr="003E425B">
              <w:rPr>
                <w:rFonts w:ascii="Times New Roman" w:hAnsi="Times New Roman" w:cs="Times New Roman"/>
                <w:sz w:val="28"/>
              </w:rPr>
              <w:t xml:space="preserve">al y determinando la fuente de ingresos y su conformidad con el Marco Fiscal de Mediano Plazo”. </w:t>
            </w:r>
            <w:r w:rsidRPr="003E425B">
              <w:rPr>
                <w:rFonts w:ascii="Times New Roman" w:hAnsi="Times New Roman" w:cs="Times New Roman"/>
                <w:sz w:val="28"/>
              </w:rPr>
              <w:t xml:space="preserve">En el presente caso, “el proyecto de Ley sí tuvo en cuenta, al momento de los debates en Plenarias de Cámara y Senado, la información que tenía a mano sobre el </w:t>
            </w:r>
            <w:r w:rsidRPr="003E425B">
              <w:rPr>
                <w:rFonts w:ascii="Times New Roman" w:hAnsi="Times New Roman" w:cs="Times New Roman"/>
                <w:sz w:val="28"/>
              </w:rPr>
              <w:t>impacto fiscal del proyecto, con lo cual se cumplió con el requisito de evaluación de dicho impacto”</w:t>
            </w:r>
            <w:r w:rsidRPr="003E425B">
              <w:rPr>
                <w:rFonts w:ascii="Times New Roman" w:hAnsi="Times New Roman" w:cs="Times New Roman"/>
                <w:sz w:val="28"/>
              </w:rPr>
              <w:t>.</w:t>
            </w:r>
          </w:p>
          <w:p w:rsidR="00563842" w:rsidRPr="003E425B" w:rsidRDefault="003E425B" w:rsidP="00143D7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 xml:space="preserve">El cargo </w:t>
            </w:r>
            <w:r w:rsidRPr="003E425B">
              <w:rPr>
                <w:rFonts w:ascii="Times New Roman" w:hAnsi="Times New Roman" w:cs="Times New Roman"/>
                <w:sz w:val="28"/>
              </w:rPr>
              <w:t>es inepto</w:t>
            </w:r>
            <w:r w:rsidRPr="003E425B">
              <w:rPr>
                <w:rFonts w:ascii="Times New Roman" w:hAnsi="Times New Roman" w:cs="Times New Roman"/>
                <w:sz w:val="28"/>
              </w:rPr>
              <w:t xml:space="preserve">. </w:t>
            </w:r>
            <w:r w:rsidRPr="003E425B">
              <w:rPr>
                <w:rFonts w:ascii="Times New Roman" w:hAnsi="Times New Roman" w:cs="Times New Roman"/>
                <w:sz w:val="28"/>
              </w:rPr>
              <w:t>Los accionantes parten de una interpretación subjetiva del numeral 2 del artículo 119 de la Ley 5 de 1992</w:t>
            </w:r>
            <w:r w:rsidRPr="003E425B">
              <w:rPr>
                <w:rFonts w:ascii="Times New Roman" w:hAnsi="Times New Roman" w:cs="Times New Roman"/>
                <w:sz w:val="28"/>
              </w:rPr>
              <w:t xml:space="preserve"> y el artículo 150 de la CP</w:t>
            </w:r>
            <w:r w:rsidRPr="003E425B">
              <w:rPr>
                <w:rFonts w:ascii="Times New Roman" w:hAnsi="Times New Roman" w:cs="Times New Roman"/>
                <w:sz w:val="28"/>
              </w:rPr>
              <w:t xml:space="preserve">, </w:t>
            </w:r>
            <w:r w:rsidRPr="003E425B">
              <w:rPr>
                <w:rFonts w:ascii="Times New Roman" w:hAnsi="Times New Roman" w:cs="Times New Roman"/>
                <w:sz w:val="28"/>
              </w:rPr>
              <w:t xml:space="preserve">dado que esta disposición no exige que </w:t>
            </w:r>
            <w:r w:rsidRPr="003E425B">
              <w:rPr>
                <w:rFonts w:ascii="Times New Roman" w:hAnsi="Times New Roman" w:cs="Times New Roman"/>
                <w:sz w:val="28"/>
              </w:rPr>
              <w:t xml:space="preserve">cuando apenas un artículo de la </w:t>
            </w:r>
            <w:r w:rsidRPr="003E425B">
              <w:rPr>
                <w:rFonts w:ascii="Times New Roman" w:hAnsi="Times New Roman" w:cs="Times New Roman"/>
                <w:sz w:val="28"/>
              </w:rPr>
              <w:t>ley</w:t>
            </w:r>
            <w:r w:rsidRPr="003E425B">
              <w:rPr>
                <w:rFonts w:ascii="Times New Roman" w:hAnsi="Times New Roman" w:cs="Times New Roman"/>
                <w:sz w:val="28"/>
              </w:rPr>
              <w:t xml:space="preserve"> otorgue facultades extraordinarias,</w:t>
            </w:r>
            <w:r w:rsidRPr="003E425B">
              <w:rPr>
                <w:rFonts w:ascii="Times New Roman" w:hAnsi="Times New Roman" w:cs="Times New Roman"/>
                <w:sz w:val="28"/>
              </w:rPr>
              <w:t xml:space="preserve"> la totalidad de la ley </w:t>
            </w:r>
            <w:r w:rsidRPr="003E425B">
              <w:rPr>
                <w:rFonts w:ascii="Times New Roman" w:hAnsi="Times New Roman" w:cs="Times New Roman"/>
                <w:sz w:val="28"/>
              </w:rPr>
              <w:t xml:space="preserve">deba </w:t>
            </w:r>
            <w:r w:rsidRPr="003E425B">
              <w:rPr>
                <w:rFonts w:ascii="Times New Roman" w:hAnsi="Times New Roman" w:cs="Times New Roman"/>
                <w:sz w:val="28"/>
              </w:rPr>
              <w:t>aprobarse por</w:t>
            </w:r>
            <w:r w:rsidRPr="003E425B">
              <w:rPr>
                <w:rFonts w:ascii="Times New Roman" w:hAnsi="Times New Roman" w:cs="Times New Roman"/>
                <w:sz w:val="28"/>
              </w:rPr>
              <w:t xml:space="preserve"> mayoría absoluta</w:t>
            </w:r>
            <w:r w:rsidRPr="003E425B">
              <w:rPr>
                <w:rFonts w:ascii="Times New Roman" w:hAnsi="Times New Roman" w:cs="Times New Roman"/>
                <w:sz w:val="28"/>
              </w:rPr>
              <w:t xml:space="preserve">. </w:t>
            </w:r>
          </w:p>
          <w:p w:rsidR="00143D76" w:rsidRPr="003E425B" w:rsidRDefault="003E425B" w:rsidP="00563842">
            <w:pPr>
              <w:rPr>
                <w:rFonts w:ascii="Times New Roman" w:hAnsi="Times New Roman" w:cs="Times New Roman"/>
                <w:sz w:val="28"/>
              </w:rPr>
            </w:pPr>
            <w:r w:rsidRPr="003E425B">
              <w:rPr>
                <w:rFonts w:ascii="Times New Roman" w:hAnsi="Times New Roman" w:cs="Times New Roman"/>
                <w:sz w:val="28"/>
              </w:rPr>
              <w:t>E</w:t>
            </w:r>
            <w:r w:rsidRPr="003E425B">
              <w:rPr>
                <w:rFonts w:ascii="Times New Roman" w:hAnsi="Times New Roman" w:cs="Times New Roman"/>
                <w:sz w:val="28"/>
              </w:rPr>
              <w:t>n cualquier caso, e</w:t>
            </w:r>
            <w:r w:rsidRPr="003E425B">
              <w:rPr>
                <w:rFonts w:ascii="Times New Roman" w:hAnsi="Times New Roman" w:cs="Times New Roman"/>
                <w:sz w:val="28"/>
              </w:rPr>
              <w:t>l artículo que otorga</w:t>
            </w:r>
            <w:r w:rsidRPr="003E425B">
              <w:rPr>
                <w:rFonts w:ascii="Times New Roman" w:hAnsi="Times New Roman" w:cs="Times New Roman"/>
                <w:sz w:val="28"/>
              </w:rPr>
              <w:t xml:space="preserve"> </w:t>
            </w:r>
            <w:r w:rsidRPr="003E425B">
              <w:rPr>
                <w:rFonts w:ascii="Times New Roman" w:hAnsi="Times New Roman" w:cs="Times New Roman"/>
                <w:sz w:val="28"/>
              </w:rPr>
              <w:t xml:space="preserve">dichas </w:t>
            </w:r>
            <w:r w:rsidRPr="003E425B">
              <w:rPr>
                <w:rFonts w:ascii="Times New Roman" w:hAnsi="Times New Roman" w:cs="Times New Roman"/>
                <w:sz w:val="28"/>
              </w:rPr>
              <w:t>facultade</w:t>
            </w:r>
            <w:r w:rsidRPr="003E425B">
              <w:rPr>
                <w:rFonts w:ascii="Times New Roman" w:hAnsi="Times New Roman" w:cs="Times New Roman"/>
                <w:sz w:val="28"/>
              </w:rPr>
              <w:t>s</w:t>
            </w:r>
            <w:r w:rsidRPr="003E425B">
              <w:rPr>
                <w:rFonts w:ascii="Times New Roman" w:hAnsi="Times New Roman" w:cs="Times New Roman"/>
                <w:sz w:val="28"/>
              </w:rPr>
              <w:t xml:space="preserve"> </w:t>
            </w:r>
            <w:r w:rsidRPr="003E425B">
              <w:rPr>
                <w:rFonts w:ascii="Times New Roman" w:hAnsi="Times New Roman" w:cs="Times New Roman"/>
                <w:sz w:val="28"/>
              </w:rPr>
              <w:t>fue aprobado por mayoría absoluta</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efecto</w:t>
            </w:r>
            <w:r w:rsidRPr="003E425B">
              <w:rPr>
                <w:rFonts w:ascii="Times New Roman" w:hAnsi="Times New Roman" w:cs="Times New Roman"/>
                <w:sz w:val="28"/>
              </w:rPr>
              <w:t xml:space="preserve">, “en la certificación allegada a la Corte por la secretaría de la Comisión primera de Cámara, [se advierte] que en </w:t>
            </w:r>
            <w:r w:rsidRPr="003E425B">
              <w:rPr>
                <w:rFonts w:ascii="Times New Roman" w:hAnsi="Times New Roman" w:cs="Times New Roman"/>
                <w:sz w:val="28"/>
              </w:rPr>
              <w:t>[la]</w:t>
            </w:r>
            <w:r w:rsidRPr="003E425B">
              <w:rPr>
                <w:rFonts w:ascii="Times New Roman" w:hAnsi="Times New Roman" w:cs="Times New Roman"/>
                <w:sz w:val="28"/>
              </w:rPr>
              <w:t xml:space="preserve"> comisión primera de Cámara la votación por el artículo 11 de la ponencia</w:t>
            </w:r>
            <w:r w:rsidRPr="003E425B">
              <w:rPr>
                <w:rFonts w:ascii="Times New Roman" w:hAnsi="Times New Roman" w:cs="Times New Roman"/>
                <w:sz w:val="28"/>
              </w:rPr>
              <w:t xml:space="preserve"> [12 de </w:t>
            </w:r>
            <w:r w:rsidRPr="003E425B">
              <w:rPr>
                <w:rFonts w:ascii="Times New Roman" w:hAnsi="Times New Roman" w:cs="Times New Roman"/>
                <w:sz w:val="28"/>
              </w:rPr>
              <w:t>la Ley]</w:t>
            </w:r>
            <w:r w:rsidRPr="003E425B">
              <w:rPr>
                <w:rFonts w:ascii="Times New Roman" w:hAnsi="Times New Roman" w:cs="Times New Roman"/>
                <w:sz w:val="28"/>
              </w:rPr>
              <w:t>, el cual concede las facultades extraordinarias, fue de 23 votos por el sí y 5 por el no, mientras que en Comisión Primera de Senado, como consta en el video de la sesión, la votación por dicho artículo fue de 14 votos por sí y 2 votos por el no, c</w:t>
            </w:r>
            <w:r w:rsidRPr="003E425B">
              <w:rPr>
                <w:rFonts w:ascii="Times New Roman" w:hAnsi="Times New Roman" w:cs="Times New Roman"/>
                <w:sz w:val="28"/>
              </w:rPr>
              <w:t>on lo cual se alcanzó ampliamente la mayoría absoluta de los votos de cada una de las comisiones</w:t>
            </w:r>
            <w:r w:rsidRPr="003E425B">
              <w:rPr>
                <w:rFonts w:ascii="Times New Roman" w:hAnsi="Times New Roman" w:cs="Times New Roman"/>
                <w:sz w:val="28"/>
              </w:rPr>
              <w:t>”</w:t>
            </w:r>
            <w:r w:rsidRPr="003E425B">
              <w:rPr>
                <w:rFonts w:ascii="Times New Roman" w:hAnsi="Times New Roman" w:cs="Times New Roman"/>
                <w:sz w:val="28"/>
              </w:rPr>
              <w:t>.</w:t>
            </w:r>
          </w:p>
        </w:tc>
        <w:tc>
          <w:tcPr>
            <w:tcW w:w="4821" w:type="dxa"/>
            <w:vAlign w:val="center"/>
          </w:tcPr>
          <w:p w:rsidR="00781F52" w:rsidRPr="003E425B" w:rsidRDefault="003E425B" w:rsidP="002528FF">
            <w:pPr>
              <w:rPr>
                <w:rFonts w:ascii="Times New Roman" w:hAnsi="Times New Roman" w:cs="Times New Roman"/>
                <w:sz w:val="28"/>
              </w:rPr>
            </w:pPr>
            <w:r w:rsidRPr="003E425B">
              <w:rPr>
                <w:rFonts w:ascii="Times New Roman" w:hAnsi="Times New Roman" w:cs="Times New Roman"/>
                <w:sz w:val="28"/>
              </w:rPr>
              <w:t>Las facultades concedidas al ejecutivo son precisas y claras</w:t>
            </w:r>
            <w:r w:rsidRPr="003E425B">
              <w:rPr>
                <w:rFonts w:ascii="Times New Roman" w:hAnsi="Times New Roman" w:cs="Times New Roman"/>
                <w:sz w:val="28"/>
              </w:rPr>
              <w:t>, porque la materia a la que se refieren es determinable.</w:t>
            </w:r>
            <w:r w:rsidRPr="003E425B">
              <w:rPr>
                <w:rFonts w:ascii="Times New Roman" w:hAnsi="Times New Roman" w:cs="Times New Roman"/>
                <w:sz w:val="28"/>
              </w:rPr>
              <w:t xml:space="preserve"> </w:t>
            </w:r>
            <w:r w:rsidRPr="003E425B">
              <w:rPr>
                <w:rFonts w:ascii="Times New Roman" w:hAnsi="Times New Roman" w:cs="Times New Roman"/>
                <w:sz w:val="28"/>
              </w:rPr>
              <w:t xml:space="preserve">La fórmula general “integrar al Sector </w:t>
            </w:r>
            <w:r w:rsidRPr="003E425B">
              <w:rPr>
                <w:rFonts w:ascii="Times New Roman" w:hAnsi="Times New Roman" w:cs="Times New Roman"/>
                <w:sz w:val="28"/>
              </w:rPr>
              <w:t>de Igualdad y Equidad con las entidades que defina como adscritas o vinculadas”, es determinable, pues</w:t>
            </w:r>
            <w:r w:rsidRPr="003E425B">
              <w:rPr>
                <w:rFonts w:ascii="Times New Roman" w:hAnsi="Times New Roman" w:cs="Times New Roman"/>
                <w:sz w:val="28"/>
              </w:rPr>
              <w:t xml:space="preserve"> el artículo 42 de la Ley 489 de 1998</w:t>
            </w:r>
            <w:r w:rsidRPr="003E425B">
              <w:rPr>
                <w:rFonts w:ascii="Times New Roman" w:hAnsi="Times New Roman" w:cs="Times New Roman"/>
                <w:sz w:val="28"/>
              </w:rPr>
              <w:t xml:space="preserve"> </w:t>
            </w:r>
            <w:r w:rsidRPr="003E425B">
              <w:rPr>
                <w:rFonts w:ascii="Times New Roman" w:hAnsi="Times New Roman" w:cs="Times New Roman"/>
                <w:sz w:val="28"/>
              </w:rPr>
              <w:t>(</w:t>
            </w:r>
            <w:r w:rsidRPr="003E425B">
              <w:rPr>
                <w:rFonts w:ascii="Times New Roman" w:hAnsi="Times New Roman" w:cs="Times New Roman"/>
                <w:sz w:val="28"/>
              </w:rPr>
              <w:t>orgánica de la Administración Pública</w:t>
            </w:r>
            <w:r w:rsidRPr="003E425B">
              <w:rPr>
                <w:rFonts w:ascii="Times New Roman" w:hAnsi="Times New Roman" w:cs="Times New Roman"/>
                <w:sz w:val="28"/>
              </w:rPr>
              <w:t>)</w:t>
            </w:r>
            <w:r w:rsidRPr="003E425B">
              <w:rPr>
                <w:rFonts w:ascii="Times New Roman" w:hAnsi="Times New Roman" w:cs="Times New Roman"/>
                <w:sz w:val="28"/>
              </w:rPr>
              <w:t xml:space="preserve"> explica </w:t>
            </w:r>
            <w:r w:rsidRPr="003E425B">
              <w:rPr>
                <w:rFonts w:ascii="Times New Roman" w:hAnsi="Times New Roman" w:cs="Times New Roman"/>
                <w:sz w:val="28"/>
              </w:rPr>
              <w:t>cómo está integrado un sector administrativo</w:t>
            </w:r>
            <w:r w:rsidRPr="003E425B">
              <w:rPr>
                <w:rFonts w:ascii="Times New Roman" w:hAnsi="Times New Roman" w:cs="Times New Roman"/>
                <w:sz w:val="28"/>
              </w:rPr>
              <w:t>. Además, e</w:t>
            </w:r>
            <w:r w:rsidRPr="003E425B">
              <w:rPr>
                <w:rFonts w:ascii="Times New Roman" w:hAnsi="Times New Roman" w:cs="Times New Roman"/>
                <w:sz w:val="28"/>
              </w:rPr>
              <w:t>l artículo 68</w:t>
            </w:r>
            <w:r w:rsidRPr="003E425B">
              <w:rPr>
                <w:rFonts w:ascii="Times New Roman" w:hAnsi="Times New Roman" w:cs="Times New Roman"/>
                <w:sz w:val="28"/>
              </w:rPr>
              <w:t xml:space="preserve"> </w:t>
            </w:r>
            <w:r w:rsidRPr="003E425B">
              <w:rPr>
                <w:rFonts w:ascii="Times New Roman" w:hAnsi="Times New Roman" w:cs="Times New Roman"/>
                <w:i/>
                <w:iCs/>
                <w:sz w:val="28"/>
              </w:rPr>
              <w:t>ejusdem</w:t>
            </w:r>
            <w:r w:rsidRPr="003E425B">
              <w:rPr>
                <w:rFonts w:ascii="Times New Roman" w:hAnsi="Times New Roman" w:cs="Times New Roman"/>
                <w:sz w:val="28"/>
              </w:rPr>
              <w:t xml:space="preserve"> contempla la tipología de entidades que están adscritas o vinculadas a un Ministerio.</w:t>
            </w:r>
            <w:r w:rsidRPr="003E425B">
              <w:rPr>
                <w:rFonts w:ascii="Times New Roman" w:hAnsi="Times New Roman" w:cs="Times New Roman"/>
                <w:sz w:val="28"/>
              </w:rPr>
              <w:t xml:space="preserve"> Así mismo, el parágrafo del artículo 50 de la misma Ley contempla cuáles entidades son adscritas y cuáles son vinculadas a un organismo principal de la administr</w:t>
            </w:r>
            <w:r w:rsidRPr="003E425B">
              <w:rPr>
                <w:rFonts w:ascii="Times New Roman" w:hAnsi="Times New Roman" w:cs="Times New Roman"/>
                <w:sz w:val="28"/>
              </w:rPr>
              <w:t>ación.</w:t>
            </w:r>
          </w:p>
          <w:p w:rsidR="007426E2" w:rsidRPr="003E425B" w:rsidRDefault="003E425B" w:rsidP="00341813">
            <w:pPr>
              <w:rPr>
                <w:rFonts w:ascii="Times New Roman" w:hAnsi="Times New Roman" w:cs="Times New Roman"/>
                <w:sz w:val="28"/>
              </w:rPr>
            </w:pP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r w:rsidRPr="003E425B">
              <w:rPr>
                <w:rFonts w:ascii="Times New Roman" w:hAnsi="Times New Roman" w:cs="Times New Roman"/>
                <w:sz w:val="28"/>
              </w:rPr>
              <w:t xml:space="preserve"> e inhibición</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7</w:t>
            </w:r>
          </w:p>
        </w:tc>
        <w:tc>
          <w:tcPr>
            <w:tcW w:w="2712" w:type="dxa"/>
            <w:vAlign w:val="center"/>
          </w:tcPr>
          <w:p w:rsidR="007426E2" w:rsidRPr="003E425B" w:rsidRDefault="003E425B" w:rsidP="007426E2">
            <w:pPr>
              <w:jc w:val="center"/>
              <w:rPr>
                <w:rFonts w:ascii="Times New Roman" w:hAnsi="Times New Roman" w:cs="Times New Roman"/>
                <w:sz w:val="28"/>
              </w:rPr>
            </w:pPr>
            <w:r w:rsidRPr="003E425B">
              <w:rPr>
                <w:rFonts w:ascii="Times New Roman" w:eastAsia="Times New Roman" w:hAnsi="Times New Roman" w:cs="Times New Roman"/>
                <w:color w:val="000000"/>
                <w:sz w:val="28"/>
              </w:rPr>
              <w:t>Comisión Colombiana de Juristas</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w:t>
            </w:r>
            <w:r w:rsidRPr="003E425B">
              <w:rPr>
                <w:rFonts w:ascii="Times New Roman" w:hAnsi="Times New Roman" w:cs="Times New Roman"/>
                <w:sz w:val="28"/>
              </w:rPr>
              <w:t xml:space="preserve">trámite legislativo satisfizo la carga de análisis </w:t>
            </w:r>
            <w:r w:rsidRPr="003E425B">
              <w:rPr>
                <w:rFonts w:ascii="Times New Roman" w:hAnsi="Times New Roman" w:cs="Times New Roman"/>
                <w:sz w:val="28"/>
              </w:rPr>
              <w:t>de impacto fiscal que exige la jurisprudencia.</w:t>
            </w:r>
            <w:r w:rsidRPr="003E425B">
              <w:rPr>
                <w:rFonts w:ascii="Times New Roman" w:hAnsi="Times New Roman" w:cs="Times New Roman"/>
                <w:sz w:val="28"/>
              </w:rPr>
              <w:t xml:space="preserve"> Conforme a la jurisprudencia correspondía al Congreso (i) valorar y analizar los conceptos del Ministerio de Hacienda y (ii) discutir el impacto a partir de las propuestas y exposiciones de motivos del proyecto de ley.</w:t>
            </w:r>
            <w:r w:rsidRPr="003E425B">
              <w:rPr>
                <w:rFonts w:ascii="Times New Roman" w:hAnsi="Times New Roman" w:cs="Times New Roman"/>
                <w:sz w:val="28"/>
              </w:rPr>
              <w:t xml:space="preserve"> </w:t>
            </w:r>
            <w:r w:rsidRPr="003E425B">
              <w:rPr>
                <w:rFonts w:ascii="Times New Roman" w:hAnsi="Times New Roman" w:cs="Times New Roman"/>
                <w:sz w:val="28"/>
              </w:rPr>
              <w:t>La supuesta insuficiencia de los arg</w:t>
            </w:r>
            <w:r w:rsidRPr="003E425B">
              <w:rPr>
                <w:rFonts w:ascii="Times New Roman" w:hAnsi="Times New Roman" w:cs="Times New Roman"/>
                <w:sz w:val="28"/>
              </w:rPr>
              <w:t xml:space="preserve">umentos de la exposición de motivos y el concepto del Ministerio de Hacienda y Crédito Público no obsta para considerar que se transgredió el deber constitucional </w:t>
            </w:r>
            <w:r w:rsidRPr="003E425B">
              <w:rPr>
                <w:rFonts w:ascii="Times New Roman" w:hAnsi="Times New Roman" w:cs="Times New Roman"/>
                <w:sz w:val="28"/>
              </w:rPr>
              <w:t>de estudiar el impacto fiscal. De hecho, calificar la discusión como insuficiente demuestra q</w:t>
            </w:r>
            <w:r w:rsidRPr="003E425B">
              <w:rPr>
                <w:rFonts w:ascii="Times New Roman" w:hAnsi="Times New Roman" w:cs="Times New Roman"/>
                <w:sz w:val="28"/>
              </w:rPr>
              <w:t xml:space="preserve">ue </w:t>
            </w:r>
            <w:r w:rsidRPr="003E425B">
              <w:rPr>
                <w:rFonts w:ascii="Times New Roman" w:hAnsi="Times New Roman" w:cs="Times New Roman"/>
                <w:sz w:val="28"/>
              </w:rPr>
              <w:t>ella ocurrió.</w:t>
            </w:r>
          </w:p>
          <w:p w:rsidR="007426E2" w:rsidRPr="003E425B" w:rsidRDefault="003E425B" w:rsidP="00143D7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 xml:space="preserve">La ley fue aprobada por las mayorías exigidas por la ley. </w:t>
            </w:r>
            <w:r w:rsidRPr="003E425B">
              <w:rPr>
                <w:rFonts w:ascii="Times New Roman" w:hAnsi="Times New Roman" w:cs="Times New Roman"/>
                <w:sz w:val="28"/>
              </w:rPr>
              <w:t>El hecho de que en una ley se concedan facultades extraordinarias al Presidente, no obliga que la totalidad de la ley deba ser aprobada con mayorías absolutas</w:t>
            </w:r>
            <w:r w:rsidRPr="003E425B">
              <w:rPr>
                <w:rFonts w:ascii="Times New Roman" w:hAnsi="Times New Roman" w:cs="Times New Roman"/>
                <w:sz w:val="28"/>
              </w:rPr>
              <w:t xml:space="preserve"> (C-</w:t>
            </w:r>
            <w:r w:rsidRPr="003E425B">
              <w:rPr>
                <w:rFonts w:ascii="Times New Roman" w:hAnsi="Times New Roman" w:cs="Times New Roman"/>
                <w:sz w:val="28"/>
              </w:rPr>
              <w:t>092</w:t>
            </w:r>
            <w:r w:rsidRPr="003E425B">
              <w:rPr>
                <w:rFonts w:ascii="Times New Roman" w:hAnsi="Times New Roman" w:cs="Times New Roman"/>
                <w:sz w:val="28"/>
              </w:rPr>
              <w:t xml:space="preserve"> de 2022</w:t>
            </w:r>
            <w:r w:rsidRPr="003E425B">
              <w:rPr>
                <w:rFonts w:ascii="Times New Roman" w:hAnsi="Times New Roman" w:cs="Times New Roman"/>
                <w:sz w:val="28"/>
              </w:rPr>
              <w:t>)</w:t>
            </w:r>
            <w:r w:rsidRPr="003E425B">
              <w:rPr>
                <w:rFonts w:ascii="Times New Roman" w:hAnsi="Times New Roman" w:cs="Times New Roman"/>
                <w:sz w:val="28"/>
              </w:rPr>
              <w:t>. Basta con que el artículo que las concede acredite ese requisito</w:t>
            </w:r>
            <w:r w:rsidRPr="003E425B">
              <w:rPr>
                <w:rFonts w:ascii="Times New Roman" w:hAnsi="Times New Roman" w:cs="Times New Roman"/>
                <w:sz w:val="28"/>
              </w:rPr>
              <w:t>, como ocurrió en el presente caso</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 xml:space="preserve"> </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 xml:space="preserve">La facultades concedidas no son indeterminadas ni ilimitadas. </w:t>
            </w:r>
            <w:r w:rsidRPr="003E425B">
              <w:rPr>
                <w:rFonts w:ascii="Times New Roman" w:hAnsi="Times New Roman" w:cs="Times New Roman"/>
                <w:sz w:val="28"/>
              </w:rPr>
              <w:t>Estas están circunscritas al desarrollo de dos actividades</w:t>
            </w:r>
            <w:r w:rsidRPr="003E425B">
              <w:rPr>
                <w:rFonts w:ascii="Times New Roman" w:hAnsi="Times New Roman" w:cs="Times New Roman"/>
                <w:sz w:val="28"/>
              </w:rPr>
              <w:t>, de un lado adscrib</w:t>
            </w:r>
            <w:r w:rsidRPr="003E425B">
              <w:rPr>
                <w:rFonts w:ascii="Times New Roman" w:hAnsi="Times New Roman" w:cs="Times New Roman"/>
                <w:sz w:val="28"/>
              </w:rPr>
              <w:t xml:space="preserve">ir y, de otro, vincular a entidades a la conformación del Sector de Igualdad y Equidad, a través de la expedición de normas con fuerza material de ley. La adscripción y la vinculación han sido definidas por la </w:t>
            </w:r>
            <w:r w:rsidRPr="003E425B">
              <w:rPr>
                <w:rFonts w:ascii="Times New Roman" w:hAnsi="Times New Roman" w:cs="Times New Roman"/>
                <w:sz w:val="28"/>
              </w:rPr>
              <w:t xml:space="preserve">jurisprudencia. Además dichas facultades </w:t>
            </w:r>
            <w:r w:rsidRPr="003E425B">
              <w:rPr>
                <w:rFonts w:ascii="Times New Roman" w:hAnsi="Times New Roman" w:cs="Times New Roman"/>
                <w:sz w:val="28"/>
              </w:rPr>
              <w:t>cuentan con un límite temporal de 6 meses para ser ejercidas.</w:t>
            </w:r>
            <w:r w:rsidRPr="003E425B">
              <w:rPr>
                <w:rFonts w:ascii="Times New Roman" w:hAnsi="Times New Roman" w:cs="Times New Roman"/>
                <w:sz w:val="28"/>
              </w:rPr>
              <w:t xml:space="preserve"> En estos términos, el cargo </w:t>
            </w:r>
            <w:r w:rsidRPr="003E425B">
              <w:rPr>
                <w:rFonts w:ascii="Times New Roman" w:hAnsi="Times New Roman" w:cs="Times New Roman"/>
                <w:sz w:val="28"/>
              </w:rPr>
              <w:t>“</w:t>
            </w:r>
            <w:r w:rsidRPr="003E425B">
              <w:rPr>
                <w:rFonts w:ascii="Times New Roman" w:hAnsi="Times New Roman" w:cs="Times New Roman"/>
                <w:sz w:val="28"/>
              </w:rPr>
              <w:t>no consulta al texto e interpretación posible y razonable de la norma, al contrario, parece fundarse en fundamentos alarmistas y arbitrarios que no se desprenden del</w:t>
            </w:r>
            <w:r w:rsidRPr="003E425B">
              <w:rPr>
                <w:rFonts w:ascii="Times New Roman" w:hAnsi="Times New Roman" w:cs="Times New Roman"/>
                <w:sz w:val="28"/>
              </w:rPr>
              <w:t xml:space="preserve"> contenido del texto del artículo demandado</w:t>
            </w:r>
            <w:r w:rsidRPr="003E425B">
              <w:rPr>
                <w:rFonts w:ascii="Times New Roman" w:hAnsi="Times New Roman" w:cs="Times New Roman"/>
                <w:sz w:val="28"/>
              </w:rPr>
              <w:t>”</w:t>
            </w:r>
            <w:r w:rsidRPr="003E425B">
              <w:rPr>
                <w:rFonts w:ascii="Times New Roman" w:hAnsi="Times New Roman" w:cs="Times New Roman"/>
                <w:sz w:val="28"/>
              </w:rPr>
              <w:t>.</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8</w:t>
            </w:r>
          </w:p>
        </w:tc>
        <w:tc>
          <w:tcPr>
            <w:tcW w:w="2712" w:type="dxa"/>
            <w:vAlign w:val="center"/>
          </w:tcPr>
          <w:p w:rsidR="007426E2" w:rsidRPr="003E425B" w:rsidRDefault="003E425B" w:rsidP="007426E2">
            <w:pPr>
              <w:jc w:val="center"/>
              <w:rPr>
                <w:rFonts w:ascii="Times New Roman" w:hAnsi="Times New Roman" w:cs="Times New Roman"/>
                <w:sz w:val="28"/>
              </w:rPr>
            </w:pPr>
            <w:r w:rsidRPr="003E425B">
              <w:rPr>
                <w:rFonts w:ascii="Times New Roman" w:eastAsia="Times New Roman" w:hAnsi="Times New Roman" w:cs="Times New Roman"/>
                <w:color w:val="000000"/>
                <w:sz w:val="28"/>
              </w:rPr>
              <w:t>Universidad Libre</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Impacto Fiscal.</w:t>
            </w:r>
            <w:r w:rsidRPr="003E425B">
              <w:rPr>
                <w:rFonts w:ascii="Times New Roman" w:hAnsi="Times New Roman" w:cs="Times New Roman"/>
                <w:i/>
                <w:iCs/>
                <w:sz w:val="28"/>
              </w:rPr>
              <w:t xml:space="preserve"> </w:t>
            </w:r>
            <w:r w:rsidRPr="003E425B">
              <w:rPr>
                <w:rFonts w:ascii="Times New Roman" w:hAnsi="Times New Roman" w:cs="Times New Roman"/>
                <w:sz w:val="28"/>
              </w:rPr>
              <w:t>No es claro que este deber haya sido satisfecho,</w:t>
            </w:r>
            <w:r w:rsidRPr="003E425B">
              <w:rPr>
                <w:rFonts w:ascii="Times New Roman" w:hAnsi="Times New Roman" w:cs="Times New Roman"/>
                <w:sz w:val="28"/>
              </w:rPr>
              <w:t xml:space="preserve"> razón por la cual la Corte deberá determinarlo</w:t>
            </w:r>
            <w:r w:rsidRPr="003E425B">
              <w:rPr>
                <w:rFonts w:ascii="Times New Roman" w:hAnsi="Times New Roman" w:cs="Times New Roman"/>
                <w:sz w:val="28"/>
              </w:rPr>
              <w:t xml:space="preserve">. </w:t>
            </w:r>
            <w:r w:rsidRPr="003E425B">
              <w:rPr>
                <w:rFonts w:ascii="Times New Roman" w:hAnsi="Times New Roman" w:cs="Times New Roman"/>
                <w:sz w:val="28"/>
              </w:rPr>
              <w:t>L</w:t>
            </w:r>
            <w:r w:rsidRPr="003E425B">
              <w:rPr>
                <w:rFonts w:ascii="Times New Roman" w:hAnsi="Times New Roman" w:cs="Times New Roman"/>
                <w:sz w:val="28"/>
              </w:rPr>
              <w:t xml:space="preserve">os argumentos de los demandantes </w:t>
            </w:r>
            <w:r w:rsidRPr="003E425B">
              <w:rPr>
                <w:rFonts w:ascii="Times New Roman" w:hAnsi="Times New Roman" w:cs="Times New Roman"/>
                <w:sz w:val="28"/>
              </w:rPr>
              <w:t>“</w:t>
            </w:r>
            <w:r w:rsidRPr="003E425B">
              <w:rPr>
                <w:rFonts w:ascii="Times New Roman" w:hAnsi="Times New Roman" w:cs="Times New Roman"/>
                <w:sz w:val="28"/>
              </w:rPr>
              <w:t xml:space="preserve">están basados en su </w:t>
            </w:r>
            <w:r w:rsidRPr="003E425B">
              <w:rPr>
                <w:rFonts w:ascii="Times New Roman" w:hAnsi="Times New Roman" w:cs="Times New Roman"/>
                <w:sz w:val="28"/>
              </w:rPr>
              <w:t>inconformidad política y en su oposición como parte de un sector del Congreso en contra de las explicaciones rendidas durante el trámite legislativo sobre las fuentes de financiamiento y el costo de las medidas adoptadas por la Ley demandada</w:t>
            </w:r>
            <w:r w:rsidRPr="003E425B">
              <w:rPr>
                <w:rFonts w:ascii="Times New Roman" w:hAnsi="Times New Roman" w:cs="Times New Roman"/>
                <w:sz w:val="28"/>
              </w:rPr>
              <w:t>”.</w:t>
            </w:r>
            <w:r w:rsidRPr="003E425B">
              <w:rPr>
                <w:rFonts w:ascii="Times New Roman" w:hAnsi="Times New Roman" w:cs="Times New Roman"/>
                <w:sz w:val="28"/>
              </w:rPr>
              <w:t xml:space="preserve"> Sin embargo, el concepto del MHCP </w:t>
            </w:r>
            <w:r w:rsidRPr="003E425B">
              <w:rPr>
                <w:rFonts w:ascii="Times New Roman" w:hAnsi="Times New Roman" w:cs="Times New Roman"/>
                <w:sz w:val="28"/>
              </w:rPr>
              <w:t xml:space="preserve">no ilustra de forma suficiente </w:t>
            </w:r>
            <w:r w:rsidRPr="003E425B">
              <w:rPr>
                <w:rFonts w:ascii="Times New Roman" w:hAnsi="Times New Roman" w:cs="Times New Roman"/>
                <w:sz w:val="28"/>
              </w:rPr>
              <w:t xml:space="preserve">el impacto fiscal que tendrá la norma. Por tanto, la Corte deberá determinar si la estimación el costo del Ministerio </w:t>
            </w:r>
            <w:r w:rsidRPr="003E425B">
              <w:rPr>
                <w:rFonts w:ascii="Times New Roman" w:hAnsi="Times New Roman" w:cs="Times New Roman"/>
                <w:sz w:val="28"/>
              </w:rPr>
              <w:t>es suficiente para entender satisfecho el análisis de impacto fiscal que</w:t>
            </w:r>
            <w:r w:rsidRPr="003E425B">
              <w:rPr>
                <w:rFonts w:ascii="Times New Roman" w:hAnsi="Times New Roman" w:cs="Times New Roman"/>
                <w:sz w:val="28"/>
              </w:rPr>
              <w:t xml:space="preserve"> correspondía hacer al Congreso.</w:t>
            </w:r>
          </w:p>
          <w:p w:rsidR="007426E2" w:rsidRPr="003E425B" w:rsidRDefault="003E425B" w:rsidP="00143D76">
            <w:pPr>
              <w:numPr>
                <w:ilvl w:val="0"/>
                <w:numId w:val="44"/>
              </w:numPr>
              <w:ind w:left="0" w:firstLine="0"/>
              <w:rPr>
                <w:rFonts w:ascii="Times New Roman" w:hAnsi="Times New Roman" w:cs="Times New Roman"/>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 xml:space="preserve">La ley fue aprobada por las mayorías exigidas por la ley. </w:t>
            </w:r>
            <w:r w:rsidRPr="003E425B">
              <w:rPr>
                <w:rFonts w:ascii="Times New Roman" w:hAnsi="Times New Roman" w:cs="Times New Roman"/>
                <w:sz w:val="28"/>
              </w:rPr>
              <w:t>L</w:t>
            </w:r>
            <w:r w:rsidRPr="003E425B">
              <w:rPr>
                <w:rFonts w:ascii="Times New Roman" w:hAnsi="Times New Roman" w:cs="Times New Roman"/>
                <w:sz w:val="28"/>
              </w:rPr>
              <w:t>a inclusión de un artículo que otorgue facultades extraordinarias en un proyecto de ley ordinaria no obliga a que la totalidad de la ley deba ser</w:t>
            </w:r>
            <w:r w:rsidRPr="003E425B">
              <w:rPr>
                <w:rFonts w:ascii="Times New Roman" w:hAnsi="Times New Roman" w:cs="Times New Roman"/>
                <w:sz w:val="28"/>
              </w:rPr>
              <w:t xml:space="preserve"> aprobada por mayoría absoluta</w:t>
            </w:r>
            <w:r w:rsidRPr="003E425B">
              <w:rPr>
                <w:rFonts w:ascii="Times New Roman" w:hAnsi="Times New Roman" w:cs="Times New Roman"/>
                <w:sz w:val="28"/>
              </w:rPr>
              <w:t xml:space="preserve"> (C-092 de 2020). </w:t>
            </w:r>
            <w:r w:rsidRPr="003E425B">
              <w:rPr>
                <w:rFonts w:ascii="Times New Roman" w:hAnsi="Times New Roman" w:cs="Times New Roman"/>
                <w:sz w:val="28"/>
              </w:rPr>
              <w:t>La sentencia C-816 de 2004 citada por los demandantes no puede ser aplicada al caso concreto en la medida en que, en esa providencia la Corte Constitucional analizó la constitucionalidad de un de un acto legi</w:t>
            </w:r>
            <w:r w:rsidRPr="003E425B">
              <w:rPr>
                <w:rFonts w:ascii="Times New Roman" w:hAnsi="Times New Roman" w:cs="Times New Roman"/>
                <w:sz w:val="28"/>
              </w:rPr>
              <w:t xml:space="preserve">slativo </w:t>
            </w:r>
            <w:r w:rsidRPr="003E425B">
              <w:rPr>
                <w:rFonts w:ascii="Times New Roman" w:hAnsi="Times New Roman" w:cs="Times New Roman"/>
                <w:sz w:val="28"/>
              </w:rPr>
              <w:t>cuyo propósito es el de</w:t>
            </w:r>
            <w:r w:rsidRPr="003E425B">
              <w:rPr>
                <w:rFonts w:ascii="Times New Roman" w:hAnsi="Times New Roman" w:cs="Times New Roman"/>
                <w:sz w:val="28"/>
              </w:rPr>
              <w:t xml:space="preserve"> reformar la Constitución Política, lo que no sucede en el presente caso.</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Las facultades concedidas al ejecutivo son precisas y claras</w:t>
            </w:r>
            <w:r w:rsidRPr="003E425B">
              <w:rPr>
                <w:rFonts w:ascii="Times New Roman" w:hAnsi="Times New Roman" w:cs="Times New Roman"/>
                <w:sz w:val="28"/>
              </w:rPr>
              <w:t>. No debe confundirse la falta de precisión o claridad con el u</w:t>
            </w:r>
            <w:r w:rsidRPr="003E425B">
              <w:rPr>
                <w:rFonts w:ascii="Times New Roman" w:hAnsi="Times New Roman" w:cs="Times New Roman"/>
                <w:sz w:val="28"/>
              </w:rPr>
              <w:t>s</w:t>
            </w:r>
            <w:r w:rsidRPr="003E425B">
              <w:rPr>
                <w:rFonts w:ascii="Times New Roman" w:hAnsi="Times New Roman" w:cs="Times New Roman"/>
                <w:sz w:val="28"/>
              </w:rPr>
              <w:t>o de formas lingüísticas ge</w:t>
            </w:r>
            <w:r w:rsidRPr="003E425B">
              <w:rPr>
                <w:rFonts w:ascii="Times New Roman" w:hAnsi="Times New Roman" w:cs="Times New Roman"/>
                <w:sz w:val="28"/>
              </w:rPr>
              <w:t>nerales</w:t>
            </w:r>
            <w:r w:rsidRPr="003E425B">
              <w:rPr>
                <w:rFonts w:ascii="Times New Roman" w:hAnsi="Times New Roman" w:cs="Times New Roman"/>
                <w:sz w:val="28"/>
              </w:rPr>
              <w:t>.</w:t>
            </w:r>
            <w:r w:rsidRPr="003E425B">
              <w:rPr>
                <w:rFonts w:ascii="Times New Roman" w:hAnsi="Times New Roman" w:cs="Times New Roman"/>
                <w:sz w:val="28"/>
              </w:rPr>
              <w:t xml:space="preserve"> El Congreso no está obligado a </w:t>
            </w:r>
            <w:r w:rsidRPr="003E425B">
              <w:rPr>
                <w:rFonts w:ascii="Times New Roman" w:hAnsi="Times New Roman" w:cs="Times New Roman"/>
                <w:sz w:val="28"/>
              </w:rPr>
              <w:t>realizar “una limitación absoluta ni rigurosa que obligue al Congreso a definir en forma meticulosa el contenido de los asuntos materia de regulación normativa”</w:t>
            </w:r>
            <w:r w:rsidRPr="003E425B">
              <w:rPr>
                <w:rFonts w:ascii="Times New Roman" w:hAnsi="Times New Roman" w:cs="Times New Roman"/>
                <w:sz w:val="28"/>
              </w:rPr>
              <w:t xml:space="preserve"> (C-032 de 1999)</w:t>
            </w:r>
            <w:r w:rsidRPr="003E425B">
              <w:rPr>
                <w:rFonts w:ascii="Times New Roman" w:hAnsi="Times New Roman" w:cs="Times New Roman"/>
                <w:sz w:val="28"/>
              </w:rPr>
              <w:t>.</w:t>
            </w:r>
            <w:r w:rsidRPr="003E425B">
              <w:rPr>
                <w:rFonts w:ascii="Times New Roman" w:hAnsi="Times New Roman" w:cs="Times New Roman"/>
                <w:sz w:val="28"/>
              </w:rPr>
              <w:t xml:space="preserve"> En el presente caso, las facultades otorgadas se limitan a </w:t>
            </w:r>
            <w:r w:rsidRPr="003E425B">
              <w:rPr>
                <w:rFonts w:ascii="Times New Roman" w:hAnsi="Times New Roman" w:cs="Times New Roman"/>
                <w:sz w:val="28"/>
              </w:rPr>
              <w:t>permitir</w:t>
            </w:r>
            <w:r w:rsidRPr="003E425B">
              <w:rPr>
                <w:rFonts w:ascii="Times New Roman" w:hAnsi="Times New Roman" w:cs="Times New Roman"/>
                <w:sz w:val="28"/>
              </w:rPr>
              <w:t xml:space="preserve"> integrar el </w:t>
            </w:r>
            <w:r w:rsidRPr="003E425B">
              <w:rPr>
                <w:rFonts w:ascii="Times New Roman" w:hAnsi="Times New Roman" w:cs="Times New Roman"/>
                <w:sz w:val="28"/>
              </w:rPr>
              <w:t>Sector de Igualdad y Equidad “</w:t>
            </w:r>
            <w:r w:rsidRPr="003E425B">
              <w:rPr>
                <w:rFonts w:ascii="Times New Roman" w:hAnsi="Times New Roman" w:cs="Times New Roman"/>
                <w:sz w:val="28"/>
              </w:rPr>
              <w:t>i) adscribiendo y ii) vinculando a este las entidades que permitan conformarlo</w:t>
            </w:r>
            <w:r w:rsidRPr="003E425B">
              <w:rPr>
                <w:rFonts w:ascii="Times New Roman" w:hAnsi="Times New Roman" w:cs="Times New Roman"/>
                <w:sz w:val="28"/>
              </w:rPr>
              <w:t>”</w:t>
            </w:r>
            <w:r w:rsidRPr="003E425B">
              <w:rPr>
                <w:rFonts w:ascii="Times New Roman" w:hAnsi="Times New Roman" w:cs="Times New Roman"/>
                <w:sz w:val="28"/>
              </w:rPr>
              <w:t>.</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9</w:t>
            </w:r>
          </w:p>
        </w:tc>
        <w:tc>
          <w:tcPr>
            <w:tcW w:w="2712" w:type="dxa"/>
            <w:vAlign w:val="center"/>
          </w:tcPr>
          <w:p w:rsidR="007426E2" w:rsidRPr="003E425B" w:rsidRDefault="003E425B" w:rsidP="007426E2">
            <w:pPr>
              <w:jc w:val="center"/>
              <w:rPr>
                <w:rFonts w:ascii="Times New Roman" w:hAnsi="Times New Roman" w:cs="Times New Roman"/>
                <w:sz w:val="28"/>
              </w:rPr>
            </w:pPr>
            <w:r w:rsidRPr="003E425B">
              <w:rPr>
                <w:rFonts w:ascii="Times New Roman" w:eastAsia="Times New Roman" w:hAnsi="Times New Roman" w:cs="Times New Roman"/>
                <w:color w:val="000000"/>
                <w:sz w:val="28"/>
              </w:rPr>
              <w:t>Universidad del Bosque</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El Congr</w:t>
            </w:r>
            <w:r w:rsidRPr="003E425B">
              <w:rPr>
                <w:rFonts w:ascii="Times New Roman" w:hAnsi="Times New Roman" w:cs="Times New Roman"/>
                <w:sz w:val="28"/>
              </w:rPr>
              <w:t xml:space="preserve">eso evaluó </w:t>
            </w:r>
            <w:r w:rsidRPr="003E425B">
              <w:rPr>
                <w:rFonts w:ascii="Times New Roman" w:hAnsi="Times New Roman" w:cs="Times New Roman"/>
                <w:sz w:val="28"/>
              </w:rPr>
              <w:t>el impacto fiscal de la medida.</w:t>
            </w:r>
            <w:r w:rsidRPr="003E425B">
              <w:rPr>
                <w:rFonts w:ascii="Times New Roman" w:hAnsi="Times New Roman" w:cs="Times New Roman"/>
                <w:sz w:val="28"/>
              </w:rPr>
              <w:t xml:space="preserve"> </w:t>
            </w:r>
            <w:r w:rsidRPr="003E425B">
              <w:rPr>
                <w:rFonts w:ascii="Times New Roman" w:hAnsi="Times New Roman" w:cs="Times New Roman"/>
                <w:sz w:val="28"/>
              </w:rPr>
              <w:t>El Ministerio de la Igualdad “contribuiría a mejorar la sostenibilidad fiscal al promover la inclusión y la participación efectiva de los grupos vulnerables o discriminados, lo cual generaría mayor crecimiento eco</w:t>
            </w:r>
            <w:r w:rsidRPr="003E425B">
              <w:rPr>
                <w:rFonts w:ascii="Times New Roman" w:hAnsi="Times New Roman" w:cs="Times New Roman"/>
                <w:sz w:val="28"/>
              </w:rPr>
              <w:t>nómico, mayor recaudo tributario y menor gasto social”</w:t>
            </w:r>
            <w:r w:rsidRPr="003E425B">
              <w:rPr>
                <w:rFonts w:ascii="Times New Roman" w:hAnsi="Times New Roman" w:cs="Times New Roman"/>
                <w:sz w:val="28"/>
              </w:rPr>
              <w:t>. Por lo tanto, la creación del Ministerio de Equidad e Igualdad es una medida que respeta el principio constitucional de sostenibilidad fiscal</w:t>
            </w:r>
            <w:r w:rsidRPr="003E425B">
              <w:rPr>
                <w:rFonts w:ascii="Times New Roman" w:hAnsi="Times New Roman" w:cs="Times New Roman"/>
                <w:sz w:val="28"/>
              </w:rPr>
              <w:t>.</w:t>
            </w:r>
            <w:r w:rsidRPr="003E425B">
              <w:rPr>
                <w:rFonts w:ascii="Times New Roman" w:hAnsi="Times New Roman" w:cs="Times New Roman"/>
                <w:sz w:val="28"/>
              </w:rPr>
              <w:t xml:space="preserve"> </w:t>
            </w:r>
          </w:p>
          <w:p w:rsidR="007426E2"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 xml:space="preserve">En el presente caso, no se logró </w:t>
            </w:r>
            <w:r w:rsidRPr="003E425B">
              <w:rPr>
                <w:rFonts w:ascii="Times New Roman" w:hAnsi="Times New Roman" w:cs="Times New Roman"/>
                <w:sz w:val="28"/>
              </w:rPr>
              <w:t>probar que se disolvió el quórum de la sesión conjunta de las comisiones</w:t>
            </w:r>
            <w:r w:rsidRPr="003E425B">
              <w:rPr>
                <w:rFonts w:ascii="Times New Roman" w:hAnsi="Times New Roman" w:cs="Times New Roman"/>
                <w:sz w:val="28"/>
              </w:rPr>
              <w:t xml:space="preserve"> en primer debate</w:t>
            </w:r>
            <w:r w:rsidRPr="003E425B">
              <w:rPr>
                <w:rFonts w:ascii="Times New Roman" w:hAnsi="Times New Roman" w:cs="Times New Roman"/>
                <w:sz w:val="28"/>
              </w:rPr>
              <w:t>.</w:t>
            </w:r>
            <w:r w:rsidRPr="003E425B">
              <w:rPr>
                <w:rFonts w:ascii="Times New Roman" w:hAnsi="Times New Roman" w:cs="Times New Roman"/>
                <w:sz w:val="28"/>
              </w:rPr>
              <w:t xml:space="preserve"> La “falta de quórum para la aprobación de una ley, es un hecho que debe ser probado, y la prueba idónea es la presentación de las actas de sesión en las que conste l</w:t>
            </w:r>
            <w:r w:rsidRPr="003E425B">
              <w:rPr>
                <w:rFonts w:ascii="Times New Roman" w:hAnsi="Times New Roman" w:cs="Times New Roman"/>
                <w:sz w:val="28"/>
              </w:rPr>
              <w:t xml:space="preserve">a asistencia de los congresistas o, en su defecto, los listados de asistencia” (C-763 de 2002). </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 xml:space="preserve">Las facultades concedidas al ejecutivo son precisas y claras, pese a ser generales. </w:t>
            </w:r>
            <w:r w:rsidRPr="003E425B">
              <w:rPr>
                <w:rFonts w:ascii="Times New Roman" w:hAnsi="Times New Roman" w:cs="Times New Roman"/>
                <w:sz w:val="28"/>
              </w:rPr>
              <w:t>Esto, porque las palabras “adscribir” y “vincular”, delimitan el alcance de</w:t>
            </w:r>
            <w:r w:rsidRPr="003E425B">
              <w:rPr>
                <w:rFonts w:ascii="Times New Roman" w:hAnsi="Times New Roman" w:cs="Times New Roman"/>
                <w:sz w:val="28"/>
              </w:rPr>
              <w:t xml:space="preserve"> las mismas.</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r w:rsidRPr="003E425B">
              <w:rPr>
                <w:rFonts w:ascii="Times New Roman" w:eastAsia="Times New Roman" w:hAnsi="Times New Roman" w:cs="Times New Roman"/>
                <w:color w:val="000000"/>
                <w:sz w:val="28"/>
              </w:rPr>
              <w:t>0</w:t>
            </w:r>
          </w:p>
        </w:tc>
        <w:tc>
          <w:tcPr>
            <w:tcW w:w="2712"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María José Pizarro</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 xml:space="preserve">En el trámite de la Ley sí se discutió su impacto fiscal. </w:t>
            </w:r>
            <w:r w:rsidRPr="003E425B">
              <w:rPr>
                <w:rFonts w:ascii="Times New Roman" w:hAnsi="Times New Roman" w:cs="Times New Roman"/>
                <w:sz w:val="28"/>
              </w:rPr>
              <w:t>S</w:t>
            </w:r>
            <w:r w:rsidRPr="003E425B">
              <w:rPr>
                <w:rFonts w:ascii="Times New Roman" w:hAnsi="Times New Roman" w:cs="Times New Roman"/>
                <w:sz w:val="28"/>
              </w:rPr>
              <w:t>i bien en la exposición de motivos no se estimó el costo de la creación del Ministerio de Igualdad y Equidad, esto sí se debatió en</w:t>
            </w:r>
            <w:r w:rsidRPr="003E425B">
              <w:rPr>
                <w:rFonts w:ascii="Times New Roman" w:hAnsi="Times New Roman" w:cs="Times New Roman"/>
                <w:sz w:val="28"/>
              </w:rPr>
              <w:t xml:space="preserve"> la discusión del informe de ponencia en la sesión de Comisiones Constitucionales Primeras conjuntas, en parte</w:t>
            </w:r>
            <w:r w:rsidRPr="003E425B">
              <w:rPr>
                <w:rFonts w:ascii="Times New Roman" w:hAnsi="Times New Roman" w:cs="Times New Roman"/>
                <w:sz w:val="28"/>
              </w:rPr>
              <w:t>,</w:t>
            </w:r>
            <w:r w:rsidRPr="003E425B">
              <w:rPr>
                <w:rFonts w:ascii="Times New Roman" w:hAnsi="Times New Roman" w:cs="Times New Roman"/>
                <w:sz w:val="28"/>
              </w:rPr>
              <w:t xml:space="preserve"> por los cuestionamientos de la oposición frente al costo.</w:t>
            </w:r>
            <w:r w:rsidRPr="003E425B">
              <w:rPr>
                <w:rFonts w:ascii="Times New Roman" w:hAnsi="Times New Roman" w:cs="Times New Roman"/>
                <w:sz w:val="28"/>
              </w:rPr>
              <w:t xml:space="preserve"> </w:t>
            </w:r>
            <w:r w:rsidRPr="003E425B">
              <w:rPr>
                <w:rFonts w:ascii="Times New Roman" w:hAnsi="Times New Roman" w:cs="Times New Roman"/>
                <w:sz w:val="28"/>
              </w:rPr>
              <w:t>Para la creación de ministerios en el momento del debate, es imposible estimar una med</w:t>
            </w:r>
            <w:r w:rsidRPr="003E425B">
              <w:rPr>
                <w:rFonts w:ascii="Times New Roman" w:hAnsi="Times New Roman" w:cs="Times New Roman"/>
                <w:sz w:val="28"/>
              </w:rPr>
              <w:t>ida certera dado que las leyes sólo están obligadas a crear la “estructura orgánica” de la entidad que se crea y, por ende, no incluye una determinación absoluta de su planta de personal y de la oferta institucional que determinar el presupuesto de inversi</w:t>
            </w:r>
            <w:r w:rsidRPr="003E425B">
              <w:rPr>
                <w:rFonts w:ascii="Times New Roman" w:hAnsi="Times New Roman" w:cs="Times New Roman"/>
                <w:sz w:val="28"/>
              </w:rPr>
              <w:t>ón y gasto</w:t>
            </w:r>
            <w:r w:rsidRPr="003E425B">
              <w:rPr>
                <w:rFonts w:ascii="Times New Roman" w:hAnsi="Times New Roman" w:cs="Times New Roman"/>
                <w:sz w:val="28"/>
              </w:rPr>
              <w:t>.</w:t>
            </w:r>
          </w:p>
          <w:p w:rsidR="007426E2"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La ley fue aprobada por las mayorías exigidas</w:t>
            </w:r>
            <w:r w:rsidRPr="003E425B">
              <w:rPr>
                <w:rFonts w:ascii="Times New Roman" w:hAnsi="Times New Roman" w:cs="Times New Roman"/>
                <w:sz w:val="28"/>
              </w:rPr>
              <w:t>. La jurisprudencia de la Corte Constitucional permite que un artículo de una ley ordinaria otorgue facultades extraordinarias sin que esto implique que toda la ley deba ser votada</w:t>
            </w:r>
            <w:r w:rsidRPr="003E425B">
              <w:rPr>
                <w:rFonts w:ascii="Times New Roman" w:hAnsi="Times New Roman" w:cs="Times New Roman"/>
                <w:sz w:val="28"/>
              </w:rPr>
              <w:t xml:space="preserve"> por mayorías absolutas</w:t>
            </w:r>
            <w:r w:rsidRPr="003E425B">
              <w:rPr>
                <w:rFonts w:ascii="Times New Roman" w:hAnsi="Times New Roman" w:cs="Times New Roman"/>
                <w:sz w:val="28"/>
              </w:rPr>
              <w:t xml:space="preserve"> (C-092 de 2022)</w:t>
            </w:r>
            <w:r w:rsidRPr="003E425B">
              <w:rPr>
                <w:rFonts w:ascii="Times New Roman" w:hAnsi="Times New Roman" w:cs="Times New Roman"/>
                <w:sz w:val="28"/>
              </w:rPr>
              <w:t>.</w:t>
            </w:r>
            <w:r w:rsidRPr="003E425B">
              <w:rPr>
                <w:rFonts w:ascii="Times New Roman" w:hAnsi="Times New Roman" w:cs="Times New Roman"/>
                <w:sz w:val="28"/>
              </w:rPr>
              <w:t xml:space="preserve"> </w:t>
            </w:r>
          </w:p>
        </w:tc>
        <w:tc>
          <w:tcPr>
            <w:tcW w:w="4821" w:type="dxa"/>
            <w:vAlign w:val="center"/>
          </w:tcPr>
          <w:p w:rsidR="007426E2" w:rsidRPr="003E425B" w:rsidRDefault="003E425B" w:rsidP="00454801">
            <w:pPr>
              <w:rPr>
                <w:rFonts w:ascii="Times New Roman" w:hAnsi="Times New Roman" w:cs="Times New Roman"/>
                <w:sz w:val="28"/>
              </w:rPr>
            </w:pPr>
            <w:r w:rsidRPr="003E425B">
              <w:rPr>
                <w:rFonts w:ascii="Times New Roman" w:hAnsi="Times New Roman" w:cs="Times New Roman"/>
                <w:sz w:val="28"/>
              </w:rPr>
              <w:t xml:space="preserve">Las facultades concedidas al ejecutivo </w:t>
            </w:r>
            <w:r w:rsidRPr="003E425B">
              <w:rPr>
                <w:rFonts w:ascii="Times New Roman" w:hAnsi="Times New Roman" w:cs="Times New Roman"/>
                <w:sz w:val="28"/>
              </w:rPr>
              <w:t>no están indeterminadas. El artículo 12 de la ley es claro “</w:t>
            </w:r>
            <w:r w:rsidRPr="003E425B">
              <w:rPr>
                <w:rFonts w:ascii="Times New Roman" w:hAnsi="Times New Roman" w:cs="Times New Roman"/>
                <w:sz w:val="28"/>
              </w:rPr>
              <w:t xml:space="preserve">al señalar dos acciones que estarían dentro de las facultades extraordinarias, que son vincular y adscribir, a las </w:t>
            </w:r>
            <w:r w:rsidRPr="003E425B">
              <w:rPr>
                <w:rFonts w:ascii="Times New Roman" w:hAnsi="Times New Roman" w:cs="Times New Roman"/>
                <w:sz w:val="28"/>
              </w:rPr>
              <w:t>diferentes entidades necesarias para integrar el Sector de Igualdad, lo que sería el objeto de las facultades extraordinarias</w:t>
            </w:r>
            <w:r w:rsidRPr="003E425B">
              <w:rPr>
                <w:rFonts w:ascii="Times New Roman" w:hAnsi="Times New Roman" w:cs="Times New Roman"/>
                <w:sz w:val="28"/>
              </w:rPr>
              <w:t>”</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Estas dos acciones han sido definidas por la Corte Constitucional</w:t>
            </w:r>
            <w:r w:rsidRPr="003E425B">
              <w:rPr>
                <w:rFonts w:ascii="Times New Roman" w:hAnsi="Times New Roman" w:cs="Times New Roman"/>
                <w:sz w:val="28"/>
              </w:rPr>
              <w:t>. Por lo demás, las facultades no fueron concedida</w:t>
            </w:r>
            <w:r w:rsidRPr="003E425B">
              <w:rPr>
                <w:rFonts w:ascii="Times New Roman" w:hAnsi="Times New Roman" w:cs="Times New Roman"/>
                <w:sz w:val="28"/>
              </w:rPr>
              <w:t xml:space="preserve">s </w:t>
            </w:r>
            <w:r w:rsidRPr="003E425B">
              <w:rPr>
                <w:rFonts w:ascii="Times New Roman" w:hAnsi="Times New Roman" w:cs="Times New Roman"/>
                <w:sz w:val="28"/>
              </w:rPr>
              <w:t xml:space="preserve">(i) </w:t>
            </w:r>
            <w:r w:rsidRPr="003E425B">
              <w:rPr>
                <w:rFonts w:ascii="Times New Roman" w:hAnsi="Times New Roman" w:cs="Times New Roman"/>
                <w:sz w:val="28"/>
              </w:rPr>
              <w:t>para ex</w:t>
            </w:r>
            <w:r w:rsidRPr="003E425B">
              <w:rPr>
                <w:rFonts w:ascii="Times New Roman" w:hAnsi="Times New Roman" w:cs="Times New Roman"/>
                <w:sz w:val="28"/>
              </w:rPr>
              <w:t>pedir los códigos,</w:t>
            </w:r>
            <w:r w:rsidRPr="003E425B">
              <w:rPr>
                <w:rFonts w:ascii="Times New Roman" w:hAnsi="Times New Roman" w:cs="Times New Roman"/>
                <w:sz w:val="28"/>
              </w:rPr>
              <w:t xml:space="preserve"> (ii) no</w:t>
            </w:r>
            <w:r w:rsidRPr="003E425B">
              <w:rPr>
                <w:rFonts w:ascii="Times New Roman" w:hAnsi="Times New Roman" w:cs="Times New Roman"/>
                <w:sz w:val="28"/>
              </w:rPr>
              <w:t xml:space="preserve"> recae</w:t>
            </w:r>
            <w:r w:rsidRPr="003E425B">
              <w:rPr>
                <w:rFonts w:ascii="Times New Roman" w:hAnsi="Times New Roman" w:cs="Times New Roman"/>
                <w:sz w:val="28"/>
              </w:rPr>
              <w:t xml:space="preserve">n </w:t>
            </w:r>
            <w:r w:rsidRPr="003E425B">
              <w:rPr>
                <w:rFonts w:ascii="Times New Roman" w:hAnsi="Times New Roman" w:cs="Times New Roman"/>
                <w:sz w:val="28"/>
              </w:rPr>
              <w:t>sobre materias de reserva de ley estatutaria</w:t>
            </w:r>
            <w:r w:rsidRPr="003E425B">
              <w:rPr>
                <w:rFonts w:ascii="Times New Roman" w:hAnsi="Times New Roman" w:cs="Times New Roman"/>
                <w:sz w:val="28"/>
              </w:rPr>
              <w:t xml:space="preserve"> ni </w:t>
            </w:r>
            <w:r w:rsidRPr="003E425B">
              <w:rPr>
                <w:rFonts w:ascii="Times New Roman" w:hAnsi="Times New Roman" w:cs="Times New Roman"/>
                <w:sz w:val="28"/>
              </w:rPr>
              <w:t xml:space="preserve">orgánica, </w:t>
            </w:r>
            <w:r w:rsidRPr="003E425B">
              <w:rPr>
                <w:rFonts w:ascii="Times New Roman" w:hAnsi="Times New Roman" w:cs="Times New Roman"/>
                <w:sz w:val="28"/>
              </w:rPr>
              <w:t xml:space="preserve">(iii) </w:t>
            </w:r>
            <w:r w:rsidRPr="003E425B">
              <w:rPr>
                <w:rFonts w:ascii="Times New Roman" w:hAnsi="Times New Roman" w:cs="Times New Roman"/>
                <w:sz w:val="28"/>
              </w:rPr>
              <w:t>para expedir leyes marco</w:t>
            </w:r>
            <w:r w:rsidRPr="003E425B">
              <w:rPr>
                <w:rFonts w:ascii="Times New Roman" w:hAnsi="Times New Roman" w:cs="Times New Roman"/>
                <w:sz w:val="28"/>
              </w:rPr>
              <w:t xml:space="preserve">, ni (iv) </w:t>
            </w:r>
            <w:r w:rsidRPr="003E425B">
              <w:rPr>
                <w:rFonts w:ascii="Times New Roman" w:hAnsi="Times New Roman" w:cs="Times New Roman"/>
                <w:sz w:val="28"/>
              </w:rPr>
              <w:t>para el decreto o modificación de impuesto</w:t>
            </w:r>
            <w:r w:rsidRPr="003E425B">
              <w:rPr>
                <w:rFonts w:ascii="Times New Roman" w:hAnsi="Times New Roman" w:cs="Times New Roman"/>
                <w:sz w:val="28"/>
              </w:rPr>
              <w:t>. De esta manera, tampoco contrarían las prohibiciones expresas en ese sentido.</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w:t>
            </w:r>
            <w:r w:rsidRPr="003E425B">
              <w:rPr>
                <w:rFonts w:ascii="Times New Roman" w:hAnsi="Times New Roman" w:cs="Times New Roman"/>
                <w:sz w:val="28"/>
              </w:rPr>
              <w:t>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r w:rsidRPr="003E425B">
              <w:rPr>
                <w:rFonts w:ascii="Times New Roman" w:eastAsia="Times New Roman" w:hAnsi="Times New Roman" w:cs="Times New Roman"/>
                <w:color w:val="000000"/>
                <w:sz w:val="28"/>
              </w:rPr>
              <w:t>1</w:t>
            </w:r>
          </w:p>
        </w:tc>
        <w:tc>
          <w:tcPr>
            <w:tcW w:w="2712"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Ana Isabel Arenas Saavedra</w:t>
            </w:r>
            <w:r w:rsidRPr="003E425B">
              <w:rPr>
                <w:rFonts w:ascii="Times New Roman" w:eastAsia="Times New Roman" w:hAnsi="Times New Roman" w:cs="Times New Roman"/>
                <w:color w:val="000000"/>
                <w:sz w:val="28"/>
              </w:rPr>
              <w:t>, Ángela María Robledo y 35 congresistas y organizaciones más</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 xml:space="preserve">El </w:t>
            </w:r>
            <w:r w:rsidRPr="003E425B">
              <w:rPr>
                <w:rFonts w:ascii="Times New Roman" w:hAnsi="Times New Roman" w:cs="Times New Roman"/>
                <w:sz w:val="28"/>
              </w:rPr>
              <w:t>trámite</w:t>
            </w:r>
            <w:r w:rsidRPr="003E425B">
              <w:rPr>
                <w:rFonts w:ascii="Times New Roman" w:hAnsi="Times New Roman" w:cs="Times New Roman"/>
                <w:sz w:val="28"/>
              </w:rPr>
              <w:t xml:space="preserve"> legislativo cumplió este requisito en los términos exigidos por la jurisprudencia. </w:t>
            </w:r>
            <w:r w:rsidRPr="003E425B">
              <w:rPr>
                <w:rFonts w:ascii="Times New Roman" w:hAnsi="Times New Roman" w:cs="Times New Roman"/>
                <w:sz w:val="28"/>
              </w:rPr>
              <w:t>E</w:t>
            </w:r>
            <w:r w:rsidRPr="003E425B">
              <w:rPr>
                <w:rFonts w:ascii="Times New Roman" w:hAnsi="Times New Roman" w:cs="Times New Roman"/>
                <w:sz w:val="28"/>
              </w:rPr>
              <w:t xml:space="preserve">l alcance del requisito de </w:t>
            </w:r>
            <w:r w:rsidRPr="003E425B">
              <w:rPr>
                <w:rFonts w:ascii="Times New Roman" w:hAnsi="Times New Roman" w:cs="Times New Roman"/>
                <w:sz w:val="28"/>
              </w:rPr>
              <w:t>evaluar</w:t>
            </w:r>
            <w:r w:rsidRPr="003E425B">
              <w:rPr>
                <w:rFonts w:ascii="Times New Roman" w:hAnsi="Times New Roman" w:cs="Times New Roman"/>
                <w:sz w:val="28"/>
              </w:rPr>
              <w:t xml:space="preserve"> de impacto fiscal </w:t>
            </w:r>
            <w:r w:rsidRPr="003E425B">
              <w:rPr>
                <w:rFonts w:ascii="Times New Roman" w:hAnsi="Times New Roman" w:cs="Times New Roman"/>
                <w:sz w:val="28"/>
              </w:rPr>
              <w:t>“</w:t>
            </w:r>
            <w:r w:rsidRPr="003E425B">
              <w:rPr>
                <w:rFonts w:ascii="Times New Roman" w:hAnsi="Times New Roman" w:cs="Times New Roman"/>
                <w:sz w:val="28"/>
              </w:rPr>
              <w:t xml:space="preserve">debe analizarse a la luz del objetivo constitucional de salvaguardar la dimensión prestacional de </w:t>
            </w:r>
            <w:r w:rsidRPr="003E425B">
              <w:rPr>
                <w:rFonts w:ascii="Times New Roman" w:hAnsi="Times New Roman" w:cs="Times New Roman"/>
                <w:sz w:val="28"/>
              </w:rPr>
              <w:t>[el derecho a la igualdad]</w:t>
            </w:r>
            <w:r w:rsidRPr="003E425B">
              <w:rPr>
                <w:rFonts w:ascii="Times New Roman" w:hAnsi="Times New Roman" w:cs="Times New Roman"/>
                <w:sz w:val="28"/>
              </w:rPr>
              <w:t xml:space="preserve"> sin supeditar su goce efectivo a la regla fiscal o a una determinación demasiado rígida, y por tanto limitada, </w:t>
            </w:r>
            <w:r w:rsidRPr="003E425B">
              <w:rPr>
                <w:rFonts w:ascii="Times New Roman" w:hAnsi="Times New Roman" w:cs="Times New Roman"/>
                <w:sz w:val="28"/>
              </w:rPr>
              <w:t>de sus costos</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cualquier caso, el trámite del proyecto de ley que dio lugar a la aprobación de la ley 2281 de 2023 “estuvo precedido de deliberaciones basadas en consideraciones básicas sobre las necesidades presupuestales globales de la implementación</w:t>
            </w:r>
            <w:r w:rsidRPr="003E425B">
              <w:rPr>
                <w:rFonts w:ascii="Times New Roman" w:hAnsi="Times New Roman" w:cs="Times New Roman"/>
                <w:sz w:val="28"/>
              </w:rPr>
              <w:t xml:space="preserve"> de la misma y por tanto, de sus efectos fiscales”, lo cual satisface el estándar jurisprudencial exigido para estos casos.</w:t>
            </w:r>
            <w:r w:rsidRPr="003E425B">
              <w:rPr>
                <w:rFonts w:ascii="Times New Roman" w:hAnsi="Times New Roman" w:cs="Times New Roman"/>
                <w:sz w:val="28"/>
              </w:rPr>
              <w:t xml:space="preserve"> Por lo demás, la Corte debe valorar que </w:t>
            </w:r>
            <w:r w:rsidRPr="003E425B">
              <w:rPr>
                <w:rFonts w:ascii="Times New Roman" w:hAnsi="Times New Roman" w:cs="Times New Roman"/>
                <w:sz w:val="28"/>
              </w:rPr>
              <w:t>la iniciativa legislativa ha sido presentada conjuntamente por el Gobierno y algunos congres</w:t>
            </w:r>
            <w:r w:rsidRPr="003E425B">
              <w:rPr>
                <w:rFonts w:ascii="Times New Roman" w:hAnsi="Times New Roman" w:cs="Times New Roman"/>
                <w:sz w:val="28"/>
              </w:rPr>
              <w:t>istas, por tanto, “el cumplimiento de los requisitos de valoración del impacto fiscal de la medida en el curso del trámite se evalúa bajo un escrutinio deferente de las decisiones adoptadas”.</w:t>
            </w:r>
          </w:p>
          <w:p w:rsidR="007426E2"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La ley fue aprobada por las mayorías exigidas</w:t>
            </w:r>
            <w:r w:rsidRPr="003E425B">
              <w:rPr>
                <w:rFonts w:ascii="Times New Roman" w:hAnsi="Times New Roman" w:cs="Times New Roman"/>
                <w:sz w:val="28"/>
              </w:rPr>
              <w:t>. La jurisprudencia de la Corte Constitucional permite que un artículo de una ley ordinaria otorgue facultades extraordinarias sin que esto implique que toda la ley deba ser votada por mayorías absolutas (C-092 de 2022).</w:t>
            </w:r>
            <w:r w:rsidRPr="003E425B">
              <w:rPr>
                <w:rFonts w:ascii="Times New Roman" w:hAnsi="Times New Roman" w:cs="Times New Roman"/>
                <w:sz w:val="28"/>
              </w:rPr>
              <w:t xml:space="preserve"> </w:t>
            </w:r>
            <w:r w:rsidRPr="003E425B">
              <w:rPr>
                <w:rFonts w:ascii="Times New Roman" w:hAnsi="Times New Roman" w:cs="Times New Roman"/>
                <w:sz w:val="28"/>
              </w:rPr>
              <w:t xml:space="preserve">El acta del </w:t>
            </w:r>
            <w:r w:rsidRPr="003E425B">
              <w:rPr>
                <w:rFonts w:ascii="Times New Roman" w:hAnsi="Times New Roman" w:cs="Times New Roman"/>
                <w:sz w:val="28"/>
              </w:rPr>
              <w:t xml:space="preserve">debate </w:t>
            </w:r>
            <w:r w:rsidRPr="003E425B">
              <w:rPr>
                <w:rFonts w:ascii="Times New Roman" w:hAnsi="Times New Roman" w:cs="Times New Roman"/>
                <w:sz w:val="28"/>
              </w:rPr>
              <w:t>de las</w:t>
            </w:r>
            <w:r w:rsidRPr="003E425B">
              <w:rPr>
                <w:rFonts w:ascii="Times New Roman" w:hAnsi="Times New Roman" w:cs="Times New Roman"/>
                <w:sz w:val="28"/>
              </w:rPr>
              <w:t xml:space="preserve"> comisione</w:t>
            </w:r>
            <w:r w:rsidRPr="003E425B">
              <w:rPr>
                <w:rFonts w:ascii="Times New Roman" w:hAnsi="Times New Roman" w:cs="Times New Roman"/>
                <w:sz w:val="28"/>
              </w:rPr>
              <w:t>s primeras constitucionales conjuntas</w:t>
            </w:r>
            <w:r w:rsidRPr="003E425B">
              <w:rPr>
                <w:rFonts w:ascii="Times New Roman" w:hAnsi="Times New Roman" w:cs="Times New Roman"/>
                <w:sz w:val="28"/>
              </w:rPr>
              <w:t xml:space="preserve"> </w:t>
            </w:r>
            <w:r w:rsidRPr="003E425B">
              <w:rPr>
                <w:rFonts w:ascii="Times New Roman" w:hAnsi="Times New Roman" w:cs="Times New Roman"/>
                <w:sz w:val="28"/>
              </w:rPr>
              <w:t xml:space="preserve">demuestra que </w:t>
            </w:r>
            <w:r w:rsidRPr="003E425B">
              <w:rPr>
                <w:rFonts w:ascii="Times New Roman" w:hAnsi="Times New Roman" w:cs="Times New Roman"/>
                <w:sz w:val="28"/>
              </w:rPr>
              <w:t>el artículo 12 de la Ley fue aprobado por mayoría absoluta</w:t>
            </w:r>
            <w:r w:rsidRPr="003E425B">
              <w:rPr>
                <w:rFonts w:ascii="Times New Roman" w:hAnsi="Times New Roman" w:cs="Times New Roman"/>
                <w:sz w:val="28"/>
              </w:rPr>
              <w:t>.</w:t>
            </w:r>
            <w:r w:rsidRPr="003E425B">
              <w:rPr>
                <w:rFonts w:ascii="Times New Roman" w:hAnsi="Times New Roman" w:cs="Times New Roman"/>
                <w:sz w:val="28"/>
              </w:rPr>
              <w:t xml:space="preserve"> Además, los demandantes no</w:t>
            </w:r>
            <w:r w:rsidRPr="003E425B">
              <w:rPr>
                <w:rFonts w:ascii="Times New Roman" w:hAnsi="Times New Roman" w:cs="Times New Roman"/>
                <w:sz w:val="28"/>
              </w:rPr>
              <w:t xml:space="preserve"> aportaron pruebas idóneas para demostrar lo contrario. </w:t>
            </w:r>
            <w:r w:rsidRPr="003E425B">
              <w:rPr>
                <w:rFonts w:ascii="Times New Roman" w:hAnsi="Times New Roman" w:cs="Times New Roman"/>
                <w:sz w:val="28"/>
              </w:rPr>
              <w:t xml:space="preserve">La acreditación de mayorías absolutas supone evidentemente la </w:t>
            </w:r>
            <w:r w:rsidRPr="003E425B">
              <w:rPr>
                <w:rFonts w:ascii="Times New Roman" w:hAnsi="Times New Roman" w:cs="Times New Roman"/>
                <w:sz w:val="28"/>
              </w:rPr>
              <w:t>acreditación del quorum decisorio.</w:t>
            </w:r>
            <w:r w:rsidRPr="003E425B">
              <w:rPr>
                <w:rFonts w:ascii="Times New Roman" w:hAnsi="Times New Roman" w:cs="Times New Roman"/>
                <w:sz w:val="28"/>
              </w:rPr>
              <w:t xml:space="preserve"> </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Las facultades concedidas al ejecutivo no están indeterminadas. El artículo 12 de la ley es claro “al señalar dos acciones que estarían dentro de las facultades extraordinarias, que son vincular y adscribir, a las difere</w:t>
            </w:r>
            <w:r w:rsidRPr="003E425B">
              <w:rPr>
                <w:rFonts w:ascii="Times New Roman" w:hAnsi="Times New Roman" w:cs="Times New Roman"/>
                <w:sz w:val="28"/>
              </w:rPr>
              <w:t xml:space="preserve">ntes entidades necesarias para integrar el Sector de Igualdad, lo que sería el objeto de las facultades extraordinarias”. Estas dos acciones han sido definidas por la Corte Constitucional. Por lo demás, las facultades no fueron concedidas (i) para expedir </w:t>
            </w:r>
            <w:r w:rsidRPr="003E425B">
              <w:rPr>
                <w:rFonts w:ascii="Times New Roman" w:hAnsi="Times New Roman" w:cs="Times New Roman"/>
                <w:sz w:val="28"/>
              </w:rPr>
              <w:t>los códigos, (ii) no recaen sobre materias de reserva de ley estatutaria ni orgánica, (iii) para expedir leyes marco, ni (iv) para el decreto o modificación de impuesto. De esta manera, tampoco contrarían las prohibiciones expresas en ese sentido.</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r w:rsidRPr="003E425B">
              <w:rPr>
                <w:rFonts w:ascii="Times New Roman" w:eastAsia="Times New Roman" w:hAnsi="Times New Roman" w:cs="Times New Roman"/>
                <w:color w:val="000000"/>
                <w:sz w:val="28"/>
              </w:rPr>
              <w:t>2</w:t>
            </w:r>
          </w:p>
        </w:tc>
        <w:tc>
          <w:tcPr>
            <w:tcW w:w="2712"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Alexander López Maya</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La ley 2281 de 2023 cuenta con estudio de impacto fiscal y por tanto </w:t>
            </w:r>
            <w:r w:rsidRPr="003E425B">
              <w:rPr>
                <w:rFonts w:ascii="Times New Roman" w:hAnsi="Times New Roman" w:cs="Times New Roman"/>
                <w:sz w:val="28"/>
              </w:rPr>
              <w:t xml:space="preserve">su trámite </w:t>
            </w:r>
            <w:r w:rsidRPr="003E425B">
              <w:rPr>
                <w:rFonts w:ascii="Times New Roman" w:hAnsi="Times New Roman" w:cs="Times New Roman"/>
                <w:sz w:val="28"/>
              </w:rPr>
              <w:t>no</w:t>
            </w:r>
            <w:r w:rsidRPr="003E425B">
              <w:rPr>
                <w:rFonts w:ascii="Times New Roman" w:hAnsi="Times New Roman" w:cs="Times New Roman"/>
                <w:sz w:val="28"/>
              </w:rPr>
              <w:t xml:space="preserve"> </w:t>
            </w:r>
            <w:r w:rsidRPr="003E425B">
              <w:rPr>
                <w:rFonts w:ascii="Times New Roman" w:hAnsi="Times New Roman" w:cs="Times New Roman"/>
                <w:sz w:val="28"/>
              </w:rPr>
              <w:t>está viciado</w:t>
            </w:r>
            <w:r w:rsidRPr="003E425B">
              <w:rPr>
                <w:rFonts w:ascii="Times New Roman" w:hAnsi="Times New Roman" w:cs="Times New Roman"/>
                <w:sz w:val="28"/>
              </w:rPr>
              <w:t xml:space="preserve">. </w:t>
            </w:r>
            <w:r w:rsidRPr="003E425B">
              <w:rPr>
                <w:rFonts w:ascii="Times New Roman" w:hAnsi="Times New Roman" w:cs="Times New Roman"/>
                <w:sz w:val="28"/>
              </w:rPr>
              <w:t xml:space="preserve">En la ponencia </w:t>
            </w:r>
            <w:r w:rsidRPr="003E425B">
              <w:rPr>
                <w:rFonts w:ascii="Times New Roman" w:hAnsi="Times New Roman" w:cs="Times New Roman"/>
                <w:sz w:val="28"/>
              </w:rPr>
              <w:t xml:space="preserve">para primer debate de las comisiones primeras constitucionales que obraron de manera </w:t>
            </w:r>
            <w:r w:rsidRPr="003E425B">
              <w:rPr>
                <w:rFonts w:ascii="Times New Roman" w:hAnsi="Times New Roman" w:cs="Times New Roman"/>
                <w:sz w:val="28"/>
              </w:rPr>
              <w:t>conjunta</w:t>
            </w:r>
            <w:r w:rsidRPr="003E425B">
              <w:rPr>
                <w:rFonts w:ascii="Times New Roman" w:hAnsi="Times New Roman" w:cs="Times New Roman"/>
                <w:sz w:val="28"/>
              </w:rPr>
              <w:t xml:space="preserve"> se incluyó un análisis de impacto fiscal en el que se indicó que “</w:t>
            </w:r>
            <w:r w:rsidRPr="003E425B">
              <w:rPr>
                <w:rFonts w:ascii="Times New Roman" w:hAnsi="Times New Roman" w:cs="Times New Roman"/>
                <w:sz w:val="28"/>
              </w:rPr>
              <w:t>se estima que el Ministerio de Igualdad y Equidad tendrá un costo de 18.239 millones de pesos, de acuerdo con fuentes del Ministerio de Hacienda y Crédito Público, y se estima que l</w:t>
            </w:r>
            <w:r w:rsidRPr="003E425B">
              <w:rPr>
                <w:rFonts w:ascii="Times New Roman" w:hAnsi="Times New Roman" w:cs="Times New Roman"/>
                <w:sz w:val="28"/>
              </w:rPr>
              <w:t>a fuente para la apropiación de estos recursos devendrán</w:t>
            </w:r>
            <w:r w:rsidRPr="003E425B">
              <w:rPr>
                <w:rFonts w:ascii="Times New Roman" w:hAnsi="Times New Roman" w:cs="Times New Roman"/>
                <w:sz w:val="28"/>
              </w:rPr>
              <w:t xml:space="preserve"> (sic)</w:t>
            </w:r>
            <w:r w:rsidRPr="003E425B">
              <w:rPr>
                <w:rFonts w:ascii="Times New Roman" w:hAnsi="Times New Roman" w:cs="Times New Roman"/>
                <w:sz w:val="28"/>
              </w:rPr>
              <w:t xml:space="preserve"> del Presupuesto General de la Nación</w:t>
            </w:r>
            <w:r w:rsidRPr="003E425B">
              <w:rPr>
                <w:rFonts w:ascii="Times New Roman" w:hAnsi="Times New Roman" w:cs="Times New Roman"/>
                <w:sz w:val="28"/>
              </w:rPr>
              <w:t>”</w:t>
            </w:r>
            <w:r w:rsidRPr="003E425B">
              <w:rPr>
                <w:rFonts w:ascii="Times New Roman" w:hAnsi="Times New Roman" w:cs="Times New Roman"/>
                <w:sz w:val="28"/>
              </w:rPr>
              <w:t>. A esto se suma que</w:t>
            </w:r>
            <w:r w:rsidRPr="003E425B">
              <w:rPr>
                <w:rFonts w:ascii="Times New Roman" w:hAnsi="Times New Roman" w:cs="Times New Roman"/>
                <w:sz w:val="28"/>
              </w:rPr>
              <w:t xml:space="preserve"> el 12 de diciembre de 2022 e</w:t>
            </w:r>
            <w:r w:rsidRPr="003E425B">
              <w:rPr>
                <w:rFonts w:ascii="Times New Roman" w:hAnsi="Times New Roman" w:cs="Times New Roman"/>
                <w:sz w:val="28"/>
              </w:rPr>
              <w:t xml:space="preserve">l Ministerio de Hacienda y Crédito Público </w:t>
            </w:r>
            <w:r w:rsidRPr="003E425B">
              <w:rPr>
                <w:rFonts w:ascii="Times New Roman" w:hAnsi="Times New Roman" w:cs="Times New Roman"/>
                <w:sz w:val="28"/>
              </w:rPr>
              <w:t>envió</w:t>
            </w:r>
            <w:r w:rsidRPr="003E425B">
              <w:rPr>
                <w:rFonts w:ascii="Times New Roman" w:hAnsi="Times New Roman" w:cs="Times New Roman"/>
                <w:sz w:val="28"/>
              </w:rPr>
              <w:t xml:space="preserve"> su</w:t>
            </w:r>
            <w:r w:rsidRPr="003E425B">
              <w:rPr>
                <w:rFonts w:ascii="Times New Roman" w:hAnsi="Times New Roman" w:cs="Times New Roman"/>
                <w:sz w:val="28"/>
              </w:rPr>
              <w:t xml:space="preserve"> concepto </w:t>
            </w:r>
            <w:r w:rsidRPr="003E425B">
              <w:rPr>
                <w:rFonts w:ascii="Times New Roman" w:hAnsi="Times New Roman" w:cs="Times New Roman"/>
                <w:sz w:val="28"/>
              </w:rPr>
              <w:t>de</w:t>
            </w:r>
            <w:r w:rsidRPr="003E425B">
              <w:rPr>
                <w:rFonts w:ascii="Times New Roman" w:hAnsi="Times New Roman" w:cs="Times New Roman"/>
                <w:sz w:val="28"/>
              </w:rPr>
              <w:t xml:space="preserve"> impacto fiscal.</w:t>
            </w:r>
            <w:r w:rsidRPr="003E425B">
              <w:rPr>
                <w:rFonts w:ascii="Times New Roman" w:hAnsi="Times New Roman" w:cs="Times New Roman"/>
                <w:sz w:val="28"/>
              </w:rPr>
              <w:t xml:space="preserve"> Con estos dos insumos “el C</w:t>
            </w:r>
            <w:r w:rsidRPr="003E425B">
              <w:rPr>
                <w:rFonts w:ascii="Times New Roman" w:hAnsi="Times New Roman" w:cs="Times New Roman"/>
                <w:sz w:val="28"/>
              </w:rPr>
              <w:t xml:space="preserve">ongreso de la República obtuvo una consciencia de la realidad macroeconómica del país y de los impactos que pudiera tener la adopción del Ministerio de la Igualdad y Equidad, la cual asumió al aprobar los cuatro debates constitucionalmente necesarios para </w:t>
            </w:r>
            <w:r w:rsidRPr="003E425B">
              <w:rPr>
                <w:rFonts w:ascii="Times New Roman" w:hAnsi="Times New Roman" w:cs="Times New Roman"/>
                <w:sz w:val="28"/>
              </w:rPr>
              <w:t>que adoptar una ley de la república”.</w:t>
            </w:r>
          </w:p>
          <w:p w:rsidR="007426E2"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Es posible que una ley contenga disposiciones orgánicas y ordinarias y, por tanto, que sus artículos sea</w:t>
            </w:r>
            <w:r w:rsidRPr="003E425B">
              <w:rPr>
                <w:rFonts w:ascii="Times New Roman" w:hAnsi="Times New Roman" w:cs="Times New Roman"/>
                <w:sz w:val="28"/>
              </w:rPr>
              <w:t>n</w:t>
            </w:r>
            <w:r w:rsidRPr="003E425B">
              <w:rPr>
                <w:rFonts w:ascii="Times New Roman" w:hAnsi="Times New Roman" w:cs="Times New Roman"/>
                <w:sz w:val="28"/>
              </w:rPr>
              <w:t xml:space="preserve"> aprobad</w:t>
            </w:r>
            <w:r w:rsidRPr="003E425B">
              <w:rPr>
                <w:rFonts w:ascii="Times New Roman" w:hAnsi="Times New Roman" w:cs="Times New Roman"/>
                <w:sz w:val="28"/>
              </w:rPr>
              <w:t>os</w:t>
            </w:r>
            <w:r w:rsidRPr="003E425B">
              <w:rPr>
                <w:rFonts w:ascii="Times New Roman" w:hAnsi="Times New Roman" w:cs="Times New Roman"/>
                <w:sz w:val="28"/>
              </w:rPr>
              <w:t xml:space="preserve"> por mayorías diferentes</w:t>
            </w:r>
            <w:r w:rsidRPr="003E425B">
              <w:rPr>
                <w:rFonts w:ascii="Times New Roman" w:hAnsi="Times New Roman" w:cs="Times New Roman"/>
                <w:sz w:val="28"/>
              </w:rPr>
              <w:t xml:space="preserve"> (C-052 de 2015)</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Si bien la ley 2281 de 2023 “es mayoritari</w:t>
            </w:r>
            <w:r w:rsidRPr="003E425B">
              <w:rPr>
                <w:rFonts w:ascii="Times New Roman" w:hAnsi="Times New Roman" w:cs="Times New Roman"/>
                <w:sz w:val="28"/>
              </w:rPr>
              <w:t>amente ordinaria, el artículo 12 fue aprobado con respeto de las exigencias de la reserva de ley orgánica de conformidad con el artículo 150.10 de la Constitución Política de 1991”.</w:t>
            </w:r>
            <w:r w:rsidRPr="003E425B">
              <w:rPr>
                <w:rFonts w:ascii="Times New Roman" w:hAnsi="Times New Roman" w:cs="Times New Roman"/>
                <w:sz w:val="28"/>
              </w:rPr>
              <w:t xml:space="preserve"> </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El tenor literal del artículo 12 determina la facultad otorgada al presid</w:t>
            </w:r>
            <w:r w:rsidRPr="003E425B">
              <w:rPr>
                <w:rFonts w:ascii="Times New Roman" w:hAnsi="Times New Roman" w:cs="Times New Roman"/>
                <w:sz w:val="28"/>
              </w:rPr>
              <w:t xml:space="preserve">ente de la </w:t>
            </w:r>
            <w:r w:rsidRPr="003E425B">
              <w:rPr>
                <w:rFonts w:ascii="Times New Roman" w:hAnsi="Times New Roman" w:cs="Times New Roman"/>
                <w:sz w:val="28"/>
              </w:rPr>
              <w:t>R</w:t>
            </w:r>
            <w:r w:rsidRPr="003E425B">
              <w:rPr>
                <w:rFonts w:ascii="Times New Roman" w:hAnsi="Times New Roman" w:cs="Times New Roman"/>
                <w:sz w:val="28"/>
              </w:rPr>
              <w:t>epública, tanto temporalmente como materialmente</w:t>
            </w:r>
            <w:r w:rsidRPr="003E425B">
              <w:rPr>
                <w:rFonts w:ascii="Times New Roman" w:hAnsi="Times New Roman" w:cs="Times New Roman"/>
                <w:sz w:val="28"/>
              </w:rPr>
              <w:t>. El límite temporal son los 6 meses durante los cuales podrá ejercerlas</w:t>
            </w:r>
            <w:r w:rsidRPr="003E425B">
              <w:rPr>
                <w:rFonts w:ascii="Times New Roman" w:hAnsi="Times New Roman" w:cs="Times New Roman"/>
                <w:sz w:val="28"/>
              </w:rPr>
              <w:t xml:space="preserve">. El material son las tareas de </w:t>
            </w:r>
            <w:r w:rsidRPr="003E425B">
              <w:rPr>
                <w:rFonts w:ascii="Times New Roman" w:hAnsi="Times New Roman" w:cs="Times New Roman"/>
                <w:sz w:val="28"/>
              </w:rPr>
              <w:t>vinculación y adscripción que se encuentran reguladas en el ordenamiento</w:t>
            </w:r>
            <w:r w:rsidRPr="003E425B">
              <w:rPr>
                <w:rFonts w:ascii="Times New Roman" w:hAnsi="Times New Roman" w:cs="Times New Roman"/>
                <w:sz w:val="28"/>
              </w:rPr>
              <w:t>.</w:t>
            </w:r>
            <w:r w:rsidRPr="003E425B">
              <w:rPr>
                <w:rFonts w:ascii="Times New Roman" w:hAnsi="Times New Roman" w:cs="Times New Roman"/>
                <w:sz w:val="28"/>
              </w:rPr>
              <w:t xml:space="preserve"> </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r w:rsidRPr="003E425B">
              <w:rPr>
                <w:rFonts w:ascii="Times New Roman" w:eastAsia="Times New Roman" w:hAnsi="Times New Roman" w:cs="Times New Roman"/>
                <w:color w:val="000000"/>
                <w:sz w:val="28"/>
              </w:rPr>
              <w:t>3</w:t>
            </w:r>
          </w:p>
        </w:tc>
        <w:tc>
          <w:tcPr>
            <w:tcW w:w="2712"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Alirio Uribe</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i/>
                <w:iCs/>
                <w:sz w:val="28"/>
              </w:rPr>
              <w:t xml:space="preserve"> </w:t>
            </w:r>
            <w:r w:rsidRPr="003E425B">
              <w:rPr>
                <w:rFonts w:ascii="Times New Roman" w:hAnsi="Times New Roman" w:cs="Times New Roman"/>
                <w:sz w:val="28"/>
              </w:rPr>
              <w:t xml:space="preserve">El Congreso sí evaluó el impacto fiscal de la Ley demandada. </w:t>
            </w:r>
            <w:r w:rsidRPr="003E425B">
              <w:rPr>
                <w:rFonts w:ascii="Times New Roman" w:hAnsi="Times New Roman" w:cs="Times New Roman"/>
                <w:sz w:val="28"/>
              </w:rPr>
              <w:t>Los argumentos de los demandantes demuestran que e</w:t>
            </w:r>
            <w:r w:rsidRPr="003E425B">
              <w:rPr>
                <w:rFonts w:ascii="Times New Roman" w:hAnsi="Times New Roman" w:cs="Times New Roman"/>
                <w:sz w:val="28"/>
              </w:rPr>
              <w:t>ste asunto fue discutido, sin embargo manifiestan su desacuerdo con la forma en que ocurrió</w:t>
            </w:r>
            <w:r w:rsidRPr="003E425B">
              <w:rPr>
                <w:rFonts w:ascii="Times New Roman" w:hAnsi="Times New Roman" w:cs="Times New Roman"/>
                <w:sz w:val="28"/>
              </w:rPr>
              <w:t xml:space="preserve">. Esta inconformidad es </w:t>
            </w:r>
            <w:r w:rsidRPr="003E425B">
              <w:rPr>
                <w:rFonts w:ascii="Times New Roman" w:hAnsi="Times New Roman" w:cs="Times New Roman"/>
                <w:sz w:val="28"/>
              </w:rPr>
              <w:t xml:space="preserve">insuficiente para estructurar un vicio de procedimiento. </w:t>
            </w:r>
            <w:r w:rsidRPr="003E425B">
              <w:rPr>
                <w:rFonts w:ascii="Times New Roman" w:hAnsi="Times New Roman" w:cs="Times New Roman"/>
                <w:sz w:val="28"/>
              </w:rPr>
              <w:t xml:space="preserve">Máxime, habida cuenta de que el estándar jurisprudencial únicamente exige “una mínima consideración </w:t>
            </w:r>
            <w:r w:rsidRPr="003E425B">
              <w:rPr>
                <w:rFonts w:ascii="Times New Roman" w:hAnsi="Times New Roman" w:cs="Times New Roman"/>
                <w:sz w:val="28"/>
              </w:rPr>
              <w:t>(…)</w:t>
            </w:r>
            <w:r w:rsidRPr="003E425B">
              <w:rPr>
                <w:rFonts w:ascii="Times New Roman" w:hAnsi="Times New Roman" w:cs="Times New Roman"/>
                <w:sz w:val="28"/>
              </w:rPr>
              <w:t xml:space="preserve"> para que sea posible establecer referentes básicos para analizar el impacto fiscal del proyecto</w:t>
            </w:r>
            <w:r w:rsidRPr="003E425B">
              <w:rPr>
                <w:rFonts w:ascii="Times New Roman" w:hAnsi="Times New Roman" w:cs="Times New Roman"/>
                <w:sz w:val="28"/>
              </w:rPr>
              <w:t xml:space="preserve">”. </w:t>
            </w:r>
            <w:r w:rsidRPr="003E425B">
              <w:rPr>
                <w:rFonts w:ascii="Times New Roman" w:hAnsi="Times New Roman" w:cs="Times New Roman"/>
                <w:sz w:val="28"/>
              </w:rPr>
              <w:t>El debate del proye</w:t>
            </w:r>
            <w:r w:rsidRPr="003E425B">
              <w:rPr>
                <w:rFonts w:ascii="Times New Roman" w:hAnsi="Times New Roman" w:cs="Times New Roman"/>
                <w:sz w:val="28"/>
              </w:rPr>
              <w:t>cto consideró que el Ministerio costaría cerca de 18.239 millones de peso</w:t>
            </w:r>
            <w:r w:rsidRPr="003E425B">
              <w:rPr>
                <w:rFonts w:ascii="Times New Roman" w:hAnsi="Times New Roman" w:cs="Times New Roman"/>
                <w:sz w:val="28"/>
              </w:rPr>
              <w:t>s y que, “al no tener definido en el proyecto de ley una fuente de ingresos adicional, de conformidad con el artículo 7 de la Ley 819 de 2003 (Orgánica del presu</w:t>
            </w:r>
            <w:r w:rsidRPr="003E425B">
              <w:rPr>
                <w:rFonts w:ascii="Times New Roman" w:hAnsi="Times New Roman" w:cs="Times New Roman"/>
                <w:sz w:val="28"/>
              </w:rPr>
              <w:t>puesto), los costos del Ministerio serán atendidos con los presupuestos apropiados por el Presupuesto General de la Nación para cada vigencia”.</w:t>
            </w:r>
            <w:r w:rsidRPr="003E425B">
              <w:rPr>
                <w:rFonts w:ascii="Times New Roman" w:hAnsi="Times New Roman" w:cs="Times New Roman"/>
                <w:sz w:val="28"/>
              </w:rPr>
              <w:t xml:space="preserve"> Además, para el segundo debate, el MHCP conceptuó</w:t>
            </w:r>
            <w:r w:rsidRPr="003E425B">
              <w:rPr>
                <w:rFonts w:ascii="Times New Roman" w:hAnsi="Times New Roman" w:cs="Times New Roman"/>
                <w:sz w:val="28"/>
              </w:rPr>
              <w:t xml:space="preserve">. </w:t>
            </w:r>
          </w:p>
          <w:p w:rsidR="007426E2"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No se pronunció sobre este cargo.</w:t>
            </w:r>
          </w:p>
        </w:tc>
        <w:tc>
          <w:tcPr>
            <w:tcW w:w="4821" w:type="dxa"/>
            <w:vAlign w:val="center"/>
          </w:tcPr>
          <w:p w:rsidR="007426E2" w:rsidRPr="003E425B" w:rsidRDefault="003E425B" w:rsidP="00DA1CD7">
            <w:pPr>
              <w:rPr>
                <w:rFonts w:ascii="Times New Roman" w:hAnsi="Times New Roman" w:cs="Times New Roman"/>
                <w:sz w:val="28"/>
              </w:rPr>
            </w:pPr>
            <w:r w:rsidRPr="003E425B">
              <w:rPr>
                <w:rFonts w:ascii="Times New Roman" w:hAnsi="Times New Roman" w:cs="Times New Roman"/>
                <w:sz w:val="28"/>
              </w:rPr>
              <w:t>La</w:t>
            </w:r>
            <w:r w:rsidRPr="003E425B">
              <w:rPr>
                <w:rFonts w:ascii="Times New Roman" w:hAnsi="Times New Roman" w:cs="Times New Roman"/>
                <w:sz w:val="28"/>
              </w:rPr>
              <w:t>s</w:t>
            </w:r>
            <w:r w:rsidRPr="003E425B">
              <w:rPr>
                <w:rFonts w:ascii="Times New Roman" w:hAnsi="Times New Roman" w:cs="Times New Roman"/>
                <w:sz w:val="28"/>
              </w:rPr>
              <w:t xml:space="preserve"> facultades no están indeterminadas. </w:t>
            </w:r>
            <w:r w:rsidRPr="003E425B">
              <w:rPr>
                <w:rFonts w:ascii="Times New Roman" w:hAnsi="Times New Roman" w:cs="Times New Roman"/>
                <w:sz w:val="28"/>
              </w:rPr>
              <w:t>El alcance de las mismas es claro: expedir normas con fuerza material de ley dirigidas a integrar al Sector de Igualdad y Equidad con las entidades que se definan como adscritas o vinculadas</w:t>
            </w:r>
            <w:r w:rsidRPr="003E425B">
              <w:rPr>
                <w:rFonts w:ascii="Times New Roman" w:hAnsi="Times New Roman" w:cs="Times New Roman"/>
                <w:sz w:val="28"/>
              </w:rPr>
              <w:t>.</w:t>
            </w:r>
            <w:r w:rsidRPr="003E425B">
              <w:rPr>
                <w:rFonts w:ascii="Times New Roman" w:hAnsi="Times New Roman" w:cs="Times New Roman"/>
                <w:sz w:val="28"/>
              </w:rPr>
              <w:t xml:space="preserve"> </w:t>
            </w:r>
            <w:r w:rsidRPr="003E425B">
              <w:rPr>
                <w:rFonts w:ascii="Times New Roman" w:hAnsi="Times New Roman" w:cs="Times New Roman"/>
                <w:sz w:val="28"/>
              </w:rPr>
              <w:t>En el presente caso, las fa</w:t>
            </w:r>
            <w:r w:rsidRPr="003E425B">
              <w:rPr>
                <w:rFonts w:ascii="Times New Roman" w:hAnsi="Times New Roman" w:cs="Times New Roman"/>
                <w:sz w:val="28"/>
              </w:rPr>
              <w:t xml:space="preserve">cultades </w:t>
            </w:r>
            <w:r w:rsidRPr="003E425B">
              <w:rPr>
                <w:rFonts w:ascii="Times New Roman" w:hAnsi="Times New Roman" w:cs="Times New Roman"/>
                <w:sz w:val="28"/>
              </w:rPr>
              <w:t>fueron concedidas conforme a la Constitución, porque “(i) fueron solicitadas expresamente por el Gobierno Nacional desde la radicación del proyecto de ley, en el texto del proyecto original; (ii) fueron aprobadas por las mayorías absolutas de sena</w:t>
            </w:r>
            <w:r w:rsidRPr="003E425B">
              <w:rPr>
                <w:rFonts w:ascii="Times New Roman" w:hAnsi="Times New Roman" w:cs="Times New Roman"/>
                <w:sz w:val="28"/>
              </w:rPr>
              <w:t xml:space="preserve">do y cámara en cada uno de sus debates, como consta en las actas correspondientes y en los soportes audiovisuales de las sesiones </w:t>
            </w:r>
            <w:r w:rsidRPr="003E425B">
              <w:rPr>
                <w:rFonts w:ascii="Times New Roman" w:hAnsi="Times New Roman" w:cs="Times New Roman"/>
                <w:sz w:val="28"/>
              </w:rPr>
              <w:t>(…)</w:t>
            </w:r>
            <w:r w:rsidRPr="003E425B">
              <w:rPr>
                <w:rFonts w:ascii="Times New Roman" w:hAnsi="Times New Roman" w:cs="Times New Roman"/>
                <w:sz w:val="28"/>
              </w:rPr>
              <w:t>; (iii) en la exposición de motivos y en los debates del proyecto de ley se pudo evidenciar por qué era necesaria crear una</w:t>
            </w:r>
            <w:r w:rsidRPr="003E425B">
              <w:rPr>
                <w:rFonts w:ascii="Times New Roman" w:hAnsi="Times New Roman" w:cs="Times New Roman"/>
                <w:sz w:val="28"/>
              </w:rPr>
              <w:t xml:space="preserve"> cartera ministerial que articulara las acciones del ejecutivo en materia de igualdad (iv) con estas facultades no se busca crear ningún código, ni modificar una ley estatutaria u orgánica, ni tampoco colocar impuestos, ni ninguna de las materias que son c</w:t>
            </w:r>
            <w:r w:rsidRPr="003E425B">
              <w:rPr>
                <w:rFonts w:ascii="Times New Roman" w:hAnsi="Times New Roman" w:cs="Times New Roman"/>
                <w:sz w:val="28"/>
              </w:rPr>
              <w:t>ompetencia del Congreso de la República; (v) su término es de seis meses; y (vi) no elimina la competencia del Congreso de la República para modificar los decretos legislativos en cualquier momento</w:t>
            </w:r>
            <w:r w:rsidRPr="003E425B">
              <w:rPr>
                <w:rFonts w:ascii="Times New Roman" w:hAnsi="Times New Roman" w:cs="Times New Roman"/>
                <w:sz w:val="28"/>
              </w:rPr>
              <w:t>”</w:t>
            </w:r>
            <w:r w:rsidRPr="003E425B">
              <w:rPr>
                <w:rFonts w:ascii="Times New Roman" w:hAnsi="Times New Roman" w:cs="Times New Roman"/>
                <w:sz w:val="28"/>
              </w:rPr>
              <w:t>.</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r w:rsidRPr="003E425B">
              <w:rPr>
                <w:rFonts w:ascii="Times New Roman" w:eastAsia="Times New Roman" w:hAnsi="Times New Roman" w:cs="Times New Roman"/>
                <w:color w:val="000000"/>
                <w:sz w:val="28"/>
              </w:rPr>
              <w:t>4</w:t>
            </w:r>
          </w:p>
        </w:tc>
        <w:tc>
          <w:tcPr>
            <w:tcW w:w="2712"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Luz María Múnera</w:t>
            </w:r>
          </w:p>
        </w:tc>
        <w:tc>
          <w:tcPr>
            <w:tcW w:w="7587" w:type="dxa"/>
            <w:gridSpan w:val="2"/>
            <w:vAlign w:val="center"/>
          </w:tcPr>
          <w:p w:rsidR="00143D76" w:rsidRPr="003E425B" w:rsidRDefault="003E425B" w:rsidP="00143D76">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El tr</w:t>
            </w:r>
            <w:r w:rsidRPr="003E425B">
              <w:rPr>
                <w:rFonts w:ascii="Times New Roman" w:hAnsi="Times New Roman" w:cs="Times New Roman"/>
                <w:sz w:val="28"/>
              </w:rPr>
              <w:t xml:space="preserve">ámite legislativo cumplió este requisito en los términos exigidos por la jurisprudencia. El alcance del requisito de evaluar de impacto fiscal “debe analizarse a la luz del objetivo constitucional de salvaguardar la dimensión prestacional de [el derecho a </w:t>
            </w:r>
            <w:r w:rsidRPr="003E425B">
              <w:rPr>
                <w:rFonts w:ascii="Times New Roman" w:hAnsi="Times New Roman" w:cs="Times New Roman"/>
                <w:sz w:val="28"/>
              </w:rPr>
              <w:t>la igualdad] sin supeditar su goce efectivo a la regla fiscal o a una determinación demasiado rígida, y por tanto limitada, de sus costos”. En cualquier caso, el trámite del proyecto de ley que dio lugar a la aprobación de la ley 2281 de 2023 “estuvo prece</w:t>
            </w:r>
            <w:r w:rsidRPr="003E425B">
              <w:rPr>
                <w:rFonts w:ascii="Times New Roman" w:hAnsi="Times New Roman" w:cs="Times New Roman"/>
                <w:sz w:val="28"/>
              </w:rPr>
              <w:t>dido de deliberaciones basadas en consideraciones básicas sobre las necesidades presupuestales globales de la implementación de la misma y por tanto, de sus efectos fiscales”, lo cual satisface el estándar jurisprudencial exigido para estos casos. Por lo d</w:t>
            </w:r>
            <w:r w:rsidRPr="003E425B">
              <w:rPr>
                <w:rFonts w:ascii="Times New Roman" w:hAnsi="Times New Roman" w:cs="Times New Roman"/>
                <w:sz w:val="28"/>
              </w:rPr>
              <w:t>emás, la Corte debe valorar que la iniciativa legislativa ha sido presentada conjuntamente por el Gobierno y algunos congresistas, por tanto, “el cumplimiento de los requisitos de valoración del impacto fiscal de la medida en el curso del trámite se evalúa</w:t>
            </w:r>
            <w:r w:rsidRPr="003E425B">
              <w:rPr>
                <w:rFonts w:ascii="Times New Roman" w:hAnsi="Times New Roman" w:cs="Times New Roman"/>
                <w:sz w:val="28"/>
              </w:rPr>
              <w:t xml:space="preserve"> bajo un escrutinio deferente de las decisiones adoptadas”.</w:t>
            </w:r>
          </w:p>
          <w:p w:rsidR="007426E2" w:rsidRPr="003E425B" w:rsidRDefault="003E425B" w:rsidP="00F31CA1">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w:t>
            </w:r>
            <w:r w:rsidRPr="003E425B">
              <w:rPr>
                <w:rFonts w:ascii="Times New Roman" w:hAnsi="Times New Roman" w:cs="Times New Roman"/>
                <w:sz w:val="28"/>
              </w:rPr>
              <w:t>Manifestó acogerse “a las actas de las sesiones conjuntas donde se consigna el requisito de las mayorías absolutas”.</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 xml:space="preserve">La facultades obedecen a </w:t>
            </w:r>
            <w:r w:rsidRPr="003E425B">
              <w:rPr>
                <w:rFonts w:ascii="Times New Roman" w:hAnsi="Times New Roman" w:cs="Times New Roman"/>
                <w:sz w:val="28"/>
              </w:rPr>
              <w:t>“la necesidad de revisar administra</w:t>
            </w:r>
            <w:r w:rsidRPr="003E425B">
              <w:rPr>
                <w:rFonts w:ascii="Times New Roman" w:hAnsi="Times New Roman" w:cs="Times New Roman"/>
                <w:sz w:val="28"/>
              </w:rPr>
              <w:t>tivamente la oferta institucional para consolidar un sector de Igualdad y Equidad con potencial transformador al reunir a las entidades competentes, con el objetivo de articularlas y mejorar su rendimiento”</w:t>
            </w:r>
            <w:r w:rsidRPr="003E425B">
              <w:rPr>
                <w:rFonts w:ascii="Times New Roman" w:hAnsi="Times New Roman" w:cs="Times New Roman"/>
                <w:sz w:val="28"/>
              </w:rPr>
              <w:t xml:space="preserve">. El uso de estas facultades se debe sustentar en </w:t>
            </w:r>
            <w:r w:rsidRPr="003E425B">
              <w:rPr>
                <w:rFonts w:ascii="Times New Roman" w:hAnsi="Times New Roman" w:cs="Times New Roman"/>
                <w:sz w:val="28"/>
              </w:rPr>
              <w:t>el análisis técnico que actualmente adelanta</w:t>
            </w:r>
            <w:r w:rsidRPr="003E425B">
              <w:rPr>
                <w:rFonts w:ascii="Times New Roman" w:hAnsi="Times New Roman" w:cs="Times New Roman"/>
                <w:sz w:val="28"/>
              </w:rPr>
              <w:t xml:space="preserve"> la “Mesa Técnica entre la Vicepresidencia de la </w:t>
            </w:r>
            <w:r w:rsidRPr="003E425B">
              <w:rPr>
                <w:rFonts w:ascii="Times New Roman" w:hAnsi="Times New Roman" w:cs="Times New Roman"/>
                <w:sz w:val="28"/>
              </w:rPr>
              <w:t>República</w:t>
            </w:r>
            <w:r w:rsidRPr="003E425B">
              <w:rPr>
                <w:rFonts w:ascii="Times New Roman" w:hAnsi="Times New Roman" w:cs="Times New Roman"/>
                <w:sz w:val="28"/>
              </w:rPr>
              <w:t xml:space="preserve">, el Departamento Administrativo de la Función Pública y el Ministerio de Hacienda y Crédito Público para definir los aspectos que faltan sobre el sector </w:t>
            </w:r>
            <w:r w:rsidRPr="003E425B">
              <w:rPr>
                <w:rFonts w:ascii="Times New Roman" w:hAnsi="Times New Roman" w:cs="Times New Roman"/>
                <w:sz w:val="28"/>
              </w:rPr>
              <w:t>y que atiende a discusiones con base en elementos como la capacidad y necesidad institucional”</w:t>
            </w:r>
            <w:r w:rsidRPr="003E425B">
              <w:rPr>
                <w:rFonts w:ascii="Times New Roman" w:hAnsi="Times New Roman" w:cs="Times New Roman"/>
                <w:sz w:val="28"/>
              </w:rPr>
              <w:t>.</w:t>
            </w:r>
            <w:r w:rsidRPr="003E425B">
              <w:rPr>
                <w:rFonts w:ascii="Times New Roman" w:hAnsi="Times New Roman" w:cs="Times New Roman"/>
                <w:sz w:val="28"/>
              </w:rPr>
              <w:t xml:space="preserve"> </w:t>
            </w:r>
          </w:p>
        </w:tc>
        <w:tc>
          <w:tcPr>
            <w:tcW w:w="174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Exequibilidad</w:t>
            </w:r>
          </w:p>
        </w:tc>
      </w:tr>
      <w:tr w:rsidR="007426E2" w:rsidRPr="003E425B" w:rsidTr="00E16802">
        <w:tc>
          <w:tcPr>
            <w:tcW w:w="453"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w:t>
            </w:r>
            <w:r w:rsidRPr="003E425B">
              <w:rPr>
                <w:rFonts w:ascii="Times New Roman" w:eastAsia="Times New Roman" w:hAnsi="Times New Roman" w:cs="Times New Roman"/>
                <w:color w:val="000000"/>
                <w:sz w:val="28"/>
              </w:rPr>
              <w:t>5</w:t>
            </w:r>
          </w:p>
        </w:tc>
        <w:tc>
          <w:tcPr>
            <w:tcW w:w="2712" w:type="dxa"/>
            <w:vAlign w:val="center"/>
          </w:tcPr>
          <w:p w:rsidR="007426E2"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Harold Sua</w:t>
            </w:r>
          </w:p>
        </w:tc>
        <w:tc>
          <w:tcPr>
            <w:tcW w:w="7587" w:type="dxa"/>
            <w:gridSpan w:val="2"/>
            <w:vAlign w:val="center"/>
          </w:tcPr>
          <w:p w:rsidR="00B9639C" w:rsidRPr="003E425B" w:rsidRDefault="003E425B" w:rsidP="00B9639C">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Impacto Fiscal.</w:t>
            </w:r>
            <w:r w:rsidRPr="003E425B">
              <w:rPr>
                <w:rFonts w:ascii="Times New Roman" w:hAnsi="Times New Roman" w:cs="Times New Roman"/>
                <w:sz w:val="28"/>
              </w:rPr>
              <w:t xml:space="preserve"> </w:t>
            </w:r>
            <w:r w:rsidRPr="003E425B">
              <w:rPr>
                <w:rFonts w:ascii="Times New Roman" w:hAnsi="Times New Roman" w:cs="Times New Roman"/>
                <w:sz w:val="28"/>
              </w:rPr>
              <w:t xml:space="preserve">El Congreso no realizó el análisis de impacto fiscal. </w:t>
            </w:r>
            <w:r w:rsidRPr="003E425B">
              <w:rPr>
                <w:rFonts w:ascii="Times New Roman" w:hAnsi="Times New Roman" w:cs="Times New Roman"/>
                <w:sz w:val="28"/>
              </w:rPr>
              <w:t xml:space="preserve">La exposición de motivos del proyecto de ley </w:t>
            </w:r>
            <w:r w:rsidRPr="003E425B">
              <w:rPr>
                <w:rFonts w:ascii="Times New Roman" w:hAnsi="Times New Roman" w:cs="Times New Roman"/>
                <w:sz w:val="28"/>
              </w:rPr>
              <w:t xml:space="preserve">carece de </w:t>
            </w:r>
            <w:r w:rsidRPr="003E425B">
              <w:rPr>
                <w:rFonts w:ascii="Times New Roman" w:hAnsi="Times New Roman" w:cs="Times New Roman"/>
                <w:sz w:val="28"/>
              </w:rPr>
              <w:t xml:space="preserve">la </w:t>
            </w:r>
            <w:r w:rsidRPr="003E425B">
              <w:rPr>
                <w:rFonts w:ascii="Times New Roman" w:hAnsi="Times New Roman" w:cs="Times New Roman"/>
                <w:sz w:val="28"/>
              </w:rPr>
              <w:t>indicación siquiera sumaria de los costos fiscales de la creación del Ministerio de la Igualdad</w:t>
            </w:r>
            <w:r w:rsidRPr="003E425B">
              <w:rPr>
                <w:rFonts w:ascii="Times New Roman" w:hAnsi="Times New Roman" w:cs="Times New Roman"/>
                <w:sz w:val="28"/>
              </w:rPr>
              <w:t>. Esto fue admitido por el MHCP que sostuvo que</w:t>
            </w:r>
            <w:r w:rsidRPr="003E425B">
              <w:rPr>
                <w:rFonts w:ascii="Times New Roman" w:hAnsi="Times New Roman" w:cs="Times New Roman"/>
                <w:sz w:val="28"/>
              </w:rPr>
              <w:t xml:space="preserve"> “el costo preciso de creación y operación del nuevo Ministerio se puede tener una vez se cuente con la estructura</w:t>
            </w:r>
            <w:r w:rsidRPr="003E425B">
              <w:rPr>
                <w:rFonts w:ascii="Times New Roman" w:hAnsi="Times New Roman" w:cs="Times New Roman"/>
                <w:sz w:val="28"/>
              </w:rPr>
              <w:t xml:space="preserve"> final de la entidad”</w:t>
            </w:r>
            <w:r w:rsidRPr="003E425B">
              <w:rPr>
                <w:rFonts w:ascii="Times New Roman" w:hAnsi="Times New Roman" w:cs="Times New Roman"/>
                <w:sz w:val="28"/>
              </w:rPr>
              <w:t>.</w:t>
            </w:r>
          </w:p>
          <w:p w:rsidR="007426E2" w:rsidRPr="003E425B" w:rsidRDefault="003E425B" w:rsidP="00B9639C">
            <w:pPr>
              <w:numPr>
                <w:ilvl w:val="0"/>
                <w:numId w:val="44"/>
              </w:numPr>
              <w:ind w:left="0" w:firstLine="0"/>
              <w:rPr>
                <w:rFonts w:ascii="Times New Roman" w:hAnsi="Times New Roman" w:cs="Times New Roman"/>
                <w:i/>
                <w:iCs/>
                <w:sz w:val="28"/>
              </w:rPr>
            </w:pPr>
            <w:r w:rsidRPr="003E425B">
              <w:rPr>
                <w:rFonts w:ascii="Times New Roman" w:hAnsi="Times New Roman" w:cs="Times New Roman"/>
                <w:i/>
                <w:iCs/>
                <w:sz w:val="28"/>
              </w:rPr>
              <w:t>Quórum y mayorías.</w:t>
            </w:r>
            <w:r w:rsidRPr="003E425B">
              <w:rPr>
                <w:rFonts w:ascii="Times New Roman" w:hAnsi="Times New Roman" w:cs="Times New Roman"/>
                <w:sz w:val="28"/>
              </w:rPr>
              <w:t xml:space="preserve"> No se pronunció en relación con este cargo.</w:t>
            </w:r>
          </w:p>
        </w:tc>
        <w:tc>
          <w:tcPr>
            <w:tcW w:w="4821" w:type="dxa"/>
            <w:vAlign w:val="center"/>
          </w:tcPr>
          <w:p w:rsidR="007426E2" w:rsidRPr="003E425B" w:rsidRDefault="003E425B" w:rsidP="007426E2">
            <w:pPr>
              <w:rPr>
                <w:rFonts w:ascii="Times New Roman" w:hAnsi="Times New Roman" w:cs="Times New Roman"/>
                <w:sz w:val="28"/>
              </w:rPr>
            </w:pPr>
            <w:r w:rsidRPr="003E425B">
              <w:rPr>
                <w:rFonts w:ascii="Times New Roman" w:hAnsi="Times New Roman" w:cs="Times New Roman"/>
                <w:sz w:val="28"/>
              </w:rPr>
              <w:t>No se pronunció en relación con este cargo.</w:t>
            </w:r>
          </w:p>
        </w:tc>
        <w:tc>
          <w:tcPr>
            <w:tcW w:w="1741" w:type="dxa"/>
            <w:vAlign w:val="center"/>
          </w:tcPr>
          <w:p w:rsidR="00D53599" w:rsidRPr="003E425B" w:rsidRDefault="003E425B" w:rsidP="00D53599">
            <w:pPr>
              <w:rPr>
                <w:rFonts w:ascii="Times New Roman" w:hAnsi="Times New Roman" w:cs="Times New Roman"/>
                <w:sz w:val="28"/>
              </w:rPr>
            </w:pPr>
            <w:r w:rsidRPr="003E425B">
              <w:rPr>
                <w:rFonts w:ascii="Times New Roman" w:hAnsi="Times New Roman" w:cs="Times New Roman"/>
                <w:i/>
                <w:iCs/>
                <w:sz w:val="28"/>
              </w:rPr>
              <w:t xml:space="preserve">Cargo por omisión de analizar el impacto fiscal: </w:t>
            </w:r>
            <w:r w:rsidRPr="003E425B">
              <w:rPr>
                <w:rFonts w:ascii="Times New Roman" w:hAnsi="Times New Roman" w:cs="Times New Roman"/>
                <w:sz w:val="28"/>
              </w:rPr>
              <w:t>Inexequibilidad.</w:t>
            </w:r>
          </w:p>
          <w:p w:rsidR="007426E2" w:rsidRPr="003E425B" w:rsidRDefault="003E425B" w:rsidP="00D53599">
            <w:pPr>
              <w:rPr>
                <w:rFonts w:ascii="Times New Roman" w:hAnsi="Times New Roman" w:cs="Times New Roman"/>
                <w:sz w:val="28"/>
              </w:rPr>
            </w:pPr>
            <w:r w:rsidRPr="003E425B">
              <w:rPr>
                <w:rFonts w:ascii="Times New Roman" w:hAnsi="Times New Roman" w:cs="Times New Roman"/>
                <w:sz w:val="28"/>
              </w:rPr>
              <w:t>No se pronunció en relación con los demás cargos.</w:t>
            </w:r>
          </w:p>
        </w:tc>
      </w:tr>
      <w:tr w:rsidR="00676A9F" w:rsidRPr="003E425B" w:rsidTr="00E16802">
        <w:tc>
          <w:tcPr>
            <w:tcW w:w="453" w:type="dxa"/>
            <w:vAlign w:val="center"/>
          </w:tcPr>
          <w:p w:rsidR="00676A9F"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16</w:t>
            </w:r>
          </w:p>
        </w:tc>
        <w:tc>
          <w:tcPr>
            <w:tcW w:w="2712" w:type="dxa"/>
            <w:vAlign w:val="center"/>
          </w:tcPr>
          <w:p w:rsidR="00676A9F" w:rsidRPr="003E425B" w:rsidRDefault="003E425B" w:rsidP="007426E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Departamento Nacional de Planeación (DNP)</w:t>
            </w:r>
          </w:p>
        </w:tc>
        <w:tc>
          <w:tcPr>
            <w:tcW w:w="12408" w:type="dxa"/>
            <w:gridSpan w:val="3"/>
            <w:vAlign w:val="center"/>
          </w:tcPr>
          <w:p w:rsidR="00676A9F" w:rsidRPr="003E425B" w:rsidRDefault="003E425B" w:rsidP="007426E2">
            <w:pPr>
              <w:rPr>
                <w:rFonts w:ascii="Times New Roman" w:hAnsi="Times New Roman" w:cs="Times New Roman"/>
                <w:sz w:val="28"/>
              </w:rPr>
            </w:pPr>
            <w:r w:rsidRPr="003E425B">
              <w:rPr>
                <w:rFonts w:ascii="Times New Roman" w:hAnsi="Times New Roman" w:cs="Times New Roman"/>
                <w:sz w:val="28"/>
              </w:rPr>
              <w:t>No se pronunció en relación con ninguno de los cargos de la demanda. Planteó argumentos a favor de la “pertinencia de contar con una entidad rectora como el Ministerio de Igualdad y Equidad, que sea la instancia re</w:t>
            </w:r>
            <w:r w:rsidRPr="003E425B">
              <w:rPr>
                <w:rFonts w:ascii="Times New Roman" w:hAnsi="Times New Roman" w:cs="Times New Roman"/>
                <w:sz w:val="28"/>
              </w:rPr>
              <w:t>ctora para aunar esfuerzos orientados a disminuir las brechas de acceso, contrarrestar los fenómenos de la exclusión que enfrenta la población y superar las barreras para el acceso a bienes y servicios básico, especialmente de los grupos vulnerables”. Al r</w:t>
            </w:r>
            <w:r w:rsidRPr="003E425B">
              <w:rPr>
                <w:rFonts w:ascii="Times New Roman" w:hAnsi="Times New Roman" w:cs="Times New Roman"/>
                <w:sz w:val="28"/>
              </w:rPr>
              <w:t>especto, enlistó una serie de asuntos que en la actualidad se encuentran a cargo del DNP y que el Ministerio de la Igualdad debería “consolidar y desarrollar”, entre estos: la Política Nacional de Equidad de Género para las Mujeres (Conpes 4080 de 2022), l</w:t>
            </w:r>
            <w:r w:rsidRPr="003E425B">
              <w:rPr>
                <w:rFonts w:ascii="Times New Roman" w:hAnsi="Times New Roman" w:cs="Times New Roman"/>
                <w:sz w:val="28"/>
              </w:rPr>
              <w:t>a Evaluación de resultados e institucional del CONPES 161 de 2013, la política pública para la garantía de derechos de las personas de los sectores sociales LGBTI (Decreto 762 de 2018), el Pacto Colombia con las juventudes: Estrategia para fortalecer el de</w:t>
            </w:r>
            <w:r w:rsidRPr="003E425B">
              <w:rPr>
                <w:rFonts w:ascii="Times New Roman" w:hAnsi="Times New Roman" w:cs="Times New Roman"/>
                <w:sz w:val="28"/>
              </w:rPr>
              <w:t>sarrollo integral de la juventud (Conpes 4040 de 2021), la Política de personas en condición de discapacidad y los Lineamientos de política en materia del sistema nacional de cuidado.</w:t>
            </w:r>
            <w:r w:rsidRPr="003E425B">
              <w:rPr>
                <w:rFonts w:ascii="Times New Roman" w:hAnsi="Times New Roman" w:cs="Times New Roman"/>
                <w:sz w:val="28"/>
              </w:rPr>
              <w:tab/>
            </w:r>
          </w:p>
        </w:tc>
        <w:tc>
          <w:tcPr>
            <w:tcW w:w="1741" w:type="dxa"/>
            <w:vAlign w:val="center"/>
          </w:tcPr>
          <w:p w:rsidR="00676A9F" w:rsidRPr="003E425B" w:rsidRDefault="003E425B" w:rsidP="007426E2">
            <w:pPr>
              <w:rPr>
                <w:rFonts w:ascii="Times New Roman" w:hAnsi="Times New Roman" w:cs="Times New Roman"/>
                <w:sz w:val="28"/>
              </w:rPr>
            </w:pPr>
            <w:r w:rsidRPr="003E425B">
              <w:rPr>
                <w:rFonts w:ascii="Times New Roman" w:hAnsi="Times New Roman" w:cs="Times New Roman"/>
                <w:sz w:val="28"/>
              </w:rPr>
              <w:t>No hace ninguna solicitud expresa.</w:t>
            </w:r>
          </w:p>
        </w:tc>
      </w:tr>
      <w:tr w:rsidR="00676A9F" w:rsidRPr="003E425B" w:rsidTr="00E16802">
        <w:tc>
          <w:tcPr>
            <w:tcW w:w="453" w:type="dxa"/>
            <w:vAlign w:val="center"/>
          </w:tcPr>
          <w:p w:rsidR="00676A9F" w:rsidRPr="003E425B" w:rsidRDefault="003E425B" w:rsidP="0045404C">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17</w:t>
            </w:r>
          </w:p>
        </w:tc>
        <w:tc>
          <w:tcPr>
            <w:tcW w:w="2712" w:type="dxa"/>
            <w:vAlign w:val="center"/>
          </w:tcPr>
          <w:p w:rsidR="00676A9F" w:rsidRPr="003E425B" w:rsidRDefault="003E425B" w:rsidP="0045404C">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Jahel Quiroga</w:t>
            </w:r>
          </w:p>
        </w:tc>
        <w:tc>
          <w:tcPr>
            <w:tcW w:w="12408" w:type="dxa"/>
            <w:gridSpan w:val="3"/>
            <w:vAlign w:val="center"/>
          </w:tcPr>
          <w:p w:rsidR="00676A9F" w:rsidRPr="003E425B" w:rsidRDefault="003E425B" w:rsidP="007B0CDF">
            <w:pPr>
              <w:rPr>
                <w:rFonts w:ascii="Times New Roman" w:hAnsi="Times New Roman" w:cs="Times New Roman"/>
                <w:sz w:val="28"/>
              </w:rPr>
            </w:pPr>
            <w:r w:rsidRPr="003E425B">
              <w:rPr>
                <w:rFonts w:ascii="Times New Roman" w:hAnsi="Times New Roman" w:cs="Times New Roman"/>
                <w:sz w:val="28"/>
              </w:rPr>
              <w:t xml:space="preserve">No se pronunció en relación con ninguno de los cargos de la demanda. </w:t>
            </w:r>
            <w:r w:rsidRPr="003E425B">
              <w:rPr>
                <w:rFonts w:ascii="Times New Roman" w:hAnsi="Times New Roman" w:cs="Times New Roman"/>
                <w:sz w:val="28"/>
              </w:rPr>
              <w:t>Resaltó que Colombia ha adquirido obligaciones internacionales para promover la igualdad de género y el desarrollo sostenible, como la Agenda 2030 de la ONU y el Objetivo de Desarrollo So</w:t>
            </w:r>
            <w:r w:rsidRPr="003E425B">
              <w:rPr>
                <w:rFonts w:ascii="Times New Roman" w:hAnsi="Times New Roman" w:cs="Times New Roman"/>
                <w:sz w:val="28"/>
              </w:rPr>
              <w:t>stenible 5. Además, debe cumplir con los compromisos establecidos por el Comité de la CEDAW, el Sistema Interamericano de Derechos Humanos y otros organismos. El Ministerio de Igualdad tiene la misión de promover políticas y medidas que fomenten la igualda</w:t>
            </w:r>
            <w:r w:rsidRPr="003E425B">
              <w:rPr>
                <w:rFonts w:ascii="Times New Roman" w:hAnsi="Times New Roman" w:cs="Times New Roman"/>
                <w:sz w:val="28"/>
              </w:rPr>
              <w:t>d de género en todas las áreas, y debe liderar el cambio que ha sido una de las principales banderas del gobierno actual.</w:t>
            </w:r>
            <w:r w:rsidRPr="003E425B">
              <w:rPr>
                <w:rFonts w:ascii="Times New Roman" w:hAnsi="Times New Roman" w:cs="Times New Roman"/>
                <w:sz w:val="28"/>
              </w:rPr>
              <w:t xml:space="preserve"> Así mismo, </w:t>
            </w:r>
            <w:r w:rsidRPr="003E425B">
              <w:rPr>
                <w:rFonts w:ascii="Times New Roman" w:hAnsi="Times New Roman" w:cs="Times New Roman"/>
                <w:sz w:val="28"/>
              </w:rPr>
              <w:t xml:space="preserve">destacó que </w:t>
            </w:r>
            <w:r w:rsidRPr="003E425B">
              <w:rPr>
                <w:rFonts w:ascii="Times New Roman" w:hAnsi="Times New Roman" w:cs="Times New Roman"/>
                <w:sz w:val="28"/>
              </w:rPr>
              <w:t xml:space="preserve">el Ministerio de Igualdad </w:t>
            </w:r>
            <w:r w:rsidRPr="003E425B">
              <w:rPr>
                <w:rFonts w:ascii="Times New Roman" w:hAnsi="Times New Roman" w:cs="Times New Roman"/>
                <w:sz w:val="28"/>
              </w:rPr>
              <w:t>es</w:t>
            </w:r>
            <w:r w:rsidRPr="003E425B">
              <w:rPr>
                <w:rFonts w:ascii="Times New Roman" w:hAnsi="Times New Roman" w:cs="Times New Roman"/>
                <w:sz w:val="28"/>
              </w:rPr>
              <w:t xml:space="preserve"> una institución vital para el futuro de Colombia, que sentará las bases para cerrar las brechas de desigualdad, especialmente aquellas asociadas con la discriminación de género. </w:t>
            </w:r>
            <w:r w:rsidRPr="003E425B">
              <w:rPr>
                <w:rFonts w:ascii="Times New Roman" w:hAnsi="Times New Roman" w:cs="Times New Roman"/>
                <w:sz w:val="28"/>
              </w:rPr>
              <w:t>Finalmente, sostuvo que “l</w:t>
            </w:r>
            <w:r w:rsidRPr="003E425B">
              <w:rPr>
                <w:rFonts w:ascii="Times New Roman" w:hAnsi="Times New Roman" w:cs="Times New Roman"/>
                <w:sz w:val="28"/>
              </w:rPr>
              <w:t>a igualdad es un derecho humano fundamental que deb</w:t>
            </w:r>
            <w:r w:rsidRPr="003E425B">
              <w:rPr>
                <w:rFonts w:ascii="Times New Roman" w:hAnsi="Times New Roman" w:cs="Times New Roman"/>
                <w:sz w:val="28"/>
              </w:rPr>
              <w:t>e ser protegido y garantizado por el Estado, y el Ministerio de Igualdad es la herramienta más efectiva que tiene Colombia para cumplir con esta tarea</w:t>
            </w:r>
            <w:r w:rsidRPr="003E425B">
              <w:rPr>
                <w:rFonts w:ascii="Times New Roman" w:hAnsi="Times New Roman" w:cs="Times New Roman"/>
                <w:sz w:val="28"/>
              </w:rPr>
              <w:t>”</w:t>
            </w:r>
            <w:r w:rsidRPr="003E425B">
              <w:rPr>
                <w:rFonts w:ascii="Times New Roman" w:hAnsi="Times New Roman" w:cs="Times New Roman"/>
                <w:sz w:val="28"/>
              </w:rPr>
              <w:t>.</w:t>
            </w:r>
          </w:p>
        </w:tc>
        <w:tc>
          <w:tcPr>
            <w:tcW w:w="1741" w:type="dxa"/>
            <w:vAlign w:val="center"/>
          </w:tcPr>
          <w:p w:rsidR="00676A9F" w:rsidRPr="003E425B" w:rsidRDefault="003E425B" w:rsidP="0045404C">
            <w:pPr>
              <w:rPr>
                <w:rFonts w:ascii="Times New Roman" w:hAnsi="Times New Roman" w:cs="Times New Roman"/>
                <w:sz w:val="28"/>
              </w:rPr>
            </w:pPr>
            <w:r w:rsidRPr="003E425B">
              <w:rPr>
                <w:rFonts w:ascii="Times New Roman" w:hAnsi="Times New Roman" w:cs="Times New Roman"/>
                <w:sz w:val="28"/>
              </w:rPr>
              <w:t>No hace ninguna solicitud expresa.</w:t>
            </w:r>
          </w:p>
        </w:tc>
      </w:tr>
      <w:tr w:rsidR="00D972C3" w:rsidRPr="003E425B" w:rsidTr="0062745C">
        <w:tc>
          <w:tcPr>
            <w:tcW w:w="453" w:type="dxa"/>
            <w:vAlign w:val="center"/>
          </w:tcPr>
          <w:p w:rsidR="00D972C3" w:rsidRPr="003E425B" w:rsidRDefault="003E425B" w:rsidP="008F073D">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18</w:t>
            </w:r>
          </w:p>
        </w:tc>
        <w:tc>
          <w:tcPr>
            <w:tcW w:w="2712" w:type="dxa"/>
          </w:tcPr>
          <w:p w:rsidR="00D972C3" w:rsidRPr="003E425B" w:rsidRDefault="003E425B" w:rsidP="008F073D">
            <w:pPr>
              <w:jc w:val="center"/>
              <w:rPr>
                <w:rFonts w:ascii="Times New Roman" w:eastAsia="Times New Roman" w:hAnsi="Times New Roman" w:cs="Times New Roman"/>
                <w:color w:val="000000"/>
                <w:sz w:val="28"/>
              </w:rPr>
            </w:pPr>
            <w:r w:rsidRPr="003E425B">
              <w:rPr>
                <w:rFonts w:ascii="Times New Roman" w:hAnsi="Times New Roman" w:cs="Times New Roman"/>
                <w:sz w:val="28"/>
              </w:rPr>
              <w:t>Juntanza de mujeres y disidencias sexuales de género de Cali</w:t>
            </w:r>
          </w:p>
        </w:tc>
        <w:tc>
          <w:tcPr>
            <w:tcW w:w="12408" w:type="dxa"/>
            <w:gridSpan w:val="3"/>
          </w:tcPr>
          <w:p w:rsidR="00D972C3" w:rsidRPr="003E425B" w:rsidRDefault="003E425B" w:rsidP="008F073D">
            <w:pPr>
              <w:rPr>
                <w:rFonts w:ascii="Times New Roman" w:hAnsi="Times New Roman" w:cs="Times New Roman"/>
                <w:sz w:val="28"/>
              </w:rPr>
            </w:pPr>
            <w:r w:rsidRPr="003E425B">
              <w:rPr>
                <w:rFonts w:ascii="Times New Roman" w:hAnsi="Times New Roman" w:cs="Times New Roman"/>
                <w:sz w:val="28"/>
              </w:rPr>
              <w:t xml:space="preserve">No </w:t>
            </w:r>
            <w:r w:rsidRPr="003E425B">
              <w:rPr>
                <w:rFonts w:ascii="Times New Roman" w:hAnsi="Times New Roman" w:cs="Times New Roman"/>
                <w:sz w:val="28"/>
              </w:rPr>
              <w:t>presentan ningún argumento concreto sobre la demanda, se limitan a resaltar la importancia de la creación del Ministerio de la Igualdad para las mujeres y las personas con identidades de género diversa.</w:t>
            </w:r>
          </w:p>
        </w:tc>
        <w:tc>
          <w:tcPr>
            <w:tcW w:w="1741" w:type="dxa"/>
          </w:tcPr>
          <w:p w:rsidR="00D972C3" w:rsidRPr="003E425B" w:rsidRDefault="003E425B" w:rsidP="008F073D">
            <w:pPr>
              <w:rPr>
                <w:rFonts w:ascii="Times New Roman" w:hAnsi="Times New Roman" w:cs="Times New Roman"/>
                <w:sz w:val="28"/>
              </w:rPr>
            </w:pPr>
            <w:r w:rsidRPr="003E425B">
              <w:rPr>
                <w:rFonts w:ascii="Times New Roman" w:hAnsi="Times New Roman" w:cs="Times New Roman"/>
                <w:sz w:val="28"/>
              </w:rPr>
              <w:t>Rechazan la demanda formulada por las accionantes.</w:t>
            </w:r>
          </w:p>
        </w:tc>
      </w:tr>
      <w:tr w:rsidR="00893E5E" w:rsidRPr="003E425B" w:rsidTr="00E16802">
        <w:tc>
          <w:tcPr>
            <w:tcW w:w="453" w:type="dxa"/>
            <w:vAlign w:val="center"/>
          </w:tcPr>
          <w:p w:rsidR="00893E5E" w:rsidRPr="003E425B" w:rsidRDefault="003E425B" w:rsidP="00893E5E">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19</w:t>
            </w:r>
          </w:p>
        </w:tc>
        <w:tc>
          <w:tcPr>
            <w:tcW w:w="2712" w:type="dxa"/>
          </w:tcPr>
          <w:p w:rsidR="00893E5E" w:rsidRPr="003E425B" w:rsidRDefault="003E425B" w:rsidP="00893E5E">
            <w:pPr>
              <w:jc w:val="center"/>
              <w:rPr>
                <w:rFonts w:ascii="Times New Roman" w:eastAsia="Times New Roman" w:hAnsi="Times New Roman" w:cs="Times New Roman"/>
                <w:color w:val="000000"/>
                <w:sz w:val="28"/>
              </w:rPr>
            </w:pPr>
            <w:r w:rsidRPr="003E425B">
              <w:rPr>
                <w:rFonts w:ascii="Times New Roman" w:hAnsi="Times New Roman" w:cs="Times New Roman"/>
                <w:sz w:val="28"/>
              </w:rPr>
              <w:t>Red de mujeres del caribe, Red de Mujeres Afrolatinoamericanas, Afrocaribeñas y de la Diáspora, Mesa Nacional Del Cuidado Del Movimiento De Cuidadores Familiares De Personas Con Discapacidad Y Dependencia Funcional De Colombia y Corporación Casa de la m</w:t>
            </w:r>
            <w:r w:rsidRPr="003E425B">
              <w:rPr>
                <w:rFonts w:ascii="Times New Roman" w:hAnsi="Times New Roman" w:cs="Times New Roman"/>
                <w:sz w:val="28"/>
              </w:rPr>
              <w:t>ujer</w:t>
            </w:r>
            <w:r w:rsidRPr="003E425B">
              <w:rPr>
                <w:rStyle w:val="Refdenotaalpie"/>
                <w:rFonts w:ascii="Times New Roman" w:hAnsi="Times New Roman" w:cs="Times New Roman"/>
                <w:sz w:val="28"/>
              </w:rPr>
              <w:footnoteReference w:id="456"/>
            </w:r>
            <w:r w:rsidRPr="003E425B">
              <w:rPr>
                <w:rFonts w:ascii="Times New Roman" w:hAnsi="Times New Roman" w:cs="Times New Roman"/>
                <w:sz w:val="28"/>
              </w:rPr>
              <w:t xml:space="preserve"> </w:t>
            </w:r>
          </w:p>
        </w:tc>
        <w:tc>
          <w:tcPr>
            <w:tcW w:w="6261" w:type="dxa"/>
          </w:tcPr>
          <w:p w:rsidR="00893E5E" w:rsidRPr="003E425B" w:rsidRDefault="003E425B" w:rsidP="00377E1F">
            <w:pPr>
              <w:pStyle w:val="Prrafodelista"/>
              <w:numPr>
                <w:ilvl w:val="0"/>
                <w:numId w:val="45"/>
              </w:numPr>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Sostienen que la exposición de motivos no tiene que estimar el costo de la medida legislativa y, en todo caso, este fue un asunto debatido en las comisiones conjuntas. Asimismo, indican que para la creación de ministerios no se debe estimar el costo de man</w:t>
            </w:r>
            <w:r w:rsidRPr="003E425B">
              <w:rPr>
                <w:rFonts w:ascii="Times New Roman" w:hAnsi="Times New Roman"/>
                <w:sz w:val="28"/>
              </w:rPr>
              <w:t xml:space="preserve">era absoluta. El MHCP rindió concepto sobre la viabilidad del proyecto, el cual fue leído en la plenaria del Senado. El fin de este concepto es deliberativo, no una fórmula de control. El objetivo del ministerio es la reorganización institucional enfocada </w:t>
            </w:r>
            <w:r w:rsidRPr="003E425B">
              <w:rPr>
                <w:rFonts w:ascii="Times New Roman" w:hAnsi="Times New Roman"/>
                <w:sz w:val="28"/>
              </w:rPr>
              <w:t>al cumplimiento de obligaciones internacionales del estado, de manera progresiva, y no tendría costos exorbitantes para las finanzas del Estado. Señalan que el ministerio busca la protección de derechos sociales, por lo que la sostenibilidad no se puede us</w:t>
            </w:r>
            <w:r w:rsidRPr="003E425B">
              <w:rPr>
                <w:rFonts w:ascii="Times New Roman" w:hAnsi="Times New Roman"/>
                <w:sz w:val="28"/>
              </w:rPr>
              <w:t>ar en contra de dicho objetivo. Por otra parte, el concepto de impacto fiscal es un criterio auxiliar u orientado</w:t>
            </w:r>
            <w:r w:rsidRPr="003E425B">
              <w:rPr>
                <w:rFonts w:ascii="Times New Roman" w:hAnsi="Times New Roman"/>
                <w:sz w:val="28"/>
              </w:rPr>
              <w:t>r</w:t>
            </w:r>
            <w:r w:rsidRPr="003E425B">
              <w:rPr>
                <w:rFonts w:ascii="Times New Roman" w:hAnsi="Times New Roman"/>
                <w:sz w:val="28"/>
              </w:rPr>
              <w:t xml:space="preserve">, por lo que cumple una función dialógica o deliberativa. Señalan que la jurisprudencia constitucional ha indicado que </w:t>
            </w:r>
            <w:r w:rsidRPr="003E425B">
              <w:rPr>
                <w:rFonts w:ascii="Times New Roman" w:hAnsi="Times New Roman"/>
                <w:sz w:val="28"/>
                <w:lang w:val="es-ES"/>
              </w:rPr>
              <w:t>“cuando la medida legis</w:t>
            </w:r>
            <w:r w:rsidRPr="003E425B">
              <w:rPr>
                <w:rFonts w:ascii="Times New Roman" w:hAnsi="Times New Roman"/>
                <w:sz w:val="28"/>
                <w:lang w:val="es-ES"/>
              </w:rPr>
              <w:t xml:space="preserve">lativa no impone al Gobierno la realización de un gasto y prevé únicamente una habilitación o autorización legal para incluirlo en el presupuesto, el incumplimiento del artículo 7º de la Ley 819 de 2003 no afecta, en principio, la constitucionalidad de la </w:t>
            </w:r>
            <w:r w:rsidRPr="003E425B">
              <w:rPr>
                <w:rFonts w:ascii="Times New Roman" w:hAnsi="Times New Roman"/>
                <w:sz w:val="28"/>
                <w:lang w:val="es-ES"/>
              </w:rPr>
              <w:t xml:space="preserve">ley”. Indican que el concepto fue efectivamente debatido en la plenaria del Senado. Finalmente, como fue presentado por el Gobierno y algunos congresistas, la jurisprudencia ha señalado que el cumplimiento del requisito de valoración del impacto fiscal se </w:t>
            </w:r>
            <w:r w:rsidRPr="003E425B">
              <w:rPr>
                <w:rFonts w:ascii="Times New Roman" w:hAnsi="Times New Roman"/>
                <w:sz w:val="28"/>
                <w:lang w:val="es-ES"/>
              </w:rPr>
              <w:t>debe analizar de manera deferente.</w:t>
            </w:r>
          </w:p>
          <w:p w:rsidR="00893E5E" w:rsidRPr="003E425B" w:rsidRDefault="003E425B" w:rsidP="00377E1F">
            <w:pPr>
              <w:pStyle w:val="Prrafodelista"/>
              <w:numPr>
                <w:ilvl w:val="0"/>
                <w:numId w:val="45"/>
              </w:numPr>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Indican que la jurisprudencia constitucional “</w:t>
            </w:r>
            <w:r w:rsidRPr="003E425B">
              <w:rPr>
                <w:rFonts w:ascii="Times New Roman" w:hAnsi="Times New Roman"/>
                <w:sz w:val="28"/>
                <w:lang w:val="es-ES"/>
              </w:rPr>
              <w:t>permite que un articulo de una ley ordinaria otorgue facultades extraordinarias sin que esto implique que toda la ley deba ser votada por mayorías absolutas</w:t>
            </w:r>
            <w:r w:rsidRPr="003E425B">
              <w:rPr>
                <w:rFonts w:ascii="Times New Roman" w:hAnsi="Times New Roman"/>
                <w:sz w:val="28"/>
                <w:lang w:val="es-ES"/>
              </w:rPr>
              <w:t>”. Esto, porque nunca ha exigido la aprobación de mayorías absolutas en estos casos. Aseguran que, en todo caso, la norma alcanzó la mayoría absoluta en todos los debates. Además, los demandantes no aportan pruebas idóneas para sustentar que se disolvió el</w:t>
            </w:r>
            <w:r w:rsidRPr="003E425B">
              <w:rPr>
                <w:rFonts w:ascii="Times New Roman" w:hAnsi="Times New Roman"/>
                <w:sz w:val="28"/>
                <w:lang w:val="es-ES"/>
              </w:rPr>
              <w:t xml:space="preserve"> quórum en la sesión del 28 de noviembre de 2022, tales como actas, listados de asistencia o testimonios. Las pruebas aportadas no respaldan de manera contundente la inexequibilidad.</w:t>
            </w:r>
          </w:p>
        </w:tc>
        <w:tc>
          <w:tcPr>
            <w:tcW w:w="6147" w:type="dxa"/>
            <w:gridSpan w:val="2"/>
          </w:tcPr>
          <w:p w:rsidR="00893E5E" w:rsidRPr="003E425B" w:rsidRDefault="003E425B" w:rsidP="00893E5E">
            <w:pPr>
              <w:rPr>
                <w:rFonts w:ascii="Times New Roman" w:hAnsi="Times New Roman" w:cs="Times New Roman"/>
                <w:sz w:val="28"/>
              </w:rPr>
            </w:pPr>
            <w:r w:rsidRPr="003E425B">
              <w:rPr>
                <w:rFonts w:ascii="Times New Roman" w:hAnsi="Times New Roman" w:cs="Times New Roman"/>
                <w:sz w:val="28"/>
              </w:rPr>
              <w:t xml:space="preserve">El artículo 12 cumple con los requisitos de precisión y claridad, en los </w:t>
            </w:r>
            <w:r w:rsidRPr="003E425B">
              <w:rPr>
                <w:rFonts w:ascii="Times New Roman" w:hAnsi="Times New Roman" w:cs="Times New Roman"/>
                <w:sz w:val="28"/>
              </w:rPr>
              <w:t>términos de la jurisprudencia constitucional, porque otorga al presidente facultades extraordinarias para vincular y adscribir a las</w:t>
            </w:r>
          </w:p>
          <w:p w:rsidR="00893E5E" w:rsidRPr="003E425B" w:rsidRDefault="003E425B" w:rsidP="00893E5E">
            <w:pPr>
              <w:rPr>
                <w:rFonts w:ascii="Times New Roman" w:hAnsi="Times New Roman" w:cs="Times New Roman"/>
                <w:sz w:val="28"/>
              </w:rPr>
            </w:pPr>
            <w:r w:rsidRPr="003E425B">
              <w:rPr>
                <w:rFonts w:ascii="Times New Roman" w:hAnsi="Times New Roman" w:cs="Times New Roman"/>
                <w:sz w:val="28"/>
              </w:rPr>
              <w:t>diferentes entidades necesarias para integrar el Sector de Igualdad.</w:t>
            </w:r>
          </w:p>
        </w:tc>
        <w:tc>
          <w:tcPr>
            <w:tcW w:w="1741" w:type="dxa"/>
          </w:tcPr>
          <w:p w:rsidR="00893E5E" w:rsidRPr="003E425B" w:rsidRDefault="003E425B" w:rsidP="00893E5E">
            <w:pPr>
              <w:rPr>
                <w:rFonts w:ascii="Times New Roman" w:hAnsi="Times New Roman" w:cs="Times New Roman"/>
                <w:sz w:val="28"/>
              </w:rPr>
            </w:pPr>
            <w:r w:rsidRPr="003E425B">
              <w:rPr>
                <w:rFonts w:ascii="Times New Roman" w:hAnsi="Times New Roman" w:cs="Times New Roman"/>
                <w:sz w:val="28"/>
              </w:rPr>
              <w:t>Solicitan a la Corte declarar la exequibilidad de la n</w:t>
            </w:r>
            <w:r w:rsidRPr="003E425B">
              <w:rPr>
                <w:rFonts w:ascii="Times New Roman" w:hAnsi="Times New Roman" w:cs="Times New Roman"/>
                <w:sz w:val="28"/>
              </w:rPr>
              <w:t>orma.</w:t>
            </w:r>
          </w:p>
        </w:tc>
      </w:tr>
      <w:tr w:rsidR="00E16802" w:rsidRPr="003E425B" w:rsidTr="00E16802">
        <w:tc>
          <w:tcPr>
            <w:tcW w:w="453" w:type="dxa"/>
            <w:vAlign w:val="center"/>
          </w:tcPr>
          <w:p w:rsidR="00E16802" w:rsidRPr="003E425B" w:rsidRDefault="003E425B" w:rsidP="00E16802">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20</w:t>
            </w:r>
          </w:p>
        </w:tc>
        <w:tc>
          <w:tcPr>
            <w:tcW w:w="2712" w:type="dxa"/>
          </w:tcPr>
          <w:p w:rsidR="00E16802" w:rsidRPr="003E425B" w:rsidRDefault="003E425B" w:rsidP="00E16802">
            <w:pPr>
              <w:jc w:val="center"/>
              <w:rPr>
                <w:rFonts w:ascii="Times New Roman" w:eastAsia="Times New Roman" w:hAnsi="Times New Roman" w:cs="Times New Roman"/>
                <w:color w:val="000000"/>
                <w:sz w:val="28"/>
              </w:rPr>
            </w:pPr>
            <w:r w:rsidRPr="003E425B">
              <w:rPr>
                <w:rFonts w:ascii="Times New Roman" w:hAnsi="Times New Roman" w:cs="Times New Roman"/>
                <w:sz w:val="28"/>
              </w:rPr>
              <w:t>Consultoría para los Derechos humanos y el desplazamiento forzado</w:t>
            </w:r>
          </w:p>
        </w:tc>
        <w:tc>
          <w:tcPr>
            <w:tcW w:w="6261" w:type="dxa"/>
          </w:tcPr>
          <w:p w:rsidR="00E16802" w:rsidRPr="003E425B" w:rsidRDefault="003E425B" w:rsidP="00377E1F">
            <w:pPr>
              <w:pStyle w:val="Prrafodelista"/>
              <w:numPr>
                <w:ilvl w:val="0"/>
                <w:numId w:val="45"/>
              </w:numPr>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El proyecto si cumplió con la carga requerida en el artículo 7 de la Ley 819 de 2003 y la jurisprudencia de la Corte. Aseguran que la interpretación de los demandantes es estricta y rígida. Señala que no se requiere un análisis pormenorizado, sino una deli</w:t>
            </w:r>
            <w:r w:rsidRPr="003E425B">
              <w:rPr>
                <w:rFonts w:ascii="Times New Roman" w:hAnsi="Times New Roman"/>
                <w:sz w:val="28"/>
              </w:rPr>
              <w:t xml:space="preserve">beración mínima que permita definir los impactos fiscales que tendría el proyecto. Además, la ausencia de un concepto del MHCP no afecta la decisión del Congreso, en tanto se haya debatido el impacto fiscal. En este caso, </w:t>
            </w:r>
            <w:r w:rsidRPr="003E425B">
              <w:rPr>
                <w:rFonts w:ascii="Times New Roman" w:hAnsi="Times New Roman"/>
                <w:i/>
                <w:iCs/>
                <w:sz w:val="28"/>
              </w:rPr>
              <w:t xml:space="preserve">(i) </w:t>
            </w:r>
            <w:r w:rsidRPr="003E425B">
              <w:rPr>
                <w:rFonts w:ascii="Times New Roman" w:hAnsi="Times New Roman"/>
                <w:sz w:val="28"/>
              </w:rPr>
              <w:t>el MHCP sí presentó el concept</w:t>
            </w:r>
            <w:r w:rsidRPr="003E425B">
              <w:rPr>
                <w:rFonts w:ascii="Times New Roman" w:hAnsi="Times New Roman"/>
                <w:sz w:val="28"/>
              </w:rPr>
              <w:t xml:space="preserve">o de impacto fiscal, en el que propuso costos de referencia del ministerio y </w:t>
            </w:r>
            <w:r w:rsidRPr="003E425B">
              <w:rPr>
                <w:rFonts w:ascii="Times New Roman" w:hAnsi="Times New Roman"/>
                <w:i/>
                <w:iCs/>
                <w:sz w:val="28"/>
              </w:rPr>
              <w:t>(ii)</w:t>
            </w:r>
            <w:r w:rsidRPr="003E425B">
              <w:rPr>
                <w:rFonts w:ascii="Times New Roman" w:hAnsi="Times New Roman"/>
                <w:sz w:val="28"/>
              </w:rPr>
              <w:t xml:space="preserve"> aun si se considerara que no existió concepto, el impacto si fue tenido en cuenta por el Congreso para estudiar la viabilidad de la norma. Con todo, </w:t>
            </w:r>
            <w:r w:rsidRPr="003E425B">
              <w:rPr>
                <w:rFonts w:ascii="Times New Roman" w:hAnsi="Times New Roman"/>
                <w:i/>
                <w:iCs/>
                <w:sz w:val="28"/>
              </w:rPr>
              <w:t>(iii)</w:t>
            </w:r>
            <w:r w:rsidRPr="003E425B">
              <w:rPr>
                <w:rFonts w:ascii="Times New Roman" w:hAnsi="Times New Roman"/>
                <w:sz w:val="28"/>
              </w:rPr>
              <w:t xml:space="preserve"> el artículo 13 de l</w:t>
            </w:r>
            <w:r w:rsidRPr="003E425B">
              <w:rPr>
                <w:rFonts w:ascii="Times New Roman" w:hAnsi="Times New Roman"/>
                <w:sz w:val="28"/>
              </w:rPr>
              <w:t>a norma previó límites para la creación del ministerio y su estructura, dentro de los cuales se encuentran la disponibilidad fiscal del país.</w:t>
            </w:r>
          </w:p>
          <w:p w:rsidR="00E16802" w:rsidRPr="003E425B" w:rsidRDefault="003E425B" w:rsidP="00377E1F">
            <w:pPr>
              <w:pStyle w:val="Prrafodelista"/>
              <w:numPr>
                <w:ilvl w:val="0"/>
                <w:numId w:val="45"/>
              </w:numPr>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Señalan que la Gaceta 097 de 27 de febrero de 2027 evidencia que en la discusión en primer deba</w:t>
            </w:r>
            <w:r w:rsidRPr="003E425B">
              <w:rPr>
                <w:rFonts w:ascii="Times New Roman" w:hAnsi="Times New Roman"/>
                <w:sz w:val="28"/>
              </w:rPr>
              <w:t xml:space="preserve">te (i) participaron 19 senadores y 37 representantes, lo que en principio superaría la mayoría absoluta y </w:t>
            </w:r>
            <w:r w:rsidRPr="003E425B">
              <w:rPr>
                <w:rFonts w:ascii="Times New Roman" w:hAnsi="Times New Roman"/>
                <w:i/>
                <w:iCs/>
                <w:sz w:val="28"/>
              </w:rPr>
              <w:t>(ii)</w:t>
            </w:r>
            <w:r w:rsidRPr="003E425B">
              <w:rPr>
                <w:rFonts w:ascii="Times New Roman" w:hAnsi="Times New Roman"/>
                <w:sz w:val="28"/>
              </w:rPr>
              <w:t xml:space="preserve"> todas las proposiciones fueron aprobadas o negadas por mayoría absoluta. Asimismo, la Gaceta expone que el artículo 11 requería ser aprobado por </w:t>
            </w:r>
            <w:r w:rsidRPr="003E425B">
              <w:rPr>
                <w:rFonts w:ascii="Times New Roman" w:hAnsi="Times New Roman"/>
                <w:sz w:val="28"/>
              </w:rPr>
              <w:t>mayoría absoluta y que hubo dos proposiciones para eliminar el artículo, las cuales fueron negada por mayoría absoluta. Con todo, consideran que la mayoría absoluta se exige únicamente para el artículo 11 del proyecto (12 de la Ley) y no de la totalidad de</w:t>
            </w:r>
            <w:r w:rsidRPr="003E425B">
              <w:rPr>
                <w:rFonts w:ascii="Times New Roman" w:hAnsi="Times New Roman"/>
                <w:sz w:val="28"/>
              </w:rPr>
              <w:t xml:space="preserve"> la norma. Además, los artículos fueron aprobados por mayoría absoluta, por lo que hubo una deliberación de los artículos y la falta de aprobación del informe de ponencia no lo desestima.</w:t>
            </w:r>
          </w:p>
        </w:tc>
        <w:tc>
          <w:tcPr>
            <w:tcW w:w="6147" w:type="dxa"/>
            <w:gridSpan w:val="2"/>
          </w:tcPr>
          <w:p w:rsidR="00E16802" w:rsidRPr="003E425B" w:rsidRDefault="003E425B" w:rsidP="00E16802">
            <w:pPr>
              <w:rPr>
                <w:rFonts w:ascii="Times New Roman" w:hAnsi="Times New Roman" w:cs="Times New Roman"/>
                <w:sz w:val="28"/>
              </w:rPr>
            </w:pPr>
            <w:r w:rsidRPr="003E425B">
              <w:rPr>
                <w:rFonts w:ascii="Times New Roman" w:hAnsi="Times New Roman" w:cs="Times New Roman"/>
                <w:sz w:val="28"/>
              </w:rPr>
              <w:t>Consideran que la norma sí definió claramente los límites del ejerci</w:t>
            </w:r>
            <w:r w:rsidRPr="003E425B">
              <w:rPr>
                <w:rFonts w:ascii="Times New Roman" w:hAnsi="Times New Roman" w:cs="Times New Roman"/>
                <w:sz w:val="28"/>
              </w:rPr>
              <w:t>cio de las facultades extraordinarias</w:t>
            </w:r>
            <w:r w:rsidRPr="003E425B">
              <w:rPr>
                <w:rFonts w:ascii="Times New Roman" w:hAnsi="Times New Roman" w:cs="Times New Roman"/>
                <w:sz w:val="28"/>
              </w:rPr>
              <w:t>.</w:t>
            </w:r>
            <w:r w:rsidRPr="003E425B">
              <w:rPr>
                <w:rFonts w:ascii="Times New Roman" w:hAnsi="Times New Roman" w:cs="Times New Roman"/>
                <w:sz w:val="28"/>
              </w:rPr>
              <w:t xml:space="preserve"> Esto, porque la norma no habilitó al Presidente para crear, modificar y/o fusionar entidades, sino exclusivamente para integrad el sector de la igualdad y equidad, esto a través de la determinación de las entidades ad</w:t>
            </w:r>
            <w:r w:rsidRPr="003E425B">
              <w:rPr>
                <w:rFonts w:ascii="Times New Roman" w:hAnsi="Times New Roman" w:cs="Times New Roman"/>
                <w:sz w:val="28"/>
              </w:rPr>
              <w:t>scritas o vinculadas a dicho sector. Por esto, la habilitación presidencial “está delimitada y circunscrita a determinar las entidades ya existentes en el Estado colombiano que conformarán el nuevo sector creado”. En su criterio, la interpretación de los d</w:t>
            </w:r>
            <w:r w:rsidRPr="003E425B">
              <w:rPr>
                <w:rFonts w:ascii="Times New Roman" w:hAnsi="Times New Roman" w:cs="Times New Roman"/>
                <w:sz w:val="28"/>
              </w:rPr>
              <w:t>emandantes no es acorde a la disposición demandada. Asimismo, señalan que la jurisprudencia constitucional ha precisado que la habilitación no implica que el congreso deba definir de forma meticulosa el contenido de la materia.</w:t>
            </w:r>
          </w:p>
        </w:tc>
        <w:tc>
          <w:tcPr>
            <w:tcW w:w="1741" w:type="dxa"/>
          </w:tcPr>
          <w:p w:rsidR="00E16802" w:rsidRPr="003E425B" w:rsidRDefault="003E425B" w:rsidP="00E16802">
            <w:pPr>
              <w:rPr>
                <w:rFonts w:ascii="Times New Roman" w:hAnsi="Times New Roman" w:cs="Times New Roman"/>
                <w:sz w:val="28"/>
              </w:rPr>
            </w:pPr>
            <w:r w:rsidRPr="003E425B">
              <w:rPr>
                <w:rFonts w:ascii="Times New Roman" w:hAnsi="Times New Roman" w:cs="Times New Roman"/>
                <w:sz w:val="28"/>
              </w:rPr>
              <w:t>Solicitan a la Corte declara</w:t>
            </w:r>
            <w:r w:rsidRPr="003E425B">
              <w:rPr>
                <w:rFonts w:ascii="Times New Roman" w:hAnsi="Times New Roman" w:cs="Times New Roman"/>
                <w:sz w:val="28"/>
              </w:rPr>
              <w:t>r la exequibilidad de la norma.</w:t>
            </w:r>
          </w:p>
        </w:tc>
      </w:tr>
      <w:tr w:rsidR="00A25C68" w:rsidRPr="003E425B" w:rsidTr="009A048A">
        <w:tc>
          <w:tcPr>
            <w:tcW w:w="453" w:type="dxa"/>
            <w:vAlign w:val="center"/>
          </w:tcPr>
          <w:p w:rsidR="00A25C68" w:rsidRPr="003E425B" w:rsidRDefault="003E425B" w:rsidP="00A25C68">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21</w:t>
            </w:r>
          </w:p>
        </w:tc>
        <w:tc>
          <w:tcPr>
            <w:tcW w:w="2712" w:type="dxa"/>
          </w:tcPr>
          <w:p w:rsidR="00A25C68" w:rsidRPr="003E425B" w:rsidRDefault="003E425B" w:rsidP="00A25C68">
            <w:pPr>
              <w:jc w:val="center"/>
              <w:rPr>
                <w:rFonts w:ascii="Times New Roman" w:eastAsia="Times New Roman" w:hAnsi="Times New Roman" w:cs="Times New Roman"/>
                <w:color w:val="000000"/>
                <w:sz w:val="28"/>
              </w:rPr>
            </w:pPr>
            <w:r w:rsidRPr="003E425B">
              <w:rPr>
                <w:rFonts w:ascii="Times New Roman" w:hAnsi="Times New Roman" w:cs="Times New Roman"/>
                <w:sz w:val="28"/>
              </w:rPr>
              <w:t>Ilex acción jurídica</w:t>
            </w:r>
          </w:p>
        </w:tc>
        <w:tc>
          <w:tcPr>
            <w:tcW w:w="6261" w:type="dxa"/>
          </w:tcPr>
          <w:p w:rsidR="00A25C68" w:rsidRPr="003E425B" w:rsidRDefault="003E425B" w:rsidP="00377E1F">
            <w:pPr>
              <w:pStyle w:val="Prrafodelista"/>
              <w:numPr>
                <w:ilvl w:val="0"/>
                <w:numId w:val="45"/>
              </w:numPr>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Señalan que, de acuerdo con la jurisprudencia constitucional, la evaluación del impacto fiscal es un criterio de racionalidad legislativa, auxiliar y orientador para nutrir la deliberación y el cumplimiento de fines esenciales del estado social. Indican qu</w:t>
            </w:r>
            <w:r w:rsidRPr="003E425B">
              <w:rPr>
                <w:rFonts w:ascii="Times New Roman" w:hAnsi="Times New Roman"/>
                <w:sz w:val="28"/>
              </w:rPr>
              <w:t xml:space="preserve">e el artículo 7º de la Ley 819/03 no puede interpretarse de modo tal que la falta de concurrencia del Ministerio de Hacienda y Crédito Público dentro del proceso legislativo, afecte la validez constitucional del trámite respectivo (C-315 de 2008). En este </w:t>
            </w:r>
            <w:r w:rsidRPr="003E425B">
              <w:rPr>
                <w:rFonts w:ascii="Times New Roman" w:hAnsi="Times New Roman"/>
                <w:sz w:val="28"/>
              </w:rPr>
              <w:t xml:space="preserve">sentido, indican que </w:t>
            </w:r>
            <w:r w:rsidRPr="003E425B">
              <w:rPr>
                <w:rFonts w:ascii="Times New Roman" w:hAnsi="Times New Roman"/>
                <w:i/>
                <w:iCs/>
                <w:sz w:val="28"/>
              </w:rPr>
              <w:t xml:space="preserve">(i) </w:t>
            </w:r>
            <w:r w:rsidRPr="003E425B">
              <w:rPr>
                <w:rFonts w:ascii="Times New Roman" w:hAnsi="Times New Roman"/>
                <w:sz w:val="28"/>
              </w:rPr>
              <w:t xml:space="preserve">la imposición del análisis de impacto fiscal como requisito de trámite para la aprobación de las iniciativas legislativas, supone una carga irrazonable para el Legislador y </w:t>
            </w:r>
            <w:r w:rsidRPr="003E425B">
              <w:rPr>
                <w:rFonts w:ascii="Times New Roman" w:hAnsi="Times New Roman"/>
                <w:i/>
                <w:iCs/>
                <w:sz w:val="28"/>
              </w:rPr>
              <w:t xml:space="preserve">(ii) </w:t>
            </w:r>
            <w:r w:rsidRPr="003E425B">
              <w:rPr>
                <w:rFonts w:ascii="Times New Roman" w:hAnsi="Times New Roman"/>
                <w:sz w:val="28"/>
              </w:rPr>
              <w:t>eso limita la competencia del Congreso para hacer las</w:t>
            </w:r>
            <w:r w:rsidRPr="003E425B">
              <w:rPr>
                <w:rFonts w:ascii="Times New Roman" w:hAnsi="Times New Roman"/>
                <w:sz w:val="28"/>
              </w:rPr>
              <w:t xml:space="preserve"> leyes, al otorgar una especie de poder de veto al Ejecutivo, a través del Ministerio de Hacienda. Finalmente, indican que la misma demanda presenta pruebas sobre el desarrollo de la deliberación sobre el impacto fiscal del proyecto de ley, incluso con la </w:t>
            </w:r>
            <w:r w:rsidRPr="003E425B">
              <w:rPr>
                <w:rFonts w:ascii="Times New Roman" w:hAnsi="Times New Roman"/>
                <w:sz w:val="28"/>
              </w:rPr>
              <w:t>presentación de ponencias negativas sobre el proyecto con el argumento del impacto fiscal negativo y la misma posibilidad de discutir sobre la suficiencia o insuficiencia del concepto del Ministerio de Hacienda y Crédito Público.</w:t>
            </w:r>
          </w:p>
          <w:p w:rsidR="00A25C68" w:rsidRPr="003E425B" w:rsidRDefault="003E425B" w:rsidP="00377E1F">
            <w:pPr>
              <w:pStyle w:val="Prrafodelista"/>
              <w:numPr>
                <w:ilvl w:val="0"/>
                <w:numId w:val="45"/>
              </w:numPr>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Conside</w:t>
            </w:r>
            <w:r w:rsidRPr="003E425B">
              <w:rPr>
                <w:rFonts w:ascii="Times New Roman" w:hAnsi="Times New Roman"/>
                <w:sz w:val="28"/>
              </w:rPr>
              <w:t xml:space="preserve">ran que el segundo cargo es </w:t>
            </w:r>
            <w:r w:rsidRPr="003E425B">
              <w:rPr>
                <w:rFonts w:ascii="Times New Roman" w:hAnsi="Times New Roman"/>
                <w:b/>
                <w:bCs/>
                <w:sz w:val="28"/>
              </w:rPr>
              <w:t>inepto</w:t>
            </w:r>
            <w:r w:rsidRPr="003E425B">
              <w:rPr>
                <w:rFonts w:ascii="Times New Roman" w:hAnsi="Times New Roman"/>
                <w:sz w:val="28"/>
              </w:rPr>
              <w:t>, porque las evidencias que presentaron no dan cuenta de las irregularidades que denuncian. Señalan que existen grabaciones y actas que contradicen lo que manifiestan los actores. Finalmente, afirman que una ley puede conc</w:t>
            </w:r>
            <w:r w:rsidRPr="003E425B">
              <w:rPr>
                <w:rFonts w:ascii="Times New Roman" w:hAnsi="Times New Roman"/>
                <w:sz w:val="28"/>
              </w:rPr>
              <w:t>eder facultades extraordinarias al Presidente sin que ello implique que la totalidad de la Ley deba ser aprobada por mayorías absolutas. Esto, de acuerdo con la sentencia C-092 de 2022.</w:t>
            </w:r>
          </w:p>
        </w:tc>
        <w:tc>
          <w:tcPr>
            <w:tcW w:w="6147" w:type="dxa"/>
            <w:gridSpan w:val="2"/>
          </w:tcPr>
          <w:p w:rsidR="00A25C68" w:rsidRPr="003E425B" w:rsidRDefault="003E425B" w:rsidP="00A25C68">
            <w:pPr>
              <w:rPr>
                <w:rFonts w:ascii="Times New Roman" w:hAnsi="Times New Roman" w:cs="Times New Roman"/>
                <w:sz w:val="28"/>
              </w:rPr>
            </w:pPr>
            <w:r w:rsidRPr="003E425B">
              <w:rPr>
                <w:rFonts w:ascii="Times New Roman" w:hAnsi="Times New Roman" w:cs="Times New Roman"/>
                <w:sz w:val="28"/>
              </w:rPr>
              <w:t xml:space="preserve">Afirman que el artículo 12 de la Ley demandada no vulnera el artículo </w:t>
            </w:r>
            <w:r w:rsidRPr="003E425B">
              <w:rPr>
                <w:rFonts w:ascii="Times New Roman" w:hAnsi="Times New Roman" w:cs="Times New Roman"/>
                <w:sz w:val="28"/>
              </w:rPr>
              <w:t xml:space="preserve">150.10 de la CP. La norma acusada </w:t>
            </w:r>
            <w:r w:rsidRPr="003E425B">
              <w:rPr>
                <w:rFonts w:ascii="Times New Roman" w:hAnsi="Times New Roman" w:cs="Times New Roman"/>
                <w:i/>
                <w:iCs/>
                <w:sz w:val="28"/>
              </w:rPr>
              <w:t>(i)</w:t>
            </w:r>
            <w:r w:rsidRPr="003E425B">
              <w:rPr>
                <w:rFonts w:ascii="Times New Roman" w:hAnsi="Times New Roman" w:cs="Times New Roman"/>
                <w:sz w:val="28"/>
              </w:rPr>
              <w:t xml:space="preserve"> está limitada en el tiempo (6 meses); y </w:t>
            </w:r>
            <w:r w:rsidRPr="003E425B">
              <w:rPr>
                <w:rFonts w:ascii="Times New Roman" w:hAnsi="Times New Roman" w:cs="Times New Roman"/>
                <w:i/>
                <w:iCs/>
                <w:sz w:val="28"/>
              </w:rPr>
              <w:t>(ii)</w:t>
            </w:r>
            <w:r w:rsidRPr="003E425B">
              <w:rPr>
                <w:rFonts w:ascii="Times New Roman" w:hAnsi="Times New Roman" w:cs="Times New Roman"/>
                <w:sz w:val="28"/>
              </w:rPr>
              <w:t xml:space="preserve"> se limita a dos acciones o competencias: vincular y adscribir. Por lo tanto, señalan que el cargo formulado “no consulta al texto y está lejos de realizar una interpretación</w:t>
            </w:r>
            <w:r w:rsidRPr="003E425B">
              <w:rPr>
                <w:rFonts w:ascii="Times New Roman" w:hAnsi="Times New Roman" w:cs="Times New Roman"/>
                <w:sz w:val="28"/>
              </w:rPr>
              <w:t xml:space="preserve"> razonable de la norma, por el contrario, parece es una interpretación alarmista, arbitraria y que no se desprende del contenido literal del texto del artículo demandado”.</w:t>
            </w:r>
          </w:p>
        </w:tc>
        <w:tc>
          <w:tcPr>
            <w:tcW w:w="1741" w:type="dxa"/>
          </w:tcPr>
          <w:p w:rsidR="00A25C68" w:rsidRPr="003E425B" w:rsidRDefault="003E425B" w:rsidP="00A25C68">
            <w:pPr>
              <w:rPr>
                <w:rFonts w:ascii="Times New Roman" w:hAnsi="Times New Roman" w:cs="Times New Roman"/>
                <w:sz w:val="28"/>
              </w:rPr>
            </w:pPr>
            <w:r w:rsidRPr="003E425B">
              <w:rPr>
                <w:rFonts w:ascii="Times New Roman" w:hAnsi="Times New Roman" w:cs="Times New Roman"/>
                <w:sz w:val="28"/>
              </w:rPr>
              <w:t>Exequibilidad e inhibición</w:t>
            </w:r>
          </w:p>
        </w:tc>
      </w:tr>
      <w:tr w:rsidR="00C412C9" w:rsidRPr="003E425B" w:rsidTr="00650CF3">
        <w:tc>
          <w:tcPr>
            <w:tcW w:w="453" w:type="dxa"/>
            <w:vAlign w:val="center"/>
          </w:tcPr>
          <w:p w:rsidR="00C412C9" w:rsidRPr="003E425B" w:rsidRDefault="003E425B" w:rsidP="00C412C9">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22</w:t>
            </w:r>
          </w:p>
        </w:tc>
        <w:tc>
          <w:tcPr>
            <w:tcW w:w="2712" w:type="dxa"/>
          </w:tcPr>
          <w:p w:rsidR="00C412C9" w:rsidRPr="003E425B" w:rsidRDefault="003E425B" w:rsidP="00C412C9">
            <w:pPr>
              <w:jc w:val="center"/>
              <w:rPr>
                <w:rFonts w:ascii="Times New Roman" w:eastAsia="Times New Roman" w:hAnsi="Times New Roman" w:cs="Times New Roman"/>
                <w:color w:val="000000"/>
                <w:sz w:val="28"/>
              </w:rPr>
            </w:pPr>
            <w:r w:rsidRPr="003E425B">
              <w:rPr>
                <w:rFonts w:ascii="Times New Roman" w:hAnsi="Times New Roman" w:cs="Times New Roman"/>
                <w:sz w:val="28"/>
              </w:rPr>
              <w:t>Conferencia Nacional de Organizaciones Afrocolombiana</w:t>
            </w:r>
            <w:r w:rsidRPr="003E425B">
              <w:rPr>
                <w:rFonts w:ascii="Times New Roman" w:hAnsi="Times New Roman" w:cs="Times New Roman"/>
                <w:sz w:val="28"/>
              </w:rPr>
              <w:t>s</w:t>
            </w:r>
          </w:p>
        </w:tc>
        <w:tc>
          <w:tcPr>
            <w:tcW w:w="6261" w:type="dxa"/>
          </w:tcPr>
          <w:p w:rsidR="00C412C9" w:rsidRPr="003E425B" w:rsidRDefault="003E425B" w:rsidP="00377E1F">
            <w:pPr>
              <w:rPr>
                <w:rFonts w:ascii="Times New Roman" w:hAnsi="Times New Roman" w:cs="Times New Roman"/>
                <w:sz w:val="28"/>
              </w:rPr>
            </w:pPr>
            <w:r w:rsidRPr="003E425B">
              <w:rPr>
                <w:rFonts w:ascii="Times New Roman" w:hAnsi="Times New Roman" w:cs="Times New Roman"/>
                <w:sz w:val="28"/>
              </w:rPr>
              <w:t>Señalan que el principio de sostenibilidad Fiscal no puede ser invocado para menoscabar derechos fundamentales, ni para restringir su alcance o negar su protección efectiva. Indican que este principio no puede usarse en contra de los derechos que busca g</w:t>
            </w:r>
            <w:r w:rsidRPr="003E425B">
              <w:rPr>
                <w:rFonts w:ascii="Times New Roman" w:hAnsi="Times New Roman" w:cs="Times New Roman"/>
                <w:sz w:val="28"/>
              </w:rPr>
              <w:t xml:space="preserve">arantizar el Ministerio. </w:t>
            </w:r>
          </w:p>
        </w:tc>
        <w:tc>
          <w:tcPr>
            <w:tcW w:w="6147" w:type="dxa"/>
            <w:gridSpan w:val="2"/>
          </w:tcPr>
          <w:p w:rsidR="00C412C9" w:rsidRPr="003E425B" w:rsidRDefault="003E425B" w:rsidP="00C412C9">
            <w:pPr>
              <w:rPr>
                <w:rFonts w:ascii="Times New Roman" w:hAnsi="Times New Roman" w:cs="Times New Roman"/>
                <w:sz w:val="28"/>
              </w:rPr>
            </w:pPr>
            <w:r w:rsidRPr="003E425B">
              <w:rPr>
                <w:rFonts w:ascii="Times New Roman" w:hAnsi="Times New Roman" w:cs="Times New Roman"/>
                <w:sz w:val="28"/>
              </w:rPr>
              <w:t>No presentan ningún argumento en específico. Se limitan a señalar la importancia de la creación del Ministerio para varios sectores de la sociedad.</w:t>
            </w:r>
          </w:p>
        </w:tc>
        <w:tc>
          <w:tcPr>
            <w:tcW w:w="1741" w:type="dxa"/>
          </w:tcPr>
          <w:p w:rsidR="00C412C9" w:rsidRPr="003E425B" w:rsidRDefault="003E425B" w:rsidP="00C412C9">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r w:rsidR="00D46E18" w:rsidRPr="003E425B" w:rsidTr="00650CF3">
        <w:tc>
          <w:tcPr>
            <w:tcW w:w="453" w:type="dxa"/>
            <w:vAlign w:val="center"/>
          </w:tcPr>
          <w:p w:rsidR="00D46E18" w:rsidRPr="003E425B" w:rsidRDefault="003E425B" w:rsidP="00D46E18">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24</w:t>
            </w:r>
          </w:p>
        </w:tc>
        <w:tc>
          <w:tcPr>
            <w:tcW w:w="2712" w:type="dxa"/>
          </w:tcPr>
          <w:p w:rsidR="00D46E18" w:rsidRPr="003E425B" w:rsidRDefault="003E425B" w:rsidP="00D46E18">
            <w:pPr>
              <w:jc w:val="center"/>
              <w:rPr>
                <w:rFonts w:ascii="Times New Roman" w:hAnsi="Times New Roman" w:cs="Times New Roman"/>
                <w:sz w:val="28"/>
              </w:rPr>
            </w:pPr>
            <w:r w:rsidRPr="003E425B">
              <w:rPr>
                <w:rFonts w:ascii="Times New Roman" w:hAnsi="Times New Roman" w:cs="Times New Roman"/>
                <w:sz w:val="28"/>
              </w:rPr>
              <w:t xml:space="preserve">CJ Mujeres </w:t>
            </w:r>
            <w:r w:rsidRPr="003E425B">
              <w:rPr>
                <w:rFonts w:ascii="Times New Roman" w:hAnsi="Times New Roman" w:cs="Times New Roman"/>
                <w:sz w:val="28"/>
              </w:rPr>
              <w:t>Uniandes</w:t>
            </w:r>
          </w:p>
        </w:tc>
        <w:tc>
          <w:tcPr>
            <w:tcW w:w="6261" w:type="dxa"/>
          </w:tcPr>
          <w:p w:rsidR="00D46E18" w:rsidRPr="003E425B" w:rsidRDefault="003E425B" w:rsidP="00377E1F">
            <w:pPr>
              <w:pStyle w:val="Prrafodelista"/>
              <w:numPr>
                <w:ilvl w:val="0"/>
                <w:numId w:val="45"/>
              </w:numPr>
              <w:ind w:left="0" w:firstLine="0"/>
              <w:contextualSpacing w:val="0"/>
              <w:rPr>
                <w:rFonts w:ascii="Times New Roman" w:hAnsi="Times New Roman"/>
                <w:sz w:val="28"/>
              </w:rPr>
            </w:pPr>
            <w:r w:rsidRPr="003E425B">
              <w:rPr>
                <w:rFonts w:ascii="Times New Roman" w:hAnsi="Times New Roman"/>
                <w:i/>
                <w:iCs/>
                <w:sz w:val="28"/>
              </w:rPr>
              <w:t>Impacto fiscal.</w:t>
            </w:r>
            <w:r w:rsidRPr="003E425B">
              <w:rPr>
                <w:rFonts w:ascii="Times New Roman" w:hAnsi="Times New Roman"/>
                <w:sz w:val="28"/>
              </w:rPr>
              <w:t xml:space="preserve"> Afirman que, si bien en los debates de comisión no se definió un plan fiscal del costo del Ministerio, lo cierto es que no es posible estima</w:t>
            </w:r>
            <w:r w:rsidRPr="003E425B">
              <w:rPr>
                <w:rFonts w:ascii="Times New Roman" w:hAnsi="Times New Roman"/>
                <w:sz w:val="28"/>
              </w:rPr>
              <w:t>r</w:t>
            </w:r>
            <w:r w:rsidRPr="003E425B">
              <w:rPr>
                <w:rFonts w:ascii="Times New Roman" w:hAnsi="Times New Roman"/>
                <w:sz w:val="28"/>
              </w:rPr>
              <w:t xml:space="preserve"> cual sería el costo exacto para su funcionamiento a través de los años. Además, la sosten</w:t>
            </w:r>
            <w:r w:rsidRPr="003E425B">
              <w:rPr>
                <w:rFonts w:ascii="Times New Roman" w:hAnsi="Times New Roman"/>
                <w:sz w:val="28"/>
              </w:rPr>
              <w:t>ibilidad fiscal no debe socavar, restringir o negar la protección efectiva de los derechos fundamentales. En su criterio, es excesivo exigir solicitar que se presente un presupuesto detallado para la creación del Ministerio, y la sostenibilidad fiscal no p</w:t>
            </w:r>
            <w:r w:rsidRPr="003E425B">
              <w:rPr>
                <w:rFonts w:ascii="Times New Roman" w:hAnsi="Times New Roman"/>
                <w:sz w:val="28"/>
              </w:rPr>
              <w:t xml:space="preserve">uede usarse como argumento para poner trabas en la creación de un ministerio que responde a necesidades sociales. Finalmente, indican que el Ministerio de la Igualdad está destinado a aportar de manera significativa al avance en la igualdad de género y la </w:t>
            </w:r>
            <w:r w:rsidRPr="003E425B">
              <w:rPr>
                <w:rFonts w:ascii="Times New Roman" w:hAnsi="Times New Roman"/>
                <w:sz w:val="28"/>
              </w:rPr>
              <w:t>defensa y garantía de los derechos de las mujeres y de la población con identidad de género u orientación sexual diversa.</w:t>
            </w:r>
          </w:p>
          <w:p w:rsidR="00D46E18" w:rsidRPr="003E425B" w:rsidRDefault="003E425B" w:rsidP="00377E1F">
            <w:pPr>
              <w:pStyle w:val="Prrafodelista"/>
              <w:numPr>
                <w:ilvl w:val="0"/>
                <w:numId w:val="45"/>
              </w:numPr>
              <w:ind w:left="0" w:firstLine="0"/>
              <w:rPr>
                <w:rFonts w:ascii="Times New Roman" w:hAnsi="Times New Roman"/>
                <w:sz w:val="28"/>
              </w:rPr>
            </w:pPr>
            <w:r w:rsidRPr="003E425B">
              <w:rPr>
                <w:rFonts w:ascii="Times New Roman" w:hAnsi="Times New Roman"/>
                <w:i/>
                <w:iCs/>
                <w:sz w:val="28"/>
              </w:rPr>
              <w:t xml:space="preserve">Quórum y mayoría. </w:t>
            </w:r>
            <w:r w:rsidRPr="003E425B">
              <w:rPr>
                <w:rFonts w:ascii="Times New Roman" w:hAnsi="Times New Roman"/>
                <w:sz w:val="28"/>
              </w:rPr>
              <w:t>Aseguran que la jurisprudencia de la Corte Constitucional ha autorizado con anterioridad que una ley ordinaria inclu</w:t>
            </w:r>
            <w:r w:rsidRPr="003E425B">
              <w:rPr>
                <w:rFonts w:ascii="Times New Roman" w:hAnsi="Times New Roman"/>
                <w:sz w:val="28"/>
              </w:rPr>
              <w:t>ya un artículo que otorga facultades extraordinarias sin que la totalidad de la ley deba aprobarse con mayoría absoluta</w:t>
            </w:r>
            <w:r w:rsidRPr="003E425B">
              <w:rPr>
                <w:rStyle w:val="Refdenotaalpie"/>
                <w:rFonts w:ascii="Times New Roman" w:hAnsi="Times New Roman"/>
                <w:sz w:val="28"/>
              </w:rPr>
              <w:footnoteReference w:id="457"/>
            </w:r>
            <w:r w:rsidRPr="003E425B">
              <w:rPr>
                <w:rFonts w:ascii="Times New Roman" w:hAnsi="Times New Roman"/>
                <w:sz w:val="28"/>
              </w:rPr>
              <w:t>. Por esto, no es válido ni proporcional extender la obligación de votar con mayorías absolutas un artículo que otorga facultades extrao</w:t>
            </w:r>
            <w:r w:rsidRPr="003E425B">
              <w:rPr>
                <w:rFonts w:ascii="Times New Roman" w:hAnsi="Times New Roman"/>
                <w:sz w:val="28"/>
              </w:rPr>
              <w:t>rdinarias a los informes de ponencia de toda una ley ordinaria. Por otra parte, indican que el artículo demandando se votó individualmente y se aprobó con la mayoría absoluta necesaria. Igualmente, los demandantes no aportan pruebas idóneas y suficientes p</w:t>
            </w:r>
            <w:r w:rsidRPr="003E425B">
              <w:rPr>
                <w:rFonts w:ascii="Times New Roman" w:hAnsi="Times New Roman"/>
                <w:sz w:val="28"/>
              </w:rPr>
              <w:t>ara soportar que se disolvió el quórum en la sesión conjunta, como lo serían actas.</w:t>
            </w:r>
          </w:p>
        </w:tc>
        <w:tc>
          <w:tcPr>
            <w:tcW w:w="6147" w:type="dxa"/>
            <w:gridSpan w:val="2"/>
          </w:tcPr>
          <w:p w:rsidR="00D46E18" w:rsidRPr="003E425B" w:rsidRDefault="003E425B" w:rsidP="00065AC2">
            <w:pPr>
              <w:rPr>
                <w:rFonts w:ascii="Times New Roman" w:hAnsi="Times New Roman" w:cs="Times New Roman"/>
                <w:sz w:val="28"/>
              </w:rPr>
            </w:pPr>
            <w:r w:rsidRPr="003E425B">
              <w:rPr>
                <w:rFonts w:ascii="Times New Roman" w:hAnsi="Times New Roman" w:cs="Times New Roman"/>
                <w:sz w:val="28"/>
              </w:rPr>
              <w:t>Afirman que las facultades extraordinarias deben ser claras y precisas, esto es,</w:t>
            </w:r>
            <w:r w:rsidRPr="003E425B">
              <w:rPr>
                <w:rFonts w:ascii="Times New Roman" w:hAnsi="Times New Roman" w:cs="Times New Roman"/>
                <w:sz w:val="28"/>
              </w:rPr>
              <w:t xml:space="preserve"> </w:t>
            </w:r>
            <w:r w:rsidRPr="003E425B">
              <w:rPr>
                <w:rFonts w:ascii="Times New Roman" w:hAnsi="Times New Roman" w:cs="Times New Roman"/>
                <w:sz w:val="28"/>
              </w:rPr>
              <w:t xml:space="preserve">individualizadas, pormenorizadas y determinadas. Igualmente, el hecho de que el legislador </w:t>
            </w:r>
            <w:r w:rsidRPr="003E425B">
              <w:rPr>
                <w:rFonts w:ascii="Times New Roman" w:hAnsi="Times New Roman" w:cs="Times New Roman"/>
                <w:sz w:val="28"/>
              </w:rPr>
              <w:t>otorgue las atribuciones de manera amplia y hayan sido adscritas a través de una formulación general y</w:t>
            </w:r>
            <w:r w:rsidRPr="003E425B">
              <w:rPr>
                <w:rFonts w:ascii="Times New Roman" w:hAnsi="Times New Roman" w:cs="Times New Roman"/>
                <w:sz w:val="28"/>
              </w:rPr>
              <w:t xml:space="preserve"> </w:t>
            </w:r>
            <w:r w:rsidRPr="003E425B">
              <w:rPr>
                <w:rFonts w:ascii="Times New Roman" w:hAnsi="Times New Roman" w:cs="Times New Roman"/>
                <w:sz w:val="28"/>
              </w:rPr>
              <w:t>no detallada o taxativa, no permite afirmar que las facultades carezcan de precisión. Por el contrario, lo que exige la Constitución es que la Ley determ</w:t>
            </w:r>
            <w:r w:rsidRPr="003E425B">
              <w:rPr>
                <w:rFonts w:ascii="Times New Roman" w:hAnsi="Times New Roman" w:cs="Times New Roman"/>
                <w:sz w:val="28"/>
              </w:rPr>
              <w:t>ine inequívocamente la materia</w:t>
            </w:r>
            <w:r w:rsidRPr="003E425B">
              <w:rPr>
                <w:rFonts w:ascii="Times New Roman" w:hAnsi="Times New Roman" w:cs="Times New Roman"/>
                <w:sz w:val="28"/>
              </w:rPr>
              <w:t xml:space="preserve"> </w:t>
            </w:r>
            <w:r w:rsidRPr="003E425B">
              <w:rPr>
                <w:rFonts w:ascii="Times New Roman" w:hAnsi="Times New Roman" w:cs="Times New Roman"/>
                <w:sz w:val="28"/>
              </w:rPr>
              <w:t>sobre la cual el Presidente puede legislar, a través de facultades que no resulten vagas, ambiguas,</w:t>
            </w:r>
            <w:r w:rsidRPr="003E425B">
              <w:rPr>
                <w:rFonts w:ascii="Times New Roman" w:hAnsi="Times New Roman" w:cs="Times New Roman"/>
                <w:sz w:val="28"/>
              </w:rPr>
              <w:t xml:space="preserve"> </w:t>
            </w:r>
            <w:r w:rsidRPr="003E425B">
              <w:rPr>
                <w:rFonts w:ascii="Times New Roman" w:hAnsi="Times New Roman" w:cs="Times New Roman"/>
                <w:sz w:val="28"/>
              </w:rPr>
              <w:t>imprecisas o indeterminadas</w:t>
            </w:r>
            <w:r w:rsidRPr="003E425B">
              <w:rPr>
                <w:rStyle w:val="Refdenotaalpie"/>
                <w:rFonts w:ascii="Times New Roman" w:hAnsi="Times New Roman" w:cs="Times New Roman"/>
                <w:sz w:val="28"/>
              </w:rPr>
              <w:footnoteReference w:id="458"/>
            </w:r>
            <w:r w:rsidRPr="003E425B">
              <w:rPr>
                <w:rFonts w:ascii="Times New Roman" w:hAnsi="Times New Roman" w:cs="Times New Roman"/>
                <w:sz w:val="28"/>
              </w:rPr>
              <w:t>. En su criterio, la norma demandada es clara sobre el campo de acción, la materia, los objetivos</w:t>
            </w:r>
            <w:r w:rsidRPr="003E425B">
              <w:rPr>
                <w:rFonts w:ascii="Times New Roman" w:hAnsi="Times New Roman" w:cs="Times New Roman"/>
                <w:sz w:val="28"/>
              </w:rPr>
              <w:t xml:space="preserve"> y los fines de</w:t>
            </w:r>
            <w:r w:rsidRPr="003E425B">
              <w:rPr>
                <w:rFonts w:ascii="Times New Roman" w:hAnsi="Times New Roman" w:cs="Times New Roman"/>
                <w:sz w:val="28"/>
              </w:rPr>
              <w:t xml:space="preserve"> </w:t>
            </w:r>
            <w:r w:rsidRPr="003E425B">
              <w:rPr>
                <w:rFonts w:ascii="Times New Roman" w:hAnsi="Times New Roman" w:cs="Times New Roman"/>
                <w:sz w:val="28"/>
              </w:rPr>
              <w:t>las facultades.</w:t>
            </w:r>
          </w:p>
        </w:tc>
        <w:tc>
          <w:tcPr>
            <w:tcW w:w="1741" w:type="dxa"/>
          </w:tcPr>
          <w:p w:rsidR="00D46E18" w:rsidRPr="003E425B" w:rsidRDefault="003E425B" w:rsidP="00D46E18">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r w:rsidR="00A56C8C" w:rsidRPr="003E425B" w:rsidTr="00650CF3">
        <w:tc>
          <w:tcPr>
            <w:tcW w:w="453" w:type="dxa"/>
            <w:vAlign w:val="center"/>
          </w:tcPr>
          <w:p w:rsidR="00A56C8C" w:rsidRPr="003E425B" w:rsidRDefault="003E425B" w:rsidP="00A56C8C">
            <w:pPr>
              <w:jc w:val="center"/>
              <w:rPr>
                <w:rFonts w:ascii="Times New Roman" w:eastAsia="Times New Roman" w:hAnsi="Times New Roman" w:cs="Times New Roman"/>
                <w:color w:val="000000"/>
                <w:sz w:val="28"/>
              </w:rPr>
            </w:pPr>
            <w:r w:rsidRPr="003E425B">
              <w:rPr>
                <w:rFonts w:ascii="Times New Roman" w:eastAsia="Times New Roman" w:hAnsi="Times New Roman" w:cs="Times New Roman"/>
                <w:color w:val="000000"/>
                <w:sz w:val="28"/>
              </w:rPr>
              <w:t>25</w:t>
            </w:r>
          </w:p>
        </w:tc>
        <w:tc>
          <w:tcPr>
            <w:tcW w:w="2712" w:type="dxa"/>
          </w:tcPr>
          <w:p w:rsidR="00A56C8C" w:rsidRPr="003E425B" w:rsidRDefault="003E425B" w:rsidP="00A56C8C">
            <w:pPr>
              <w:jc w:val="center"/>
              <w:rPr>
                <w:rFonts w:ascii="Times New Roman" w:hAnsi="Times New Roman" w:cs="Times New Roman"/>
                <w:sz w:val="28"/>
              </w:rPr>
            </w:pPr>
            <w:r w:rsidRPr="003E425B">
              <w:rPr>
                <w:rFonts w:ascii="Times New Roman" w:hAnsi="Times New Roman" w:cs="Times New Roman"/>
                <w:sz w:val="28"/>
              </w:rPr>
              <w:t>Escuela Nacional Sindical</w:t>
            </w:r>
          </w:p>
        </w:tc>
        <w:tc>
          <w:tcPr>
            <w:tcW w:w="6261" w:type="dxa"/>
          </w:tcPr>
          <w:p w:rsidR="00A56C8C" w:rsidRPr="003E425B" w:rsidRDefault="003E425B" w:rsidP="00377E1F">
            <w:pPr>
              <w:pStyle w:val="Prrafodelista"/>
              <w:numPr>
                <w:ilvl w:val="0"/>
                <w:numId w:val="45"/>
              </w:numPr>
              <w:ind w:left="0" w:firstLine="0"/>
              <w:contextualSpacing w:val="0"/>
              <w:rPr>
                <w:rFonts w:ascii="Times New Roman" w:hAnsi="Times New Roman"/>
                <w:sz w:val="28"/>
              </w:rPr>
            </w:pPr>
            <w:r w:rsidRPr="003E425B">
              <w:rPr>
                <w:rFonts w:ascii="Times New Roman" w:hAnsi="Times New Roman"/>
                <w:i/>
                <w:iCs/>
                <w:sz w:val="28"/>
              </w:rPr>
              <w:t xml:space="preserve">Impacto fiscal. </w:t>
            </w:r>
            <w:r w:rsidRPr="003E425B">
              <w:rPr>
                <w:rFonts w:ascii="Times New Roman" w:hAnsi="Times New Roman"/>
                <w:sz w:val="28"/>
              </w:rPr>
              <w:t>Señalan que la jurisprudencia constitucional (C-110 de 2019), no se pueden invocar criterios fiscales para menoscabar, restringir o negar la protección de derechos fundamentales. Asimismo, afirman que el requisito previsto en el artículo 7° de la Ley 819 d</w:t>
            </w:r>
            <w:r w:rsidRPr="003E425B">
              <w:rPr>
                <w:rFonts w:ascii="Times New Roman" w:hAnsi="Times New Roman"/>
                <w:sz w:val="28"/>
              </w:rPr>
              <w:t xml:space="preserve">e 2003 es un instrumento de racionalización de la actividad legislativa, </w:t>
            </w:r>
            <w:r w:rsidRPr="003E425B">
              <w:rPr>
                <w:rFonts w:ascii="Times New Roman" w:hAnsi="Times New Roman"/>
                <w:sz w:val="28"/>
                <w:lang w:val="es-ES"/>
              </w:rPr>
              <w:t>con el fin de que ella se realice con conocimiento de causa de los costos fiscales que genera cada una de las leyes aprobadas por el Congreso. Una interpretación rígida le daría al MH</w:t>
            </w:r>
            <w:r w:rsidRPr="003E425B">
              <w:rPr>
                <w:rFonts w:ascii="Times New Roman" w:hAnsi="Times New Roman"/>
                <w:sz w:val="28"/>
                <w:lang w:val="es-ES"/>
              </w:rPr>
              <w:t>CP un poder de veto legislativo. En el caso concreto, señalan que, en el trámite legislativo, especialmente en la primera ponencia de comisión primera, se tocó el tema y se indicó el costo del Ministerio de la Igualdad. Además, el 12 de diciembre de 2022 e</w:t>
            </w:r>
            <w:r w:rsidRPr="003E425B">
              <w:rPr>
                <w:rFonts w:ascii="Times New Roman" w:hAnsi="Times New Roman"/>
                <w:sz w:val="28"/>
                <w:lang w:val="es-ES"/>
              </w:rPr>
              <w:t>l MHCP presentó un concepto sobre la Ley y su impacto fiscal, donde no expone ninguna oposición.</w:t>
            </w:r>
          </w:p>
          <w:p w:rsidR="00A56C8C" w:rsidRPr="003E425B" w:rsidRDefault="003E425B" w:rsidP="00377E1F">
            <w:pPr>
              <w:pStyle w:val="Prrafodelista"/>
              <w:numPr>
                <w:ilvl w:val="0"/>
                <w:numId w:val="45"/>
              </w:numPr>
              <w:ind w:left="0" w:firstLine="0"/>
              <w:rPr>
                <w:rFonts w:ascii="Times New Roman" w:hAnsi="Times New Roman"/>
                <w:sz w:val="28"/>
              </w:rPr>
            </w:pPr>
            <w:r w:rsidRPr="003E425B">
              <w:rPr>
                <w:rFonts w:ascii="Times New Roman" w:hAnsi="Times New Roman"/>
                <w:i/>
                <w:iCs/>
                <w:sz w:val="28"/>
              </w:rPr>
              <w:t xml:space="preserve">Quórum y mayorías. </w:t>
            </w:r>
            <w:r w:rsidRPr="003E425B">
              <w:rPr>
                <w:rFonts w:ascii="Times New Roman" w:hAnsi="Times New Roman"/>
                <w:sz w:val="28"/>
              </w:rPr>
              <w:t xml:space="preserve">Indican que </w:t>
            </w:r>
            <w:r w:rsidRPr="003E425B">
              <w:rPr>
                <w:rFonts w:ascii="Times New Roman" w:hAnsi="Times New Roman"/>
                <w:i/>
                <w:iCs/>
                <w:sz w:val="28"/>
              </w:rPr>
              <w:t>(i)</w:t>
            </w:r>
            <w:r w:rsidRPr="003E425B">
              <w:rPr>
                <w:rFonts w:ascii="Times New Roman" w:hAnsi="Times New Roman"/>
                <w:sz w:val="28"/>
              </w:rPr>
              <w:t xml:space="preserve"> la sentencia que invocan los demandantes (C-816 de 2004) estudia las mayorías calificadas del informe de ponencia para actos</w:t>
            </w:r>
            <w:r w:rsidRPr="003E425B">
              <w:rPr>
                <w:rFonts w:ascii="Times New Roman" w:hAnsi="Times New Roman"/>
                <w:sz w:val="28"/>
              </w:rPr>
              <w:t xml:space="preserve"> legislativos, lo cual es distinto a este caso y </w:t>
            </w:r>
            <w:r w:rsidRPr="003E425B">
              <w:rPr>
                <w:rFonts w:ascii="Times New Roman" w:hAnsi="Times New Roman"/>
                <w:i/>
                <w:iCs/>
                <w:sz w:val="28"/>
              </w:rPr>
              <w:t>(ii)</w:t>
            </w:r>
            <w:r w:rsidRPr="003E425B">
              <w:rPr>
                <w:rFonts w:ascii="Times New Roman" w:hAnsi="Times New Roman"/>
                <w:sz w:val="28"/>
              </w:rPr>
              <w:t xml:space="preserve"> la jurisprudencia de la Corte Constitucional</w:t>
            </w:r>
            <w:r w:rsidRPr="003E425B">
              <w:rPr>
                <w:rStyle w:val="Refdenotaalpie"/>
                <w:rFonts w:ascii="Times New Roman" w:hAnsi="Times New Roman"/>
                <w:sz w:val="28"/>
              </w:rPr>
              <w:footnoteReference w:id="459"/>
            </w:r>
            <w:r w:rsidRPr="003E425B">
              <w:rPr>
                <w:rFonts w:ascii="Times New Roman" w:hAnsi="Times New Roman"/>
                <w:sz w:val="28"/>
              </w:rPr>
              <w:t xml:space="preserve"> ha señalado que cuando una ley ordinaria toque temas de leyes “orgánicas”, la totalidad de la ley no debe tramitarse de manera distinta. A partir de lo ante</w:t>
            </w:r>
            <w:r w:rsidRPr="003E425B">
              <w:rPr>
                <w:rFonts w:ascii="Times New Roman" w:hAnsi="Times New Roman"/>
                <w:sz w:val="28"/>
              </w:rPr>
              <w:t>rior, señalan que el 28 de noviembre, y 12 de diciembre de 2022 las comisiones y plenarias de las cámaras votaron el proyecto con las mayorías necesarias.</w:t>
            </w:r>
          </w:p>
        </w:tc>
        <w:tc>
          <w:tcPr>
            <w:tcW w:w="6147" w:type="dxa"/>
            <w:gridSpan w:val="2"/>
          </w:tcPr>
          <w:p w:rsidR="00A56C8C" w:rsidRPr="003E425B" w:rsidRDefault="003E425B" w:rsidP="00A56C8C">
            <w:pPr>
              <w:rPr>
                <w:rFonts w:ascii="Times New Roman" w:hAnsi="Times New Roman" w:cs="Times New Roman"/>
                <w:sz w:val="28"/>
              </w:rPr>
            </w:pPr>
            <w:r w:rsidRPr="003E425B">
              <w:rPr>
                <w:rFonts w:ascii="Times New Roman" w:hAnsi="Times New Roman" w:cs="Times New Roman"/>
                <w:sz w:val="28"/>
              </w:rPr>
              <w:t>Afirman que el artículo demandado no otorga poderes plenipotenciarios al presidente, sino que estos p</w:t>
            </w:r>
            <w:r w:rsidRPr="003E425B">
              <w:rPr>
                <w:rFonts w:ascii="Times New Roman" w:hAnsi="Times New Roman" w:cs="Times New Roman"/>
                <w:sz w:val="28"/>
              </w:rPr>
              <w:t>oderes están claramente delimitados y los decretos con fuerza de ley que expedirá serán con ocasión a la integración del MinIgualdad al andamiaje del ejecutivo. Con todo, señalan que la Corte Constitucional podrá estudiar la constitucionalidad de los decre</w:t>
            </w:r>
            <w:r w:rsidRPr="003E425B">
              <w:rPr>
                <w:rFonts w:ascii="Times New Roman" w:hAnsi="Times New Roman" w:cs="Times New Roman"/>
                <w:sz w:val="28"/>
              </w:rPr>
              <w:t>tos con fuerza de ley que se expida.</w:t>
            </w:r>
          </w:p>
        </w:tc>
        <w:tc>
          <w:tcPr>
            <w:tcW w:w="1741" w:type="dxa"/>
          </w:tcPr>
          <w:p w:rsidR="00A56C8C" w:rsidRPr="003E425B" w:rsidRDefault="003E425B" w:rsidP="00A56C8C">
            <w:pPr>
              <w:rPr>
                <w:rFonts w:ascii="Times New Roman" w:hAnsi="Times New Roman" w:cs="Times New Roman"/>
                <w:sz w:val="28"/>
              </w:rPr>
            </w:pPr>
            <w:r w:rsidRPr="003E425B">
              <w:rPr>
                <w:rFonts w:ascii="Times New Roman" w:hAnsi="Times New Roman" w:cs="Times New Roman"/>
                <w:sz w:val="28"/>
              </w:rPr>
              <w:t>Solicitan a la Corte declarar la exequibilidad de la norma.</w:t>
            </w:r>
          </w:p>
        </w:tc>
      </w:tr>
    </w:tbl>
    <w:p w:rsidR="00A826CC" w:rsidRPr="003E425B" w:rsidRDefault="003E425B">
      <w:pPr>
        <w:rPr>
          <w:rFonts w:ascii="Times New Roman" w:hAnsi="Times New Roman" w:cs="Times New Roman"/>
          <w:sz w:val="28"/>
        </w:rPr>
      </w:pPr>
    </w:p>
    <w:p w:rsidR="00782CF1" w:rsidRPr="003E425B" w:rsidRDefault="003E425B" w:rsidP="00525D08">
      <w:pPr>
        <w:jc w:val="center"/>
        <w:rPr>
          <w:rFonts w:ascii="Times New Roman" w:hAnsi="Times New Roman" w:cs="Times New Roman"/>
          <w:b/>
          <w:bCs/>
          <w:sz w:val="28"/>
          <w:szCs w:val="28"/>
          <w:lang w:val="es-ES"/>
        </w:rPr>
      </w:pPr>
    </w:p>
    <w:p w:rsidR="00782CF1" w:rsidRPr="003E425B" w:rsidRDefault="003E425B" w:rsidP="00525D08">
      <w:pPr>
        <w:jc w:val="center"/>
        <w:rPr>
          <w:rFonts w:ascii="Times New Roman" w:hAnsi="Times New Roman" w:cs="Times New Roman"/>
          <w:b/>
          <w:bCs/>
          <w:sz w:val="28"/>
          <w:szCs w:val="28"/>
          <w:lang w:val="es-ES"/>
        </w:rPr>
      </w:pPr>
    </w:p>
    <w:p w:rsidR="00D32C35" w:rsidRPr="003E425B" w:rsidRDefault="003E425B" w:rsidP="00525D08">
      <w:pPr>
        <w:jc w:val="center"/>
        <w:rPr>
          <w:rFonts w:ascii="Times New Roman" w:hAnsi="Times New Roman" w:cs="Times New Roman"/>
          <w:b/>
          <w:bCs/>
          <w:sz w:val="28"/>
          <w:szCs w:val="28"/>
          <w:lang w:val="es-ES"/>
        </w:rPr>
      </w:pPr>
      <w:r w:rsidRPr="003E425B">
        <w:rPr>
          <w:rFonts w:ascii="Times New Roman" w:hAnsi="Times New Roman" w:cs="Times New Roman"/>
          <w:b/>
          <w:bCs/>
          <w:sz w:val="28"/>
          <w:szCs w:val="28"/>
          <w:lang w:val="es-ES"/>
        </w:rPr>
        <w:t xml:space="preserve">SALVAMENTO PARCIAL Y ACLARACIÓN DE VOTO DEL MAGISTRADO </w:t>
      </w:r>
    </w:p>
    <w:p w:rsidR="00D32C35" w:rsidRPr="003E425B" w:rsidRDefault="003E425B" w:rsidP="00525D08">
      <w:pPr>
        <w:jc w:val="center"/>
        <w:rPr>
          <w:rFonts w:ascii="Times New Roman" w:hAnsi="Times New Roman" w:cs="Times New Roman"/>
          <w:b/>
          <w:bCs/>
          <w:sz w:val="28"/>
          <w:szCs w:val="28"/>
          <w:lang w:val="es-ES"/>
        </w:rPr>
      </w:pPr>
      <w:r w:rsidRPr="003E425B">
        <w:rPr>
          <w:rFonts w:ascii="Times New Roman" w:hAnsi="Times New Roman" w:cs="Times New Roman"/>
          <w:b/>
          <w:bCs/>
          <w:sz w:val="28"/>
          <w:szCs w:val="28"/>
          <w:lang w:val="es-ES"/>
        </w:rPr>
        <w:t xml:space="preserve">JORGE ENRIQUE IBÁÑEZ NAJAR </w:t>
      </w:r>
    </w:p>
    <w:p w:rsidR="00D32C35" w:rsidRPr="003E425B" w:rsidRDefault="003E425B" w:rsidP="00525D08">
      <w:pPr>
        <w:jc w:val="center"/>
        <w:rPr>
          <w:rFonts w:ascii="Times New Roman" w:hAnsi="Times New Roman" w:cs="Times New Roman"/>
          <w:b/>
          <w:bCs/>
          <w:sz w:val="28"/>
          <w:szCs w:val="28"/>
          <w:lang w:val="es-ES"/>
        </w:rPr>
      </w:pPr>
      <w:r w:rsidRPr="003E425B">
        <w:rPr>
          <w:rFonts w:ascii="Times New Roman" w:hAnsi="Times New Roman" w:cs="Times New Roman"/>
          <w:b/>
          <w:bCs/>
          <w:sz w:val="28"/>
          <w:szCs w:val="28"/>
          <w:lang w:val="es-ES"/>
        </w:rPr>
        <w:t xml:space="preserve">A LA SENTENCIA C-161 DE 2024 </w:t>
      </w:r>
    </w:p>
    <w:p w:rsidR="00685940" w:rsidRPr="003E425B" w:rsidRDefault="003E425B" w:rsidP="00525D08">
      <w:pPr>
        <w:jc w:val="center"/>
        <w:rPr>
          <w:rFonts w:ascii="Times New Roman" w:hAnsi="Times New Roman" w:cs="Times New Roman"/>
          <w:b/>
          <w:bCs/>
          <w:sz w:val="28"/>
          <w:szCs w:val="28"/>
          <w:lang w:val="es-ES"/>
        </w:rPr>
      </w:pPr>
      <w:r w:rsidRPr="003E425B">
        <w:rPr>
          <w:rFonts w:ascii="Times New Roman" w:hAnsi="Times New Roman" w:cs="Times New Roman"/>
          <w:b/>
          <w:bCs/>
          <w:sz w:val="28"/>
          <w:szCs w:val="28"/>
          <w:lang w:val="es-ES"/>
        </w:rPr>
        <w:t xml:space="preserve"> (EXPEDIENTE D-</w:t>
      </w:r>
      <w:r w:rsidRPr="003E425B">
        <w:rPr>
          <w:rFonts w:ascii="Times New Roman" w:hAnsi="Times New Roman" w:cs="Times New Roman"/>
          <w:b/>
          <w:bCs/>
          <w:sz w:val="28"/>
          <w:szCs w:val="28"/>
          <w:lang w:val="es-ES"/>
        </w:rPr>
        <w:t>15.146</w:t>
      </w:r>
      <w:r w:rsidRPr="003E425B">
        <w:rPr>
          <w:rFonts w:ascii="Times New Roman" w:hAnsi="Times New Roman" w:cs="Times New Roman"/>
          <w:b/>
          <w:bCs/>
          <w:sz w:val="28"/>
          <w:szCs w:val="28"/>
          <w:lang w:val="es-ES"/>
        </w:rPr>
        <w:t>)</w:t>
      </w:r>
    </w:p>
    <w:p w:rsidR="00EB37CD" w:rsidRPr="003E425B" w:rsidRDefault="003E425B" w:rsidP="001F7A89">
      <w:pPr>
        <w:jc w:val="center"/>
        <w:rPr>
          <w:rFonts w:ascii="Times New Roman" w:hAnsi="Times New Roman" w:cs="Times New Roman"/>
          <w:b/>
          <w:bCs/>
          <w:sz w:val="28"/>
          <w:szCs w:val="28"/>
          <w:lang w:val="es-ES"/>
        </w:rPr>
      </w:pPr>
    </w:p>
    <w:p w:rsidR="00974DBA" w:rsidRPr="003E425B" w:rsidRDefault="003E425B" w:rsidP="001F7A89">
      <w:pPr>
        <w:jc w:val="center"/>
        <w:rPr>
          <w:rFonts w:ascii="Times New Roman" w:hAnsi="Times New Roman" w:cs="Times New Roman"/>
          <w:b/>
          <w:bCs/>
          <w:sz w:val="28"/>
          <w:szCs w:val="28"/>
          <w:lang w:val="es-ES"/>
        </w:rPr>
      </w:pPr>
    </w:p>
    <w:p w:rsidR="00E27F8F" w:rsidRPr="003E425B" w:rsidRDefault="003E425B" w:rsidP="000743AA">
      <w:pPr>
        <w:jc w:val="both"/>
        <w:rPr>
          <w:rFonts w:ascii="Times New Roman" w:hAnsi="Times New Roman" w:cs="Times New Roman"/>
          <w:color w:val="000000"/>
          <w:sz w:val="28"/>
          <w:szCs w:val="28"/>
        </w:rPr>
      </w:pPr>
      <w:r w:rsidRPr="003E425B">
        <w:rPr>
          <w:rFonts w:ascii="Times New Roman" w:hAnsi="Times New Roman" w:cs="Times New Roman"/>
          <w:sz w:val="28"/>
          <w:szCs w:val="28"/>
          <w:lang w:val="es-ES"/>
        </w:rPr>
        <w:t xml:space="preserve">Con la </w:t>
      </w:r>
      <w:r w:rsidRPr="003E425B">
        <w:rPr>
          <w:rFonts w:ascii="Times New Roman" w:hAnsi="Times New Roman" w:cs="Times New Roman"/>
          <w:b/>
          <w:bCs/>
          <w:sz w:val="28"/>
          <w:szCs w:val="28"/>
          <w:lang w:val="es-ES"/>
        </w:rPr>
        <w:t>Sentencia</w:t>
      </w:r>
      <w:r w:rsidRPr="003E425B">
        <w:rPr>
          <w:rFonts w:ascii="Times New Roman" w:hAnsi="Times New Roman" w:cs="Times New Roman"/>
          <w:b/>
          <w:bCs/>
          <w:sz w:val="28"/>
          <w:szCs w:val="28"/>
          <w:lang w:val="es-ES"/>
        </w:rPr>
        <w:t xml:space="preserve"> C-</w:t>
      </w:r>
      <w:r w:rsidRPr="003E425B">
        <w:rPr>
          <w:rFonts w:ascii="Times New Roman" w:hAnsi="Times New Roman" w:cs="Times New Roman"/>
          <w:b/>
          <w:bCs/>
          <w:sz w:val="28"/>
          <w:szCs w:val="28"/>
          <w:lang w:val="es-ES"/>
        </w:rPr>
        <w:t>161</w:t>
      </w:r>
      <w:r w:rsidRPr="003E425B">
        <w:rPr>
          <w:rFonts w:ascii="Times New Roman" w:hAnsi="Times New Roman" w:cs="Times New Roman"/>
          <w:b/>
          <w:bCs/>
          <w:sz w:val="28"/>
          <w:szCs w:val="28"/>
          <w:lang w:val="es-ES"/>
        </w:rPr>
        <w:t xml:space="preserve"> de</w:t>
      </w:r>
      <w:r w:rsidRPr="003E425B">
        <w:rPr>
          <w:rFonts w:ascii="Times New Roman" w:hAnsi="Times New Roman" w:cs="Times New Roman"/>
          <w:b/>
          <w:bCs/>
          <w:sz w:val="28"/>
          <w:szCs w:val="28"/>
          <w:lang w:val="es-ES"/>
        </w:rPr>
        <w:t>l 8 de mayo de</w:t>
      </w:r>
      <w:r w:rsidRPr="003E425B">
        <w:rPr>
          <w:rFonts w:ascii="Times New Roman" w:hAnsi="Times New Roman" w:cs="Times New Roman"/>
          <w:b/>
          <w:bCs/>
          <w:sz w:val="28"/>
          <w:szCs w:val="28"/>
          <w:lang w:val="es-ES"/>
        </w:rPr>
        <w:t xml:space="preserve"> 202</w:t>
      </w:r>
      <w:r w:rsidRPr="003E425B">
        <w:rPr>
          <w:rFonts w:ascii="Times New Roman" w:hAnsi="Times New Roman" w:cs="Times New Roman"/>
          <w:b/>
          <w:bCs/>
          <w:sz w:val="28"/>
          <w:szCs w:val="28"/>
          <w:lang w:val="es-ES"/>
        </w:rPr>
        <w:t>4</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 xml:space="preserve">la Corte Constitucional </w:t>
      </w:r>
      <w:r w:rsidRPr="003E425B">
        <w:rPr>
          <w:rFonts w:ascii="Times New Roman" w:hAnsi="Times New Roman" w:cs="Times New Roman"/>
          <w:sz w:val="28"/>
          <w:szCs w:val="28"/>
          <w:lang w:val="es-ES"/>
        </w:rPr>
        <w:t>declaró</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 xml:space="preserve">la </w:t>
      </w:r>
      <w:r w:rsidRPr="003E425B">
        <w:rPr>
          <w:rFonts w:ascii="Times New Roman" w:hAnsi="Times New Roman" w:cs="Times New Roman"/>
          <w:sz w:val="28"/>
          <w:szCs w:val="28"/>
          <w:lang w:val="es-ES"/>
        </w:rPr>
        <w:t>in</w:t>
      </w:r>
      <w:r w:rsidRPr="003E425B">
        <w:rPr>
          <w:rFonts w:ascii="Times New Roman" w:hAnsi="Times New Roman" w:cs="Times New Roman"/>
          <w:sz w:val="28"/>
          <w:szCs w:val="28"/>
          <w:lang w:val="es-ES"/>
        </w:rPr>
        <w:t>exequibilidad de</w:t>
      </w:r>
      <w:r w:rsidRPr="003E425B">
        <w:rPr>
          <w:rFonts w:ascii="Times New Roman" w:hAnsi="Times New Roman" w:cs="Times New Roman"/>
          <w:sz w:val="28"/>
          <w:szCs w:val="28"/>
          <w:lang w:val="es-ES"/>
        </w:rPr>
        <w:t xml:space="preserve"> la Ley 2281 de 2013 “</w:t>
      </w:r>
      <w:r w:rsidRPr="003E425B">
        <w:rPr>
          <w:rFonts w:ascii="Times New Roman" w:hAnsi="Times New Roman" w:cs="Times New Roman"/>
          <w:sz w:val="28"/>
          <w:szCs w:val="28"/>
          <w:lang w:val="es-ES"/>
        </w:rPr>
        <w:t>[p]</w:t>
      </w:r>
      <w:r w:rsidRPr="003E425B">
        <w:rPr>
          <w:rFonts w:ascii="Times New Roman" w:hAnsi="Times New Roman" w:cs="Times New Roman"/>
          <w:i/>
          <w:iCs/>
          <w:sz w:val="28"/>
          <w:szCs w:val="28"/>
          <w:lang w:val="es-ES"/>
        </w:rPr>
        <w:t>or medio de la cual se crea el Ministerio de Igualdad y Equidad y se dictan otras disposiciones</w:t>
      </w:r>
      <w:r w:rsidRPr="003E425B">
        <w:rPr>
          <w:rFonts w:ascii="Times New Roman" w:hAnsi="Times New Roman" w:cs="Times New Roman"/>
          <w:sz w:val="28"/>
          <w:szCs w:val="28"/>
          <w:lang w:val="es-ES"/>
        </w:rPr>
        <w:t>”</w:t>
      </w:r>
      <w:r w:rsidRPr="003E425B">
        <w:rPr>
          <w:rFonts w:ascii="Times New Roman" w:hAnsi="Times New Roman" w:cs="Times New Roman"/>
          <w:sz w:val="28"/>
          <w:szCs w:val="28"/>
          <w:lang w:val="es-ES"/>
        </w:rPr>
        <w:t>,</w:t>
      </w:r>
      <w:r w:rsidRPr="003E425B">
        <w:rPr>
          <w:rFonts w:ascii="Times New Roman" w:hAnsi="Times New Roman" w:cs="Times New Roman"/>
          <w:sz w:val="28"/>
          <w:szCs w:val="28"/>
          <w:lang w:val="es-ES"/>
        </w:rPr>
        <w:t xml:space="preserve"> y determinó la necesidad de modular</w:t>
      </w:r>
      <w:r w:rsidRPr="003E425B">
        <w:rPr>
          <w:rFonts w:ascii="Times New Roman" w:hAnsi="Times New Roman" w:cs="Times New Roman"/>
          <w:sz w:val="28"/>
          <w:szCs w:val="28"/>
          <w:lang w:val="es-ES"/>
        </w:rPr>
        <w:t xml:space="preserve"> los efectos</w:t>
      </w:r>
      <w:r w:rsidRPr="003E425B">
        <w:rPr>
          <w:rFonts w:ascii="Times New Roman" w:hAnsi="Times New Roman" w:cs="Times New Roman"/>
          <w:sz w:val="28"/>
          <w:szCs w:val="28"/>
          <w:lang w:val="es-ES"/>
        </w:rPr>
        <w:t xml:space="preserve"> en</w:t>
      </w:r>
      <w:r w:rsidRPr="003E425B">
        <w:rPr>
          <w:rFonts w:ascii="Times New Roman" w:hAnsi="Times New Roman" w:cs="Times New Roman"/>
          <w:sz w:val="28"/>
          <w:szCs w:val="28"/>
          <w:lang w:val="es-ES"/>
        </w:rPr>
        <w:t xml:space="preserve"> el tiempo de esta decisión, en el sentido que </w:t>
      </w:r>
      <w:r w:rsidRPr="003E425B">
        <w:rPr>
          <w:rFonts w:ascii="Times New Roman" w:hAnsi="Times New Roman" w:cs="Times New Roman"/>
          <w:sz w:val="28"/>
          <w:szCs w:val="28"/>
          <w:lang w:val="es-ES"/>
        </w:rPr>
        <w:t xml:space="preserve">los difirió por el </w:t>
      </w:r>
      <w:r w:rsidRPr="003E425B">
        <w:rPr>
          <w:rFonts w:ascii="Times New Roman" w:hAnsi="Times New Roman" w:cs="Times New Roman"/>
          <w:sz w:val="28"/>
          <w:szCs w:val="28"/>
          <w:lang w:val="es-ES"/>
        </w:rPr>
        <w:t>término de dos (2) legislaturas</w:t>
      </w:r>
      <w:r w:rsidRPr="003E425B">
        <w:rPr>
          <w:rFonts w:ascii="Times New Roman" w:hAnsi="Times New Roman" w:cs="Times New Roman"/>
          <w:sz w:val="28"/>
          <w:szCs w:val="28"/>
          <w:lang w:val="es-ES"/>
        </w:rPr>
        <w:t>, contadas a partir del 20 de julio de 2024</w:t>
      </w:r>
      <w:r w:rsidRPr="003E425B">
        <w:rPr>
          <w:rFonts w:ascii="Times New Roman" w:hAnsi="Times New Roman" w:cs="Times New Roman"/>
          <w:sz w:val="28"/>
          <w:szCs w:val="28"/>
          <w:lang w:val="es-ES"/>
        </w:rPr>
        <w:t>.</w:t>
      </w:r>
      <w:r w:rsidRPr="003E425B">
        <w:rPr>
          <w:rFonts w:ascii="Times New Roman" w:hAnsi="Times New Roman" w:cs="Times New Roman"/>
          <w:sz w:val="28"/>
          <w:szCs w:val="28"/>
          <w:lang w:val="es-ES"/>
        </w:rPr>
        <w:t xml:space="preserve"> De manera que “[u]</w:t>
      </w:r>
      <w:r w:rsidRPr="003E425B">
        <w:rPr>
          <w:rFonts w:ascii="Times New Roman" w:hAnsi="Times New Roman" w:cs="Times New Roman"/>
          <w:i/>
          <w:iCs/>
          <w:sz w:val="28"/>
          <w:szCs w:val="28"/>
          <w:lang w:val="es-ES"/>
        </w:rPr>
        <w:t>na vez culmine</w:t>
      </w:r>
      <w:r w:rsidRPr="003E425B">
        <w:rPr>
          <w:rFonts w:ascii="Times New Roman" w:hAnsi="Times New Roman" w:cs="Times New Roman"/>
          <w:i/>
          <w:iCs/>
          <w:sz w:val="28"/>
          <w:szCs w:val="28"/>
          <w:lang w:val="es-ES"/>
        </w:rPr>
        <w:t xml:space="preserve"> la legislatura 2025-2026, la Ley 2281 de 2023 dejará de producir efectos definitivamente y no formará parte del ordenamiento jurídico.”</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 xml:space="preserve">Esta decisión se adoptó únicamente al considerar que </w:t>
      </w:r>
      <w:r w:rsidRPr="003E425B">
        <w:rPr>
          <w:rFonts w:ascii="Times New Roman" w:hAnsi="Times New Roman" w:cs="Times New Roman"/>
          <w:sz w:val="28"/>
          <w:szCs w:val="28"/>
          <w:lang w:val="es-ES"/>
        </w:rPr>
        <w:t>prosperaba</w:t>
      </w:r>
      <w:r w:rsidRPr="003E425B">
        <w:rPr>
          <w:rFonts w:ascii="Times New Roman" w:hAnsi="Times New Roman" w:cs="Times New Roman"/>
          <w:sz w:val="28"/>
          <w:szCs w:val="28"/>
          <w:lang w:val="es-ES"/>
        </w:rPr>
        <w:t xml:space="preserve"> el segundo cargo </w:t>
      </w:r>
      <w:r w:rsidRPr="003E425B">
        <w:rPr>
          <w:rFonts w:ascii="Times New Roman" w:hAnsi="Times New Roman" w:cs="Times New Roman"/>
          <w:sz w:val="28"/>
          <w:szCs w:val="28"/>
          <w:lang w:val="es-ES"/>
        </w:rPr>
        <w:t>formulado</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en la acción pública de inco</w:t>
      </w:r>
      <w:r w:rsidRPr="003E425B">
        <w:rPr>
          <w:rFonts w:ascii="Times New Roman" w:hAnsi="Times New Roman" w:cs="Times New Roman"/>
          <w:sz w:val="28"/>
          <w:szCs w:val="28"/>
          <w:lang w:val="es-ES"/>
        </w:rPr>
        <w:t>nstitucionalidad, relativo al</w:t>
      </w:r>
      <w:r w:rsidRPr="003E425B">
        <w:rPr>
          <w:rFonts w:ascii="Times New Roman" w:hAnsi="Times New Roman" w:cs="Times New Roman"/>
          <w:color w:val="000000"/>
          <w:sz w:val="28"/>
          <w:szCs w:val="28"/>
        </w:rPr>
        <w:t xml:space="preserve"> incumplimiento de la obligación de </w:t>
      </w:r>
      <w:r w:rsidRPr="003E425B">
        <w:rPr>
          <w:rFonts w:ascii="Times New Roman" w:hAnsi="Times New Roman" w:cs="Times New Roman"/>
          <w:color w:val="000000"/>
          <w:sz w:val="28"/>
          <w:szCs w:val="28"/>
        </w:rPr>
        <w:t>estudiar</w:t>
      </w:r>
      <w:r w:rsidRPr="003E425B">
        <w:rPr>
          <w:rFonts w:ascii="Times New Roman" w:hAnsi="Times New Roman" w:cs="Times New Roman"/>
          <w:color w:val="000000"/>
          <w:sz w:val="28"/>
          <w:szCs w:val="28"/>
        </w:rPr>
        <w:t xml:space="preserve"> el impacto fiscal de la iniciativa </w:t>
      </w:r>
      <w:r w:rsidRPr="003E425B">
        <w:rPr>
          <w:rFonts w:ascii="Times New Roman" w:hAnsi="Times New Roman" w:cs="Times New Roman"/>
          <w:color w:val="000000"/>
          <w:sz w:val="28"/>
          <w:szCs w:val="28"/>
        </w:rPr>
        <w:t>legislativa en línea con lo previsto en</w:t>
      </w:r>
      <w:r w:rsidRPr="003E425B">
        <w:rPr>
          <w:rFonts w:ascii="Times New Roman" w:hAnsi="Times New Roman" w:cs="Times New Roman"/>
          <w:sz w:val="28"/>
          <w:szCs w:val="28"/>
        </w:rPr>
        <w:t xml:space="preserve"> el artículo 7 de la Ley orgánica 819 de 2003</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En concreto, para la Sala Plena </w:t>
      </w:r>
      <w:r w:rsidRPr="003E425B">
        <w:rPr>
          <w:rFonts w:ascii="Times New Roman" w:hAnsi="Times New Roman" w:cs="Times New Roman"/>
          <w:sz w:val="28"/>
          <w:szCs w:val="28"/>
        </w:rPr>
        <w:t>ese supuesto era exigible, pu</w:t>
      </w:r>
      <w:r w:rsidRPr="003E425B">
        <w:rPr>
          <w:rFonts w:ascii="Times New Roman" w:hAnsi="Times New Roman" w:cs="Times New Roman"/>
          <w:sz w:val="28"/>
          <w:szCs w:val="28"/>
        </w:rPr>
        <w:t xml:space="preserve">es </w:t>
      </w:r>
      <w:r w:rsidRPr="003E425B">
        <w:rPr>
          <w:rFonts w:ascii="Times New Roman" w:hAnsi="Times New Roman" w:cs="Times New Roman"/>
          <w:sz w:val="28"/>
          <w:szCs w:val="28"/>
        </w:rPr>
        <w:t>la Ley 2281 de 2023 ordena gasto al disponer la creación de un nuevo Ministerio que supone erogaciones presupuestales adicionales</w:t>
      </w:r>
      <w:r w:rsidRPr="003E425B">
        <w:rPr>
          <w:rFonts w:ascii="Times New Roman" w:hAnsi="Times New Roman" w:cs="Times New Roman"/>
          <w:sz w:val="28"/>
          <w:szCs w:val="28"/>
        </w:rPr>
        <w:t xml:space="preserve"> como lo son, por lo menos, los gastos de funcionamiento y personal.</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Pero, lo cierto es que el Congreso de la República y el</w:t>
      </w:r>
      <w:r w:rsidRPr="003E425B">
        <w:rPr>
          <w:rFonts w:ascii="Times New Roman" w:hAnsi="Times New Roman" w:cs="Times New Roman"/>
          <w:sz w:val="28"/>
          <w:szCs w:val="28"/>
        </w:rPr>
        <w:t xml:space="preserve"> Ministerio de Hacienda y Crédito Público no lo cumplieron, y ello </w:t>
      </w:r>
      <w:r w:rsidRPr="003E425B">
        <w:rPr>
          <w:rFonts w:ascii="Times New Roman" w:hAnsi="Times New Roman" w:cs="Times New Roman"/>
          <w:color w:val="000000"/>
          <w:sz w:val="28"/>
          <w:szCs w:val="28"/>
        </w:rPr>
        <w:t xml:space="preserve">constituía un vicio de procedimiento insubsanable. </w:t>
      </w:r>
    </w:p>
    <w:p w:rsidR="00602636" w:rsidRPr="003E425B" w:rsidRDefault="003E425B" w:rsidP="000743AA">
      <w:pPr>
        <w:jc w:val="both"/>
        <w:rPr>
          <w:rFonts w:ascii="Times New Roman" w:hAnsi="Times New Roman" w:cs="Times New Roman"/>
          <w:sz w:val="28"/>
          <w:szCs w:val="28"/>
          <w:lang w:val="es-ES"/>
        </w:rPr>
      </w:pPr>
    </w:p>
    <w:p w:rsidR="00FA3E98" w:rsidRPr="003E425B" w:rsidRDefault="003E425B" w:rsidP="00702EBE">
      <w:pPr>
        <w:jc w:val="both"/>
        <w:rPr>
          <w:rFonts w:ascii="Times New Roman" w:hAnsi="Times New Roman" w:cs="Times New Roman"/>
          <w:sz w:val="28"/>
          <w:szCs w:val="28"/>
        </w:rPr>
      </w:pPr>
      <w:r w:rsidRPr="003E425B">
        <w:rPr>
          <w:rFonts w:ascii="Times New Roman" w:hAnsi="Times New Roman" w:cs="Times New Roman"/>
          <w:sz w:val="28"/>
          <w:szCs w:val="28"/>
        </w:rPr>
        <w:t>Con</w:t>
      </w:r>
      <w:r w:rsidRPr="003E425B">
        <w:rPr>
          <w:rFonts w:ascii="Times New Roman" w:hAnsi="Times New Roman" w:cs="Times New Roman"/>
          <w:sz w:val="28"/>
          <w:szCs w:val="28"/>
        </w:rPr>
        <w:t xml:space="preserve"> </w:t>
      </w:r>
      <w:r w:rsidRPr="003E425B">
        <w:rPr>
          <w:rFonts w:ascii="Times New Roman" w:hAnsi="Times New Roman" w:cs="Times New Roman"/>
          <w:sz w:val="28"/>
          <w:szCs w:val="28"/>
          <w:lang w:val="es-ES"/>
        </w:rPr>
        <w:t>el acostumbrado respeto por las decisiones de la H. Corte Constitucional a la cual honrosamente pertenezco,</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acompaño la decisión unánime de declarar </w:t>
      </w:r>
      <w:r w:rsidRPr="003E425B">
        <w:rPr>
          <w:rFonts w:ascii="Times New Roman" w:hAnsi="Times New Roman" w:cs="Times New Roman"/>
          <w:sz w:val="28"/>
          <w:szCs w:val="28"/>
        </w:rPr>
        <w:t>in</w:t>
      </w:r>
      <w:r w:rsidRPr="003E425B">
        <w:rPr>
          <w:rFonts w:ascii="Times New Roman" w:hAnsi="Times New Roman" w:cs="Times New Roman"/>
          <w:sz w:val="28"/>
          <w:szCs w:val="28"/>
        </w:rPr>
        <w:t>exequible la Ley 2281 de 2023</w:t>
      </w:r>
      <w:r w:rsidRPr="003E425B">
        <w:rPr>
          <w:rFonts w:ascii="Times New Roman" w:hAnsi="Times New Roman" w:cs="Times New Roman"/>
          <w:sz w:val="28"/>
          <w:szCs w:val="28"/>
        </w:rPr>
        <w:t>, pero manifesté m</w:t>
      </w:r>
      <w:r w:rsidRPr="003E425B">
        <w:rPr>
          <w:rFonts w:ascii="Times New Roman" w:hAnsi="Times New Roman" w:cs="Times New Roman"/>
          <w:sz w:val="28"/>
          <w:szCs w:val="28"/>
        </w:rPr>
        <w:t xml:space="preserve">i </w:t>
      </w:r>
      <w:r w:rsidRPr="003E425B">
        <w:rPr>
          <w:rFonts w:ascii="Times New Roman" w:hAnsi="Times New Roman" w:cs="Times New Roman"/>
          <w:sz w:val="28"/>
          <w:szCs w:val="28"/>
        </w:rPr>
        <w:t xml:space="preserve">salvamento parcial </w:t>
      </w:r>
      <w:r w:rsidRPr="003E425B">
        <w:rPr>
          <w:rFonts w:ascii="Times New Roman" w:hAnsi="Times New Roman" w:cs="Times New Roman"/>
          <w:sz w:val="28"/>
          <w:szCs w:val="28"/>
        </w:rPr>
        <w:t>y mi aclaración de voto</w:t>
      </w:r>
      <w:r w:rsidRPr="003E425B">
        <w:rPr>
          <w:rFonts w:ascii="Times New Roman" w:hAnsi="Times New Roman" w:cs="Times New Roman"/>
          <w:sz w:val="28"/>
          <w:szCs w:val="28"/>
        </w:rPr>
        <w:t xml:space="preserve">. </w:t>
      </w:r>
    </w:p>
    <w:p w:rsidR="00FA3E98" w:rsidRPr="003E425B" w:rsidRDefault="003E425B" w:rsidP="00702EBE">
      <w:pPr>
        <w:jc w:val="both"/>
        <w:rPr>
          <w:rFonts w:ascii="Times New Roman" w:hAnsi="Times New Roman" w:cs="Times New Roman"/>
          <w:sz w:val="28"/>
          <w:szCs w:val="28"/>
        </w:rPr>
      </w:pPr>
    </w:p>
    <w:p w:rsidR="00702EBE" w:rsidRPr="003E425B" w:rsidRDefault="003E425B" w:rsidP="00702EBE">
      <w:pPr>
        <w:jc w:val="both"/>
        <w:rPr>
          <w:rFonts w:ascii="Times New Roman" w:hAnsi="Times New Roman" w:cs="Times New Roman"/>
          <w:sz w:val="28"/>
          <w:szCs w:val="28"/>
        </w:rPr>
      </w:pPr>
      <w:r w:rsidRPr="003E425B">
        <w:rPr>
          <w:rFonts w:ascii="Times New Roman" w:hAnsi="Times New Roman" w:cs="Times New Roman"/>
          <w:sz w:val="28"/>
          <w:szCs w:val="28"/>
        </w:rPr>
        <w:t>La aclaración de voto se orienta a un disenso respecto del análisis y conclusión a la que arribó la Sala Plena de la C</w:t>
      </w:r>
      <w:r w:rsidRPr="003E425B">
        <w:rPr>
          <w:rFonts w:ascii="Times New Roman" w:hAnsi="Times New Roman" w:cs="Times New Roman"/>
          <w:sz w:val="28"/>
          <w:szCs w:val="28"/>
        </w:rPr>
        <w:t xml:space="preserve">orte respecto del primer cargo planteado por los accionantes, relativo a la vulneración de los artículos 145 de la Constitución y 119 de la </w:t>
      </w:r>
      <w:r w:rsidRPr="003E425B">
        <w:rPr>
          <w:rFonts w:ascii="Times New Roman" w:hAnsi="Times New Roman" w:cs="Times New Roman"/>
          <w:sz w:val="28"/>
          <w:szCs w:val="28"/>
        </w:rPr>
        <w:t>Ley 5ª</w:t>
      </w:r>
      <w:r w:rsidRPr="003E425B">
        <w:rPr>
          <w:rFonts w:ascii="Times New Roman" w:hAnsi="Times New Roman" w:cs="Times New Roman"/>
          <w:sz w:val="28"/>
          <w:szCs w:val="28"/>
        </w:rPr>
        <w:t xml:space="preserve"> de 1992, en el sentido que de los registros fílmicos y fotográficos de la sesión se demostraba que cuando se </w:t>
      </w:r>
      <w:r w:rsidRPr="003E425B">
        <w:rPr>
          <w:rFonts w:ascii="Times New Roman" w:hAnsi="Times New Roman" w:cs="Times New Roman"/>
          <w:sz w:val="28"/>
          <w:szCs w:val="28"/>
        </w:rPr>
        <w:t xml:space="preserve">llevó a cabo la votación, en el recinto, no se contaba con el </w:t>
      </w:r>
      <w:r w:rsidRPr="003E425B">
        <w:rPr>
          <w:rFonts w:ascii="Times New Roman" w:hAnsi="Times New Roman" w:cs="Times New Roman"/>
          <w:i/>
          <w:iCs/>
          <w:sz w:val="28"/>
          <w:szCs w:val="28"/>
        </w:rPr>
        <w:t>quorum decisorio</w:t>
      </w:r>
      <w:r w:rsidRPr="003E425B">
        <w:rPr>
          <w:rFonts w:ascii="Times New Roman" w:hAnsi="Times New Roman" w:cs="Times New Roman"/>
          <w:sz w:val="28"/>
          <w:szCs w:val="28"/>
        </w:rPr>
        <w:t>. De manera que, como se expondrá, esta circunstancia se traducía en un vicio que afectó una etapa fundamental del proceso legislativo, el cual no fue subsanado</w:t>
      </w:r>
      <w:r w:rsidRPr="003E425B">
        <w:rPr>
          <w:rFonts w:ascii="Times New Roman" w:hAnsi="Times New Roman" w:cs="Times New Roman"/>
          <w:sz w:val="28"/>
          <w:szCs w:val="28"/>
        </w:rPr>
        <w:t xml:space="preserve"> y, por ende, tran</w:t>
      </w:r>
      <w:r w:rsidRPr="003E425B">
        <w:rPr>
          <w:rFonts w:ascii="Times New Roman" w:hAnsi="Times New Roman" w:cs="Times New Roman"/>
          <w:sz w:val="28"/>
          <w:szCs w:val="28"/>
        </w:rPr>
        <w:t>sgredió los artículos 145, 149 y 157 de la Constitución.</w:t>
      </w:r>
    </w:p>
    <w:p w:rsidR="00702EBE" w:rsidRPr="003E425B" w:rsidRDefault="003E425B" w:rsidP="000743AA">
      <w:pPr>
        <w:jc w:val="both"/>
        <w:rPr>
          <w:rFonts w:ascii="Times New Roman" w:hAnsi="Times New Roman" w:cs="Times New Roman"/>
          <w:sz w:val="28"/>
          <w:szCs w:val="28"/>
        </w:rPr>
      </w:pPr>
    </w:p>
    <w:p w:rsidR="0026645F" w:rsidRPr="003E425B" w:rsidRDefault="003E425B" w:rsidP="000743AA">
      <w:pPr>
        <w:jc w:val="both"/>
        <w:rPr>
          <w:rFonts w:ascii="Times New Roman" w:hAnsi="Times New Roman" w:cs="Times New Roman"/>
          <w:sz w:val="28"/>
          <w:szCs w:val="28"/>
        </w:rPr>
      </w:pPr>
      <w:r w:rsidRPr="003E425B">
        <w:rPr>
          <w:rFonts w:ascii="Times New Roman" w:hAnsi="Times New Roman" w:cs="Times New Roman"/>
          <w:sz w:val="28"/>
          <w:szCs w:val="28"/>
        </w:rPr>
        <w:t>Por su parte, el salvamento parcial de voto corresponde</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 que</w:t>
      </w:r>
      <w:r w:rsidRPr="003E425B">
        <w:rPr>
          <w:rFonts w:ascii="Times New Roman" w:hAnsi="Times New Roman" w:cs="Times New Roman"/>
          <w:sz w:val="28"/>
          <w:szCs w:val="28"/>
        </w:rPr>
        <w:t xml:space="preserve"> estoy en manifiesto desacuerdo con el resolutivo segundo orientado a “</w:t>
      </w:r>
      <w:r w:rsidRPr="003E425B">
        <w:rPr>
          <w:rFonts w:ascii="Times New Roman" w:hAnsi="Times New Roman" w:cs="Times New Roman"/>
          <w:i/>
          <w:iCs/>
          <w:sz w:val="28"/>
          <w:szCs w:val="28"/>
        </w:rPr>
        <w:t>DIFERIR los efectos de la presente decisión, por el término de dos</w:t>
      </w:r>
      <w:r w:rsidRPr="003E425B">
        <w:rPr>
          <w:rFonts w:ascii="Times New Roman" w:hAnsi="Times New Roman" w:cs="Times New Roman"/>
          <w:i/>
          <w:iCs/>
          <w:sz w:val="28"/>
          <w:szCs w:val="28"/>
        </w:rPr>
        <w:t xml:space="preserve"> (2) legislaturas</w:t>
      </w:r>
      <w:r w:rsidRPr="003E425B">
        <w:rPr>
          <w:rFonts w:ascii="Times New Roman" w:hAnsi="Times New Roman" w:cs="Times New Roman"/>
          <w:i/>
          <w:iCs/>
          <w:sz w:val="28"/>
          <w:szCs w:val="28"/>
        </w:rPr>
        <w:t>, contadas a partir del 20 de julio de 2024”</w:t>
      </w:r>
      <w:r w:rsidRPr="003E425B">
        <w:rPr>
          <w:rFonts w:ascii="Times New Roman" w:hAnsi="Times New Roman" w:cs="Times New Roman"/>
          <w:sz w:val="28"/>
          <w:szCs w:val="28"/>
        </w:rPr>
        <w:t>. Lo anterior,</w:t>
      </w:r>
      <w:r w:rsidRPr="003E425B">
        <w:rPr>
          <w:rFonts w:ascii="Times New Roman" w:hAnsi="Times New Roman" w:cs="Times New Roman"/>
          <w:sz w:val="28"/>
          <w:szCs w:val="28"/>
        </w:rPr>
        <w:t xml:space="preserve"> debido a que, </w:t>
      </w:r>
      <w:r w:rsidRPr="003E425B">
        <w:rPr>
          <w:rFonts w:ascii="Times New Roman" w:hAnsi="Times New Roman" w:cs="Times New Roman"/>
          <w:sz w:val="28"/>
          <w:szCs w:val="28"/>
        </w:rPr>
        <w:t xml:space="preserve">además de la ausencia del estudio de impacto fiscal de la Ley que creó el Ministerio, </w:t>
      </w:r>
      <w:r w:rsidRPr="003E425B">
        <w:rPr>
          <w:rFonts w:ascii="Times New Roman" w:hAnsi="Times New Roman" w:cs="Times New Roman"/>
          <w:sz w:val="28"/>
          <w:szCs w:val="28"/>
        </w:rPr>
        <w:t xml:space="preserve">por los graves vicios en el trámite, particularmente, la adopción de un acto de </w:t>
      </w:r>
      <w:r w:rsidRPr="003E425B">
        <w:rPr>
          <w:rFonts w:ascii="Times New Roman" w:hAnsi="Times New Roman" w:cs="Times New Roman"/>
          <w:sz w:val="28"/>
          <w:szCs w:val="28"/>
        </w:rPr>
        <w:t>naturaleza legislativa sin el quorum decisorio en los términos expuestos, se est</w:t>
      </w:r>
      <w:r w:rsidRPr="003E425B">
        <w:rPr>
          <w:rFonts w:ascii="Times New Roman" w:hAnsi="Times New Roman" w:cs="Times New Roman"/>
          <w:sz w:val="28"/>
          <w:szCs w:val="28"/>
        </w:rPr>
        <w:t xml:space="preserve">á </w:t>
      </w:r>
      <w:r w:rsidRPr="003E425B">
        <w:rPr>
          <w:rFonts w:ascii="Times New Roman" w:hAnsi="Times New Roman" w:cs="Times New Roman"/>
          <w:sz w:val="28"/>
          <w:szCs w:val="28"/>
        </w:rPr>
        <w:t>ante el supuesto contemplado en el artículo 149 de la Constituc</w:t>
      </w:r>
      <w:r w:rsidRPr="003E425B">
        <w:rPr>
          <w:rFonts w:ascii="Times New Roman" w:hAnsi="Times New Roman" w:cs="Times New Roman"/>
          <w:sz w:val="28"/>
          <w:szCs w:val="28"/>
        </w:rPr>
        <w:t>i</w:t>
      </w:r>
      <w:r w:rsidRPr="003E425B">
        <w:rPr>
          <w:rFonts w:ascii="Times New Roman" w:hAnsi="Times New Roman" w:cs="Times New Roman"/>
          <w:sz w:val="28"/>
          <w:szCs w:val="28"/>
        </w:rPr>
        <w:t>ón</w:t>
      </w:r>
      <w:r w:rsidRPr="003E425B">
        <w:rPr>
          <w:rFonts w:ascii="Times New Roman" w:hAnsi="Times New Roman" w:cs="Times New Roman"/>
          <w:sz w:val="28"/>
          <w:szCs w:val="28"/>
        </w:rPr>
        <w:t xml:space="preserve"> conforme al cual la ley no tiene validez alguna y no produce efecto alguno</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Así lo ordena el citado artículo 149. </w:t>
      </w:r>
      <w:r w:rsidRPr="003E425B">
        <w:rPr>
          <w:rFonts w:ascii="Times New Roman" w:hAnsi="Times New Roman" w:cs="Times New Roman"/>
          <w:sz w:val="28"/>
          <w:szCs w:val="28"/>
        </w:rPr>
        <w:t>En esa medida, debido a que la actuación carece de validez y a los actos proferidos “</w:t>
      </w:r>
      <w:r w:rsidRPr="003E425B">
        <w:rPr>
          <w:rFonts w:ascii="Times New Roman" w:hAnsi="Times New Roman" w:cs="Times New Roman"/>
          <w:i/>
          <w:iCs/>
          <w:sz w:val="28"/>
          <w:szCs w:val="28"/>
        </w:rPr>
        <w:t xml:space="preserve">no podrá dárseles efecto alguno”, </w:t>
      </w:r>
      <w:r w:rsidRPr="003E425B">
        <w:rPr>
          <w:rFonts w:ascii="Times New Roman" w:hAnsi="Times New Roman" w:cs="Times New Roman"/>
          <w:sz w:val="28"/>
          <w:szCs w:val="28"/>
        </w:rPr>
        <w:t xml:space="preserve">la Corte tenía la obligación de retrotraer los efectos de la inexequibilidad de la norma demandada </w:t>
      </w:r>
      <w:r w:rsidRPr="003E425B">
        <w:rPr>
          <w:rFonts w:ascii="Times New Roman" w:hAnsi="Times New Roman" w:cs="Times New Roman"/>
          <w:sz w:val="28"/>
          <w:szCs w:val="28"/>
        </w:rPr>
        <w:t>al momento de su sanción.</w:t>
      </w:r>
    </w:p>
    <w:p w:rsidR="00306ABE" w:rsidRPr="003E425B" w:rsidRDefault="003E425B" w:rsidP="000743AA">
      <w:pPr>
        <w:jc w:val="both"/>
        <w:rPr>
          <w:rFonts w:ascii="Times New Roman" w:hAnsi="Times New Roman" w:cs="Times New Roman"/>
          <w:color w:val="000000"/>
          <w:sz w:val="28"/>
          <w:szCs w:val="28"/>
        </w:rPr>
      </w:pPr>
    </w:p>
    <w:p w:rsidR="001461D1" w:rsidRPr="003E425B" w:rsidRDefault="003E425B" w:rsidP="0014107E">
      <w:pPr>
        <w:jc w:val="both"/>
        <w:rPr>
          <w:rFonts w:ascii="Times New Roman" w:hAnsi="Times New Roman" w:cs="Times New Roman"/>
          <w:color w:val="000000"/>
          <w:sz w:val="28"/>
          <w:szCs w:val="28"/>
        </w:rPr>
      </w:pPr>
      <w:r w:rsidRPr="003E425B">
        <w:rPr>
          <w:rFonts w:ascii="Times New Roman" w:hAnsi="Times New Roman" w:cs="Times New Roman"/>
          <w:color w:val="000000"/>
          <w:sz w:val="28"/>
          <w:szCs w:val="28"/>
        </w:rPr>
        <w:t xml:space="preserve">Con el fin de explicar las razones que me llevan a apartarme de esta decisión, </w:t>
      </w:r>
      <w:r w:rsidRPr="003E425B">
        <w:rPr>
          <w:rFonts w:ascii="Times New Roman" w:hAnsi="Times New Roman" w:cs="Times New Roman"/>
          <w:color w:val="000000"/>
          <w:sz w:val="28"/>
          <w:szCs w:val="28"/>
        </w:rPr>
        <w:t xml:space="preserve">a continuación plantearé </w:t>
      </w:r>
      <w:r w:rsidRPr="003E425B">
        <w:rPr>
          <w:rFonts w:ascii="Times New Roman" w:hAnsi="Times New Roman" w:cs="Times New Roman"/>
          <w:color w:val="000000"/>
          <w:sz w:val="28"/>
          <w:szCs w:val="28"/>
        </w:rPr>
        <w:t>3</w:t>
      </w:r>
      <w:r w:rsidRPr="003E425B">
        <w:rPr>
          <w:rFonts w:ascii="Times New Roman" w:hAnsi="Times New Roman" w:cs="Times New Roman"/>
          <w:color w:val="000000"/>
          <w:sz w:val="28"/>
          <w:szCs w:val="28"/>
        </w:rPr>
        <w:t xml:space="preserve"> asuntos</w:t>
      </w:r>
      <w:r w:rsidRPr="003E425B">
        <w:rPr>
          <w:rFonts w:ascii="Times New Roman" w:hAnsi="Times New Roman" w:cs="Times New Roman"/>
          <w:color w:val="000000"/>
          <w:sz w:val="28"/>
          <w:szCs w:val="28"/>
        </w:rPr>
        <w:t xml:space="preserve"> estructurales</w:t>
      </w:r>
      <w:r w:rsidRPr="003E425B">
        <w:rPr>
          <w:rFonts w:ascii="Times New Roman" w:hAnsi="Times New Roman" w:cs="Times New Roman"/>
          <w:color w:val="000000"/>
          <w:sz w:val="28"/>
          <w:szCs w:val="28"/>
        </w:rPr>
        <w:t xml:space="preserve"> que justifican </w:t>
      </w:r>
      <w:r w:rsidRPr="003E425B">
        <w:rPr>
          <w:rFonts w:ascii="Times New Roman" w:hAnsi="Times New Roman" w:cs="Times New Roman"/>
          <w:color w:val="000000"/>
          <w:sz w:val="28"/>
          <w:szCs w:val="28"/>
        </w:rPr>
        <w:t>mi voto disidente</w:t>
      </w:r>
      <w:r w:rsidRPr="003E425B">
        <w:rPr>
          <w:rFonts w:ascii="Times New Roman" w:hAnsi="Times New Roman" w:cs="Times New Roman"/>
          <w:color w:val="000000"/>
          <w:sz w:val="28"/>
          <w:szCs w:val="28"/>
        </w:rPr>
        <w:t xml:space="preserve">. </w:t>
      </w:r>
      <w:r w:rsidRPr="003E425B">
        <w:rPr>
          <w:rFonts w:ascii="Times New Roman" w:hAnsi="Times New Roman" w:cs="Times New Roman"/>
          <w:color w:val="000000"/>
          <w:sz w:val="28"/>
          <w:szCs w:val="28"/>
        </w:rPr>
        <w:t>P</w:t>
      </w:r>
      <w:r w:rsidRPr="003E425B">
        <w:rPr>
          <w:rFonts w:ascii="Times New Roman" w:hAnsi="Times New Roman" w:cs="Times New Roman"/>
          <w:color w:val="000000"/>
          <w:sz w:val="28"/>
          <w:szCs w:val="28"/>
        </w:rPr>
        <w:t>rimero,</w:t>
      </w:r>
      <w:r w:rsidRPr="003E425B">
        <w:rPr>
          <w:rFonts w:ascii="Times New Roman" w:hAnsi="Times New Roman" w:cs="Times New Roman"/>
          <w:color w:val="000000"/>
          <w:sz w:val="28"/>
          <w:szCs w:val="28"/>
        </w:rPr>
        <w:t xml:space="preserve"> </w:t>
      </w:r>
      <w:r w:rsidRPr="003E425B">
        <w:rPr>
          <w:rFonts w:ascii="Times New Roman" w:hAnsi="Times New Roman" w:cs="Times New Roman"/>
          <w:color w:val="000000"/>
          <w:sz w:val="28"/>
          <w:szCs w:val="28"/>
        </w:rPr>
        <w:t>señalaré</w:t>
      </w:r>
      <w:r w:rsidRPr="003E425B">
        <w:rPr>
          <w:rFonts w:ascii="Times New Roman" w:hAnsi="Times New Roman" w:cs="Times New Roman"/>
          <w:color w:val="000000"/>
          <w:sz w:val="28"/>
          <w:szCs w:val="28"/>
        </w:rPr>
        <w:t xml:space="preserve"> que la Comisión Primera del Senado de la Repúblic</w:t>
      </w:r>
      <w:r w:rsidRPr="003E425B">
        <w:rPr>
          <w:rFonts w:ascii="Times New Roman" w:hAnsi="Times New Roman" w:cs="Times New Roman"/>
          <w:color w:val="000000"/>
          <w:sz w:val="28"/>
          <w:szCs w:val="28"/>
        </w:rPr>
        <w:t>a no aprobó el informe de ponencia para primer debate</w:t>
      </w:r>
      <w:r w:rsidRPr="003E425B">
        <w:rPr>
          <w:rFonts w:ascii="Times New Roman" w:hAnsi="Times New Roman" w:cs="Times New Roman"/>
          <w:color w:val="000000"/>
          <w:sz w:val="28"/>
          <w:szCs w:val="28"/>
        </w:rPr>
        <w:t xml:space="preserve"> </w:t>
      </w:r>
      <w:r w:rsidRPr="003E425B">
        <w:rPr>
          <w:rFonts w:ascii="Times New Roman" w:hAnsi="Times New Roman" w:cs="Times New Roman"/>
          <w:color w:val="000000"/>
          <w:sz w:val="28"/>
          <w:szCs w:val="28"/>
        </w:rPr>
        <w:t>bajo las exigencias constitucionales en los términos de los artículos</w:t>
      </w:r>
      <w:r w:rsidRPr="003E425B">
        <w:rPr>
          <w:rFonts w:ascii="Times New Roman" w:hAnsi="Times New Roman" w:cs="Times New Roman"/>
          <w:color w:val="000000"/>
          <w:sz w:val="28"/>
          <w:szCs w:val="28"/>
        </w:rPr>
        <w:t xml:space="preserve"> 133,</w:t>
      </w:r>
      <w:r w:rsidRPr="003E425B">
        <w:rPr>
          <w:rFonts w:ascii="Times New Roman" w:hAnsi="Times New Roman" w:cs="Times New Roman"/>
          <w:color w:val="000000"/>
          <w:sz w:val="28"/>
          <w:szCs w:val="28"/>
        </w:rPr>
        <w:t xml:space="preserve"> 145</w:t>
      </w:r>
      <w:r w:rsidRPr="003E425B">
        <w:rPr>
          <w:rFonts w:ascii="Times New Roman" w:hAnsi="Times New Roman" w:cs="Times New Roman"/>
          <w:color w:val="000000"/>
          <w:sz w:val="28"/>
          <w:szCs w:val="28"/>
        </w:rPr>
        <w:t>,</w:t>
      </w:r>
      <w:r w:rsidRPr="003E425B">
        <w:rPr>
          <w:rFonts w:ascii="Times New Roman" w:hAnsi="Times New Roman" w:cs="Times New Roman"/>
          <w:color w:val="000000"/>
          <w:sz w:val="28"/>
          <w:szCs w:val="28"/>
        </w:rPr>
        <w:t xml:space="preserve"> 157 </w:t>
      </w:r>
      <w:r w:rsidRPr="003E425B">
        <w:rPr>
          <w:rFonts w:ascii="Times New Roman" w:hAnsi="Times New Roman" w:cs="Times New Roman"/>
          <w:color w:val="000000"/>
          <w:sz w:val="28"/>
          <w:szCs w:val="28"/>
        </w:rPr>
        <w:t xml:space="preserve">y 160 </w:t>
      </w:r>
      <w:r w:rsidRPr="003E425B">
        <w:rPr>
          <w:rFonts w:ascii="Times New Roman" w:hAnsi="Times New Roman" w:cs="Times New Roman"/>
          <w:color w:val="000000"/>
          <w:sz w:val="28"/>
          <w:szCs w:val="28"/>
        </w:rPr>
        <w:t xml:space="preserve">de la Constitución, así como las correspondientes normas de la </w:t>
      </w:r>
      <w:r w:rsidRPr="003E425B">
        <w:rPr>
          <w:rFonts w:ascii="Times New Roman" w:hAnsi="Times New Roman" w:cs="Times New Roman"/>
          <w:color w:val="000000"/>
          <w:sz w:val="28"/>
          <w:szCs w:val="28"/>
        </w:rPr>
        <w:t>Ley 5ª</w:t>
      </w:r>
      <w:r w:rsidRPr="003E425B">
        <w:rPr>
          <w:rFonts w:ascii="Times New Roman" w:hAnsi="Times New Roman" w:cs="Times New Roman"/>
          <w:color w:val="000000"/>
          <w:sz w:val="28"/>
          <w:szCs w:val="28"/>
        </w:rPr>
        <w:t xml:space="preserve"> de 1992, orgánica del Congreso de la República</w:t>
      </w:r>
      <w:r w:rsidRPr="003E425B">
        <w:rPr>
          <w:rFonts w:ascii="Times New Roman" w:hAnsi="Times New Roman" w:cs="Times New Roman"/>
          <w:color w:val="000000"/>
          <w:sz w:val="28"/>
          <w:szCs w:val="28"/>
        </w:rPr>
        <w:t xml:space="preserve">, ya que </w:t>
      </w:r>
      <w:r w:rsidRPr="003E425B">
        <w:rPr>
          <w:rFonts w:ascii="Times New Roman" w:hAnsi="Times New Roman" w:cs="Times New Roman"/>
          <w:color w:val="000000"/>
          <w:sz w:val="28"/>
          <w:szCs w:val="28"/>
        </w:rPr>
        <w:t xml:space="preserve">adelantó una votación ordinaria sin las exigencias constitucionales y legales, y </w:t>
      </w:r>
      <w:r w:rsidRPr="003E425B">
        <w:rPr>
          <w:rFonts w:ascii="Times New Roman" w:hAnsi="Times New Roman" w:cs="Times New Roman"/>
          <w:color w:val="000000"/>
          <w:sz w:val="28"/>
          <w:szCs w:val="28"/>
        </w:rPr>
        <w:t xml:space="preserve">no contaba con el </w:t>
      </w:r>
      <w:r w:rsidRPr="003E425B">
        <w:rPr>
          <w:rFonts w:ascii="Times New Roman" w:hAnsi="Times New Roman" w:cs="Times New Roman"/>
          <w:i/>
          <w:iCs/>
          <w:color w:val="000000"/>
          <w:sz w:val="28"/>
          <w:szCs w:val="28"/>
        </w:rPr>
        <w:t>quórum decisorio</w:t>
      </w:r>
      <w:r w:rsidRPr="003E425B">
        <w:rPr>
          <w:rFonts w:ascii="Times New Roman" w:hAnsi="Times New Roman" w:cs="Times New Roman"/>
          <w:i/>
          <w:iCs/>
          <w:color w:val="000000"/>
          <w:sz w:val="28"/>
          <w:szCs w:val="28"/>
        </w:rPr>
        <w:t xml:space="preserve"> </w:t>
      </w:r>
      <w:r w:rsidRPr="003E425B">
        <w:rPr>
          <w:rFonts w:ascii="Times New Roman" w:hAnsi="Times New Roman" w:cs="Times New Roman"/>
          <w:color w:val="000000"/>
          <w:sz w:val="28"/>
          <w:szCs w:val="28"/>
        </w:rPr>
        <w:t>para la aprobación del informe de ponencia del debate ante la Comisión Primera del S</w:t>
      </w:r>
      <w:r w:rsidRPr="003E425B">
        <w:rPr>
          <w:rFonts w:ascii="Times New Roman" w:hAnsi="Times New Roman" w:cs="Times New Roman"/>
          <w:color w:val="000000"/>
          <w:sz w:val="28"/>
          <w:szCs w:val="28"/>
        </w:rPr>
        <w:t>enado de la República</w:t>
      </w:r>
      <w:r w:rsidRPr="003E425B">
        <w:rPr>
          <w:rFonts w:ascii="Times New Roman" w:hAnsi="Times New Roman" w:cs="Times New Roman"/>
          <w:color w:val="000000"/>
          <w:sz w:val="28"/>
          <w:szCs w:val="28"/>
        </w:rPr>
        <w:t>.</w:t>
      </w:r>
      <w:r w:rsidRPr="003E425B">
        <w:rPr>
          <w:rFonts w:ascii="Times New Roman" w:hAnsi="Times New Roman" w:cs="Times New Roman"/>
          <w:color w:val="000000"/>
          <w:sz w:val="28"/>
          <w:szCs w:val="28"/>
        </w:rPr>
        <w:t xml:space="preserve"> Para esto, explicaré las razones por las que me aparto de las tres consideraciones en que se soportó la Corte en la Sentencia de la referencia para </w:t>
      </w:r>
      <w:r w:rsidRPr="003E425B">
        <w:rPr>
          <w:rFonts w:ascii="Times New Roman" w:hAnsi="Times New Roman" w:cs="Times New Roman"/>
          <w:color w:val="000000"/>
          <w:sz w:val="28"/>
          <w:szCs w:val="28"/>
        </w:rPr>
        <w:t>concluir</w:t>
      </w:r>
      <w:r w:rsidRPr="003E425B">
        <w:rPr>
          <w:rFonts w:ascii="Times New Roman" w:hAnsi="Times New Roman" w:cs="Times New Roman"/>
          <w:color w:val="000000"/>
          <w:sz w:val="28"/>
          <w:szCs w:val="28"/>
        </w:rPr>
        <w:t xml:space="preserve"> que no prosperaba al primer cargo formulado en por los aquí accionantes.</w:t>
      </w:r>
    </w:p>
    <w:p w:rsidR="001461D1" w:rsidRPr="003E425B" w:rsidRDefault="003E425B" w:rsidP="0014107E">
      <w:pPr>
        <w:jc w:val="both"/>
        <w:rPr>
          <w:rFonts w:ascii="Times New Roman" w:hAnsi="Times New Roman" w:cs="Times New Roman"/>
          <w:color w:val="000000"/>
          <w:sz w:val="28"/>
          <w:szCs w:val="28"/>
        </w:rPr>
      </w:pPr>
    </w:p>
    <w:p w:rsidR="008E1E06" w:rsidRPr="003E425B" w:rsidRDefault="003E425B" w:rsidP="0014107E">
      <w:pPr>
        <w:jc w:val="both"/>
        <w:rPr>
          <w:rFonts w:ascii="Times New Roman" w:hAnsi="Times New Roman" w:cs="Times New Roman"/>
          <w:color w:val="000000"/>
          <w:sz w:val="28"/>
          <w:szCs w:val="28"/>
        </w:rPr>
      </w:pPr>
      <w:r w:rsidRPr="003E425B">
        <w:rPr>
          <w:rFonts w:ascii="Times New Roman" w:hAnsi="Times New Roman" w:cs="Times New Roman"/>
          <w:color w:val="000000"/>
          <w:sz w:val="28"/>
          <w:szCs w:val="28"/>
        </w:rPr>
        <w:t>Se</w:t>
      </w:r>
      <w:r w:rsidRPr="003E425B">
        <w:rPr>
          <w:rFonts w:ascii="Times New Roman" w:hAnsi="Times New Roman" w:cs="Times New Roman"/>
          <w:color w:val="000000"/>
          <w:sz w:val="28"/>
          <w:szCs w:val="28"/>
        </w:rPr>
        <w:t>gundo,</w:t>
      </w:r>
      <w:r w:rsidRPr="003E425B">
        <w:rPr>
          <w:rFonts w:ascii="Times New Roman" w:hAnsi="Times New Roman" w:cs="Times New Roman"/>
          <w:color w:val="000000"/>
          <w:sz w:val="28"/>
          <w:szCs w:val="28"/>
        </w:rPr>
        <w:t xml:space="preserve"> </w:t>
      </w:r>
      <w:r w:rsidRPr="003E425B">
        <w:rPr>
          <w:rFonts w:ascii="Times New Roman" w:hAnsi="Times New Roman" w:cs="Times New Roman"/>
          <w:color w:val="000000"/>
          <w:sz w:val="28"/>
          <w:szCs w:val="28"/>
        </w:rPr>
        <w:t>explicaré cuáles son</w:t>
      </w:r>
      <w:r w:rsidRPr="003E425B">
        <w:rPr>
          <w:rFonts w:ascii="Times New Roman" w:hAnsi="Times New Roman" w:cs="Times New Roman"/>
          <w:color w:val="000000"/>
          <w:sz w:val="28"/>
          <w:szCs w:val="28"/>
        </w:rPr>
        <w:t xml:space="preserve"> las consecuencias</w:t>
      </w:r>
      <w:r w:rsidRPr="003E425B">
        <w:rPr>
          <w:rFonts w:ascii="Times New Roman" w:hAnsi="Times New Roman" w:cs="Times New Roman"/>
          <w:color w:val="000000"/>
          <w:sz w:val="28"/>
          <w:szCs w:val="28"/>
        </w:rPr>
        <w:t xml:space="preserve"> que la Cons</w:t>
      </w:r>
      <w:r w:rsidRPr="003E425B">
        <w:rPr>
          <w:rFonts w:ascii="Times New Roman" w:hAnsi="Times New Roman" w:cs="Times New Roman"/>
          <w:color w:val="000000"/>
          <w:sz w:val="28"/>
          <w:szCs w:val="28"/>
        </w:rPr>
        <w:t>titución</w:t>
      </w:r>
      <w:r w:rsidRPr="003E425B">
        <w:rPr>
          <w:rFonts w:ascii="Times New Roman" w:hAnsi="Times New Roman" w:cs="Times New Roman"/>
          <w:color w:val="000000"/>
          <w:sz w:val="28"/>
          <w:szCs w:val="28"/>
        </w:rPr>
        <w:t xml:space="preserve"> y la jurisprudencia de la Corte Constitucional</w:t>
      </w:r>
      <w:r w:rsidRPr="003E425B">
        <w:rPr>
          <w:rFonts w:ascii="Times New Roman" w:hAnsi="Times New Roman" w:cs="Times New Roman"/>
          <w:color w:val="000000"/>
          <w:sz w:val="28"/>
          <w:szCs w:val="28"/>
        </w:rPr>
        <w:t xml:space="preserve"> ha </w:t>
      </w:r>
      <w:r w:rsidRPr="003E425B">
        <w:rPr>
          <w:rFonts w:ascii="Times New Roman" w:hAnsi="Times New Roman" w:cs="Times New Roman"/>
          <w:color w:val="000000"/>
          <w:sz w:val="28"/>
          <w:szCs w:val="28"/>
        </w:rPr>
        <w:t>desarrollado</w:t>
      </w:r>
      <w:r w:rsidRPr="003E425B">
        <w:rPr>
          <w:rFonts w:ascii="Times New Roman" w:hAnsi="Times New Roman" w:cs="Times New Roman"/>
          <w:color w:val="000000"/>
          <w:sz w:val="28"/>
          <w:szCs w:val="28"/>
        </w:rPr>
        <w:t xml:space="preserve"> en escenarios como el descrito por</w:t>
      </w:r>
      <w:r w:rsidRPr="003E425B">
        <w:rPr>
          <w:rFonts w:ascii="Times New Roman" w:hAnsi="Times New Roman" w:cs="Times New Roman"/>
          <w:color w:val="000000"/>
          <w:sz w:val="28"/>
          <w:szCs w:val="28"/>
        </w:rPr>
        <w:t xml:space="preserve"> </w:t>
      </w:r>
      <w:r w:rsidRPr="003E425B">
        <w:rPr>
          <w:rFonts w:ascii="Times New Roman" w:hAnsi="Times New Roman" w:cs="Times New Roman"/>
          <w:color w:val="000000"/>
          <w:sz w:val="28"/>
          <w:szCs w:val="28"/>
        </w:rPr>
        <w:t>el incumplimiento de exigencias constitucionales del trámite legislativo</w:t>
      </w:r>
      <w:r w:rsidRPr="003E425B">
        <w:rPr>
          <w:rFonts w:ascii="Times New Roman" w:hAnsi="Times New Roman" w:cs="Times New Roman"/>
          <w:color w:val="000000"/>
          <w:sz w:val="28"/>
          <w:szCs w:val="28"/>
        </w:rPr>
        <w:t>, en los términos d</w:t>
      </w:r>
      <w:r w:rsidRPr="003E425B">
        <w:rPr>
          <w:rFonts w:ascii="Times New Roman" w:hAnsi="Times New Roman" w:cs="Times New Roman"/>
          <w:color w:val="000000"/>
          <w:sz w:val="28"/>
          <w:szCs w:val="28"/>
        </w:rPr>
        <w:t>el artículo 149 de la Constitución Política</w:t>
      </w:r>
      <w:r w:rsidRPr="003E425B">
        <w:rPr>
          <w:rFonts w:ascii="Times New Roman" w:hAnsi="Times New Roman" w:cs="Times New Roman"/>
          <w:color w:val="000000"/>
          <w:sz w:val="28"/>
          <w:szCs w:val="28"/>
        </w:rPr>
        <w:t>.</w:t>
      </w:r>
    </w:p>
    <w:p w:rsidR="008E1E06" w:rsidRPr="003E425B" w:rsidRDefault="003E425B" w:rsidP="0014107E">
      <w:pPr>
        <w:jc w:val="both"/>
        <w:rPr>
          <w:rFonts w:ascii="Times New Roman" w:hAnsi="Times New Roman" w:cs="Times New Roman"/>
          <w:color w:val="000000"/>
          <w:sz w:val="28"/>
          <w:szCs w:val="28"/>
        </w:rPr>
      </w:pPr>
    </w:p>
    <w:p w:rsidR="006F35D3" w:rsidRPr="003E425B" w:rsidRDefault="003E425B" w:rsidP="0014107E">
      <w:pPr>
        <w:jc w:val="both"/>
        <w:rPr>
          <w:rFonts w:ascii="Times New Roman" w:hAnsi="Times New Roman" w:cs="Times New Roman"/>
          <w:color w:val="000000"/>
          <w:sz w:val="28"/>
          <w:szCs w:val="28"/>
        </w:rPr>
      </w:pPr>
      <w:r w:rsidRPr="003E425B">
        <w:rPr>
          <w:rFonts w:ascii="Times New Roman" w:hAnsi="Times New Roman" w:cs="Times New Roman"/>
          <w:color w:val="000000"/>
          <w:sz w:val="28"/>
          <w:szCs w:val="28"/>
        </w:rPr>
        <w:t>Tercero</w:t>
      </w:r>
      <w:r w:rsidRPr="003E425B">
        <w:rPr>
          <w:rFonts w:ascii="Times New Roman" w:hAnsi="Times New Roman" w:cs="Times New Roman"/>
          <w:color w:val="000000"/>
          <w:sz w:val="28"/>
          <w:szCs w:val="28"/>
        </w:rPr>
        <w:t>, enfatizaré</w:t>
      </w:r>
      <w:r w:rsidRPr="003E425B">
        <w:rPr>
          <w:rFonts w:ascii="Times New Roman" w:hAnsi="Times New Roman" w:cs="Times New Roman"/>
          <w:color w:val="000000"/>
          <w:sz w:val="28"/>
          <w:szCs w:val="28"/>
        </w:rPr>
        <w:t xml:space="preserve"> en</w:t>
      </w:r>
      <w:r w:rsidRPr="003E425B">
        <w:rPr>
          <w:rFonts w:ascii="Times New Roman" w:hAnsi="Times New Roman" w:cs="Times New Roman"/>
          <w:color w:val="000000"/>
          <w:sz w:val="28"/>
          <w:szCs w:val="28"/>
        </w:rPr>
        <w:t xml:space="preserve"> la obligación que t</w:t>
      </w:r>
      <w:r w:rsidRPr="003E425B">
        <w:rPr>
          <w:rFonts w:ascii="Times New Roman" w:hAnsi="Times New Roman" w:cs="Times New Roman"/>
          <w:color w:val="000000"/>
          <w:sz w:val="28"/>
          <w:szCs w:val="28"/>
        </w:rPr>
        <w:t>enía</w:t>
      </w:r>
      <w:r w:rsidRPr="003E425B">
        <w:rPr>
          <w:rFonts w:ascii="Times New Roman" w:hAnsi="Times New Roman" w:cs="Times New Roman"/>
          <w:color w:val="000000"/>
          <w:sz w:val="28"/>
          <w:szCs w:val="28"/>
        </w:rPr>
        <w:t xml:space="preserve"> esta </w:t>
      </w:r>
      <w:r w:rsidRPr="003E425B">
        <w:rPr>
          <w:rFonts w:ascii="Times New Roman" w:hAnsi="Times New Roman" w:cs="Times New Roman"/>
          <w:color w:val="000000"/>
          <w:sz w:val="28"/>
          <w:szCs w:val="28"/>
        </w:rPr>
        <w:t>C</w:t>
      </w:r>
      <w:r w:rsidRPr="003E425B">
        <w:rPr>
          <w:rFonts w:ascii="Times New Roman" w:hAnsi="Times New Roman" w:cs="Times New Roman"/>
          <w:color w:val="000000"/>
          <w:sz w:val="28"/>
          <w:szCs w:val="28"/>
        </w:rPr>
        <w:t>orporación de retrotraer los efectos de la inexequibilidad de la norma demandada al momento de su sanción</w:t>
      </w:r>
      <w:r w:rsidRPr="003E425B">
        <w:rPr>
          <w:rFonts w:ascii="Times New Roman" w:hAnsi="Times New Roman" w:cs="Times New Roman"/>
          <w:color w:val="000000"/>
          <w:sz w:val="28"/>
          <w:szCs w:val="28"/>
        </w:rPr>
        <w:t xml:space="preserve"> derivada del precitado artículo 149 Superior</w:t>
      </w:r>
      <w:r w:rsidRPr="003E425B">
        <w:rPr>
          <w:rFonts w:ascii="Times New Roman" w:hAnsi="Times New Roman" w:cs="Times New Roman"/>
          <w:color w:val="000000"/>
          <w:sz w:val="28"/>
          <w:szCs w:val="28"/>
        </w:rPr>
        <w:t>, lo cu</w:t>
      </w:r>
      <w:r w:rsidRPr="003E425B">
        <w:rPr>
          <w:rFonts w:ascii="Times New Roman" w:hAnsi="Times New Roman" w:cs="Times New Roman"/>
          <w:color w:val="000000"/>
          <w:sz w:val="28"/>
          <w:szCs w:val="28"/>
        </w:rPr>
        <w:t>al justifica mi salvamento parcial de voto</w:t>
      </w:r>
      <w:r w:rsidRPr="003E425B">
        <w:rPr>
          <w:rFonts w:ascii="Times New Roman" w:hAnsi="Times New Roman" w:cs="Times New Roman"/>
          <w:color w:val="000000"/>
          <w:sz w:val="28"/>
          <w:szCs w:val="28"/>
        </w:rPr>
        <w:t xml:space="preserve">. </w:t>
      </w:r>
      <w:r w:rsidRPr="003E425B">
        <w:rPr>
          <w:rFonts w:ascii="Times New Roman" w:hAnsi="Times New Roman" w:cs="Times New Roman"/>
          <w:color w:val="000000"/>
          <w:sz w:val="28"/>
          <w:szCs w:val="28"/>
        </w:rPr>
        <w:t xml:space="preserve">Con esto, </w:t>
      </w:r>
      <w:r w:rsidRPr="003E425B">
        <w:rPr>
          <w:rFonts w:ascii="Times New Roman" w:hAnsi="Times New Roman" w:cs="Times New Roman"/>
          <w:color w:val="000000"/>
          <w:sz w:val="28"/>
          <w:szCs w:val="28"/>
        </w:rPr>
        <w:t xml:space="preserve">concluiré </w:t>
      </w:r>
      <w:r w:rsidRPr="003E425B">
        <w:rPr>
          <w:rFonts w:ascii="Times New Roman" w:hAnsi="Times New Roman" w:cs="Times New Roman"/>
          <w:color w:val="000000"/>
          <w:sz w:val="28"/>
          <w:szCs w:val="28"/>
        </w:rPr>
        <w:t xml:space="preserve">con base en lo indicado </w:t>
      </w:r>
      <w:r w:rsidRPr="003E425B">
        <w:rPr>
          <w:rFonts w:ascii="Times New Roman" w:hAnsi="Times New Roman" w:cs="Times New Roman"/>
          <w:color w:val="000000"/>
          <w:sz w:val="28"/>
          <w:szCs w:val="28"/>
        </w:rPr>
        <w:t xml:space="preserve">para precisar los términos de mi </w:t>
      </w:r>
      <w:r w:rsidRPr="003E425B">
        <w:rPr>
          <w:rFonts w:ascii="Times New Roman" w:hAnsi="Times New Roman" w:cs="Times New Roman"/>
          <w:color w:val="000000"/>
          <w:sz w:val="28"/>
          <w:szCs w:val="28"/>
        </w:rPr>
        <w:t xml:space="preserve">voto disidente </w:t>
      </w:r>
      <w:r w:rsidRPr="003E425B">
        <w:rPr>
          <w:rFonts w:ascii="Times New Roman" w:hAnsi="Times New Roman" w:cs="Times New Roman"/>
          <w:color w:val="000000"/>
          <w:sz w:val="28"/>
          <w:szCs w:val="28"/>
        </w:rPr>
        <w:t>en este caso.</w:t>
      </w:r>
    </w:p>
    <w:p w:rsidR="004E70ED" w:rsidRPr="003E425B" w:rsidRDefault="003E425B" w:rsidP="0014107E">
      <w:pPr>
        <w:jc w:val="both"/>
        <w:rPr>
          <w:rFonts w:ascii="Times New Roman" w:hAnsi="Times New Roman" w:cs="Times New Roman"/>
          <w:b/>
          <w:color w:val="000000"/>
          <w:sz w:val="28"/>
          <w:szCs w:val="28"/>
        </w:rPr>
      </w:pPr>
    </w:p>
    <w:p w:rsidR="004E70ED" w:rsidRPr="003E425B" w:rsidRDefault="003E425B" w:rsidP="003B708E">
      <w:pPr>
        <w:pStyle w:val="Prrafodelista"/>
        <w:numPr>
          <w:ilvl w:val="0"/>
          <w:numId w:val="46"/>
        </w:numPr>
        <w:jc w:val="both"/>
        <w:rPr>
          <w:rFonts w:ascii="Times New Roman" w:hAnsi="Times New Roman"/>
          <w:b/>
          <w:color w:val="000000" w:themeColor="text1"/>
          <w:sz w:val="28"/>
          <w:lang w:val="es-ES_tradnl"/>
        </w:rPr>
      </w:pPr>
      <w:r w:rsidRPr="003E425B">
        <w:rPr>
          <w:rFonts w:ascii="Times New Roman" w:hAnsi="Times New Roman"/>
          <w:b/>
          <w:color w:val="000000" w:themeColor="text1"/>
          <w:sz w:val="28"/>
          <w:lang w:val="es-ES_tradnl"/>
        </w:rPr>
        <w:t>La</w:t>
      </w:r>
      <w:r w:rsidRPr="003E425B">
        <w:rPr>
          <w:rFonts w:ascii="Times New Roman" w:hAnsi="Times New Roman"/>
          <w:b/>
          <w:color w:val="000000" w:themeColor="text1"/>
          <w:sz w:val="28"/>
          <w:lang w:val="es-ES_tradnl"/>
        </w:rPr>
        <w:t xml:space="preserve"> Sala Plena debió advertir </w:t>
      </w:r>
      <w:r w:rsidRPr="003E425B">
        <w:rPr>
          <w:rFonts w:ascii="Times New Roman" w:hAnsi="Times New Roman"/>
          <w:b/>
          <w:color w:val="000000" w:themeColor="text1"/>
          <w:sz w:val="28"/>
          <w:lang w:val="es-ES_tradnl"/>
        </w:rPr>
        <w:t xml:space="preserve">que </w:t>
      </w:r>
      <w:r w:rsidRPr="003E425B">
        <w:rPr>
          <w:rFonts w:ascii="Times New Roman" w:hAnsi="Times New Roman"/>
          <w:b/>
          <w:color w:val="000000" w:themeColor="text1"/>
          <w:sz w:val="28"/>
          <w:lang w:val="es-ES_tradnl"/>
        </w:rPr>
        <w:t xml:space="preserve">la Comisión Primera del Senado de la República no aprobó el informe de </w:t>
      </w:r>
      <w:r w:rsidRPr="003E425B">
        <w:rPr>
          <w:rFonts w:ascii="Times New Roman" w:hAnsi="Times New Roman"/>
          <w:b/>
          <w:color w:val="000000" w:themeColor="text1"/>
          <w:sz w:val="28"/>
          <w:lang w:val="es-ES_tradnl"/>
        </w:rPr>
        <w:t>ponencia para primer debate</w:t>
      </w:r>
      <w:r w:rsidRPr="003E425B">
        <w:rPr>
          <w:rFonts w:ascii="Times New Roman" w:hAnsi="Times New Roman"/>
          <w:b/>
          <w:color w:val="000000" w:themeColor="text1"/>
          <w:sz w:val="28"/>
          <w:lang w:val="es-ES_tradnl"/>
        </w:rPr>
        <w:t xml:space="preserve"> bajo los estándares constitucionales</w:t>
      </w:r>
      <w:r w:rsidRPr="003E425B">
        <w:rPr>
          <w:rFonts w:ascii="Times New Roman" w:hAnsi="Times New Roman"/>
          <w:b/>
          <w:sz w:val="28"/>
        </w:rPr>
        <w:t xml:space="preserve"> </w:t>
      </w:r>
    </w:p>
    <w:p w:rsidR="00306ABE" w:rsidRPr="003E425B" w:rsidRDefault="003E425B" w:rsidP="00306ABE">
      <w:pPr>
        <w:ind w:left="360"/>
        <w:jc w:val="both"/>
        <w:rPr>
          <w:rFonts w:ascii="Times New Roman" w:hAnsi="Times New Roman" w:cs="Times New Roman"/>
          <w:b/>
          <w:color w:val="000000" w:themeColor="text1"/>
          <w:sz w:val="28"/>
          <w:szCs w:val="28"/>
          <w:lang w:val="es-ES_tradnl"/>
        </w:rPr>
      </w:pPr>
    </w:p>
    <w:p w:rsidR="00077D2E" w:rsidRPr="003E425B" w:rsidRDefault="003E425B" w:rsidP="626521E1">
      <w:pPr>
        <w:jc w:val="both"/>
        <w:rPr>
          <w:rFonts w:ascii="Times New Roman" w:hAnsi="Times New Roman" w:cs="Times New Roman"/>
          <w:sz w:val="28"/>
          <w:szCs w:val="28"/>
          <w:lang w:val="es"/>
        </w:rPr>
      </w:pPr>
      <w:r w:rsidRPr="003E425B">
        <w:rPr>
          <w:rFonts w:ascii="Times New Roman" w:hAnsi="Times New Roman" w:cs="Times New Roman"/>
          <w:sz w:val="28"/>
          <w:szCs w:val="28"/>
          <w:lang w:val="es"/>
        </w:rPr>
        <w:t xml:space="preserve">Como lo anuncié, el primero de los cargos formulados en la acción pública de inconstitucionalidad </w:t>
      </w:r>
      <w:r w:rsidRPr="003E425B">
        <w:rPr>
          <w:rFonts w:ascii="Times New Roman" w:hAnsi="Times New Roman" w:cs="Times New Roman"/>
          <w:sz w:val="28"/>
          <w:szCs w:val="28"/>
          <w:lang w:val="es"/>
        </w:rPr>
        <w:t xml:space="preserve">correspondía a un vicio en el trámite legislativo de aprobación de la Ley 2281 de 2023, en </w:t>
      </w:r>
      <w:r w:rsidRPr="003E425B">
        <w:rPr>
          <w:rFonts w:ascii="Times New Roman" w:hAnsi="Times New Roman" w:cs="Times New Roman"/>
          <w:sz w:val="28"/>
          <w:szCs w:val="28"/>
          <w:lang w:val="es"/>
        </w:rPr>
        <w:t>el sentido que el informe de ponencia de primer debate no fue aprobado por la Comisión Primera del Senado de la República</w:t>
      </w:r>
      <w:r w:rsidRPr="003E425B">
        <w:rPr>
          <w:rFonts w:ascii="Times New Roman" w:hAnsi="Times New Roman" w:cs="Times New Roman"/>
          <w:sz w:val="28"/>
          <w:szCs w:val="28"/>
          <w:lang w:val="es"/>
        </w:rPr>
        <w:t>. Lo anterior,</w:t>
      </w:r>
      <w:r w:rsidRPr="003E425B">
        <w:rPr>
          <w:rFonts w:ascii="Times New Roman" w:hAnsi="Times New Roman" w:cs="Times New Roman"/>
          <w:sz w:val="28"/>
          <w:szCs w:val="28"/>
          <w:lang w:val="es"/>
        </w:rPr>
        <w:t xml:space="preserve"> dado que </w:t>
      </w:r>
      <w:r w:rsidRPr="003E425B">
        <w:rPr>
          <w:rFonts w:ascii="Times New Roman" w:hAnsi="Times New Roman" w:cs="Times New Roman"/>
          <w:i/>
          <w:iCs/>
          <w:sz w:val="28"/>
          <w:szCs w:val="28"/>
          <w:lang w:val="es"/>
        </w:rPr>
        <w:t>(i)</w:t>
      </w:r>
      <w:r w:rsidRPr="003E425B">
        <w:rPr>
          <w:rFonts w:ascii="Times New Roman" w:hAnsi="Times New Roman" w:cs="Times New Roman"/>
          <w:i/>
          <w:iCs/>
          <w:sz w:val="28"/>
          <w:szCs w:val="28"/>
          <w:lang w:val="es"/>
        </w:rPr>
        <w:t xml:space="preserve"> </w:t>
      </w:r>
      <w:r w:rsidRPr="003E425B">
        <w:rPr>
          <w:rFonts w:ascii="Times New Roman" w:hAnsi="Times New Roman" w:cs="Times New Roman"/>
          <w:sz w:val="28"/>
          <w:szCs w:val="28"/>
          <w:lang w:val="es"/>
        </w:rPr>
        <w:t xml:space="preserve">la mesa directiva permitió que la votación se llevara a cabo de forma ordinaria, </w:t>
      </w:r>
      <w:r w:rsidRPr="003E425B">
        <w:rPr>
          <w:rFonts w:ascii="Times New Roman" w:hAnsi="Times New Roman" w:cs="Times New Roman"/>
          <w:sz w:val="28"/>
          <w:szCs w:val="28"/>
          <w:lang w:val="es"/>
        </w:rPr>
        <w:t xml:space="preserve">cuando ha debido </w:t>
      </w:r>
      <w:r w:rsidRPr="003E425B">
        <w:rPr>
          <w:rFonts w:ascii="Times New Roman" w:hAnsi="Times New Roman" w:cs="Times New Roman"/>
          <w:sz w:val="28"/>
          <w:szCs w:val="28"/>
          <w:lang w:val="es"/>
        </w:rPr>
        <w:t>hacerse d</w:t>
      </w:r>
      <w:r w:rsidRPr="003E425B">
        <w:rPr>
          <w:rFonts w:ascii="Times New Roman" w:hAnsi="Times New Roman" w:cs="Times New Roman"/>
          <w:sz w:val="28"/>
          <w:szCs w:val="28"/>
          <w:lang w:val="es"/>
        </w:rPr>
        <w:t xml:space="preserve">e </w:t>
      </w:r>
      <w:r w:rsidRPr="003E425B">
        <w:rPr>
          <w:rFonts w:ascii="Times New Roman" w:hAnsi="Times New Roman" w:cs="Times New Roman"/>
          <w:sz w:val="28"/>
          <w:szCs w:val="28"/>
          <w:lang w:val="es"/>
        </w:rPr>
        <w:t xml:space="preserve">manera </w:t>
      </w:r>
      <w:r w:rsidRPr="003E425B">
        <w:rPr>
          <w:rFonts w:ascii="Times New Roman" w:hAnsi="Times New Roman" w:cs="Times New Roman"/>
          <w:sz w:val="28"/>
          <w:szCs w:val="28"/>
          <w:lang w:val="es"/>
        </w:rPr>
        <w:t>nominal y públic</w:t>
      </w:r>
      <w:r w:rsidRPr="003E425B">
        <w:rPr>
          <w:rFonts w:ascii="Times New Roman" w:hAnsi="Times New Roman" w:cs="Times New Roman"/>
          <w:sz w:val="28"/>
          <w:szCs w:val="28"/>
          <w:lang w:val="es"/>
        </w:rPr>
        <w:t>a</w:t>
      </w:r>
      <w:r w:rsidRPr="003E425B">
        <w:rPr>
          <w:rFonts w:ascii="Times New Roman" w:hAnsi="Times New Roman" w:cs="Times New Roman"/>
          <w:sz w:val="28"/>
          <w:szCs w:val="28"/>
          <w:lang w:val="es"/>
        </w:rPr>
        <w:t xml:space="preserve"> como lo solicitó una de las senadoras en el debate</w:t>
      </w:r>
      <w:r w:rsidRPr="003E425B">
        <w:rPr>
          <w:rFonts w:ascii="Times New Roman" w:hAnsi="Times New Roman" w:cs="Times New Roman"/>
          <w:sz w:val="28"/>
          <w:szCs w:val="28"/>
          <w:lang w:val="es"/>
        </w:rPr>
        <w:t xml:space="preserve">, y </w:t>
      </w:r>
      <w:r w:rsidRPr="003E425B">
        <w:rPr>
          <w:rFonts w:ascii="Times New Roman" w:hAnsi="Times New Roman" w:cs="Times New Roman"/>
          <w:i/>
          <w:iCs/>
          <w:sz w:val="28"/>
          <w:szCs w:val="28"/>
          <w:lang w:val="es"/>
        </w:rPr>
        <w:t xml:space="preserve">(ii) </w:t>
      </w:r>
      <w:r w:rsidRPr="003E425B">
        <w:rPr>
          <w:rFonts w:ascii="Times New Roman" w:hAnsi="Times New Roman" w:cs="Times New Roman"/>
          <w:sz w:val="28"/>
          <w:szCs w:val="28"/>
          <w:lang w:val="es"/>
        </w:rPr>
        <w:t>era posible demo</w:t>
      </w:r>
      <w:r w:rsidRPr="003E425B">
        <w:rPr>
          <w:rFonts w:ascii="Times New Roman" w:hAnsi="Times New Roman" w:cs="Times New Roman"/>
          <w:sz w:val="28"/>
          <w:szCs w:val="28"/>
          <w:lang w:val="es"/>
        </w:rPr>
        <w:t>st</w:t>
      </w:r>
      <w:r w:rsidRPr="003E425B">
        <w:rPr>
          <w:rFonts w:ascii="Times New Roman" w:hAnsi="Times New Roman" w:cs="Times New Roman"/>
          <w:sz w:val="28"/>
          <w:szCs w:val="28"/>
          <w:lang w:val="es"/>
        </w:rPr>
        <w:t>rar</w:t>
      </w:r>
      <w:r w:rsidRPr="003E425B">
        <w:rPr>
          <w:rFonts w:ascii="Times New Roman" w:hAnsi="Times New Roman" w:cs="Times New Roman"/>
          <w:sz w:val="28"/>
          <w:szCs w:val="28"/>
          <w:lang w:val="es"/>
        </w:rPr>
        <w:t xml:space="preserve"> por registros fílmicos y fotográficos que en la sesión </w:t>
      </w:r>
      <w:r w:rsidRPr="003E425B">
        <w:rPr>
          <w:rFonts w:ascii="Times New Roman" w:hAnsi="Times New Roman" w:cs="Times New Roman"/>
          <w:sz w:val="28"/>
          <w:szCs w:val="28"/>
          <w:lang w:val="es"/>
        </w:rPr>
        <w:t xml:space="preserve">no estaban presentes los 11 senadores necesarios en los términos del artículo 145 de la </w:t>
      </w:r>
      <w:r w:rsidRPr="003E425B">
        <w:rPr>
          <w:rFonts w:ascii="Times New Roman" w:hAnsi="Times New Roman" w:cs="Times New Roman"/>
          <w:sz w:val="28"/>
          <w:szCs w:val="28"/>
          <w:lang w:val="es"/>
        </w:rPr>
        <w:t>Constitución en el momento en el que se adelantaba la votación ordinaria.</w:t>
      </w:r>
    </w:p>
    <w:p w:rsidR="00E778E6" w:rsidRPr="003E425B" w:rsidRDefault="003E425B" w:rsidP="626521E1">
      <w:pPr>
        <w:jc w:val="both"/>
        <w:rPr>
          <w:rFonts w:ascii="Times New Roman" w:hAnsi="Times New Roman" w:cs="Times New Roman"/>
          <w:sz w:val="28"/>
          <w:szCs w:val="28"/>
          <w:lang w:val="es"/>
        </w:rPr>
      </w:pPr>
    </w:p>
    <w:p w:rsidR="000B228B" w:rsidRPr="003E425B" w:rsidRDefault="003E425B" w:rsidP="000B228B">
      <w:pPr>
        <w:jc w:val="both"/>
        <w:rPr>
          <w:rFonts w:ascii="Times New Roman" w:hAnsi="Times New Roman" w:cs="Times New Roman"/>
          <w:sz w:val="28"/>
          <w:szCs w:val="28"/>
          <w:lang w:val="es-ES"/>
        </w:rPr>
      </w:pPr>
      <w:r w:rsidRPr="003E425B">
        <w:rPr>
          <w:rFonts w:ascii="Times New Roman" w:hAnsi="Times New Roman" w:cs="Times New Roman"/>
          <w:sz w:val="28"/>
          <w:szCs w:val="28"/>
          <w:lang w:val="es"/>
        </w:rPr>
        <w:t xml:space="preserve">Al respecto, la Sentencia consideró que en este cargo no se demostraba una afectación de las reglas constitucionales y legales de quorum, forma de votación y mayorías, y lo explicó </w:t>
      </w:r>
      <w:r w:rsidRPr="003E425B">
        <w:rPr>
          <w:rFonts w:ascii="Times New Roman" w:hAnsi="Times New Roman" w:cs="Times New Roman"/>
          <w:sz w:val="28"/>
          <w:szCs w:val="28"/>
          <w:lang w:val="es"/>
        </w:rPr>
        <w:t xml:space="preserve">desde tres perspectivas. </w:t>
      </w:r>
      <w:r w:rsidRPr="003E425B">
        <w:rPr>
          <w:rFonts w:ascii="Times New Roman" w:hAnsi="Times New Roman" w:cs="Times New Roman"/>
          <w:sz w:val="28"/>
          <w:szCs w:val="28"/>
          <w:lang w:val="es-ES"/>
        </w:rPr>
        <w:t xml:space="preserve">Como lo he señalado, a mi juicio, el primero de los cargos formulados por los accionantes debía prosperar y correspondía que la Corte declarara la inexequibilidad de la ley, con efectos retroactivos, debido a que </w:t>
      </w:r>
      <w:r w:rsidRPr="003E425B">
        <w:rPr>
          <w:rFonts w:ascii="Times New Roman" w:hAnsi="Times New Roman" w:cs="Times New Roman"/>
          <w:sz w:val="28"/>
          <w:szCs w:val="28"/>
          <w:lang w:val="es-ES"/>
        </w:rPr>
        <w:t>a</w:t>
      </w:r>
      <w:r w:rsidRPr="003E425B">
        <w:rPr>
          <w:rFonts w:ascii="Times New Roman" w:hAnsi="Times New Roman" w:cs="Times New Roman"/>
          <w:sz w:val="28"/>
          <w:szCs w:val="28"/>
          <w:lang w:val="es-ES"/>
        </w:rPr>
        <w:t>l trámite legisla</w:t>
      </w:r>
      <w:r w:rsidRPr="003E425B">
        <w:rPr>
          <w:rFonts w:ascii="Times New Roman" w:hAnsi="Times New Roman" w:cs="Times New Roman"/>
          <w:sz w:val="28"/>
          <w:szCs w:val="28"/>
          <w:lang w:val="es-ES"/>
        </w:rPr>
        <w:t xml:space="preserve">tivo </w:t>
      </w:r>
      <w:r w:rsidRPr="003E425B">
        <w:rPr>
          <w:rFonts w:ascii="Times New Roman" w:hAnsi="Times New Roman" w:cs="Times New Roman"/>
          <w:sz w:val="28"/>
          <w:szCs w:val="28"/>
          <w:lang w:val="es-ES"/>
        </w:rPr>
        <w:t>se le aplica la sanción prevista en el artículo 149 de la Constitución</w:t>
      </w:r>
      <w:r w:rsidRPr="003E425B">
        <w:rPr>
          <w:rFonts w:ascii="Times New Roman" w:hAnsi="Times New Roman" w:cs="Times New Roman"/>
          <w:sz w:val="28"/>
          <w:szCs w:val="28"/>
          <w:lang w:val="es-ES"/>
        </w:rPr>
        <w:t xml:space="preserve">. </w:t>
      </w:r>
    </w:p>
    <w:p w:rsidR="008E1E06" w:rsidRPr="003E425B" w:rsidRDefault="003E425B" w:rsidP="626521E1">
      <w:pPr>
        <w:jc w:val="both"/>
        <w:rPr>
          <w:rFonts w:ascii="Times New Roman" w:hAnsi="Times New Roman" w:cs="Times New Roman"/>
          <w:sz w:val="28"/>
          <w:szCs w:val="28"/>
          <w:lang w:val="es"/>
        </w:rPr>
      </w:pPr>
    </w:p>
    <w:p w:rsidR="00383B03" w:rsidRPr="003E425B" w:rsidRDefault="003E425B" w:rsidP="626521E1">
      <w:pPr>
        <w:jc w:val="both"/>
        <w:rPr>
          <w:rFonts w:ascii="Times New Roman" w:hAnsi="Times New Roman" w:cs="Times New Roman"/>
          <w:b/>
          <w:bCs/>
          <w:sz w:val="28"/>
          <w:szCs w:val="28"/>
          <w:lang w:val="es"/>
        </w:rPr>
      </w:pPr>
      <w:r w:rsidRPr="003E425B">
        <w:rPr>
          <w:rFonts w:ascii="Times New Roman" w:hAnsi="Times New Roman" w:cs="Times New Roman"/>
          <w:b/>
          <w:bCs/>
          <w:sz w:val="28"/>
          <w:szCs w:val="28"/>
          <w:lang w:val="es"/>
        </w:rPr>
        <w:t>Razones de la Corte para desvirtuar el primer cargo de la demanda y la justificación del disenso frente a cada una</w:t>
      </w:r>
    </w:p>
    <w:p w:rsidR="00383B03" w:rsidRPr="003E425B" w:rsidRDefault="003E425B" w:rsidP="626521E1">
      <w:pPr>
        <w:jc w:val="both"/>
        <w:rPr>
          <w:rFonts w:ascii="Times New Roman" w:hAnsi="Times New Roman" w:cs="Times New Roman"/>
          <w:sz w:val="28"/>
          <w:szCs w:val="28"/>
          <w:lang w:val="es"/>
        </w:rPr>
      </w:pPr>
    </w:p>
    <w:p w:rsidR="00CB78DC" w:rsidRPr="003E425B" w:rsidRDefault="003E425B" w:rsidP="626521E1">
      <w:pPr>
        <w:jc w:val="both"/>
        <w:rPr>
          <w:rFonts w:ascii="Times New Roman" w:hAnsi="Times New Roman" w:cs="Times New Roman"/>
          <w:sz w:val="28"/>
          <w:szCs w:val="28"/>
          <w:lang w:val="es"/>
        </w:rPr>
      </w:pPr>
      <w:r w:rsidRPr="003E425B">
        <w:rPr>
          <w:rFonts w:ascii="Times New Roman" w:hAnsi="Times New Roman" w:cs="Times New Roman"/>
          <w:i/>
          <w:iCs/>
          <w:sz w:val="28"/>
          <w:szCs w:val="28"/>
          <w:lang w:val="es"/>
        </w:rPr>
        <w:t>Primer argumento de la Sentencia C-161 de 2024</w:t>
      </w:r>
      <w:r w:rsidRPr="003E425B">
        <w:rPr>
          <w:rFonts w:ascii="Times New Roman" w:hAnsi="Times New Roman" w:cs="Times New Roman"/>
          <w:i/>
          <w:iCs/>
          <w:sz w:val="28"/>
          <w:szCs w:val="28"/>
          <w:lang w:val="es"/>
        </w:rPr>
        <w:t xml:space="preserve"> sobre el prime</w:t>
      </w:r>
      <w:r w:rsidRPr="003E425B">
        <w:rPr>
          <w:rFonts w:ascii="Times New Roman" w:hAnsi="Times New Roman" w:cs="Times New Roman"/>
          <w:i/>
          <w:iCs/>
          <w:sz w:val="28"/>
          <w:szCs w:val="28"/>
          <w:lang w:val="es"/>
        </w:rPr>
        <w:t>r cargo</w:t>
      </w:r>
      <w:r w:rsidRPr="003E425B">
        <w:rPr>
          <w:rFonts w:ascii="Times New Roman" w:hAnsi="Times New Roman" w:cs="Times New Roman"/>
          <w:i/>
          <w:iCs/>
          <w:sz w:val="28"/>
          <w:szCs w:val="28"/>
          <w:lang w:val="es"/>
        </w:rPr>
        <w:t xml:space="preserve">. </w:t>
      </w:r>
      <w:r w:rsidRPr="003E425B">
        <w:rPr>
          <w:rFonts w:ascii="Times New Roman" w:hAnsi="Times New Roman" w:cs="Times New Roman"/>
          <w:sz w:val="28"/>
          <w:szCs w:val="28"/>
          <w:lang w:val="es"/>
        </w:rPr>
        <w:t xml:space="preserve">Primero, </w:t>
      </w:r>
      <w:r w:rsidRPr="003E425B">
        <w:rPr>
          <w:rFonts w:ascii="Times New Roman" w:hAnsi="Times New Roman" w:cs="Times New Roman"/>
          <w:sz w:val="28"/>
          <w:szCs w:val="28"/>
          <w:lang w:val="es"/>
        </w:rPr>
        <w:t xml:space="preserve">en la Sentencia </w:t>
      </w:r>
      <w:r w:rsidRPr="003E425B">
        <w:rPr>
          <w:rFonts w:ascii="Times New Roman" w:hAnsi="Times New Roman" w:cs="Times New Roman"/>
          <w:sz w:val="28"/>
          <w:szCs w:val="28"/>
          <w:lang w:val="es"/>
        </w:rPr>
        <w:t>de la referencia</w:t>
      </w:r>
      <w:r w:rsidRPr="003E425B">
        <w:rPr>
          <w:rFonts w:ascii="Times New Roman" w:hAnsi="Times New Roman" w:cs="Times New Roman"/>
          <w:sz w:val="28"/>
          <w:szCs w:val="28"/>
          <w:lang w:val="es"/>
        </w:rPr>
        <w:t xml:space="preserve"> </w:t>
      </w:r>
      <w:r w:rsidRPr="003E425B">
        <w:rPr>
          <w:rFonts w:ascii="Times New Roman" w:hAnsi="Times New Roman" w:cs="Times New Roman"/>
          <w:sz w:val="28"/>
          <w:szCs w:val="28"/>
          <w:lang w:val="es"/>
        </w:rPr>
        <w:t xml:space="preserve">la Corte </w:t>
      </w:r>
      <w:r w:rsidRPr="003E425B">
        <w:rPr>
          <w:rFonts w:ascii="Times New Roman" w:hAnsi="Times New Roman" w:cs="Times New Roman"/>
          <w:sz w:val="28"/>
          <w:szCs w:val="28"/>
          <w:lang w:val="es"/>
        </w:rPr>
        <w:t>indicó que la Comisión Primera Constitucional del Senado estaba habilitada para votar de forma ordinaria el informe de ponencia</w:t>
      </w:r>
      <w:r w:rsidRPr="003E425B">
        <w:rPr>
          <w:rFonts w:ascii="Times New Roman" w:hAnsi="Times New Roman" w:cs="Times New Roman"/>
          <w:sz w:val="28"/>
          <w:szCs w:val="28"/>
          <w:lang w:val="es"/>
        </w:rPr>
        <w:t xml:space="preserve">, ya que </w:t>
      </w:r>
      <w:r w:rsidRPr="003E425B">
        <w:rPr>
          <w:rFonts w:ascii="Times New Roman" w:hAnsi="Times New Roman" w:cs="Times New Roman"/>
          <w:i/>
          <w:iCs/>
          <w:sz w:val="28"/>
          <w:szCs w:val="28"/>
          <w:lang w:val="es"/>
        </w:rPr>
        <w:t xml:space="preserve">(i) </w:t>
      </w:r>
      <w:r w:rsidRPr="003E425B">
        <w:rPr>
          <w:rFonts w:ascii="Times New Roman" w:hAnsi="Times New Roman" w:cs="Times New Roman"/>
          <w:sz w:val="28"/>
          <w:szCs w:val="28"/>
          <w:lang w:val="es"/>
        </w:rPr>
        <w:t xml:space="preserve">no hay norma que disponga que las decisiones que </w:t>
      </w:r>
      <w:r w:rsidRPr="003E425B">
        <w:rPr>
          <w:rFonts w:ascii="Times New Roman" w:hAnsi="Times New Roman" w:cs="Times New Roman"/>
          <w:sz w:val="28"/>
          <w:szCs w:val="28"/>
          <w:lang w:val="es"/>
        </w:rPr>
        <w:t>requieren de mayoría absoluta</w:t>
      </w:r>
      <w:r w:rsidRPr="003E425B">
        <w:rPr>
          <w:rFonts w:ascii="Times New Roman" w:hAnsi="Times New Roman" w:cs="Times New Roman"/>
          <w:sz w:val="28"/>
          <w:szCs w:val="28"/>
          <w:lang w:val="es"/>
        </w:rPr>
        <w:t xml:space="preserve"> deben votarse de forma nominal y pública</w:t>
      </w:r>
      <w:r w:rsidRPr="003E425B">
        <w:rPr>
          <w:rFonts w:ascii="Times New Roman" w:hAnsi="Times New Roman" w:cs="Times New Roman"/>
          <w:sz w:val="28"/>
          <w:szCs w:val="28"/>
          <w:lang w:val="es"/>
        </w:rPr>
        <w:t>. También cuando</w:t>
      </w:r>
      <w:r w:rsidRPr="003E425B">
        <w:rPr>
          <w:rFonts w:ascii="Times New Roman" w:hAnsi="Times New Roman" w:cs="Times New Roman"/>
          <w:sz w:val="28"/>
          <w:szCs w:val="28"/>
          <w:lang w:val="es"/>
        </w:rPr>
        <w:t xml:space="preserve"> </w:t>
      </w:r>
      <w:r w:rsidRPr="003E425B">
        <w:rPr>
          <w:rFonts w:ascii="Times New Roman" w:hAnsi="Times New Roman" w:cs="Times New Roman"/>
          <w:i/>
          <w:iCs/>
          <w:sz w:val="28"/>
          <w:szCs w:val="28"/>
          <w:lang w:val="es"/>
        </w:rPr>
        <w:t xml:space="preserve">(ii) </w:t>
      </w:r>
      <w:r w:rsidRPr="003E425B">
        <w:rPr>
          <w:rFonts w:ascii="Times New Roman" w:hAnsi="Times New Roman" w:cs="Times New Roman"/>
          <w:sz w:val="28"/>
          <w:szCs w:val="28"/>
          <w:lang w:val="es"/>
        </w:rPr>
        <w:t>“</w:t>
      </w:r>
      <w:r w:rsidRPr="003E425B">
        <w:rPr>
          <w:rFonts w:ascii="Times New Roman" w:hAnsi="Times New Roman" w:cs="Times New Roman"/>
          <w:i/>
          <w:iCs/>
          <w:sz w:val="28"/>
          <w:szCs w:val="28"/>
          <w:lang w:val="es"/>
        </w:rPr>
        <w:t xml:space="preserve">existían indicios suficientes de unanimidad” </w:t>
      </w:r>
      <w:r w:rsidRPr="003E425B">
        <w:rPr>
          <w:rFonts w:ascii="Times New Roman" w:hAnsi="Times New Roman" w:cs="Times New Roman"/>
          <w:sz w:val="28"/>
          <w:szCs w:val="28"/>
          <w:lang w:val="es"/>
        </w:rPr>
        <w:t xml:space="preserve">en los términos del numeral 16 del artículo 129 de la </w:t>
      </w:r>
      <w:r w:rsidRPr="003E425B">
        <w:rPr>
          <w:rFonts w:ascii="Times New Roman" w:hAnsi="Times New Roman" w:cs="Times New Roman"/>
          <w:sz w:val="28"/>
          <w:szCs w:val="28"/>
          <w:lang w:val="es"/>
        </w:rPr>
        <w:t>Ley 5ª</w:t>
      </w:r>
      <w:r w:rsidRPr="003E425B">
        <w:rPr>
          <w:rFonts w:ascii="Times New Roman" w:hAnsi="Times New Roman" w:cs="Times New Roman"/>
          <w:sz w:val="28"/>
          <w:szCs w:val="28"/>
          <w:lang w:val="es"/>
        </w:rPr>
        <w:t xml:space="preserve"> de 1992</w:t>
      </w:r>
      <w:r w:rsidRPr="003E425B">
        <w:rPr>
          <w:rFonts w:ascii="Times New Roman" w:hAnsi="Times New Roman" w:cs="Times New Roman"/>
          <w:sz w:val="28"/>
          <w:szCs w:val="28"/>
          <w:lang w:val="es"/>
        </w:rPr>
        <w:t>, ya que esa condición se verifica respecto de los</w:t>
      </w:r>
      <w:r w:rsidRPr="003E425B">
        <w:rPr>
          <w:rFonts w:ascii="Times New Roman" w:hAnsi="Times New Roman" w:cs="Times New Roman"/>
          <w:sz w:val="28"/>
          <w:szCs w:val="28"/>
          <w:lang w:val="es"/>
        </w:rPr>
        <w:t xml:space="preserve"> congresistas presentes</w:t>
      </w:r>
      <w:r w:rsidRPr="003E425B">
        <w:rPr>
          <w:rFonts w:ascii="Times New Roman" w:hAnsi="Times New Roman" w:cs="Times New Roman"/>
          <w:sz w:val="28"/>
          <w:szCs w:val="28"/>
          <w:lang w:val="es"/>
        </w:rPr>
        <w:t xml:space="preserve"> y uno de los </w:t>
      </w:r>
      <w:r w:rsidRPr="003E425B">
        <w:rPr>
          <w:rFonts w:ascii="Times New Roman" w:hAnsi="Times New Roman" w:cs="Times New Roman"/>
          <w:sz w:val="28"/>
          <w:szCs w:val="28"/>
          <w:lang w:val="es"/>
        </w:rPr>
        <w:t>indicio</w:t>
      </w:r>
      <w:r w:rsidRPr="003E425B">
        <w:rPr>
          <w:rFonts w:ascii="Times New Roman" w:hAnsi="Times New Roman" w:cs="Times New Roman"/>
          <w:sz w:val="28"/>
          <w:szCs w:val="28"/>
          <w:lang w:val="es"/>
        </w:rPr>
        <w:t>s “</w:t>
      </w:r>
      <w:r w:rsidRPr="003E425B">
        <w:rPr>
          <w:rFonts w:ascii="Times New Roman" w:hAnsi="Times New Roman" w:cs="Times New Roman"/>
          <w:i/>
          <w:iCs/>
          <w:sz w:val="28"/>
          <w:szCs w:val="28"/>
          <w:lang w:val="es"/>
        </w:rPr>
        <w:t xml:space="preserve">es la constancia expresa </w:t>
      </w:r>
      <w:r w:rsidRPr="003E425B">
        <w:rPr>
          <w:rFonts w:ascii="Times New Roman" w:hAnsi="Times New Roman" w:cs="Times New Roman"/>
          <w:i/>
          <w:iCs/>
          <w:sz w:val="28"/>
          <w:szCs w:val="28"/>
          <w:lang w:val="es"/>
        </w:rPr>
        <w:t>e</w:t>
      </w:r>
      <w:r w:rsidRPr="003E425B">
        <w:rPr>
          <w:rFonts w:ascii="Times New Roman" w:hAnsi="Times New Roman" w:cs="Times New Roman"/>
          <w:i/>
          <w:iCs/>
          <w:sz w:val="28"/>
          <w:szCs w:val="28"/>
          <w:lang w:val="es"/>
        </w:rPr>
        <w:t xml:space="preserve"> inequívoca</w:t>
      </w:r>
      <w:r w:rsidRPr="003E425B">
        <w:rPr>
          <w:rFonts w:ascii="Times New Roman" w:hAnsi="Times New Roman" w:cs="Times New Roman"/>
          <w:i/>
          <w:iCs/>
          <w:sz w:val="28"/>
          <w:szCs w:val="28"/>
          <w:lang w:val="es"/>
        </w:rPr>
        <w:t xml:space="preserve"> de unanimidad al declarar el resultado de la votación”. </w:t>
      </w:r>
      <w:r w:rsidRPr="003E425B">
        <w:rPr>
          <w:rFonts w:ascii="Times New Roman" w:hAnsi="Times New Roman" w:cs="Times New Roman"/>
          <w:sz w:val="28"/>
          <w:szCs w:val="28"/>
          <w:lang w:val="es"/>
        </w:rPr>
        <w:t xml:space="preserve">Sobre esto, el fallo destacó que en el Acta Conjunta número 3 de 24 de noviembre de 2022, publicada en la Gaceta </w:t>
      </w:r>
      <w:r w:rsidRPr="003E425B">
        <w:rPr>
          <w:rFonts w:ascii="Times New Roman" w:hAnsi="Times New Roman" w:cs="Times New Roman"/>
          <w:sz w:val="28"/>
          <w:szCs w:val="28"/>
          <w:lang w:val="es"/>
        </w:rPr>
        <w:t>del Congreso 96 del 27 de febrero de 2023</w:t>
      </w:r>
      <w:r w:rsidRPr="003E425B">
        <w:rPr>
          <w:rFonts w:ascii="Times New Roman" w:hAnsi="Times New Roman" w:cs="Times New Roman"/>
          <w:sz w:val="28"/>
          <w:szCs w:val="28"/>
          <w:lang w:val="es"/>
        </w:rPr>
        <w:t xml:space="preserve">, menciona que la proposición positiva </w:t>
      </w:r>
      <w:r w:rsidRPr="003E425B">
        <w:rPr>
          <w:rFonts w:ascii="Times New Roman" w:hAnsi="Times New Roman" w:cs="Times New Roman"/>
          <w:sz w:val="28"/>
          <w:szCs w:val="28"/>
          <w:lang w:val="es"/>
        </w:rPr>
        <w:t xml:space="preserve">fue aprobada por </w:t>
      </w:r>
      <w:r w:rsidRPr="003E425B">
        <w:rPr>
          <w:rFonts w:ascii="Times New Roman" w:hAnsi="Times New Roman" w:cs="Times New Roman"/>
          <w:i/>
          <w:iCs/>
          <w:sz w:val="28"/>
          <w:szCs w:val="28"/>
          <w:lang w:val="es"/>
        </w:rPr>
        <w:t>unanimidad</w:t>
      </w:r>
      <w:r w:rsidRPr="003E425B">
        <w:rPr>
          <w:rFonts w:ascii="Times New Roman" w:hAnsi="Times New Roman" w:cs="Times New Roman"/>
          <w:sz w:val="28"/>
          <w:szCs w:val="28"/>
          <w:lang w:val="es"/>
        </w:rPr>
        <w:t>. Esto es un indicio razonable para concluir su aprobación</w:t>
      </w:r>
      <w:r w:rsidRPr="003E425B">
        <w:rPr>
          <w:rFonts w:ascii="Times New Roman" w:hAnsi="Times New Roman" w:cs="Times New Roman"/>
          <w:sz w:val="28"/>
          <w:szCs w:val="28"/>
          <w:lang w:val="es"/>
        </w:rPr>
        <w:t>, ya que ninguno de los senadores presentes indicó su voto negativo, as</w:t>
      </w:r>
      <w:r w:rsidRPr="003E425B">
        <w:rPr>
          <w:rFonts w:ascii="Times New Roman" w:hAnsi="Times New Roman" w:cs="Times New Roman"/>
          <w:sz w:val="28"/>
          <w:szCs w:val="28"/>
          <w:lang w:val="es"/>
        </w:rPr>
        <w:t>í</w:t>
      </w:r>
      <w:r w:rsidRPr="003E425B">
        <w:rPr>
          <w:rFonts w:ascii="Times New Roman" w:hAnsi="Times New Roman" w:cs="Times New Roman"/>
          <w:sz w:val="28"/>
          <w:szCs w:val="28"/>
          <w:lang w:val="es"/>
        </w:rPr>
        <w:t xml:space="preserve"> como porque “</w:t>
      </w:r>
      <w:r w:rsidRPr="003E425B">
        <w:rPr>
          <w:rFonts w:ascii="Times New Roman" w:hAnsi="Times New Roman" w:cs="Times New Roman"/>
          <w:i/>
          <w:iCs/>
          <w:sz w:val="28"/>
          <w:szCs w:val="28"/>
          <w:lang w:val="es"/>
        </w:rPr>
        <w:t>la vo</w:t>
      </w:r>
      <w:r w:rsidRPr="003E425B">
        <w:rPr>
          <w:rFonts w:ascii="Times New Roman" w:hAnsi="Times New Roman" w:cs="Times New Roman"/>
          <w:i/>
          <w:iCs/>
          <w:sz w:val="28"/>
          <w:szCs w:val="28"/>
          <w:lang w:val="es"/>
        </w:rPr>
        <w:t xml:space="preserve">tación nominal y pública de las proposiciones de archivo, que se efectuó al inicio de la sesión, fue unánime.” </w:t>
      </w:r>
      <w:r w:rsidRPr="003E425B">
        <w:rPr>
          <w:rFonts w:ascii="Times New Roman" w:hAnsi="Times New Roman" w:cs="Times New Roman"/>
          <w:sz w:val="28"/>
          <w:szCs w:val="28"/>
          <w:lang w:val="es"/>
        </w:rPr>
        <w:t>A su vez, la Sala Plena afirmó que</w:t>
      </w:r>
      <w:r w:rsidRPr="003E425B">
        <w:rPr>
          <w:rFonts w:ascii="Times New Roman" w:hAnsi="Times New Roman" w:cs="Times New Roman"/>
          <w:sz w:val="28"/>
          <w:szCs w:val="28"/>
          <w:lang w:val="es"/>
        </w:rPr>
        <w:t>,</w:t>
      </w:r>
      <w:r w:rsidRPr="003E425B">
        <w:rPr>
          <w:rFonts w:ascii="Times New Roman" w:hAnsi="Times New Roman" w:cs="Times New Roman"/>
          <w:sz w:val="28"/>
          <w:szCs w:val="28"/>
          <w:lang w:val="es"/>
        </w:rPr>
        <w:t xml:space="preserve"> aunque los accionantes afirmaron que la senadora Paloma Valencia realizó una solicitud de que la votación fue</w:t>
      </w:r>
      <w:r w:rsidRPr="003E425B">
        <w:rPr>
          <w:rFonts w:ascii="Times New Roman" w:hAnsi="Times New Roman" w:cs="Times New Roman"/>
          <w:sz w:val="28"/>
          <w:szCs w:val="28"/>
          <w:lang w:val="es"/>
        </w:rPr>
        <w:t xml:space="preserve">se de forma nominal y pública, ello no cumplió con las exigencias de la jurisprudencia de que se hiciera de forma expresa y clara, y al momento </w:t>
      </w:r>
      <w:r w:rsidRPr="003E425B">
        <w:rPr>
          <w:rFonts w:ascii="Times New Roman" w:hAnsi="Times New Roman" w:cs="Times New Roman"/>
          <w:sz w:val="28"/>
          <w:szCs w:val="28"/>
          <w:lang w:val="es"/>
        </w:rPr>
        <w:t>en el que se iba a realizar la votación, no durante el debate, o después de que se hubiese adelantado la votació</w:t>
      </w:r>
      <w:r w:rsidRPr="003E425B">
        <w:rPr>
          <w:rFonts w:ascii="Times New Roman" w:hAnsi="Times New Roman" w:cs="Times New Roman"/>
          <w:sz w:val="28"/>
          <w:szCs w:val="28"/>
          <w:lang w:val="es"/>
        </w:rPr>
        <w:t xml:space="preserve">n. A juicio de la Sala, no cumplió con tales exigencias. </w:t>
      </w:r>
    </w:p>
    <w:p w:rsidR="00403AD1" w:rsidRPr="003E425B" w:rsidRDefault="003E425B" w:rsidP="626521E1">
      <w:pPr>
        <w:jc w:val="both"/>
        <w:rPr>
          <w:rFonts w:ascii="Times New Roman" w:hAnsi="Times New Roman" w:cs="Times New Roman"/>
          <w:sz w:val="28"/>
          <w:szCs w:val="28"/>
          <w:lang w:val="es"/>
        </w:rPr>
      </w:pPr>
    </w:p>
    <w:p w:rsidR="00980B54" w:rsidRPr="003E425B" w:rsidRDefault="003E425B" w:rsidP="00980B54">
      <w:pPr>
        <w:jc w:val="both"/>
        <w:rPr>
          <w:rFonts w:ascii="Times New Roman" w:hAnsi="Times New Roman" w:cs="Times New Roman"/>
          <w:sz w:val="28"/>
          <w:szCs w:val="28"/>
          <w:lang w:val="es-ES"/>
        </w:rPr>
      </w:pPr>
      <w:r w:rsidRPr="003E425B">
        <w:rPr>
          <w:rFonts w:ascii="Times New Roman" w:hAnsi="Times New Roman" w:cs="Times New Roman"/>
          <w:i/>
          <w:iCs/>
          <w:sz w:val="28"/>
          <w:szCs w:val="28"/>
          <w:lang w:val="es-ES"/>
        </w:rPr>
        <w:t xml:space="preserve">Sobre la posibilidad de realizar una votación ordinaria. </w:t>
      </w:r>
      <w:r w:rsidRPr="003E425B">
        <w:rPr>
          <w:rFonts w:ascii="Times New Roman" w:hAnsi="Times New Roman" w:cs="Times New Roman"/>
          <w:sz w:val="28"/>
          <w:szCs w:val="28"/>
          <w:lang w:val="es-ES"/>
        </w:rPr>
        <w:t xml:space="preserve">Así las cosas, inicialmente la Sala advirtió </w:t>
      </w:r>
      <w:r w:rsidRPr="003E425B">
        <w:rPr>
          <w:rFonts w:ascii="Times New Roman" w:hAnsi="Times New Roman" w:cs="Times New Roman"/>
          <w:sz w:val="28"/>
          <w:szCs w:val="28"/>
          <w:lang w:val="es-ES"/>
        </w:rPr>
        <w:t xml:space="preserve">la posibilidad </w:t>
      </w:r>
      <w:r w:rsidRPr="003E425B">
        <w:rPr>
          <w:rFonts w:ascii="Times New Roman" w:hAnsi="Times New Roman" w:cs="Times New Roman"/>
          <w:sz w:val="28"/>
          <w:szCs w:val="28"/>
          <w:lang w:val="es-ES"/>
        </w:rPr>
        <w:t>que tenía la Comisión de realizar</w:t>
      </w:r>
      <w:r w:rsidRPr="003E425B">
        <w:rPr>
          <w:rFonts w:ascii="Times New Roman" w:hAnsi="Times New Roman" w:cs="Times New Roman"/>
          <w:sz w:val="28"/>
          <w:szCs w:val="28"/>
          <w:lang w:val="es-ES"/>
        </w:rPr>
        <w:t xml:space="preserve"> una votación ordinaria en los términos del numeral 16 del artículo 129 de la </w:t>
      </w:r>
      <w:r w:rsidRPr="003E425B">
        <w:rPr>
          <w:rFonts w:ascii="Times New Roman" w:hAnsi="Times New Roman" w:cs="Times New Roman"/>
          <w:sz w:val="28"/>
          <w:szCs w:val="28"/>
          <w:lang w:val="es-ES"/>
        </w:rPr>
        <w:t>Ley 5ª</w:t>
      </w:r>
      <w:r w:rsidRPr="003E425B">
        <w:rPr>
          <w:rFonts w:ascii="Times New Roman" w:hAnsi="Times New Roman" w:cs="Times New Roman"/>
          <w:sz w:val="28"/>
          <w:szCs w:val="28"/>
          <w:lang w:val="es-ES"/>
        </w:rPr>
        <w:t xml:space="preserve"> de 1992, orgánica del Congreso de la República</w:t>
      </w:r>
      <w:r w:rsidRPr="003E425B">
        <w:rPr>
          <w:rFonts w:ascii="Times New Roman" w:hAnsi="Times New Roman" w:cs="Times New Roman"/>
          <w:sz w:val="28"/>
          <w:szCs w:val="28"/>
          <w:lang w:val="es-ES"/>
        </w:rPr>
        <w:t xml:space="preserve">, y uno de sus argumentos fue que se demostraban </w:t>
      </w:r>
      <w:r w:rsidRPr="003E425B">
        <w:rPr>
          <w:rFonts w:ascii="Times New Roman" w:hAnsi="Times New Roman" w:cs="Times New Roman"/>
          <w:i/>
          <w:iCs/>
          <w:sz w:val="28"/>
          <w:szCs w:val="28"/>
          <w:lang w:val="es-ES"/>
        </w:rPr>
        <w:t xml:space="preserve">suficientes indicios de unanimidad. </w:t>
      </w:r>
    </w:p>
    <w:p w:rsidR="00980B54" w:rsidRPr="003E425B" w:rsidRDefault="003E425B" w:rsidP="00980B54">
      <w:pPr>
        <w:jc w:val="both"/>
        <w:rPr>
          <w:rFonts w:ascii="Times New Roman" w:hAnsi="Times New Roman" w:cs="Times New Roman"/>
          <w:sz w:val="28"/>
          <w:szCs w:val="28"/>
          <w:lang w:val="es-ES"/>
        </w:rPr>
      </w:pPr>
    </w:p>
    <w:p w:rsidR="00AD4EB5" w:rsidRPr="003E425B" w:rsidRDefault="003E425B" w:rsidP="00AD4EB5">
      <w:pPr>
        <w:jc w:val="both"/>
        <w:rPr>
          <w:rFonts w:ascii="Times New Roman" w:hAnsi="Times New Roman" w:cs="Times New Roman"/>
          <w:color w:val="000000" w:themeColor="text1"/>
          <w:sz w:val="28"/>
          <w:szCs w:val="28"/>
        </w:rPr>
      </w:pPr>
      <w:r w:rsidRPr="003E425B">
        <w:rPr>
          <w:rFonts w:ascii="Times New Roman" w:hAnsi="Times New Roman" w:cs="Times New Roman"/>
          <w:sz w:val="28"/>
          <w:szCs w:val="28"/>
          <w:lang w:val="es-ES"/>
        </w:rPr>
        <w:t>La función legislativa que ejerce el C</w:t>
      </w:r>
      <w:r w:rsidRPr="003E425B">
        <w:rPr>
          <w:rFonts w:ascii="Times New Roman" w:hAnsi="Times New Roman" w:cs="Times New Roman"/>
          <w:sz w:val="28"/>
          <w:szCs w:val="28"/>
          <w:lang w:val="es-ES"/>
        </w:rPr>
        <w:t>ongreso de la República está estrictamente regulada por la Constitución y la ley</w:t>
      </w:r>
      <w:r w:rsidRPr="003E425B">
        <w:rPr>
          <w:rFonts w:ascii="Times New Roman" w:hAnsi="Times New Roman" w:cs="Times New Roman"/>
          <w:sz w:val="28"/>
          <w:szCs w:val="28"/>
          <w:lang w:val="es-ES"/>
        </w:rPr>
        <w:t xml:space="preserve"> orgánica</w:t>
      </w:r>
      <w:r w:rsidRPr="003E425B">
        <w:rPr>
          <w:rFonts w:ascii="Times New Roman" w:hAnsi="Times New Roman" w:cs="Times New Roman"/>
          <w:sz w:val="28"/>
          <w:szCs w:val="28"/>
          <w:lang w:val="es-ES"/>
        </w:rPr>
        <w:t xml:space="preserve">, en cumplimiento del principio de legalidad derivado de los artículos 6 y 121 de la Constitución. </w:t>
      </w:r>
      <w:r w:rsidRPr="003E425B">
        <w:rPr>
          <w:rFonts w:ascii="Times New Roman" w:hAnsi="Times New Roman" w:cs="Times New Roman"/>
          <w:color w:val="000000" w:themeColor="text1"/>
          <w:sz w:val="28"/>
          <w:szCs w:val="28"/>
        </w:rPr>
        <w:t>Es fundamental precisar que los requisitos en la Constitución y la L</w:t>
      </w:r>
      <w:r w:rsidRPr="003E425B">
        <w:rPr>
          <w:rFonts w:ascii="Times New Roman" w:hAnsi="Times New Roman" w:cs="Times New Roman"/>
          <w:color w:val="000000" w:themeColor="text1"/>
          <w:sz w:val="28"/>
          <w:szCs w:val="28"/>
        </w:rPr>
        <w:t>ey Orgánica del Congreso de la República constituyen unos parámetros cuidadosamente diseñados para asegurar que la voluntad del Congreso se edifique en un proceso deliberativo, que respete la regla de la mayoría y del derecho de participación de las minorí</w:t>
      </w:r>
      <w:r w:rsidRPr="003E425B">
        <w:rPr>
          <w:rFonts w:ascii="Times New Roman" w:hAnsi="Times New Roman" w:cs="Times New Roman"/>
          <w:color w:val="000000" w:themeColor="text1"/>
          <w:sz w:val="28"/>
          <w:szCs w:val="28"/>
        </w:rPr>
        <w:t xml:space="preserve">as. Dentro de estos parámetros se encuentra las reglas de quórum y mayorías, cuyo incumplimiento puede tener consecuencias estructurales en el trámite legislativo ya que se constituye como </w:t>
      </w:r>
      <w:r w:rsidRPr="003E425B">
        <w:rPr>
          <w:rFonts w:ascii="Times New Roman" w:hAnsi="Times New Roman" w:cs="Times New Roman"/>
          <w:i/>
          <w:iCs/>
          <w:color w:val="000000" w:themeColor="text1"/>
          <w:sz w:val="28"/>
          <w:szCs w:val="28"/>
        </w:rPr>
        <w:t>“(…) una causal de ineficacia de cualquiera de las decisiones que s</w:t>
      </w:r>
      <w:r w:rsidRPr="003E425B">
        <w:rPr>
          <w:rFonts w:ascii="Times New Roman" w:hAnsi="Times New Roman" w:cs="Times New Roman"/>
          <w:i/>
          <w:iCs/>
          <w:color w:val="000000" w:themeColor="text1"/>
          <w:sz w:val="28"/>
          <w:szCs w:val="28"/>
        </w:rPr>
        <w:t>e adopten durante la sesión correspondiente, según lo dispuesto en el artículo 149 de la Constitución”</w:t>
      </w:r>
      <w:r w:rsidRPr="003E425B">
        <w:rPr>
          <w:rFonts w:ascii="Times New Roman" w:hAnsi="Times New Roman" w:cs="Times New Roman"/>
          <w:i/>
          <w:iCs/>
          <w:color w:val="000000" w:themeColor="text1"/>
          <w:sz w:val="28"/>
          <w:szCs w:val="28"/>
        </w:rPr>
        <w:t>.</w:t>
      </w:r>
      <w:r w:rsidRPr="003E425B">
        <w:rPr>
          <w:rFonts w:ascii="Times New Roman" w:hAnsi="Times New Roman" w:cs="Times New Roman"/>
          <w:color w:val="000000" w:themeColor="text1"/>
          <w:sz w:val="28"/>
          <w:szCs w:val="28"/>
          <w:vertAlign w:val="superscript"/>
        </w:rPr>
        <w:footnoteReference w:id="460"/>
      </w:r>
      <w:r w:rsidRPr="003E425B">
        <w:rPr>
          <w:rFonts w:ascii="Times New Roman" w:hAnsi="Times New Roman" w:cs="Times New Roman"/>
          <w:i/>
          <w:iCs/>
          <w:color w:val="000000" w:themeColor="text1"/>
          <w:sz w:val="28"/>
          <w:szCs w:val="28"/>
        </w:rPr>
        <w:t xml:space="preserve"> </w:t>
      </w:r>
    </w:p>
    <w:p w:rsidR="00AD4EB5" w:rsidRPr="003E425B" w:rsidRDefault="003E425B" w:rsidP="00980B54">
      <w:pPr>
        <w:jc w:val="both"/>
        <w:rPr>
          <w:rFonts w:ascii="Times New Roman" w:hAnsi="Times New Roman" w:cs="Times New Roman"/>
          <w:sz w:val="28"/>
          <w:szCs w:val="28"/>
        </w:rPr>
      </w:pPr>
    </w:p>
    <w:p w:rsidR="00AD4EB5" w:rsidRPr="003E425B" w:rsidRDefault="003E425B" w:rsidP="00980B54">
      <w:pPr>
        <w:jc w:val="both"/>
        <w:rPr>
          <w:rFonts w:ascii="Times New Roman" w:hAnsi="Times New Roman" w:cs="Times New Roman"/>
          <w:color w:val="000000" w:themeColor="text1"/>
          <w:sz w:val="28"/>
          <w:szCs w:val="28"/>
        </w:rPr>
      </w:pPr>
      <w:r w:rsidRPr="003E425B">
        <w:rPr>
          <w:rFonts w:ascii="Times New Roman" w:hAnsi="Times New Roman" w:cs="Times New Roman"/>
          <w:sz w:val="28"/>
          <w:szCs w:val="28"/>
        </w:rPr>
        <w:t>En concordancia con el</w:t>
      </w:r>
      <w:r w:rsidRPr="003E425B">
        <w:rPr>
          <w:rFonts w:ascii="Times New Roman" w:hAnsi="Times New Roman" w:cs="Times New Roman"/>
          <w:color w:val="000000" w:themeColor="text1"/>
          <w:sz w:val="28"/>
          <w:szCs w:val="28"/>
        </w:rPr>
        <w:t xml:space="preserve"> artículo 128 de la </w:t>
      </w:r>
      <w:r w:rsidRPr="003E425B">
        <w:rPr>
          <w:rFonts w:ascii="Times New Roman" w:hAnsi="Times New Roman" w:cs="Times New Roman"/>
          <w:color w:val="000000" w:themeColor="text1"/>
          <w:sz w:val="28"/>
          <w:szCs w:val="28"/>
        </w:rPr>
        <w:t>Ley 5</w:t>
      </w:r>
      <w:r w:rsidRPr="003E425B">
        <w:rPr>
          <w:rFonts w:ascii="Times New Roman" w:hAnsi="Times New Roman" w:cs="Times New Roman"/>
          <w:color w:val="000000" w:themeColor="text1"/>
          <w:sz w:val="28"/>
          <w:szCs w:val="28"/>
        </w:rPr>
        <w:t>ª de 1992, existen tres tipos o modos de votación: nominal, ordinaria y secreta. La votación nominal e</w:t>
      </w:r>
      <w:r w:rsidRPr="003E425B">
        <w:rPr>
          <w:rFonts w:ascii="Times New Roman" w:hAnsi="Times New Roman" w:cs="Times New Roman"/>
          <w:color w:val="000000" w:themeColor="text1"/>
          <w:sz w:val="28"/>
          <w:szCs w:val="28"/>
        </w:rPr>
        <w:t>s pública y permite individualizar el sentido del voto de cada Congresista</w:t>
      </w:r>
      <w:r w:rsidRPr="003E425B">
        <w:rPr>
          <w:rFonts w:ascii="Times New Roman" w:hAnsi="Times New Roman" w:cs="Times New Roman"/>
          <w:color w:val="000000" w:themeColor="text1"/>
          <w:sz w:val="28"/>
          <w:szCs w:val="28"/>
        </w:rPr>
        <w:t>;</w:t>
      </w:r>
      <w:r w:rsidRPr="003E425B">
        <w:rPr>
          <w:rFonts w:ascii="Times New Roman" w:hAnsi="Times New Roman" w:cs="Times New Roman"/>
          <w:color w:val="000000" w:themeColor="text1"/>
          <w:sz w:val="28"/>
          <w:szCs w:val="28"/>
        </w:rPr>
        <w:t xml:space="preserve"> esta modalidad es </w:t>
      </w:r>
      <w:r w:rsidRPr="003E425B">
        <w:rPr>
          <w:rFonts w:ascii="Times New Roman" w:hAnsi="Times New Roman" w:cs="Times New Roman"/>
          <w:color w:val="000000" w:themeColor="text1"/>
          <w:sz w:val="28"/>
          <w:szCs w:val="28"/>
        </w:rPr>
        <w:t>por</w:t>
      </w:r>
      <w:r w:rsidRPr="003E425B">
        <w:rPr>
          <w:rFonts w:ascii="Times New Roman" w:hAnsi="Times New Roman" w:cs="Times New Roman"/>
          <w:color w:val="000000" w:themeColor="text1"/>
          <w:sz w:val="28"/>
          <w:szCs w:val="28"/>
        </w:rPr>
        <w:t xml:space="preserve"> regla general la aplicada en las votaciones.</w:t>
      </w:r>
      <w:r w:rsidRPr="003E425B">
        <w:rPr>
          <w:rFonts w:ascii="Times New Roman" w:hAnsi="Times New Roman" w:cs="Times New Roman"/>
          <w:color w:val="000000" w:themeColor="text1"/>
          <w:sz w:val="28"/>
          <w:szCs w:val="28"/>
          <w:vertAlign w:val="superscript"/>
        </w:rPr>
        <w:footnoteReference w:id="461"/>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La votación ordinaria, por su parte, se efectúa dando los Congresistas, con la mano, un golpe sobre el pupitre</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de los cuales el Secretario informará el resultado de la votación, siempre y cuando no se pida su verificación.</w:t>
      </w:r>
      <w:r w:rsidRPr="003E425B">
        <w:rPr>
          <w:rFonts w:ascii="Times New Roman" w:hAnsi="Times New Roman" w:cs="Times New Roman"/>
          <w:color w:val="000000" w:themeColor="text1"/>
          <w:sz w:val="28"/>
          <w:szCs w:val="28"/>
          <w:vertAlign w:val="superscript"/>
        </w:rPr>
        <w:footnoteReference w:id="462"/>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 xml:space="preserve">Por último, la votación secreta es aquella que no permite identificar la forma como vota el Congresista y se reserva a asuntos muy específicos </w:t>
      </w:r>
      <w:r w:rsidRPr="003E425B">
        <w:rPr>
          <w:rFonts w:ascii="Times New Roman" w:hAnsi="Times New Roman" w:cs="Times New Roman"/>
          <w:color w:val="000000" w:themeColor="text1"/>
          <w:sz w:val="28"/>
          <w:szCs w:val="28"/>
        </w:rPr>
        <w:t>expresamente autorizados por la ley.</w:t>
      </w:r>
      <w:r w:rsidRPr="003E425B">
        <w:rPr>
          <w:rFonts w:ascii="Times New Roman" w:hAnsi="Times New Roman" w:cs="Times New Roman"/>
          <w:color w:val="000000" w:themeColor="text1"/>
          <w:sz w:val="28"/>
          <w:szCs w:val="28"/>
          <w:vertAlign w:val="superscript"/>
        </w:rPr>
        <w:footnoteReference w:id="463"/>
      </w:r>
      <w:r w:rsidRPr="003E425B">
        <w:rPr>
          <w:rFonts w:ascii="Times New Roman" w:hAnsi="Times New Roman" w:cs="Times New Roman"/>
          <w:color w:val="000000" w:themeColor="text1"/>
          <w:sz w:val="28"/>
          <w:szCs w:val="28"/>
        </w:rPr>
        <w:t xml:space="preserve"> El tipo de votación ordinaria solo se habilita conforme a las causales taxativas que establece el artículo 129 de la Ley 5ª de 1991, siendo una de ellas cuando hay unanimidad por parte de los congresistas, a menos que </w:t>
      </w:r>
      <w:r w:rsidRPr="003E425B">
        <w:rPr>
          <w:rFonts w:ascii="Times New Roman" w:hAnsi="Times New Roman" w:cs="Times New Roman"/>
          <w:color w:val="000000" w:themeColor="text1"/>
          <w:sz w:val="28"/>
          <w:szCs w:val="28"/>
        </w:rPr>
        <w:t>la forma de votación nominal sea solicitada por alguno de sus miembros.</w:t>
      </w:r>
    </w:p>
    <w:p w:rsidR="00AD4EB5" w:rsidRPr="003E425B" w:rsidRDefault="003E425B" w:rsidP="00980B54">
      <w:pPr>
        <w:jc w:val="both"/>
        <w:rPr>
          <w:rFonts w:ascii="Times New Roman" w:hAnsi="Times New Roman" w:cs="Times New Roman"/>
          <w:sz w:val="28"/>
          <w:szCs w:val="28"/>
          <w:lang w:val="es-ES"/>
        </w:rPr>
      </w:pPr>
    </w:p>
    <w:p w:rsidR="00980B54" w:rsidRPr="003E425B" w:rsidRDefault="003E425B" w:rsidP="00980B54">
      <w:pPr>
        <w:jc w:val="both"/>
        <w:rPr>
          <w:rFonts w:ascii="Times New Roman" w:hAnsi="Times New Roman" w:cs="Times New Roman"/>
          <w:sz w:val="28"/>
          <w:szCs w:val="28"/>
          <w:lang w:val="es-ES"/>
        </w:rPr>
      </w:pPr>
      <w:r w:rsidRPr="003E425B">
        <w:rPr>
          <w:rFonts w:ascii="Times New Roman" w:hAnsi="Times New Roman" w:cs="Times New Roman"/>
          <w:sz w:val="28"/>
          <w:szCs w:val="28"/>
          <w:lang w:val="es-ES"/>
        </w:rPr>
        <w:t>De acuerdo con el artículo 133 de la Constitución, por regla general el voto de los miembros del Congreso será nominal y pública “</w:t>
      </w:r>
      <w:r w:rsidRPr="003E425B">
        <w:rPr>
          <w:rFonts w:ascii="Times New Roman" w:hAnsi="Times New Roman" w:cs="Times New Roman"/>
          <w:i/>
          <w:iCs/>
          <w:sz w:val="28"/>
          <w:szCs w:val="28"/>
          <w:lang w:val="es-ES"/>
        </w:rPr>
        <w:t xml:space="preserve">excepto los casos que determine la ley”. </w:t>
      </w:r>
      <w:r w:rsidRPr="003E425B">
        <w:rPr>
          <w:rFonts w:ascii="Times New Roman" w:hAnsi="Times New Roman" w:cs="Times New Roman"/>
          <w:sz w:val="28"/>
          <w:szCs w:val="28"/>
          <w:lang w:val="es-ES"/>
        </w:rPr>
        <w:t>En este marc</w:t>
      </w:r>
      <w:r w:rsidRPr="003E425B">
        <w:rPr>
          <w:rFonts w:ascii="Times New Roman" w:hAnsi="Times New Roman" w:cs="Times New Roman"/>
          <w:sz w:val="28"/>
          <w:szCs w:val="28"/>
          <w:lang w:val="es-ES"/>
        </w:rPr>
        <w:t>o, la Corte ha entendido que “</w:t>
      </w:r>
      <w:r w:rsidRPr="003E425B">
        <w:rPr>
          <w:rFonts w:ascii="Times New Roman" w:hAnsi="Times New Roman" w:cs="Times New Roman"/>
          <w:i/>
          <w:iCs/>
          <w:sz w:val="28"/>
          <w:szCs w:val="28"/>
          <w:lang w:val="es-ES"/>
        </w:rPr>
        <w:t>la votación nominal y pública “constituye una garantía de publicidad y transparencia del trámite”, de modo que las excepciones previstas por el legislador “deben leerse de manera taxativa e interpretarse restringidamente”.</w:t>
      </w:r>
      <w:r w:rsidRPr="003E425B">
        <w:rPr>
          <w:rFonts w:ascii="Times New Roman" w:hAnsi="Times New Roman" w:cs="Times New Roman"/>
          <w:sz w:val="28"/>
          <w:szCs w:val="28"/>
          <w:vertAlign w:val="superscript"/>
          <w:lang w:val="es-ES"/>
        </w:rPr>
        <w:footnoteReference w:id="464"/>
      </w:r>
      <w:r w:rsidRPr="003E425B">
        <w:rPr>
          <w:rFonts w:ascii="Times New Roman" w:hAnsi="Times New Roman" w:cs="Times New Roman"/>
          <w:sz w:val="28"/>
          <w:szCs w:val="28"/>
          <w:lang w:val="es-ES"/>
        </w:rPr>
        <w:t xml:space="preserve"> So</w:t>
      </w:r>
      <w:r w:rsidRPr="003E425B">
        <w:rPr>
          <w:rFonts w:ascii="Times New Roman" w:hAnsi="Times New Roman" w:cs="Times New Roman"/>
          <w:sz w:val="28"/>
          <w:szCs w:val="28"/>
          <w:lang w:val="es-ES"/>
        </w:rPr>
        <w:t>bre todo en aras de garantía el principio de supremacía constitucional, así como la interpretación de los regímenes exceptivos que han sido determinados en la Constitución.</w:t>
      </w:r>
      <w:r w:rsidRPr="003E425B">
        <w:rPr>
          <w:rFonts w:ascii="Times New Roman" w:hAnsi="Times New Roman" w:cs="Times New Roman"/>
          <w:sz w:val="28"/>
          <w:szCs w:val="28"/>
          <w:vertAlign w:val="superscript"/>
          <w:lang w:val="es-ES"/>
        </w:rPr>
        <w:footnoteReference w:id="465"/>
      </w:r>
      <w:r w:rsidRPr="003E425B">
        <w:rPr>
          <w:rFonts w:ascii="Times New Roman" w:hAnsi="Times New Roman" w:cs="Times New Roman"/>
          <w:sz w:val="28"/>
          <w:szCs w:val="28"/>
          <w:lang w:val="es-ES"/>
        </w:rPr>
        <w:t xml:space="preserve"> Lo anterior quiere decir que las excepciones que determina la ley orgánica deben l</w:t>
      </w:r>
      <w:r w:rsidRPr="003E425B">
        <w:rPr>
          <w:rFonts w:ascii="Times New Roman" w:hAnsi="Times New Roman" w:cs="Times New Roman"/>
          <w:sz w:val="28"/>
          <w:szCs w:val="28"/>
          <w:lang w:val="es-ES"/>
        </w:rPr>
        <w:t xml:space="preserve">eerse de manera restrictiva, y el análisis de verificación que al respecto realice el juez constitucional en el ejercicio del control abstracto deberá ser riguroso. </w:t>
      </w:r>
    </w:p>
    <w:p w:rsidR="00980B54" w:rsidRPr="003E425B" w:rsidRDefault="003E425B" w:rsidP="00980B54">
      <w:pPr>
        <w:jc w:val="both"/>
        <w:rPr>
          <w:rFonts w:ascii="Times New Roman" w:hAnsi="Times New Roman" w:cs="Times New Roman"/>
          <w:sz w:val="28"/>
          <w:szCs w:val="28"/>
          <w:lang w:val="es-ES"/>
        </w:rPr>
      </w:pPr>
    </w:p>
    <w:p w:rsidR="00980B54" w:rsidRPr="003E425B" w:rsidRDefault="003E425B" w:rsidP="00980B54">
      <w:pPr>
        <w:jc w:val="both"/>
        <w:rPr>
          <w:rFonts w:ascii="Times New Roman" w:hAnsi="Times New Roman" w:cs="Times New Roman"/>
          <w:sz w:val="28"/>
          <w:szCs w:val="28"/>
          <w:lang w:val="es-ES"/>
        </w:rPr>
      </w:pPr>
      <w:r w:rsidRPr="003E425B">
        <w:rPr>
          <w:rFonts w:ascii="Times New Roman" w:hAnsi="Times New Roman" w:cs="Times New Roman"/>
          <w:sz w:val="28"/>
          <w:szCs w:val="28"/>
          <w:lang w:val="es-ES"/>
        </w:rPr>
        <w:t xml:space="preserve">Para el caso concreto, la Sala Plena se refirió como causal que habilitó en su momento a </w:t>
      </w:r>
      <w:r w:rsidRPr="003E425B">
        <w:rPr>
          <w:rFonts w:ascii="Times New Roman" w:hAnsi="Times New Roman" w:cs="Times New Roman"/>
          <w:sz w:val="28"/>
          <w:szCs w:val="28"/>
          <w:lang w:val="es-ES"/>
        </w:rPr>
        <w:t xml:space="preserve">la Comisión a adelantar una votación ordinaria el numeral 16 del artículo 129 de la </w:t>
      </w:r>
      <w:r w:rsidRPr="003E425B">
        <w:rPr>
          <w:rFonts w:ascii="Times New Roman" w:hAnsi="Times New Roman" w:cs="Times New Roman"/>
          <w:sz w:val="28"/>
          <w:szCs w:val="28"/>
          <w:lang w:val="es-ES"/>
        </w:rPr>
        <w:t xml:space="preserve">Ley 5ª </w:t>
      </w:r>
      <w:r w:rsidRPr="003E425B">
        <w:rPr>
          <w:rFonts w:ascii="Times New Roman" w:hAnsi="Times New Roman" w:cs="Times New Roman"/>
          <w:sz w:val="28"/>
          <w:szCs w:val="28"/>
          <w:lang w:val="es-ES"/>
        </w:rPr>
        <w:t>de 1992, orgánica del Congreso de la República, el cual establece:</w:t>
      </w:r>
    </w:p>
    <w:p w:rsidR="00980B54" w:rsidRPr="003E425B" w:rsidRDefault="003E425B" w:rsidP="00980B54">
      <w:pPr>
        <w:jc w:val="both"/>
        <w:rPr>
          <w:rFonts w:ascii="Times New Roman" w:hAnsi="Times New Roman" w:cs="Times New Roman"/>
          <w:sz w:val="28"/>
          <w:szCs w:val="28"/>
          <w:lang w:val="es-ES"/>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“ARTÍCULO 129. VOTACIÓN ORDINARIA. &lt;Artículo modificado por el artículo 1 de la Ley 1431 de 2011.</w:t>
      </w:r>
      <w:r w:rsidRPr="003E425B">
        <w:rPr>
          <w:rFonts w:ascii="Times New Roman" w:hAnsi="Times New Roman" w:cs="Times New Roman"/>
          <w:i/>
          <w:iCs/>
          <w:sz w:val="28"/>
        </w:rPr>
        <w:t xml:space="preserve"> El nuevo texto es el siguiente:&gt; Se utilizará para los casos señalados en este artículo y se efectúa dando los Congresistas, con la mano, un golpe sobre el pupitre. El Secretario informará sobre el resultado de la votación, y si no se pidiere en el acto l</w:t>
      </w:r>
      <w:r w:rsidRPr="003E425B">
        <w:rPr>
          <w:rFonts w:ascii="Times New Roman" w:hAnsi="Times New Roman" w:cs="Times New Roman"/>
          <w:i/>
          <w:iCs/>
          <w:sz w:val="28"/>
        </w:rPr>
        <w:t>a verificación, se tendrá por exacto el informe.</w:t>
      </w:r>
    </w:p>
    <w:p w:rsidR="00980B54" w:rsidRPr="003E425B" w:rsidRDefault="003E425B" w:rsidP="00980B54">
      <w:pPr>
        <w:ind w:left="284" w:right="333"/>
        <w:jc w:val="both"/>
        <w:rPr>
          <w:rFonts w:ascii="Times New Roman" w:hAnsi="Times New Roman" w:cs="Times New Roman"/>
          <w:i/>
          <w:iCs/>
          <w:sz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Si se pidiere la verificación por algún Senador o Representante, para dicho efecto podrá emplearse cualquier procedimiento electrónico que acredite el sentido del voto de cada Congresista y el resultado tot</w:t>
      </w:r>
      <w:r w:rsidRPr="003E425B">
        <w:rPr>
          <w:rFonts w:ascii="Times New Roman" w:hAnsi="Times New Roman" w:cs="Times New Roman"/>
          <w:i/>
          <w:iCs/>
          <w:sz w:val="28"/>
        </w:rPr>
        <w:t>al de la votación, lo cual se publicará íntegramente en el acta de la sesión.</w:t>
      </w:r>
    </w:p>
    <w:p w:rsidR="00980B54" w:rsidRPr="003E425B" w:rsidRDefault="003E425B" w:rsidP="00980B54">
      <w:pPr>
        <w:ind w:left="284" w:right="333"/>
        <w:jc w:val="both"/>
        <w:rPr>
          <w:rFonts w:ascii="Times New Roman" w:hAnsi="Times New Roman" w:cs="Times New Roman"/>
          <w:i/>
          <w:iCs/>
          <w:sz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 xml:space="preserve">Teniendo en cuenta el principio de celeridad de los procedimientos, de que trata el artículo 3o de este reglamento, se establecen las siguientes excepciones al voto nominal y </w:t>
      </w:r>
      <w:r w:rsidRPr="003E425B">
        <w:rPr>
          <w:rFonts w:ascii="Times New Roman" w:hAnsi="Times New Roman" w:cs="Times New Roman"/>
          <w:i/>
          <w:iCs/>
          <w:sz w:val="28"/>
        </w:rPr>
        <w:t>público de los congresistas, según facultad otorgada en el artículo 133 de la Constitución Política, tal como fue modificado por el artículo 5o del Acto Legislativo 1 de 2009 y cuyas decisiones se podrán adoptar por el modo de votación ordinaria antes desc</w:t>
      </w:r>
      <w:r w:rsidRPr="003E425B">
        <w:rPr>
          <w:rFonts w:ascii="Times New Roman" w:hAnsi="Times New Roman" w:cs="Times New Roman"/>
          <w:i/>
          <w:iCs/>
          <w:sz w:val="28"/>
        </w:rPr>
        <w:t>rito:</w:t>
      </w:r>
    </w:p>
    <w:p w:rsidR="00980B54" w:rsidRPr="003E425B" w:rsidRDefault="003E425B" w:rsidP="00980B54">
      <w:pPr>
        <w:ind w:left="284" w:right="333"/>
        <w:jc w:val="both"/>
        <w:rPr>
          <w:rFonts w:ascii="Times New Roman" w:hAnsi="Times New Roman" w:cs="Times New Roman"/>
          <w:i/>
          <w:iCs/>
          <w:sz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w:t>
      </w:r>
    </w:p>
    <w:p w:rsidR="00980B54" w:rsidRPr="003E425B" w:rsidRDefault="003E425B" w:rsidP="00980B54">
      <w:pPr>
        <w:ind w:left="284" w:right="333"/>
        <w:jc w:val="both"/>
        <w:rPr>
          <w:rFonts w:ascii="Times New Roman" w:hAnsi="Times New Roman" w:cs="Times New Roman"/>
          <w:i/>
          <w:iCs/>
          <w:sz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16. Tampoco se requerirá votación nominal y pública cuando en el trámite de un proyecto de ley exista unanimidad por parte de la respectiva comisión o plenaria para aprobar o negar todo o parte del articulado de un proyecto, a menos que esa for</w:t>
      </w:r>
      <w:r w:rsidRPr="003E425B">
        <w:rPr>
          <w:rFonts w:ascii="Times New Roman" w:hAnsi="Times New Roman" w:cs="Times New Roman"/>
          <w:i/>
          <w:iCs/>
          <w:sz w:val="28"/>
        </w:rPr>
        <w:t>ma de votación sea solicitada por alguno de sus miembros. Si la unanimidad no abarca la totalidad del articulado se someterán a votación nominal y pública las diferentes proposiciones sobre los artículos respecto de los cuales existan discrepancias.”</w:t>
      </w:r>
    </w:p>
    <w:p w:rsidR="00980B54" w:rsidRPr="003E425B" w:rsidRDefault="003E425B" w:rsidP="00980B54">
      <w:pPr>
        <w:jc w:val="both"/>
        <w:rPr>
          <w:rFonts w:ascii="Times New Roman" w:hAnsi="Times New Roman" w:cs="Times New Roman"/>
          <w:sz w:val="28"/>
          <w:szCs w:val="28"/>
        </w:rPr>
      </w:pPr>
    </w:p>
    <w:p w:rsidR="00980B54" w:rsidRPr="003E425B" w:rsidRDefault="003E425B" w:rsidP="00980B54">
      <w:pPr>
        <w:jc w:val="both"/>
        <w:rPr>
          <w:rFonts w:ascii="Times New Roman" w:hAnsi="Times New Roman" w:cs="Times New Roman"/>
          <w:sz w:val="28"/>
          <w:szCs w:val="28"/>
        </w:rPr>
      </w:pPr>
      <w:r w:rsidRPr="003E425B">
        <w:rPr>
          <w:rFonts w:ascii="Times New Roman" w:hAnsi="Times New Roman" w:cs="Times New Roman"/>
          <w:sz w:val="28"/>
          <w:szCs w:val="28"/>
        </w:rPr>
        <w:t>Como</w:t>
      </w:r>
      <w:r w:rsidRPr="003E425B">
        <w:rPr>
          <w:rFonts w:ascii="Times New Roman" w:hAnsi="Times New Roman" w:cs="Times New Roman"/>
          <w:sz w:val="28"/>
          <w:szCs w:val="28"/>
        </w:rPr>
        <w:t xml:space="preserve"> lo prevé la norma, la votación ordinaria tiene como fundamento la garantía del principio de celeridad de los procedimientos legislativos, pero resulta excepcional en línea con el artículo 133 de la Constitución, por cuanto el proceso democrático debe apun</w:t>
      </w:r>
      <w:r w:rsidRPr="003E425B">
        <w:rPr>
          <w:rFonts w:ascii="Times New Roman" w:hAnsi="Times New Roman" w:cs="Times New Roman"/>
          <w:sz w:val="28"/>
          <w:szCs w:val="28"/>
        </w:rPr>
        <w:t>tar a garantizar la publicidad y transparencia que se deriva de la votación nominal y pública.</w:t>
      </w:r>
    </w:p>
    <w:p w:rsidR="00980B54" w:rsidRPr="003E425B" w:rsidRDefault="003E425B" w:rsidP="00980B54">
      <w:pPr>
        <w:jc w:val="both"/>
        <w:rPr>
          <w:rFonts w:ascii="Times New Roman" w:hAnsi="Times New Roman" w:cs="Times New Roman"/>
          <w:sz w:val="28"/>
          <w:szCs w:val="28"/>
        </w:rPr>
      </w:pPr>
    </w:p>
    <w:p w:rsidR="00980B54" w:rsidRPr="003E425B" w:rsidRDefault="003E425B" w:rsidP="00980B54">
      <w:pPr>
        <w:jc w:val="both"/>
        <w:rPr>
          <w:rFonts w:ascii="Times New Roman" w:hAnsi="Times New Roman" w:cs="Times New Roman"/>
          <w:sz w:val="28"/>
          <w:szCs w:val="28"/>
        </w:rPr>
      </w:pPr>
      <w:r w:rsidRPr="003E425B">
        <w:rPr>
          <w:rFonts w:ascii="Times New Roman" w:hAnsi="Times New Roman" w:cs="Times New Roman"/>
          <w:sz w:val="28"/>
          <w:szCs w:val="28"/>
        </w:rPr>
        <w:t>En la Sentencia C-337 de 2015, la Corte Constitucional destacó que “</w:t>
      </w:r>
      <w:r w:rsidRPr="003E425B">
        <w:rPr>
          <w:rFonts w:ascii="Times New Roman" w:hAnsi="Times New Roman" w:cs="Times New Roman"/>
          <w:i/>
          <w:iCs/>
          <w:sz w:val="28"/>
          <w:szCs w:val="28"/>
        </w:rPr>
        <w:t>siempre que se acuda a la unanimidad como forma de votación ordinaria para aprobar una inici</w:t>
      </w:r>
      <w:r w:rsidRPr="003E425B">
        <w:rPr>
          <w:rFonts w:ascii="Times New Roman" w:hAnsi="Times New Roman" w:cs="Times New Roman"/>
          <w:i/>
          <w:iCs/>
          <w:sz w:val="28"/>
          <w:szCs w:val="28"/>
        </w:rPr>
        <w:t>ativa legislativa, es imperativo que se pueda acreditar, de manera clara y suficiente, que tal votación fue unánime y no simplemente aprobatoria, ello con el fin de constatar si el proyecto de ley ha contado o no con el quórum decisorio requerido y con las</w:t>
      </w:r>
      <w:r w:rsidRPr="003E425B">
        <w:rPr>
          <w:rFonts w:ascii="Times New Roman" w:hAnsi="Times New Roman" w:cs="Times New Roman"/>
          <w:i/>
          <w:iCs/>
          <w:sz w:val="28"/>
          <w:szCs w:val="28"/>
        </w:rPr>
        <w:t xml:space="preserve"> mayorías constitucionales exigidas para ser ley de la República.</w:t>
      </w:r>
      <w:r w:rsidRPr="003E425B">
        <w:rPr>
          <w:rFonts w:ascii="Times New Roman" w:hAnsi="Times New Roman" w:cs="Times New Roman"/>
          <w:sz w:val="28"/>
          <w:szCs w:val="28"/>
        </w:rPr>
        <w:t>” Con base en ello, esta providencia reiteró los parámetros que había señalado en el Auto 175 de 2015 para determinar de manera razonable cuándo existe unanimidad, sin vulnerar la excepcional</w:t>
      </w:r>
      <w:r w:rsidRPr="003E425B">
        <w:rPr>
          <w:rFonts w:ascii="Times New Roman" w:hAnsi="Times New Roman" w:cs="Times New Roman"/>
          <w:sz w:val="28"/>
          <w:szCs w:val="28"/>
        </w:rPr>
        <w:t>idad de la votación ordinaria, a saber:</w:t>
      </w:r>
    </w:p>
    <w:p w:rsidR="00980B54" w:rsidRPr="003E425B" w:rsidRDefault="003E425B" w:rsidP="00980B54">
      <w:pPr>
        <w:jc w:val="both"/>
        <w:rPr>
          <w:rFonts w:ascii="Times New Roman" w:hAnsi="Times New Roman" w:cs="Times New Roman"/>
          <w:sz w:val="28"/>
          <w:szCs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“en primer lugar precisó que (i) la Corte Constitucional como órgano encargado de hacer el control de constitucionalidad, no puede dar por sentada la existencia de la unanimidad sin una “evidencia razonable” que así</w:t>
      </w:r>
      <w:r w:rsidRPr="003E425B">
        <w:rPr>
          <w:rFonts w:ascii="Times New Roman" w:hAnsi="Times New Roman" w:cs="Times New Roman"/>
          <w:i/>
          <w:iCs/>
          <w:sz w:val="28"/>
        </w:rPr>
        <w:t xml:space="preserve"> lo indique; y que, (ii) el asumir una “suerte de presunción de unanimidad” para ejercer tal control, conlleva en la práctica a dejar sin efectos el mandato constitucional de votación nominal, el cual opera como regla general.</w:t>
      </w:r>
    </w:p>
    <w:p w:rsidR="00980B54" w:rsidRPr="003E425B" w:rsidRDefault="003E425B" w:rsidP="00980B54">
      <w:pPr>
        <w:ind w:left="284" w:right="333"/>
        <w:jc w:val="both"/>
        <w:rPr>
          <w:rFonts w:ascii="Times New Roman" w:hAnsi="Times New Roman" w:cs="Times New Roman"/>
          <w:i/>
          <w:iCs/>
          <w:sz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i/>
          <w:iCs/>
          <w:sz w:val="28"/>
        </w:rPr>
        <w:t>En segundo lugar, recogió y</w:t>
      </w:r>
      <w:r w:rsidRPr="003E425B">
        <w:rPr>
          <w:rFonts w:ascii="Times New Roman" w:hAnsi="Times New Roman" w:cs="Times New Roman"/>
          <w:i/>
          <w:iCs/>
          <w:sz w:val="28"/>
        </w:rPr>
        <w:t xml:space="preserve"> sistematizó unos indicadores que permiten inferir la existencia de unanimidad. Estos se evidencian (i) “cuando al declarar el resultado de la votación se deja constancia expresa e inequívoca de la aprobación unánime, ya sea en el acta de sesión o en algun</w:t>
      </w:r>
      <w:r w:rsidRPr="003E425B">
        <w:rPr>
          <w:rFonts w:ascii="Times New Roman" w:hAnsi="Times New Roman" w:cs="Times New Roman"/>
          <w:i/>
          <w:iCs/>
          <w:sz w:val="28"/>
        </w:rPr>
        <w:t>o de los demás medios probatorios que registra lo ocurrido durante la votación”; y, (ii) “cuando en el curso de los debates se dan manifestaciones indicativas de unanimidad, lo que ocurre, por ejemplo, cuando los informes de ponencia hayan sido favorables,</w:t>
      </w:r>
      <w:r w:rsidRPr="003E425B">
        <w:rPr>
          <w:rFonts w:ascii="Times New Roman" w:hAnsi="Times New Roman" w:cs="Times New Roman"/>
          <w:i/>
          <w:iCs/>
          <w:sz w:val="28"/>
        </w:rPr>
        <w:t xml:space="preserve"> se aprueba omitir la lectura del articulado, ninguno de los integrantes de la plenaria o comisión solicita la votación nominal y pública y, en general, cuando no se registran posiciones contrarias a la aprobación del proyecto”. Y también señaló que tales </w:t>
      </w:r>
      <w:r w:rsidRPr="003E425B">
        <w:rPr>
          <w:rFonts w:ascii="Times New Roman" w:hAnsi="Times New Roman" w:cs="Times New Roman"/>
          <w:i/>
          <w:iCs/>
          <w:sz w:val="28"/>
        </w:rPr>
        <w:t>indicadores se desvirtúan cuando se presentan manifestaciones expresas de oposición al proyecto, cuando alguno o varios de los congresistas solicitan que la votación se realice acudiendo a la regla general de votación nominal y pública, o cuando alguno o v</w:t>
      </w:r>
      <w:r w:rsidRPr="003E425B">
        <w:rPr>
          <w:rFonts w:ascii="Times New Roman" w:hAnsi="Times New Roman" w:cs="Times New Roman"/>
          <w:i/>
          <w:iCs/>
          <w:sz w:val="28"/>
        </w:rPr>
        <w:t>arios de los parlamentarios dejan constancia de voto negativo frente al debate estructural de la iniciativa legislativa.</w:t>
      </w:r>
    </w:p>
    <w:p w:rsidR="00980B54" w:rsidRPr="003E425B" w:rsidRDefault="003E425B" w:rsidP="00980B54">
      <w:pPr>
        <w:ind w:left="284" w:right="333"/>
        <w:jc w:val="both"/>
        <w:rPr>
          <w:rFonts w:ascii="Times New Roman" w:hAnsi="Times New Roman" w:cs="Times New Roman"/>
          <w:i/>
          <w:iCs/>
          <w:sz w:val="28"/>
        </w:rPr>
      </w:pPr>
    </w:p>
    <w:p w:rsidR="00980B54" w:rsidRPr="003E425B" w:rsidRDefault="003E425B" w:rsidP="00980B54">
      <w:pPr>
        <w:ind w:left="284" w:right="333"/>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i/>
          <w:iCs/>
          <w:sz w:val="28"/>
        </w:rPr>
        <w:t>Sin embargo, enfatizó en que aún en los supuestos en los que existe una evidencia razonable de unanimidad, siempre, en todos los caso</w:t>
      </w:r>
      <w:r w:rsidRPr="003E425B">
        <w:rPr>
          <w:rFonts w:ascii="Times New Roman" w:hAnsi="Times New Roman" w:cs="Times New Roman"/>
          <w:i/>
          <w:iCs/>
          <w:sz w:val="28"/>
        </w:rPr>
        <w:t>s, resulta indispensable que de las actas de sesión y certificaciones se pueda establecer de manera inequívoca el número de votos con el que fue aprobado un proyecto de ley, por cuanto esa información es trascendental para acreditar el cumplimiento a los r</w:t>
      </w:r>
      <w:r w:rsidRPr="003E425B">
        <w:rPr>
          <w:rFonts w:ascii="Times New Roman" w:hAnsi="Times New Roman" w:cs="Times New Roman"/>
          <w:i/>
          <w:iCs/>
          <w:sz w:val="28"/>
        </w:rPr>
        <w:t>equisitos constitucionales de quórum decisorio y mayorías, es decir, en esos medios de prueba se debe precisar el número de parlamentarios que estaban presentes al momento de abrir el registro de votación y el resultado de la votación con el cual fue aprob</w:t>
      </w:r>
      <w:r w:rsidRPr="003E425B">
        <w:rPr>
          <w:rFonts w:ascii="Times New Roman" w:hAnsi="Times New Roman" w:cs="Times New Roman"/>
          <w:i/>
          <w:iCs/>
          <w:sz w:val="28"/>
        </w:rPr>
        <w:t>ado el proyecto de ley.”</w:t>
      </w:r>
    </w:p>
    <w:p w:rsidR="00980B54" w:rsidRPr="003E425B" w:rsidRDefault="003E425B" w:rsidP="00980B54">
      <w:pPr>
        <w:jc w:val="both"/>
        <w:rPr>
          <w:rFonts w:ascii="Times New Roman" w:hAnsi="Times New Roman" w:cs="Times New Roman"/>
          <w:sz w:val="28"/>
          <w:szCs w:val="28"/>
        </w:rPr>
      </w:pPr>
    </w:p>
    <w:p w:rsidR="00980B54" w:rsidRPr="003E425B" w:rsidRDefault="003E425B" w:rsidP="00980B54">
      <w:pPr>
        <w:jc w:val="both"/>
        <w:rPr>
          <w:rFonts w:ascii="Times New Roman" w:hAnsi="Times New Roman" w:cs="Times New Roman"/>
          <w:i/>
          <w:iCs/>
          <w:sz w:val="28"/>
          <w:szCs w:val="28"/>
        </w:rPr>
      </w:pPr>
      <w:r w:rsidRPr="003E425B">
        <w:rPr>
          <w:rFonts w:ascii="Times New Roman" w:hAnsi="Times New Roman" w:cs="Times New Roman"/>
          <w:sz w:val="28"/>
          <w:szCs w:val="28"/>
        </w:rPr>
        <w:t>Con fundamento en estos elementos, me aparto de las consideraciones realizadas por la Sala Plena en este punto. Si bien es cierto que a Corte en la Sentencia C-047 de 2017 explicó que puede realizarse la votación ordinaria “</w:t>
      </w:r>
      <w:r w:rsidRPr="003E425B">
        <w:rPr>
          <w:rFonts w:ascii="Times New Roman" w:hAnsi="Times New Roman" w:cs="Times New Roman"/>
          <w:i/>
          <w:iCs/>
          <w:sz w:val="28"/>
          <w:szCs w:val="28"/>
        </w:rPr>
        <w:t xml:space="preserve">si al </w:t>
      </w:r>
      <w:r w:rsidRPr="003E425B">
        <w:rPr>
          <w:rFonts w:ascii="Times New Roman" w:hAnsi="Times New Roman" w:cs="Times New Roman"/>
          <w:i/>
          <w:iCs/>
          <w:sz w:val="28"/>
          <w:szCs w:val="28"/>
        </w:rPr>
        <w:t>momento de llevarse a cabo la votación del mismo en determinada célula legislativa, existe acuerdo entre todos los parlamentarios presentes para dar o no trámite a la iniciativa, al igual que aprobar o hundir el proyecto sometido a su consideración</w:t>
      </w:r>
      <w:r w:rsidRPr="003E425B">
        <w:rPr>
          <w:rFonts w:ascii="Times New Roman" w:hAnsi="Times New Roman" w:cs="Times New Roman"/>
          <w:sz w:val="28"/>
          <w:szCs w:val="28"/>
        </w:rPr>
        <w:t>”. No ob</w:t>
      </w:r>
      <w:r w:rsidRPr="003E425B">
        <w:rPr>
          <w:rFonts w:ascii="Times New Roman" w:hAnsi="Times New Roman" w:cs="Times New Roman"/>
          <w:sz w:val="28"/>
          <w:szCs w:val="28"/>
        </w:rPr>
        <w:t xml:space="preserve">stante, la Corte en esta oportunidad desconoció la lectura restrictiva que debe realizarse de esta forma de votación, la cual es excepcional de acuerdo con la Constitución, así como que en esa misma Sentencia C-047 de 2017, esta Corporación destacó que en </w:t>
      </w:r>
      <w:r w:rsidRPr="003E425B">
        <w:rPr>
          <w:rFonts w:ascii="Times New Roman" w:hAnsi="Times New Roman" w:cs="Times New Roman"/>
          <w:sz w:val="28"/>
          <w:szCs w:val="28"/>
        </w:rPr>
        <w:t>esa eventualidad, “</w:t>
      </w:r>
      <w:r w:rsidRPr="003E425B">
        <w:rPr>
          <w:rFonts w:ascii="Times New Roman" w:hAnsi="Times New Roman" w:cs="Times New Roman"/>
          <w:i/>
          <w:iCs/>
          <w:sz w:val="28"/>
          <w:szCs w:val="28"/>
        </w:rPr>
        <w:t>resulta indispensable que tanto las actas de sesión, como las certificaciones que emitan los secretarios de las comisiones y plenarias, señalen con claridad, certeza y precisión el número de congresistas presentes en el recinto al moment</w:t>
      </w:r>
      <w:r w:rsidRPr="003E425B">
        <w:rPr>
          <w:rFonts w:ascii="Times New Roman" w:hAnsi="Times New Roman" w:cs="Times New Roman"/>
          <w:i/>
          <w:iCs/>
          <w:sz w:val="28"/>
          <w:szCs w:val="28"/>
        </w:rPr>
        <w:t>o de realizarse la votación ordinaria y el número de votos emitidos para tener por aprobada la iniciativa legislativa, toda vez que ante la variación del quórum en el transcurso de una sesión como práctica parlamentaria, esos datos permiten inferir razonab</w:t>
      </w:r>
      <w:r w:rsidRPr="003E425B">
        <w:rPr>
          <w:rFonts w:ascii="Times New Roman" w:hAnsi="Times New Roman" w:cs="Times New Roman"/>
          <w:i/>
          <w:iCs/>
          <w:sz w:val="28"/>
          <w:szCs w:val="28"/>
        </w:rPr>
        <w:t>lemente el cumplimiento de las exigencias de quórum decisorio y de mayorías que la Carta Política impone para que un proyecto se convierta en ley de la República.</w:t>
      </w:r>
      <w:r w:rsidRPr="003E425B">
        <w:rPr>
          <w:rFonts w:ascii="Times New Roman" w:hAnsi="Times New Roman" w:cs="Times New Roman"/>
          <w:i/>
          <w:iCs/>
          <w:sz w:val="28"/>
          <w:szCs w:val="28"/>
        </w:rPr>
        <w:t>”</w:t>
      </w:r>
      <w:r w:rsidRPr="003E425B">
        <w:rPr>
          <w:rFonts w:ascii="Times New Roman" w:hAnsi="Times New Roman" w:cs="Times New Roman"/>
          <w:i/>
          <w:iCs/>
          <w:sz w:val="28"/>
          <w:szCs w:val="28"/>
          <w:vertAlign w:val="superscript"/>
        </w:rPr>
        <w:footnoteReference w:id="466"/>
      </w:r>
    </w:p>
    <w:p w:rsidR="00980B54" w:rsidRPr="003E425B" w:rsidRDefault="003E425B" w:rsidP="00980B54">
      <w:pPr>
        <w:jc w:val="both"/>
        <w:rPr>
          <w:rFonts w:ascii="Times New Roman" w:hAnsi="Times New Roman" w:cs="Times New Roman"/>
          <w:i/>
          <w:iCs/>
          <w:sz w:val="28"/>
          <w:szCs w:val="28"/>
        </w:rPr>
      </w:pPr>
    </w:p>
    <w:p w:rsidR="00980B54" w:rsidRPr="003E425B" w:rsidRDefault="003E425B" w:rsidP="00980B54">
      <w:pPr>
        <w:jc w:val="both"/>
        <w:rPr>
          <w:rFonts w:ascii="Times New Roman" w:hAnsi="Times New Roman" w:cs="Times New Roman"/>
          <w:sz w:val="28"/>
          <w:szCs w:val="28"/>
        </w:rPr>
      </w:pPr>
      <w:r w:rsidRPr="003E425B">
        <w:rPr>
          <w:rFonts w:ascii="Times New Roman" w:hAnsi="Times New Roman" w:cs="Times New Roman"/>
          <w:sz w:val="28"/>
          <w:szCs w:val="28"/>
        </w:rPr>
        <w:t>Bajo este estándar, el Acta Conjunta número 3 del 24 de noviembre de 2022, publicada en la</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Gaceta del Congreso 96 de 27 de febrero de 2023</w:t>
      </w:r>
      <w:r w:rsidRPr="003E425B">
        <w:rPr>
          <w:rFonts w:ascii="Times New Roman" w:hAnsi="Times New Roman" w:cs="Times New Roman"/>
          <w:sz w:val="28"/>
          <w:szCs w:val="28"/>
        </w:rPr>
        <w:t>, no es un indicio razonable para demostrar la unanimidad. Por el contrario, el acta únicamente indica que “[l]</w:t>
      </w:r>
      <w:r w:rsidRPr="003E425B">
        <w:rPr>
          <w:rFonts w:ascii="Times New Roman" w:hAnsi="Times New Roman" w:cs="Times New Roman"/>
          <w:i/>
          <w:iCs/>
          <w:sz w:val="28"/>
          <w:szCs w:val="28"/>
        </w:rPr>
        <w:t>a Presidencia cierra la discusión de la proposición positiva con que termina el informe de ponenc</w:t>
      </w:r>
      <w:r w:rsidRPr="003E425B">
        <w:rPr>
          <w:rFonts w:ascii="Times New Roman" w:hAnsi="Times New Roman" w:cs="Times New Roman"/>
          <w:i/>
          <w:iCs/>
          <w:sz w:val="28"/>
          <w:szCs w:val="28"/>
        </w:rPr>
        <w:t xml:space="preserve">ia.” </w:t>
      </w:r>
      <w:r w:rsidRPr="003E425B">
        <w:rPr>
          <w:rFonts w:ascii="Times New Roman" w:hAnsi="Times New Roman" w:cs="Times New Roman"/>
          <w:sz w:val="28"/>
          <w:szCs w:val="28"/>
        </w:rPr>
        <w:t>Inmediatamente refiere:</w:t>
      </w:r>
    </w:p>
    <w:p w:rsidR="00980B54" w:rsidRPr="003E425B" w:rsidRDefault="003E425B" w:rsidP="00980B54">
      <w:pPr>
        <w:jc w:val="both"/>
        <w:rPr>
          <w:rFonts w:ascii="Times New Roman" w:hAnsi="Times New Roman" w:cs="Times New Roman"/>
          <w:sz w:val="28"/>
          <w:szCs w:val="28"/>
        </w:rPr>
      </w:pPr>
    </w:p>
    <w:p w:rsidR="00980B54" w:rsidRPr="003E425B" w:rsidRDefault="003E425B" w:rsidP="00980B54">
      <w:pPr>
        <w:ind w:left="426" w:right="333"/>
        <w:jc w:val="both"/>
        <w:rPr>
          <w:rFonts w:ascii="Times New Roman" w:hAnsi="Times New Roman" w:cs="Times New Roman"/>
          <w:i/>
          <w:iCs/>
          <w:sz w:val="28"/>
        </w:rPr>
      </w:pPr>
      <w:r w:rsidRPr="003E425B">
        <w:rPr>
          <w:rFonts w:ascii="Times New Roman" w:hAnsi="Times New Roman" w:cs="Times New Roman"/>
          <w:sz w:val="28"/>
        </w:rPr>
        <w:t>“</w:t>
      </w:r>
      <w:r w:rsidRPr="003E425B">
        <w:rPr>
          <w:rFonts w:ascii="Times New Roman" w:hAnsi="Times New Roman" w:cs="Times New Roman"/>
          <w:i/>
          <w:iCs/>
          <w:sz w:val="28"/>
        </w:rPr>
        <w:t>La Presidencia pregunta los miembros de la Comisión Primera de Cámara si aprueba la proposición positiva con que termina el informe de ponencia mayoritaria. // La Secretaria de la Comisión Primera de Cámara informa que ha sid</w:t>
      </w:r>
      <w:r w:rsidRPr="003E425B">
        <w:rPr>
          <w:rFonts w:ascii="Times New Roman" w:hAnsi="Times New Roman" w:cs="Times New Roman"/>
          <w:i/>
          <w:iCs/>
          <w:sz w:val="28"/>
        </w:rPr>
        <w:t>o aprobada por unanimidad. // La Presidencia pregunta a los miembros de la Comisión Primera de Senado si aprueba la proposición positiva con que termina el informe de ponencia mayoritaria. // La Secretaria de la Comisión Primera de Senado informa que ha si</w:t>
      </w:r>
      <w:r w:rsidRPr="003E425B">
        <w:rPr>
          <w:rFonts w:ascii="Times New Roman" w:hAnsi="Times New Roman" w:cs="Times New Roman"/>
          <w:i/>
          <w:iCs/>
          <w:sz w:val="28"/>
        </w:rPr>
        <w:t>do aprobado por unanimidad con registro del quorum decisorio de conformidad a la última votación.”</w:t>
      </w:r>
      <w:r w:rsidRPr="003E425B">
        <w:rPr>
          <w:rFonts w:ascii="Times New Roman" w:hAnsi="Times New Roman" w:cs="Times New Roman"/>
          <w:i/>
          <w:iCs/>
          <w:sz w:val="28"/>
          <w:vertAlign w:val="superscript"/>
        </w:rPr>
        <w:footnoteReference w:id="467"/>
      </w:r>
    </w:p>
    <w:p w:rsidR="00980B54" w:rsidRPr="003E425B" w:rsidRDefault="003E425B" w:rsidP="00980B54">
      <w:pPr>
        <w:ind w:right="333"/>
        <w:jc w:val="both"/>
        <w:rPr>
          <w:rFonts w:ascii="Times New Roman" w:hAnsi="Times New Roman" w:cs="Times New Roman"/>
          <w:i/>
          <w:iCs/>
          <w:sz w:val="28"/>
        </w:rPr>
      </w:pPr>
    </w:p>
    <w:p w:rsidR="00980B54" w:rsidRPr="003E425B" w:rsidRDefault="003E425B" w:rsidP="00980B54">
      <w:pPr>
        <w:ind w:right="49"/>
        <w:jc w:val="both"/>
        <w:rPr>
          <w:rFonts w:ascii="Times New Roman" w:hAnsi="Times New Roman" w:cs="Times New Roman"/>
          <w:sz w:val="28"/>
          <w:szCs w:val="28"/>
        </w:rPr>
      </w:pPr>
      <w:r w:rsidRPr="003E425B">
        <w:rPr>
          <w:rFonts w:ascii="Times New Roman" w:hAnsi="Times New Roman" w:cs="Times New Roman"/>
          <w:sz w:val="28"/>
          <w:szCs w:val="28"/>
        </w:rPr>
        <w:t xml:space="preserve">No obstante, lo cierto es que contrario a lo que ha exigido la jurisprudencia, la Sala Plena tuvo por acreditadas las exigencias de la votación ordinaria, si el acta no señala con claridad, certeza y precisión </w:t>
      </w:r>
      <w:r w:rsidRPr="003E425B">
        <w:rPr>
          <w:rFonts w:ascii="Times New Roman" w:hAnsi="Times New Roman" w:cs="Times New Roman"/>
          <w:i/>
          <w:iCs/>
          <w:sz w:val="28"/>
          <w:szCs w:val="28"/>
        </w:rPr>
        <w:t>el número de congresistas presentes en el reci</w:t>
      </w:r>
      <w:r w:rsidRPr="003E425B">
        <w:rPr>
          <w:rFonts w:ascii="Times New Roman" w:hAnsi="Times New Roman" w:cs="Times New Roman"/>
          <w:i/>
          <w:iCs/>
          <w:sz w:val="28"/>
          <w:szCs w:val="28"/>
        </w:rPr>
        <w:t>nto al momento de realizarse la votación ordinaria y el número de votos emitidos para tener por aprobada la iniciativa legislativa</w:t>
      </w:r>
      <w:r w:rsidRPr="003E425B">
        <w:rPr>
          <w:rFonts w:ascii="Times New Roman" w:hAnsi="Times New Roman" w:cs="Times New Roman"/>
          <w:i/>
          <w:iCs/>
          <w:sz w:val="28"/>
          <w:szCs w:val="28"/>
        </w:rPr>
        <w:t>.</w:t>
      </w:r>
      <w:r w:rsidRPr="003E425B">
        <w:rPr>
          <w:rFonts w:ascii="Times New Roman" w:hAnsi="Times New Roman" w:cs="Times New Roman"/>
          <w:sz w:val="28"/>
          <w:szCs w:val="28"/>
        </w:rPr>
        <w:t xml:space="preserve"> Por el contrario, como se citó, el acta deja una constancia general que no cumple con estos estándares de la jurisprudencia.</w:t>
      </w:r>
    </w:p>
    <w:p w:rsidR="00980B54" w:rsidRPr="003E425B" w:rsidRDefault="003E425B" w:rsidP="00980B54">
      <w:pPr>
        <w:ind w:right="49"/>
        <w:jc w:val="both"/>
        <w:rPr>
          <w:rFonts w:ascii="Times New Roman" w:hAnsi="Times New Roman" w:cs="Times New Roman"/>
          <w:sz w:val="28"/>
          <w:szCs w:val="28"/>
        </w:rPr>
      </w:pPr>
    </w:p>
    <w:p w:rsidR="00980B54" w:rsidRPr="003E425B" w:rsidRDefault="003E425B" w:rsidP="00980B54">
      <w:pPr>
        <w:ind w:right="49"/>
        <w:jc w:val="both"/>
        <w:rPr>
          <w:rFonts w:ascii="Times New Roman" w:hAnsi="Times New Roman" w:cs="Times New Roman"/>
          <w:sz w:val="28"/>
          <w:szCs w:val="28"/>
        </w:rPr>
      </w:pPr>
      <w:r w:rsidRPr="003E425B">
        <w:rPr>
          <w:rFonts w:ascii="Times New Roman" w:hAnsi="Times New Roman" w:cs="Times New Roman"/>
          <w:sz w:val="28"/>
          <w:szCs w:val="28"/>
        </w:rPr>
        <w:t>Este tipo de constancias no se subsanan con indicios como los mencionados por la sentencia objeto de reproche, como que “</w:t>
      </w:r>
      <w:r w:rsidRPr="003E425B">
        <w:rPr>
          <w:rFonts w:ascii="Times New Roman" w:hAnsi="Times New Roman" w:cs="Times New Roman"/>
          <w:i/>
          <w:iCs/>
          <w:sz w:val="28"/>
          <w:szCs w:val="28"/>
        </w:rPr>
        <w:t>i) al momento de la votación ordinaria, ninguno de los senadores presentes expresó voto negativo y (ii) </w:t>
      </w:r>
      <w:r w:rsidRPr="003E425B">
        <w:rPr>
          <w:rFonts w:ascii="Times New Roman" w:hAnsi="Times New Roman" w:cs="Times New Roman"/>
          <w:i/>
          <w:iCs/>
          <w:sz w:val="28"/>
          <w:szCs w:val="28"/>
          <w:lang w:val="es-ES_tradnl"/>
        </w:rPr>
        <w:t>la votación nominal y pública</w:t>
      </w:r>
      <w:r w:rsidRPr="003E425B">
        <w:rPr>
          <w:rFonts w:ascii="Times New Roman" w:hAnsi="Times New Roman" w:cs="Times New Roman"/>
          <w:i/>
          <w:iCs/>
          <w:sz w:val="28"/>
          <w:szCs w:val="28"/>
          <w:lang w:val="es-ES_tradnl"/>
        </w:rPr>
        <w:t xml:space="preserve"> de las proposiciones de archivo, que se efectuó al inicio de la sesión, fue unánime</w:t>
      </w:r>
      <w:r w:rsidRPr="003E425B">
        <w:rPr>
          <w:rFonts w:ascii="Times New Roman" w:hAnsi="Times New Roman" w:cs="Times New Roman"/>
          <w:i/>
          <w:iCs/>
          <w:sz w:val="28"/>
          <w:szCs w:val="28"/>
        </w:rPr>
        <w:t>.</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68"/>
      </w:r>
      <w:r w:rsidRPr="003E425B">
        <w:rPr>
          <w:rFonts w:ascii="Times New Roman" w:hAnsi="Times New Roman" w:cs="Times New Roman"/>
          <w:sz w:val="28"/>
          <w:szCs w:val="28"/>
        </w:rPr>
        <w:t xml:space="preserve"> Sobre todo la segunda cuando se refiere a una votación nominal y pública de la proposición de archivo realizada previamente, ya que ello desconoce </w:t>
      </w:r>
      <w:r w:rsidRPr="003E425B">
        <w:rPr>
          <w:rFonts w:ascii="Times New Roman" w:hAnsi="Times New Roman" w:cs="Times New Roman"/>
          <w:sz w:val="28"/>
          <w:szCs w:val="28"/>
        </w:rPr>
        <w:t>la variación del quór</w:t>
      </w:r>
      <w:r w:rsidRPr="003E425B">
        <w:rPr>
          <w:rFonts w:ascii="Times New Roman" w:hAnsi="Times New Roman" w:cs="Times New Roman"/>
          <w:sz w:val="28"/>
          <w:szCs w:val="28"/>
        </w:rPr>
        <w:t xml:space="preserve">um en el transcurso de una sesión como práctica </w:t>
      </w:r>
      <w:r w:rsidRPr="003E425B">
        <w:rPr>
          <w:rFonts w:ascii="Times New Roman" w:hAnsi="Times New Roman" w:cs="Times New Roman"/>
          <w:sz w:val="28"/>
          <w:szCs w:val="28"/>
        </w:rPr>
        <w:t>de trámite congresarial. Tanto así, que resultaría un indicio totalmente contrario a la conclusión de la Sala Plena, el hecho que las proposiciones de modificación votadas inmediatamente después de la proposi</w:t>
      </w:r>
      <w:r w:rsidRPr="003E425B">
        <w:rPr>
          <w:rFonts w:ascii="Times New Roman" w:hAnsi="Times New Roman" w:cs="Times New Roman"/>
          <w:sz w:val="28"/>
          <w:szCs w:val="28"/>
        </w:rPr>
        <w:t>ción positiva</w:t>
      </w:r>
      <w:r w:rsidRPr="003E425B">
        <w:rPr>
          <w:rFonts w:ascii="Times New Roman" w:hAnsi="Times New Roman" w:cs="Times New Roman"/>
          <w:sz w:val="28"/>
          <w:szCs w:val="28"/>
        </w:rPr>
        <w:t xml:space="preserve"> (específicamente 9 minutos después)</w:t>
      </w:r>
      <w:r w:rsidRPr="003E425B">
        <w:rPr>
          <w:rFonts w:ascii="Times New Roman" w:hAnsi="Times New Roman" w:cs="Times New Roman"/>
          <w:sz w:val="28"/>
          <w:szCs w:val="28"/>
        </w:rPr>
        <w:t>, no alcanzó el quorum decisorio en la votación nominal y pública que se adelantó.</w:t>
      </w:r>
      <w:r w:rsidRPr="003E425B">
        <w:rPr>
          <w:rFonts w:ascii="Times New Roman" w:hAnsi="Times New Roman" w:cs="Times New Roman"/>
          <w:sz w:val="28"/>
          <w:szCs w:val="28"/>
          <w:vertAlign w:val="superscript"/>
        </w:rPr>
        <w:footnoteReference w:id="469"/>
      </w:r>
    </w:p>
    <w:p w:rsidR="00FD67EE" w:rsidRPr="003E425B" w:rsidRDefault="003E425B" w:rsidP="00980B54">
      <w:pPr>
        <w:ind w:right="49"/>
        <w:jc w:val="both"/>
        <w:rPr>
          <w:rFonts w:ascii="Times New Roman" w:hAnsi="Times New Roman" w:cs="Times New Roman"/>
          <w:sz w:val="28"/>
          <w:szCs w:val="28"/>
        </w:rPr>
      </w:pPr>
    </w:p>
    <w:p w:rsidR="00FD67EE" w:rsidRPr="003E425B" w:rsidRDefault="003E425B" w:rsidP="00980B54">
      <w:pPr>
        <w:ind w:right="49"/>
        <w:jc w:val="both"/>
        <w:rPr>
          <w:rFonts w:ascii="Times New Roman" w:hAnsi="Times New Roman" w:cs="Times New Roman"/>
          <w:sz w:val="28"/>
          <w:szCs w:val="28"/>
        </w:rPr>
      </w:pPr>
      <w:r w:rsidRPr="003E425B">
        <w:rPr>
          <w:rFonts w:ascii="Times New Roman" w:hAnsi="Times New Roman" w:cs="Times New Roman"/>
          <w:sz w:val="28"/>
          <w:szCs w:val="28"/>
        </w:rPr>
        <w:t>Cabe igual destacar que esta conclusión de la Sala Plena resulta contradictoria con el segundo argumento</w:t>
      </w:r>
      <w:r w:rsidRPr="003E425B">
        <w:rPr>
          <w:rFonts w:ascii="Times New Roman" w:hAnsi="Times New Roman" w:cs="Times New Roman"/>
          <w:sz w:val="28"/>
          <w:szCs w:val="28"/>
        </w:rPr>
        <w:t xml:space="preserve"> relativo a que no</w:t>
      </w:r>
      <w:r w:rsidRPr="003E425B">
        <w:rPr>
          <w:rFonts w:ascii="Times New Roman" w:hAnsi="Times New Roman" w:cs="Times New Roman"/>
          <w:sz w:val="28"/>
          <w:szCs w:val="28"/>
        </w:rPr>
        <w:t xml:space="preserve"> fue posible determinar del acta si en efecto se acreditó el quorum y las mayorías.</w:t>
      </w:r>
    </w:p>
    <w:p w:rsidR="00980B54" w:rsidRPr="003E425B" w:rsidRDefault="003E425B" w:rsidP="00980B54">
      <w:pPr>
        <w:ind w:right="49"/>
        <w:jc w:val="both"/>
        <w:rPr>
          <w:rFonts w:ascii="Times New Roman" w:hAnsi="Times New Roman" w:cs="Times New Roman"/>
          <w:sz w:val="28"/>
          <w:szCs w:val="28"/>
        </w:rPr>
      </w:pPr>
    </w:p>
    <w:p w:rsidR="00980B54" w:rsidRPr="003E425B" w:rsidRDefault="003E425B" w:rsidP="00980B54">
      <w:pPr>
        <w:ind w:right="49"/>
        <w:jc w:val="both"/>
        <w:rPr>
          <w:rFonts w:ascii="Times New Roman" w:hAnsi="Times New Roman" w:cs="Times New Roman"/>
          <w:sz w:val="28"/>
          <w:szCs w:val="28"/>
        </w:rPr>
      </w:pPr>
      <w:r w:rsidRPr="003E425B">
        <w:rPr>
          <w:rFonts w:ascii="Times New Roman" w:hAnsi="Times New Roman" w:cs="Times New Roman"/>
          <w:sz w:val="28"/>
          <w:szCs w:val="28"/>
        </w:rPr>
        <w:t xml:space="preserve">Con esto, respetuosamente, considero que la Sala Plena no examinó </w:t>
      </w:r>
      <w:r w:rsidRPr="003E425B">
        <w:rPr>
          <w:rFonts w:ascii="Times New Roman" w:hAnsi="Times New Roman" w:cs="Times New Roman"/>
          <w:sz w:val="28"/>
          <w:szCs w:val="28"/>
        </w:rPr>
        <w:t xml:space="preserve">de fondo </w:t>
      </w:r>
      <w:r w:rsidRPr="003E425B">
        <w:rPr>
          <w:rFonts w:ascii="Times New Roman" w:hAnsi="Times New Roman" w:cs="Times New Roman"/>
          <w:sz w:val="28"/>
          <w:szCs w:val="28"/>
        </w:rPr>
        <w:t xml:space="preserve">la excepcionalidad de la votación nominal, así como que desconoció indicios que generaban dudas </w:t>
      </w:r>
      <w:r w:rsidRPr="003E425B">
        <w:rPr>
          <w:rFonts w:ascii="Times New Roman" w:hAnsi="Times New Roman" w:cs="Times New Roman"/>
          <w:sz w:val="28"/>
          <w:szCs w:val="28"/>
        </w:rPr>
        <w:t xml:space="preserve">claras y serias sobre la acreditación de la </w:t>
      </w:r>
      <w:r w:rsidRPr="003E425B">
        <w:rPr>
          <w:rFonts w:ascii="Times New Roman" w:hAnsi="Times New Roman" w:cs="Times New Roman"/>
          <w:i/>
          <w:iCs/>
          <w:sz w:val="28"/>
          <w:szCs w:val="28"/>
        </w:rPr>
        <w:t xml:space="preserve">unanimidad </w:t>
      </w:r>
      <w:r w:rsidRPr="003E425B">
        <w:rPr>
          <w:rFonts w:ascii="Times New Roman" w:hAnsi="Times New Roman" w:cs="Times New Roman"/>
          <w:sz w:val="28"/>
          <w:szCs w:val="28"/>
        </w:rPr>
        <w:t xml:space="preserve">de los presentes en línea con el numeral 16 del artículo 129 de la </w:t>
      </w:r>
      <w:r w:rsidRPr="003E425B">
        <w:rPr>
          <w:rFonts w:ascii="Times New Roman" w:hAnsi="Times New Roman" w:cs="Times New Roman"/>
          <w:sz w:val="28"/>
          <w:szCs w:val="28"/>
        </w:rPr>
        <w:t>Ley 5ª</w:t>
      </w:r>
      <w:r w:rsidRPr="003E425B">
        <w:rPr>
          <w:rFonts w:ascii="Times New Roman" w:hAnsi="Times New Roman" w:cs="Times New Roman"/>
          <w:sz w:val="28"/>
          <w:szCs w:val="28"/>
        </w:rPr>
        <w:t xml:space="preserve">de 1992. Por el contrario, al haberse anunciado en el debate que había disenso sobre el asunto, y que podrían presentarse dudas </w:t>
      </w:r>
      <w:r w:rsidRPr="003E425B">
        <w:rPr>
          <w:rFonts w:ascii="Times New Roman" w:hAnsi="Times New Roman" w:cs="Times New Roman"/>
          <w:sz w:val="28"/>
          <w:szCs w:val="28"/>
        </w:rPr>
        <w:t>sobre el quorum decisorio, más cuando en la votación nominal y pública realizada posteriormente no se acreditó el quorum decisorio de la Comisión Primera del Senado de la República, eran elementos para considerar que no se estaba en el supuesto de realizar</w:t>
      </w:r>
      <w:r w:rsidRPr="003E425B">
        <w:rPr>
          <w:rFonts w:ascii="Times New Roman" w:hAnsi="Times New Roman" w:cs="Times New Roman"/>
          <w:sz w:val="28"/>
          <w:szCs w:val="28"/>
        </w:rPr>
        <w:t xml:space="preserve"> una votación ordinaria. </w:t>
      </w:r>
      <w:r w:rsidRPr="003E425B">
        <w:rPr>
          <w:rFonts w:ascii="Times New Roman" w:hAnsi="Times New Roman" w:cs="Times New Roman"/>
          <w:sz w:val="28"/>
          <w:szCs w:val="28"/>
        </w:rPr>
        <w:t>Por esto, al haberse realizado una votación ordinaria, el trámite incurrió en un vicio</w:t>
      </w:r>
      <w:r w:rsidRPr="003E425B">
        <w:rPr>
          <w:rFonts w:ascii="Times New Roman" w:hAnsi="Times New Roman" w:cs="Times New Roman"/>
          <w:sz w:val="28"/>
          <w:szCs w:val="28"/>
        </w:rPr>
        <w:t xml:space="preserve"> que afectó el artículo 133 de la Constitución Política. </w:t>
      </w:r>
    </w:p>
    <w:p w:rsidR="00980B54" w:rsidRPr="003E425B" w:rsidRDefault="003E425B" w:rsidP="626521E1">
      <w:pPr>
        <w:jc w:val="both"/>
        <w:rPr>
          <w:rFonts w:ascii="Times New Roman" w:hAnsi="Times New Roman" w:cs="Times New Roman"/>
          <w:sz w:val="28"/>
          <w:szCs w:val="28"/>
        </w:rPr>
      </w:pPr>
    </w:p>
    <w:p w:rsidR="00DF3D9E" w:rsidRPr="003E425B" w:rsidRDefault="003E425B" w:rsidP="008D58CE">
      <w:pPr>
        <w:jc w:val="both"/>
        <w:rPr>
          <w:rFonts w:ascii="Times New Roman" w:hAnsi="Times New Roman" w:cs="Times New Roman"/>
          <w:sz w:val="28"/>
          <w:szCs w:val="28"/>
        </w:rPr>
      </w:pPr>
      <w:r w:rsidRPr="003E425B">
        <w:rPr>
          <w:rFonts w:ascii="Times New Roman" w:hAnsi="Times New Roman" w:cs="Times New Roman"/>
          <w:i/>
          <w:iCs/>
          <w:sz w:val="28"/>
          <w:szCs w:val="28"/>
          <w:lang w:val="es"/>
        </w:rPr>
        <w:t>Segundo argumento de la Sentencia C-161 de 2024</w:t>
      </w:r>
      <w:r w:rsidRPr="003E425B">
        <w:rPr>
          <w:rFonts w:ascii="Times New Roman" w:hAnsi="Times New Roman" w:cs="Times New Roman"/>
          <w:i/>
          <w:iCs/>
          <w:sz w:val="28"/>
          <w:szCs w:val="28"/>
          <w:lang w:val="es"/>
        </w:rPr>
        <w:t xml:space="preserve"> sobre el primer cargo</w:t>
      </w:r>
      <w:r w:rsidRPr="003E425B">
        <w:rPr>
          <w:rFonts w:ascii="Times New Roman" w:hAnsi="Times New Roman" w:cs="Times New Roman"/>
          <w:i/>
          <w:iCs/>
          <w:sz w:val="28"/>
          <w:szCs w:val="28"/>
          <w:lang w:val="es"/>
        </w:rPr>
        <w:t>.</w:t>
      </w:r>
      <w:r w:rsidRPr="003E425B">
        <w:rPr>
          <w:rFonts w:ascii="Times New Roman" w:hAnsi="Times New Roman" w:cs="Times New Roman"/>
          <w:i/>
          <w:iCs/>
          <w:sz w:val="28"/>
          <w:szCs w:val="28"/>
          <w:lang w:val="es"/>
        </w:rPr>
        <w:t xml:space="preserve"> </w:t>
      </w:r>
      <w:r w:rsidRPr="003E425B">
        <w:rPr>
          <w:rFonts w:ascii="Times New Roman" w:hAnsi="Times New Roman" w:cs="Times New Roman"/>
          <w:sz w:val="28"/>
          <w:szCs w:val="28"/>
          <w:lang w:val="es"/>
        </w:rPr>
        <w:t xml:space="preserve">Segundo, la </w:t>
      </w:r>
      <w:r w:rsidRPr="003E425B">
        <w:rPr>
          <w:rFonts w:ascii="Times New Roman" w:hAnsi="Times New Roman" w:cs="Times New Roman"/>
          <w:sz w:val="28"/>
          <w:szCs w:val="28"/>
          <w:lang w:val="es"/>
        </w:rPr>
        <w:t>Corte consideró que las pruebas aportadas</w:t>
      </w:r>
      <w:r w:rsidRPr="003E425B">
        <w:rPr>
          <w:rFonts w:ascii="Times New Roman" w:hAnsi="Times New Roman" w:cs="Times New Roman"/>
          <w:sz w:val="28"/>
          <w:szCs w:val="28"/>
          <w:lang w:val="es"/>
        </w:rPr>
        <w:t xml:space="preserve"> por los accionantes </w:t>
      </w:r>
      <w:r w:rsidRPr="003E425B">
        <w:rPr>
          <w:rFonts w:ascii="Times New Roman" w:hAnsi="Times New Roman" w:cs="Times New Roman"/>
          <w:sz w:val="28"/>
          <w:szCs w:val="28"/>
          <w:lang w:val="es"/>
        </w:rPr>
        <w:t>eran in</w:t>
      </w:r>
      <w:r w:rsidRPr="003E425B">
        <w:rPr>
          <w:rFonts w:ascii="Times New Roman" w:hAnsi="Times New Roman" w:cs="Times New Roman"/>
          <w:sz w:val="28"/>
          <w:szCs w:val="28"/>
          <w:lang w:val="es"/>
        </w:rPr>
        <w:t>suficientes para concluir que no había quorum decisorio al momento de aprobar la proposición positiva</w:t>
      </w:r>
      <w:r w:rsidRPr="003E425B">
        <w:rPr>
          <w:rFonts w:ascii="Times New Roman" w:hAnsi="Times New Roman" w:cs="Times New Roman"/>
          <w:sz w:val="28"/>
          <w:szCs w:val="28"/>
          <w:lang w:val="es"/>
        </w:rPr>
        <w:t>, por lo que no demuestran con certeza el número de senadores presentes cuando se adel</w:t>
      </w:r>
      <w:r w:rsidRPr="003E425B">
        <w:rPr>
          <w:rFonts w:ascii="Times New Roman" w:hAnsi="Times New Roman" w:cs="Times New Roman"/>
          <w:sz w:val="28"/>
          <w:szCs w:val="28"/>
          <w:lang w:val="es"/>
        </w:rPr>
        <w:t>antó la votación ordinaria.</w:t>
      </w:r>
      <w:r w:rsidRPr="003E425B">
        <w:rPr>
          <w:rFonts w:ascii="Times New Roman" w:hAnsi="Times New Roman" w:cs="Times New Roman"/>
          <w:sz w:val="28"/>
          <w:szCs w:val="28"/>
        </w:rPr>
        <w:t xml:space="preserve"> </w:t>
      </w:r>
    </w:p>
    <w:p w:rsidR="00DF3D9E" w:rsidRPr="003E425B" w:rsidRDefault="003E425B" w:rsidP="008D58CE">
      <w:pPr>
        <w:jc w:val="both"/>
        <w:rPr>
          <w:rFonts w:ascii="Times New Roman" w:hAnsi="Times New Roman" w:cs="Times New Roman"/>
          <w:sz w:val="28"/>
          <w:szCs w:val="28"/>
        </w:rPr>
      </w:pPr>
    </w:p>
    <w:p w:rsidR="00B33DDD" w:rsidRPr="003E425B" w:rsidRDefault="003E425B" w:rsidP="008D58CE">
      <w:pPr>
        <w:jc w:val="both"/>
        <w:rPr>
          <w:rFonts w:ascii="Times New Roman" w:hAnsi="Times New Roman" w:cs="Times New Roman"/>
          <w:i/>
          <w:iCs/>
          <w:sz w:val="28"/>
          <w:szCs w:val="28"/>
        </w:rPr>
      </w:pPr>
      <w:r w:rsidRPr="003E425B">
        <w:rPr>
          <w:rFonts w:ascii="Times New Roman" w:hAnsi="Times New Roman" w:cs="Times New Roman"/>
          <w:sz w:val="28"/>
          <w:szCs w:val="28"/>
        </w:rPr>
        <w:t xml:space="preserve">Así </w:t>
      </w:r>
      <w:r w:rsidRPr="003E425B">
        <w:rPr>
          <w:rFonts w:ascii="Times New Roman" w:hAnsi="Times New Roman" w:cs="Times New Roman"/>
          <w:sz w:val="28"/>
          <w:szCs w:val="28"/>
        </w:rPr>
        <w:t>advirtió que aunque</w:t>
      </w:r>
      <w:r w:rsidRPr="003E425B">
        <w:rPr>
          <w:rFonts w:ascii="Times New Roman" w:hAnsi="Times New Roman" w:cs="Times New Roman"/>
          <w:sz w:val="28"/>
          <w:szCs w:val="28"/>
        </w:rPr>
        <w:t xml:space="preserve"> el Acta conjunta número 3 del 24 de noviembre de 2022 </w:t>
      </w:r>
      <w:r w:rsidRPr="003E425B">
        <w:rPr>
          <w:rFonts w:ascii="Times New Roman" w:hAnsi="Times New Roman" w:cs="Times New Roman"/>
          <w:sz w:val="28"/>
          <w:szCs w:val="28"/>
        </w:rPr>
        <w:t xml:space="preserve">se presume cierta, en tanto fue aprobada de acuerdo con las exigencias de la </w:t>
      </w:r>
      <w:r w:rsidRPr="003E425B">
        <w:rPr>
          <w:rFonts w:ascii="Times New Roman" w:hAnsi="Times New Roman" w:cs="Times New Roman"/>
          <w:sz w:val="28"/>
          <w:szCs w:val="28"/>
        </w:rPr>
        <w:t>Ley 5ª</w:t>
      </w:r>
      <w:r w:rsidRPr="003E425B">
        <w:rPr>
          <w:rFonts w:ascii="Times New Roman" w:hAnsi="Times New Roman" w:cs="Times New Roman"/>
          <w:sz w:val="28"/>
          <w:szCs w:val="28"/>
        </w:rPr>
        <w:t>de 1992</w:t>
      </w:r>
      <w:r w:rsidRPr="003E425B">
        <w:rPr>
          <w:rFonts w:ascii="Times New Roman" w:hAnsi="Times New Roman" w:cs="Times New Roman"/>
          <w:sz w:val="28"/>
          <w:szCs w:val="28"/>
        </w:rPr>
        <w:t xml:space="preserve"> sin ninguna constancia, advierte que la nota sobre la vot</w:t>
      </w:r>
      <w:r w:rsidRPr="003E425B">
        <w:rPr>
          <w:rFonts w:ascii="Times New Roman" w:hAnsi="Times New Roman" w:cs="Times New Roman"/>
          <w:sz w:val="28"/>
          <w:szCs w:val="28"/>
        </w:rPr>
        <w:t>ación “</w:t>
      </w:r>
      <w:r w:rsidRPr="003E425B">
        <w:rPr>
          <w:rFonts w:ascii="Times New Roman" w:hAnsi="Times New Roman" w:cs="Times New Roman"/>
          <w:i/>
          <w:iCs/>
          <w:sz w:val="28"/>
          <w:szCs w:val="28"/>
        </w:rPr>
        <w:t>no es precisa y no acredita con certeza que</w:t>
      </w:r>
      <w:r w:rsidRPr="003E425B">
        <w:rPr>
          <w:rFonts w:ascii="Times New Roman" w:hAnsi="Times New Roman" w:cs="Times New Roman"/>
          <w:i/>
          <w:iCs/>
          <w:sz w:val="28"/>
          <w:szCs w:val="28"/>
        </w:rPr>
        <w:t>, al momento exacto de la votación ordinaria, existía quorum decisorio y que el informe de ponencia se aprobó con la mayoría requerida.</w:t>
      </w:r>
      <w:r w:rsidRPr="003E425B">
        <w:rPr>
          <w:rFonts w:ascii="Times New Roman" w:hAnsi="Times New Roman" w:cs="Times New Roman"/>
          <w:i/>
          <w:iCs/>
          <w:sz w:val="28"/>
          <w:szCs w:val="28"/>
        </w:rPr>
        <w:t xml:space="preserve"> </w:t>
      </w:r>
      <w:r w:rsidRPr="003E425B">
        <w:rPr>
          <w:rFonts w:ascii="Times New Roman" w:hAnsi="Times New Roman" w:cs="Times New Roman"/>
          <w:i/>
          <w:iCs/>
          <w:sz w:val="28"/>
          <w:szCs w:val="28"/>
          <w:lang w:val="es-ES_tradnl"/>
        </w:rPr>
        <w:t>La Sala Plena reitera que, conforme a la jurisprudencia constitucional</w:t>
      </w:r>
      <w:r w:rsidRPr="003E425B">
        <w:rPr>
          <w:rFonts w:ascii="Times New Roman" w:hAnsi="Times New Roman" w:cs="Times New Roman"/>
          <w:i/>
          <w:iCs/>
          <w:sz w:val="28"/>
          <w:szCs w:val="28"/>
          <w:lang w:val="es-ES_tradnl"/>
        </w:rPr>
        <w:t>, </w:t>
      </w:r>
      <w:r w:rsidRPr="003E425B">
        <w:rPr>
          <w:rFonts w:ascii="Times New Roman" w:hAnsi="Times New Roman" w:cs="Times New Roman"/>
          <w:i/>
          <w:iCs/>
          <w:sz w:val="28"/>
          <w:szCs w:val="28"/>
        </w:rPr>
        <w:t>cuando las decisiones se adoptan de forma ordinaria, el acta debe indicar el número de congresistas presentes al </w:t>
      </w:r>
      <w:r w:rsidRPr="003E425B">
        <w:rPr>
          <w:rFonts w:ascii="Times New Roman" w:hAnsi="Times New Roman" w:cs="Times New Roman"/>
          <w:b/>
          <w:bCs/>
          <w:i/>
          <w:iCs/>
          <w:sz w:val="28"/>
          <w:szCs w:val="28"/>
          <w:u w:val="single"/>
        </w:rPr>
        <w:t>momento exacto</w:t>
      </w:r>
      <w:r w:rsidRPr="003E425B">
        <w:rPr>
          <w:rFonts w:ascii="Times New Roman" w:hAnsi="Times New Roman" w:cs="Times New Roman"/>
          <w:i/>
          <w:iCs/>
          <w:sz w:val="28"/>
          <w:szCs w:val="28"/>
        </w:rPr>
        <w:t xml:space="preserve"> en que se llevó a cabo la votación que aprobaron la decisión. El registro de las votaciones anteriores no constituye plena </w:t>
      </w:r>
      <w:r w:rsidRPr="003E425B">
        <w:rPr>
          <w:rFonts w:ascii="Times New Roman" w:hAnsi="Times New Roman" w:cs="Times New Roman"/>
          <w:i/>
          <w:iCs/>
          <w:sz w:val="28"/>
          <w:szCs w:val="28"/>
        </w:rPr>
        <w:t>prueba del quórum y mayorías decisorias. En este caso, sin embargo, el </w:t>
      </w:r>
      <w:r w:rsidRPr="003E425B">
        <w:rPr>
          <w:rFonts w:ascii="Times New Roman" w:hAnsi="Times New Roman" w:cs="Times New Roman"/>
          <w:i/>
          <w:iCs/>
          <w:sz w:val="28"/>
          <w:szCs w:val="28"/>
          <w:lang w:val="es-ES_tradnl"/>
        </w:rPr>
        <w:t>Acta Conjunta número 3 de 24 de noviembre de 2022, publicada en la Gaceta del Congreso 96 de 27 de febrero de 2023, </w:t>
      </w:r>
      <w:r w:rsidRPr="003E425B">
        <w:rPr>
          <w:rFonts w:ascii="Times New Roman" w:hAnsi="Times New Roman" w:cs="Times New Roman"/>
          <w:i/>
          <w:iCs/>
          <w:sz w:val="28"/>
          <w:szCs w:val="28"/>
        </w:rPr>
        <w:t>no indica el número de senadores presentes al momento en que se llevó</w:t>
      </w:r>
      <w:r w:rsidRPr="003E425B">
        <w:rPr>
          <w:rFonts w:ascii="Times New Roman" w:hAnsi="Times New Roman" w:cs="Times New Roman"/>
          <w:i/>
          <w:iCs/>
          <w:sz w:val="28"/>
          <w:szCs w:val="28"/>
        </w:rPr>
        <w:t xml:space="preserve"> a cabo la votación ordinaria. Por el contrario, remite al quórum decisorio y votos emitidos en la “última votación”.</w:t>
      </w:r>
      <w:r w:rsidRPr="003E425B">
        <w:rPr>
          <w:rFonts w:ascii="Times New Roman" w:hAnsi="Times New Roman" w:cs="Times New Roman"/>
          <w:i/>
          <w:iCs/>
          <w:sz w:val="28"/>
          <w:szCs w:val="28"/>
        </w:rPr>
        <w:t>”</w:t>
      </w:r>
      <w:r w:rsidRPr="003E425B">
        <w:rPr>
          <w:rFonts w:ascii="Times New Roman" w:hAnsi="Times New Roman" w:cs="Times New Roman"/>
          <w:i/>
          <w:iCs/>
          <w:sz w:val="28"/>
          <w:szCs w:val="28"/>
          <w:vertAlign w:val="superscript"/>
        </w:rPr>
        <w:footnoteReference w:id="470"/>
      </w:r>
      <w:r w:rsidRPr="003E425B">
        <w:rPr>
          <w:rFonts w:ascii="Times New Roman" w:hAnsi="Times New Roman" w:cs="Times New Roman"/>
          <w:i/>
          <w:iCs/>
          <w:sz w:val="28"/>
          <w:szCs w:val="28"/>
        </w:rPr>
        <w:t xml:space="preserve"> </w:t>
      </w:r>
    </w:p>
    <w:p w:rsidR="00DF3D9E" w:rsidRPr="003E425B" w:rsidRDefault="003E425B" w:rsidP="008D58CE">
      <w:pPr>
        <w:jc w:val="both"/>
        <w:rPr>
          <w:rFonts w:ascii="Times New Roman" w:hAnsi="Times New Roman" w:cs="Times New Roman"/>
          <w:i/>
          <w:iCs/>
          <w:sz w:val="28"/>
          <w:szCs w:val="28"/>
        </w:rPr>
      </w:pPr>
    </w:p>
    <w:p w:rsidR="00DF3D9E" w:rsidRPr="003E425B" w:rsidRDefault="003E425B" w:rsidP="008D58CE">
      <w:pPr>
        <w:jc w:val="both"/>
        <w:rPr>
          <w:rFonts w:ascii="Times New Roman" w:hAnsi="Times New Roman" w:cs="Times New Roman"/>
          <w:sz w:val="28"/>
          <w:szCs w:val="28"/>
        </w:rPr>
      </w:pPr>
      <w:r w:rsidRPr="003E425B">
        <w:rPr>
          <w:rFonts w:ascii="Times New Roman" w:hAnsi="Times New Roman" w:cs="Times New Roman"/>
          <w:sz w:val="28"/>
          <w:szCs w:val="28"/>
        </w:rPr>
        <w:t>De igual manera, descartó la posibilidad de demostrar el quorum con la certificación de la Secretaría de la Comisión Primera del Senad</w:t>
      </w:r>
      <w:r w:rsidRPr="003E425B">
        <w:rPr>
          <w:rFonts w:ascii="Times New Roman" w:hAnsi="Times New Roman" w:cs="Times New Roman"/>
          <w:sz w:val="28"/>
          <w:szCs w:val="28"/>
        </w:rPr>
        <w:t>o de la República en el marco de</w:t>
      </w:r>
      <w:r w:rsidRPr="003E425B">
        <w:rPr>
          <w:rFonts w:ascii="Times New Roman" w:hAnsi="Times New Roman" w:cs="Times New Roman"/>
          <w:sz w:val="28"/>
          <w:szCs w:val="28"/>
        </w:rPr>
        <w:t xml:space="preserve"> las pruebas solicitadas por la Corte, ante la falta de precisión y certeza, así como que se pudiese llegar a una determinación concluyente con ocasión del registro de asistentes y votaciones en el resto de la sesión</w:t>
      </w:r>
      <w:r w:rsidRPr="003E425B">
        <w:rPr>
          <w:rFonts w:ascii="Times New Roman" w:hAnsi="Times New Roman" w:cs="Times New Roman"/>
          <w:sz w:val="28"/>
          <w:szCs w:val="28"/>
        </w:rPr>
        <w:t>.</w:t>
      </w:r>
    </w:p>
    <w:p w:rsidR="00ED3FDA" w:rsidRPr="003E425B" w:rsidRDefault="003E425B" w:rsidP="008D58CE">
      <w:pPr>
        <w:jc w:val="both"/>
        <w:rPr>
          <w:rFonts w:ascii="Times New Roman" w:hAnsi="Times New Roman" w:cs="Times New Roman"/>
          <w:sz w:val="28"/>
          <w:szCs w:val="28"/>
        </w:rPr>
      </w:pPr>
    </w:p>
    <w:p w:rsidR="00ED3FDA" w:rsidRPr="003E425B" w:rsidRDefault="003E425B" w:rsidP="008D58CE">
      <w:pPr>
        <w:jc w:val="both"/>
        <w:rPr>
          <w:rFonts w:ascii="Times New Roman" w:hAnsi="Times New Roman" w:cs="Times New Roman"/>
          <w:sz w:val="28"/>
          <w:szCs w:val="28"/>
        </w:rPr>
      </w:pPr>
      <w:r w:rsidRPr="003E425B">
        <w:rPr>
          <w:rFonts w:ascii="Times New Roman" w:hAnsi="Times New Roman" w:cs="Times New Roman"/>
          <w:sz w:val="28"/>
          <w:szCs w:val="28"/>
        </w:rPr>
        <w:t xml:space="preserve">A su </w:t>
      </w:r>
      <w:r w:rsidRPr="003E425B">
        <w:rPr>
          <w:rFonts w:ascii="Times New Roman" w:hAnsi="Times New Roman" w:cs="Times New Roman"/>
          <w:sz w:val="28"/>
          <w:szCs w:val="28"/>
        </w:rPr>
        <w:t xml:space="preserve">vez, en torno a los registros fílmicos y fotográficos de la sesión, la Sala destacó que: </w:t>
      </w:r>
    </w:p>
    <w:p w:rsidR="00ED3FDA" w:rsidRPr="003E425B" w:rsidRDefault="003E425B" w:rsidP="008D58CE">
      <w:pPr>
        <w:jc w:val="both"/>
        <w:rPr>
          <w:rFonts w:ascii="Times New Roman" w:hAnsi="Times New Roman" w:cs="Times New Roman"/>
          <w:sz w:val="28"/>
          <w:szCs w:val="28"/>
        </w:rPr>
      </w:pPr>
    </w:p>
    <w:p w:rsidR="007653D3" w:rsidRPr="003E425B" w:rsidRDefault="003E425B" w:rsidP="007653D3">
      <w:pPr>
        <w:ind w:left="284" w:right="332"/>
        <w:jc w:val="both"/>
        <w:rPr>
          <w:rFonts w:ascii="Times New Roman" w:hAnsi="Times New Roman" w:cs="Times New Roman"/>
          <w:i/>
          <w:iCs/>
          <w:sz w:val="28"/>
        </w:rPr>
      </w:pPr>
      <w:r w:rsidRPr="003E425B">
        <w:rPr>
          <w:rFonts w:ascii="Times New Roman" w:hAnsi="Times New Roman" w:cs="Times New Roman"/>
          <w:sz w:val="28"/>
        </w:rPr>
        <w:t>“</w:t>
      </w:r>
      <w:r w:rsidRPr="003E425B">
        <w:rPr>
          <w:rFonts w:ascii="Times New Roman" w:hAnsi="Times New Roman" w:cs="Times New Roman"/>
          <w:i/>
          <w:iCs/>
          <w:sz w:val="28"/>
        </w:rPr>
        <w:t>98.1. Las imágenes son borrosas, están pixeladas, y algunas están en blanco y negro, lo que imposibilita identificar a las personas presentes al momento de la votac</w:t>
      </w:r>
      <w:r w:rsidRPr="003E425B">
        <w:rPr>
          <w:rFonts w:ascii="Times New Roman" w:hAnsi="Times New Roman" w:cs="Times New Roman"/>
          <w:i/>
          <w:iCs/>
          <w:sz w:val="28"/>
        </w:rPr>
        <w:t>ión ordinaria y determinar si son senadores integrantes de la Comisión Primera.</w:t>
      </w:r>
    </w:p>
    <w:p w:rsidR="007653D3" w:rsidRPr="003E425B" w:rsidRDefault="003E425B" w:rsidP="007653D3">
      <w:pPr>
        <w:ind w:left="284" w:right="332"/>
        <w:jc w:val="both"/>
        <w:rPr>
          <w:rFonts w:ascii="Times New Roman" w:hAnsi="Times New Roman" w:cs="Times New Roman"/>
          <w:i/>
          <w:iCs/>
          <w:sz w:val="28"/>
        </w:rPr>
      </w:pPr>
    </w:p>
    <w:p w:rsidR="007653D3" w:rsidRPr="003E425B" w:rsidRDefault="003E425B" w:rsidP="007653D3">
      <w:pPr>
        <w:ind w:left="284" w:right="332"/>
        <w:jc w:val="both"/>
        <w:rPr>
          <w:rFonts w:ascii="Times New Roman" w:hAnsi="Times New Roman" w:cs="Times New Roman"/>
          <w:i/>
          <w:iCs/>
          <w:sz w:val="28"/>
        </w:rPr>
      </w:pPr>
      <w:r w:rsidRPr="003E425B">
        <w:rPr>
          <w:rFonts w:ascii="Times New Roman" w:hAnsi="Times New Roman" w:cs="Times New Roman"/>
          <w:i/>
          <w:iCs/>
          <w:sz w:val="28"/>
        </w:rPr>
        <w:t xml:space="preserve">“98.2. No existe ningún video que tenga encuadre panorámico de todo el recinto. Hay algunos espacios del recinto en el que hay sillas que no están grabadas por ninguna de las </w:t>
      </w:r>
      <w:r w:rsidRPr="003E425B">
        <w:rPr>
          <w:rFonts w:ascii="Times New Roman" w:hAnsi="Times New Roman" w:cs="Times New Roman"/>
          <w:i/>
          <w:iCs/>
          <w:sz w:val="28"/>
        </w:rPr>
        <w:t>cámaras y lo mismo sucede detrás de los arcos, en el que es usual que los congresistas hablen con sus asesores y otras personas.</w:t>
      </w:r>
    </w:p>
    <w:p w:rsidR="007653D3" w:rsidRPr="003E425B" w:rsidRDefault="003E425B" w:rsidP="007653D3">
      <w:pPr>
        <w:ind w:left="284" w:right="332"/>
        <w:jc w:val="both"/>
        <w:rPr>
          <w:rFonts w:ascii="Times New Roman" w:hAnsi="Times New Roman" w:cs="Times New Roman"/>
          <w:i/>
          <w:iCs/>
          <w:sz w:val="28"/>
        </w:rPr>
      </w:pPr>
    </w:p>
    <w:p w:rsidR="007653D3" w:rsidRPr="003E425B" w:rsidRDefault="003E425B" w:rsidP="007653D3">
      <w:pPr>
        <w:ind w:left="284" w:right="332"/>
        <w:jc w:val="both"/>
        <w:rPr>
          <w:rFonts w:ascii="Times New Roman" w:hAnsi="Times New Roman" w:cs="Times New Roman"/>
          <w:i/>
          <w:iCs/>
          <w:sz w:val="28"/>
        </w:rPr>
      </w:pPr>
      <w:r w:rsidRPr="003E425B">
        <w:rPr>
          <w:rFonts w:ascii="Times New Roman" w:hAnsi="Times New Roman" w:cs="Times New Roman"/>
          <w:i/>
          <w:iCs/>
          <w:sz w:val="28"/>
        </w:rPr>
        <w:t>“98.3. Algunos videos no tienen audio ni hora, lo que impide determinar el tema que se estaba debatiendo o votando.”</w:t>
      </w:r>
    </w:p>
    <w:p w:rsidR="00ED3FDA" w:rsidRPr="003E425B" w:rsidRDefault="003E425B" w:rsidP="008D58CE">
      <w:pPr>
        <w:jc w:val="both"/>
        <w:rPr>
          <w:rFonts w:ascii="Times New Roman" w:hAnsi="Times New Roman" w:cs="Times New Roman"/>
          <w:i/>
          <w:iCs/>
          <w:sz w:val="28"/>
          <w:szCs w:val="28"/>
        </w:rPr>
      </w:pPr>
    </w:p>
    <w:p w:rsidR="006D53D2" w:rsidRPr="003E425B" w:rsidRDefault="003E425B" w:rsidP="008D58CE">
      <w:pPr>
        <w:jc w:val="both"/>
        <w:rPr>
          <w:rFonts w:ascii="Times New Roman" w:hAnsi="Times New Roman" w:cs="Times New Roman"/>
          <w:i/>
          <w:iCs/>
          <w:sz w:val="28"/>
          <w:szCs w:val="28"/>
        </w:rPr>
      </w:pPr>
    </w:p>
    <w:p w:rsidR="006522FF" w:rsidRPr="003E425B" w:rsidRDefault="003E425B" w:rsidP="626521E1">
      <w:pPr>
        <w:jc w:val="both"/>
        <w:rPr>
          <w:rFonts w:ascii="Times New Roman" w:hAnsi="Times New Roman" w:cs="Times New Roman"/>
          <w:i/>
          <w:iCs/>
          <w:sz w:val="28"/>
          <w:szCs w:val="28"/>
        </w:rPr>
      </w:pPr>
      <w:r w:rsidRPr="003E425B">
        <w:rPr>
          <w:rFonts w:ascii="Times New Roman" w:hAnsi="Times New Roman" w:cs="Times New Roman"/>
          <w:b/>
          <w:bCs/>
          <w:i/>
          <w:iCs/>
          <w:sz w:val="28"/>
          <w:szCs w:val="28"/>
        </w:rPr>
        <w:t>Sobre l</w:t>
      </w:r>
      <w:r w:rsidRPr="003E425B">
        <w:rPr>
          <w:rFonts w:ascii="Times New Roman" w:hAnsi="Times New Roman" w:cs="Times New Roman"/>
          <w:b/>
          <w:bCs/>
          <w:i/>
          <w:iCs/>
          <w:sz w:val="28"/>
          <w:szCs w:val="28"/>
        </w:rPr>
        <w:t>a posibilidad de acudir a otros medios de prueba para demostrar el cumplimiento de las exigencias constitucionales de los debates legislativos cuando las actas y certificados no contienen información precisa.</w:t>
      </w:r>
      <w:r w:rsidRPr="003E425B">
        <w:rPr>
          <w:rFonts w:ascii="Times New Roman" w:hAnsi="Times New Roman" w:cs="Times New Roman"/>
          <w:i/>
          <w:iCs/>
          <w:sz w:val="28"/>
          <w:szCs w:val="28"/>
        </w:rPr>
        <w:t xml:space="preserve"> </w:t>
      </w:r>
    </w:p>
    <w:p w:rsidR="006522FF" w:rsidRPr="003E425B" w:rsidRDefault="003E425B" w:rsidP="626521E1">
      <w:pPr>
        <w:jc w:val="both"/>
        <w:rPr>
          <w:rFonts w:ascii="Times New Roman" w:hAnsi="Times New Roman" w:cs="Times New Roman"/>
          <w:i/>
          <w:iCs/>
          <w:sz w:val="28"/>
          <w:szCs w:val="28"/>
        </w:rPr>
      </w:pPr>
    </w:p>
    <w:p w:rsidR="006D53D2" w:rsidRPr="003E425B" w:rsidRDefault="003E425B" w:rsidP="626521E1">
      <w:pPr>
        <w:jc w:val="both"/>
        <w:rPr>
          <w:rFonts w:ascii="Times New Roman" w:hAnsi="Times New Roman" w:cs="Times New Roman"/>
          <w:sz w:val="28"/>
          <w:szCs w:val="28"/>
        </w:rPr>
      </w:pPr>
      <w:r w:rsidRPr="003E425B">
        <w:rPr>
          <w:rFonts w:ascii="Times New Roman" w:hAnsi="Times New Roman" w:cs="Times New Roman"/>
          <w:sz w:val="28"/>
          <w:szCs w:val="28"/>
        </w:rPr>
        <w:t xml:space="preserve">Como bien lo destaca la ponencia, los medios de prueba que generalmente </w:t>
      </w:r>
      <w:r w:rsidRPr="003E425B">
        <w:rPr>
          <w:rFonts w:ascii="Times New Roman" w:hAnsi="Times New Roman" w:cs="Times New Roman"/>
          <w:sz w:val="28"/>
          <w:szCs w:val="28"/>
        </w:rPr>
        <w:t xml:space="preserve">sirven para demostrar el cumplimiento del quórum y mayorías son: </w:t>
      </w:r>
      <w:r w:rsidRPr="003E425B">
        <w:rPr>
          <w:rFonts w:ascii="Times New Roman" w:hAnsi="Times New Roman" w:cs="Times New Roman"/>
          <w:i/>
          <w:iCs/>
          <w:sz w:val="28"/>
          <w:szCs w:val="28"/>
        </w:rPr>
        <w:t>“(i) el acta de las sesiones que se publica en la Gaceta del Congreso y (ii) los certificados expedidos por la secretar</w:t>
      </w:r>
      <w:r w:rsidRPr="003E425B">
        <w:rPr>
          <w:rFonts w:ascii="Times New Roman" w:hAnsi="Times New Roman" w:cs="Times New Roman"/>
          <w:i/>
          <w:iCs/>
          <w:sz w:val="28"/>
          <w:szCs w:val="28"/>
        </w:rPr>
        <w:t>ía de cada comisión o plenaria.</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71"/>
      </w:r>
      <w:r w:rsidRPr="003E425B">
        <w:rPr>
          <w:rFonts w:ascii="Times New Roman" w:hAnsi="Times New Roman" w:cs="Times New Roman"/>
          <w:sz w:val="28"/>
          <w:szCs w:val="28"/>
        </w:rPr>
        <w:t xml:space="preserve"> No obstante, lo cierto es que cuando en ellos no se encuentra información verificable, clara, precisa y suficiente, “</w:t>
      </w:r>
      <w:r w:rsidRPr="003E425B">
        <w:rPr>
          <w:rFonts w:ascii="Times New Roman" w:hAnsi="Times New Roman" w:cs="Times New Roman"/>
          <w:i/>
          <w:iCs/>
          <w:sz w:val="28"/>
          <w:szCs w:val="28"/>
        </w:rPr>
        <w:t xml:space="preserve">es posible acudir a otros medios de prueba, tales como el desarrollo del debate y los registros de audio </w:t>
      </w:r>
      <w:r w:rsidRPr="003E425B">
        <w:rPr>
          <w:rFonts w:ascii="Times New Roman" w:hAnsi="Times New Roman" w:cs="Times New Roman"/>
          <w:i/>
          <w:iCs/>
          <w:sz w:val="28"/>
          <w:szCs w:val="28"/>
        </w:rPr>
        <w:t>y video de la sesión.</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72"/>
      </w:r>
    </w:p>
    <w:p w:rsidR="009B3DB4" w:rsidRPr="003E425B" w:rsidRDefault="003E425B" w:rsidP="626521E1">
      <w:pPr>
        <w:jc w:val="both"/>
        <w:rPr>
          <w:rFonts w:ascii="Times New Roman" w:hAnsi="Times New Roman" w:cs="Times New Roman"/>
          <w:sz w:val="28"/>
          <w:szCs w:val="28"/>
        </w:rPr>
      </w:pPr>
    </w:p>
    <w:p w:rsidR="00733D76" w:rsidRPr="003E425B" w:rsidRDefault="003E425B" w:rsidP="00733D76">
      <w:pPr>
        <w:jc w:val="both"/>
        <w:rPr>
          <w:rFonts w:ascii="Times New Roman" w:hAnsi="Times New Roman" w:cs="Times New Roman"/>
          <w:i/>
          <w:iCs/>
          <w:sz w:val="28"/>
          <w:szCs w:val="28"/>
          <w:lang w:val="es"/>
        </w:rPr>
      </w:pPr>
      <w:r w:rsidRPr="003E425B">
        <w:rPr>
          <w:rFonts w:ascii="Times New Roman" w:hAnsi="Times New Roman" w:cs="Times New Roman"/>
          <w:sz w:val="28"/>
          <w:szCs w:val="28"/>
          <w:lang w:val="es"/>
        </w:rPr>
        <w:t>De manera que</w:t>
      </w:r>
      <w:r w:rsidRPr="003E425B">
        <w:rPr>
          <w:rFonts w:ascii="Times New Roman" w:hAnsi="Times New Roman" w:cs="Times New Roman"/>
          <w:sz w:val="28"/>
          <w:szCs w:val="28"/>
          <w:lang w:val="es"/>
        </w:rPr>
        <w:t>,</w:t>
      </w:r>
      <w:r w:rsidRPr="003E425B">
        <w:rPr>
          <w:rFonts w:ascii="Times New Roman" w:hAnsi="Times New Roman" w:cs="Times New Roman"/>
          <w:sz w:val="28"/>
          <w:szCs w:val="28"/>
          <w:lang w:val="es"/>
        </w:rPr>
        <w:t xml:space="preserve"> más allá de lo explicado sobre el vicio de trámite derivado de la votación ordinaria,</w:t>
      </w:r>
      <w:r w:rsidRPr="003E425B">
        <w:rPr>
          <w:rFonts w:ascii="Times New Roman" w:hAnsi="Times New Roman" w:cs="Times New Roman"/>
          <w:sz w:val="28"/>
          <w:szCs w:val="28"/>
          <w:lang w:val="es"/>
        </w:rPr>
        <w:t xml:space="preserve"> </w:t>
      </w:r>
      <w:r w:rsidRPr="003E425B">
        <w:rPr>
          <w:rFonts w:ascii="Times New Roman" w:hAnsi="Times New Roman" w:cs="Times New Roman"/>
          <w:sz w:val="28"/>
          <w:szCs w:val="28"/>
          <w:lang w:val="es"/>
        </w:rPr>
        <w:t xml:space="preserve">aun </w:t>
      </w:r>
      <w:r w:rsidRPr="003E425B">
        <w:rPr>
          <w:rFonts w:ascii="Times New Roman" w:hAnsi="Times New Roman" w:cs="Times New Roman"/>
          <w:sz w:val="28"/>
          <w:szCs w:val="28"/>
          <w:lang w:val="es"/>
        </w:rPr>
        <w:t>si se parte</w:t>
      </w:r>
      <w:r w:rsidRPr="003E425B">
        <w:rPr>
          <w:rFonts w:ascii="Times New Roman" w:hAnsi="Times New Roman" w:cs="Times New Roman"/>
          <w:sz w:val="28"/>
          <w:szCs w:val="28"/>
          <w:lang w:val="es"/>
        </w:rPr>
        <w:t xml:space="preserve"> de la conclusión que era procedente que la Comisión Primera Constitucional del Senado votara de forma ordinaria la</w:t>
      </w:r>
      <w:r w:rsidRPr="003E425B">
        <w:rPr>
          <w:rFonts w:ascii="Times New Roman" w:hAnsi="Times New Roman" w:cs="Times New Roman"/>
          <w:sz w:val="28"/>
          <w:szCs w:val="28"/>
          <w:lang w:val="es"/>
        </w:rPr>
        <w:t xml:space="preserve"> proposición positiva del informe de ponencia del Proyecto de Ley número 222 de 2022 Senado y 261 de 2022 Cámara, </w:t>
      </w:r>
      <w:r w:rsidRPr="003E425B">
        <w:rPr>
          <w:rFonts w:ascii="Times New Roman" w:hAnsi="Times New Roman" w:cs="Times New Roman"/>
          <w:sz w:val="28"/>
          <w:szCs w:val="28"/>
          <w:lang w:val="es"/>
        </w:rPr>
        <w:t>lo cierto es que los registros fotográficos sí demostraron que en el recinto la Comisión en cuestión no contaba con quórum decisorio en los té</w:t>
      </w:r>
      <w:r w:rsidRPr="003E425B">
        <w:rPr>
          <w:rFonts w:ascii="Times New Roman" w:hAnsi="Times New Roman" w:cs="Times New Roman"/>
          <w:sz w:val="28"/>
          <w:szCs w:val="28"/>
          <w:lang w:val="es"/>
        </w:rPr>
        <w:t>rminos del artículo 145 de la Constitución</w:t>
      </w:r>
      <w:r w:rsidRPr="003E425B">
        <w:rPr>
          <w:rFonts w:ascii="Times New Roman" w:hAnsi="Times New Roman" w:cs="Times New Roman"/>
          <w:sz w:val="28"/>
          <w:szCs w:val="28"/>
          <w:lang w:val="es"/>
        </w:rPr>
        <w:t xml:space="preserve">. Lo mencionado configura un vicio de procedimiento </w:t>
      </w:r>
      <w:r w:rsidRPr="003E425B">
        <w:rPr>
          <w:rFonts w:ascii="Times New Roman" w:hAnsi="Times New Roman" w:cs="Times New Roman"/>
          <w:sz w:val="28"/>
          <w:szCs w:val="28"/>
          <w:lang w:val="es"/>
        </w:rPr>
        <w:t xml:space="preserve">insubsanable </w:t>
      </w:r>
      <w:r w:rsidRPr="003E425B">
        <w:rPr>
          <w:rFonts w:ascii="Times New Roman" w:hAnsi="Times New Roman" w:cs="Times New Roman"/>
          <w:sz w:val="28"/>
          <w:szCs w:val="28"/>
          <w:lang w:val="es"/>
        </w:rPr>
        <w:t>(</w:t>
      </w:r>
      <w:r w:rsidRPr="003E425B">
        <w:rPr>
          <w:rFonts w:ascii="Times New Roman" w:hAnsi="Times New Roman" w:cs="Times New Roman"/>
          <w:sz w:val="28"/>
          <w:szCs w:val="28"/>
          <w:lang w:val="es"/>
        </w:rPr>
        <w:t xml:space="preserve">artículos </w:t>
      </w:r>
      <w:r w:rsidRPr="003E425B">
        <w:rPr>
          <w:rFonts w:ascii="Times New Roman" w:hAnsi="Times New Roman" w:cs="Times New Roman"/>
          <w:sz w:val="28"/>
          <w:szCs w:val="28"/>
          <w:lang w:val="es"/>
        </w:rPr>
        <w:t xml:space="preserve">149 y 157 de la Constitución). </w:t>
      </w:r>
    </w:p>
    <w:p w:rsidR="00733D76" w:rsidRPr="003E425B" w:rsidRDefault="003E425B" w:rsidP="00733D76">
      <w:pPr>
        <w:jc w:val="both"/>
        <w:rPr>
          <w:rFonts w:ascii="Times New Roman" w:hAnsi="Times New Roman" w:cs="Times New Roman"/>
          <w:i/>
          <w:iCs/>
          <w:sz w:val="28"/>
          <w:szCs w:val="28"/>
          <w:lang w:val="es"/>
        </w:rPr>
      </w:pPr>
    </w:p>
    <w:p w:rsidR="00733D76" w:rsidRPr="003E425B" w:rsidRDefault="003E425B" w:rsidP="00733D76">
      <w:pPr>
        <w:jc w:val="both"/>
        <w:rPr>
          <w:rFonts w:ascii="Times New Roman" w:hAnsi="Times New Roman" w:cs="Times New Roman"/>
          <w:sz w:val="28"/>
          <w:szCs w:val="28"/>
          <w:lang w:val="es"/>
        </w:rPr>
      </w:pPr>
      <w:r w:rsidRPr="003E425B">
        <w:rPr>
          <w:rFonts w:ascii="Times New Roman" w:hAnsi="Times New Roman" w:cs="Times New Roman"/>
          <w:sz w:val="28"/>
          <w:szCs w:val="28"/>
          <w:lang w:val="es"/>
        </w:rPr>
        <w:t xml:space="preserve">En efecto, como de manera acertada lo dispone la ponencia, del acta conjunta </w:t>
      </w:r>
      <w:r w:rsidRPr="003E425B">
        <w:rPr>
          <w:rFonts w:ascii="Times New Roman" w:hAnsi="Times New Roman" w:cs="Times New Roman"/>
          <w:sz w:val="28"/>
          <w:szCs w:val="28"/>
          <w:lang w:val="es"/>
        </w:rPr>
        <w:t xml:space="preserve">y de la certificación de la </w:t>
      </w:r>
      <w:r w:rsidRPr="003E425B">
        <w:rPr>
          <w:rFonts w:ascii="Times New Roman" w:hAnsi="Times New Roman" w:cs="Times New Roman"/>
          <w:sz w:val="28"/>
          <w:szCs w:val="28"/>
          <w:lang w:val="es"/>
        </w:rPr>
        <w:t>Secretaría de la Comisión Primera del Senado de la República no se cuenta con pruebas precisas, suficientes y verificables que permitan concluir que</w:t>
      </w:r>
      <w:r w:rsidRPr="003E425B">
        <w:rPr>
          <w:rFonts w:ascii="Times New Roman" w:hAnsi="Times New Roman" w:cs="Times New Roman"/>
          <w:sz w:val="28"/>
          <w:szCs w:val="28"/>
          <w:lang w:val="es"/>
        </w:rPr>
        <w:t>,</w:t>
      </w:r>
      <w:r w:rsidRPr="003E425B">
        <w:rPr>
          <w:rFonts w:ascii="Times New Roman" w:hAnsi="Times New Roman" w:cs="Times New Roman"/>
          <w:sz w:val="28"/>
          <w:szCs w:val="28"/>
          <w:lang w:val="es"/>
        </w:rPr>
        <w:t xml:space="preserve"> al momento de la votación nominal de la propuesta positiva, se contaba con el quórum decisorio</w:t>
      </w:r>
      <w:r w:rsidRPr="003E425B">
        <w:rPr>
          <w:rFonts w:ascii="Times New Roman" w:hAnsi="Times New Roman" w:cs="Times New Roman"/>
          <w:sz w:val="28"/>
          <w:szCs w:val="28"/>
          <w:lang w:val="es"/>
        </w:rPr>
        <w:t xml:space="preserve"> (FJ. 88 a 97 de la Sentencia C-161 de 2024).</w:t>
      </w:r>
    </w:p>
    <w:p w:rsidR="53DA7372" w:rsidRPr="003E425B" w:rsidRDefault="003E425B" w:rsidP="626521E1">
      <w:pPr>
        <w:jc w:val="both"/>
        <w:rPr>
          <w:rFonts w:ascii="Times New Roman" w:hAnsi="Times New Roman" w:cs="Times New Roman"/>
          <w:sz w:val="28"/>
          <w:lang w:val="es"/>
        </w:rPr>
      </w:pPr>
    </w:p>
    <w:p w:rsidR="53DA7372" w:rsidRPr="003E425B" w:rsidRDefault="003E425B" w:rsidP="00A30EF1">
      <w:pPr>
        <w:jc w:val="both"/>
        <w:rPr>
          <w:rFonts w:ascii="Times New Roman" w:hAnsi="Times New Roman" w:cs="Times New Roman"/>
          <w:sz w:val="28"/>
          <w:szCs w:val="28"/>
          <w:lang w:val="es"/>
        </w:rPr>
      </w:pPr>
      <w:r w:rsidRPr="003E425B">
        <w:rPr>
          <w:rFonts w:ascii="Times New Roman" w:hAnsi="Times New Roman" w:cs="Times New Roman"/>
          <w:sz w:val="28"/>
          <w:szCs w:val="28"/>
          <w:lang w:val="es"/>
        </w:rPr>
        <w:t xml:space="preserve">De ahí que, en línea con la jurisprudencia, </w:t>
      </w:r>
      <w:r w:rsidRPr="003E425B">
        <w:rPr>
          <w:rFonts w:ascii="Times New Roman" w:hAnsi="Times New Roman" w:cs="Times New Roman"/>
          <w:sz w:val="28"/>
          <w:szCs w:val="28"/>
          <w:lang w:val="es"/>
        </w:rPr>
        <w:t xml:space="preserve">ante la insuficiencia de elementos probatorios que dieran cuenta precisa del trámite legislativo adelantado en la Plenaria de Senado, </w:t>
      </w:r>
      <w:r w:rsidRPr="003E425B">
        <w:rPr>
          <w:rFonts w:ascii="Times New Roman" w:hAnsi="Times New Roman" w:cs="Times New Roman"/>
          <w:sz w:val="28"/>
          <w:szCs w:val="28"/>
          <w:lang w:val="es"/>
        </w:rPr>
        <w:t>la Corte tenía la carga de exam</w:t>
      </w:r>
      <w:r w:rsidRPr="003E425B">
        <w:rPr>
          <w:rFonts w:ascii="Times New Roman" w:hAnsi="Times New Roman" w:cs="Times New Roman"/>
          <w:sz w:val="28"/>
          <w:szCs w:val="28"/>
          <w:lang w:val="es"/>
        </w:rPr>
        <w:t>inar el material audiovisual allegado en el escrito de la demanda</w:t>
      </w:r>
      <w:r w:rsidRPr="003E425B">
        <w:rPr>
          <w:rFonts w:ascii="Times New Roman" w:hAnsi="Times New Roman" w:cs="Times New Roman"/>
          <w:sz w:val="28"/>
          <w:szCs w:val="28"/>
          <w:lang w:val="es"/>
        </w:rPr>
        <w:t xml:space="preserve">, así como </w:t>
      </w:r>
      <w:r w:rsidRPr="003E425B">
        <w:rPr>
          <w:rFonts w:ascii="Times New Roman" w:hAnsi="Times New Roman" w:cs="Times New Roman"/>
          <w:sz w:val="28"/>
          <w:szCs w:val="28"/>
          <w:lang w:val="es"/>
        </w:rPr>
        <w:t xml:space="preserve">los </w:t>
      </w:r>
      <w:r w:rsidRPr="003E425B">
        <w:rPr>
          <w:rFonts w:ascii="Times New Roman" w:hAnsi="Times New Roman" w:cs="Times New Roman"/>
          <w:sz w:val="28"/>
          <w:szCs w:val="28"/>
          <w:lang w:val="es"/>
        </w:rPr>
        <w:t xml:space="preserve">demás registros fílmicos o de audio </w:t>
      </w:r>
      <w:r w:rsidRPr="003E425B">
        <w:rPr>
          <w:rFonts w:ascii="Times New Roman" w:hAnsi="Times New Roman" w:cs="Times New Roman"/>
          <w:sz w:val="28"/>
          <w:szCs w:val="28"/>
          <w:lang w:val="es"/>
        </w:rPr>
        <w:t xml:space="preserve">disponibles </w:t>
      </w:r>
      <w:r w:rsidRPr="003E425B">
        <w:rPr>
          <w:rFonts w:ascii="Times New Roman" w:hAnsi="Times New Roman" w:cs="Times New Roman"/>
          <w:sz w:val="28"/>
          <w:szCs w:val="28"/>
          <w:lang w:val="es"/>
        </w:rPr>
        <w:t>correspondientes a las sesiones en comisiones y plenarias de la Cámara de Representantes y del Senado de la República, en las</w:t>
      </w:r>
      <w:r w:rsidRPr="003E425B">
        <w:rPr>
          <w:rFonts w:ascii="Times New Roman" w:hAnsi="Times New Roman" w:cs="Times New Roman"/>
          <w:sz w:val="28"/>
          <w:szCs w:val="28"/>
          <w:lang w:val="es"/>
        </w:rPr>
        <w:t xml:space="preserve"> </w:t>
      </w:r>
      <w:r w:rsidRPr="003E425B">
        <w:rPr>
          <w:rFonts w:ascii="Times New Roman" w:hAnsi="Times New Roman" w:cs="Times New Roman"/>
          <w:sz w:val="28"/>
          <w:szCs w:val="28"/>
          <w:lang w:val="es"/>
        </w:rPr>
        <w:t>qu</w:t>
      </w:r>
      <w:r w:rsidRPr="003E425B">
        <w:rPr>
          <w:rFonts w:ascii="Times New Roman" w:hAnsi="Times New Roman" w:cs="Times New Roman"/>
          <w:sz w:val="28"/>
          <w:szCs w:val="28"/>
          <w:lang w:val="es"/>
        </w:rPr>
        <w:t xml:space="preserve">e se </w:t>
      </w:r>
      <w:r w:rsidRPr="003E425B">
        <w:rPr>
          <w:rFonts w:ascii="Times New Roman" w:hAnsi="Times New Roman" w:cs="Times New Roman"/>
          <w:sz w:val="28"/>
          <w:szCs w:val="28"/>
          <w:lang w:val="es"/>
        </w:rPr>
        <w:t>debatió y votó</w:t>
      </w:r>
      <w:r w:rsidRPr="003E425B">
        <w:rPr>
          <w:rFonts w:ascii="Times New Roman" w:hAnsi="Times New Roman" w:cs="Times New Roman"/>
          <w:sz w:val="28"/>
          <w:szCs w:val="28"/>
          <w:lang w:val="es"/>
        </w:rPr>
        <w:t xml:space="preserve"> </w:t>
      </w:r>
      <w:r w:rsidRPr="003E425B">
        <w:rPr>
          <w:rFonts w:ascii="Times New Roman" w:hAnsi="Times New Roman" w:cs="Times New Roman"/>
          <w:color w:val="000000" w:themeColor="text1"/>
          <w:sz w:val="28"/>
          <w:szCs w:val="28"/>
          <w:lang w:val="es-ES"/>
        </w:rPr>
        <w:t xml:space="preserve">el informe de ponencia para primer debate de la Comisión Primera del Senado de la República en el </w:t>
      </w:r>
      <w:r w:rsidRPr="003E425B">
        <w:rPr>
          <w:rFonts w:ascii="Times New Roman" w:hAnsi="Times New Roman" w:cs="Times New Roman"/>
          <w:sz w:val="28"/>
          <w:szCs w:val="28"/>
          <w:lang w:val="es"/>
        </w:rPr>
        <w:t xml:space="preserve">Proyecto de Ley número 222 de 2022 Senado y 261 de 2022 Cámara. </w:t>
      </w:r>
    </w:p>
    <w:p w:rsidR="0006281C" w:rsidRPr="003E425B" w:rsidRDefault="003E425B" w:rsidP="00010FEE">
      <w:pPr>
        <w:jc w:val="both"/>
        <w:rPr>
          <w:rFonts w:ascii="Times New Roman" w:hAnsi="Times New Roman" w:cs="Times New Roman"/>
          <w:sz w:val="28"/>
        </w:rPr>
      </w:pPr>
    </w:p>
    <w:p w:rsidR="626521E1" w:rsidRPr="003E425B" w:rsidRDefault="003E425B" w:rsidP="626521E1">
      <w:pPr>
        <w:jc w:val="both"/>
        <w:rPr>
          <w:rFonts w:ascii="Times New Roman" w:hAnsi="Times New Roman" w:cs="Times New Roman"/>
          <w:sz w:val="28"/>
          <w:szCs w:val="28"/>
        </w:rPr>
      </w:pPr>
      <w:r w:rsidRPr="003E425B">
        <w:rPr>
          <w:rFonts w:ascii="Times New Roman" w:hAnsi="Times New Roman" w:cs="Times New Roman"/>
          <w:sz w:val="28"/>
          <w:szCs w:val="28"/>
        </w:rPr>
        <w:t>Ahora bien</w:t>
      </w:r>
      <w:r w:rsidRPr="003E425B">
        <w:rPr>
          <w:rFonts w:ascii="Times New Roman" w:hAnsi="Times New Roman" w:cs="Times New Roman"/>
          <w:sz w:val="28"/>
          <w:szCs w:val="28"/>
        </w:rPr>
        <w:t>, al hacer revisión de cada uno de estos videos por separado s</w:t>
      </w:r>
      <w:r w:rsidRPr="003E425B">
        <w:rPr>
          <w:rFonts w:ascii="Times New Roman" w:hAnsi="Times New Roman" w:cs="Times New Roman"/>
          <w:sz w:val="28"/>
          <w:szCs w:val="28"/>
        </w:rPr>
        <w:t>e obtiene una visión parcial desde cada uno de los encuadres de cada cámara</w:t>
      </w:r>
      <w:r w:rsidRPr="003E425B">
        <w:rPr>
          <w:rFonts w:ascii="Times New Roman" w:hAnsi="Times New Roman" w:cs="Times New Roman"/>
          <w:sz w:val="28"/>
          <w:szCs w:val="28"/>
        </w:rPr>
        <w:t>, lo que, como anotó la Sala, dificulta la determinación precisa y verificable del quorum</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Sin embargo, al proceder a analizar el material fílmico de manera sincronizada y en conjun</w:t>
      </w:r>
      <w:r w:rsidRPr="003E425B">
        <w:rPr>
          <w:rFonts w:ascii="Times New Roman" w:hAnsi="Times New Roman" w:cs="Times New Roman"/>
          <w:sz w:val="28"/>
          <w:szCs w:val="28"/>
        </w:rPr>
        <w:t>to, se puede identificar el momento de la votación ordinaria del informe de ponencia en cuatro de los videos proporcionados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T</w:t>
      </w:r>
      <w:r w:rsidRPr="003E425B">
        <w:rPr>
          <w:rFonts w:ascii="Times New Roman" w:hAnsi="Times New Roman" w:cs="Times New Roman"/>
          <w:sz w:val="28"/>
          <w:szCs w:val="28"/>
        </w:rPr>
        <w:t>res de estos videos provienen de las cámaras de seguridad del Congreso y se caracterizan por no tener sonido, no estar referenciad</w:t>
      </w:r>
      <w:r w:rsidRPr="003E425B">
        <w:rPr>
          <w:rFonts w:ascii="Times New Roman" w:hAnsi="Times New Roman" w:cs="Times New Roman"/>
          <w:sz w:val="28"/>
          <w:szCs w:val="28"/>
        </w:rPr>
        <w:t>os con fecha y hora precisas, y abarcar tres ángulos diferentes del recinto.</w:t>
      </w:r>
      <w:r w:rsidRPr="003E425B">
        <w:rPr>
          <w:rFonts w:ascii="Times New Roman" w:hAnsi="Times New Roman" w:cs="Times New Roman"/>
          <w:sz w:val="28"/>
          <w:szCs w:val="28"/>
          <w:vertAlign w:val="superscript"/>
        </w:rPr>
        <w:footnoteReference w:id="473"/>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w:t>
      </w:r>
      <w:r w:rsidRPr="003E425B">
        <w:rPr>
          <w:rFonts w:ascii="Times New Roman" w:hAnsi="Times New Roman" w:cs="Times New Roman"/>
          <w:sz w:val="28"/>
          <w:szCs w:val="28"/>
        </w:rPr>
        <w:t xml:space="preserve">l cuarto video corresponde a la </w:t>
      </w:r>
      <w:r w:rsidRPr="003E425B">
        <w:rPr>
          <w:rFonts w:ascii="Times New Roman" w:hAnsi="Times New Roman" w:cs="Times New Roman"/>
          <w:color w:val="000000" w:themeColor="text1"/>
          <w:sz w:val="28"/>
          <w:szCs w:val="28"/>
        </w:rPr>
        <w:t>sesión del 24 de noviembre de 2024</w:t>
      </w:r>
      <w:r w:rsidRPr="003E425B">
        <w:rPr>
          <w:rFonts w:ascii="Times New Roman" w:hAnsi="Times New Roman" w:cs="Times New Roman"/>
          <w:color w:val="000000" w:themeColor="text1"/>
          <w:sz w:val="28"/>
          <w:szCs w:val="28"/>
        </w:rPr>
        <w:t>,</w:t>
      </w:r>
      <w:r w:rsidRPr="003E425B">
        <w:rPr>
          <w:rFonts w:ascii="Times New Roman" w:hAnsi="Times New Roman" w:cs="Times New Roman"/>
          <w:color w:val="000000" w:themeColor="text1"/>
          <w:sz w:val="28"/>
          <w:szCs w:val="28"/>
          <w:vertAlign w:val="superscript"/>
        </w:rPr>
        <w:footnoteReference w:id="474"/>
      </w:r>
      <w:r w:rsidRPr="003E425B">
        <w:rPr>
          <w:rFonts w:ascii="Times New Roman" w:hAnsi="Times New Roman" w:cs="Times New Roman"/>
          <w:color w:val="000000" w:themeColor="text1"/>
          <w:sz w:val="28"/>
          <w:szCs w:val="28"/>
        </w:rPr>
        <w:t xml:space="preserve"> el cual se encuentra alojado </w:t>
      </w:r>
      <w:r w:rsidRPr="003E425B">
        <w:rPr>
          <w:rFonts w:ascii="Times New Roman" w:hAnsi="Times New Roman" w:cs="Times New Roman"/>
          <w:sz w:val="28"/>
          <w:szCs w:val="28"/>
        </w:rPr>
        <w:t xml:space="preserve">en el canal de YouTube del Congreso y se distingue por contar con sonido, </w:t>
      </w:r>
      <w:r w:rsidRPr="003E425B">
        <w:rPr>
          <w:rFonts w:ascii="Times New Roman" w:hAnsi="Times New Roman" w:cs="Times New Roman"/>
          <w:sz w:val="28"/>
          <w:szCs w:val="28"/>
        </w:rPr>
        <w:t>incluir referencias de fecha y hora</w:t>
      </w:r>
      <w:r w:rsidRPr="003E425B">
        <w:rPr>
          <w:rFonts w:ascii="Times New Roman" w:hAnsi="Times New Roman" w:cs="Times New Roman"/>
          <w:sz w:val="28"/>
          <w:szCs w:val="28"/>
        </w:rPr>
        <w:t xml:space="preserve">. </w:t>
      </w:r>
    </w:p>
    <w:p w:rsidR="00D85794" w:rsidRPr="003E425B" w:rsidRDefault="003E425B" w:rsidP="626521E1">
      <w:pPr>
        <w:jc w:val="both"/>
        <w:rPr>
          <w:rFonts w:ascii="Times New Roman" w:hAnsi="Times New Roman" w:cs="Times New Roman"/>
          <w:sz w:val="28"/>
          <w:szCs w:val="28"/>
        </w:rPr>
      </w:pPr>
    </w:p>
    <w:p w:rsidR="00010FEE" w:rsidRPr="003E425B" w:rsidRDefault="003E425B" w:rsidP="00D85794">
      <w:pPr>
        <w:jc w:val="both"/>
        <w:rPr>
          <w:rFonts w:ascii="Times New Roman" w:hAnsi="Times New Roman" w:cs="Times New Roman"/>
          <w:sz w:val="28"/>
          <w:szCs w:val="28"/>
        </w:rPr>
      </w:pPr>
      <w:r w:rsidRPr="003E425B">
        <w:rPr>
          <w:rFonts w:ascii="Times New Roman" w:hAnsi="Times New Roman" w:cs="Times New Roman"/>
          <w:sz w:val="28"/>
          <w:szCs w:val="28"/>
        </w:rPr>
        <w:t xml:space="preserve">Dado que el material fílmico presenta diversos formatos, </w:t>
      </w:r>
      <w:r w:rsidRPr="003E425B">
        <w:rPr>
          <w:rFonts w:ascii="Times New Roman" w:hAnsi="Times New Roman" w:cs="Times New Roman"/>
          <w:sz w:val="28"/>
          <w:szCs w:val="28"/>
        </w:rPr>
        <w:t xml:space="preserve">la Sala debió </w:t>
      </w:r>
      <w:r w:rsidRPr="003E425B">
        <w:rPr>
          <w:rFonts w:ascii="Times New Roman" w:hAnsi="Times New Roman" w:cs="Times New Roman"/>
          <w:sz w:val="28"/>
          <w:szCs w:val="28"/>
        </w:rPr>
        <w:t>emplear una metodología que permit</w:t>
      </w:r>
      <w:r w:rsidRPr="003E425B">
        <w:rPr>
          <w:rFonts w:ascii="Times New Roman" w:hAnsi="Times New Roman" w:cs="Times New Roman"/>
          <w:sz w:val="28"/>
          <w:szCs w:val="28"/>
        </w:rPr>
        <w:t>iera</w:t>
      </w:r>
      <w:r w:rsidRPr="003E425B">
        <w:rPr>
          <w:rFonts w:ascii="Times New Roman" w:hAnsi="Times New Roman" w:cs="Times New Roman"/>
          <w:sz w:val="28"/>
          <w:szCs w:val="28"/>
        </w:rPr>
        <w:t xml:space="preserve"> realizar un análisis conjunto y exhaustivo de todo el material. </w:t>
      </w:r>
    </w:p>
    <w:p w:rsidR="00010FEE" w:rsidRPr="003E425B" w:rsidRDefault="003E425B" w:rsidP="00D85794">
      <w:pPr>
        <w:jc w:val="both"/>
        <w:rPr>
          <w:rFonts w:ascii="Times New Roman" w:hAnsi="Times New Roman" w:cs="Times New Roman"/>
          <w:sz w:val="28"/>
          <w:szCs w:val="28"/>
        </w:rPr>
      </w:pPr>
    </w:p>
    <w:p w:rsidR="00D85794" w:rsidRPr="003E425B" w:rsidRDefault="003E425B" w:rsidP="00D85794">
      <w:pPr>
        <w:jc w:val="both"/>
        <w:rPr>
          <w:rFonts w:ascii="Times New Roman" w:hAnsi="Times New Roman" w:cs="Times New Roman"/>
          <w:sz w:val="28"/>
          <w:szCs w:val="28"/>
        </w:rPr>
      </w:pPr>
      <w:r w:rsidRPr="003E425B">
        <w:rPr>
          <w:rFonts w:ascii="Times New Roman" w:hAnsi="Times New Roman" w:cs="Times New Roman"/>
          <w:sz w:val="28"/>
          <w:szCs w:val="28"/>
        </w:rPr>
        <w:t>Al realizar directamente en el despacho a</w:t>
      </w:r>
      <w:r w:rsidRPr="003E425B">
        <w:rPr>
          <w:rFonts w:ascii="Times New Roman" w:hAnsi="Times New Roman" w:cs="Times New Roman"/>
          <w:sz w:val="28"/>
          <w:szCs w:val="28"/>
        </w:rPr>
        <w:t xml:space="preserve"> mi cargo esta labor</w:t>
      </w:r>
      <w:r w:rsidRPr="003E425B">
        <w:rPr>
          <w:rFonts w:ascii="Times New Roman" w:hAnsi="Times New Roman" w:cs="Times New Roman"/>
          <w:sz w:val="28"/>
          <w:szCs w:val="28"/>
        </w:rPr>
        <w:t xml:space="preserve">, el trabajo de análisis </w:t>
      </w:r>
      <w:r w:rsidRPr="003E425B">
        <w:rPr>
          <w:rFonts w:ascii="Times New Roman" w:hAnsi="Times New Roman" w:cs="Times New Roman"/>
          <w:sz w:val="28"/>
          <w:szCs w:val="28"/>
        </w:rPr>
        <w:t>constó de</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cuatro</w:t>
      </w:r>
      <w:r w:rsidRPr="003E425B">
        <w:rPr>
          <w:rFonts w:ascii="Times New Roman" w:hAnsi="Times New Roman" w:cs="Times New Roman"/>
          <w:sz w:val="28"/>
          <w:szCs w:val="28"/>
        </w:rPr>
        <w:t xml:space="preserve"> partes. En primer lugar, </w:t>
      </w:r>
      <w:r w:rsidRPr="003E425B">
        <w:rPr>
          <w:rFonts w:ascii="Times New Roman" w:hAnsi="Times New Roman" w:cs="Times New Roman"/>
          <w:sz w:val="28"/>
          <w:szCs w:val="28"/>
        </w:rPr>
        <w:t>se</w:t>
      </w:r>
      <w:r w:rsidRPr="003E425B">
        <w:rPr>
          <w:rFonts w:ascii="Times New Roman" w:hAnsi="Times New Roman" w:cs="Times New Roman"/>
          <w:sz w:val="28"/>
          <w:szCs w:val="28"/>
        </w:rPr>
        <w:t xml:space="preserve"> sincronizar</w:t>
      </w:r>
      <w:r w:rsidRPr="003E425B">
        <w:rPr>
          <w:rFonts w:ascii="Times New Roman" w:hAnsi="Times New Roman" w:cs="Times New Roman"/>
          <w:sz w:val="28"/>
          <w:szCs w:val="28"/>
        </w:rPr>
        <w:t>on en una misma pantalla</w:t>
      </w:r>
      <w:r w:rsidRPr="003E425B">
        <w:rPr>
          <w:rFonts w:ascii="Times New Roman" w:hAnsi="Times New Roman" w:cs="Times New Roman"/>
          <w:sz w:val="28"/>
          <w:szCs w:val="28"/>
        </w:rPr>
        <w:t xml:space="preserve"> los videos aportados, </w:t>
      </w:r>
      <w:r w:rsidRPr="003E425B">
        <w:rPr>
          <w:rFonts w:ascii="Times New Roman" w:hAnsi="Times New Roman" w:cs="Times New Roman"/>
          <w:sz w:val="28"/>
          <w:szCs w:val="28"/>
        </w:rPr>
        <w:t>con</w:t>
      </w:r>
      <w:r w:rsidRPr="003E425B">
        <w:rPr>
          <w:rFonts w:ascii="Times New Roman" w:hAnsi="Times New Roman" w:cs="Times New Roman"/>
          <w:sz w:val="28"/>
          <w:szCs w:val="28"/>
        </w:rPr>
        <w:t xml:space="preserve"> especial énfasis en el escenario donde tiene lugar la votación del informe de ponencia. En segundo lugar</w:t>
      </w:r>
      <w:r w:rsidRPr="003E425B">
        <w:rPr>
          <w:rFonts w:ascii="Times New Roman" w:hAnsi="Times New Roman" w:cs="Times New Roman"/>
          <w:sz w:val="28"/>
          <w:szCs w:val="28"/>
        </w:rPr>
        <w:t xml:space="preserve">, se </w:t>
      </w:r>
      <w:r w:rsidRPr="003E425B">
        <w:rPr>
          <w:rFonts w:ascii="Times New Roman" w:hAnsi="Times New Roman" w:cs="Times New Roman"/>
          <w:sz w:val="28"/>
          <w:szCs w:val="28"/>
        </w:rPr>
        <w:t>identificó</w:t>
      </w:r>
      <w:r w:rsidRPr="003E425B">
        <w:rPr>
          <w:rFonts w:ascii="Times New Roman" w:hAnsi="Times New Roman" w:cs="Times New Roman"/>
          <w:sz w:val="28"/>
          <w:szCs w:val="28"/>
        </w:rPr>
        <w:t xml:space="preserve"> a los senadores presentes el 24 de noviembre de 2022 durante la votación nominal y pública de la proposición de archivo. </w:t>
      </w:r>
      <w:r w:rsidRPr="003E425B">
        <w:rPr>
          <w:rFonts w:ascii="Times New Roman" w:hAnsi="Times New Roman" w:cs="Times New Roman"/>
          <w:sz w:val="28"/>
          <w:szCs w:val="28"/>
        </w:rPr>
        <w:t>En tercer lugar</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luego de la</w:t>
      </w:r>
      <w:r w:rsidRPr="003E425B">
        <w:rPr>
          <w:rFonts w:ascii="Times New Roman" w:hAnsi="Times New Roman" w:cs="Times New Roman"/>
          <w:sz w:val="28"/>
          <w:szCs w:val="28"/>
        </w:rPr>
        <w:t xml:space="preserve"> identificación previa, se verific</w:t>
      </w:r>
      <w:r w:rsidRPr="003E425B">
        <w:rPr>
          <w:rFonts w:ascii="Times New Roman" w:hAnsi="Times New Roman" w:cs="Times New Roman"/>
          <w:sz w:val="28"/>
          <w:szCs w:val="28"/>
        </w:rPr>
        <w:t>ó</w:t>
      </w:r>
      <w:r w:rsidRPr="003E425B">
        <w:rPr>
          <w:rFonts w:ascii="Times New Roman" w:hAnsi="Times New Roman" w:cs="Times New Roman"/>
          <w:sz w:val="28"/>
          <w:szCs w:val="28"/>
        </w:rPr>
        <w:t xml:space="preserve"> si estos senadores estaban presentes durante la votació</w:t>
      </w:r>
      <w:r w:rsidRPr="003E425B">
        <w:rPr>
          <w:rFonts w:ascii="Times New Roman" w:hAnsi="Times New Roman" w:cs="Times New Roman"/>
          <w:sz w:val="28"/>
          <w:szCs w:val="28"/>
        </w:rPr>
        <w:t>n ordinaria del informe de ponencia, para lo cual se revisan simultáneamente las cuatro grabaciones disponibles.</w:t>
      </w:r>
      <w:r w:rsidRPr="003E425B">
        <w:rPr>
          <w:rFonts w:ascii="Times New Roman" w:hAnsi="Times New Roman" w:cs="Times New Roman"/>
          <w:sz w:val="28"/>
          <w:szCs w:val="28"/>
        </w:rPr>
        <w:t xml:space="preserve"> Por </w:t>
      </w:r>
      <w:r w:rsidRPr="003E425B">
        <w:rPr>
          <w:rFonts w:ascii="Times New Roman" w:hAnsi="Times New Roman" w:cs="Times New Roman"/>
          <w:sz w:val="28"/>
          <w:szCs w:val="28"/>
        </w:rPr>
        <w:t>último, en</w:t>
      </w:r>
      <w:r w:rsidRPr="003E425B">
        <w:rPr>
          <w:rFonts w:ascii="Times New Roman" w:hAnsi="Times New Roman" w:cs="Times New Roman"/>
          <w:sz w:val="28"/>
          <w:szCs w:val="28"/>
        </w:rPr>
        <w:t xml:space="preserve"> caso </w:t>
      </w:r>
      <w:r w:rsidRPr="003E425B">
        <w:rPr>
          <w:rFonts w:ascii="Times New Roman" w:hAnsi="Times New Roman" w:cs="Times New Roman"/>
          <w:sz w:val="28"/>
          <w:szCs w:val="28"/>
        </w:rPr>
        <w:t>d</w:t>
      </w:r>
      <w:r w:rsidRPr="003E425B">
        <w:rPr>
          <w:rFonts w:ascii="Times New Roman" w:hAnsi="Times New Roman" w:cs="Times New Roman"/>
          <w:sz w:val="28"/>
          <w:szCs w:val="28"/>
        </w:rPr>
        <w:t>e ausencia de algún participante, se</w:t>
      </w:r>
      <w:r w:rsidRPr="003E425B">
        <w:rPr>
          <w:rFonts w:ascii="Times New Roman" w:hAnsi="Times New Roman" w:cs="Times New Roman"/>
          <w:sz w:val="28"/>
          <w:szCs w:val="28"/>
        </w:rPr>
        <w:t xml:space="preserve"> realiza el </w:t>
      </w:r>
      <w:r w:rsidRPr="003E425B">
        <w:rPr>
          <w:rFonts w:ascii="Times New Roman" w:hAnsi="Times New Roman" w:cs="Times New Roman"/>
          <w:sz w:val="28"/>
          <w:szCs w:val="28"/>
        </w:rPr>
        <w:t>análisis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d</w:t>
      </w:r>
      <w:r w:rsidRPr="003E425B">
        <w:rPr>
          <w:rFonts w:ascii="Times New Roman" w:hAnsi="Times New Roman" w:cs="Times New Roman"/>
          <w:sz w:val="28"/>
          <w:szCs w:val="28"/>
        </w:rPr>
        <w:t>el momento</w:t>
      </w:r>
      <w:r w:rsidRPr="003E425B">
        <w:rPr>
          <w:rFonts w:ascii="Times New Roman" w:hAnsi="Times New Roman" w:cs="Times New Roman"/>
          <w:sz w:val="28"/>
          <w:szCs w:val="28"/>
        </w:rPr>
        <w:t xml:space="preserve"> exacto</w:t>
      </w:r>
      <w:r w:rsidRPr="003E425B">
        <w:rPr>
          <w:rFonts w:ascii="Times New Roman" w:hAnsi="Times New Roman" w:cs="Times New Roman"/>
          <w:sz w:val="28"/>
          <w:szCs w:val="28"/>
        </w:rPr>
        <w:t xml:space="preserve"> en que se ausenta del recinto.</w:t>
      </w:r>
    </w:p>
    <w:p w:rsidR="009325CD" w:rsidRPr="003E425B" w:rsidRDefault="003E425B" w:rsidP="00D85794">
      <w:pPr>
        <w:jc w:val="both"/>
        <w:rPr>
          <w:rFonts w:ascii="Times New Roman" w:hAnsi="Times New Roman" w:cs="Times New Roman"/>
          <w:sz w:val="28"/>
          <w:szCs w:val="28"/>
        </w:rPr>
      </w:pPr>
    </w:p>
    <w:p w:rsidR="00D85794" w:rsidRPr="003E425B" w:rsidRDefault="003E425B" w:rsidP="00D85794">
      <w:pPr>
        <w:jc w:val="both"/>
        <w:rPr>
          <w:rFonts w:ascii="Times New Roman" w:hAnsi="Times New Roman" w:cs="Times New Roman"/>
          <w:sz w:val="28"/>
          <w:szCs w:val="28"/>
        </w:rPr>
      </w:pPr>
      <w:r w:rsidRPr="003E425B">
        <w:rPr>
          <w:rFonts w:ascii="Times New Roman" w:hAnsi="Times New Roman" w:cs="Times New Roman"/>
          <w:sz w:val="28"/>
          <w:szCs w:val="28"/>
        </w:rPr>
        <w:t xml:space="preserve">Para el </w:t>
      </w:r>
      <w:r w:rsidRPr="003E425B">
        <w:rPr>
          <w:rFonts w:ascii="Times New Roman" w:hAnsi="Times New Roman" w:cs="Times New Roman"/>
          <w:sz w:val="28"/>
          <w:szCs w:val="28"/>
        </w:rPr>
        <w:t>ejercicio de sincronización se analiz</w:t>
      </w:r>
      <w:r w:rsidRPr="003E425B">
        <w:rPr>
          <w:rFonts w:ascii="Times New Roman" w:hAnsi="Times New Roman" w:cs="Times New Roman"/>
          <w:sz w:val="28"/>
          <w:szCs w:val="28"/>
        </w:rPr>
        <w:t>ó</w:t>
      </w:r>
      <w:r w:rsidRPr="003E425B">
        <w:rPr>
          <w:rFonts w:ascii="Times New Roman" w:hAnsi="Times New Roman" w:cs="Times New Roman"/>
          <w:sz w:val="28"/>
          <w:szCs w:val="28"/>
        </w:rPr>
        <w:t xml:space="preserve"> el video en conjunto,</w:t>
      </w:r>
      <w:r w:rsidRPr="003E425B">
        <w:rPr>
          <w:rFonts w:ascii="Times New Roman" w:hAnsi="Times New Roman" w:cs="Times New Roman"/>
          <w:sz w:val="28"/>
          <w:szCs w:val="28"/>
          <w:vertAlign w:val="superscript"/>
        </w:rPr>
        <w:footnoteReference w:id="475"/>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se tomó</w:t>
      </w:r>
      <w:r w:rsidRPr="003E425B">
        <w:rPr>
          <w:rFonts w:ascii="Times New Roman" w:hAnsi="Times New Roman" w:cs="Times New Roman"/>
          <w:sz w:val="28"/>
          <w:szCs w:val="28"/>
        </w:rPr>
        <w:t xml:space="preserve"> como referencia el posicionamiento y los movimientos de los participantes de la sesión. De esta manera, se logró sincronizar los demás videos con el momento en que se estaba realizando l</w:t>
      </w:r>
      <w:r w:rsidRPr="003E425B">
        <w:rPr>
          <w:rFonts w:ascii="Times New Roman" w:hAnsi="Times New Roman" w:cs="Times New Roman"/>
          <w:sz w:val="28"/>
          <w:szCs w:val="28"/>
        </w:rPr>
        <w:t>a votación del informe de ponencia</w:t>
      </w:r>
      <w:r w:rsidRPr="003E425B">
        <w:rPr>
          <w:rFonts w:ascii="Times New Roman" w:hAnsi="Times New Roman" w:cs="Times New Roman"/>
          <w:sz w:val="28"/>
          <w:szCs w:val="28"/>
        </w:rPr>
        <w:t xml:space="preserve"> y de otros momentos de la sesión del 24 de noviembre de 2024</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A continuación se deja una imagen ilustrativa como referencia:</w:t>
      </w:r>
    </w:p>
    <w:p w:rsidR="00997218" w:rsidRPr="003E425B" w:rsidRDefault="003E425B" w:rsidP="00D85794">
      <w:pPr>
        <w:jc w:val="both"/>
        <w:rPr>
          <w:rFonts w:ascii="Times New Roman" w:hAnsi="Times New Roman" w:cs="Times New Roman"/>
          <w:sz w:val="28"/>
          <w:szCs w:val="28"/>
        </w:rPr>
      </w:pPr>
    </w:p>
    <w:p w:rsidR="00D85794" w:rsidRPr="003E425B" w:rsidRDefault="003E425B" w:rsidP="002C5596">
      <w:pPr>
        <w:jc w:val="both"/>
        <w:rPr>
          <w:rFonts w:ascii="Times New Roman" w:hAnsi="Times New Roman" w:cs="Times New Roman"/>
          <w:sz w:val="28"/>
          <w:szCs w:val="28"/>
        </w:rPr>
      </w:pPr>
      <w:r w:rsidRPr="003E425B">
        <w:rPr>
          <w:rFonts w:ascii="Times New Roman" w:hAnsi="Times New Roman" w:cs="Times New Roman"/>
          <w:noProof/>
          <w:sz w:val="28"/>
          <w:szCs w:val="28"/>
        </w:rPr>
        <w:drawing>
          <wp:inline distT="0" distB="0" distL="0" distR="0">
            <wp:extent cx="6096000" cy="342900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p>
    <w:p w:rsidR="00D85794" w:rsidRPr="003E425B" w:rsidRDefault="003E425B" w:rsidP="00D85794">
      <w:pPr>
        <w:jc w:val="both"/>
        <w:rPr>
          <w:rFonts w:ascii="Times New Roman" w:hAnsi="Times New Roman" w:cs="Times New Roman"/>
          <w:sz w:val="28"/>
          <w:szCs w:val="28"/>
        </w:rPr>
      </w:pPr>
    </w:p>
    <w:p w:rsidR="00482D79" w:rsidRPr="003E425B" w:rsidRDefault="003E425B" w:rsidP="00D85794">
      <w:pPr>
        <w:jc w:val="both"/>
        <w:rPr>
          <w:rFonts w:ascii="Times New Roman" w:hAnsi="Times New Roman" w:cs="Times New Roman"/>
          <w:sz w:val="28"/>
          <w:szCs w:val="28"/>
        </w:rPr>
      </w:pPr>
      <w:r w:rsidRPr="003E425B">
        <w:rPr>
          <w:rFonts w:ascii="Times New Roman" w:hAnsi="Times New Roman" w:cs="Times New Roman"/>
          <w:sz w:val="28"/>
          <w:szCs w:val="28"/>
        </w:rPr>
        <w:t>Para continuar con la identificación de cada uno de los miembros se tuvo en cuenta las imáge</w:t>
      </w:r>
      <w:r w:rsidRPr="003E425B">
        <w:rPr>
          <w:rFonts w:ascii="Times New Roman" w:hAnsi="Times New Roman" w:cs="Times New Roman"/>
          <w:sz w:val="28"/>
          <w:szCs w:val="28"/>
        </w:rPr>
        <w:t xml:space="preserve">nes que proporcionaba </w:t>
      </w:r>
      <w:r w:rsidRPr="003E425B">
        <w:rPr>
          <w:rFonts w:ascii="Times New Roman" w:hAnsi="Times New Roman" w:cs="Times New Roman"/>
          <w:sz w:val="28"/>
          <w:szCs w:val="28"/>
        </w:rPr>
        <w:t>el video alojado en el canal</w:t>
      </w:r>
      <w:r w:rsidRPr="003E425B">
        <w:rPr>
          <w:rFonts w:ascii="Times New Roman" w:hAnsi="Times New Roman" w:cs="Times New Roman"/>
          <w:sz w:val="28"/>
          <w:szCs w:val="28"/>
        </w:rPr>
        <w:t xml:space="preserve"> de Youtube</w:t>
      </w:r>
      <w:r w:rsidRPr="003E425B">
        <w:rPr>
          <w:rFonts w:ascii="Times New Roman" w:hAnsi="Times New Roman" w:cs="Times New Roman"/>
          <w:sz w:val="28"/>
          <w:szCs w:val="28"/>
        </w:rPr>
        <w:t xml:space="preserve"> del Congreso, </w:t>
      </w:r>
      <w:r w:rsidRPr="003E425B">
        <w:rPr>
          <w:rFonts w:ascii="Times New Roman" w:hAnsi="Times New Roman" w:cs="Times New Roman"/>
          <w:sz w:val="28"/>
          <w:szCs w:val="28"/>
        </w:rPr>
        <w:t>así como imágenes publicadas por medios de comunicación y en los sitios oficiales de los senadores que participaron en la votación ordinaria del informe de ponencia</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De acuerdo con</w:t>
      </w:r>
      <w:r w:rsidRPr="003E425B">
        <w:rPr>
          <w:rFonts w:ascii="Times New Roman" w:hAnsi="Times New Roman" w:cs="Times New Roman"/>
          <w:sz w:val="28"/>
          <w:szCs w:val="28"/>
        </w:rPr>
        <w:t xml:space="preserve"> el acta conjunta número 3 del 24 de noviembre de </w:t>
      </w:r>
      <w:r w:rsidRPr="003E425B">
        <w:rPr>
          <w:rFonts w:ascii="Times New Roman" w:hAnsi="Times New Roman" w:cs="Times New Roman"/>
          <w:sz w:val="28"/>
          <w:szCs w:val="28"/>
        </w:rPr>
        <w:t xml:space="preserve">2022, </w:t>
      </w:r>
      <w:r w:rsidRPr="003E425B">
        <w:rPr>
          <w:rFonts w:ascii="Times New Roman" w:hAnsi="Times New Roman" w:cs="Times New Roman"/>
          <w:sz w:val="28"/>
          <w:szCs w:val="28"/>
        </w:rPr>
        <w:t>los</w:t>
      </w:r>
      <w:r w:rsidRPr="003E425B">
        <w:rPr>
          <w:rFonts w:ascii="Times New Roman" w:hAnsi="Times New Roman" w:cs="Times New Roman"/>
          <w:sz w:val="28"/>
          <w:szCs w:val="28"/>
        </w:rPr>
        <w:t xml:space="preserve"> participantes de la votación nominal de la proposición de archivo</w:t>
      </w:r>
      <w:r w:rsidRPr="003E425B">
        <w:rPr>
          <w:rFonts w:ascii="Times New Roman" w:hAnsi="Times New Roman" w:cs="Times New Roman"/>
          <w:sz w:val="28"/>
          <w:szCs w:val="28"/>
        </w:rPr>
        <w:t xml:space="preserve"> fueron l</w:t>
      </w:r>
      <w:r w:rsidRPr="003E425B">
        <w:rPr>
          <w:rFonts w:ascii="Times New Roman" w:hAnsi="Times New Roman" w:cs="Times New Roman"/>
          <w:sz w:val="28"/>
          <w:szCs w:val="28"/>
        </w:rPr>
        <w:t>os senadores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Fabio Raúl Amín Sáleme, Ariel Fernando Ávila Martínez, Alejandro Carlos Chacón, Humberto De la Calle Lombana,</w:t>
      </w:r>
      <w:r w:rsidRPr="003E425B">
        <w:rPr>
          <w:rFonts w:ascii="Times New Roman" w:hAnsi="Times New Roman" w:cs="Times New Roman"/>
          <w:sz w:val="28"/>
          <w:szCs w:val="28"/>
        </w:rPr>
        <w:t xml:space="preserve"> Alfredo Rafael Deluque Zuleta, Julián Gallo Cubillos, Juan Carlos García Gómez, Julio Elías Chagüi Flórez, Alexander López Maya, María José Pizarro Rodríguez y Jonathan Ferney Pulido Hernández</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con </w:t>
      </w:r>
      <w:r w:rsidRPr="003E425B">
        <w:rPr>
          <w:rFonts w:ascii="Times New Roman" w:hAnsi="Times New Roman" w:cs="Times New Roman"/>
          <w:sz w:val="28"/>
          <w:szCs w:val="28"/>
        </w:rPr>
        <w:t>un total de 11 votos</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76"/>
      </w:r>
    </w:p>
    <w:p w:rsidR="00482D79" w:rsidRPr="003E425B" w:rsidRDefault="003E425B" w:rsidP="00D85794">
      <w:pPr>
        <w:jc w:val="both"/>
        <w:rPr>
          <w:rFonts w:ascii="Times New Roman" w:hAnsi="Times New Roman" w:cs="Times New Roman"/>
          <w:sz w:val="28"/>
          <w:szCs w:val="28"/>
        </w:rPr>
      </w:pPr>
    </w:p>
    <w:p w:rsidR="00AE66FB" w:rsidRPr="003E425B" w:rsidRDefault="003E425B" w:rsidP="626521E1">
      <w:pPr>
        <w:jc w:val="both"/>
        <w:rPr>
          <w:rFonts w:ascii="Times New Roman" w:hAnsi="Times New Roman" w:cs="Times New Roman"/>
          <w:sz w:val="28"/>
          <w:szCs w:val="28"/>
        </w:rPr>
      </w:pPr>
      <w:r w:rsidRPr="003E425B">
        <w:rPr>
          <w:rFonts w:ascii="Times New Roman" w:hAnsi="Times New Roman" w:cs="Times New Roman"/>
          <w:sz w:val="28"/>
          <w:szCs w:val="28"/>
        </w:rPr>
        <w:t>Las imágenes que se detallan a co</w:t>
      </w:r>
      <w:r w:rsidRPr="003E425B">
        <w:rPr>
          <w:rFonts w:ascii="Times New Roman" w:hAnsi="Times New Roman" w:cs="Times New Roman"/>
          <w:sz w:val="28"/>
          <w:szCs w:val="28"/>
        </w:rPr>
        <w:t>ntinuación fueron fundamentales para la identificación de los senadores,</w:t>
      </w:r>
      <w:r w:rsidRPr="003E425B">
        <w:rPr>
          <w:rFonts w:ascii="Times New Roman" w:hAnsi="Times New Roman" w:cs="Times New Roman"/>
          <w:sz w:val="28"/>
          <w:szCs w:val="28"/>
        </w:rPr>
        <w:t xml:space="preserve"> en las que se tomó como referencia </w:t>
      </w:r>
      <w:r w:rsidRPr="003E425B">
        <w:rPr>
          <w:rFonts w:ascii="Times New Roman" w:hAnsi="Times New Roman" w:cs="Times New Roman"/>
          <w:sz w:val="28"/>
          <w:szCs w:val="28"/>
        </w:rPr>
        <w:t xml:space="preserve">en </w:t>
      </w:r>
      <w:r w:rsidRPr="003E425B">
        <w:rPr>
          <w:rFonts w:ascii="Times New Roman" w:hAnsi="Times New Roman" w:cs="Times New Roman"/>
          <w:sz w:val="28"/>
          <w:szCs w:val="28"/>
        </w:rPr>
        <w:t>sus</w:t>
      </w:r>
      <w:r w:rsidRPr="003E425B">
        <w:rPr>
          <w:rFonts w:ascii="Times New Roman" w:hAnsi="Times New Roman" w:cs="Times New Roman"/>
          <w:sz w:val="28"/>
          <w:szCs w:val="28"/>
        </w:rPr>
        <w:t xml:space="preserve"> rasgos físicos durante el momento de la votación</w:t>
      </w:r>
      <w:r w:rsidRPr="003E425B">
        <w:rPr>
          <w:rFonts w:ascii="Times New Roman" w:hAnsi="Times New Roman" w:cs="Times New Roman"/>
          <w:sz w:val="28"/>
          <w:szCs w:val="28"/>
        </w:rPr>
        <w:t xml:space="preserve"> y su forma de vestir</w:t>
      </w:r>
      <w:r w:rsidRPr="003E425B">
        <w:rPr>
          <w:rFonts w:ascii="Times New Roman" w:hAnsi="Times New Roman" w:cs="Times New Roman"/>
          <w:sz w:val="28"/>
          <w:szCs w:val="28"/>
        </w:rPr>
        <w:t>. Estas imágenes permitieron determinar con precisión su participación o</w:t>
      </w:r>
      <w:r w:rsidRPr="003E425B">
        <w:rPr>
          <w:rFonts w:ascii="Times New Roman" w:hAnsi="Times New Roman" w:cs="Times New Roman"/>
          <w:sz w:val="28"/>
          <w:szCs w:val="28"/>
        </w:rPr>
        <w:t xml:space="preserve"> no en la votación ordinaria del informe de ponencia en el momento exacto</w:t>
      </w:r>
      <w:r w:rsidRPr="003E425B">
        <w:rPr>
          <w:rFonts w:ascii="Times New Roman" w:hAnsi="Times New Roman" w:cs="Times New Roman"/>
          <w:sz w:val="28"/>
          <w:szCs w:val="28"/>
        </w:rPr>
        <w:t xml:space="preserve"> conforme al material fílmico analizado</w:t>
      </w:r>
      <w:r w:rsidRPr="003E425B">
        <w:rPr>
          <w:rFonts w:ascii="Times New Roman" w:hAnsi="Times New Roman" w:cs="Times New Roman"/>
          <w:sz w:val="28"/>
          <w:szCs w:val="28"/>
        </w:rPr>
        <w:t>.</w:t>
      </w:r>
    </w:p>
    <w:p w:rsidR="00AE66FB" w:rsidRPr="003E425B" w:rsidRDefault="003E425B" w:rsidP="626521E1">
      <w:pPr>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4390"/>
        <w:gridCol w:w="5244"/>
      </w:tblGrid>
      <w:tr w:rsidR="00390306" w:rsidRPr="003E425B" w:rsidTr="006522FF">
        <w:tc>
          <w:tcPr>
            <w:tcW w:w="4390" w:type="dxa"/>
          </w:tcPr>
          <w:p w:rsidR="00390306" w:rsidRPr="003E425B" w:rsidRDefault="003E425B" w:rsidP="00AF213C">
            <w:pPr>
              <w:jc w:val="center"/>
              <w:rPr>
                <w:rFonts w:ascii="Times New Roman" w:hAnsi="Times New Roman" w:cs="Times New Roman"/>
                <w:b/>
                <w:bCs/>
                <w:sz w:val="28"/>
                <w:szCs w:val="28"/>
              </w:rPr>
            </w:pPr>
            <w:r w:rsidRPr="003E425B">
              <w:rPr>
                <w:rFonts w:ascii="Times New Roman" w:hAnsi="Times New Roman" w:cs="Times New Roman"/>
                <w:b/>
                <w:bCs/>
                <w:sz w:val="28"/>
                <w:szCs w:val="28"/>
              </w:rPr>
              <w:t>Nombre</w:t>
            </w:r>
          </w:p>
        </w:tc>
        <w:tc>
          <w:tcPr>
            <w:tcW w:w="5244" w:type="dxa"/>
          </w:tcPr>
          <w:p w:rsidR="00390306" w:rsidRPr="003E425B" w:rsidRDefault="003E425B" w:rsidP="00AF213C">
            <w:pPr>
              <w:jc w:val="center"/>
              <w:rPr>
                <w:rFonts w:ascii="Times New Roman" w:hAnsi="Times New Roman" w:cs="Times New Roman"/>
                <w:b/>
                <w:bCs/>
                <w:sz w:val="28"/>
                <w:szCs w:val="28"/>
              </w:rPr>
            </w:pPr>
            <w:r w:rsidRPr="003E425B">
              <w:rPr>
                <w:rFonts w:ascii="Times New Roman" w:hAnsi="Times New Roman" w:cs="Times New Roman"/>
                <w:b/>
                <w:bCs/>
                <w:sz w:val="28"/>
                <w:szCs w:val="28"/>
              </w:rPr>
              <w:t>Fotograma de los videos del expediente</w:t>
            </w: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bookmarkStart w:id="38" w:name="_Hlk173093104"/>
            <w:r w:rsidRPr="003E425B">
              <w:rPr>
                <w:rFonts w:ascii="Times New Roman" w:hAnsi="Times New Roman" w:cs="Times New Roman"/>
                <w:sz w:val="28"/>
                <w:szCs w:val="28"/>
              </w:rPr>
              <w:t>Fabio Raúl Amín Saleme</w:t>
            </w:r>
            <w:bookmarkEnd w:id="38"/>
          </w:p>
        </w:tc>
        <w:tc>
          <w:tcPr>
            <w:tcW w:w="5244" w:type="dxa"/>
          </w:tcPr>
          <w:p w:rsidR="00390306" w:rsidRPr="003E425B" w:rsidRDefault="003E425B" w:rsidP="00D11898">
            <w:pPr>
              <w:jc w:val="both"/>
              <w:rPr>
                <w:rFonts w:ascii="Times New Roman" w:hAnsi="Times New Roman" w:cs="Times New Roman"/>
                <w:sz w:val="28"/>
                <w:szCs w:val="28"/>
              </w:rPr>
            </w:pPr>
            <w:r w:rsidRPr="003E425B">
              <w:rPr>
                <w:rFonts w:ascii="Times New Roman" w:hAnsi="Times New Roman" w:cs="Times New Roman"/>
                <w:noProof/>
                <w:sz w:val="28"/>
                <w:szCs w:val="28"/>
              </w:rPr>
              <w:drawing>
                <wp:inline distT="0" distB="0" distL="0" distR="0">
                  <wp:extent cx="1905000" cy="1076325"/>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rsidR="00390306" w:rsidRPr="003E425B" w:rsidRDefault="003E425B" w:rsidP="00D11898">
            <w:pPr>
              <w:jc w:val="both"/>
              <w:rPr>
                <w:rFonts w:ascii="Times New Roman" w:hAnsi="Times New Roman" w:cs="Times New Roman"/>
                <w:sz w:val="28"/>
                <w:szCs w:val="28"/>
              </w:rPr>
            </w:pP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bookmarkStart w:id="39" w:name="_Hlk173094106"/>
            <w:r w:rsidRPr="003E425B">
              <w:rPr>
                <w:rFonts w:ascii="Times New Roman" w:hAnsi="Times New Roman" w:cs="Times New Roman"/>
                <w:sz w:val="28"/>
                <w:szCs w:val="28"/>
              </w:rPr>
              <w:t>Ariel Fernando Ávila Martínez</w:t>
            </w:r>
            <w:bookmarkEnd w:id="39"/>
          </w:p>
        </w:tc>
        <w:tc>
          <w:tcPr>
            <w:tcW w:w="5244" w:type="dxa"/>
          </w:tcPr>
          <w:p w:rsidR="00390306" w:rsidRPr="003E425B" w:rsidRDefault="003E425B" w:rsidP="00D11898">
            <w:pPr>
              <w:pStyle w:val="NormalWeb"/>
              <w:rPr>
                <w:rFonts w:ascii="Times New Roman" w:hAnsi="Times New Roman"/>
                <w:sz w:val="28"/>
              </w:rPr>
            </w:pPr>
            <w:r w:rsidRPr="003E425B">
              <w:rPr>
                <w:rFonts w:ascii="Times New Roman" w:hAnsi="Times New Roman"/>
                <w:noProof/>
                <w:sz w:val="28"/>
              </w:rPr>
              <w:drawing>
                <wp:inline distT="0" distB="0" distL="0" distR="0">
                  <wp:extent cx="1962150" cy="1428750"/>
                  <wp:effectExtent l="0" t="0" r="0" b="0"/>
                  <wp:docPr id="7" name="Imagen 9" descr="Una persona con una camisa blanc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Una persona con una camisa blanca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b="31703"/>
                          <a:stretch>
                            <a:fillRect/>
                          </a:stretch>
                        </pic:blipFill>
                        <pic:spPr bwMode="auto">
                          <a:xfrm>
                            <a:off x="0" y="0"/>
                            <a:ext cx="1962150" cy="1428750"/>
                          </a:xfrm>
                          <a:prstGeom prst="rect">
                            <a:avLst/>
                          </a:prstGeom>
                          <a:noFill/>
                          <a:ln>
                            <a:noFill/>
                          </a:ln>
                        </pic:spPr>
                      </pic:pic>
                    </a:graphicData>
                  </a:graphic>
                </wp:inline>
              </w:drawing>
            </w:r>
          </w:p>
          <w:p w:rsidR="00390306" w:rsidRPr="003E425B" w:rsidRDefault="003E425B" w:rsidP="00D11898">
            <w:pPr>
              <w:jc w:val="both"/>
              <w:rPr>
                <w:rFonts w:ascii="Times New Roman" w:hAnsi="Times New Roman" w:cs="Times New Roman"/>
                <w:sz w:val="28"/>
                <w:szCs w:val="28"/>
              </w:rPr>
            </w:pP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r w:rsidRPr="003E425B">
              <w:rPr>
                <w:rFonts w:ascii="Times New Roman" w:hAnsi="Times New Roman" w:cs="Times New Roman"/>
                <w:sz w:val="28"/>
                <w:szCs w:val="28"/>
              </w:rPr>
              <w:t>Alejandro Carlos Chacón</w:t>
            </w:r>
          </w:p>
        </w:tc>
        <w:tc>
          <w:tcPr>
            <w:tcW w:w="5244" w:type="dxa"/>
          </w:tcPr>
          <w:p w:rsidR="00390306" w:rsidRPr="003E425B" w:rsidRDefault="003E425B" w:rsidP="00D11898">
            <w:pPr>
              <w:jc w:val="both"/>
              <w:rPr>
                <w:rFonts w:ascii="Times New Roman" w:hAnsi="Times New Roman" w:cs="Times New Roman"/>
                <w:sz w:val="28"/>
                <w:szCs w:val="28"/>
              </w:rPr>
            </w:pPr>
            <w:r w:rsidRPr="003E425B">
              <w:rPr>
                <w:rFonts w:ascii="Times New Roman" w:hAnsi="Times New Roman" w:cs="Times New Roman"/>
                <w:noProof/>
                <w:sz w:val="28"/>
                <w:szCs w:val="28"/>
              </w:rPr>
              <w:drawing>
                <wp:inline distT="0" distB="0" distL="0" distR="0">
                  <wp:extent cx="1933575" cy="1266825"/>
                  <wp:effectExtent l="0" t="0" r="0" b="0"/>
                  <wp:docPr id="8" name="Imagen 2" descr="Un hombre con un micrófono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n hombre con un micrófonoDescripción generada automáticamente con confianza baj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33575" cy="1266825"/>
                          </a:xfrm>
                          <a:prstGeom prst="rect">
                            <a:avLst/>
                          </a:prstGeom>
                          <a:noFill/>
                          <a:ln>
                            <a:noFill/>
                          </a:ln>
                        </pic:spPr>
                      </pic:pic>
                    </a:graphicData>
                  </a:graphic>
                </wp:inline>
              </w:drawing>
            </w: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bookmarkStart w:id="40" w:name="_Hlk173161934"/>
            <w:r w:rsidRPr="003E425B">
              <w:rPr>
                <w:rFonts w:ascii="Times New Roman" w:hAnsi="Times New Roman" w:cs="Times New Roman"/>
                <w:sz w:val="28"/>
                <w:szCs w:val="28"/>
              </w:rPr>
              <w:t>Humberto De la Calle</w:t>
            </w:r>
          </w:p>
          <w:p w:rsidR="00390306" w:rsidRPr="003E425B" w:rsidRDefault="003E425B" w:rsidP="00390306">
            <w:pPr>
              <w:jc w:val="center"/>
              <w:rPr>
                <w:rFonts w:ascii="Times New Roman" w:hAnsi="Times New Roman" w:cs="Times New Roman"/>
                <w:sz w:val="28"/>
                <w:szCs w:val="28"/>
              </w:rPr>
            </w:pPr>
            <w:r w:rsidRPr="003E425B">
              <w:rPr>
                <w:rFonts w:ascii="Times New Roman" w:hAnsi="Times New Roman" w:cs="Times New Roman"/>
                <w:sz w:val="28"/>
                <w:szCs w:val="28"/>
              </w:rPr>
              <w:t>Lombana</w:t>
            </w:r>
            <w:bookmarkEnd w:id="40"/>
          </w:p>
        </w:tc>
        <w:tc>
          <w:tcPr>
            <w:tcW w:w="5244"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rPr>
              <w:drawing>
                <wp:inline distT="0" distB="0" distL="0" distR="0">
                  <wp:extent cx="1962150" cy="1457325"/>
                  <wp:effectExtent l="0" t="0" r="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62150" cy="1457325"/>
                          </a:xfrm>
                          <a:prstGeom prst="rect">
                            <a:avLst/>
                          </a:prstGeom>
                          <a:noFill/>
                          <a:ln>
                            <a:noFill/>
                          </a:ln>
                        </pic:spPr>
                      </pic:pic>
                    </a:graphicData>
                  </a:graphic>
                </wp:inline>
              </w:drawing>
            </w:r>
          </w:p>
          <w:p w:rsidR="00390306" w:rsidRPr="003E425B" w:rsidRDefault="003E425B" w:rsidP="00D11898">
            <w:pPr>
              <w:jc w:val="both"/>
              <w:rPr>
                <w:rFonts w:ascii="Times New Roman" w:hAnsi="Times New Roman" w:cs="Times New Roman"/>
                <w:sz w:val="28"/>
                <w:szCs w:val="28"/>
              </w:rPr>
            </w:pP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r w:rsidRPr="003E425B">
              <w:rPr>
                <w:rFonts w:ascii="Times New Roman" w:hAnsi="Times New Roman" w:cs="Times New Roman"/>
                <w:sz w:val="28"/>
                <w:szCs w:val="28"/>
              </w:rPr>
              <w:t>Juan Carlos García Gómez</w:t>
            </w:r>
          </w:p>
        </w:tc>
        <w:tc>
          <w:tcPr>
            <w:tcW w:w="5244" w:type="dxa"/>
          </w:tcPr>
          <w:p w:rsidR="00390306" w:rsidRPr="003E425B" w:rsidRDefault="003E425B" w:rsidP="00D11898">
            <w:pPr>
              <w:pStyle w:val="NormalWeb"/>
              <w:jc w:val="both"/>
              <w:rPr>
                <w:rFonts w:ascii="Times New Roman" w:hAnsi="Times New Roman"/>
                <w:sz w:val="28"/>
              </w:rPr>
            </w:pPr>
          </w:p>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rPr>
              <w:drawing>
                <wp:inline distT="0" distB="0" distL="0" distR="0">
                  <wp:extent cx="2028825" cy="1514475"/>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28825" cy="1514475"/>
                          </a:xfrm>
                          <a:prstGeom prst="rect">
                            <a:avLst/>
                          </a:prstGeom>
                          <a:noFill/>
                          <a:ln>
                            <a:noFill/>
                          </a:ln>
                        </pic:spPr>
                      </pic:pic>
                    </a:graphicData>
                  </a:graphic>
                </wp:inline>
              </w:drawing>
            </w:r>
          </w:p>
          <w:p w:rsidR="00390306" w:rsidRPr="003E425B" w:rsidRDefault="003E425B" w:rsidP="00D11898">
            <w:pPr>
              <w:pStyle w:val="NormalWeb"/>
              <w:jc w:val="both"/>
              <w:rPr>
                <w:rFonts w:ascii="Times New Roman" w:hAnsi="Times New Roman"/>
                <w:sz w:val="28"/>
                <w:szCs w:val="28"/>
              </w:rPr>
            </w:pP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r w:rsidRPr="003E425B">
              <w:rPr>
                <w:rFonts w:ascii="Times New Roman" w:hAnsi="Times New Roman" w:cs="Times New Roman"/>
                <w:sz w:val="28"/>
                <w:szCs w:val="28"/>
              </w:rPr>
              <w:t>Alexander López Maya</w:t>
            </w:r>
          </w:p>
          <w:p w:rsidR="00390306" w:rsidRPr="003E425B" w:rsidRDefault="003E425B" w:rsidP="00390306">
            <w:pPr>
              <w:jc w:val="center"/>
              <w:rPr>
                <w:rFonts w:ascii="Times New Roman" w:hAnsi="Times New Roman" w:cs="Times New Roman"/>
                <w:sz w:val="28"/>
                <w:szCs w:val="28"/>
              </w:rPr>
            </w:pPr>
          </w:p>
          <w:p w:rsidR="00390306" w:rsidRPr="003E425B" w:rsidRDefault="003E425B" w:rsidP="00390306">
            <w:pPr>
              <w:jc w:val="center"/>
              <w:rPr>
                <w:rFonts w:ascii="Times New Roman" w:hAnsi="Times New Roman" w:cs="Times New Roman"/>
                <w:sz w:val="28"/>
                <w:szCs w:val="28"/>
              </w:rPr>
            </w:pPr>
          </w:p>
        </w:tc>
        <w:tc>
          <w:tcPr>
            <w:tcW w:w="5244"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rPr>
              <w:drawing>
                <wp:inline distT="0" distB="0" distL="0" distR="0">
                  <wp:extent cx="1943100" cy="1504950"/>
                  <wp:effectExtent l="0" t="0" r="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43100" cy="1504950"/>
                          </a:xfrm>
                          <a:prstGeom prst="rect">
                            <a:avLst/>
                          </a:prstGeom>
                          <a:noFill/>
                          <a:ln>
                            <a:noFill/>
                          </a:ln>
                        </pic:spPr>
                      </pic:pic>
                    </a:graphicData>
                  </a:graphic>
                </wp:inline>
              </w:drawing>
            </w:r>
          </w:p>
          <w:p w:rsidR="00390306" w:rsidRPr="003E425B" w:rsidRDefault="003E425B" w:rsidP="00D11898">
            <w:pPr>
              <w:pStyle w:val="NormalWeb"/>
              <w:jc w:val="both"/>
              <w:rPr>
                <w:rFonts w:ascii="Times New Roman" w:hAnsi="Times New Roman"/>
                <w:sz w:val="28"/>
              </w:rPr>
            </w:pP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bookmarkStart w:id="41" w:name="_Hlk173210288"/>
            <w:r w:rsidRPr="003E425B">
              <w:rPr>
                <w:rFonts w:ascii="Times New Roman" w:hAnsi="Times New Roman" w:cs="Times New Roman"/>
                <w:sz w:val="28"/>
                <w:szCs w:val="28"/>
              </w:rPr>
              <w:t>María José Pizarro Rodríguez.</w:t>
            </w:r>
            <w:bookmarkEnd w:id="41"/>
          </w:p>
        </w:tc>
        <w:tc>
          <w:tcPr>
            <w:tcW w:w="5244"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szCs w:val="28"/>
              </w:rPr>
              <w:drawing>
                <wp:inline distT="0" distB="0" distL="0" distR="0">
                  <wp:extent cx="1990725" cy="1571625"/>
                  <wp:effectExtent l="0" t="0" r="0" b="0"/>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90725" cy="1571625"/>
                          </a:xfrm>
                          <a:prstGeom prst="rect">
                            <a:avLst/>
                          </a:prstGeom>
                          <a:noFill/>
                          <a:ln>
                            <a:noFill/>
                          </a:ln>
                        </pic:spPr>
                      </pic:pic>
                    </a:graphicData>
                  </a:graphic>
                </wp:inline>
              </w:drawing>
            </w:r>
          </w:p>
          <w:p w:rsidR="00390306" w:rsidRPr="003E425B" w:rsidRDefault="003E425B" w:rsidP="00D11898">
            <w:pPr>
              <w:pStyle w:val="NormalWeb"/>
              <w:jc w:val="both"/>
              <w:rPr>
                <w:rFonts w:ascii="Times New Roman" w:hAnsi="Times New Roman"/>
                <w:sz w:val="28"/>
              </w:rPr>
            </w:pPr>
          </w:p>
        </w:tc>
      </w:tr>
      <w:tr w:rsidR="00390306" w:rsidRPr="003E425B" w:rsidTr="006522FF">
        <w:tc>
          <w:tcPr>
            <w:tcW w:w="4390" w:type="dxa"/>
          </w:tcPr>
          <w:p w:rsidR="00390306" w:rsidRPr="003E425B" w:rsidRDefault="003E425B" w:rsidP="00390306">
            <w:pPr>
              <w:jc w:val="center"/>
              <w:rPr>
                <w:rFonts w:ascii="Times New Roman" w:hAnsi="Times New Roman" w:cs="Times New Roman"/>
                <w:sz w:val="28"/>
                <w:szCs w:val="28"/>
              </w:rPr>
            </w:pPr>
            <w:bookmarkStart w:id="42" w:name="_Hlk173210415"/>
            <w:r w:rsidRPr="003E425B">
              <w:rPr>
                <w:rFonts w:ascii="Times New Roman" w:hAnsi="Times New Roman" w:cs="Times New Roman"/>
                <w:sz w:val="28"/>
                <w:szCs w:val="28"/>
              </w:rPr>
              <w:t>Jonathan Ferney Pulido Hernández</w:t>
            </w:r>
            <w:bookmarkEnd w:id="42"/>
          </w:p>
        </w:tc>
        <w:tc>
          <w:tcPr>
            <w:tcW w:w="5244"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rPr>
              <w:drawing>
                <wp:inline distT="0" distB="0" distL="0" distR="0">
                  <wp:extent cx="2000250" cy="1114425"/>
                  <wp:effectExtent l="0" t="0" r="0" b="0"/>
                  <wp:docPr id="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5">
                            <a:extLst>
                              <a:ext uri="{28A0092B-C50C-407E-A947-70E740481C1C}">
                                <a14:useLocalDpi xmlns:a14="http://schemas.microsoft.com/office/drawing/2010/main" val="0"/>
                              </a:ext>
                            </a:extLst>
                          </a:blip>
                          <a:srcRect r="11661" b="18800"/>
                          <a:stretch>
                            <a:fillRect/>
                          </a:stretch>
                        </pic:blipFill>
                        <pic:spPr bwMode="auto">
                          <a:xfrm>
                            <a:off x="0" y="0"/>
                            <a:ext cx="2000250" cy="1114425"/>
                          </a:xfrm>
                          <a:prstGeom prst="rect">
                            <a:avLst/>
                          </a:prstGeom>
                          <a:noFill/>
                          <a:ln>
                            <a:noFill/>
                          </a:ln>
                        </pic:spPr>
                      </pic:pic>
                    </a:graphicData>
                  </a:graphic>
                </wp:inline>
              </w:drawing>
            </w:r>
          </w:p>
          <w:p w:rsidR="00390306" w:rsidRPr="003E425B" w:rsidRDefault="003E425B" w:rsidP="00D11898">
            <w:pPr>
              <w:pStyle w:val="NormalWeb"/>
              <w:jc w:val="both"/>
              <w:rPr>
                <w:rFonts w:ascii="Times New Roman" w:hAnsi="Times New Roman"/>
                <w:sz w:val="28"/>
              </w:rPr>
            </w:pPr>
          </w:p>
        </w:tc>
      </w:tr>
    </w:tbl>
    <w:p w:rsidR="001231BD" w:rsidRPr="003E425B" w:rsidRDefault="003E425B" w:rsidP="626521E1">
      <w:pPr>
        <w:jc w:val="both"/>
        <w:rPr>
          <w:rFonts w:ascii="Times New Roman" w:hAnsi="Times New Roman" w:cs="Times New Roman"/>
          <w:sz w:val="28"/>
          <w:szCs w:val="28"/>
        </w:rPr>
      </w:pPr>
    </w:p>
    <w:p w:rsidR="00390306" w:rsidRPr="003E425B" w:rsidRDefault="003E425B" w:rsidP="00AE66FB">
      <w:pPr>
        <w:jc w:val="both"/>
        <w:rPr>
          <w:rFonts w:ascii="Times New Roman" w:hAnsi="Times New Roman" w:cs="Times New Roman"/>
          <w:sz w:val="28"/>
          <w:szCs w:val="28"/>
        </w:rPr>
      </w:pPr>
      <w:r w:rsidRPr="003E425B">
        <w:rPr>
          <w:rFonts w:ascii="Times New Roman" w:hAnsi="Times New Roman" w:cs="Times New Roman"/>
          <w:sz w:val="28"/>
          <w:szCs w:val="28"/>
        </w:rPr>
        <w:t xml:space="preserve">Asimismo, algunos </w:t>
      </w:r>
      <w:r w:rsidRPr="003E425B">
        <w:rPr>
          <w:rFonts w:ascii="Times New Roman" w:hAnsi="Times New Roman" w:cs="Times New Roman"/>
          <w:sz w:val="28"/>
          <w:szCs w:val="28"/>
        </w:rPr>
        <w:t>senadores</w:t>
      </w:r>
      <w:r w:rsidRPr="003E425B">
        <w:rPr>
          <w:rFonts w:ascii="Times New Roman" w:hAnsi="Times New Roman" w:cs="Times New Roman"/>
          <w:sz w:val="28"/>
          <w:szCs w:val="28"/>
        </w:rPr>
        <w:t xml:space="preserve"> no eran claramente visibles en el video del canal del Congreso. Por consiguiente, se requirió confrontar dicho material con otras imágenes disponibles para garantizar una identificación precisa de los mismos en los videos objeto de análisis.</w:t>
      </w:r>
      <w:r w:rsidRPr="003E425B">
        <w:rPr>
          <w:rFonts w:ascii="Times New Roman" w:hAnsi="Times New Roman" w:cs="Times New Roman"/>
          <w:sz w:val="28"/>
          <w:szCs w:val="28"/>
        </w:rPr>
        <w:t xml:space="preserve"> Estos senador</w:t>
      </w:r>
      <w:r w:rsidRPr="003E425B">
        <w:rPr>
          <w:rFonts w:ascii="Times New Roman" w:hAnsi="Times New Roman" w:cs="Times New Roman"/>
          <w:sz w:val="28"/>
          <w:szCs w:val="28"/>
        </w:rPr>
        <w:t xml:space="preserve">es fueron </w:t>
      </w:r>
      <w:r w:rsidRPr="003E425B">
        <w:rPr>
          <w:rFonts w:ascii="Times New Roman" w:hAnsi="Times New Roman" w:cs="Times New Roman"/>
          <w:sz w:val="28"/>
          <w:szCs w:val="28"/>
        </w:rPr>
        <w:t>Julio Elías Chagüi Flórez</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Alfredo Rafael Deluque Zuleta</w:t>
      </w:r>
      <w:r w:rsidRPr="003E425B">
        <w:rPr>
          <w:rFonts w:ascii="Times New Roman" w:hAnsi="Times New Roman" w:cs="Times New Roman"/>
          <w:sz w:val="28"/>
          <w:szCs w:val="28"/>
        </w:rPr>
        <w:t xml:space="preserve"> y </w:t>
      </w:r>
      <w:r w:rsidRPr="003E425B">
        <w:rPr>
          <w:rFonts w:ascii="Times New Roman" w:hAnsi="Times New Roman" w:cs="Times New Roman"/>
          <w:sz w:val="28"/>
          <w:szCs w:val="28"/>
        </w:rPr>
        <w:t>Julián Gallo Cubillos</w:t>
      </w:r>
      <w:r w:rsidRPr="003E425B">
        <w:rPr>
          <w:rFonts w:ascii="Times New Roman" w:hAnsi="Times New Roman" w:cs="Times New Roman"/>
          <w:sz w:val="28"/>
          <w:szCs w:val="28"/>
        </w:rPr>
        <w:t>.</w:t>
      </w:r>
    </w:p>
    <w:p w:rsidR="00AE66FB" w:rsidRPr="003E425B" w:rsidRDefault="003E425B" w:rsidP="626521E1">
      <w:pPr>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2365"/>
        <w:gridCol w:w="3401"/>
        <w:gridCol w:w="3868"/>
      </w:tblGrid>
      <w:tr w:rsidR="00390306" w:rsidRPr="003E425B" w:rsidTr="006522FF">
        <w:tc>
          <w:tcPr>
            <w:tcW w:w="2365" w:type="dxa"/>
          </w:tcPr>
          <w:p w:rsidR="00390306" w:rsidRPr="003E425B" w:rsidRDefault="003E425B" w:rsidP="00D11898">
            <w:pPr>
              <w:jc w:val="both"/>
              <w:rPr>
                <w:rFonts w:ascii="Times New Roman" w:hAnsi="Times New Roman" w:cs="Times New Roman"/>
                <w:sz w:val="28"/>
                <w:szCs w:val="28"/>
              </w:rPr>
            </w:pPr>
            <w:r w:rsidRPr="003E425B">
              <w:rPr>
                <w:rFonts w:ascii="Times New Roman" w:hAnsi="Times New Roman" w:cs="Times New Roman"/>
                <w:b/>
                <w:bCs/>
                <w:sz w:val="28"/>
                <w:szCs w:val="28"/>
              </w:rPr>
              <w:t>Nombre</w:t>
            </w:r>
          </w:p>
        </w:tc>
        <w:tc>
          <w:tcPr>
            <w:tcW w:w="3401" w:type="dxa"/>
          </w:tcPr>
          <w:p w:rsidR="00390306" w:rsidRPr="003E425B" w:rsidRDefault="003E425B" w:rsidP="00D11898">
            <w:pPr>
              <w:pStyle w:val="NormalWeb"/>
              <w:jc w:val="both"/>
              <w:rPr>
                <w:rFonts w:ascii="Times New Roman" w:hAnsi="Times New Roman"/>
                <w:b/>
                <w:bCs/>
                <w:noProof/>
                <w:sz w:val="28"/>
                <w:szCs w:val="28"/>
              </w:rPr>
            </w:pPr>
            <w:r w:rsidRPr="003E425B">
              <w:rPr>
                <w:rFonts w:ascii="Times New Roman" w:hAnsi="Times New Roman"/>
                <w:b/>
                <w:bCs/>
                <w:noProof/>
                <w:sz w:val="28"/>
                <w:szCs w:val="28"/>
              </w:rPr>
              <w:t>Imagen referente</w:t>
            </w:r>
          </w:p>
        </w:tc>
        <w:tc>
          <w:tcPr>
            <w:tcW w:w="3868" w:type="dxa"/>
          </w:tcPr>
          <w:p w:rsidR="00390306" w:rsidRPr="003E425B" w:rsidRDefault="003E425B" w:rsidP="00D11898">
            <w:pPr>
              <w:jc w:val="both"/>
              <w:rPr>
                <w:rFonts w:ascii="Times New Roman" w:hAnsi="Times New Roman" w:cs="Times New Roman"/>
                <w:noProof/>
                <w:sz w:val="28"/>
                <w:szCs w:val="28"/>
              </w:rPr>
            </w:pPr>
            <w:r w:rsidRPr="003E425B">
              <w:rPr>
                <w:rFonts w:ascii="Times New Roman" w:hAnsi="Times New Roman" w:cs="Times New Roman"/>
                <w:b/>
                <w:bCs/>
                <w:sz w:val="28"/>
                <w:szCs w:val="28"/>
              </w:rPr>
              <w:t>Fotograma de los videos del expediente</w:t>
            </w:r>
          </w:p>
        </w:tc>
      </w:tr>
      <w:tr w:rsidR="00390306" w:rsidRPr="003E425B" w:rsidTr="006522FF">
        <w:tc>
          <w:tcPr>
            <w:tcW w:w="2365" w:type="dxa"/>
          </w:tcPr>
          <w:p w:rsidR="00390306" w:rsidRPr="003E425B" w:rsidRDefault="003E425B" w:rsidP="00D11898">
            <w:pPr>
              <w:jc w:val="both"/>
              <w:rPr>
                <w:rFonts w:ascii="Times New Roman" w:hAnsi="Times New Roman" w:cs="Times New Roman"/>
                <w:sz w:val="28"/>
                <w:szCs w:val="28"/>
              </w:rPr>
            </w:pPr>
            <w:r w:rsidRPr="003E425B">
              <w:rPr>
                <w:rFonts w:ascii="Times New Roman" w:hAnsi="Times New Roman" w:cs="Times New Roman"/>
                <w:sz w:val="28"/>
                <w:szCs w:val="28"/>
              </w:rPr>
              <w:t>Julio Elías Chagüi Flórez</w:t>
            </w:r>
          </w:p>
        </w:tc>
        <w:tc>
          <w:tcPr>
            <w:tcW w:w="3401"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rPr>
              <w:drawing>
                <wp:inline distT="0" distB="0" distL="0" distR="0">
                  <wp:extent cx="1704975" cy="1562100"/>
                  <wp:effectExtent l="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04975" cy="1562100"/>
                          </a:xfrm>
                          <a:prstGeom prst="rect">
                            <a:avLst/>
                          </a:prstGeom>
                          <a:noFill/>
                          <a:ln>
                            <a:noFill/>
                          </a:ln>
                        </pic:spPr>
                      </pic:pic>
                    </a:graphicData>
                  </a:graphic>
                </wp:inline>
              </w:drawing>
            </w:r>
          </w:p>
        </w:tc>
        <w:tc>
          <w:tcPr>
            <w:tcW w:w="3868" w:type="dxa"/>
          </w:tcPr>
          <w:p w:rsidR="00390306" w:rsidRPr="003E425B" w:rsidRDefault="003E425B" w:rsidP="00D11898">
            <w:pPr>
              <w:jc w:val="both"/>
              <w:rPr>
                <w:rFonts w:ascii="Times New Roman" w:hAnsi="Times New Roman" w:cs="Times New Roman"/>
                <w:sz w:val="28"/>
                <w:szCs w:val="28"/>
              </w:rPr>
            </w:pPr>
            <w:r w:rsidRPr="003E425B">
              <w:rPr>
                <w:rFonts w:ascii="Times New Roman" w:hAnsi="Times New Roman" w:cs="Times New Roman"/>
                <w:noProof/>
                <w:sz w:val="28"/>
                <w:szCs w:val="28"/>
              </w:rPr>
              <w:drawing>
                <wp:inline distT="0" distB="0" distL="0" distR="0">
                  <wp:extent cx="1857375" cy="1685925"/>
                  <wp:effectExtent l="0" t="0" r="0" b="0"/>
                  <wp:docPr id="15" name="Imagen 3" descr="Un joven sentado en una silla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Un joven sentado en una sillaDescripción generada automáticamente con confianza baj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57375" cy="1685925"/>
                          </a:xfrm>
                          <a:prstGeom prst="rect">
                            <a:avLst/>
                          </a:prstGeom>
                          <a:noFill/>
                          <a:ln>
                            <a:noFill/>
                          </a:ln>
                        </pic:spPr>
                      </pic:pic>
                    </a:graphicData>
                  </a:graphic>
                </wp:inline>
              </w:drawing>
            </w:r>
          </w:p>
          <w:p w:rsidR="00390306" w:rsidRPr="003E425B" w:rsidRDefault="003E425B" w:rsidP="00D11898">
            <w:pPr>
              <w:jc w:val="both"/>
              <w:rPr>
                <w:rFonts w:ascii="Times New Roman" w:hAnsi="Times New Roman" w:cs="Times New Roman"/>
                <w:sz w:val="28"/>
                <w:szCs w:val="28"/>
              </w:rPr>
            </w:pPr>
          </w:p>
        </w:tc>
      </w:tr>
      <w:tr w:rsidR="00390306" w:rsidRPr="003E425B" w:rsidTr="006522FF">
        <w:tc>
          <w:tcPr>
            <w:tcW w:w="2365" w:type="dxa"/>
          </w:tcPr>
          <w:p w:rsidR="00390306" w:rsidRPr="003E425B" w:rsidRDefault="003E425B" w:rsidP="00D11898">
            <w:pPr>
              <w:jc w:val="both"/>
              <w:rPr>
                <w:rFonts w:ascii="Times New Roman" w:hAnsi="Times New Roman" w:cs="Times New Roman"/>
                <w:sz w:val="28"/>
                <w:szCs w:val="28"/>
              </w:rPr>
            </w:pPr>
            <w:bookmarkStart w:id="43" w:name="_Hlk173162429"/>
            <w:r w:rsidRPr="003E425B">
              <w:rPr>
                <w:rFonts w:ascii="Times New Roman" w:hAnsi="Times New Roman" w:cs="Times New Roman"/>
                <w:sz w:val="28"/>
                <w:szCs w:val="28"/>
              </w:rPr>
              <w:t xml:space="preserve">Alfredo Rafael Deluque </w:t>
            </w:r>
          </w:p>
          <w:p w:rsidR="00390306" w:rsidRPr="003E425B" w:rsidRDefault="003E425B" w:rsidP="00D11898">
            <w:pPr>
              <w:jc w:val="both"/>
              <w:rPr>
                <w:rFonts w:ascii="Times New Roman" w:hAnsi="Times New Roman" w:cs="Times New Roman"/>
                <w:sz w:val="28"/>
                <w:szCs w:val="28"/>
              </w:rPr>
            </w:pPr>
            <w:r w:rsidRPr="003E425B">
              <w:rPr>
                <w:rFonts w:ascii="Times New Roman" w:hAnsi="Times New Roman" w:cs="Times New Roman"/>
                <w:sz w:val="28"/>
                <w:szCs w:val="28"/>
              </w:rPr>
              <w:t>Zuleta</w:t>
            </w:r>
            <w:bookmarkEnd w:id="43"/>
          </w:p>
        </w:tc>
        <w:tc>
          <w:tcPr>
            <w:tcW w:w="3401"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szCs w:val="28"/>
              </w:rPr>
              <w:drawing>
                <wp:inline distT="0" distB="0" distL="0" distR="0">
                  <wp:extent cx="1628775" cy="1457325"/>
                  <wp:effectExtent l="0" t="0" r="0" b="0"/>
                  <wp:docPr id="16" name="Imagen 4" descr="Una persona con un traje de color azul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a persona con un traje de color azulDescripción generada automáticamente"/>
                          <pic:cNvPicPr>
                            <a:picLocks noChangeAspect="1" noChangeArrowheads="1"/>
                          </pic:cNvPicPr>
                        </pic:nvPicPr>
                        <pic:blipFill>
                          <a:blip r:embed="rId28">
                            <a:extLst>
                              <a:ext uri="{28A0092B-C50C-407E-A947-70E740481C1C}">
                                <a14:useLocalDpi xmlns:a14="http://schemas.microsoft.com/office/drawing/2010/main" val="0"/>
                              </a:ext>
                            </a:extLst>
                          </a:blip>
                          <a:srcRect b="24333"/>
                          <a:stretch>
                            <a:fillRect/>
                          </a:stretch>
                        </pic:blipFill>
                        <pic:spPr bwMode="auto">
                          <a:xfrm>
                            <a:off x="0" y="0"/>
                            <a:ext cx="1628775" cy="1457325"/>
                          </a:xfrm>
                          <a:prstGeom prst="rect">
                            <a:avLst/>
                          </a:prstGeom>
                          <a:noFill/>
                          <a:ln>
                            <a:noFill/>
                          </a:ln>
                        </pic:spPr>
                      </pic:pic>
                    </a:graphicData>
                  </a:graphic>
                </wp:inline>
              </w:drawing>
            </w:r>
          </w:p>
          <w:p w:rsidR="00390306" w:rsidRPr="003E425B" w:rsidRDefault="003E425B" w:rsidP="00D11898">
            <w:pPr>
              <w:pStyle w:val="NormalWeb"/>
              <w:jc w:val="both"/>
              <w:rPr>
                <w:rFonts w:ascii="Times New Roman" w:hAnsi="Times New Roman"/>
                <w:sz w:val="28"/>
              </w:rPr>
            </w:pPr>
          </w:p>
        </w:tc>
        <w:tc>
          <w:tcPr>
            <w:tcW w:w="3868"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rPr>
              <w:drawing>
                <wp:inline distT="0" distB="0" distL="0" distR="0">
                  <wp:extent cx="1895475" cy="1543050"/>
                  <wp:effectExtent l="0" t="0" r="0" b="0"/>
                  <wp:docPr id="17" name="Imagen 1" descr="Una persona sentada en una silla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Una persona sentada en una sillaDescripción generada automáticamente con confianza medi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95475" cy="1543050"/>
                          </a:xfrm>
                          <a:prstGeom prst="rect">
                            <a:avLst/>
                          </a:prstGeom>
                          <a:noFill/>
                          <a:ln>
                            <a:noFill/>
                          </a:ln>
                        </pic:spPr>
                      </pic:pic>
                    </a:graphicData>
                  </a:graphic>
                </wp:inline>
              </w:drawing>
            </w:r>
          </w:p>
        </w:tc>
      </w:tr>
      <w:tr w:rsidR="00390306" w:rsidRPr="003E425B" w:rsidTr="006522FF">
        <w:tc>
          <w:tcPr>
            <w:tcW w:w="2365" w:type="dxa"/>
          </w:tcPr>
          <w:p w:rsidR="00390306" w:rsidRPr="003E425B" w:rsidRDefault="003E425B" w:rsidP="00D11898">
            <w:pPr>
              <w:jc w:val="both"/>
              <w:rPr>
                <w:rFonts w:ascii="Times New Roman" w:hAnsi="Times New Roman" w:cs="Times New Roman"/>
                <w:sz w:val="28"/>
                <w:szCs w:val="28"/>
              </w:rPr>
            </w:pPr>
            <w:bookmarkStart w:id="44" w:name="_Hlk173162964"/>
            <w:r w:rsidRPr="003E425B">
              <w:rPr>
                <w:rFonts w:ascii="Times New Roman" w:hAnsi="Times New Roman" w:cs="Times New Roman"/>
                <w:sz w:val="28"/>
                <w:szCs w:val="28"/>
              </w:rPr>
              <w:t>Julián Gallo Cubillos</w:t>
            </w:r>
            <w:bookmarkEnd w:id="44"/>
          </w:p>
        </w:tc>
        <w:tc>
          <w:tcPr>
            <w:tcW w:w="3401" w:type="dxa"/>
          </w:tcPr>
          <w:p w:rsidR="00390306" w:rsidRPr="003E425B" w:rsidRDefault="003E425B" w:rsidP="00D11898">
            <w:pPr>
              <w:pStyle w:val="NormalWeb"/>
              <w:jc w:val="both"/>
              <w:rPr>
                <w:rFonts w:ascii="Times New Roman" w:hAnsi="Times New Roman"/>
                <w:sz w:val="28"/>
                <w:szCs w:val="28"/>
              </w:rPr>
            </w:pPr>
            <w:r w:rsidRPr="003E425B">
              <w:rPr>
                <w:rFonts w:ascii="Times New Roman" w:hAnsi="Times New Roman"/>
                <w:noProof/>
                <w:sz w:val="28"/>
              </w:rPr>
              <w:drawing>
                <wp:inline distT="0" distB="0" distL="0" distR="0">
                  <wp:extent cx="1590675" cy="1552575"/>
                  <wp:effectExtent l="0" t="0" r="0" b="0"/>
                  <wp:docPr id="18" name="Imagen 6" descr="Una persona sentado en un escritori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Una persona sentado en un escritorioDescripción generada automáticamente"/>
                          <pic:cNvPicPr>
                            <a:picLocks noChangeAspect="1" noChangeArrowheads="1"/>
                          </pic:cNvPicPr>
                        </pic:nvPicPr>
                        <pic:blipFill>
                          <a:blip r:embed="rId30">
                            <a:extLst>
                              <a:ext uri="{28A0092B-C50C-407E-A947-70E740481C1C}">
                                <a14:useLocalDpi xmlns:a14="http://schemas.microsoft.com/office/drawing/2010/main" val="0"/>
                              </a:ext>
                            </a:extLst>
                          </a:blip>
                          <a:srcRect b="20468"/>
                          <a:stretch>
                            <a:fillRect/>
                          </a:stretch>
                        </pic:blipFill>
                        <pic:spPr bwMode="auto">
                          <a:xfrm>
                            <a:off x="0" y="0"/>
                            <a:ext cx="1590675" cy="1552575"/>
                          </a:xfrm>
                          <a:prstGeom prst="rect">
                            <a:avLst/>
                          </a:prstGeom>
                          <a:noFill/>
                          <a:ln>
                            <a:noFill/>
                          </a:ln>
                        </pic:spPr>
                      </pic:pic>
                    </a:graphicData>
                  </a:graphic>
                </wp:inline>
              </w:drawing>
            </w:r>
          </w:p>
        </w:tc>
        <w:tc>
          <w:tcPr>
            <w:tcW w:w="3868" w:type="dxa"/>
          </w:tcPr>
          <w:p w:rsidR="00390306" w:rsidRPr="003E425B" w:rsidRDefault="003E425B" w:rsidP="00D11898">
            <w:pPr>
              <w:pStyle w:val="NormalWeb"/>
              <w:jc w:val="both"/>
              <w:rPr>
                <w:rFonts w:ascii="Times New Roman" w:hAnsi="Times New Roman"/>
                <w:sz w:val="28"/>
              </w:rPr>
            </w:pPr>
            <w:r w:rsidRPr="003E425B">
              <w:rPr>
                <w:rFonts w:ascii="Times New Roman" w:hAnsi="Times New Roman"/>
                <w:noProof/>
                <w:sz w:val="28"/>
                <w:szCs w:val="28"/>
              </w:rPr>
              <w:drawing>
                <wp:inline distT="0" distB="0" distL="0" distR="0">
                  <wp:extent cx="1866900" cy="1581150"/>
                  <wp:effectExtent l="0" t="0" r="0" b="0"/>
                  <wp:docPr id="19" name="Imagen 5" descr="Vista de una oficina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Vista de una oficinaDescripción generada automáticamente con confianza baja"/>
                          <pic:cNvPicPr>
                            <a:picLocks noChangeAspect="1" noChangeArrowheads="1"/>
                          </pic:cNvPicPr>
                        </pic:nvPicPr>
                        <pic:blipFill>
                          <a:blip r:embed="rId31">
                            <a:extLst>
                              <a:ext uri="{28A0092B-C50C-407E-A947-70E740481C1C}">
                                <a14:useLocalDpi xmlns:a14="http://schemas.microsoft.com/office/drawing/2010/main" val="0"/>
                              </a:ext>
                            </a:extLst>
                          </a:blip>
                          <a:srcRect b="19479"/>
                          <a:stretch>
                            <a:fillRect/>
                          </a:stretch>
                        </pic:blipFill>
                        <pic:spPr bwMode="auto">
                          <a:xfrm>
                            <a:off x="0" y="0"/>
                            <a:ext cx="1866900" cy="1581150"/>
                          </a:xfrm>
                          <a:prstGeom prst="rect">
                            <a:avLst/>
                          </a:prstGeom>
                          <a:noFill/>
                          <a:ln>
                            <a:noFill/>
                          </a:ln>
                        </pic:spPr>
                      </pic:pic>
                    </a:graphicData>
                  </a:graphic>
                </wp:inline>
              </w:drawing>
            </w:r>
          </w:p>
          <w:p w:rsidR="00390306" w:rsidRPr="003E425B" w:rsidRDefault="003E425B" w:rsidP="00D11898">
            <w:pPr>
              <w:pStyle w:val="NormalWeb"/>
              <w:jc w:val="both"/>
              <w:rPr>
                <w:rFonts w:ascii="Times New Roman" w:hAnsi="Times New Roman"/>
                <w:sz w:val="28"/>
              </w:rPr>
            </w:pPr>
          </w:p>
        </w:tc>
      </w:tr>
    </w:tbl>
    <w:p w:rsidR="00390306" w:rsidRPr="003E425B" w:rsidRDefault="003E425B" w:rsidP="626521E1">
      <w:pPr>
        <w:jc w:val="both"/>
        <w:rPr>
          <w:rFonts w:ascii="Times New Roman" w:hAnsi="Times New Roman" w:cs="Times New Roman"/>
          <w:sz w:val="28"/>
          <w:szCs w:val="28"/>
        </w:rPr>
      </w:pPr>
    </w:p>
    <w:p w:rsidR="00A91038" w:rsidRPr="003E425B" w:rsidRDefault="003E425B" w:rsidP="0036295E">
      <w:pPr>
        <w:jc w:val="both"/>
        <w:rPr>
          <w:rFonts w:ascii="Times New Roman" w:hAnsi="Times New Roman" w:cs="Times New Roman"/>
          <w:sz w:val="28"/>
          <w:szCs w:val="28"/>
        </w:rPr>
      </w:pPr>
      <w:r w:rsidRPr="003E425B">
        <w:rPr>
          <w:rFonts w:ascii="Times New Roman" w:hAnsi="Times New Roman" w:cs="Times New Roman"/>
          <w:sz w:val="28"/>
          <w:szCs w:val="28"/>
        </w:rPr>
        <w:t xml:space="preserve">Posterior al ejercicio de identificar </w:t>
      </w:r>
      <w:r w:rsidRPr="003E425B">
        <w:rPr>
          <w:rFonts w:ascii="Times New Roman" w:hAnsi="Times New Roman" w:cs="Times New Roman"/>
          <w:sz w:val="28"/>
          <w:szCs w:val="28"/>
        </w:rPr>
        <w:t>a cada uno de los senadores registrados en la votación de aprobación de informe de ponenci</w:t>
      </w:r>
      <w:r w:rsidRPr="003E425B">
        <w:rPr>
          <w:rFonts w:ascii="Times New Roman" w:hAnsi="Times New Roman" w:cs="Times New Roman"/>
          <w:sz w:val="28"/>
          <w:szCs w:val="28"/>
        </w:rPr>
        <w:t>a, se proced</w:t>
      </w:r>
      <w:r w:rsidRPr="003E425B">
        <w:rPr>
          <w:rFonts w:ascii="Times New Roman" w:hAnsi="Times New Roman" w:cs="Times New Roman"/>
          <w:sz w:val="28"/>
          <w:szCs w:val="28"/>
        </w:rPr>
        <w:t>ió</w:t>
      </w:r>
      <w:r w:rsidRPr="003E425B">
        <w:rPr>
          <w:rFonts w:ascii="Times New Roman" w:hAnsi="Times New Roman" w:cs="Times New Roman"/>
          <w:sz w:val="28"/>
          <w:szCs w:val="28"/>
        </w:rPr>
        <w:t xml:space="preserve"> a </w:t>
      </w:r>
      <w:r w:rsidRPr="003E425B">
        <w:rPr>
          <w:rFonts w:ascii="Times New Roman" w:hAnsi="Times New Roman" w:cs="Times New Roman"/>
          <w:sz w:val="28"/>
          <w:szCs w:val="28"/>
        </w:rPr>
        <w:t>localizar</w:t>
      </w:r>
      <w:r w:rsidRPr="003E425B">
        <w:rPr>
          <w:rFonts w:ascii="Times New Roman" w:hAnsi="Times New Roman" w:cs="Times New Roman"/>
          <w:sz w:val="28"/>
          <w:szCs w:val="28"/>
        </w:rPr>
        <w:t xml:space="preserve"> si cada uno de ellos se encontraba presente en el recinto</w:t>
      </w:r>
      <w:r w:rsidRPr="003E425B">
        <w:rPr>
          <w:rFonts w:ascii="Times New Roman" w:hAnsi="Times New Roman" w:cs="Times New Roman"/>
          <w:sz w:val="28"/>
          <w:szCs w:val="28"/>
        </w:rPr>
        <w:t xml:space="preserve"> al momento de la votación</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Este seguimiento</w:t>
      </w:r>
      <w:r w:rsidRPr="003E425B">
        <w:rPr>
          <w:rFonts w:ascii="Times New Roman" w:hAnsi="Times New Roman" w:cs="Times New Roman"/>
          <w:sz w:val="28"/>
          <w:szCs w:val="28"/>
        </w:rPr>
        <w:t xml:space="preserve"> se realizó en cada uno de los videos sincronizados</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77"/>
      </w:r>
      <w:r w:rsidRPr="003E425B">
        <w:rPr>
          <w:rFonts w:ascii="Times New Roman" w:hAnsi="Times New Roman" w:cs="Times New Roman"/>
          <w:sz w:val="28"/>
          <w:szCs w:val="28"/>
        </w:rPr>
        <w:t xml:space="preserve"> Al respecto se concluyó que en la votación estaban presentes</w:t>
      </w:r>
      <w:r w:rsidRPr="003E425B">
        <w:rPr>
          <w:rFonts w:ascii="Times New Roman" w:hAnsi="Times New Roman" w:cs="Times New Roman"/>
          <w:sz w:val="28"/>
          <w:szCs w:val="28"/>
        </w:rPr>
        <w:t xml:space="preserve"> los senadores Fabio Raúl Amín Sáleme, Ariel Fernando Ávila Martínez, Alejandro Carlos Chacón, Humberto De </w:t>
      </w:r>
      <w:r w:rsidRPr="003E425B">
        <w:rPr>
          <w:rFonts w:ascii="Times New Roman" w:hAnsi="Times New Roman" w:cs="Times New Roman"/>
          <w:sz w:val="28"/>
          <w:szCs w:val="28"/>
        </w:rPr>
        <w:t>L</w:t>
      </w:r>
      <w:r w:rsidRPr="003E425B">
        <w:rPr>
          <w:rFonts w:ascii="Times New Roman" w:hAnsi="Times New Roman" w:cs="Times New Roman"/>
          <w:sz w:val="28"/>
          <w:szCs w:val="28"/>
        </w:rPr>
        <w:t>a Calle Lombana, Alfredo Rafael De</w:t>
      </w:r>
      <w:r w:rsidRPr="003E425B">
        <w:rPr>
          <w:rFonts w:ascii="Times New Roman" w:hAnsi="Times New Roman" w:cs="Times New Roman"/>
          <w:sz w:val="28"/>
          <w:szCs w:val="28"/>
        </w:rPr>
        <w:t xml:space="preserve">luque Zuleta, </w:t>
      </w:r>
      <w:r w:rsidRPr="003E425B">
        <w:rPr>
          <w:rFonts w:ascii="Times New Roman" w:hAnsi="Times New Roman" w:cs="Times New Roman"/>
          <w:sz w:val="28"/>
          <w:szCs w:val="28"/>
        </w:rPr>
        <w:t>Julián Gallo Cubillos</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Julio Elías Chagüi Flórez</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Alexander López Maya</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María José Pizarro Rodríguez</w:t>
      </w:r>
      <w:r w:rsidRPr="003E425B">
        <w:rPr>
          <w:rFonts w:ascii="Times New Roman" w:hAnsi="Times New Roman" w:cs="Times New Roman"/>
          <w:sz w:val="28"/>
          <w:szCs w:val="28"/>
        </w:rPr>
        <w:t xml:space="preserve"> y </w:t>
      </w:r>
      <w:r w:rsidRPr="003E425B">
        <w:rPr>
          <w:rFonts w:ascii="Times New Roman" w:hAnsi="Times New Roman" w:cs="Times New Roman"/>
          <w:sz w:val="28"/>
          <w:szCs w:val="28"/>
        </w:rPr>
        <w:t>Jonathan Ferney Pulido Hernández</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Esto es, un total de</w:t>
      </w:r>
      <w:r w:rsidRPr="003E425B">
        <w:rPr>
          <w:rFonts w:ascii="Times New Roman" w:hAnsi="Times New Roman" w:cs="Times New Roman"/>
          <w:sz w:val="28"/>
          <w:szCs w:val="28"/>
        </w:rPr>
        <w:t xml:space="preserve"> 10 senadores presentes en el momento exacto de la votación ordinaria. Esto </w:t>
      </w:r>
      <w:r w:rsidRPr="003E425B">
        <w:rPr>
          <w:rFonts w:ascii="Times New Roman" w:hAnsi="Times New Roman" w:cs="Times New Roman"/>
          <w:sz w:val="28"/>
          <w:szCs w:val="28"/>
        </w:rPr>
        <w:t>demuestra</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que la votación se llevó a cabo sin quórum decisorio, dado que el quórum requerido era de 11 senadores de los 21 que integran la Comisión Primera Constitucional del Senado.</w:t>
      </w:r>
    </w:p>
    <w:p w:rsidR="00BE5925" w:rsidRPr="003E425B" w:rsidRDefault="003E425B" w:rsidP="0036295E">
      <w:pPr>
        <w:jc w:val="both"/>
        <w:rPr>
          <w:rFonts w:ascii="Times New Roman" w:hAnsi="Times New Roman" w:cs="Times New Roman"/>
          <w:sz w:val="28"/>
          <w:szCs w:val="28"/>
        </w:rPr>
      </w:pPr>
    </w:p>
    <w:p w:rsidR="00585E61" w:rsidRPr="003E425B" w:rsidRDefault="003E425B" w:rsidP="00A91038">
      <w:pPr>
        <w:jc w:val="both"/>
        <w:rPr>
          <w:rFonts w:ascii="Times New Roman" w:hAnsi="Times New Roman" w:cs="Times New Roman"/>
          <w:sz w:val="28"/>
          <w:szCs w:val="28"/>
        </w:rPr>
      </w:pPr>
      <w:r w:rsidRPr="003E425B">
        <w:rPr>
          <w:rFonts w:ascii="Times New Roman" w:hAnsi="Times New Roman" w:cs="Times New Roman"/>
          <w:sz w:val="28"/>
          <w:szCs w:val="28"/>
        </w:rPr>
        <w:t xml:space="preserve">Lo expuesto se refuerza con el acta de la sesión del 24 de noviembre de 2022, en </w:t>
      </w:r>
      <w:r w:rsidRPr="003E425B">
        <w:rPr>
          <w:rFonts w:ascii="Times New Roman" w:hAnsi="Times New Roman" w:cs="Times New Roman"/>
          <w:sz w:val="28"/>
          <w:szCs w:val="28"/>
        </w:rPr>
        <w:t>la cual, al realizar la votación nominal y pública de los artículos 2, 7, 8, 9, 10, 14 y 15 del Proyecto de Ley, se registraron un total de 10 votos. Los senadores presentes en esta votación fueron Fabio Raúl Amín Sáleme, Ariel Fernando Ávila Martínez, Ale</w:t>
      </w:r>
      <w:r w:rsidRPr="003E425B">
        <w:rPr>
          <w:rFonts w:ascii="Times New Roman" w:hAnsi="Times New Roman" w:cs="Times New Roman"/>
          <w:sz w:val="28"/>
          <w:szCs w:val="28"/>
        </w:rPr>
        <w:t>jandro Carlos Chacón Camargo, Julio Elías Chagüi Flórez, Alfredo Rafael Deluque Zuleta, Julián Gallo Cubillos, Alexander López Maya, María José Pizarro Rodríguez, Jonathan Ferney Pulido Hernández y Paloma Susana Valencia Laserna. Esta votación difiere de l</w:t>
      </w:r>
      <w:r w:rsidRPr="003E425B">
        <w:rPr>
          <w:rFonts w:ascii="Times New Roman" w:hAnsi="Times New Roman" w:cs="Times New Roman"/>
          <w:sz w:val="28"/>
          <w:szCs w:val="28"/>
        </w:rPr>
        <w:t>a votación nominal anterior, ya que, en esta ocasión, estaba presente la Senadora Paloma Susana Valencia Laserna, mientras que estaban ausentes Juan Carlos García Gómez y Humberto De la Calle Lombana.</w:t>
      </w:r>
    </w:p>
    <w:p w:rsidR="001A67AF" w:rsidRPr="003E425B" w:rsidRDefault="003E425B" w:rsidP="0036295E">
      <w:pPr>
        <w:jc w:val="both"/>
        <w:rPr>
          <w:rFonts w:ascii="Times New Roman" w:hAnsi="Times New Roman" w:cs="Times New Roman"/>
          <w:sz w:val="28"/>
          <w:szCs w:val="28"/>
        </w:rPr>
      </w:pPr>
    </w:p>
    <w:p w:rsidR="00BE5925" w:rsidRPr="003E425B" w:rsidRDefault="003E425B" w:rsidP="00BE5925">
      <w:pPr>
        <w:jc w:val="both"/>
        <w:rPr>
          <w:rFonts w:ascii="Times New Roman" w:hAnsi="Times New Roman" w:cs="Times New Roman"/>
          <w:bCs/>
          <w:color w:val="000000" w:themeColor="text1"/>
          <w:sz w:val="28"/>
          <w:szCs w:val="28"/>
        </w:rPr>
      </w:pPr>
      <w:r w:rsidRPr="003E425B">
        <w:rPr>
          <w:rFonts w:ascii="Times New Roman" w:hAnsi="Times New Roman" w:cs="Times New Roman"/>
          <w:bCs/>
          <w:color w:val="000000" w:themeColor="text1"/>
          <w:sz w:val="28"/>
          <w:szCs w:val="28"/>
        </w:rPr>
        <w:t>E</w:t>
      </w:r>
      <w:r w:rsidRPr="003E425B">
        <w:rPr>
          <w:rFonts w:ascii="Times New Roman" w:hAnsi="Times New Roman" w:cs="Times New Roman"/>
          <w:bCs/>
          <w:color w:val="000000" w:themeColor="text1"/>
          <w:sz w:val="28"/>
          <w:szCs w:val="28"/>
        </w:rPr>
        <w:t>n suma, de los medios fílmicos y otros medios de prue</w:t>
      </w:r>
      <w:r w:rsidRPr="003E425B">
        <w:rPr>
          <w:rFonts w:ascii="Times New Roman" w:hAnsi="Times New Roman" w:cs="Times New Roman"/>
          <w:bCs/>
          <w:color w:val="000000" w:themeColor="text1"/>
          <w:sz w:val="28"/>
          <w:szCs w:val="28"/>
        </w:rPr>
        <w:t>ba públicos era perfectamente posible concluir lo alegado por los accionantes, y era que no se contaba con el quórum decisorio y mayorías requeridas para aprobar el informe de ponencia. En efecto, e</w:t>
      </w:r>
      <w:r w:rsidRPr="003E425B">
        <w:rPr>
          <w:rFonts w:ascii="Times New Roman" w:hAnsi="Times New Roman" w:cs="Times New Roman"/>
          <w:bCs/>
          <w:color w:val="000000" w:themeColor="text1"/>
          <w:sz w:val="28"/>
          <w:szCs w:val="28"/>
        </w:rPr>
        <w:t>sta votación contó con la participación de 10 senadores de</w:t>
      </w:r>
      <w:r w:rsidRPr="003E425B">
        <w:rPr>
          <w:rFonts w:ascii="Times New Roman" w:hAnsi="Times New Roman" w:cs="Times New Roman"/>
          <w:bCs/>
          <w:color w:val="000000" w:themeColor="text1"/>
          <w:sz w:val="28"/>
          <w:szCs w:val="28"/>
        </w:rPr>
        <w:t xml:space="preserve"> la Comisión Primera, lo que configuró la falta de quórum decisorio necesario para la aprobación del informe</w:t>
      </w:r>
      <w:r w:rsidRPr="003E425B">
        <w:rPr>
          <w:rFonts w:ascii="Times New Roman" w:hAnsi="Times New Roman" w:cs="Times New Roman"/>
          <w:bCs/>
          <w:color w:val="000000" w:themeColor="text1"/>
          <w:sz w:val="28"/>
          <w:szCs w:val="28"/>
        </w:rPr>
        <w:t xml:space="preserve">, en detrimento del mandato previsto en el artículo 145 de la Constitución. </w:t>
      </w:r>
      <w:r w:rsidRPr="003E425B">
        <w:rPr>
          <w:rFonts w:ascii="Times New Roman" w:hAnsi="Times New Roman" w:cs="Times New Roman"/>
          <w:bCs/>
          <w:color w:val="000000" w:themeColor="text1"/>
          <w:sz w:val="28"/>
          <w:szCs w:val="28"/>
        </w:rPr>
        <w:t>Este constituyó otro vicio manifiesto del trámite legislativo.</w:t>
      </w:r>
    </w:p>
    <w:p w:rsidR="00666A2E" w:rsidRPr="003E425B" w:rsidRDefault="003E425B" w:rsidP="00BE5925">
      <w:pPr>
        <w:jc w:val="both"/>
        <w:rPr>
          <w:rFonts w:ascii="Times New Roman" w:hAnsi="Times New Roman" w:cs="Times New Roman"/>
          <w:bCs/>
          <w:color w:val="000000" w:themeColor="text1"/>
          <w:sz w:val="28"/>
          <w:szCs w:val="28"/>
        </w:rPr>
      </w:pPr>
    </w:p>
    <w:p w:rsidR="001C130C" w:rsidRPr="003E425B" w:rsidRDefault="003E425B" w:rsidP="00BE5925">
      <w:pPr>
        <w:jc w:val="both"/>
        <w:rPr>
          <w:rFonts w:ascii="Times New Roman" w:hAnsi="Times New Roman" w:cs="Times New Roman"/>
          <w:bCs/>
          <w:color w:val="000000" w:themeColor="text1"/>
          <w:sz w:val="28"/>
          <w:szCs w:val="28"/>
        </w:rPr>
      </w:pPr>
      <w:r w:rsidRPr="003E425B">
        <w:rPr>
          <w:rFonts w:ascii="Times New Roman" w:hAnsi="Times New Roman" w:cs="Times New Roman"/>
          <w:bCs/>
          <w:i/>
          <w:iCs/>
          <w:color w:val="000000" w:themeColor="text1"/>
          <w:sz w:val="28"/>
          <w:szCs w:val="28"/>
        </w:rPr>
        <w:t>Tercer a</w:t>
      </w:r>
      <w:r w:rsidRPr="003E425B">
        <w:rPr>
          <w:rFonts w:ascii="Times New Roman" w:hAnsi="Times New Roman" w:cs="Times New Roman"/>
          <w:bCs/>
          <w:i/>
          <w:iCs/>
          <w:color w:val="000000" w:themeColor="text1"/>
          <w:sz w:val="28"/>
          <w:szCs w:val="28"/>
        </w:rPr>
        <w:t xml:space="preserve">rgumento en la Sentencia C-161 de 2024 sobre el primer cargo. </w:t>
      </w:r>
      <w:r w:rsidRPr="003E425B">
        <w:rPr>
          <w:rFonts w:ascii="Times New Roman" w:hAnsi="Times New Roman" w:cs="Times New Roman"/>
          <w:bCs/>
          <w:color w:val="000000" w:themeColor="text1"/>
          <w:sz w:val="28"/>
          <w:szCs w:val="28"/>
        </w:rPr>
        <w:t xml:space="preserve">La Sala Plena explicó que no tener certeza del número de senadores presentes al momento de la votación no era un vicio del procedimiento, sino que supuso una </w:t>
      </w:r>
      <w:r w:rsidRPr="003E425B">
        <w:rPr>
          <w:rFonts w:ascii="Times New Roman" w:hAnsi="Times New Roman" w:cs="Times New Roman"/>
          <w:bCs/>
          <w:i/>
          <w:iCs/>
          <w:color w:val="000000" w:themeColor="text1"/>
          <w:sz w:val="28"/>
          <w:szCs w:val="28"/>
        </w:rPr>
        <w:t xml:space="preserve">simple irregularidad </w:t>
      </w:r>
      <w:r w:rsidRPr="003E425B">
        <w:rPr>
          <w:rFonts w:ascii="Times New Roman" w:hAnsi="Times New Roman" w:cs="Times New Roman"/>
          <w:bCs/>
          <w:color w:val="000000" w:themeColor="text1"/>
          <w:sz w:val="28"/>
          <w:szCs w:val="28"/>
        </w:rPr>
        <w:t>que no</w:t>
      </w:r>
      <w:r w:rsidRPr="003E425B">
        <w:rPr>
          <w:rFonts w:ascii="Times New Roman" w:hAnsi="Times New Roman" w:cs="Times New Roman"/>
          <w:bCs/>
          <w:color w:val="000000" w:themeColor="text1"/>
          <w:sz w:val="28"/>
          <w:szCs w:val="28"/>
        </w:rPr>
        <w:t xml:space="preserve"> supone u</w:t>
      </w:r>
      <w:r w:rsidRPr="003E425B">
        <w:rPr>
          <w:rFonts w:ascii="Times New Roman" w:hAnsi="Times New Roman" w:cs="Times New Roman"/>
          <w:bCs/>
          <w:color w:val="000000" w:themeColor="text1"/>
          <w:sz w:val="28"/>
          <w:szCs w:val="28"/>
        </w:rPr>
        <w:t>n vicio del trámite legislativo. Lo anterior, en el sentido que la Corte Constitucional “</w:t>
      </w:r>
      <w:r w:rsidRPr="003E425B">
        <w:rPr>
          <w:rFonts w:ascii="Times New Roman" w:hAnsi="Times New Roman" w:cs="Times New Roman"/>
          <w:bCs/>
          <w:i/>
          <w:iCs/>
          <w:color w:val="000000" w:themeColor="text1"/>
          <w:sz w:val="28"/>
          <w:szCs w:val="28"/>
        </w:rPr>
        <w:t>ha reiterado de forma pacífica y uniforme que no toda irregularidad en el trámite legislativo constituye un vicio de procedimiento.”</w:t>
      </w:r>
      <w:r w:rsidRPr="003E425B">
        <w:rPr>
          <w:rFonts w:ascii="Times New Roman" w:hAnsi="Times New Roman" w:cs="Times New Roman"/>
          <w:bCs/>
          <w:color w:val="000000" w:themeColor="text1"/>
          <w:sz w:val="28"/>
          <w:szCs w:val="28"/>
          <w:vertAlign w:val="superscript"/>
        </w:rPr>
        <w:footnoteReference w:id="478"/>
      </w:r>
      <w:r w:rsidRPr="003E425B">
        <w:rPr>
          <w:rFonts w:ascii="Times New Roman" w:hAnsi="Times New Roman" w:cs="Times New Roman"/>
          <w:bCs/>
          <w:i/>
          <w:iCs/>
          <w:color w:val="000000" w:themeColor="text1"/>
          <w:sz w:val="28"/>
          <w:szCs w:val="28"/>
        </w:rPr>
        <w:t xml:space="preserve"> </w:t>
      </w:r>
      <w:r w:rsidRPr="003E425B">
        <w:rPr>
          <w:rFonts w:ascii="Times New Roman" w:hAnsi="Times New Roman" w:cs="Times New Roman"/>
          <w:bCs/>
          <w:color w:val="000000" w:themeColor="text1"/>
          <w:sz w:val="28"/>
          <w:szCs w:val="28"/>
        </w:rPr>
        <w:t>A su vez, se invocó como fundamen</w:t>
      </w:r>
      <w:r w:rsidRPr="003E425B">
        <w:rPr>
          <w:rFonts w:ascii="Times New Roman" w:hAnsi="Times New Roman" w:cs="Times New Roman"/>
          <w:bCs/>
          <w:color w:val="000000" w:themeColor="text1"/>
          <w:sz w:val="28"/>
          <w:szCs w:val="28"/>
        </w:rPr>
        <w:t xml:space="preserve">to el principio </w:t>
      </w:r>
      <w:r w:rsidRPr="003E425B">
        <w:rPr>
          <w:rFonts w:ascii="Times New Roman" w:hAnsi="Times New Roman" w:cs="Times New Roman"/>
          <w:bCs/>
          <w:i/>
          <w:iCs/>
          <w:color w:val="000000" w:themeColor="text1"/>
          <w:sz w:val="28"/>
          <w:szCs w:val="28"/>
        </w:rPr>
        <w:t xml:space="preserve">in dubio pro legislatoris </w:t>
      </w:r>
      <w:r w:rsidRPr="003E425B">
        <w:rPr>
          <w:rFonts w:ascii="Times New Roman" w:hAnsi="Times New Roman" w:cs="Times New Roman"/>
          <w:bCs/>
          <w:color w:val="000000" w:themeColor="text1"/>
          <w:sz w:val="28"/>
          <w:szCs w:val="28"/>
        </w:rPr>
        <w:t>en el sentido que cualquier duda razonable en la ocurrencia de un vicio de procedimiento, debe resolverse a favor del Congreso de la República. Así pues, si no hay certeza de la ocurrencia del vicio, se debe salvag</w:t>
      </w:r>
      <w:r w:rsidRPr="003E425B">
        <w:rPr>
          <w:rFonts w:ascii="Times New Roman" w:hAnsi="Times New Roman" w:cs="Times New Roman"/>
          <w:bCs/>
          <w:color w:val="000000" w:themeColor="text1"/>
          <w:sz w:val="28"/>
          <w:szCs w:val="28"/>
        </w:rPr>
        <w:t>uardar el principio democrático.</w:t>
      </w:r>
      <w:r w:rsidRPr="003E425B">
        <w:rPr>
          <w:rFonts w:ascii="Times New Roman" w:hAnsi="Times New Roman" w:cs="Times New Roman"/>
          <w:bCs/>
          <w:color w:val="000000" w:themeColor="text1"/>
          <w:sz w:val="28"/>
          <w:szCs w:val="28"/>
        </w:rPr>
        <w:t xml:space="preserve"> </w:t>
      </w:r>
      <w:r w:rsidRPr="003E425B">
        <w:rPr>
          <w:rFonts w:ascii="Times New Roman" w:hAnsi="Times New Roman" w:cs="Times New Roman"/>
          <w:bCs/>
          <w:color w:val="000000" w:themeColor="text1"/>
          <w:sz w:val="28"/>
          <w:szCs w:val="28"/>
        </w:rPr>
        <w:t>En esta línea, debido a la falta de certeza de si se incumplió o no con el requisito de aprobación de las leyes,</w:t>
      </w:r>
      <w:r w:rsidRPr="003E425B">
        <w:rPr>
          <w:rFonts w:ascii="Times New Roman" w:hAnsi="Times New Roman" w:cs="Times New Roman"/>
          <w:bCs/>
          <w:color w:val="000000" w:themeColor="text1"/>
          <w:sz w:val="28"/>
          <w:szCs w:val="28"/>
        </w:rPr>
        <w:t xml:space="preserve"> la Sala no podría declarar la existencia de un vicio de procedimiento.</w:t>
      </w:r>
    </w:p>
    <w:p w:rsidR="00627EFF" w:rsidRPr="003E425B" w:rsidRDefault="003E425B" w:rsidP="00BE5925">
      <w:pPr>
        <w:jc w:val="both"/>
        <w:rPr>
          <w:rFonts w:ascii="Times New Roman" w:hAnsi="Times New Roman" w:cs="Times New Roman"/>
          <w:bCs/>
          <w:color w:val="000000" w:themeColor="text1"/>
          <w:sz w:val="28"/>
          <w:szCs w:val="28"/>
        </w:rPr>
      </w:pPr>
    </w:p>
    <w:p w:rsidR="00627EFF" w:rsidRPr="003E425B" w:rsidRDefault="003E425B" w:rsidP="00BE5925">
      <w:pPr>
        <w:jc w:val="both"/>
        <w:rPr>
          <w:rFonts w:ascii="Times New Roman" w:hAnsi="Times New Roman" w:cs="Times New Roman"/>
          <w:bCs/>
          <w:color w:val="000000" w:themeColor="text1"/>
          <w:sz w:val="28"/>
          <w:szCs w:val="28"/>
        </w:rPr>
      </w:pPr>
      <w:r w:rsidRPr="003E425B">
        <w:rPr>
          <w:rFonts w:ascii="Times New Roman" w:hAnsi="Times New Roman" w:cs="Times New Roman"/>
          <w:bCs/>
          <w:color w:val="000000" w:themeColor="text1"/>
          <w:sz w:val="28"/>
          <w:szCs w:val="28"/>
        </w:rPr>
        <w:t xml:space="preserve">En cualquier caso, el fallo observa </w:t>
      </w:r>
      <w:r w:rsidRPr="003E425B">
        <w:rPr>
          <w:rFonts w:ascii="Times New Roman" w:hAnsi="Times New Roman" w:cs="Times New Roman"/>
          <w:bCs/>
          <w:color w:val="000000" w:themeColor="text1"/>
          <w:sz w:val="28"/>
          <w:szCs w:val="28"/>
        </w:rPr>
        <w:t>que incluso en el evento</w:t>
      </w:r>
      <w:r w:rsidRPr="003E425B">
        <w:rPr>
          <w:rFonts w:ascii="Times New Roman" w:hAnsi="Times New Roman" w:cs="Times New Roman"/>
          <w:bCs/>
          <w:color w:val="000000" w:themeColor="text1"/>
          <w:sz w:val="28"/>
          <w:szCs w:val="28"/>
        </w:rPr>
        <w:t xml:space="preserve"> alegado de incumplimiento del quórum decisorio, “</w:t>
      </w:r>
      <w:r w:rsidRPr="003E425B">
        <w:rPr>
          <w:rFonts w:ascii="Times New Roman" w:hAnsi="Times New Roman" w:cs="Times New Roman"/>
          <w:bCs/>
          <w:i/>
          <w:iCs/>
          <w:color w:val="000000" w:themeColor="text1"/>
          <w:sz w:val="28"/>
          <w:szCs w:val="28"/>
        </w:rPr>
        <w:t xml:space="preserve">no habría incidido de forma sustancial y probada en la formación de la voluntad democrática. Esto, puesto que: </w:t>
      </w:r>
      <w:bookmarkStart w:id="45" w:name="_Hlk170207244"/>
      <w:r w:rsidRPr="003E425B">
        <w:rPr>
          <w:rFonts w:ascii="Times New Roman" w:hAnsi="Times New Roman" w:cs="Times New Roman"/>
          <w:bCs/>
          <w:i/>
          <w:iCs/>
          <w:color w:val="000000" w:themeColor="text1"/>
          <w:sz w:val="28"/>
          <w:szCs w:val="28"/>
        </w:rPr>
        <w:t>(i) la aprobación del informe de ponencia en las comisiones constitucio</w:t>
      </w:r>
      <w:r w:rsidRPr="003E425B">
        <w:rPr>
          <w:rFonts w:ascii="Times New Roman" w:hAnsi="Times New Roman" w:cs="Times New Roman"/>
          <w:bCs/>
          <w:i/>
          <w:iCs/>
          <w:color w:val="000000" w:themeColor="text1"/>
          <w:sz w:val="28"/>
          <w:szCs w:val="28"/>
        </w:rPr>
        <w:t>nales no es obligatoria y (ii) las pruebas que obran en el expediente demuestran que la Comisión Constitucional Primera del Senado tenía la intención inequívoca de continuar con el trámite de la iniciativa</w:t>
      </w:r>
      <w:bookmarkEnd w:id="45"/>
      <w:r w:rsidRPr="003E425B">
        <w:rPr>
          <w:rFonts w:ascii="Times New Roman" w:hAnsi="Times New Roman" w:cs="Times New Roman"/>
          <w:bCs/>
          <w:i/>
          <w:iCs/>
          <w:color w:val="000000" w:themeColor="text1"/>
          <w:sz w:val="28"/>
          <w:szCs w:val="28"/>
        </w:rPr>
        <w:t>”.</w:t>
      </w:r>
    </w:p>
    <w:p w:rsidR="004E70ED" w:rsidRPr="003E425B" w:rsidRDefault="003E425B" w:rsidP="00B06688">
      <w:pPr>
        <w:jc w:val="both"/>
        <w:rPr>
          <w:rFonts w:ascii="Times New Roman" w:hAnsi="Times New Roman" w:cs="Times New Roman"/>
          <w:b/>
          <w:bCs/>
          <w:color w:val="000000" w:themeColor="text1"/>
          <w:sz w:val="28"/>
          <w:szCs w:val="28"/>
          <w:lang w:val="es-ES"/>
        </w:rPr>
      </w:pPr>
    </w:p>
    <w:p w:rsidR="00504993" w:rsidRPr="003E425B" w:rsidRDefault="003E425B" w:rsidP="701B4A77">
      <w:pPr>
        <w:jc w:val="both"/>
        <w:rPr>
          <w:rFonts w:ascii="Times New Roman" w:hAnsi="Times New Roman" w:cs="Times New Roman"/>
          <w:color w:val="000000" w:themeColor="text1"/>
          <w:sz w:val="28"/>
          <w:szCs w:val="28"/>
          <w:lang w:val="es-ES"/>
        </w:rPr>
      </w:pPr>
      <w:r w:rsidRPr="003E425B">
        <w:rPr>
          <w:rFonts w:ascii="Times New Roman" w:hAnsi="Times New Roman" w:cs="Times New Roman"/>
          <w:color w:val="000000" w:themeColor="text1"/>
          <w:sz w:val="28"/>
          <w:szCs w:val="28"/>
          <w:lang w:val="es-ES"/>
        </w:rPr>
        <w:t xml:space="preserve">A diferencia de lo que sugiere la sentencia de </w:t>
      </w:r>
      <w:r w:rsidRPr="003E425B">
        <w:rPr>
          <w:rFonts w:ascii="Times New Roman" w:hAnsi="Times New Roman" w:cs="Times New Roman"/>
          <w:color w:val="000000" w:themeColor="text1"/>
          <w:sz w:val="28"/>
          <w:szCs w:val="28"/>
          <w:lang w:val="es-ES"/>
        </w:rPr>
        <w:t>la referencia</w:t>
      </w:r>
      <w:r w:rsidRPr="003E425B">
        <w:rPr>
          <w:rFonts w:ascii="Times New Roman" w:hAnsi="Times New Roman" w:cs="Times New Roman"/>
          <w:color w:val="000000" w:themeColor="text1"/>
          <w:sz w:val="28"/>
          <w:szCs w:val="28"/>
          <w:lang w:val="es-ES"/>
        </w:rPr>
        <w:t xml:space="preserve">, el informe de ponencia es parte </w:t>
      </w:r>
      <w:r w:rsidRPr="003E425B">
        <w:rPr>
          <w:rFonts w:ascii="Times New Roman" w:hAnsi="Times New Roman" w:cs="Times New Roman"/>
          <w:color w:val="000000" w:themeColor="text1"/>
          <w:sz w:val="28"/>
          <w:szCs w:val="28"/>
          <w:lang w:val="es-ES"/>
        </w:rPr>
        <w:t>sustancial y elemental para que un proyecto pueda ser ley de acuerdo con la Constitución</w:t>
      </w:r>
      <w:r w:rsidRPr="003E425B">
        <w:rPr>
          <w:rFonts w:ascii="Times New Roman" w:hAnsi="Times New Roman" w:cs="Times New Roman"/>
          <w:color w:val="000000" w:themeColor="text1"/>
          <w:sz w:val="28"/>
          <w:szCs w:val="28"/>
          <w:lang w:val="es-ES"/>
        </w:rPr>
        <w:t xml:space="preserve">. </w:t>
      </w:r>
      <w:r w:rsidRPr="003E425B">
        <w:rPr>
          <w:rFonts w:ascii="Times New Roman" w:hAnsi="Times New Roman" w:cs="Times New Roman"/>
          <w:color w:val="000000" w:themeColor="text1"/>
          <w:sz w:val="28"/>
          <w:szCs w:val="28"/>
          <w:lang w:val="es-ES"/>
        </w:rPr>
        <w:t>En efecto, el artículo 157 Superior, dispone:</w:t>
      </w:r>
    </w:p>
    <w:p w:rsidR="00504993" w:rsidRPr="003E425B" w:rsidRDefault="003E425B" w:rsidP="701B4A77">
      <w:pPr>
        <w:jc w:val="both"/>
        <w:rPr>
          <w:rFonts w:ascii="Times New Roman" w:hAnsi="Times New Roman" w:cs="Times New Roman"/>
          <w:color w:val="000000" w:themeColor="text1"/>
          <w:sz w:val="28"/>
          <w:szCs w:val="28"/>
          <w:lang w:val="es-ES"/>
        </w:rPr>
      </w:pPr>
    </w:p>
    <w:p w:rsidR="001F0A1F" w:rsidRPr="003E425B" w:rsidRDefault="003E425B" w:rsidP="001F0A1F">
      <w:pPr>
        <w:ind w:left="284" w:right="332"/>
        <w:rPr>
          <w:rFonts w:ascii="Times New Roman" w:hAnsi="Times New Roman" w:cs="Times New Roman"/>
          <w:i/>
          <w:iCs/>
          <w:color w:val="000000" w:themeColor="text1"/>
          <w:sz w:val="28"/>
        </w:rPr>
      </w:pPr>
      <w:r w:rsidRPr="003E425B">
        <w:rPr>
          <w:rFonts w:ascii="Times New Roman" w:hAnsi="Times New Roman" w:cs="Times New Roman"/>
          <w:i/>
          <w:iCs/>
          <w:color w:val="000000" w:themeColor="text1"/>
          <w:sz w:val="28"/>
          <w:lang w:val="es-ES"/>
        </w:rPr>
        <w:t>“</w:t>
      </w:r>
      <w:bookmarkStart w:id="46" w:name="157"/>
      <w:bookmarkEnd w:id="46"/>
      <w:r w:rsidRPr="003E425B">
        <w:rPr>
          <w:rFonts w:ascii="Times New Roman" w:hAnsi="Times New Roman" w:cs="Times New Roman"/>
          <w:b/>
          <w:bCs/>
          <w:i/>
          <w:iCs/>
          <w:color w:val="000000" w:themeColor="text1"/>
          <w:sz w:val="28"/>
        </w:rPr>
        <w:t>ARTICULO 157. </w:t>
      </w:r>
      <w:r w:rsidRPr="003E425B">
        <w:rPr>
          <w:rFonts w:ascii="Times New Roman" w:hAnsi="Times New Roman" w:cs="Times New Roman"/>
          <w:i/>
          <w:iCs/>
          <w:color w:val="000000" w:themeColor="text1"/>
          <w:sz w:val="28"/>
        </w:rPr>
        <w:t>Ningún proyecto será ley sin los requisitos siguientes:</w:t>
      </w:r>
    </w:p>
    <w:p w:rsidR="001F0A1F" w:rsidRPr="003E425B" w:rsidRDefault="003E425B" w:rsidP="001F0A1F">
      <w:pPr>
        <w:ind w:left="284" w:right="332"/>
        <w:jc w:val="both"/>
        <w:rPr>
          <w:rFonts w:ascii="Times New Roman" w:hAnsi="Times New Roman" w:cs="Times New Roman"/>
          <w:i/>
          <w:iCs/>
          <w:color w:val="000000" w:themeColor="text1"/>
          <w:sz w:val="28"/>
        </w:rPr>
      </w:pPr>
      <w:r w:rsidRPr="003E425B">
        <w:rPr>
          <w:rFonts w:ascii="Times New Roman" w:hAnsi="Times New Roman" w:cs="Times New Roman"/>
          <w:i/>
          <w:iCs/>
          <w:color w:val="000000" w:themeColor="text1"/>
          <w:sz w:val="28"/>
        </w:rPr>
        <w:t>1. Haber sido publicado oficialmente por el Congreso, antes de darle curso en la comisión respectiva.</w:t>
      </w:r>
    </w:p>
    <w:p w:rsidR="001F0A1F" w:rsidRPr="003E425B" w:rsidRDefault="003E425B" w:rsidP="001F0A1F">
      <w:pPr>
        <w:ind w:left="284" w:right="332"/>
        <w:jc w:val="both"/>
        <w:rPr>
          <w:rFonts w:ascii="Times New Roman" w:hAnsi="Times New Roman" w:cs="Times New Roman"/>
          <w:i/>
          <w:iCs/>
          <w:color w:val="000000" w:themeColor="text1"/>
          <w:sz w:val="28"/>
        </w:rPr>
      </w:pPr>
      <w:r w:rsidRPr="003E425B">
        <w:rPr>
          <w:rFonts w:ascii="Times New Roman" w:hAnsi="Times New Roman" w:cs="Times New Roman"/>
          <w:i/>
          <w:iCs/>
          <w:color w:val="000000" w:themeColor="text1"/>
          <w:sz w:val="28"/>
        </w:rPr>
        <w:t xml:space="preserve">2. Haber sido aprobado en primer debate en la correspondiente comisión permanente de cada Cámara. El reglamento del Congreso determinará los casos en los </w:t>
      </w:r>
      <w:r w:rsidRPr="003E425B">
        <w:rPr>
          <w:rFonts w:ascii="Times New Roman" w:hAnsi="Times New Roman" w:cs="Times New Roman"/>
          <w:i/>
          <w:iCs/>
          <w:color w:val="000000" w:themeColor="text1"/>
          <w:sz w:val="28"/>
        </w:rPr>
        <w:t>cuales el primer debate se surtirá en sesión conjunta de las comisiones permanentes de ambas Cámaras.</w:t>
      </w:r>
    </w:p>
    <w:p w:rsidR="001F0A1F" w:rsidRPr="003E425B" w:rsidRDefault="003E425B" w:rsidP="001F0A1F">
      <w:pPr>
        <w:ind w:left="284" w:right="332"/>
        <w:jc w:val="both"/>
        <w:rPr>
          <w:rFonts w:ascii="Times New Roman" w:hAnsi="Times New Roman" w:cs="Times New Roman"/>
          <w:i/>
          <w:iCs/>
          <w:color w:val="000000" w:themeColor="text1"/>
          <w:sz w:val="28"/>
        </w:rPr>
      </w:pPr>
      <w:r w:rsidRPr="003E425B">
        <w:rPr>
          <w:rFonts w:ascii="Times New Roman" w:hAnsi="Times New Roman" w:cs="Times New Roman"/>
          <w:i/>
          <w:iCs/>
          <w:color w:val="000000" w:themeColor="text1"/>
          <w:sz w:val="28"/>
        </w:rPr>
        <w:t>3. Haber sido aprobado en cada Cámara en segundo debate.</w:t>
      </w:r>
    </w:p>
    <w:p w:rsidR="001F0A1F" w:rsidRPr="003E425B" w:rsidRDefault="003E425B" w:rsidP="001F0A1F">
      <w:pPr>
        <w:ind w:left="284" w:right="332"/>
        <w:jc w:val="both"/>
        <w:rPr>
          <w:rFonts w:ascii="Times New Roman" w:hAnsi="Times New Roman" w:cs="Times New Roman"/>
          <w:i/>
          <w:iCs/>
          <w:color w:val="000000" w:themeColor="text1"/>
          <w:sz w:val="28"/>
        </w:rPr>
      </w:pPr>
      <w:r w:rsidRPr="003E425B">
        <w:rPr>
          <w:rFonts w:ascii="Times New Roman" w:hAnsi="Times New Roman" w:cs="Times New Roman"/>
          <w:i/>
          <w:iCs/>
          <w:color w:val="000000" w:themeColor="text1"/>
          <w:sz w:val="28"/>
        </w:rPr>
        <w:t>4. Haber obtenido la sanción del Gobierno.”</w:t>
      </w:r>
    </w:p>
    <w:p w:rsidR="00504993" w:rsidRPr="003E425B" w:rsidRDefault="003E425B" w:rsidP="701B4A77">
      <w:pPr>
        <w:jc w:val="both"/>
        <w:rPr>
          <w:rFonts w:ascii="Times New Roman" w:hAnsi="Times New Roman" w:cs="Times New Roman"/>
          <w:color w:val="000000" w:themeColor="text1"/>
          <w:sz w:val="28"/>
          <w:szCs w:val="28"/>
        </w:rPr>
      </w:pPr>
    </w:p>
    <w:p w:rsidR="001D6177" w:rsidRPr="003E425B" w:rsidRDefault="003E425B" w:rsidP="00361067">
      <w:pPr>
        <w:jc w:val="both"/>
        <w:rPr>
          <w:rFonts w:ascii="Times New Roman" w:hAnsi="Times New Roman" w:cs="Times New Roman"/>
          <w:i/>
          <w:iCs/>
          <w:color w:val="000000" w:themeColor="text1"/>
          <w:sz w:val="28"/>
          <w:szCs w:val="28"/>
        </w:rPr>
      </w:pPr>
      <w:r w:rsidRPr="003E425B">
        <w:rPr>
          <w:rFonts w:ascii="Times New Roman" w:hAnsi="Times New Roman" w:cs="Times New Roman"/>
          <w:color w:val="000000" w:themeColor="text1"/>
          <w:sz w:val="28"/>
          <w:szCs w:val="28"/>
        </w:rPr>
        <w:t>A su vez, el</w:t>
      </w:r>
      <w:r w:rsidRPr="003E425B">
        <w:rPr>
          <w:rFonts w:ascii="Times New Roman" w:hAnsi="Times New Roman" w:cs="Times New Roman"/>
          <w:color w:val="000000" w:themeColor="text1"/>
          <w:sz w:val="28"/>
          <w:szCs w:val="28"/>
          <w:lang w:val="es-ES"/>
        </w:rPr>
        <w:t xml:space="preserve"> artículo 160 de la Constitución </w:t>
      </w:r>
      <w:r w:rsidRPr="003E425B">
        <w:rPr>
          <w:rFonts w:ascii="Times New Roman" w:hAnsi="Times New Roman" w:cs="Times New Roman"/>
          <w:color w:val="000000" w:themeColor="text1"/>
          <w:sz w:val="28"/>
          <w:szCs w:val="28"/>
          <w:lang w:val="es-ES"/>
        </w:rPr>
        <w:t>Polític</w:t>
      </w:r>
      <w:r w:rsidRPr="003E425B">
        <w:rPr>
          <w:rFonts w:ascii="Times New Roman" w:hAnsi="Times New Roman" w:cs="Times New Roman"/>
          <w:color w:val="000000" w:themeColor="text1"/>
          <w:sz w:val="28"/>
          <w:szCs w:val="28"/>
          <w:lang w:val="es-ES"/>
        </w:rPr>
        <w:t>a</w:t>
      </w:r>
      <w:r w:rsidRPr="003E425B">
        <w:rPr>
          <w:rFonts w:ascii="Times New Roman" w:hAnsi="Times New Roman" w:cs="Times New Roman"/>
          <w:color w:val="000000" w:themeColor="text1"/>
          <w:sz w:val="28"/>
          <w:szCs w:val="28"/>
          <w:lang w:val="es-ES"/>
        </w:rPr>
        <w:t xml:space="preserve"> consagra que</w:t>
      </w:r>
      <w:r w:rsidRPr="003E425B">
        <w:rPr>
          <w:rFonts w:ascii="Times New Roman" w:hAnsi="Times New Roman" w:cs="Times New Roman"/>
          <w:color w:val="000000" w:themeColor="text1"/>
          <w:sz w:val="28"/>
          <w:szCs w:val="28"/>
          <w:lang w:val="es-ES"/>
        </w:rPr>
        <w:t xml:space="preserve"> </w:t>
      </w:r>
      <w:r w:rsidRPr="003E425B">
        <w:rPr>
          <w:rFonts w:ascii="Times New Roman" w:hAnsi="Times New Roman" w:cs="Times New Roman"/>
          <w:color w:val="000000" w:themeColor="text1"/>
          <w:sz w:val="28"/>
          <w:szCs w:val="28"/>
          <w:lang w:val="es-ES"/>
        </w:rPr>
        <w:t>“[t]</w:t>
      </w:r>
      <w:r w:rsidRPr="003E425B">
        <w:rPr>
          <w:rFonts w:ascii="Times New Roman" w:hAnsi="Times New Roman" w:cs="Times New Roman"/>
          <w:i/>
          <w:iCs/>
          <w:color w:val="000000" w:themeColor="text1"/>
          <w:sz w:val="28"/>
          <w:szCs w:val="28"/>
          <w:lang w:val="es-ES"/>
        </w:rPr>
        <w:t xml:space="preserve">odo </w:t>
      </w:r>
      <w:r w:rsidRPr="003E425B">
        <w:rPr>
          <w:rFonts w:ascii="Times New Roman" w:hAnsi="Times New Roman" w:cs="Times New Roman"/>
          <w:i/>
          <w:iCs/>
          <w:color w:val="000000" w:themeColor="text1"/>
          <w:sz w:val="28"/>
          <w:szCs w:val="28"/>
        </w:rPr>
        <w:t>Proyecto de Ley o de Acto Legislativo deberá tener informe de ponencia en la respectiva comisión encargada de tramitarlo, y deberá dársele el curso correspondiente.</w:t>
      </w:r>
      <w:r w:rsidRPr="003E425B">
        <w:rPr>
          <w:rFonts w:ascii="Times New Roman" w:hAnsi="Times New Roman" w:cs="Times New Roman"/>
          <w:i/>
          <w:iCs/>
          <w:color w:val="000000" w:themeColor="text1"/>
          <w:sz w:val="28"/>
          <w:szCs w:val="28"/>
        </w:rPr>
        <w:t>”</w:t>
      </w:r>
      <w:r w:rsidRPr="003E425B">
        <w:rPr>
          <w:rFonts w:ascii="Times New Roman" w:hAnsi="Times New Roman" w:cs="Times New Roman"/>
          <w:i/>
          <w:iCs/>
          <w:color w:val="000000" w:themeColor="text1"/>
          <w:sz w:val="28"/>
          <w:szCs w:val="28"/>
        </w:rPr>
        <w:t xml:space="preserve"> </w:t>
      </w:r>
      <w:r w:rsidRPr="003E425B">
        <w:rPr>
          <w:rFonts w:ascii="Times New Roman" w:hAnsi="Times New Roman" w:cs="Times New Roman"/>
          <w:color w:val="000000" w:themeColor="text1"/>
          <w:sz w:val="28"/>
          <w:szCs w:val="28"/>
        </w:rPr>
        <w:t xml:space="preserve">Tal es la importancia del informe de ponencia, ya que garantiza un debate abierto y democrático para todas las partes presentes, </w:t>
      </w:r>
      <w:r w:rsidRPr="003E425B">
        <w:rPr>
          <w:rFonts w:ascii="Times New Roman" w:hAnsi="Times New Roman" w:cs="Times New Roman"/>
          <w:color w:val="000000" w:themeColor="text1"/>
          <w:sz w:val="28"/>
          <w:szCs w:val="28"/>
        </w:rPr>
        <w:t>lo que permite</w:t>
      </w:r>
      <w:r w:rsidRPr="003E425B">
        <w:rPr>
          <w:rFonts w:ascii="Times New Roman" w:hAnsi="Times New Roman" w:cs="Times New Roman"/>
          <w:color w:val="000000" w:themeColor="text1"/>
          <w:sz w:val="28"/>
          <w:szCs w:val="28"/>
        </w:rPr>
        <w:t xml:space="preserve"> un examen </w:t>
      </w:r>
      <w:r w:rsidRPr="003E425B">
        <w:rPr>
          <w:rFonts w:ascii="Times New Roman" w:hAnsi="Times New Roman" w:cs="Times New Roman"/>
          <w:color w:val="000000" w:themeColor="text1"/>
          <w:sz w:val="28"/>
          <w:szCs w:val="28"/>
        </w:rPr>
        <w:t xml:space="preserve">público y </w:t>
      </w:r>
      <w:r w:rsidRPr="003E425B">
        <w:rPr>
          <w:rFonts w:ascii="Times New Roman" w:hAnsi="Times New Roman" w:cs="Times New Roman"/>
          <w:color w:val="000000" w:themeColor="text1"/>
          <w:sz w:val="28"/>
          <w:szCs w:val="28"/>
        </w:rPr>
        <w:t>detallado del contenido del proyecto dentro del trámite legislativo</w:t>
      </w:r>
      <w:r w:rsidRPr="003E425B">
        <w:rPr>
          <w:rFonts w:ascii="Times New Roman" w:hAnsi="Times New Roman" w:cs="Times New Roman"/>
          <w:color w:val="000000" w:themeColor="text1"/>
          <w:sz w:val="28"/>
          <w:szCs w:val="28"/>
        </w:rPr>
        <w:t xml:space="preserve">, y resulta una práctica </w:t>
      </w:r>
      <w:r w:rsidRPr="003E425B">
        <w:rPr>
          <w:rFonts w:ascii="Times New Roman" w:hAnsi="Times New Roman" w:cs="Times New Roman"/>
          <w:color w:val="000000" w:themeColor="text1"/>
          <w:sz w:val="28"/>
          <w:szCs w:val="28"/>
        </w:rPr>
        <w:t>exigida por el Constituyente que garantiza la transparencia del proceso democrático</w:t>
      </w:r>
      <w:r w:rsidRPr="003E425B">
        <w:rPr>
          <w:rFonts w:ascii="Times New Roman" w:hAnsi="Times New Roman" w:cs="Times New Roman"/>
          <w:color w:val="000000" w:themeColor="text1"/>
          <w:sz w:val="28"/>
          <w:szCs w:val="28"/>
        </w:rPr>
        <w:t>.</w:t>
      </w:r>
      <w:r w:rsidRPr="003E425B">
        <w:rPr>
          <w:rFonts w:ascii="Times New Roman" w:hAnsi="Times New Roman" w:cs="Times New Roman"/>
          <w:color w:val="000000" w:themeColor="text1"/>
          <w:sz w:val="28"/>
          <w:szCs w:val="28"/>
          <w:vertAlign w:val="superscript"/>
        </w:rPr>
        <w:footnoteReference w:id="479"/>
      </w:r>
      <w:r w:rsidRPr="003E425B">
        <w:rPr>
          <w:rFonts w:ascii="Times New Roman" w:hAnsi="Times New Roman" w:cs="Times New Roman"/>
          <w:color w:val="000000" w:themeColor="text1"/>
          <w:sz w:val="28"/>
          <w:szCs w:val="28"/>
        </w:rPr>
        <w:t xml:space="preserve"> </w:t>
      </w:r>
    </w:p>
    <w:p w:rsidR="0061746D" w:rsidRPr="003E425B" w:rsidRDefault="003E425B" w:rsidP="701B4A77">
      <w:pPr>
        <w:jc w:val="both"/>
        <w:rPr>
          <w:rFonts w:ascii="Times New Roman" w:hAnsi="Times New Roman" w:cs="Times New Roman"/>
          <w:color w:val="000000" w:themeColor="text1"/>
          <w:sz w:val="28"/>
          <w:szCs w:val="28"/>
        </w:rPr>
      </w:pPr>
    </w:p>
    <w:p w:rsidR="007577B5" w:rsidRPr="003E425B" w:rsidRDefault="003E425B" w:rsidP="701B4A77">
      <w:pPr>
        <w:jc w:val="both"/>
        <w:rPr>
          <w:rFonts w:ascii="Times New Roman" w:hAnsi="Times New Roman" w:cs="Times New Roman"/>
          <w:color w:val="000000" w:themeColor="text1"/>
          <w:sz w:val="28"/>
          <w:szCs w:val="28"/>
        </w:rPr>
      </w:pPr>
      <w:r w:rsidRPr="003E425B">
        <w:rPr>
          <w:rFonts w:ascii="Times New Roman" w:hAnsi="Times New Roman" w:cs="Times New Roman"/>
          <w:color w:val="000000" w:themeColor="text1"/>
          <w:sz w:val="28"/>
          <w:szCs w:val="28"/>
        </w:rPr>
        <w:t xml:space="preserve">El artículo 176 de la </w:t>
      </w:r>
      <w:r w:rsidRPr="003E425B">
        <w:rPr>
          <w:rFonts w:ascii="Times New Roman" w:hAnsi="Times New Roman" w:cs="Times New Roman"/>
          <w:color w:val="000000" w:themeColor="text1"/>
          <w:sz w:val="28"/>
          <w:szCs w:val="28"/>
          <w:lang w:val="es-ES"/>
        </w:rPr>
        <w:t xml:space="preserve">Ley 5ª de 1992 </w:t>
      </w:r>
      <w:r w:rsidRPr="003E425B">
        <w:rPr>
          <w:rFonts w:ascii="Times New Roman" w:hAnsi="Times New Roman" w:cs="Times New Roman"/>
          <w:color w:val="000000" w:themeColor="text1"/>
          <w:sz w:val="28"/>
          <w:szCs w:val="28"/>
        </w:rPr>
        <w:t xml:space="preserve">señala que </w:t>
      </w:r>
      <w:r w:rsidRPr="003E425B">
        <w:rPr>
          <w:rFonts w:ascii="Times New Roman" w:hAnsi="Times New Roman" w:cs="Times New Roman"/>
          <w:i/>
          <w:iCs/>
          <w:color w:val="000000" w:themeColor="text1"/>
          <w:sz w:val="28"/>
          <w:szCs w:val="28"/>
        </w:rPr>
        <w:t>“</w:t>
      </w:r>
      <w:r w:rsidRPr="003E425B">
        <w:rPr>
          <w:rFonts w:ascii="Times New Roman" w:hAnsi="Times New Roman" w:cs="Times New Roman"/>
          <w:color w:val="000000" w:themeColor="text1"/>
          <w:sz w:val="28"/>
          <w:szCs w:val="28"/>
        </w:rPr>
        <w:t>[e]</w:t>
      </w:r>
      <w:r w:rsidRPr="003E425B">
        <w:rPr>
          <w:rFonts w:ascii="Times New Roman" w:hAnsi="Times New Roman" w:cs="Times New Roman"/>
          <w:i/>
          <w:iCs/>
          <w:color w:val="000000" w:themeColor="text1"/>
          <w:sz w:val="28"/>
          <w:szCs w:val="28"/>
        </w:rPr>
        <w:t xml:space="preserve">l ponente explicará en forma sucinta la significación y el alcance del proyecto. </w:t>
      </w:r>
      <w:r w:rsidRPr="003E425B">
        <w:rPr>
          <w:rFonts w:ascii="Times New Roman" w:hAnsi="Times New Roman" w:cs="Times New Roman"/>
          <w:i/>
          <w:iCs/>
          <w:color w:val="000000" w:themeColor="text1"/>
          <w:sz w:val="28"/>
          <w:szCs w:val="28"/>
        </w:rPr>
        <w:t xml:space="preserve">(…) </w:t>
      </w:r>
      <w:r w:rsidRPr="003E425B">
        <w:rPr>
          <w:rFonts w:ascii="Times New Roman" w:hAnsi="Times New Roman" w:cs="Times New Roman"/>
          <w:i/>
          <w:iCs/>
          <w:color w:val="000000" w:themeColor="text1"/>
          <w:sz w:val="28"/>
          <w:szCs w:val="28"/>
        </w:rPr>
        <w:t>Si la proposición con la que te</w:t>
      </w:r>
      <w:r w:rsidRPr="003E425B">
        <w:rPr>
          <w:rFonts w:ascii="Times New Roman" w:hAnsi="Times New Roman" w:cs="Times New Roman"/>
          <w:i/>
          <w:iCs/>
          <w:color w:val="000000" w:themeColor="text1"/>
          <w:sz w:val="28"/>
          <w:szCs w:val="28"/>
        </w:rPr>
        <w:t>rmina el informe fuere aprobada, el proyecto se discutirá globalmente, a menos que un Ministro o miembro de la respectiva Cámara pidiera su discusión separadamente a alguno o algunos artículos.”</w:t>
      </w:r>
      <w:r w:rsidRPr="003E425B">
        <w:rPr>
          <w:rFonts w:ascii="Times New Roman" w:hAnsi="Times New Roman" w:cs="Times New Roman"/>
          <w:i/>
          <w:iCs/>
          <w:color w:val="000000" w:themeColor="text1"/>
          <w:sz w:val="28"/>
          <w:szCs w:val="28"/>
        </w:rPr>
        <w:t xml:space="preserve">. </w:t>
      </w:r>
      <w:r w:rsidRPr="003E425B">
        <w:rPr>
          <w:rFonts w:ascii="Times New Roman" w:hAnsi="Times New Roman" w:cs="Times New Roman"/>
          <w:color w:val="000000" w:themeColor="text1"/>
          <w:sz w:val="28"/>
          <w:szCs w:val="28"/>
        </w:rPr>
        <w:t>Lo expuesto se interpreta como un requisito previo para disc</w:t>
      </w:r>
      <w:r w:rsidRPr="003E425B">
        <w:rPr>
          <w:rFonts w:ascii="Times New Roman" w:hAnsi="Times New Roman" w:cs="Times New Roman"/>
          <w:color w:val="000000" w:themeColor="text1"/>
          <w:sz w:val="28"/>
          <w:szCs w:val="28"/>
        </w:rPr>
        <w:t>utir y votar el articulado, ya que el informe de ponencia debe ser aprobado</w:t>
      </w:r>
      <w:r w:rsidRPr="003E425B">
        <w:rPr>
          <w:rFonts w:ascii="Times New Roman" w:hAnsi="Times New Roman" w:cs="Times New Roman"/>
          <w:color w:val="000000" w:themeColor="text1"/>
          <w:sz w:val="28"/>
          <w:szCs w:val="28"/>
        </w:rPr>
        <w:t xml:space="preserve"> para así continuar a la siguiente etapa</w:t>
      </w:r>
      <w:r w:rsidRPr="003E425B">
        <w:rPr>
          <w:rFonts w:ascii="Times New Roman" w:hAnsi="Times New Roman" w:cs="Times New Roman"/>
          <w:color w:val="000000" w:themeColor="text1"/>
          <w:sz w:val="28"/>
          <w:szCs w:val="28"/>
        </w:rPr>
        <w:t>. De ser así, el efecto jurídico de la aprobación del informe será la continuación del trámite legislativo, con el cumplimiento de sus etapas</w:t>
      </w:r>
      <w:r w:rsidRPr="003E425B">
        <w:rPr>
          <w:rFonts w:ascii="Times New Roman" w:hAnsi="Times New Roman" w:cs="Times New Roman"/>
          <w:color w:val="000000" w:themeColor="text1"/>
          <w:sz w:val="28"/>
          <w:szCs w:val="28"/>
        </w:rPr>
        <w:t>.</w:t>
      </w:r>
      <w:r w:rsidRPr="003E425B">
        <w:rPr>
          <w:rFonts w:ascii="Times New Roman" w:hAnsi="Times New Roman" w:cs="Times New Roman"/>
          <w:color w:val="000000" w:themeColor="text1"/>
          <w:sz w:val="28"/>
          <w:szCs w:val="28"/>
          <w:vertAlign w:val="superscript"/>
        </w:rPr>
        <w:footnoteReference w:id="480"/>
      </w:r>
    </w:p>
    <w:p w:rsidR="007577B5" w:rsidRPr="003E425B" w:rsidRDefault="003E425B" w:rsidP="701B4A77">
      <w:pPr>
        <w:jc w:val="both"/>
        <w:rPr>
          <w:rFonts w:ascii="Times New Roman" w:hAnsi="Times New Roman" w:cs="Times New Roman"/>
          <w:color w:val="000000" w:themeColor="text1"/>
          <w:sz w:val="28"/>
          <w:szCs w:val="28"/>
          <w:lang w:val="es-ES"/>
        </w:rPr>
      </w:pPr>
    </w:p>
    <w:p w:rsidR="00A90010" w:rsidRPr="003E425B" w:rsidRDefault="003E425B" w:rsidP="00A90010">
      <w:pPr>
        <w:jc w:val="both"/>
        <w:rPr>
          <w:rFonts w:ascii="Times New Roman" w:hAnsi="Times New Roman" w:cs="Times New Roman"/>
          <w:sz w:val="28"/>
          <w:szCs w:val="28"/>
        </w:rPr>
      </w:pPr>
      <w:r w:rsidRPr="003E425B">
        <w:rPr>
          <w:rFonts w:ascii="Times New Roman" w:hAnsi="Times New Roman" w:cs="Times New Roman"/>
          <w:sz w:val="28"/>
          <w:szCs w:val="28"/>
          <w:lang w:val="es-ES"/>
        </w:rPr>
        <w:t xml:space="preserve">Es importante </w:t>
      </w:r>
      <w:r w:rsidRPr="003E425B">
        <w:rPr>
          <w:rFonts w:ascii="Times New Roman" w:hAnsi="Times New Roman" w:cs="Times New Roman"/>
          <w:sz w:val="28"/>
          <w:szCs w:val="28"/>
          <w:lang w:val="es-ES"/>
        </w:rPr>
        <w:t>precisar que</w:t>
      </w:r>
      <w:r w:rsidRPr="003E425B">
        <w:rPr>
          <w:rFonts w:ascii="Times New Roman" w:hAnsi="Times New Roman" w:cs="Times New Roman"/>
          <w:sz w:val="28"/>
          <w:szCs w:val="28"/>
          <w:lang w:val="es-ES"/>
        </w:rPr>
        <w:t xml:space="preserve"> la </w:t>
      </w:r>
      <w:r w:rsidRPr="003E425B">
        <w:rPr>
          <w:rFonts w:ascii="Times New Roman" w:hAnsi="Times New Roman" w:cs="Times New Roman"/>
          <w:sz w:val="28"/>
          <w:szCs w:val="28"/>
        </w:rPr>
        <w:t>Ley 5ª de 1992</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establece reglas específicas para la presentación y aprobación del informe de ponencia ante las comisiones constitucionales permanentes. </w:t>
      </w:r>
      <w:r w:rsidRPr="003E425B">
        <w:rPr>
          <w:rFonts w:ascii="Times New Roman" w:hAnsi="Times New Roman" w:cs="Times New Roman"/>
          <w:sz w:val="28"/>
          <w:szCs w:val="28"/>
        </w:rPr>
        <w:t xml:space="preserve">El artículo 157 de la </w:t>
      </w:r>
      <w:r w:rsidRPr="003E425B">
        <w:rPr>
          <w:rFonts w:ascii="Times New Roman" w:hAnsi="Times New Roman" w:cs="Times New Roman"/>
          <w:sz w:val="28"/>
          <w:szCs w:val="28"/>
        </w:rPr>
        <w:t xml:space="preserve">citada </w:t>
      </w:r>
      <w:r w:rsidRPr="003E425B">
        <w:rPr>
          <w:rFonts w:ascii="Times New Roman" w:hAnsi="Times New Roman" w:cs="Times New Roman"/>
          <w:sz w:val="28"/>
          <w:szCs w:val="28"/>
        </w:rPr>
        <w:t xml:space="preserve">Ley </w:t>
      </w:r>
      <w:r w:rsidRPr="003E425B">
        <w:rPr>
          <w:rFonts w:ascii="Times New Roman" w:hAnsi="Times New Roman" w:cs="Times New Roman"/>
          <w:sz w:val="28"/>
          <w:szCs w:val="28"/>
        </w:rPr>
        <w:t xml:space="preserve">determina que </w:t>
      </w:r>
      <w:r w:rsidRPr="003E425B">
        <w:rPr>
          <w:rFonts w:ascii="Times New Roman" w:hAnsi="Times New Roman" w:cs="Times New Roman"/>
          <w:i/>
          <w:iCs/>
          <w:sz w:val="28"/>
          <w:szCs w:val="28"/>
          <w:lang w:val="es-ES"/>
        </w:rPr>
        <w:t xml:space="preserve">“Si el ponente propone </w:t>
      </w:r>
      <w:r w:rsidRPr="003E425B">
        <w:rPr>
          <w:rFonts w:ascii="Times New Roman" w:hAnsi="Times New Roman" w:cs="Times New Roman"/>
          <w:i/>
          <w:iCs/>
          <w:sz w:val="28"/>
          <w:szCs w:val="28"/>
          <w:lang w:val="es-ES"/>
        </w:rPr>
        <w:t>debatir el proyecto, se procederá en consecuencia sin necesidad de votación del informe. Si se propone archivar o negar el proyecto, se debatirá esta propuesta y se pondrá en votación al cierre del debate.”</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Este es el caso que nos ocupa</w:t>
      </w:r>
      <w:r w:rsidRPr="003E425B">
        <w:rPr>
          <w:rFonts w:ascii="Times New Roman" w:hAnsi="Times New Roman" w:cs="Times New Roman"/>
          <w:sz w:val="28"/>
          <w:szCs w:val="28"/>
        </w:rPr>
        <w:t xml:space="preserve">, ya que la </w:t>
      </w:r>
      <w:r w:rsidRPr="003E425B">
        <w:rPr>
          <w:rFonts w:ascii="Times New Roman" w:hAnsi="Times New Roman" w:cs="Times New Roman"/>
          <w:sz w:val="28"/>
          <w:szCs w:val="28"/>
        </w:rPr>
        <w:t>senadora</w:t>
      </w:r>
      <w:r w:rsidRPr="003E425B">
        <w:rPr>
          <w:rFonts w:ascii="Times New Roman" w:hAnsi="Times New Roman" w:cs="Times New Roman"/>
          <w:sz w:val="28"/>
          <w:szCs w:val="28"/>
        </w:rPr>
        <w:t xml:space="preserve"> María Fernanda Cabal y el representante a la Cámara Miguel Polo Polo</w:t>
      </w:r>
      <w:r w:rsidRPr="003E425B">
        <w:rPr>
          <w:rFonts w:ascii="Times New Roman" w:hAnsi="Times New Roman" w:cs="Times New Roman"/>
          <w:sz w:val="28"/>
          <w:szCs w:val="28"/>
        </w:rPr>
        <w:t xml:space="preserve"> presentaron las proposiciones de archivo, </w:t>
      </w:r>
      <w:r w:rsidRPr="003E425B">
        <w:rPr>
          <w:rFonts w:ascii="Times New Roman" w:hAnsi="Times New Roman" w:cs="Times New Roman"/>
          <w:sz w:val="28"/>
          <w:szCs w:val="28"/>
        </w:rPr>
        <w:t>lo cual configuró</w:t>
      </w:r>
      <w:r w:rsidRPr="003E425B">
        <w:rPr>
          <w:rFonts w:ascii="Times New Roman" w:hAnsi="Times New Roman" w:cs="Times New Roman"/>
          <w:sz w:val="28"/>
          <w:szCs w:val="28"/>
        </w:rPr>
        <w:t xml:space="preserve"> la obligatoriedad de la votación del informe de ponencia.</w:t>
      </w:r>
    </w:p>
    <w:p w:rsidR="000C0D50" w:rsidRPr="003E425B" w:rsidRDefault="003E425B" w:rsidP="000C0D50">
      <w:pPr>
        <w:jc w:val="both"/>
        <w:rPr>
          <w:rFonts w:ascii="Times New Roman" w:hAnsi="Times New Roman" w:cs="Times New Roman"/>
          <w:sz w:val="28"/>
          <w:szCs w:val="28"/>
          <w:lang w:val="es-ES"/>
        </w:rPr>
      </w:pPr>
    </w:p>
    <w:p w:rsidR="000C0D50" w:rsidRPr="003E425B" w:rsidRDefault="003E425B" w:rsidP="701B4A77">
      <w:pPr>
        <w:jc w:val="both"/>
        <w:rPr>
          <w:rFonts w:ascii="Times New Roman" w:hAnsi="Times New Roman" w:cs="Times New Roman"/>
          <w:sz w:val="28"/>
          <w:szCs w:val="28"/>
          <w:lang w:val="es-ES"/>
        </w:rPr>
      </w:pPr>
      <w:r w:rsidRPr="003E425B">
        <w:rPr>
          <w:rFonts w:ascii="Times New Roman" w:hAnsi="Times New Roman" w:cs="Times New Roman"/>
          <w:sz w:val="28"/>
          <w:szCs w:val="28"/>
          <w:lang w:val="es-ES"/>
        </w:rPr>
        <w:t xml:space="preserve">De </w:t>
      </w:r>
      <w:r w:rsidRPr="003E425B">
        <w:rPr>
          <w:rFonts w:ascii="Times New Roman" w:hAnsi="Times New Roman" w:cs="Times New Roman"/>
          <w:sz w:val="28"/>
          <w:szCs w:val="28"/>
          <w:lang w:val="es-ES"/>
        </w:rPr>
        <w:t xml:space="preserve">conformidad con lo anterior, </w:t>
      </w:r>
      <w:r w:rsidRPr="003E425B">
        <w:rPr>
          <w:rFonts w:ascii="Times New Roman" w:hAnsi="Times New Roman" w:cs="Times New Roman"/>
          <w:sz w:val="28"/>
          <w:szCs w:val="28"/>
          <w:lang w:val="es-ES"/>
        </w:rPr>
        <w:t xml:space="preserve">la discusión y aprobación de los </w:t>
      </w:r>
      <w:r w:rsidRPr="003E425B">
        <w:rPr>
          <w:rFonts w:ascii="Times New Roman" w:hAnsi="Times New Roman" w:cs="Times New Roman"/>
          <w:sz w:val="28"/>
          <w:szCs w:val="28"/>
          <w:lang w:val="es-ES"/>
        </w:rPr>
        <w:t>informes de ponencias en las comisiones permanentes está sujet</w:t>
      </w:r>
      <w:r w:rsidRPr="003E425B">
        <w:rPr>
          <w:rFonts w:ascii="Times New Roman" w:hAnsi="Times New Roman" w:cs="Times New Roman"/>
          <w:sz w:val="28"/>
          <w:szCs w:val="28"/>
          <w:lang w:val="es-ES"/>
        </w:rPr>
        <w:t>a</w:t>
      </w:r>
      <w:r w:rsidRPr="003E425B">
        <w:rPr>
          <w:rFonts w:ascii="Times New Roman" w:hAnsi="Times New Roman" w:cs="Times New Roman"/>
          <w:sz w:val="28"/>
          <w:szCs w:val="28"/>
          <w:lang w:val="es-ES"/>
        </w:rPr>
        <w:t xml:space="preserve"> a las reglas de quorum</w:t>
      </w:r>
      <w:r w:rsidRPr="003E425B">
        <w:rPr>
          <w:rFonts w:ascii="Times New Roman" w:hAnsi="Times New Roman" w:cs="Times New Roman"/>
          <w:sz w:val="28"/>
          <w:szCs w:val="28"/>
          <w:lang w:val="es-ES"/>
        </w:rPr>
        <w:t>. D</w:t>
      </w:r>
      <w:r w:rsidRPr="003E425B">
        <w:rPr>
          <w:rFonts w:ascii="Times New Roman" w:hAnsi="Times New Roman" w:cs="Times New Roman"/>
          <w:sz w:val="28"/>
          <w:szCs w:val="28"/>
          <w:lang w:val="es-ES"/>
        </w:rPr>
        <w:t xml:space="preserve">e </w:t>
      </w:r>
      <w:r w:rsidRPr="003E425B">
        <w:rPr>
          <w:rFonts w:ascii="Times New Roman" w:hAnsi="Times New Roman" w:cs="Times New Roman"/>
          <w:sz w:val="28"/>
          <w:szCs w:val="28"/>
          <w:lang w:val="es-ES"/>
        </w:rPr>
        <w:t>conform</w:t>
      </w:r>
      <w:r w:rsidRPr="003E425B">
        <w:rPr>
          <w:rFonts w:ascii="Times New Roman" w:hAnsi="Times New Roman" w:cs="Times New Roman"/>
          <w:sz w:val="28"/>
          <w:szCs w:val="28"/>
          <w:lang w:val="es-ES"/>
        </w:rPr>
        <w:t>idad con e</w:t>
      </w:r>
      <w:r w:rsidRPr="003E425B">
        <w:rPr>
          <w:rFonts w:ascii="Times New Roman" w:hAnsi="Times New Roman" w:cs="Times New Roman"/>
          <w:sz w:val="28"/>
          <w:szCs w:val="28"/>
          <w:lang w:val="es-ES"/>
        </w:rPr>
        <w:t>l</w:t>
      </w:r>
      <w:r w:rsidRPr="003E425B">
        <w:rPr>
          <w:rFonts w:ascii="Times New Roman" w:hAnsi="Times New Roman" w:cs="Times New Roman"/>
          <w:sz w:val="28"/>
          <w:szCs w:val="28"/>
          <w:lang w:val="es-ES"/>
        </w:rPr>
        <w:t xml:space="preserve"> artículo 116 de la Ley 5</w:t>
      </w:r>
      <w:r w:rsidRPr="003E425B">
        <w:rPr>
          <w:rFonts w:ascii="Times New Roman" w:hAnsi="Times New Roman" w:cs="Times New Roman"/>
          <w:color w:val="000000" w:themeColor="text1"/>
          <w:sz w:val="28"/>
          <w:szCs w:val="28"/>
          <w:lang w:val="es-ES"/>
        </w:rPr>
        <w:t>ª</w:t>
      </w:r>
      <w:r w:rsidRPr="003E425B">
        <w:rPr>
          <w:rFonts w:ascii="Times New Roman" w:hAnsi="Times New Roman" w:cs="Times New Roman"/>
          <w:sz w:val="28"/>
          <w:szCs w:val="28"/>
          <w:lang w:val="es-ES"/>
        </w:rPr>
        <w:t xml:space="preserve"> de 1992 </w:t>
      </w:r>
      <w:r w:rsidRPr="003E425B">
        <w:rPr>
          <w:rFonts w:ascii="Times New Roman" w:hAnsi="Times New Roman" w:cs="Times New Roman"/>
          <w:sz w:val="28"/>
          <w:szCs w:val="28"/>
          <w:lang w:val="es-ES"/>
        </w:rPr>
        <w:t xml:space="preserve">el quorum </w:t>
      </w:r>
      <w:r w:rsidRPr="003E425B">
        <w:rPr>
          <w:rFonts w:ascii="Times New Roman" w:hAnsi="Times New Roman" w:cs="Times New Roman"/>
          <w:sz w:val="28"/>
          <w:szCs w:val="28"/>
          <w:lang w:val="es-ES"/>
        </w:rPr>
        <w:t xml:space="preserve">se </w:t>
      </w:r>
      <w:r w:rsidRPr="003E425B">
        <w:rPr>
          <w:rFonts w:ascii="Times New Roman" w:hAnsi="Times New Roman" w:cs="Times New Roman"/>
          <w:sz w:val="28"/>
          <w:szCs w:val="28"/>
          <w:lang w:val="es-ES"/>
        </w:rPr>
        <w:t>de</w:t>
      </w:r>
      <w:r w:rsidRPr="003E425B">
        <w:rPr>
          <w:rFonts w:ascii="Times New Roman" w:hAnsi="Times New Roman" w:cs="Times New Roman"/>
          <w:sz w:val="28"/>
          <w:szCs w:val="28"/>
          <w:lang w:val="es-ES"/>
        </w:rPr>
        <w:t>fin</w:t>
      </w:r>
      <w:r w:rsidRPr="003E425B">
        <w:rPr>
          <w:rFonts w:ascii="Times New Roman" w:hAnsi="Times New Roman" w:cs="Times New Roman"/>
          <w:sz w:val="28"/>
          <w:szCs w:val="28"/>
          <w:lang w:val="es-ES"/>
        </w:rPr>
        <w:t xml:space="preserve">e </w:t>
      </w:r>
      <w:r w:rsidRPr="003E425B">
        <w:rPr>
          <w:rFonts w:ascii="Times New Roman" w:hAnsi="Times New Roman" w:cs="Times New Roman"/>
          <w:sz w:val="28"/>
          <w:szCs w:val="28"/>
          <w:lang w:val="es-ES"/>
        </w:rPr>
        <w:t xml:space="preserve">como </w:t>
      </w:r>
      <w:r w:rsidRPr="003E425B">
        <w:rPr>
          <w:rFonts w:ascii="Times New Roman" w:hAnsi="Times New Roman" w:cs="Times New Roman"/>
          <w:sz w:val="28"/>
          <w:szCs w:val="28"/>
          <w:lang w:val="es-ES"/>
        </w:rPr>
        <w:t>“</w:t>
      </w:r>
      <w:r w:rsidRPr="003E425B">
        <w:rPr>
          <w:rFonts w:ascii="Times New Roman" w:hAnsi="Times New Roman" w:cs="Times New Roman"/>
          <w:i/>
          <w:iCs/>
          <w:sz w:val="28"/>
          <w:szCs w:val="28"/>
          <w:lang w:val="es-ES"/>
        </w:rPr>
        <w:t>el número mínimo de miembros asistentes que se requieren en las Corporaciones legislat</w:t>
      </w:r>
      <w:r w:rsidRPr="003E425B">
        <w:rPr>
          <w:rFonts w:ascii="Times New Roman" w:hAnsi="Times New Roman" w:cs="Times New Roman"/>
          <w:i/>
          <w:iCs/>
          <w:sz w:val="28"/>
          <w:szCs w:val="28"/>
          <w:lang w:val="es-ES"/>
        </w:rPr>
        <w:t>ivas para poder deliberar o decidir.</w:t>
      </w:r>
      <w:r w:rsidRPr="003E425B">
        <w:rPr>
          <w:rFonts w:ascii="Times New Roman" w:hAnsi="Times New Roman" w:cs="Times New Roman"/>
          <w:i/>
          <w:iCs/>
          <w:sz w:val="28"/>
          <w:szCs w:val="28"/>
          <w:lang w:val="es-ES"/>
        </w:rPr>
        <w:t>”</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E</w:t>
      </w:r>
      <w:r w:rsidRPr="003E425B">
        <w:rPr>
          <w:rFonts w:ascii="Times New Roman" w:hAnsi="Times New Roman" w:cs="Times New Roman"/>
          <w:sz w:val="28"/>
          <w:szCs w:val="28"/>
          <w:lang w:val="es-ES"/>
        </w:rPr>
        <w:t xml:space="preserve">llo significa que hay </w:t>
      </w:r>
      <w:r w:rsidRPr="003E425B">
        <w:rPr>
          <w:rFonts w:ascii="Times New Roman" w:hAnsi="Times New Roman" w:cs="Times New Roman"/>
          <w:sz w:val="28"/>
          <w:szCs w:val="28"/>
          <w:lang w:val="es-ES"/>
        </w:rPr>
        <w:t xml:space="preserve">dos </w:t>
      </w:r>
      <w:r w:rsidRPr="003E425B">
        <w:rPr>
          <w:rFonts w:ascii="Times New Roman" w:hAnsi="Times New Roman" w:cs="Times New Roman"/>
          <w:sz w:val="28"/>
          <w:szCs w:val="28"/>
          <w:lang w:val="es-ES"/>
        </w:rPr>
        <w:t>clases</w:t>
      </w:r>
      <w:r w:rsidRPr="003E425B">
        <w:rPr>
          <w:rFonts w:ascii="Times New Roman" w:hAnsi="Times New Roman" w:cs="Times New Roman"/>
          <w:sz w:val="28"/>
          <w:szCs w:val="28"/>
          <w:lang w:val="es-ES"/>
        </w:rPr>
        <w:t>:</w:t>
      </w:r>
      <w:r w:rsidRPr="003E425B">
        <w:rPr>
          <w:rFonts w:ascii="Times New Roman" w:hAnsi="Times New Roman" w:cs="Times New Roman"/>
          <w:sz w:val="28"/>
          <w:szCs w:val="28"/>
          <w:lang w:val="es-ES"/>
        </w:rPr>
        <w:t xml:space="preserve"> quórum</w:t>
      </w:r>
      <w:r w:rsidRPr="003E425B">
        <w:rPr>
          <w:rFonts w:ascii="Times New Roman" w:hAnsi="Times New Roman" w:cs="Times New Roman"/>
          <w:sz w:val="28"/>
          <w:szCs w:val="28"/>
          <w:lang w:val="es-ES"/>
        </w:rPr>
        <w:t xml:space="preserve"> deliberatorio y </w:t>
      </w:r>
      <w:r w:rsidRPr="003E425B">
        <w:rPr>
          <w:rFonts w:ascii="Times New Roman" w:hAnsi="Times New Roman" w:cs="Times New Roman"/>
          <w:sz w:val="28"/>
          <w:szCs w:val="28"/>
          <w:lang w:val="es-ES"/>
        </w:rPr>
        <w:t xml:space="preserve">quórum </w:t>
      </w:r>
      <w:r w:rsidRPr="003E425B">
        <w:rPr>
          <w:rFonts w:ascii="Times New Roman" w:hAnsi="Times New Roman" w:cs="Times New Roman"/>
          <w:sz w:val="28"/>
          <w:szCs w:val="28"/>
          <w:lang w:val="es-ES"/>
        </w:rPr>
        <w:t>decisorio</w:t>
      </w:r>
      <w:r w:rsidRPr="003E425B">
        <w:rPr>
          <w:rFonts w:ascii="Times New Roman" w:hAnsi="Times New Roman" w:cs="Times New Roman"/>
          <w:sz w:val="28"/>
          <w:szCs w:val="28"/>
          <w:lang w:val="es-ES"/>
        </w:rPr>
        <w:t>,</w:t>
      </w:r>
      <w:r w:rsidRPr="003E425B">
        <w:rPr>
          <w:rFonts w:ascii="Times New Roman" w:hAnsi="Times New Roman" w:cs="Times New Roman"/>
          <w:sz w:val="28"/>
          <w:szCs w:val="28"/>
          <w:lang w:val="es-ES"/>
        </w:rPr>
        <w:t xml:space="preserve"> l</w:t>
      </w:r>
      <w:r w:rsidRPr="003E425B">
        <w:rPr>
          <w:rFonts w:ascii="Times New Roman" w:hAnsi="Times New Roman" w:cs="Times New Roman"/>
          <w:sz w:val="28"/>
          <w:szCs w:val="28"/>
          <w:lang w:val="es-ES"/>
        </w:rPr>
        <w:t>o</w:t>
      </w:r>
      <w:r w:rsidRPr="003E425B">
        <w:rPr>
          <w:rFonts w:ascii="Times New Roman" w:hAnsi="Times New Roman" w:cs="Times New Roman"/>
          <w:sz w:val="28"/>
          <w:szCs w:val="28"/>
          <w:lang w:val="es-ES"/>
        </w:rPr>
        <w:t xml:space="preserve">s cuales </w:t>
      </w:r>
      <w:r w:rsidRPr="003E425B">
        <w:rPr>
          <w:rFonts w:ascii="Times New Roman" w:hAnsi="Times New Roman" w:cs="Times New Roman"/>
          <w:sz w:val="28"/>
          <w:szCs w:val="28"/>
          <w:lang w:val="es-ES"/>
        </w:rPr>
        <w:t>de acuerdo con</w:t>
      </w:r>
      <w:r w:rsidRPr="003E425B">
        <w:rPr>
          <w:rFonts w:ascii="Times New Roman" w:hAnsi="Times New Roman" w:cs="Times New Roman"/>
          <w:sz w:val="28"/>
          <w:szCs w:val="28"/>
          <w:lang w:val="es-ES"/>
        </w:rPr>
        <w:t xml:space="preserve"> el artículo 145 de la Constitución </w:t>
      </w:r>
      <w:r w:rsidRPr="003E425B">
        <w:rPr>
          <w:rFonts w:ascii="Times New Roman" w:hAnsi="Times New Roman" w:cs="Times New Roman"/>
          <w:sz w:val="28"/>
          <w:szCs w:val="28"/>
          <w:lang w:val="es-ES"/>
        </w:rPr>
        <w:t>P</w:t>
      </w:r>
      <w:r w:rsidRPr="003E425B">
        <w:rPr>
          <w:rFonts w:ascii="Times New Roman" w:hAnsi="Times New Roman" w:cs="Times New Roman"/>
          <w:sz w:val="28"/>
          <w:szCs w:val="28"/>
          <w:lang w:val="es-ES"/>
        </w:rPr>
        <w:t>olítica</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 xml:space="preserve">son determinantes para que </w:t>
      </w:r>
      <w:r w:rsidRPr="003E425B">
        <w:rPr>
          <w:rFonts w:ascii="Times New Roman" w:hAnsi="Times New Roman" w:cs="Times New Roman"/>
          <w:sz w:val="28"/>
          <w:szCs w:val="28"/>
          <w:lang w:val="es-ES"/>
        </w:rPr>
        <w:t>l</w:t>
      </w:r>
      <w:r w:rsidRPr="003E425B">
        <w:rPr>
          <w:rFonts w:ascii="Times New Roman" w:hAnsi="Times New Roman" w:cs="Times New Roman"/>
          <w:sz w:val="28"/>
          <w:szCs w:val="28"/>
          <w:lang w:val="es-ES"/>
        </w:rPr>
        <w:t xml:space="preserve">as cámaras y sus comisiones puedan sesionar </w:t>
      </w:r>
      <w:r w:rsidRPr="003E425B">
        <w:rPr>
          <w:rFonts w:ascii="Times New Roman" w:hAnsi="Times New Roman" w:cs="Times New Roman"/>
          <w:sz w:val="28"/>
          <w:szCs w:val="28"/>
          <w:lang w:val="es-ES"/>
        </w:rPr>
        <w:t>o deliberar</w:t>
      </w:r>
      <w:r w:rsidRPr="003E425B">
        <w:rPr>
          <w:rFonts w:ascii="Times New Roman" w:hAnsi="Times New Roman" w:cs="Times New Roman"/>
          <w:sz w:val="28"/>
          <w:szCs w:val="28"/>
          <w:lang w:val="es-ES"/>
        </w:rPr>
        <w:t xml:space="preserve">, siendo así que </w:t>
      </w:r>
      <w:r w:rsidRPr="003E425B">
        <w:rPr>
          <w:rFonts w:ascii="Times New Roman" w:hAnsi="Times New Roman" w:cs="Times New Roman"/>
          <w:sz w:val="28"/>
          <w:szCs w:val="28"/>
          <w:lang w:val="es-ES"/>
        </w:rPr>
        <w:t xml:space="preserve">no </w:t>
      </w:r>
      <w:r w:rsidRPr="003E425B">
        <w:rPr>
          <w:rFonts w:ascii="Times New Roman" w:hAnsi="Times New Roman" w:cs="Times New Roman"/>
          <w:sz w:val="28"/>
          <w:szCs w:val="28"/>
          <w:lang w:val="es-ES"/>
        </w:rPr>
        <w:t>se podrá</w:t>
      </w:r>
      <w:r w:rsidRPr="003E425B">
        <w:rPr>
          <w:rFonts w:ascii="Times New Roman" w:hAnsi="Times New Roman" w:cs="Times New Roman"/>
          <w:sz w:val="28"/>
          <w:szCs w:val="28"/>
          <w:lang w:val="es-ES"/>
        </w:rPr>
        <w:t xml:space="preserve"> abrir sesiones ni deliberar con menos de una cuarta parte de sus miembro</w:t>
      </w:r>
      <w:r w:rsidRPr="003E425B">
        <w:rPr>
          <w:rFonts w:ascii="Times New Roman" w:hAnsi="Times New Roman" w:cs="Times New Roman"/>
          <w:sz w:val="28"/>
          <w:szCs w:val="28"/>
          <w:lang w:val="es-ES"/>
        </w:rPr>
        <w:t xml:space="preserve">s y que solo se podrá tomar decisiones cuando se cuente con </w:t>
      </w:r>
      <w:r w:rsidRPr="003E425B">
        <w:rPr>
          <w:rFonts w:ascii="Times New Roman" w:hAnsi="Times New Roman" w:cs="Times New Roman"/>
          <w:sz w:val="28"/>
          <w:szCs w:val="28"/>
          <w:lang w:val="es-ES"/>
        </w:rPr>
        <w:t>la asistencia de la mayoría de los integrantes de la respectiva corporación, salvo q</w:t>
      </w:r>
      <w:r w:rsidRPr="003E425B">
        <w:rPr>
          <w:rFonts w:ascii="Times New Roman" w:hAnsi="Times New Roman" w:cs="Times New Roman"/>
          <w:sz w:val="28"/>
          <w:szCs w:val="28"/>
          <w:lang w:val="es-ES"/>
        </w:rPr>
        <w:t>ue la Constitución determine un quórum diferente.</w:t>
      </w:r>
      <w:r w:rsidRPr="003E425B">
        <w:rPr>
          <w:rFonts w:ascii="Times New Roman" w:hAnsi="Times New Roman" w:cs="Times New Roman"/>
          <w:i/>
          <w:iCs/>
          <w:sz w:val="28"/>
          <w:szCs w:val="28"/>
          <w:lang w:val="es-ES"/>
        </w:rPr>
        <w:t xml:space="preserve"> </w:t>
      </w:r>
      <w:r w:rsidRPr="003E425B">
        <w:rPr>
          <w:rFonts w:ascii="Times New Roman" w:hAnsi="Times New Roman" w:cs="Times New Roman"/>
          <w:sz w:val="28"/>
          <w:szCs w:val="28"/>
          <w:lang w:val="es-ES"/>
        </w:rPr>
        <w:t xml:space="preserve">Lo anterior </w:t>
      </w:r>
      <w:r w:rsidRPr="003E425B">
        <w:rPr>
          <w:rFonts w:ascii="Times New Roman" w:hAnsi="Times New Roman" w:cs="Times New Roman"/>
          <w:sz w:val="28"/>
          <w:szCs w:val="28"/>
          <w:lang w:val="es-ES"/>
        </w:rPr>
        <w:t>establece</w:t>
      </w:r>
      <w:r w:rsidRPr="003E425B">
        <w:rPr>
          <w:rFonts w:ascii="Times New Roman" w:hAnsi="Times New Roman" w:cs="Times New Roman"/>
          <w:sz w:val="28"/>
          <w:szCs w:val="28"/>
          <w:lang w:val="es-ES"/>
        </w:rPr>
        <w:t xml:space="preserve"> como regla general la existencia </w:t>
      </w:r>
      <w:r w:rsidRPr="003E425B">
        <w:rPr>
          <w:rFonts w:ascii="Times New Roman" w:hAnsi="Times New Roman" w:cs="Times New Roman"/>
          <w:sz w:val="28"/>
          <w:szCs w:val="28"/>
          <w:lang w:val="es-ES"/>
        </w:rPr>
        <w:t>de un</w:t>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 xml:space="preserve">quórum decisorio para tomar decisiones, </w:t>
      </w:r>
      <w:r w:rsidRPr="003E425B">
        <w:rPr>
          <w:rFonts w:ascii="Times New Roman" w:hAnsi="Times New Roman" w:cs="Times New Roman"/>
          <w:sz w:val="28"/>
          <w:szCs w:val="28"/>
          <w:lang w:val="es-ES"/>
        </w:rPr>
        <w:t>la cual debe ser</w:t>
      </w:r>
      <w:r w:rsidRPr="003E425B">
        <w:rPr>
          <w:rFonts w:ascii="Times New Roman" w:hAnsi="Times New Roman" w:cs="Times New Roman"/>
          <w:sz w:val="28"/>
          <w:szCs w:val="28"/>
          <w:lang w:val="es-ES"/>
        </w:rPr>
        <w:t xml:space="preserve"> la mitad </w:t>
      </w:r>
      <w:r w:rsidRPr="003E425B">
        <w:rPr>
          <w:rFonts w:ascii="Times New Roman" w:hAnsi="Times New Roman" w:cs="Times New Roman"/>
          <w:sz w:val="28"/>
          <w:szCs w:val="28"/>
          <w:lang w:val="es-ES"/>
        </w:rPr>
        <w:t>más</w:t>
      </w:r>
      <w:r w:rsidRPr="003E425B">
        <w:rPr>
          <w:rFonts w:ascii="Times New Roman" w:hAnsi="Times New Roman" w:cs="Times New Roman"/>
          <w:sz w:val="28"/>
          <w:szCs w:val="28"/>
          <w:lang w:val="es-ES"/>
        </w:rPr>
        <w:t xml:space="preserve"> uno de los integrantes habilitados en cada corporación o comisión.</w:t>
      </w:r>
      <w:r w:rsidRPr="003E425B">
        <w:rPr>
          <w:rFonts w:ascii="Times New Roman" w:hAnsi="Times New Roman" w:cs="Times New Roman"/>
          <w:sz w:val="28"/>
          <w:szCs w:val="28"/>
          <w:vertAlign w:val="superscript"/>
          <w:lang w:val="es-ES"/>
        </w:rPr>
        <w:footnoteReference w:id="481"/>
      </w:r>
      <w:r w:rsidRPr="003E425B">
        <w:rPr>
          <w:rFonts w:ascii="Times New Roman" w:hAnsi="Times New Roman" w:cs="Times New Roman"/>
          <w:sz w:val="28"/>
          <w:szCs w:val="28"/>
          <w:lang w:val="es-ES"/>
        </w:rPr>
        <w:t xml:space="preserve"> </w:t>
      </w:r>
      <w:r w:rsidRPr="003E425B">
        <w:rPr>
          <w:rFonts w:ascii="Times New Roman" w:hAnsi="Times New Roman" w:cs="Times New Roman"/>
          <w:sz w:val="28"/>
          <w:szCs w:val="28"/>
          <w:lang w:val="es-ES"/>
        </w:rPr>
        <w:t>Esta ad</w:t>
      </w:r>
      <w:r w:rsidRPr="003E425B">
        <w:rPr>
          <w:rFonts w:ascii="Times New Roman" w:hAnsi="Times New Roman" w:cs="Times New Roman"/>
          <w:sz w:val="28"/>
          <w:szCs w:val="28"/>
          <w:lang w:val="es-ES"/>
        </w:rPr>
        <w:t xml:space="preserve">opción de decisiones debe certificar </w:t>
      </w:r>
      <w:r w:rsidRPr="003E425B">
        <w:rPr>
          <w:rFonts w:ascii="Times New Roman" w:hAnsi="Times New Roman" w:cs="Times New Roman"/>
          <w:sz w:val="28"/>
          <w:szCs w:val="28"/>
          <w:lang w:val="es-ES"/>
        </w:rPr>
        <w:t xml:space="preserve">con claridad la configuración del quórum decisorio, </w:t>
      </w:r>
      <w:r w:rsidRPr="003E425B">
        <w:rPr>
          <w:rFonts w:ascii="Times New Roman" w:hAnsi="Times New Roman" w:cs="Times New Roman"/>
          <w:sz w:val="28"/>
          <w:szCs w:val="28"/>
          <w:lang w:val="es-ES"/>
        </w:rPr>
        <w:t>independientemente de la modalidad de votación que se emplee</w:t>
      </w:r>
      <w:r w:rsidRPr="003E425B">
        <w:rPr>
          <w:rFonts w:ascii="Times New Roman" w:hAnsi="Times New Roman" w:cs="Times New Roman"/>
          <w:i/>
          <w:iCs/>
          <w:sz w:val="28"/>
          <w:szCs w:val="28"/>
          <w:lang w:val="es-ES"/>
        </w:rPr>
        <w:t>.</w:t>
      </w:r>
      <w:r w:rsidRPr="003E425B">
        <w:rPr>
          <w:rFonts w:ascii="Times New Roman" w:hAnsi="Times New Roman" w:cs="Times New Roman"/>
          <w:sz w:val="28"/>
          <w:szCs w:val="28"/>
          <w:vertAlign w:val="superscript"/>
        </w:rPr>
        <w:footnoteReference w:id="482"/>
      </w:r>
    </w:p>
    <w:p w:rsidR="003161EF" w:rsidRPr="003E425B" w:rsidRDefault="003E425B" w:rsidP="701B4A77">
      <w:pPr>
        <w:jc w:val="both"/>
        <w:rPr>
          <w:rFonts w:ascii="Times New Roman" w:hAnsi="Times New Roman" w:cs="Times New Roman"/>
          <w:i/>
          <w:iCs/>
          <w:sz w:val="28"/>
          <w:szCs w:val="28"/>
        </w:rPr>
      </w:pPr>
    </w:p>
    <w:p w:rsidR="00E20FE7" w:rsidRPr="003E425B" w:rsidRDefault="003E425B" w:rsidP="003B2BD5">
      <w:pPr>
        <w:jc w:val="both"/>
        <w:rPr>
          <w:rFonts w:ascii="Times New Roman" w:hAnsi="Times New Roman" w:cs="Times New Roman"/>
          <w:sz w:val="28"/>
          <w:szCs w:val="28"/>
        </w:rPr>
      </w:pPr>
      <w:r w:rsidRPr="003E425B">
        <w:rPr>
          <w:rFonts w:ascii="Times New Roman" w:hAnsi="Times New Roman" w:cs="Times New Roman"/>
          <w:color w:val="000000" w:themeColor="text1"/>
          <w:sz w:val="28"/>
          <w:szCs w:val="28"/>
        </w:rPr>
        <w:t xml:space="preserve">Situar el informe de ponencia </w:t>
      </w:r>
      <w:r w:rsidRPr="003E425B">
        <w:rPr>
          <w:rFonts w:ascii="Times New Roman" w:hAnsi="Times New Roman" w:cs="Times New Roman"/>
          <w:color w:val="000000" w:themeColor="text1"/>
          <w:sz w:val="28"/>
          <w:szCs w:val="28"/>
        </w:rPr>
        <w:t xml:space="preserve">como un elemento sustancial </w:t>
      </w:r>
      <w:r w:rsidRPr="003E425B">
        <w:rPr>
          <w:rFonts w:ascii="Times New Roman" w:hAnsi="Times New Roman" w:cs="Times New Roman"/>
          <w:color w:val="000000" w:themeColor="text1"/>
          <w:sz w:val="28"/>
          <w:szCs w:val="28"/>
        </w:rPr>
        <w:t xml:space="preserve">dentro del trámite legislativo resulta fundamental, conforme a los artículos 157 y 160 de la Constitución. La aprobación de este informe constituye una etapa estructural del proceso legislativo, </w:t>
      </w:r>
      <w:r w:rsidRPr="003E425B">
        <w:rPr>
          <w:rFonts w:ascii="Times New Roman" w:hAnsi="Times New Roman" w:cs="Times New Roman"/>
          <w:color w:val="000000" w:themeColor="text1"/>
          <w:sz w:val="28"/>
          <w:szCs w:val="28"/>
        </w:rPr>
        <w:t>ya que</w:t>
      </w:r>
      <w:r w:rsidRPr="003E425B">
        <w:rPr>
          <w:rFonts w:ascii="Times New Roman" w:hAnsi="Times New Roman" w:cs="Times New Roman"/>
          <w:i/>
          <w:iCs/>
          <w:sz w:val="28"/>
          <w:szCs w:val="28"/>
        </w:rPr>
        <w:t>“(…) es requisito de validez del trámite legislativo co</w:t>
      </w:r>
      <w:r w:rsidRPr="003E425B">
        <w:rPr>
          <w:rFonts w:ascii="Times New Roman" w:hAnsi="Times New Roman" w:cs="Times New Roman"/>
          <w:i/>
          <w:iCs/>
          <w:sz w:val="28"/>
          <w:szCs w:val="28"/>
        </w:rPr>
        <w:t>ntar con un informe de ponencia, cuyo objetivo es el de presentar de forma analítica formal y global el proyecto que se somete a consideració</w:t>
      </w:r>
      <w:r w:rsidRPr="003E425B">
        <w:rPr>
          <w:rFonts w:ascii="Times New Roman" w:hAnsi="Times New Roman" w:cs="Times New Roman"/>
          <w:sz w:val="28"/>
          <w:szCs w:val="28"/>
        </w:rPr>
        <w:t>n”.</w:t>
      </w:r>
      <w:r w:rsidRPr="003E425B">
        <w:rPr>
          <w:rFonts w:ascii="Times New Roman" w:hAnsi="Times New Roman" w:cs="Times New Roman"/>
          <w:sz w:val="28"/>
          <w:szCs w:val="28"/>
          <w:vertAlign w:val="superscript"/>
        </w:rPr>
        <w:footnoteReference w:id="483"/>
      </w:r>
      <w:r w:rsidRPr="003E425B">
        <w:rPr>
          <w:rFonts w:ascii="Times New Roman" w:hAnsi="Times New Roman" w:cs="Times New Roman"/>
          <w:sz w:val="28"/>
          <w:szCs w:val="28"/>
        </w:rPr>
        <w:t xml:space="preserve"> Dentro del tramite legislativo, la presentación y aprobación del informe de ponencia permite que los congresis</w:t>
      </w:r>
      <w:r w:rsidRPr="003E425B">
        <w:rPr>
          <w:rFonts w:ascii="Times New Roman" w:hAnsi="Times New Roman" w:cs="Times New Roman"/>
          <w:sz w:val="28"/>
          <w:szCs w:val="28"/>
        </w:rPr>
        <w:t xml:space="preserve">tas conozcan el tema global del proyecto de ley, </w:t>
      </w:r>
      <w:r w:rsidRPr="003E425B">
        <w:rPr>
          <w:rFonts w:ascii="Times New Roman" w:hAnsi="Times New Roman" w:cs="Times New Roman"/>
          <w:sz w:val="28"/>
          <w:szCs w:val="28"/>
        </w:rPr>
        <w:t xml:space="preserve">exalta la publicidad y la transparencia del proceso legislativo </w:t>
      </w:r>
      <w:r w:rsidRPr="003E425B">
        <w:rPr>
          <w:rFonts w:ascii="Times New Roman" w:hAnsi="Times New Roman" w:cs="Times New Roman"/>
          <w:sz w:val="28"/>
          <w:szCs w:val="28"/>
        </w:rPr>
        <w:t xml:space="preserve">para que puedan realizar un </w:t>
      </w:r>
      <w:r w:rsidRPr="003E425B">
        <w:rPr>
          <w:rFonts w:ascii="Times New Roman" w:hAnsi="Times New Roman" w:cs="Times New Roman"/>
          <w:sz w:val="28"/>
          <w:szCs w:val="28"/>
        </w:rPr>
        <w:t>examen razonado y detallado del asunto en discusión.</w:t>
      </w:r>
      <w:r w:rsidRPr="003E425B">
        <w:rPr>
          <w:rFonts w:ascii="Times New Roman" w:hAnsi="Times New Roman" w:cs="Times New Roman"/>
          <w:sz w:val="28"/>
          <w:szCs w:val="28"/>
          <w:vertAlign w:val="superscript"/>
        </w:rPr>
        <w:footnoteReference w:id="484"/>
      </w:r>
    </w:p>
    <w:p w:rsidR="003B2BD5" w:rsidRPr="003E425B" w:rsidRDefault="003E425B" w:rsidP="003B2BD5">
      <w:pPr>
        <w:jc w:val="both"/>
        <w:rPr>
          <w:rFonts w:ascii="Times New Roman" w:hAnsi="Times New Roman" w:cs="Times New Roman"/>
          <w:sz w:val="28"/>
          <w:szCs w:val="28"/>
        </w:rPr>
      </w:pPr>
    </w:p>
    <w:p w:rsidR="002261D7" w:rsidRPr="003E425B" w:rsidRDefault="003E425B" w:rsidP="002261D7">
      <w:pPr>
        <w:jc w:val="both"/>
        <w:rPr>
          <w:rFonts w:ascii="Times New Roman" w:hAnsi="Times New Roman" w:cs="Times New Roman"/>
          <w:i/>
          <w:iCs/>
          <w:sz w:val="28"/>
          <w:szCs w:val="28"/>
        </w:rPr>
      </w:pPr>
      <w:r w:rsidRPr="003E425B">
        <w:rPr>
          <w:rFonts w:ascii="Times New Roman" w:hAnsi="Times New Roman" w:cs="Times New Roman"/>
          <w:sz w:val="28"/>
          <w:szCs w:val="28"/>
        </w:rPr>
        <w:t>En</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el caso en que no se efectúa una votación conforme al art</w:t>
      </w:r>
      <w:r w:rsidRPr="003E425B">
        <w:rPr>
          <w:rFonts w:ascii="Times New Roman" w:hAnsi="Times New Roman" w:cs="Times New Roman"/>
          <w:sz w:val="28"/>
          <w:szCs w:val="28"/>
        </w:rPr>
        <w:t>ículo 145 y no se cumple con la cantidad de votos necesaria para configurar el quórum decisorio, no se puede dar continuidad a la siguiente etapa del trámite legislativo, que es la votación del articulado. Al verificar que en la votación realizada el 24 de</w:t>
      </w:r>
      <w:r w:rsidRPr="003E425B">
        <w:rPr>
          <w:rFonts w:ascii="Times New Roman" w:hAnsi="Times New Roman" w:cs="Times New Roman"/>
          <w:sz w:val="28"/>
          <w:szCs w:val="28"/>
        </w:rPr>
        <w:t xml:space="preserve"> noviembre de 2022, en la que se votó el informe de ponencia, no hubo quórum decisorio, se evidencia que la votación desconoció de forma directa y manifiesta el artículo 145 de la Constitución, el cual señala que </w:t>
      </w:r>
      <w:r w:rsidRPr="003E425B">
        <w:rPr>
          <w:rFonts w:ascii="Times New Roman" w:hAnsi="Times New Roman" w:cs="Times New Roman"/>
          <w:i/>
          <w:iCs/>
          <w:sz w:val="28"/>
          <w:szCs w:val="28"/>
        </w:rPr>
        <w:t>“</w:t>
      </w:r>
      <w:r w:rsidRPr="003E425B">
        <w:rPr>
          <w:rFonts w:ascii="Times New Roman" w:hAnsi="Times New Roman" w:cs="Times New Roman"/>
          <w:sz w:val="28"/>
          <w:szCs w:val="28"/>
        </w:rPr>
        <w:t>[l]</w:t>
      </w:r>
      <w:r w:rsidRPr="003E425B">
        <w:rPr>
          <w:rFonts w:ascii="Times New Roman" w:hAnsi="Times New Roman" w:cs="Times New Roman"/>
          <w:i/>
          <w:iCs/>
          <w:sz w:val="28"/>
          <w:szCs w:val="28"/>
        </w:rPr>
        <w:t xml:space="preserve">as decisiones solo podrán tomarse con </w:t>
      </w:r>
      <w:r w:rsidRPr="003E425B">
        <w:rPr>
          <w:rFonts w:ascii="Times New Roman" w:hAnsi="Times New Roman" w:cs="Times New Roman"/>
          <w:i/>
          <w:iCs/>
          <w:sz w:val="28"/>
          <w:szCs w:val="28"/>
        </w:rPr>
        <w:t>la asistencia de la mayoría de los integrantes de la respectiva corporación, salvo que la Constitución determine un quórum diferente.”</w:t>
      </w:r>
    </w:p>
    <w:p w:rsidR="00C058BB" w:rsidRPr="003E425B" w:rsidRDefault="003E425B" w:rsidP="002261D7">
      <w:pPr>
        <w:jc w:val="both"/>
        <w:rPr>
          <w:rFonts w:ascii="Times New Roman" w:hAnsi="Times New Roman" w:cs="Times New Roman"/>
          <w:i/>
          <w:iCs/>
          <w:sz w:val="28"/>
          <w:szCs w:val="28"/>
        </w:rPr>
      </w:pPr>
    </w:p>
    <w:p w:rsidR="00C058BB" w:rsidRPr="003E425B" w:rsidRDefault="003E425B" w:rsidP="00C058BB">
      <w:pPr>
        <w:jc w:val="both"/>
        <w:rPr>
          <w:rFonts w:ascii="Times New Roman" w:hAnsi="Times New Roman" w:cs="Times New Roman"/>
          <w:color w:val="000000" w:themeColor="text1"/>
          <w:sz w:val="28"/>
          <w:szCs w:val="28"/>
        </w:rPr>
      </w:pPr>
      <w:r w:rsidRPr="003E425B">
        <w:rPr>
          <w:rFonts w:ascii="Times New Roman" w:hAnsi="Times New Roman" w:cs="Times New Roman"/>
          <w:color w:val="000000" w:themeColor="text1"/>
          <w:sz w:val="28"/>
          <w:szCs w:val="28"/>
        </w:rPr>
        <w:t>En otras palabras, con fundamento en lo indicado y en línea con lo que se ha demostrado de cómo en esta oportunidad exis</w:t>
      </w:r>
      <w:r w:rsidRPr="003E425B">
        <w:rPr>
          <w:rFonts w:ascii="Times New Roman" w:hAnsi="Times New Roman" w:cs="Times New Roman"/>
          <w:color w:val="000000" w:themeColor="text1"/>
          <w:sz w:val="28"/>
          <w:szCs w:val="28"/>
        </w:rPr>
        <w:t>tió efectivamente una afectación del quórum decisorio y de las mayorías exigidas,</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contrario a lo que concluyó la Sala Plena, es preciso destacar que</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color w:val="000000" w:themeColor="text1"/>
          <w:sz w:val="28"/>
          <w:szCs w:val="28"/>
        </w:rPr>
        <w:t xml:space="preserve">esta circunstancia </w:t>
      </w:r>
      <w:r w:rsidRPr="003E425B">
        <w:rPr>
          <w:rFonts w:ascii="Times New Roman" w:hAnsi="Times New Roman" w:cs="Times New Roman"/>
          <w:color w:val="000000" w:themeColor="text1"/>
          <w:sz w:val="28"/>
          <w:szCs w:val="28"/>
        </w:rPr>
        <w:t>constituyó un</w:t>
      </w:r>
      <w:r w:rsidRPr="003E425B">
        <w:rPr>
          <w:rFonts w:ascii="Times New Roman" w:hAnsi="Times New Roman" w:cs="Times New Roman"/>
          <w:color w:val="000000" w:themeColor="text1"/>
          <w:sz w:val="28"/>
          <w:szCs w:val="28"/>
        </w:rPr>
        <w:t xml:space="preserve"> evidente</w:t>
      </w:r>
      <w:r w:rsidRPr="003E425B">
        <w:rPr>
          <w:rFonts w:ascii="Times New Roman" w:hAnsi="Times New Roman" w:cs="Times New Roman"/>
          <w:color w:val="000000" w:themeColor="text1"/>
          <w:sz w:val="28"/>
          <w:szCs w:val="28"/>
        </w:rPr>
        <w:t xml:space="preserve"> vicio de procedimiento insubsanable</w:t>
      </w:r>
      <w:r w:rsidRPr="003E425B">
        <w:rPr>
          <w:rFonts w:ascii="Times New Roman" w:hAnsi="Times New Roman" w:cs="Times New Roman"/>
          <w:color w:val="000000" w:themeColor="text1"/>
          <w:sz w:val="28"/>
          <w:szCs w:val="28"/>
        </w:rPr>
        <w:t xml:space="preserve">. </w:t>
      </w:r>
      <w:r w:rsidRPr="003E425B">
        <w:rPr>
          <w:rFonts w:ascii="Times New Roman" w:hAnsi="Times New Roman" w:cs="Times New Roman"/>
          <w:sz w:val="28"/>
          <w:szCs w:val="28"/>
        </w:rPr>
        <w:t>La Cort</w:t>
      </w:r>
      <w:r w:rsidRPr="003E425B">
        <w:rPr>
          <w:rFonts w:ascii="Times New Roman" w:hAnsi="Times New Roman" w:cs="Times New Roman"/>
          <w:sz w:val="28"/>
          <w:szCs w:val="28"/>
        </w:rPr>
        <w:t>e</w:t>
      </w:r>
      <w:r w:rsidRPr="003E425B">
        <w:rPr>
          <w:rFonts w:ascii="Times New Roman" w:hAnsi="Times New Roman" w:cs="Times New Roman"/>
          <w:sz w:val="28"/>
          <w:szCs w:val="28"/>
        </w:rPr>
        <w:t xml:space="preserve"> ha entendido que la</w:t>
      </w:r>
      <w:r w:rsidRPr="003E425B">
        <w:rPr>
          <w:rFonts w:ascii="Times New Roman" w:hAnsi="Times New Roman" w:cs="Times New Roman"/>
          <w:sz w:val="28"/>
          <w:szCs w:val="28"/>
        </w:rPr>
        <w:t xml:space="preserve"> carencia de quórum decis</w:t>
      </w:r>
      <w:r w:rsidRPr="003E425B">
        <w:rPr>
          <w:rFonts w:ascii="Times New Roman" w:hAnsi="Times New Roman" w:cs="Times New Roman"/>
          <w:sz w:val="28"/>
          <w:szCs w:val="28"/>
        </w:rPr>
        <w:t xml:space="preserve">orio </w:t>
      </w:r>
      <w:r w:rsidRPr="003E425B">
        <w:rPr>
          <w:rFonts w:ascii="Times New Roman" w:hAnsi="Times New Roman" w:cs="Times New Roman"/>
          <w:sz w:val="28"/>
          <w:szCs w:val="28"/>
        </w:rPr>
        <w:t xml:space="preserve">constituye una causal de ineficacia de cualquiera de las decisiones adoptadas durante una sesión, bien sea ella de una Comisión o de una </w:t>
      </w:r>
      <w:r w:rsidRPr="003E425B">
        <w:rPr>
          <w:rFonts w:ascii="Times New Roman" w:hAnsi="Times New Roman" w:cs="Times New Roman"/>
          <w:sz w:val="28"/>
          <w:szCs w:val="28"/>
        </w:rPr>
        <w:t xml:space="preserve">plenaria de una de las </w:t>
      </w:r>
      <w:r w:rsidRPr="003E425B">
        <w:rPr>
          <w:rFonts w:ascii="Times New Roman" w:hAnsi="Times New Roman" w:cs="Times New Roman"/>
          <w:sz w:val="28"/>
          <w:szCs w:val="28"/>
        </w:rPr>
        <w:t>Cámara</w:t>
      </w:r>
      <w:r w:rsidRPr="003E425B">
        <w:rPr>
          <w:rFonts w:ascii="Times New Roman" w:hAnsi="Times New Roman" w:cs="Times New Roman"/>
          <w:sz w:val="28"/>
          <w:szCs w:val="28"/>
        </w:rPr>
        <w:t>s</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85"/>
      </w:r>
      <w:r w:rsidRPr="003E425B">
        <w:rPr>
          <w:rFonts w:ascii="Times New Roman" w:hAnsi="Times New Roman" w:cs="Times New Roman"/>
          <w:sz w:val="28"/>
          <w:szCs w:val="28"/>
        </w:rPr>
        <w:t xml:space="preserve"> </w:t>
      </w:r>
      <w:r w:rsidRPr="003E425B">
        <w:rPr>
          <w:rFonts w:ascii="Times New Roman" w:hAnsi="Times New Roman" w:cs="Times New Roman"/>
          <w:color w:val="000000" w:themeColor="text1"/>
          <w:sz w:val="28"/>
          <w:szCs w:val="28"/>
        </w:rPr>
        <w:t>Lo anterior, en la medida en que</w:t>
      </w:r>
      <w:r w:rsidRPr="003E425B">
        <w:rPr>
          <w:rFonts w:ascii="Times New Roman" w:hAnsi="Times New Roman" w:cs="Times New Roman"/>
          <w:color w:val="000000" w:themeColor="text1"/>
          <w:sz w:val="28"/>
          <w:szCs w:val="28"/>
        </w:rPr>
        <w:t xml:space="preserve"> la votación realizada e</w:t>
      </w:r>
      <w:r w:rsidRPr="003E425B">
        <w:rPr>
          <w:rFonts w:ascii="Times New Roman" w:hAnsi="Times New Roman" w:cs="Times New Roman"/>
          <w:color w:val="000000" w:themeColor="text1"/>
          <w:sz w:val="28"/>
          <w:szCs w:val="28"/>
        </w:rPr>
        <w:t xml:space="preserve">n su momento no cumplió </w:t>
      </w:r>
      <w:r w:rsidRPr="003E425B">
        <w:rPr>
          <w:rFonts w:ascii="Times New Roman" w:hAnsi="Times New Roman" w:cs="Times New Roman"/>
          <w:color w:val="000000" w:themeColor="text1"/>
          <w:sz w:val="28"/>
          <w:szCs w:val="28"/>
        </w:rPr>
        <w:t xml:space="preserve">con el número de votos requerido </w:t>
      </w:r>
      <w:r w:rsidRPr="003E425B">
        <w:rPr>
          <w:rFonts w:ascii="Times New Roman" w:hAnsi="Times New Roman" w:cs="Times New Roman"/>
          <w:color w:val="000000" w:themeColor="text1"/>
          <w:sz w:val="28"/>
          <w:szCs w:val="28"/>
        </w:rPr>
        <w:t xml:space="preserve">conforme al </w:t>
      </w:r>
      <w:r w:rsidRPr="003E425B">
        <w:rPr>
          <w:rFonts w:ascii="Times New Roman" w:hAnsi="Times New Roman" w:cs="Times New Roman"/>
          <w:color w:val="000000" w:themeColor="text1"/>
          <w:sz w:val="28"/>
          <w:szCs w:val="28"/>
        </w:rPr>
        <w:t>quórum decisorio</w:t>
      </w:r>
      <w:r w:rsidRPr="003E425B">
        <w:rPr>
          <w:rFonts w:ascii="Times New Roman" w:hAnsi="Times New Roman" w:cs="Times New Roman"/>
          <w:color w:val="000000" w:themeColor="text1"/>
          <w:sz w:val="28"/>
          <w:szCs w:val="28"/>
        </w:rPr>
        <w:t xml:space="preserve"> exigido</w:t>
      </w:r>
      <w:r w:rsidRPr="003E425B">
        <w:rPr>
          <w:rFonts w:ascii="Times New Roman" w:hAnsi="Times New Roman" w:cs="Times New Roman"/>
          <w:color w:val="000000" w:themeColor="text1"/>
          <w:sz w:val="28"/>
          <w:szCs w:val="28"/>
        </w:rPr>
        <w:t xml:space="preserve">, vulneró el artículo 145 de la Constitución. </w:t>
      </w:r>
    </w:p>
    <w:p w:rsidR="00C058BB" w:rsidRPr="003E425B" w:rsidRDefault="003E425B" w:rsidP="00C058BB">
      <w:pPr>
        <w:jc w:val="both"/>
        <w:rPr>
          <w:rFonts w:ascii="Times New Roman" w:hAnsi="Times New Roman" w:cs="Times New Roman"/>
          <w:color w:val="000000" w:themeColor="text1"/>
          <w:sz w:val="28"/>
          <w:szCs w:val="28"/>
        </w:rPr>
      </w:pPr>
    </w:p>
    <w:p w:rsidR="00CF61D7" w:rsidRPr="003E425B" w:rsidRDefault="003E425B" w:rsidP="2CA289CA">
      <w:pPr>
        <w:jc w:val="both"/>
        <w:rPr>
          <w:rFonts w:ascii="Times New Roman" w:hAnsi="Times New Roman" w:cs="Times New Roman"/>
          <w:sz w:val="28"/>
          <w:szCs w:val="28"/>
        </w:rPr>
      </w:pPr>
      <w:r w:rsidRPr="003E425B">
        <w:rPr>
          <w:rFonts w:ascii="Times New Roman" w:hAnsi="Times New Roman" w:cs="Times New Roman"/>
          <w:color w:val="000000" w:themeColor="text1"/>
          <w:sz w:val="28"/>
          <w:szCs w:val="28"/>
        </w:rPr>
        <w:t>Ello, a su vez, generó una pretermisión de una de las reglas exigidas por el artículo 157 de la Constitución para q</w:t>
      </w:r>
      <w:r w:rsidRPr="003E425B">
        <w:rPr>
          <w:rFonts w:ascii="Times New Roman" w:hAnsi="Times New Roman" w:cs="Times New Roman"/>
          <w:color w:val="000000" w:themeColor="text1"/>
          <w:sz w:val="28"/>
          <w:szCs w:val="28"/>
        </w:rPr>
        <w:t xml:space="preserve">ue un proyecto sea ley, por lo que </w:t>
      </w:r>
      <w:r w:rsidRPr="003E425B">
        <w:rPr>
          <w:rFonts w:ascii="Times New Roman" w:hAnsi="Times New Roman" w:cs="Times New Roman"/>
          <w:sz w:val="28"/>
          <w:szCs w:val="28"/>
        </w:rPr>
        <w:t xml:space="preserve">la falta de aprobación del informe de ponencia constituye un </w:t>
      </w:r>
      <w:r w:rsidRPr="003E425B">
        <w:rPr>
          <w:rFonts w:ascii="Times New Roman" w:hAnsi="Times New Roman" w:cs="Times New Roman"/>
          <w:sz w:val="28"/>
          <w:szCs w:val="28"/>
        </w:rPr>
        <w:t xml:space="preserve">vicio de procedimiento insubsanable. </w:t>
      </w:r>
      <w:r w:rsidRPr="003E425B">
        <w:rPr>
          <w:rFonts w:ascii="Times New Roman" w:hAnsi="Times New Roman" w:cs="Times New Roman"/>
          <w:sz w:val="28"/>
          <w:szCs w:val="28"/>
        </w:rPr>
        <w:t>Lo anterior se desprende del artículo 5 de la Ley 5</w:t>
      </w:r>
      <w:r w:rsidRPr="003E425B">
        <w:rPr>
          <w:rFonts w:ascii="Times New Roman" w:hAnsi="Times New Roman" w:cs="Times New Roman"/>
          <w:sz w:val="28"/>
          <w:szCs w:val="28"/>
        </w:rPr>
        <w:t>ª</w:t>
      </w:r>
      <w:r w:rsidRPr="003E425B">
        <w:rPr>
          <w:rFonts w:ascii="Times New Roman" w:hAnsi="Times New Roman" w:cs="Times New Roman"/>
          <w:sz w:val="28"/>
          <w:szCs w:val="28"/>
        </w:rPr>
        <w:t xml:space="preserve"> de 1992 y el artículo 149 de la Constitución Política, los cuales esta</w:t>
      </w:r>
      <w:r w:rsidRPr="003E425B">
        <w:rPr>
          <w:rFonts w:ascii="Times New Roman" w:hAnsi="Times New Roman" w:cs="Times New Roman"/>
          <w:sz w:val="28"/>
          <w:szCs w:val="28"/>
        </w:rPr>
        <w:t xml:space="preserve">blecen que toda reunión de congresistas que se efectúe fuera de las condiciones constitucionales, como, por ejemplo, al omitir etapas </w:t>
      </w:r>
      <w:r w:rsidRPr="003E425B">
        <w:rPr>
          <w:rFonts w:ascii="Times New Roman" w:hAnsi="Times New Roman" w:cs="Times New Roman"/>
          <w:sz w:val="28"/>
          <w:szCs w:val="28"/>
        </w:rPr>
        <w:t>estructurales</w:t>
      </w:r>
      <w:r w:rsidRPr="003E425B">
        <w:rPr>
          <w:rFonts w:ascii="Times New Roman" w:hAnsi="Times New Roman" w:cs="Times New Roman"/>
          <w:sz w:val="28"/>
          <w:szCs w:val="28"/>
        </w:rPr>
        <w:t xml:space="preserve"> del procedimiento legislativo como la aprobación del informe de ponencia, constituye un vicio de procedimien</w:t>
      </w:r>
      <w:r w:rsidRPr="003E425B">
        <w:rPr>
          <w:rFonts w:ascii="Times New Roman" w:hAnsi="Times New Roman" w:cs="Times New Roman"/>
          <w:sz w:val="28"/>
          <w:szCs w:val="28"/>
        </w:rPr>
        <w:t xml:space="preserve">to insubsanable. </w:t>
      </w:r>
    </w:p>
    <w:p w:rsidR="00CF61D7" w:rsidRPr="003E425B" w:rsidRDefault="003E425B" w:rsidP="2CA289CA">
      <w:pPr>
        <w:jc w:val="both"/>
        <w:rPr>
          <w:rFonts w:ascii="Times New Roman" w:hAnsi="Times New Roman" w:cs="Times New Roman"/>
          <w:sz w:val="28"/>
          <w:szCs w:val="28"/>
        </w:rPr>
      </w:pPr>
    </w:p>
    <w:p w:rsidR="002C5BC2" w:rsidRPr="003E425B" w:rsidRDefault="003E425B" w:rsidP="002C5BC2">
      <w:pPr>
        <w:jc w:val="both"/>
        <w:rPr>
          <w:rFonts w:ascii="Times New Roman" w:hAnsi="Times New Roman" w:cs="Times New Roman"/>
          <w:color w:val="000000" w:themeColor="text1"/>
          <w:sz w:val="28"/>
          <w:szCs w:val="28"/>
        </w:rPr>
      </w:pPr>
      <w:r w:rsidRPr="003E425B">
        <w:rPr>
          <w:rFonts w:ascii="Times New Roman" w:hAnsi="Times New Roman" w:cs="Times New Roman"/>
          <w:sz w:val="28"/>
          <w:szCs w:val="28"/>
        </w:rPr>
        <w:t>En suma, a</w:t>
      </w:r>
      <w:r w:rsidRPr="003E425B">
        <w:rPr>
          <w:rFonts w:ascii="Times New Roman" w:hAnsi="Times New Roman" w:cs="Times New Roman"/>
          <w:sz w:val="28"/>
          <w:szCs w:val="28"/>
        </w:rPr>
        <w:t xml:space="preserve">l no </w:t>
      </w:r>
      <w:r w:rsidRPr="003E425B">
        <w:rPr>
          <w:rFonts w:ascii="Times New Roman" w:hAnsi="Times New Roman" w:cs="Times New Roman"/>
          <w:sz w:val="28"/>
          <w:szCs w:val="28"/>
        </w:rPr>
        <w:t>haberse aprobado en debida forma</w:t>
      </w:r>
      <w:r w:rsidRPr="003E425B">
        <w:rPr>
          <w:rFonts w:ascii="Times New Roman" w:hAnsi="Times New Roman" w:cs="Times New Roman"/>
          <w:sz w:val="28"/>
          <w:szCs w:val="28"/>
        </w:rPr>
        <w:t xml:space="preserve"> este informe, se vulnera</w:t>
      </w:r>
      <w:r w:rsidRPr="003E425B">
        <w:rPr>
          <w:rFonts w:ascii="Times New Roman" w:hAnsi="Times New Roman" w:cs="Times New Roman"/>
          <w:sz w:val="28"/>
          <w:szCs w:val="28"/>
        </w:rPr>
        <w:t>n</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garantías constitucionales</w:t>
      </w:r>
      <w:r w:rsidRPr="003E425B">
        <w:rPr>
          <w:rFonts w:ascii="Times New Roman" w:hAnsi="Times New Roman" w:cs="Times New Roman"/>
          <w:sz w:val="28"/>
          <w:szCs w:val="28"/>
        </w:rPr>
        <w:t xml:space="preserve"> estructurales del trámite legislativo,</w:t>
      </w:r>
      <w:r w:rsidRPr="003E425B">
        <w:rPr>
          <w:rFonts w:ascii="Times New Roman" w:hAnsi="Times New Roman" w:cs="Times New Roman"/>
          <w:sz w:val="28"/>
          <w:szCs w:val="28"/>
        </w:rPr>
        <w:t xml:space="preserve"> las cuales han quedado expresas en los artículos 145, 149</w:t>
      </w:r>
      <w:r w:rsidRPr="003E425B">
        <w:rPr>
          <w:rFonts w:ascii="Times New Roman" w:hAnsi="Times New Roman" w:cs="Times New Roman"/>
          <w:sz w:val="28"/>
          <w:szCs w:val="28"/>
        </w:rPr>
        <w:t>, 15</w:t>
      </w:r>
      <w:r w:rsidRPr="003E425B">
        <w:rPr>
          <w:rFonts w:ascii="Times New Roman" w:hAnsi="Times New Roman" w:cs="Times New Roman"/>
          <w:sz w:val="28"/>
          <w:szCs w:val="28"/>
        </w:rPr>
        <w:t>7</w:t>
      </w:r>
      <w:r w:rsidRPr="003E425B">
        <w:rPr>
          <w:rFonts w:ascii="Times New Roman" w:hAnsi="Times New Roman" w:cs="Times New Roman"/>
          <w:sz w:val="28"/>
          <w:szCs w:val="28"/>
        </w:rPr>
        <w:t xml:space="preserve"> y 160</w:t>
      </w:r>
      <w:r w:rsidRPr="003E425B">
        <w:rPr>
          <w:rFonts w:ascii="Times New Roman" w:hAnsi="Times New Roman" w:cs="Times New Roman"/>
          <w:sz w:val="28"/>
          <w:szCs w:val="28"/>
        </w:rPr>
        <w:t xml:space="preserve"> superiores</w:t>
      </w:r>
      <w:r w:rsidRPr="003E425B">
        <w:rPr>
          <w:rFonts w:ascii="Times New Roman" w:hAnsi="Times New Roman" w:cs="Times New Roman"/>
          <w:sz w:val="28"/>
          <w:szCs w:val="28"/>
        </w:rPr>
        <w:t xml:space="preserve">. Adicional a </w:t>
      </w:r>
      <w:r w:rsidRPr="003E425B">
        <w:rPr>
          <w:rFonts w:ascii="Times New Roman" w:hAnsi="Times New Roman" w:cs="Times New Roman"/>
          <w:sz w:val="28"/>
          <w:szCs w:val="28"/>
        </w:rPr>
        <w:t>ello, es una</w:t>
      </w:r>
      <w:r w:rsidRPr="003E425B">
        <w:rPr>
          <w:rFonts w:ascii="Times New Roman" w:hAnsi="Times New Roman" w:cs="Times New Roman"/>
          <w:sz w:val="28"/>
          <w:szCs w:val="28"/>
        </w:rPr>
        <w:t xml:space="preserve"> omisión</w:t>
      </w:r>
      <w:r w:rsidRPr="003E425B">
        <w:rPr>
          <w:rFonts w:ascii="Times New Roman" w:hAnsi="Times New Roman" w:cs="Times New Roman"/>
          <w:sz w:val="28"/>
          <w:szCs w:val="28"/>
        </w:rPr>
        <w:t xml:space="preserve"> que</w:t>
      </w:r>
      <w:r w:rsidRPr="003E425B">
        <w:rPr>
          <w:rFonts w:ascii="Times New Roman" w:hAnsi="Times New Roman" w:cs="Times New Roman"/>
          <w:sz w:val="28"/>
          <w:szCs w:val="28"/>
        </w:rPr>
        <w:t xml:space="preserve"> afecta de manera directa el proceso legislativo</w:t>
      </w:r>
      <w:r w:rsidRPr="003E425B">
        <w:rPr>
          <w:rFonts w:ascii="Times New Roman" w:hAnsi="Times New Roman" w:cs="Times New Roman"/>
          <w:sz w:val="28"/>
          <w:szCs w:val="28"/>
        </w:rPr>
        <w:t xml:space="preserve">, ya que la aprobación del </w:t>
      </w:r>
      <w:r w:rsidRPr="003E425B">
        <w:rPr>
          <w:rFonts w:ascii="Times New Roman" w:hAnsi="Times New Roman" w:cs="Times New Roman"/>
          <w:sz w:val="28"/>
          <w:szCs w:val="28"/>
        </w:rPr>
        <w:t>informe es “</w:t>
      </w:r>
      <w:r w:rsidRPr="003E425B">
        <w:rPr>
          <w:rFonts w:ascii="Times New Roman" w:hAnsi="Times New Roman" w:cs="Times New Roman"/>
          <w:i/>
          <w:iCs/>
          <w:sz w:val="28"/>
          <w:szCs w:val="28"/>
        </w:rPr>
        <w:t>una</w:t>
      </w:r>
      <w:r w:rsidRPr="003E425B">
        <w:rPr>
          <w:rFonts w:ascii="Times New Roman" w:hAnsi="Times New Roman" w:cs="Times New Roman"/>
          <w:i/>
          <w:iCs/>
          <w:sz w:val="28"/>
          <w:szCs w:val="28"/>
        </w:rPr>
        <w:t xml:space="preserve"> etapa estructural del proceso legislativo y afecta la conformación democrática de la voluntad parlamentaria del Senado de la República</w:t>
      </w:r>
      <w:r w:rsidRPr="003E425B">
        <w:rPr>
          <w:rFonts w:ascii="Times New Roman" w:hAnsi="Times New Roman" w:cs="Times New Roman"/>
          <w:i/>
          <w:iCs/>
          <w:sz w:val="28"/>
          <w:szCs w:val="28"/>
        </w:rPr>
        <w:t>”.</w:t>
      </w:r>
      <w:r w:rsidRPr="003E425B">
        <w:rPr>
          <w:rFonts w:ascii="Times New Roman" w:hAnsi="Times New Roman" w:cs="Times New Roman"/>
          <w:sz w:val="28"/>
          <w:szCs w:val="28"/>
          <w:vertAlign w:val="superscript"/>
        </w:rPr>
        <w:footnoteReference w:id="486"/>
      </w:r>
      <w:r w:rsidRPr="003E425B">
        <w:rPr>
          <w:rFonts w:ascii="Times New Roman" w:hAnsi="Times New Roman" w:cs="Times New Roman"/>
          <w:sz w:val="28"/>
          <w:szCs w:val="28"/>
        </w:rPr>
        <w:t xml:space="preserve"> </w:t>
      </w:r>
    </w:p>
    <w:p w:rsidR="003C2464" w:rsidRPr="003E425B" w:rsidRDefault="003E425B" w:rsidP="2CA289CA">
      <w:pPr>
        <w:jc w:val="both"/>
        <w:rPr>
          <w:rFonts w:ascii="Times New Roman" w:hAnsi="Times New Roman" w:cs="Times New Roman"/>
          <w:color w:val="000000" w:themeColor="text1"/>
          <w:sz w:val="28"/>
          <w:szCs w:val="28"/>
        </w:rPr>
      </w:pPr>
    </w:p>
    <w:p w:rsidR="00D7681B" w:rsidRPr="003E425B" w:rsidRDefault="003E425B" w:rsidP="00D7681B">
      <w:pPr>
        <w:ind w:right="49"/>
        <w:jc w:val="both"/>
        <w:rPr>
          <w:rFonts w:ascii="Times New Roman" w:hAnsi="Times New Roman" w:cs="Times New Roman"/>
          <w:sz w:val="28"/>
          <w:szCs w:val="28"/>
        </w:rPr>
      </w:pPr>
      <w:r w:rsidRPr="003E425B">
        <w:rPr>
          <w:rFonts w:ascii="Times New Roman" w:hAnsi="Times New Roman" w:cs="Times New Roman"/>
          <w:sz w:val="28"/>
          <w:szCs w:val="28"/>
        </w:rPr>
        <w:t>M</w:t>
      </w:r>
      <w:r w:rsidRPr="003E425B">
        <w:rPr>
          <w:rFonts w:ascii="Times New Roman" w:hAnsi="Times New Roman" w:cs="Times New Roman"/>
          <w:sz w:val="28"/>
          <w:szCs w:val="28"/>
        </w:rPr>
        <w:t xml:space="preserve">ás allá de todo esto, la sentencia de la Corte desconoció que además de lo planteado por la demanda en este primer cargo, el trámite legislativo de la aprobación del informe de ponencia de primer debate también vulneró los artículos 157 y 174 de la </w:t>
      </w:r>
      <w:r w:rsidRPr="003E425B">
        <w:rPr>
          <w:rFonts w:ascii="Times New Roman" w:hAnsi="Times New Roman" w:cs="Times New Roman"/>
          <w:sz w:val="28"/>
          <w:szCs w:val="28"/>
        </w:rPr>
        <w:t>Ley 5ª</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de 1992, orgánica del Congreso de la República. Lo anterior, en la medida en que la proposición positiva de la ponencia debió ser votada de última, y no, como ocurrió, que después de esta votación -por demás inconstitucional en los términos anunciados- se </w:t>
      </w:r>
      <w:r w:rsidRPr="003E425B">
        <w:rPr>
          <w:rFonts w:ascii="Times New Roman" w:hAnsi="Times New Roman" w:cs="Times New Roman"/>
          <w:sz w:val="28"/>
          <w:szCs w:val="28"/>
        </w:rPr>
        <w:t xml:space="preserve">adelantara la votación de las proposiciones de modificación del proyecto. En los términos del artículo 174 de la </w:t>
      </w:r>
      <w:r w:rsidRPr="003E425B">
        <w:rPr>
          <w:rFonts w:ascii="Times New Roman" w:hAnsi="Times New Roman" w:cs="Times New Roman"/>
          <w:sz w:val="28"/>
          <w:szCs w:val="28"/>
        </w:rPr>
        <w:t>Ley 5ª</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de 1992: “</w:t>
      </w:r>
      <w:r w:rsidRPr="003E425B">
        <w:rPr>
          <w:rFonts w:ascii="Times New Roman" w:hAnsi="Times New Roman" w:cs="Times New Roman"/>
          <w:sz w:val="28"/>
          <w:szCs w:val="28"/>
        </w:rPr>
        <w:t>Toda ponencia deberá terminar con una proposición que será votada por las Comisiones Constitucionales o la plenaria de la resp</w:t>
      </w:r>
      <w:r w:rsidRPr="003E425B">
        <w:rPr>
          <w:rFonts w:ascii="Times New Roman" w:hAnsi="Times New Roman" w:cs="Times New Roman"/>
          <w:sz w:val="28"/>
          <w:szCs w:val="28"/>
        </w:rPr>
        <w:t>ectiva Corporación.</w:t>
      </w:r>
      <w:r w:rsidRPr="003E425B">
        <w:rPr>
          <w:rFonts w:ascii="Times New Roman" w:hAnsi="Times New Roman" w:cs="Times New Roman"/>
          <w:sz w:val="28"/>
          <w:szCs w:val="28"/>
        </w:rPr>
        <w:t>”</w:t>
      </w:r>
    </w:p>
    <w:p w:rsidR="003161EF" w:rsidRPr="003E425B" w:rsidRDefault="003E425B" w:rsidP="2CA289CA">
      <w:pPr>
        <w:jc w:val="both"/>
        <w:rPr>
          <w:rFonts w:ascii="Times New Roman" w:hAnsi="Times New Roman" w:cs="Times New Roman"/>
          <w:i/>
          <w:iCs/>
          <w:sz w:val="28"/>
          <w:szCs w:val="28"/>
          <w:lang w:val="es-ES"/>
        </w:rPr>
      </w:pPr>
    </w:p>
    <w:p w:rsidR="00615D3A" w:rsidRPr="003E425B" w:rsidRDefault="003E425B" w:rsidP="003B708E">
      <w:pPr>
        <w:pStyle w:val="Prrafodelista"/>
        <w:numPr>
          <w:ilvl w:val="0"/>
          <w:numId w:val="46"/>
        </w:numPr>
        <w:jc w:val="both"/>
        <w:rPr>
          <w:rFonts w:ascii="Times New Roman" w:hAnsi="Times New Roman"/>
          <w:b/>
          <w:color w:val="000000" w:themeColor="text1"/>
          <w:sz w:val="28"/>
          <w:lang w:val="es-ES_tradnl"/>
        </w:rPr>
      </w:pPr>
      <w:r w:rsidRPr="003E425B">
        <w:rPr>
          <w:rFonts w:ascii="Times New Roman" w:hAnsi="Times New Roman"/>
          <w:b/>
          <w:color w:val="000000" w:themeColor="text1"/>
          <w:sz w:val="28"/>
          <w:lang w:val="es-ES_tradnl"/>
        </w:rPr>
        <w:t>A</w:t>
      </w:r>
      <w:r w:rsidRPr="003E425B">
        <w:rPr>
          <w:rFonts w:ascii="Times New Roman" w:hAnsi="Times New Roman"/>
          <w:b/>
          <w:color w:val="000000" w:themeColor="text1"/>
          <w:sz w:val="28"/>
          <w:lang w:val="es-ES_tradnl"/>
        </w:rPr>
        <w:t xml:space="preserve">lcance </w:t>
      </w:r>
      <w:r w:rsidRPr="003E425B">
        <w:rPr>
          <w:rFonts w:ascii="Times New Roman" w:hAnsi="Times New Roman"/>
          <w:b/>
          <w:color w:val="000000" w:themeColor="text1"/>
          <w:sz w:val="28"/>
          <w:lang w:val="es-ES_tradnl"/>
        </w:rPr>
        <w:t>y</w:t>
      </w:r>
      <w:r w:rsidRPr="003E425B">
        <w:rPr>
          <w:rFonts w:ascii="Times New Roman" w:hAnsi="Times New Roman"/>
          <w:b/>
          <w:color w:val="000000" w:themeColor="text1"/>
          <w:sz w:val="28"/>
          <w:lang w:val="es-ES_tradnl"/>
        </w:rPr>
        <w:t xml:space="preserve"> efectos </w:t>
      </w:r>
      <w:r w:rsidRPr="003E425B">
        <w:rPr>
          <w:rFonts w:ascii="Times New Roman" w:hAnsi="Times New Roman"/>
          <w:b/>
          <w:color w:val="000000" w:themeColor="text1"/>
          <w:sz w:val="28"/>
          <w:lang w:val="es-ES_tradnl"/>
        </w:rPr>
        <w:t>de la sanción prevista en el artículo 149 de la Constitución Política</w:t>
      </w:r>
    </w:p>
    <w:p w:rsidR="007B0F39" w:rsidRPr="003E425B" w:rsidRDefault="003E425B" w:rsidP="00AB2BCE">
      <w:pPr>
        <w:jc w:val="both"/>
        <w:rPr>
          <w:rFonts w:ascii="Times New Roman" w:hAnsi="Times New Roman" w:cs="Times New Roman"/>
          <w:sz w:val="28"/>
          <w:szCs w:val="28"/>
        </w:rPr>
      </w:pPr>
    </w:p>
    <w:p w:rsidR="003F1B16" w:rsidRPr="003E425B" w:rsidRDefault="003E425B" w:rsidP="003F1B16">
      <w:pPr>
        <w:jc w:val="both"/>
        <w:rPr>
          <w:rFonts w:ascii="Times New Roman" w:hAnsi="Times New Roman" w:cs="Times New Roman"/>
          <w:sz w:val="28"/>
          <w:szCs w:val="28"/>
        </w:rPr>
      </w:pPr>
      <w:r w:rsidRPr="003E425B">
        <w:rPr>
          <w:rFonts w:ascii="Times New Roman" w:hAnsi="Times New Roman" w:cs="Times New Roman"/>
          <w:sz w:val="28"/>
          <w:szCs w:val="28"/>
        </w:rPr>
        <w:t xml:space="preserve">La Corte Constitucional ha desarrollado una amplia jurisprudencia en torno al alcance del artículo 149 de la Constitución Política, con el fin de revisar y analizar la validez de los </w:t>
      </w:r>
      <w:r w:rsidRPr="003E425B">
        <w:rPr>
          <w:rFonts w:ascii="Times New Roman" w:hAnsi="Times New Roman" w:cs="Times New Roman"/>
          <w:sz w:val="28"/>
          <w:szCs w:val="28"/>
        </w:rPr>
        <w:t>proyectos de ley</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aprobados</w:t>
      </w:r>
      <w:r w:rsidRPr="003E425B">
        <w:rPr>
          <w:rFonts w:ascii="Times New Roman" w:hAnsi="Times New Roman" w:cs="Times New Roman"/>
          <w:sz w:val="28"/>
          <w:szCs w:val="28"/>
        </w:rPr>
        <w:t xml:space="preserve"> por el Congreso de la República. Precisamente,</w:t>
      </w:r>
      <w:r w:rsidRPr="003E425B">
        <w:rPr>
          <w:rFonts w:ascii="Times New Roman" w:hAnsi="Times New Roman" w:cs="Times New Roman"/>
          <w:sz w:val="28"/>
          <w:szCs w:val="28"/>
        </w:rPr>
        <w:t xml:space="preserve"> el artículo 149 de la Constitución Política reza que: </w:t>
      </w:r>
      <w:r w:rsidRPr="003E425B">
        <w:rPr>
          <w:rFonts w:ascii="Times New Roman" w:hAnsi="Times New Roman" w:cs="Times New Roman"/>
          <w:i/>
          <w:iCs/>
          <w:sz w:val="28"/>
          <w:szCs w:val="28"/>
        </w:rPr>
        <w:t xml:space="preserve">“[t]oda reunión </w:t>
      </w:r>
      <w:r w:rsidRPr="003E425B">
        <w:rPr>
          <w:rFonts w:ascii="Times New Roman" w:hAnsi="Times New Roman" w:cs="Times New Roman"/>
          <w:i/>
          <w:iCs/>
          <w:sz w:val="28"/>
          <w:szCs w:val="28"/>
        </w:rPr>
        <w:t>de miembros del Congreso que, con el propósito de ejercer funciones propias de la rama legislativa del poder público, se efectúe fuera de las condiciones constitucionales, carecerá de v</w:t>
      </w:r>
      <w:r w:rsidRPr="003E425B">
        <w:rPr>
          <w:rFonts w:ascii="Times New Roman" w:hAnsi="Times New Roman" w:cs="Times New Roman"/>
          <w:i/>
          <w:iCs/>
          <w:sz w:val="28"/>
          <w:szCs w:val="28"/>
        </w:rPr>
        <w:t>alidez; a los actos que realice no podrá dárseles efecto alguno, y quienes participen en las deliberaciones, serán sancionados conforme a las leyes</w:t>
      </w:r>
      <w:r w:rsidRPr="003E425B">
        <w:rPr>
          <w:rFonts w:ascii="Times New Roman" w:hAnsi="Times New Roman" w:cs="Times New Roman"/>
          <w:i/>
          <w:iCs/>
          <w:sz w:val="28"/>
          <w:szCs w:val="28"/>
        </w:rPr>
        <w:t xml:space="preserve">.” </w:t>
      </w:r>
      <w:r w:rsidRPr="003E425B">
        <w:rPr>
          <w:rFonts w:ascii="Times New Roman" w:hAnsi="Times New Roman" w:cs="Times New Roman"/>
          <w:sz w:val="28"/>
          <w:szCs w:val="28"/>
        </w:rPr>
        <w:t>Así, sobre el alcance e interpretación del artículo mencionado, la Sala Plena de la Corte Constitucional s</w:t>
      </w:r>
      <w:r w:rsidRPr="003E425B">
        <w:rPr>
          <w:rFonts w:ascii="Times New Roman" w:hAnsi="Times New Roman" w:cs="Times New Roman"/>
          <w:sz w:val="28"/>
          <w:szCs w:val="28"/>
        </w:rPr>
        <w:t>e pronunció en los siguientes términos:</w:t>
      </w:r>
      <w:r w:rsidRPr="003E425B">
        <w:rPr>
          <w:rFonts w:ascii="Times New Roman" w:hAnsi="Times New Roman" w:cs="Times New Roman"/>
          <w:sz w:val="28"/>
          <w:szCs w:val="28"/>
          <w:vertAlign w:val="superscript"/>
        </w:rPr>
        <w:footnoteReference w:id="487"/>
      </w:r>
    </w:p>
    <w:p w:rsidR="003F1B16" w:rsidRPr="003E425B" w:rsidRDefault="003E425B" w:rsidP="003F1B16">
      <w:pPr>
        <w:jc w:val="both"/>
        <w:rPr>
          <w:rFonts w:ascii="Times New Roman" w:hAnsi="Times New Roman" w:cs="Times New Roman"/>
          <w:sz w:val="28"/>
          <w:szCs w:val="28"/>
        </w:rPr>
      </w:pPr>
    </w:p>
    <w:p w:rsidR="003F1B16" w:rsidRPr="003E425B" w:rsidRDefault="003E425B" w:rsidP="003F1B16">
      <w:pPr>
        <w:ind w:left="284" w:right="334"/>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i/>
          <w:iCs/>
          <w:sz w:val="28"/>
        </w:rPr>
        <w:t xml:space="preserve">Dice el artículo 149 de la Carta Política que toda reunión de los miembros del Congreso que, con el propósito de ejercer funciones de la rama legislativa del poder público, se efectúe fuera de las condiciones </w:t>
      </w:r>
      <w:r w:rsidRPr="003E425B">
        <w:rPr>
          <w:rFonts w:ascii="Times New Roman" w:hAnsi="Times New Roman" w:cs="Times New Roman"/>
          <w:i/>
          <w:iCs/>
          <w:sz w:val="28"/>
        </w:rPr>
        <w:t>constitucionales carecerá de validez; a los actos que realice no podrá dárseles efecto alguno y quienes participen en las deliberaciones serán sancionados conforme a las leyes. Ello significa que, en el ejercicio de sus atribuciones, el Congreso, las cámar</w:t>
      </w:r>
      <w:r w:rsidRPr="003E425B">
        <w:rPr>
          <w:rFonts w:ascii="Times New Roman" w:hAnsi="Times New Roman" w:cs="Times New Roman"/>
          <w:i/>
          <w:iCs/>
          <w:sz w:val="28"/>
        </w:rPr>
        <w:t>as y las comisiones de éstas están supeditadas a unos requisitos mínimos sin los cuales las funciones que cumplen no logran materializarse en determinaciones concretas con la necesaria aptitud para producir consecuencias jurídicas. Es evidente que la prete</w:t>
      </w:r>
      <w:r w:rsidRPr="003E425B">
        <w:rPr>
          <w:rFonts w:ascii="Times New Roman" w:hAnsi="Times New Roman" w:cs="Times New Roman"/>
          <w:i/>
          <w:iCs/>
          <w:sz w:val="28"/>
        </w:rPr>
        <w:t>nsión de otorgar vigencia a actos que no se han ajustado a las correspondientes exigencias estatuídas en la Constitución y en el Reglamento del Congreso está llamada al fracaso, en cuanto viola los preceptos superiores, pero si el Congreso prosiguiere en e</w:t>
      </w:r>
      <w:r w:rsidRPr="003E425B">
        <w:rPr>
          <w:rFonts w:ascii="Times New Roman" w:hAnsi="Times New Roman" w:cs="Times New Roman"/>
          <w:i/>
          <w:iCs/>
          <w:sz w:val="28"/>
        </w:rPr>
        <w:t>l ejercicio de la correspondiente función pese a los vicios en que se haya incurrido, se afecta la validez de todo lo actuado.</w:t>
      </w:r>
      <w:r w:rsidRPr="003E425B">
        <w:rPr>
          <w:rFonts w:ascii="Times New Roman" w:hAnsi="Times New Roman" w:cs="Times New Roman"/>
          <w:color w:val="2D2D2D"/>
          <w:sz w:val="28"/>
          <w:shd w:val="clear" w:color="auto" w:fill="FFFFFF"/>
        </w:rPr>
        <w:t xml:space="preserve"> </w:t>
      </w:r>
      <w:r w:rsidRPr="003E425B">
        <w:rPr>
          <w:rFonts w:ascii="Times New Roman" w:hAnsi="Times New Roman" w:cs="Times New Roman"/>
          <w:i/>
          <w:iCs/>
          <w:sz w:val="28"/>
        </w:rPr>
        <w:t>Tal ocurre, por ejemplo, con la expedición de las leyes y de los actos legislativos, toda vez que su tramitación está compuesta p</w:t>
      </w:r>
      <w:r w:rsidRPr="003E425B">
        <w:rPr>
          <w:rFonts w:ascii="Times New Roman" w:hAnsi="Times New Roman" w:cs="Times New Roman"/>
          <w:i/>
          <w:iCs/>
          <w:sz w:val="28"/>
        </w:rPr>
        <w:t>or varias etapas relacionadas entre sí pero independientes en cuanto a su perfeccionamiento. Si en una de ellas la correspondiente comisión o cámara ha omitido la observancia de las formalidades constitucionales, las posteriores, aunque se acomoden a la Ca</w:t>
      </w:r>
      <w:r w:rsidRPr="003E425B">
        <w:rPr>
          <w:rFonts w:ascii="Times New Roman" w:hAnsi="Times New Roman" w:cs="Times New Roman"/>
          <w:i/>
          <w:iCs/>
          <w:sz w:val="28"/>
        </w:rPr>
        <w:t>rta Política, no sanean el correspondiente vicio, pues éste, de conformidad con la citada norma, carece de todo efecto.</w:t>
      </w:r>
      <w:r w:rsidRPr="003E425B">
        <w:rPr>
          <w:rFonts w:ascii="Times New Roman" w:hAnsi="Times New Roman" w:cs="Times New Roman"/>
          <w:i/>
          <w:iCs/>
          <w:sz w:val="28"/>
        </w:rPr>
        <w:t>”</w:t>
      </w:r>
    </w:p>
    <w:p w:rsidR="003F1B16" w:rsidRPr="003E425B" w:rsidRDefault="003E425B" w:rsidP="003F1B16">
      <w:pPr>
        <w:tabs>
          <w:tab w:val="left" w:pos="9072"/>
        </w:tabs>
        <w:ind w:right="51"/>
        <w:jc w:val="both"/>
        <w:rPr>
          <w:rFonts w:ascii="Times New Roman" w:hAnsi="Times New Roman" w:cs="Times New Roman"/>
          <w:i/>
          <w:iCs/>
          <w:sz w:val="28"/>
        </w:rPr>
      </w:pPr>
    </w:p>
    <w:p w:rsidR="003F1B16" w:rsidRPr="003E425B" w:rsidRDefault="003E425B" w:rsidP="003F1B16">
      <w:pPr>
        <w:tabs>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 su turno, la providencia referida invocó el análisis desarrollado por la Sala Plena de esta Corporación en la Sentencia C-008 de 199</w:t>
      </w:r>
      <w:r w:rsidRPr="003E425B">
        <w:rPr>
          <w:rFonts w:ascii="Times New Roman" w:hAnsi="Times New Roman" w:cs="Times New Roman"/>
          <w:sz w:val="28"/>
          <w:szCs w:val="28"/>
        </w:rPr>
        <w:t>5,</w:t>
      </w:r>
      <w:r w:rsidRPr="003E425B">
        <w:rPr>
          <w:rFonts w:ascii="Times New Roman" w:hAnsi="Times New Roman" w:cs="Times New Roman"/>
          <w:sz w:val="28"/>
          <w:szCs w:val="28"/>
          <w:vertAlign w:val="superscript"/>
        </w:rPr>
        <w:footnoteReference w:id="488"/>
      </w:r>
      <w:r w:rsidRPr="003E425B">
        <w:rPr>
          <w:rFonts w:ascii="Times New Roman" w:hAnsi="Times New Roman" w:cs="Times New Roman"/>
          <w:sz w:val="28"/>
          <w:szCs w:val="28"/>
        </w:rPr>
        <w:t xml:space="preserve"> mediante la cual la Corte analizó el proyecto de Ley Estatutaria sobre </w:t>
      </w:r>
      <w:r w:rsidRPr="003E425B">
        <w:rPr>
          <w:rFonts w:ascii="Times New Roman" w:hAnsi="Times New Roman" w:cs="Times New Roman"/>
          <w:i/>
          <w:iCs/>
          <w:sz w:val="28"/>
          <w:szCs w:val="28"/>
        </w:rPr>
        <w:t>habeas data</w:t>
      </w:r>
      <w:r w:rsidRPr="003E425B">
        <w:rPr>
          <w:rFonts w:ascii="Times New Roman" w:hAnsi="Times New Roman" w:cs="Times New Roman"/>
          <w:sz w:val="28"/>
          <w:szCs w:val="28"/>
        </w:rPr>
        <w:t xml:space="preserve">. La Corté recordó que en la Sentencia C-008 se reafirmó que la carencia de quórum decisivo constituye una causal de ineficacia de cualquiera de las decisiones adoptadas </w:t>
      </w:r>
      <w:r w:rsidRPr="003E425B">
        <w:rPr>
          <w:rFonts w:ascii="Times New Roman" w:hAnsi="Times New Roman" w:cs="Times New Roman"/>
          <w:sz w:val="28"/>
          <w:szCs w:val="28"/>
        </w:rPr>
        <w:t>durante una sesión legislativa, bien sea ella de una Comisión o de una Cámara.</w:t>
      </w:r>
      <w:r w:rsidRPr="003E425B">
        <w:rPr>
          <w:rFonts w:ascii="Times New Roman" w:hAnsi="Times New Roman" w:cs="Times New Roman"/>
          <w:sz w:val="28"/>
          <w:szCs w:val="28"/>
          <w:vertAlign w:val="superscript"/>
        </w:rPr>
        <w:footnoteReference w:id="489"/>
      </w:r>
      <w:r w:rsidRPr="003E425B">
        <w:rPr>
          <w:rFonts w:ascii="Times New Roman" w:hAnsi="Times New Roman" w:cs="Times New Roman"/>
          <w:sz w:val="28"/>
          <w:szCs w:val="28"/>
        </w:rPr>
        <w:t xml:space="preserve"> En ese sentido, la temprana jurisprudencia constitucional determinó que el quórum y las mayorías son requisitos fundamentales para la validez de los actos mediante los cuales s</w:t>
      </w:r>
      <w:r w:rsidRPr="003E425B">
        <w:rPr>
          <w:rFonts w:ascii="Times New Roman" w:hAnsi="Times New Roman" w:cs="Times New Roman"/>
          <w:sz w:val="28"/>
          <w:szCs w:val="28"/>
        </w:rPr>
        <w:t xml:space="preserve">e produce la aprobación de los proyectos de ley o de un acto legislativo. </w:t>
      </w:r>
    </w:p>
    <w:p w:rsidR="003F1B16" w:rsidRPr="003E425B" w:rsidRDefault="003E425B" w:rsidP="003F1B16">
      <w:pPr>
        <w:tabs>
          <w:tab w:val="left" w:pos="9072"/>
        </w:tabs>
        <w:ind w:right="51"/>
        <w:jc w:val="both"/>
        <w:rPr>
          <w:rFonts w:ascii="Times New Roman" w:hAnsi="Times New Roman" w:cs="Times New Roman"/>
          <w:sz w:val="28"/>
          <w:szCs w:val="28"/>
        </w:rPr>
      </w:pPr>
    </w:p>
    <w:p w:rsidR="003F1B16" w:rsidRPr="003E425B" w:rsidRDefault="003E425B" w:rsidP="003F1B16">
      <w:pPr>
        <w:tabs>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Ahora bien, la Sentencia C-737 de 2001 prohijó lo antes dispuesto por la Sala Plena en las providencias mencionadas y agregó que la aprobación de un proyecto de ley no solo atravie</w:t>
      </w:r>
      <w:r w:rsidRPr="003E425B">
        <w:rPr>
          <w:rFonts w:ascii="Times New Roman" w:hAnsi="Times New Roman" w:cs="Times New Roman"/>
          <w:sz w:val="28"/>
          <w:szCs w:val="28"/>
        </w:rPr>
        <w:t>sa las deliberaciones propias que deben darse en un Estado democrático, sino que las formalidades y diseño institucional que permite la aprobación procesal de un determinado proyecto de ley, atraviesa los debates democráticos y, en ese sentido, hacen parte</w:t>
      </w:r>
      <w:r w:rsidRPr="003E425B">
        <w:rPr>
          <w:rFonts w:ascii="Times New Roman" w:hAnsi="Times New Roman" w:cs="Times New Roman"/>
          <w:sz w:val="28"/>
          <w:szCs w:val="28"/>
        </w:rPr>
        <w:t xml:space="preserve"> de este último. Concretamente, la Corte expresó que:</w:t>
      </w:r>
      <w:r w:rsidRPr="003E425B">
        <w:rPr>
          <w:rFonts w:ascii="Times New Roman" w:hAnsi="Times New Roman" w:cs="Times New Roman"/>
          <w:sz w:val="28"/>
          <w:szCs w:val="28"/>
          <w:vertAlign w:val="superscript"/>
        </w:rPr>
        <w:footnoteReference w:id="490"/>
      </w:r>
    </w:p>
    <w:p w:rsidR="003F1B16" w:rsidRPr="003E425B" w:rsidRDefault="003E425B" w:rsidP="003F1B16">
      <w:pPr>
        <w:tabs>
          <w:tab w:val="left" w:pos="9072"/>
        </w:tabs>
        <w:ind w:right="51"/>
        <w:jc w:val="both"/>
        <w:rPr>
          <w:rFonts w:ascii="Times New Roman" w:hAnsi="Times New Roman" w:cs="Times New Roman"/>
          <w:sz w:val="28"/>
          <w:szCs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Las reglas constitucionales sobre formación de las leyes adquieren entonces pleno sentido si se tienen en cuenta esos objetivos, pues ellos muestran que esas disposiciones superiores no son formas vac</w:t>
      </w:r>
      <w:r w:rsidRPr="003E425B">
        <w:rPr>
          <w:rFonts w:ascii="Times New Roman" w:hAnsi="Times New Roman" w:cs="Times New Roman"/>
          <w:i/>
          <w:iCs/>
          <w:sz w:val="28"/>
        </w:rPr>
        <w:t>ías de cualquier propósito. Ellas pretenden proteger el diseño de la forma de gobierno establecido por el Constituyente, al mismo tiempo que buscan potenciar el principio democrático, a fin de que el debate en el Congreso sea no sólo amplio y vigoroso sino</w:t>
      </w:r>
      <w:r w:rsidRPr="003E425B">
        <w:rPr>
          <w:rFonts w:ascii="Times New Roman" w:hAnsi="Times New Roman" w:cs="Times New Roman"/>
          <w:i/>
          <w:iCs/>
          <w:sz w:val="28"/>
        </w:rPr>
        <w:t xml:space="preserve"> también lo más transparente y racional posible, y con pleno respeto de los derechos de las minorías.</w:t>
      </w:r>
    </w:p>
    <w:p w:rsidR="003F1B16" w:rsidRPr="003E425B" w:rsidRDefault="003E425B" w:rsidP="003F1B16">
      <w:pPr>
        <w:tabs>
          <w:tab w:val="left" w:pos="9072"/>
        </w:tabs>
        <w:ind w:left="284" w:right="334"/>
        <w:jc w:val="both"/>
        <w:rPr>
          <w:rFonts w:ascii="Times New Roman" w:hAnsi="Times New Roman" w:cs="Times New Roman"/>
          <w:i/>
          <w:iCs/>
          <w:sz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w:t>
      </w:r>
    </w:p>
    <w:p w:rsidR="003F1B16" w:rsidRPr="003E425B" w:rsidRDefault="003E425B" w:rsidP="003F1B16">
      <w:pPr>
        <w:tabs>
          <w:tab w:val="left" w:pos="9072"/>
        </w:tabs>
        <w:ind w:left="284" w:right="334"/>
        <w:jc w:val="both"/>
        <w:rPr>
          <w:rFonts w:ascii="Times New Roman" w:hAnsi="Times New Roman" w:cs="Times New Roman"/>
          <w:i/>
          <w:iCs/>
          <w:sz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Pero de otro lado, lo anterior no significa que las formas procesales en general, y las normas constitucionales que rigen la aprobación de las leyes</w:t>
      </w:r>
      <w:r w:rsidRPr="003E425B">
        <w:rPr>
          <w:rFonts w:ascii="Times New Roman" w:hAnsi="Times New Roman" w:cs="Times New Roman"/>
          <w:i/>
          <w:iCs/>
          <w:sz w:val="28"/>
        </w:rPr>
        <w:t xml:space="preserve"> en particular, sean irrelevantes y puedan ser ignoradas. Por el contrario, ellas son importantes y deben ser respetadas, precisamente porque protegen valores sustantivos significativos. Por ello, aunque la Constitución de 1991 flexibilizó las reglas de ap</w:t>
      </w:r>
      <w:r w:rsidRPr="003E425B">
        <w:rPr>
          <w:rFonts w:ascii="Times New Roman" w:hAnsi="Times New Roman" w:cs="Times New Roman"/>
          <w:i/>
          <w:iCs/>
          <w:sz w:val="28"/>
        </w:rPr>
        <w:t>robación de las leyes, el respeto de esas normas procedimentales no ha perdido su importancia, por los valores superiores que estas disposiciones protegen. Esto explica que sea una función esencial de los tribunales constitucionales en general, y de esta C</w:t>
      </w:r>
      <w:r w:rsidRPr="003E425B">
        <w:rPr>
          <w:rFonts w:ascii="Times New Roman" w:hAnsi="Times New Roman" w:cs="Times New Roman"/>
          <w:i/>
          <w:iCs/>
          <w:sz w:val="28"/>
        </w:rPr>
        <w:t>orte Constitucional en particular, verificar la regularidad del procedimiento de aprobación de las leyes. Esta Corte ha aclarado entonces que la flexibilización del trámite de las leyes establecida en la Carta de 1991 ‘no significa que los vicios en que pu</w:t>
      </w:r>
      <w:r w:rsidRPr="003E425B">
        <w:rPr>
          <w:rFonts w:ascii="Times New Roman" w:hAnsi="Times New Roman" w:cs="Times New Roman"/>
          <w:i/>
          <w:iCs/>
          <w:sz w:val="28"/>
        </w:rPr>
        <w:t>eda incurrirse carezcan de trascendencia en términos que en ocasiones puedan llevar a la declaratoria de inconstitucionalidad de la ley que adolezca de los mismos’.”</w:t>
      </w:r>
    </w:p>
    <w:p w:rsidR="003F1B16" w:rsidRPr="003E425B" w:rsidRDefault="003E425B" w:rsidP="003F1B16">
      <w:pPr>
        <w:tabs>
          <w:tab w:val="left" w:pos="9072"/>
        </w:tabs>
        <w:ind w:left="284" w:right="334"/>
        <w:jc w:val="both"/>
        <w:rPr>
          <w:rFonts w:ascii="Times New Roman" w:hAnsi="Times New Roman" w:cs="Times New Roman"/>
          <w:i/>
          <w:iCs/>
          <w:sz w:val="28"/>
        </w:rPr>
      </w:pPr>
    </w:p>
    <w:p w:rsidR="003F1B16" w:rsidRPr="003E425B" w:rsidRDefault="003E425B" w:rsidP="003F1B16">
      <w:pPr>
        <w:tabs>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Así, conforme lo expuesto, la Corte Constitucional ha resaltado la relevancia de lo susta</w:t>
      </w:r>
      <w:r w:rsidRPr="003E425B">
        <w:rPr>
          <w:rFonts w:ascii="Times New Roman" w:hAnsi="Times New Roman" w:cs="Times New Roman"/>
          <w:sz w:val="28"/>
          <w:szCs w:val="28"/>
        </w:rPr>
        <w:t xml:space="preserve">ncial y lo formal, al momento de examinar el procedimiento mediante el cual se debate y aprueba un determinado proyecto de ley o acto legislativo, que sea coherente con el orden constitucional. </w:t>
      </w:r>
    </w:p>
    <w:p w:rsidR="003F1B16" w:rsidRPr="003E425B" w:rsidRDefault="003E425B" w:rsidP="003F1B16">
      <w:pPr>
        <w:tabs>
          <w:tab w:val="left" w:pos="9072"/>
        </w:tabs>
        <w:ind w:right="51"/>
        <w:jc w:val="both"/>
        <w:rPr>
          <w:rFonts w:ascii="Times New Roman" w:hAnsi="Times New Roman" w:cs="Times New Roman"/>
          <w:sz w:val="28"/>
          <w:szCs w:val="28"/>
        </w:rPr>
      </w:pPr>
    </w:p>
    <w:p w:rsidR="003F1B16" w:rsidRPr="003E425B" w:rsidRDefault="003E425B" w:rsidP="003F1B16">
      <w:pPr>
        <w:tabs>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Ahora bien, la Corte Constitucional también ha resaltado que</w:t>
      </w:r>
      <w:r w:rsidRPr="003E425B">
        <w:rPr>
          <w:rFonts w:ascii="Times New Roman" w:hAnsi="Times New Roman" w:cs="Times New Roman"/>
          <w:sz w:val="28"/>
          <w:szCs w:val="28"/>
        </w:rPr>
        <w:t xml:space="preserve">, en cada caso concreto, se debe valorar la naturaleza de los vicios saneables </w:t>
      </w:r>
      <w:r w:rsidRPr="003E425B">
        <w:rPr>
          <w:rFonts w:ascii="Times New Roman" w:hAnsi="Times New Roman" w:cs="Times New Roman"/>
          <w:sz w:val="28"/>
          <w:szCs w:val="28"/>
        </w:rPr>
        <w:t>o</w:t>
      </w:r>
      <w:r w:rsidRPr="003E425B">
        <w:rPr>
          <w:rFonts w:ascii="Times New Roman" w:hAnsi="Times New Roman" w:cs="Times New Roman"/>
          <w:sz w:val="28"/>
          <w:szCs w:val="28"/>
        </w:rPr>
        <w:t xml:space="preserve"> insaneables. Pues, a pesar de su gravedad, subrayó que pueden existir vicios que sean depurados si el procedimiento tiene la capacidad de reajustarse a lo solicitado por las n</w:t>
      </w:r>
      <w:r w:rsidRPr="003E425B">
        <w:rPr>
          <w:rFonts w:ascii="Times New Roman" w:hAnsi="Times New Roman" w:cs="Times New Roman"/>
          <w:sz w:val="28"/>
          <w:szCs w:val="28"/>
        </w:rPr>
        <w:t>ormas legales y constitucionales.</w:t>
      </w:r>
      <w:r w:rsidRPr="003E425B">
        <w:rPr>
          <w:rFonts w:ascii="Times New Roman" w:hAnsi="Times New Roman" w:cs="Times New Roman"/>
          <w:sz w:val="28"/>
          <w:szCs w:val="28"/>
          <w:vertAlign w:val="superscript"/>
        </w:rPr>
        <w:footnoteReference w:id="491"/>
      </w:r>
      <w:r w:rsidRPr="003E425B">
        <w:rPr>
          <w:rFonts w:ascii="Times New Roman" w:hAnsi="Times New Roman" w:cs="Times New Roman"/>
          <w:sz w:val="28"/>
          <w:szCs w:val="28"/>
        </w:rPr>
        <w:t xml:space="preserve"> Así, en los términos de la Sala Plena:</w:t>
      </w:r>
      <w:r w:rsidRPr="003E425B">
        <w:rPr>
          <w:rFonts w:ascii="Times New Roman" w:hAnsi="Times New Roman" w:cs="Times New Roman"/>
          <w:sz w:val="28"/>
          <w:szCs w:val="28"/>
          <w:vertAlign w:val="superscript"/>
        </w:rPr>
        <w:footnoteReference w:id="492"/>
      </w:r>
    </w:p>
    <w:p w:rsidR="003F1B16" w:rsidRPr="003E425B" w:rsidRDefault="003E425B" w:rsidP="003F1B16">
      <w:pPr>
        <w:tabs>
          <w:tab w:val="left" w:pos="9072"/>
        </w:tabs>
        <w:ind w:right="51"/>
        <w:jc w:val="both"/>
        <w:rPr>
          <w:rFonts w:ascii="Times New Roman" w:hAnsi="Times New Roman" w:cs="Times New Roman"/>
          <w:sz w:val="28"/>
          <w:szCs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i/>
          <w:iCs/>
          <w:sz w:val="28"/>
        </w:rPr>
        <w:t>La Corte destaca que tanto en derecho comparado, como en el caso colombiano, la gravedad del vicio no tiene incidencia directa sobre las posibilidades de saneamiento o convalidaci</w:t>
      </w:r>
      <w:r w:rsidRPr="003E425B">
        <w:rPr>
          <w:rFonts w:ascii="Times New Roman" w:hAnsi="Times New Roman" w:cs="Times New Roman"/>
          <w:i/>
          <w:iCs/>
          <w:sz w:val="28"/>
        </w:rPr>
        <w:t>ón del mismo. La intensidad de la irregularidad debe ser tomada en cuenta para examinar si ésta constituye o no un vicio de procedimiento; pero una vez constatado que el vicio existe, la gravedad no es el elemento más importante para determinar si existe o</w:t>
      </w:r>
      <w:r w:rsidRPr="003E425B">
        <w:rPr>
          <w:rFonts w:ascii="Times New Roman" w:hAnsi="Times New Roman" w:cs="Times New Roman"/>
          <w:i/>
          <w:iCs/>
          <w:sz w:val="28"/>
        </w:rPr>
        <w:t xml:space="preserve"> no posibilidad de convalidación o de saneamiento, pues son otros factores los que entran en juego en esta evaluación. Por ejemplo, esta Corte ha señalado que si la Constitución fija plazos determinados para que una ley sea aprobada, como sucede con las le</w:t>
      </w:r>
      <w:r w:rsidRPr="003E425B">
        <w:rPr>
          <w:rFonts w:ascii="Times New Roman" w:hAnsi="Times New Roman" w:cs="Times New Roman"/>
          <w:i/>
          <w:iCs/>
          <w:sz w:val="28"/>
        </w:rPr>
        <w:t>yes estatutarias o la ley del plan</w:t>
      </w:r>
      <w:bookmarkStart w:id="47" w:name="_ftnref31"/>
      <w:r w:rsidRPr="003E425B">
        <w:rPr>
          <w:rFonts w:ascii="Times New Roman" w:hAnsi="Times New Roman" w:cs="Times New Roman"/>
          <w:i/>
          <w:iCs/>
          <w:sz w:val="28"/>
        </w:rPr>
        <w:fldChar w:fldCharType="begin"/>
      </w:r>
      <w:r w:rsidRPr="003E425B">
        <w:rPr>
          <w:rFonts w:ascii="Times New Roman" w:hAnsi="Times New Roman" w:cs="Times New Roman"/>
          <w:i/>
          <w:iCs/>
          <w:sz w:val="28"/>
        </w:rPr>
        <w:instrText>HYPERLINK "https://www.corteconstitucional.gov.co/relatoria/2001/c-737-01.htm" \l "_ftn31" \o ""</w:instrText>
      </w:r>
      <w:r w:rsidRPr="003E425B">
        <w:rPr>
          <w:rFonts w:ascii="Times New Roman" w:hAnsi="Times New Roman" w:cs="Times New Roman"/>
          <w:i/>
          <w:iCs/>
          <w:sz w:val="28"/>
        </w:rPr>
        <w:fldChar w:fldCharType="separate"/>
      </w:r>
      <w:r w:rsidRPr="003E425B">
        <w:rPr>
          <w:rStyle w:val="Hipervnculo"/>
          <w:rFonts w:ascii="Times New Roman" w:hAnsi="Times New Roman" w:cs="Times New Roman"/>
          <w:i/>
          <w:iCs/>
          <w:sz w:val="28"/>
          <w:vertAlign w:val="superscript"/>
        </w:rPr>
        <w:t>[31]</w:t>
      </w:r>
      <w:r w:rsidRPr="003E425B">
        <w:rPr>
          <w:rFonts w:ascii="Times New Roman" w:hAnsi="Times New Roman" w:cs="Times New Roman"/>
          <w:i/>
          <w:iCs/>
          <w:sz w:val="28"/>
        </w:rPr>
        <w:fldChar w:fldCharType="end"/>
      </w:r>
      <w:bookmarkEnd w:id="47"/>
      <w:r w:rsidRPr="003E425B">
        <w:rPr>
          <w:rFonts w:ascii="Times New Roman" w:hAnsi="Times New Roman" w:cs="Times New Roman"/>
          <w:i/>
          <w:iCs/>
          <w:sz w:val="28"/>
        </w:rPr>
        <w:t>, entonces el juez constitucional no puede devolver la ley al Congreso para la eventual corrección del defecto observad</w:t>
      </w:r>
      <w:r w:rsidRPr="003E425B">
        <w:rPr>
          <w:rFonts w:ascii="Times New Roman" w:hAnsi="Times New Roman" w:cs="Times New Roman"/>
          <w:i/>
          <w:iCs/>
          <w:sz w:val="28"/>
        </w:rPr>
        <w:t>o, pues los términos constitucionales ya estarían vencidos. Los vicios que no hubieran sido convalidados en el propio trámite en el Congreso se tornan entonces insubsanables, sin importar su gravedad. En cambio, la Corte ha aceptado la convalidación por me</w:t>
      </w:r>
      <w:r w:rsidRPr="003E425B">
        <w:rPr>
          <w:rFonts w:ascii="Times New Roman" w:hAnsi="Times New Roman" w:cs="Times New Roman"/>
          <w:i/>
          <w:iCs/>
          <w:sz w:val="28"/>
        </w:rPr>
        <w:t>dio de la confirmación presidencial, de vicios graves en la suscripción de un tratado, puesto que afectaban la representación internacional del Estado colombiano. E igualmente, esta Corporación consideró que una falta de quórum para decidir era un vicio su</w:t>
      </w:r>
      <w:r w:rsidRPr="003E425B">
        <w:rPr>
          <w:rFonts w:ascii="Times New Roman" w:hAnsi="Times New Roman" w:cs="Times New Roman"/>
          <w:i/>
          <w:iCs/>
          <w:sz w:val="28"/>
        </w:rPr>
        <w:t>bsanable, a pesar de su gravedad, y ordenó la devolución al Congreso de una ley afectada por ese vicio, para que éste fuera subsanado, mediante la realización del debate correspondiente. Según la Corte, el vicio podía ser saneado ‘por cuanto era factible r</w:t>
      </w:r>
      <w:r w:rsidRPr="003E425B">
        <w:rPr>
          <w:rFonts w:ascii="Times New Roman" w:hAnsi="Times New Roman" w:cs="Times New Roman"/>
          <w:i/>
          <w:iCs/>
          <w:sz w:val="28"/>
        </w:rPr>
        <w:t xml:space="preserve">epetir el segundo debate en la Cámara, teniendo en cuenta que, para los proyectos de leyes ordinarias y, en concreto, para los referentes a la aprobación de tratados internacionales, no se exige que su aprobación se produzca durante una sola legislatura’. </w:t>
      </w:r>
    </w:p>
    <w:p w:rsidR="003F1B16" w:rsidRPr="003E425B" w:rsidRDefault="003E425B" w:rsidP="003F1B16">
      <w:pPr>
        <w:tabs>
          <w:tab w:val="left" w:pos="9072"/>
        </w:tabs>
        <w:ind w:left="284" w:right="334"/>
        <w:jc w:val="both"/>
        <w:rPr>
          <w:rFonts w:ascii="Times New Roman" w:hAnsi="Times New Roman" w:cs="Times New Roman"/>
          <w:i/>
          <w:iCs/>
          <w:sz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 xml:space="preserve">Un vicio grave puede entonces llegar a ser convalidado o subsanado, mientras que vicios de menor entidad pueden carecer de esa posibilidad. </w:t>
      </w:r>
    </w:p>
    <w:p w:rsidR="003F1B16" w:rsidRPr="003E425B" w:rsidRDefault="003E425B" w:rsidP="003F1B16">
      <w:pPr>
        <w:tabs>
          <w:tab w:val="left" w:pos="9072"/>
        </w:tabs>
        <w:ind w:left="284" w:right="334"/>
        <w:jc w:val="both"/>
        <w:rPr>
          <w:rFonts w:ascii="Times New Roman" w:hAnsi="Times New Roman" w:cs="Times New Roman"/>
          <w:i/>
          <w:iCs/>
          <w:sz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Con todo, la Corte precisa que en cada una de las anteriores hipótesis, la posibilidad de saneamiento que otorga</w:t>
      </w:r>
      <w:r w:rsidRPr="003E425B">
        <w:rPr>
          <w:rFonts w:ascii="Times New Roman" w:hAnsi="Times New Roman" w:cs="Times New Roman"/>
          <w:i/>
          <w:iCs/>
          <w:sz w:val="28"/>
        </w:rPr>
        <w:t xml:space="preserve"> el ordenamiento jurídico se debe interpretar y ejercer en forma razonable; en otras palabras, no puede otorgarse a dicha facultad un alcance tan amplio, que acabe por desnaturalizar la noción misma de vicio del procedimiento legislativo. Para que se pueda</w:t>
      </w:r>
      <w:r w:rsidRPr="003E425B">
        <w:rPr>
          <w:rFonts w:ascii="Times New Roman" w:hAnsi="Times New Roman" w:cs="Times New Roman"/>
          <w:i/>
          <w:iCs/>
          <w:sz w:val="28"/>
        </w:rPr>
        <w:t xml:space="preserve"> hablar de un vicio saneable en el procedimiento de formación de la ley, es necesario que, cuando menos, se haya cumplido con las etapas estructurales de tal procedimiento, puesto que la omisión de éstas -por ejemplo, la pretermisión de los debates ante al</w:t>
      </w:r>
      <w:r w:rsidRPr="003E425B">
        <w:rPr>
          <w:rFonts w:ascii="Times New Roman" w:hAnsi="Times New Roman" w:cs="Times New Roman"/>
          <w:i/>
          <w:iCs/>
          <w:sz w:val="28"/>
        </w:rPr>
        <w:t>guna de las Cámaras legislativas-, hace imposible hablar de un procedimiento legislativo como tal -y, en consecuencia, impide considerar la omisión respectiva como un vicio-. En efecto, en esos eventos no habría propiamente un vicio del procedimiento en la</w:t>
      </w:r>
      <w:r w:rsidRPr="003E425B">
        <w:rPr>
          <w:rFonts w:ascii="Times New Roman" w:hAnsi="Times New Roman" w:cs="Times New Roman"/>
          <w:i/>
          <w:iCs/>
          <w:sz w:val="28"/>
        </w:rPr>
        <w:t xml:space="preserve"> formación de la ley sino una ausencia o inexistencia de procedimiento, que no puede ser subsanada. Por lo mismo, es imposible catalogar como “saneamiento” lo que, en realidad, equivale a la repetición de toda una etapa del trámite legislativo, ya que de l</w:t>
      </w:r>
      <w:r w:rsidRPr="003E425B">
        <w:rPr>
          <w:rFonts w:ascii="Times New Roman" w:hAnsi="Times New Roman" w:cs="Times New Roman"/>
          <w:i/>
          <w:iCs/>
          <w:sz w:val="28"/>
        </w:rPr>
        <w:t>o contrario, se terminaría por burlar los mismos fines sustantivos que el principio de instrumentalidad de las formas pretende preservar.</w:t>
      </w:r>
    </w:p>
    <w:p w:rsidR="003F1B16" w:rsidRPr="003E425B" w:rsidRDefault="003E425B" w:rsidP="003F1B16">
      <w:pPr>
        <w:tabs>
          <w:tab w:val="left" w:pos="9072"/>
        </w:tabs>
        <w:ind w:left="284" w:right="334"/>
        <w:jc w:val="both"/>
        <w:rPr>
          <w:rFonts w:ascii="Times New Roman" w:hAnsi="Times New Roman" w:cs="Times New Roman"/>
          <w:i/>
          <w:iCs/>
          <w:sz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Conforme a lo anterior, el principio de instrumentalidad de las formas, expresamente consagrado en el artículo 228 de</w:t>
      </w:r>
      <w:r w:rsidRPr="003E425B">
        <w:rPr>
          <w:rFonts w:ascii="Times New Roman" w:hAnsi="Times New Roman" w:cs="Times New Roman"/>
          <w:i/>
          <w:iCs/>
          <w:sz w:val="28"/>
        </w:rPr>
        <w:t xml:space="preserve"> la Carta, implica que la constatación de que ocurrió una irregularidad en el trámite de una ley, no conlleva inevitablemente que el juez constitucional deba siempre retirarla del ordenamiento. Es necesario que, previamente, el juez examine (i) si ese defe</w:t>
      </w:r>
      <w:r w:rsidRPr="003E425B">
        <w:rPr>
          <w:rFonts w:ascii="Times New Roman" w:hAnsi="Times New Roman" w:cs="Times New Roman"/>
          <w:i/>
          <w:iCs/>
          <w:sz w:val="28"/>
        </w:rPr>
        <w:t>cto es de suficiente entidad como para constituir un vicio susceptible de afectar la validez de la ley; (ii) en caso de que la irregularidad represente un vicio, debe la Corte estudiar si existió o no una convalidación del mencionado vicio durante el trámi</w:t>
      </w:r>
      <w:r w:rsidRPr="003E425B">
        <w:rPr>
          <w:rFonts w:ascii="Times New Roman" w:hAnsi="Times New Roman" w:cs="Times New Roman"/>
          <w:i/>
          <w:iCs/>
          <w:sz w:val="28"/>
        </w:rPr>
        <w:t>te mismo de la ley; (iii) si el vicio no fue convalidado, debe la Corte analizar si es posible devolver la ley al Congreso y al Presidente para que subsanen el defecto observado; y (iv) si no se presenta ninguna de las anteriores hipótesis, la Corte debe d</w:t>
      </w:r>
      <w:r w:rsidRPr="003E425B">
        <w:rPr>
          <w:rFonts w:ascii="Times New Roman" w:hAnsi="Times New Roman" w:cs="Times New Roman"/>
          <w:i/>
          <w:iCs/>
          <w:sz w:val="28"/>
        </w:rPr>
        <w:t>eterminar si es posible que ella misma subsane, en su pronunciamiento, el vicio detectado, de conformidad con los lineamientos arriba trazados, y respetando siempre el principio de razonabilidad.</w:t>
      </w:r>
      <w:r w:rsidRPr="003E425B">
        <w:rPr>
          <w:rFonts w:ascii="Times New Roman" w:hAnsi="Times New Roman" w:cs="Times New Roman"/>
          <w:i/>
          <w:iCs/>
          <w:sz w:val="28"/>
        </w:rPr>
        <w:t>”</w:t>
      </w:r>
    </w:p>
    <w:p w:rsidR="003F1B16" w:rsidRPr="003E425B" w:rsidRDefault="003E425B" w:rsidP="003F1B16">
      <w:pPr>
        <w:tabs>
          <w:tab w:val="left" w:pos="9072"/>
        </w:tabs>
        <w:ind w:right="334"/>
        <w:jc w:val="both"/>
        <w:rPr>
          <w:rFonts w:ascii="Times New Roman" w:hAnsi="Times New Roman" w:cs="Times New Roman"/>
          <w:sz w:val="28"/>
        </w:rPr>
      </w:pPr>
    </w:p>
    <w:p w:rsidR="003F1B16" w:rsidRPr="003E425B" w:rsidRDefault="003E425B" w:rsidP="003F1B16">
      <w:pPr>
        <w:tabs>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En hilo con lo expuesto en líneas precedentes, la línea ju</w:t>
      </w:r>
      <w:r w:rsidRPr="003E425B">
        <w:rPr>
          <w:rFonts w:ascii="Times New Roman" w:hAnsi="Times New Roman" w:cs="Times New Roman"/>
          <w:sz w:val="28"/>
          <w:szCs w:val="28"/>
        </w:rPr>
        <w:t xml:space="preserve">risprudencial de la Corte en la Sentencia C-141 de 2010 ahondó en los presupuestos que activan la consecuencia dispuesta en el artículo 149 del </w:t>
      </w:r>
      <w:r w:rsidRPr="003E425B">
        <w:rPr>
          <w:rFonts w:ascii="Times New Roman" w:hAnsi="Times New Roman" w:cs="Times New Roman"/>
          <w:sz w:val="28"/>
          <w:szCs w:val="28"/>
        </w:rPr>
        <w:t>t</w:t>
      </w:r>
      <w:r w:rsidRPr="003E425B">
        <w:rPr>
          <w:rFonts w:ascii="Times New Roman" w:hAnsi="Times New Roman" w:cs="Times New Roman"/>
          <w:sz w:val="28"/>
          <w:szCs w:val="28"/>
        </w:rPr>
        <w:t xml:space="preserve">exto </w:t>
      </w:r>
      <w:r w:rsidRPr="003E425B">
        <w:rPr>
          <w:rFonts w:ascii="Times New Roman" w:hAnsi="Times New Roman" w:cs="Times New Roman"/>
          <w:sz w:val="28"/>
          <w:szCs w:val="28"/>
        </w:rPr>
        <w:t>s</w:t>
      </w:r>
      <w:r w:rsidRPr="003E425B">
        <w:rPr>
          <w:rFonts w:ascii="Times New Roman" w:hAnsi="Times New Roman" w:cs="Times New Roman"/>
          <w:sz w:val="28"/>
          <w:szCs w:val="28"/>
        </w:rPr>
        <w:t>uperior. Concretamente, la Corte determinó que el artículo 149 es un precepto que tiene la estructura típ</w:t>
      </w:r>
      <w:r w:rsidRPr="003E425B">
        <w:rPr>
          <w:rFonts w:ascii="Times New Roman" w:hAnsi="Times New Roman" w:cs="Times New Roman"/>
          <w:sz w:val="28"/>
          <w:szCs w:val="28"/>
        </w:rPr>
        <w:t xml:space="preserve">ica de una regla y que, por tanto, sólo podría ser inaplicado si es desplazado por otras reglas o por principios superiores del ordenamiento, </w:t>
      </w:r>
      <w:r w:rsidRPr="003E425B">
        <w:rPr>
          <w:rFonts w:ascii="Times New Roman" w:hAnsi="Times New Roman" w:cs="Times New Roman"/>
          <w:sz w:val="28"/>
          <w:szCs w:val="28"/>
        </w:rPr>
        <w:t xml:space="preserve">como un </w:t>
      </w:r>
      <w:r w:rsidRPr="003E425B">
        <w:rPr>
          <w:rFonts w:ascii="Times New Roman" w:hAnsi="Times New Roman" w:cs="Times New Roman"/>
          <w:sz w:val="28"/>
          <w:szCs w:val="28"/>
        </w:rPr>
        <w:t>conflicto normativo.</w:t>
      </w:r>
      <w:r w:rsidRPr="003E425B">
        <w:rPr>
          <w:rFonts w:ascii="Times New Roman" w:hAnsi="Times New Roman" w:cs="Times New Roman"/>
          <w:sz w:val="28"/>
          <w:szCs w:val="28"/>
          <w:vertAlign w:val="superscript"/>
        </w:rPr>
        <w:footnoteReference w:id="493"/>
      </w:r>
      <w:r w:rsidRPr="003E425B">
        <w:rPr>
          <w:rFonts w:ascii="Times New Roman" w:hAnsi="Times New Roman" w:cs="Times New Roman"/>
          <w:sz w:val="28"/>
          <w:szCs w:val="28"/>
        </w:rPr>
        <w:t xml:space="preserve"> A su turno, la providencia refirió que “</w:t>
      </w:r>
      <w:r w:rsidRPr="003E425B">
        <w:rPr>
          <w:rFonts w:ascii="Times New Roman" w:hAnsi="Times New Roman" w:cs="Times New Roman"/>
          <w:i/>
          <w:iCs/>
          <w:sz w:val="28"/>
          <w:szCs w:val="28"/>
        </w:rPr>
        <w:t>[l]a consecuencia para los casos en que el ó</w:t>
      </w:r>
      <w:r w:rsidRPr="003E425B">
        <w:rPr>
          <w:rFonts w:ascii="Times New Roman" w:hAnsi="Times New Roman" w:cs="Times New Roman"/>
          <w:i/>
          <w:iCs/>
          <w:sz w:val="28"/>
          <w:szCs w:val="28"/>
        </w:rPr>
        <w:t>rgano legislativo o alguna de sus cámaras sin que se hayan cumplido los requisitos constitucionales y reglamentarios aplicables la consagra la propia Constitución en el artículo 149”.</w:t>
      </w:r>
      <w:r w:rsidRPr="003E425B">
        <w:rPr>
          <w:rFonts w:ascii="Times New Roman" w:hAnsi="Times New Roman" w:cs="Times New Roman"/>
          <w:sz w:val="28"/>
          <w:szCs w:val="28"/>
          <w:vertAlign w:val="superscript"/>
        </w:rPr>
        <w:footnoteReference w:id="494"/>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Allí, la Sala Plena de esta Corporación destacó la importancia de prote</w:t>
      </w:r>
      <w:r w:rsidRPr="003E425B">
        <w:rPr>
          <w:rFonts w:ascii="Times New Roman" w:hAnsi="Times New Roman" w:cs="Times New Roman"/>
          <w:sz w:val="28"/>
          <w:szCs w:val="28"/>
        </w:rPr>
        <w:t>ger el procedimiento legislativo, así como sus formas y diseño institucional. Concretamente, la Sala Plena subrayó que:</w:t>
      </w:r>
      <w:r w:rsidRPr="003E425B">
        <w:rPr>
          <w:rFonts w:ascii="Times New Roman" w:hAnsi="Times New Roman" w:cs="Times New Roman"/>
          <w:sz w:val="28"/>
          <w:szCs w:val="28"/>
          <w:vertAlign w:val="superscript"/>
        </w:rPr>
        <w:footnoteReference w:id="495"/>
      </w:r>
    </w:p>
    <w:p w:rsidR="003F1B16" w:rsidRPr="003E425B" w:rsidRDefault="003E425B" w:rsidP="003F1B16">
      <w:pPr>
        <w:tabs>
          <w:tab w:val="left" w:pos="9072"/>
        </w:tabs>
        <w:ind w:right="51"/>
        <w:jc w:val="both"/>
        <w:rPr>
          <w:rFonts w:ascii="Times New Roman" w:hAnsi="Times New Roman" w:cs="Times New Roman"/>
          <w:sz w:val="28"/>
          <w:szCs w:val="28"/>
        </w:rPr>
      </w:pPr>
    </w:p>
    <w:p w:rsidR="003F1B16" w:rsidRPr="003E425B" w:rsidRDefault="003E425B" w:rsidP="003F1B16">
      <w:pPr>
        <w:tabs>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i/>
          <w:iCs/>
          <w:sz w:val="28"/>
        </w:rPr>
        <w:t>Tal como se ha sostenido a lo largo de esta decisión, lo que nutre de significado el procedimiento legislativo, es que se trata de la</w:t>
      </w:r>
      <w:r w:rsidRPr="003E425B">
        <w:rPr>
          <w:rFonts w:ascii="Times New Roman" w:hAnsi="Times New Roman" w:cs="Times New Roman"/>
          <w:i/>
          <w:iCs/>
          <w:sz w:val="28"/>
        </w:rPr>
        <w:t xml:space="preserve"> forma de creación normativa más democrática que existe en el Estado Colombiano. En efecto, en desarrollo del mismo se concretan, a su vez, principios como el mayoritario, el pluralismo político y el de publicidad en la actividad de las cámaras, los cuales</w:t>
      </w:r>
      <w:r w:rsidRPr="003E425B">
        <w:rPr>
          <w:rFonts w:ascii="Times New Roman" w:hAnsi="Times New Roman" w:cs="Times New Roman"/>
          <w:i/>
          <w:iCs/>
          <w:sz w:val="28"/>
        </w:rPr>
        <w:t xml:space="preserve"> aportan una legitimidad única a la fuente jurídica creada siguiendo este procedimiento: la ley. Su realización siguiendo lineamientos democráticos es la razón para que la ley sea la principal fuente del ordenamiento jurídico luego de la Constitución y en </w:t>
      </w:r>
      <w:r w:rsidRPr="003E425B">
        <w:rPr>
          <w:rFonts w:ascii="Times New Roman" w:hAnsi="Times New Roman" w:cs="Times New Roman"/>
          <w:i/>
          <w:iCs/>
          <w:sz w:val="28"/>
        </w:rPr>
        <w:t>la que recae la cláusula general de competencia. Ninguna otra norma dentro del ordenamiento jurídico en el nivel nacional es elaborada por un cuerpo democráticamente elegido, de conformación plural y cuyo funcionamiento sea transparente de cara a sus propi</w:t>
      </w:r>
      <w:r w:rsidRPr="003E425B">
        <w:rPr>
          <w:rFonts w:ascii="Times New Roman" w:hAnsi="Times New Roman" w:cs="Times New Roman"/>
          <w:i/>
          <w:iCs/>
          <w:sz w:val="28"/>
        </w:rPr>
        <w:t xml:space="preserve">os miembros y de cara a la sociedad que representa. Por esta razón resulta esencial para la legitimidad constitucional de la ley que, además de que su contenido no contraríe disposiciones constitucionales, ésta sea elaborada siguiendo el procedimiento por </w:t>
      </w:r>
      <w:r w:rsidRPr="003E425B">
        <w:rPr>
          <w:rFonts w:ascii="Times New Roman" w:hAnsi="Times New Roman" w:cs="Times New Roman"/>
          <w:i/>
          <w:iCs/>
          <w:sz w:val="28"/>
        </w:rPr>
        <w:t>medio del cual se concreta el principio democrático.</w:t>
      </w:r>
      <w:r w:rsidRPr="003E425B">
        <w:rPr>
          <w:rFonts w:ascii="Times New Roman" w:hAnsi="Times New Roman" w:cs="Times New Roman"/>
          <w:i/>
          <w:iCs/>
          <w:sz w:val="28"/>
        </w:rPr>
        <w:t>”</w:t>
      </w:r>
    </w:p>
    <w:p w:rsidR="003F1B16" w:rsidRPr="003E425B" w:rsidRDefault="003E425B" w:rsidP="003F1B16">
      <w:pPr>
        <w:tabs>
          <w:tab w:val="left" w:pos="9072"/>
        </w:tabs>
        <w:ind w:right="334"/>
        <w:jc w:val="both"/>
        <w:rPr>
          <w:rFonts w:ascii="Times New Roman" w:hAnsi="Times New Roman" w:cs="Times New Roman"/>
          <w:i/>
          <w:iCs/>
          <w:sz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 xml:space="preserve">Sobre el análisis del artículo 149 Superior, la Corte Constitucional ha </w:t>
      </w:r>
      <w:r w:rsidRPr="003E425B">
        <w:rPr>
          <w:rFonts w:ascii="Times New Roman" w:hAnsi="Times New Roman" w:cs="Times New Roman"/>
          <w:sz w:val="28"/>
          <w:szCs w:val="28"/>
        </w:rPr>
        <w:t xml:space="preserve">observado </w:t>
      </w:r>
      <w:r w:rsidRPr="003E425B">
        <w:rPr>
          <w:rFonts w:ascii="Times New Roman" w:hAnsi="Times New Roman" w:cs="Times New Roman"/>
          <w:sz w:val="28"/>
          <w:szCs w:val="28"/>
        </w:rPr>
        <w:t>que “</w:t>
      </w:r>
      <w:r w:rsidRPr="003E425B">
        <w:rPr>
          <w:rFonts w:ascii="Times New Roman" w:hAnsi="Times New Roman" w:cs="Times New Roman"/>
          <w:i/>
          <w:iCs/>
          <w:sz w:val="28"/>
          <w:szCs w:val="28"/>
        </w:rPr>
        <w:t>son pocas las ocasiones en que el propio constituyente consagra expresamente una consecuencia al incumplimiento de</w:t>
      </w:r>
      <w:r w:rsidRPr="003E425B">
        <w:rPr>
          <w:rFonts w:ascii="Times New Roman" w:hAnsi="Times New Roman" w:cs="Times New Roman"/>
          <w:i/>
          <w:iCs/>
          <w:sz w:val="28"/>
          <w:szCs w:val="28"/>
        </w:rPr>
        <w:t xml:space="preserve"> normas parámetro de control constitucional”</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496"/>
      </w:r>
      <w:r w:rsidRPr="003E425B">
        <w:rPr>
          <w:rFonts w:ascii="Times New Roman" w:hAnsi="Times New Roman" w:cs="Times New Roman"/>
          <w:sz w:val="28"/>
          <w:szCs w:val="28"/>
        </w:rPr>
        <w:t xml:space="preserve"> Sin embargo, no podría obviar la aplicación de la norma mencionada, bajo un argumento defensor de lo sustancial sobre las formas, pues, precisamente, la consecuencia jurídica dispuesta en el artículo 149 de la</w:t>
      </w:r>
      <w:r w:rsidRPr="003E425B">
        <w:rPr>
          <w:rFonts w:ascii="Times New Roman" w:hAnsi="Times New Roman" w:cs="Times New Roman"/>
          <w:sz w:val="28"/>
          <w:szCs w:val="28"/>
        </w:rPr>
        <w:t xml:space="preserve"> Constitución se eleva a rango constitucional, lo cual implica que, no cualquier irregularidad o vicio procesal podría dar lugar a su inaplicación. Como bien indicó la Sala Plena en la Sentencia C-141 de 2010, solo otra regla constitucional o principio sup</w:t>
      </w:r>
      <w:r w:rsidRPr="003E425B">
        <w:rPr>
          <w:rFonts w:ascii="Times New Roman" w:hAnsi="Times New Roman" w:cs="Times New Roman"/>
          <w:sz w:val="28"/>
          <w:szCs w:val="28"/>
        </w:rPr>
        <w:t xml:space="preserve">erior del ordenamiento, podría permitir su inaplicación. </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Ahora bien, luego, a través de la Sentencia C-086 de 2016, la Sala Plena se refirió nuevamente al alcance de aplicación de artículo 149 Superior. Concretamente, la providencia desarrolló los supues</w:t>
      </w:r>
      <w:r w:rsidRPr="003E425B">
        <w:rPr>
          <w:rFonts w:ascii="Times New Roman" w:hAnsi="Times New Roman" w:cs="Times New Roman"/>
          <w:sz w:val="28"/>
          <w:szCs w:val="28"/>
        </w:rPr>
        <w:t xml:space="preserve">tos en los cuales un vicio en el </w:t>
      </w:r>
      <w:r w:rsidRPr="003E425B">
        <w:rPr>
          <w:rFonts w:ascii="Times New Roman" w:hAnsi="Times New Roman" w:cs="Times New Roman"/>
          <w:i/>
          <w:iCs/>
          <w:sz w:val="28"/>
          <w:szCs w:val="28"/>
        </w:rPr>
        <w:t xml:space="preserve">iter </w:t>
      </w:r>
      <w:r w:rsidRPr="003E425B">
        <w:rPr>
          <w:rFonts w:ascii="Times New Roman" w:hAnsi="Times New Roman" w:cs="Times New Roman"/>
          <w:sz w:val="28"/>
          <w:szCs w:val="28"/>
        </w:rPr>
        <w:t>legislativo configura un vicio subsanable o insubsanable. Específicamente, recordó que la jurisprudencia de la Corte Constitucional ha determinado que los vicios de forma son subsanables siempre que su ocurrencia no ha</w:t>
      </w:r>
      <w:r w:rsidRPr="003E425B">
        <w:rPr>
          <w:rFonts w:ascii="Times New Roman" w:hAnsi="Times New Roman" w:cs="Times New Roman"/>
          <w:sz w:val="28"/>
          <w:szCs w:val="28"/>
        </w:rPr>
        <w:t xml:space="preserve">ya </w:t>
      </w:r>
      <w:r w:rsidRPr="003E425B">
        <w:rPr>
          <w:rFonts w:ascii="Times New Roman" w:hAnsi="Times New Roman" w:cs="Times New Roman"/>
          <w:b/>
          <w:bCs/>
          <w:sz w:val="28"/>
          <w:szCs w:val="28"/>
        </w:rPr>
        <w:t xml:space="preserve">impedido la conformación de la voluntad de las cámaras. </w:t>
      </w:r>
      <w:r w:rsidRPr="003E425B">
        <w:rPr>
          <w:rFonts w:ascii="Times New Roman" w:hAnsi="Times New Roman" w:cs="Times New Roman"/>
          <w:sz w:val="28"/>
          <w:szCs w:val="28"/>
        </w:rPr>
        <w:t>Así, la Corte expresó que:</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left="284" w:right="334"/>
        <w:jc w:val="both"/>
        <w:rPr>
          <w:rFonts w:ascii="Times New Roman" w:hAnsi="Times New Roman" w:cs="Times New Roman"/>
          <w:sz w:val="28"/>
        </w:rPr>
      </w:pPr>
      <w:r w:rsidRPr="003E425B">
        <w:rPr>
          <w:rFonts w:ascii="Times New Roman" w:hAnsi="Times New Roman" w:cs="Times New Roman"/>
          <w:i/>
          <w:iCs/>
          <w:sz w:val="28"/>
        </w:rPr>
        <w:t>“</w:t>
      </w:r>
      <w:r w:rsidRPr="003E425B">
        <w:rPr>
          <w:rFonts w:ascii="Times New Roman" w:hAnsi="Times New Roman" w:cs="Times New Roman"/>
          <w:i/>
          <w:iCs/>
          <w:sz w:val="28"/>
        </w:rPr>
        <w:t>En principio, y posiblemente por el tipo de vicios que con más asiduidad  se analizaron en los primeros años, la voluntad de las cámaras hacía referencia a que hubiesen</w:t>
      </w:r>
      <w:r w:rsidRPr="003E425B">
        <w:rPr>
          <w:rFonts w:ascii="Times New Roman" w:hAnsi="Times New Roman" w:cs="Times New Roman"/>
          <w:i/>
          <w:iCs/>
          <w:sz w:val="28"/>
        </w:rPr>
        <w:t xml:space="preserve"> estado presentes los elementos sustanciales del procedimiento en cada etapa del mismo; al presentarse un cambio en la casuística de los vicios que analiza la Corte, el entendimiento se ha manifestado en una visión más procedimental que sustancial del proc</w:t>
      </w:r>
      <w:r w:rsidRPr="003E425B">
        <w:rPr>
          <w:rFonts w:ascii="Times New Roman" w:hAnsi="Times New Roman" w:cs="Times New Roman"/>
          <w:i/>
          <w:iCs/>
          <w:sz w:val="28"/>
        </w:rPr>
        <w:t>eso de formación de la “</w:t>
      </w:r>
      <w:r w:rsidRPr="003E425B">
        <w:rPr>
          <w:rFonts w:ascii="Times New Roman" w:hAnsi="Times New Roman" w:cs="Times New Roman"/>
          <w:b/>
          <w:bCs/>
          <w:i/>
          <w:iCs/>
          <w:sz w:val="28"/>
        </w:rPr>
        <w:t>voluntad de las cámaras</w:t>
      </w:r>
      <w:r w:rsidRPr="003E425B">
        <w:rPr>
          <w:rFonts w:ascii="Times New Roman" w:hAnsi="Times New Roman" w:cs="Times New Roman"/>
          <w:i/>
          <w:iCs/>
          <w:sz w:val="28"/>
        </w:rPr>
        <w:t>” dentro del iter legislativo, que apela no a la significación del vicio, sino al </w:t>
      </w:r>
      <w:r w:rsidRPr="003E425B">
        <w:rPr>
          <w:rFonts w:ascii="Times New Roman" w:hAnsi="Times New Roman" w:cs="Times New Roman"/>
          <w:b/>
          <w:bCs/>
          <w:i/>
          <w:iCs/>
          <w:sz w:val="28"/>
        </w:rPr>
        <w:t>momento </w:t>
      </w:r>
      <w:r w:rsidRPr="003E425B">
        <w:rPr>
          <w:rFonts w:ascii="Times New Roman" w:hAnsi="Times New Roman" w:cs="Times New Roman"/>
          <w:i/>
          <w:iCs/>
          <w:sz w:val="28"/>
        </w:rPr>
        <w:t xml:space="preserve">en que este ocurre dentro del procedimiento y, por consiguiente, que tanto del mismo tocaría repetir para subsanarlo. </w:t>
      </w:r>
      <w:r w:rsidRPr="003E425B">
        <w:rPr>
          <w:rFonts w:ascii="Times New Roman" w:hAnsi="Times New Roman" w:cs="Times New Roman"/>
          <w:i/>
          <w:iCs/>
          <w:sz w:val="28"/>
        </w:rPr>
        <w:t>Este entendimiento de las oportunidades para subsanar un vicio de forma no riñe por completo con la visión que se presentó al inicio de la jurisprudencia; simplemente, y en parte por los vicios ahora estudiados, otorga un peso importante al elemento practi</w:t>
      </w:r>
      <w:r w:rsidRPr="003E425B">
        <w:rPr>
          <w:rFonts w:ascii="Times New Roman" w:hAnsi="Times New Roman" w:cs="Times New Roman"/>
          <w:i/>
          <w:iCs/>
          <w:sz w:val="28"/>
        </w:rPr>
        <w:t>cidad dentro de la fórmula que conduce a la respuesta adoptada. Sin embargo, este análisis, se reitera, no contradice el principio de decisión manifestado al inicio de la jurisprudencia, consistente en que no será posible corregir aquella etapa del procedi</w:t>
      </w:r>
      <w:r w:rsidRPr="003E425B">
        <w:rPr>
          <w:rFonts w:ascii="Times New Roman" w:hAnsi="Times New Roman" w:cs="Times New Roman"/>
          <w:i/>
          <w:iCs/>
          <w:sz w:val="28"/>
        </w:rPr>
        <w:t>miento que no ha existido en absoluto.</w:t>
      </w:r>
      <w:r w:rsidRPr="003E425B">
        <w:rPr>
          <w:rFonts w:ascii="Times New Roman" w:hAnsi="Times New Roman" w:cs="Times New Roman"/>
          <w:color w:val="2D2D2D"/>
          <w:sz w:val="28"/>
          <w:shd w:val="clear" w:color="auto" w:fill="FFFFFF"/>
        </w:rPr>
        <w:t xml:space="preserve"> </w:t>
      </w:r>
      <w:r w:rsidRPr="003E425B">
        <w:rPr>
          <w:rFonts w:ascii="Times New Roman" w:hAnsi="Times New Roman" w:cs="Times New Roman"/>
          <w:i/>
          <w:iCs/>
          <w:sz w:val="28"/>
        </w:rPr>
        <w:t>Que sea este el elemento fundamental al momento de determinar la posibilidad de subsanación de un vicio procedimental resulta, además de coherente desde una perspectiva argumentativa, acorde con elementos expresamente</w:t>
      </w:r>
      <w:r w:rsidRPr="003E425B">
        <w:rPr>
          <w:rFonts w:ascii="Times New Roman" w:hAnsi="Times New Roman" w:cs="Times New Roman"/>
          <w:i/>
          <w:iCs/>
          <w:sz w:val="28"/>
        </w:rPr>
        <w:t xml:space="preserve"> incorporados en nuestro ordenamiento constitucional. En este sentido, debe recordarse que en ocasiones es la propia Constitución la que determina cuál es el mínimo que debe presentarse para llegar a la conclusión de que ha existido una actuación dentro de</w:t>
      </w:r>
      <w:r w:rsidRPr="003E425B">
        <w:rPr>
          <w:rFonts w:ascii="Times New Roman" w:hAnsi="Times New Roman" w:cs="Times New Roman"/>
          <w:i/>
          <w:iCs/>
          <w:sz w:val="28"/>
        </w:rPr>
        <w:t xml:space="preserve"> un procedimiento legislativo y, contrario sensu, cuando la ausencia de los elementos axiales a la conformación de la voluntad del Congreso no dejan opción al intérprete respecto de la inexistencia de dicha actuación.”</w:t>
      </w:r>
      <w:r w:rsidRPr="003E425B">
        <w:rPr>
          <w:rFonts w:ascii="Times New Roman" w:hAnsi="Times New Roman" w:cs="Times New Roman"/>
          <w:sz w:val="28"/>
        </w:rPr>
        <w:t xml:space="preserve"> (énfasis original). </w:t>
      </w:r>
    </w:p>
    <w:p w:rsidR="003F1B16" w:rsidRPr="003E425B" w:rsidRDefault="003E425B" w:rsidP="003F1B16">
      <w:pPr>
        <w:tabs>
          <w:tab w:val="left" w:pos="8931"/>
          <w:tab w:val="left" w:pos="9072"/>
        </w:tabs>
        <w:ind w:right="51"/>
        <w:jc w:val="both"/>
        <w:rPr>
          <w:rFonts w:ascii="Times New Roman" w:hAnsi="Times New Roman" w:cs="Times New Roman"/>
          <w:i/>
          <w:iCs/>
          <w:sz w:val="28"/>
          <w:szCs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Las “voluntades</w:t>
      </w:r>
      <w:r w:rsidRPr="003E425B">
        <w:rPr>
          <w:rFonts w:ascii="Times New Roman" w:hAnsi="Times New Roman" w:cs="Times New Roman"/>
          <w:sz w:val="28"/>
          <w:szCs w:val="28"/>
        </w:rPr>
        <w:t xml:space="preserve"> de las cámaras” deben entenderse no solo como un número aislado que se expresa en la presencia de un determinado congresista en una sesión deliberatoria, sino que, dicho número, representa una voluntad democrática, un aporte al debate político que resulta</w:t>
      </w:r>
      <w:r w:rsidRPr="003E425B">
        <w:rPr>
          <w:rFonts w:ascii="Times New Roman" w:hAnsi="Times New Roman" w:cs="Times New Roman"/>
          <w:sz w:val="28"/>
          <w:szCs w:val="28"/>
        </w:rPr>
        <w:t xml:space="preserve"> fundamental para el cumplimiento de lo expuesto en el artículo 145 y subsiguientes de la Constitución Política, así como en el cumplimiento de lo expuesto del artículo Superior. </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 su turno, la Sentencia C-685 de 2011 estableció que, por virtud del artíc</w:t>
      </w:r>
      <w:r w:rsidRPr="003E425B">
        <w:rPr>
          <w:rFonts w:ascii="Times New Roman" w:hAnsi="Times New Roman" w:cs="Times New Roman"/>
          <w:sz w:val="28"/>
          <w:szCs w:val="28"/>
        </w:rPr>
        <w:t xml:space="preserve">ulo 149 del </w:t>
      </w:r>
      <w:r w:rsidRPr="003E425B">
        <w:rPr>
          <w:rFonts w:ascii="Times New Roman" w:hAnsi="Times New Roman" w:cs="Times New Roman"/>
          <w:sz w:val="28"/>
          <w:szCs w:val="28"/>
        </w:rPr>
        <w:t>t</w:t>
      </w:r>
      <w:r w:rsidRPr="003E425B">
        <w:rPr>
          <w:rFonts w:ascii="Times New Roman" w:hAnsi="Times New Roman" w:cs="Times New Roman"/>
          <w:sz w:val="28"/>
          <w:szCs w:val="28"/>
        </w:rPr>
        <w:t xml:space="preserve">exto </w:t>
      </w:r>
      <w:r w:rsidRPr="003E425B">
        <w:rPr>
          <w:rFonts w:ascii="Times New Roman" w:hAnsi="Times New Roman" w:cs="Times New Roman"/>
          <w:sz w:val="28"/>
          <w:szCs w:val="28"/>
        </w:rPr>
        <w:t>s</w:t>
      </w:r>
      <w:r w:rsidRPr="003E425B">
        <w:rPr>
          <w:rFonts w:ascii="Times New Roman" w:hAnsi="Times New Roman" w:cs="Times New Roman"/>
          <w:sz w:val="28"/>
          <w:szCs w:val="28"/>
        </w:rPr>
        <w:t>uperior, en principio, pareciera que la Constitución misma elimina cualquier posibilidad de subsanación de un vicio, al privar por completo de efectos a las reuniones que se lleven a cabo en estas condiciones. Así, en efecto:</w:t>
      </w:r>
      <w:r w:rsidRPr="003E425B">
        <w:rPr>
          <w:rFonts w:ascii="Times New Roman" w:hAnsi="Times New Roman" w:cs="Times New Roman"/>
          <w:sz w:val="28"/>
          <w:szCs w:val="28"/>
          <w:vertAlign w:val="superscript"/>
        </w:rPr>
        <w:footnoteReference w:id="497"/>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sz w:val="28"/>
        </w:rPr>
        <w:t>[A]</w:t>
      </w:r>
      <w:r w:rsidRPr="003E425B">
        <w:rPr>
          <w:rFonts w:ascii="Times New Roman" w:hAnsi="Times New Roman" w:cs="Times New Roman"/>
          <w:i/>
          <w:iCs/>
          <w:sz w:val="28"/>
        </w:rPr>
        <w:t xml:space="preserve">l no </w:t>
      </w:r>
      <w:r w:rsidRPr="003E425B">
        <w:rPr>
          <w:rFonts w:ascii="Times New Roman" w:hAnsi="Times New Roman" w:cs="Times New Roman"/>
          <w:i/>
          <w:iCs/>
          <w:sz w:val="28"/>
        </w:rPr>
        <w:t>contar para nada como una manifestación de voluntad del Congreso –ya que faltó un presupuesto que lo estructura como cámara de decisión-, no habría actuación que corregir, pues lo que se hubiese realizado, por mandato expreso de una disposición constitucio</w:t>
      </w:r>
      <w:r w:rsidRPr="003E425B">
        <w:rPr>
          <w:rFonts w:ascii="Times New Roman" w:hAnsi="Times New Roman" w:cs="Times New Roman"/>
          <w:i/>
          <w:iCs/>
          <w:sz w:val="28"/>
        </w:rPr>
        <w:t>nal, no tendrá consideración alguna para el mundo del derecho. En este caso, en principio, la insubsanabilidad sería la consecuencia que acorde con los efectos que prevé el artículo 149 de la Constitución para estas situaciones, lo que no obsta para que se</w:t>
      </w:r>
      <w:r w:rsidRPr="003E425B">
        <w:rPr>
          <w:rFonts w:ascii="Times New Roman" w:hAnsi="Times New Roman" w:cs="Times New Roman"/>
          <w:i/>
          <w:iCs/>
          <w:sz w:val="28"/>
        </w:rPr>
        <w:t xml:space="preserve"> analice cada caso concreto en busca de los elementos que configuran este tipo de situaciones.</w:t>
      </w:r>
      <w:r w:rsidRPr="003E425B">
        <w:rPr>
          <w:rFonts w:ascii="Times New Roman" w:hAnsi="Times New Roman" w:cs="Times New Roman"/>
          <w:i/>
          <w:iCs/>
          <w:sz w:val="28"/>
        </w:rPr>
        <w:t>”</w:t>
      </w:r>
    </w:p>
    <w:p w:rsidR="003F1B16" w:rsidRPr="003E425B" w:rsidRDefault="003E425B" w:rsidP="003F1B16">
      <w:pPr>
        <w:tabs>
          <w:tab w:val="left" w:pos="8931"/>
          <w:tab w:val="left" w:pos="9072"/>
        </w:tabs>
        <w:ind w:right="334"/>
        <w:jc w:val="both"/>
        <w:rPr>
          <w:rFonts w:ascii="Times New Roman" w:hAnsi="Times New Roman" w:cs="Times New Roman"/>
          <w:i/>
          <w:iCs/>
          <w:sz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En consecuencia, la Corte Constitucional ha determinado que el momento en que el vicio se configura y se descubre, resultan relevantes para considerar su natur</w:t>
      </w:r>
      <w:r w:rsidRPr="003E425B">
        <w:rPr>
          <w:rFonts w:ascii="Times New Roman" w:hAnsi="Times New Roman" w:cs="Times New Roman"/>
          <w:sz w:val="28"/>
          <w:szCs w:val="28"/>
        </w:rPr>
        <w:t>aleza subsanable o insubsanable.</w:t>
      </w:r>
      <w:r w:rsidRPr="003E425B">
        <w:rPr>
          <w:rFonts w:ascii="Times New Roman" w:hAnsi="Times New Roman" w:cs="Times New Roman"/>
          <w:sz w:val="28"/>
          <w:szCs w:val="28"/>
          <w:vertAlign w:val="superscript"/>
        </w:rPr>
        <w:footnoteReference w:id="498"/>
      </w:r>
      <w:r w:rsidRPr="003E425B">
        <w:rPr>
          <w:rFonts w:ascii="Times New Roman" w:hAnsi="Times New Roman" w:cs="Times New Roman"/>
          <w:sz w:val="28"/>
          <w:szCs w:val="28"/>
        </w:rPr>
        <w:t xml:space="preserve"> A su vez, es importante resaltar que, tal ha sido la importancia del artículo 149 para efectos de determinar la validez de los actos realizados por el Congreso de la República, que el artículo Superior referido se encuentr</w:t>
      </w:r>
      <w:r w:rsidRPr="003E425B">
        <w:rPr>
          <w:rFonts w:ascii="Times New Roman" w:hAnsi="Times New Roman" w:cs="Times New Roman"/>
          <w:sz w:val="28"/>
          <w:szCs w:val="28"/>
        </w:rPr>
        <w:t>a igualmente materializado en el numeral 1 del artículo 5 de la Ley 5</w:t>
      </w:r>
      <w:r w:rsidRPr="003E425B">
        <w:rPr>
          <w:rFonts w:ascii="Times New Roman" w:hAnsi="Times New Roman" w:cs="Times New Roman"/>
          <w:sz w:val="28"/>
          <w:szCs w:val="28"/>
        </w:rPr>
        <w:t>ª</w:t>
      </w:r>
      <w:r w:rsidRPr="003E425B">
        <w:rPr>
          <w:rFonts w:ascii="Times New Roman" w:hAnsi="Times New Roman" w:cs="Times New Roman"/>
          <w:sz w:val="28"/>
          <w:szCs w:val="28"/>
        </w:rPr>
        <w:t xml:space="preserve"> de 1992, la cual dispuso que: “</w:t>
      </w:r>
      <w:r w:rsidRPr="003E425B">
        <w:rPr>
          <w:rFonts w:ascii="Times New Roman" w:hAnsi="Times New Roman" w:cs="Times New Roman"/>
          <w:sz w:val="28"/>
          <w:szCs w:val="28"/>
        </w:rPr>
        <w:t>[t]</w:t>
      </w:r>
      <w:r w:rsidRPr="003E425B">
        <w:rPr>
          <w:rFonts w:ascii="Times New Roman" w:hAnsi="Times New Roman" w:cs="Times New Roman"/>
          <w:i/>
          <w:iCs/>
          <w:sz w:val="28"/>
          <w:szCs w:val="28"/>
        </w:rPr>
        <w:t xml:space="preserve">oda reunión de Congresistas que, </w:t>
      </w:r>
      <w:r w:rsidRPr="003E425B">
        <w:rPr>
          <w:rFonts w:ascii="Times New Roman" w:hAnsi="Times New Roman" w:cs="Times New Roman"/>
          <w:i/>
          <w:iCs/>
          <w:sz w:val="28"/>
          <w:szCs w:val="28"/>
        </w:rPr>
        <w:t>con el propósito de ejercer funciones propias de la Rama Legislativa del Poder Público, se efectúe fuera de las condic</w:t>
      </w:r>
      <w:r w:rsidRPr="003E425B">
        <w:rPr>
          <w:rFonts w:ascii="Times New Roman" w:hAnsi="Times New Roman" w:cs="Times New Roman"/>
          <w:i/>
          <w:iCs/>
          <w:sz w:val="28"/>
          <w:szCs w:val="28"/>
        </w:rPr>
        <w:t>iones constitucionales. En este evento sus decisiones carecerán de validez, y a los actos que realice no podrá dárseles efecto alguno.</w:t>
      </w:r>
      <w:r w:rsidRPr="003E425B">
        <w:rPr>
          <w:rFonts w:ascii="Times New Roman" w:hAnsi="Times New Roman" w:cs="Times New Roman"/>
          <w:i/>
          <w:iCs/>
          <w:sz w:val="28"/>
          <w:szCs w:val="28"/>
        </w:rPr>
        <w:t xml:space="preserve">” </w:t>
      </w:r>
      <w:r w:rsidRPr="003E425B">
        <w:rPr>
          <w:rFonts w:ascii="Times New Roman" w:hAnsi="Times New Roman" w:cs="Times New Roman"/>
          <w:sz w:val="28"/>
          <w:szCs w:val="28"/>
        </w:rPr>
        <w:t>En ese sentido, es claro que la jurisprudencia constitucional ha encontrado relevancia en dar alcance y aplicación al ar</w:t>
      </w:r>
      <w:r w:rsidRPr="003E425B">
        <w:rPr>
          <w:rFonts w:ascii="Times New Roman" w:hAnsi="Times New Roman" w:cs="Times New Roman"/>
          <w:sz w:val="28"/>
          <w:szCs w:val="28"/>
        </w:rPr>
        <w:t xml:space="preserve">tículo 149 de la Constitución, para proteger el ordenamiento constitucional y los pilares sustanciales y procedimentales que subyacen a la creación de normas por parte del Congreso de la República. </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 su turno, la Sentencia C-087 de 2016 desarrolló las co</w:t>
      </w:r>
      <w:r w:rsidRPr="003E425B">
        <w:rPr>
          <w:rFonts w:ascii="Times New Roman" w:hAnsi="Times New Roman" w:cs="Times New Roman"/>
          <w:sz w:val="28"/>
          <w:szCs w:val="28"/>
        </w:rPr>
        <w:t>nsecuencias jurídicas del incumplimiento de normas del trámite legislativo, en los términos de subsanabilidad e insubsanabilidad, así:</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(i)      Si, a pesar de existir una irregularidad ésta no afecta los rasgos esenciales del principio democrático, debe c</w:t>
      </w:r>
      <w:r w:rsidRPr="003E425B">
        <w:rPr>
          <w:rFonts w:ascii="Times New Roman" w:hAnsi="Times New Roman" w:cs="Times New Roman"/>
          <w:i/>
          <w:iCs/>
          <w:sz w:val="28"/>
        </w:rPr>
        <w:t>oncluirse que no existe un vicio de inconstitucionalidad.</w:t>
      </w: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 </w:t>
      </w: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(ii)   Si la irregularidad atenta contra principios superiores, se trata de un auténtico vicio de procedimiento.</w:t>
      </w: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 </w:t>
      </w: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 xml:space="preserve">(iii) El vicio es de carácter subsanable se puede corregir sin que ello implique </w:t>
      </w:r>
      <w:r w:rsidRPr="003E425B">
        <w:rPr>
          <w:rFonts w:ascii="Times New Roman" w:hAnsi="Times New Roman" w:cs="Times New Roman"/>
          <w:i/>
          <w:iCs/>
          <w:sz w:val="28"/>
        </w:rPr>
        <w:t>rehacer integralmente el trámite legislativo. Y la subsanación puede darse (iii.1) mediante la devolución del trámite a la autoridad competente para subsanarlo (artículo 241, parágrafo, CP) o (iii.2) por la misma Corte Constitucional, cuando ello sea posib</w:t>
      </w:r>
      <w:r w:rsidRPr="003E425B">
        <w:rPr>
          <w:rFonts w:ascii="Times New Roman" w:hAnsi="Times New Roman" w:cs="Times New Roman"/>
          <w:i/>
          <w:iCs/>
          <w:sz w:val="28"/>
        </w:rPr>
        <w:t>le.</w:t>
      </w: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 </w:t>
      </w:r>
    </w:p>
    <w:p w:rsidR="003F1B16" w:rsidRPr="003E425B" w:rsidRDefault="003E425B" w:rsidP="003F1B16">
      <w:pPr>
        <w:tabs>
          <w:tab w:val="left" w:pos="8931"/>
          <w:tab w:val="left" w:pos="9072"/>
          <w:tab w:val="left" w:pos="9214"/>
        </w:tabs>
        <w:ind w:left="284" w:right="476"/>
        <w:jc w:val="both"/>
        <w:rPr>
          <w:rFonts w:ascii="Times New Roman" w:hAnsi="Times New Roman" w:cs="Times New Roman"/>
          <w:i/>
          <w:iCs/>
          <w:sz w:val="28"/>
        </w:rPr>
      </w:pPr>
      <w:r w:rsidRPr="003E425B">
        <w:rPr>
          <w:rFonts w:ascii="Times New Roman" w:hAnsi="Times New Roman" w:cs="Times New Roman"/>
          <w:i/>
          <w:iCs/>
          <w:sz w:val="28"/>
        </w:rPr>
        <w:t>(iv) El vicio resulta insubsanable cuando no es posible realizar la corrección sin desconocer los requisitos mínimos de formación del acto, o sin que ello implique la reconstrucción integral de etapas estructurales del trámite.</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B47E16" w:rsidRPr="003E425B" w:rsidRDefault="003E425B" w:rsidP="003F1B16">
      <w:pPr>
        <w:tabs>
          <w:tab w:val="left" w:pos="8931"/>
          <w:tab w:val="left" w:pos="9072"/>
        </w:tabs>
        <w:ind w:right="51"/>
        <w:jc w:val="both"/>
        <w:rPr>
          <w:rFonts w:ascii="Times New Roman" w:hAnsi="Times New Roman" w:cs="Times New Roman"/>
          <w:i/>
          <w:iCs/>
          <w:sz w:val="28"/>
          <w:szCs w:val="28"/>
        </w:rPr>
      </w:pPr>
      <w:r w:rsidRPr="003E425B">
        <w:rPr>
          <w:rFonts w:ascii="Times New Roman" w:hAnsi="Times New Roman" w:cs="Times New Roman"/>
          <w:sz w:val="28"/>
          <w:szCs w:val="28"/>
        </w:rPr>
        <w:t>Ahora bien, en lo rel</w:t>
      </w:r>
      <w:r w:rsidRPr="003E425B">
        <w:rPr>
          <w:rFonts w:ascii="Times New Roman" w:hAnsi="Times New Roman" w:cs="Times New Roman"/>
          <w:sz w:val="28"/>
          <w:szCs w:val="28"/>
        </w:rPr>
        <w:t>ativo al quórum, la providencia de la referencia indicó que aquel es un elemento indispensable para la validez de los actos del Congreso. Así, la carencia de quórum “</w:t>
      </w:r>
      <w:r w:rsidRPr="003E425B">
        <w:rPr>
          <w:rFonts w:ascii="Times New Roman" w:hAnsi="Times New Roman" w:cs="Times New Roman"/>
          <w:i/>
          <w:iCs/>
          <w:sz w:val="28"/>
          <w:szCs w:val="28"/>
        </w:rPr>
        <w:t>constituye una causal de ineficacia de cualquiera de las decisiones que se adopten durante</w:t>
      </w:r>
      <w:r w:rsidRPr="003E425B">
        <w:rPr>
          <w:rFonts w:ascii="Times New Roman" w:hAnsi="Times New Roman" w:cs="Times New Roman"/>
          <w:i/>
          <w:iCs/>
          <w:sz w:val="28"/>
          <w:szCs w:val="28"/>
        </w:rPr>
        <w:t xml:space="preserve"> la sesión correspondiente, según lo dispuesto en el artículo 149 de la Constitución”</w:t>
      </w:r>
      <w:r w:rsidRPr="003E425B">
        <w:rPr>
          <w:rFonts w:ascii="Times New Roman" w:hAnsi="Times New Roman" w:cs="Times New Roman"/>
          <w:sz w:val="28"/>
          <w:szCs w:val="28"/>
        </w:rPr>
        <w:t>. Luego, prosiguió la Sala Plena, “</w:t>
      </w:r>
      <w:r w:rsidRPr="003E425B">
        <w:rPr>
          <w:rFonts w:ascii="Times New Roman" w:hAnsi="Times New Roman" w:cs="Times New Roman"/>
          <w:sz w:val="28"/>
          <w:szCs w:val="28"/>
        </w:rPr>
        <w:t>[e]</w:t>
      </w:r>
      <w:r w:rsidRPr="003E425B">
        <w:rPr>
          <w:rFonts w:ascii="Times New Roman" w:hAnsi="Times New Roman" w:cs="Times New Roman"/>
          <w:i/>
          <w:iCs/>
          <w:sz w:val="28"/>
          <w:szCs w:val="28"/>
        </w:rPr>
        <w:t>llo significa que, en e</w:t>
      </w:r>
      <w:r w:rsidRPr="003E425B">
        <w:rPr>
          <w:rFonts w:ascii="Times New Roman" w:hAnsi="Times New Roman" w:cs="Times New Roman"/>
          <w:i/>
          <w:iCs/>
          <w:sz w:val="28"/>
          <w:szCs w:val="28"/>
        </w:rPr>
        <w:t>l</w:t>
      </w:r>
      <w:r w:rsidRPr="003E425B">
        <w:rPr>
          <w:rFonts w:ascii="Times New Roman" w:hAnsi="Times New Roman" w:cs="Times New Roman"/>
          <w:i/>
          <w:iCs/>
          <w:sz w:val="28"/>
          <w:szCs w:val="28"/>
        </w:rPr>
        <w:t xml:space="preserve"> ejercicio de sus atribuciones, el Congreso, las cámaras y las comisiones de éstas están supeditadas a unos r</w:t>
      </w:r>
      <w:r w:rsidRPr="003E425B">
        <w:rPr>
          <w:rFonts w:ascii="Times New Roman" w:hAnsi="Times New Roman" w:cs="Times New Roman"/>
          <w:i/>
          <w:iCs/>
          <w:sz w:val="28"/>
          <w:szCs w:val="28"/>
        </w:rPr>
        <w:t>equisitos mínimos sin los cuales las funciones que cumplen no logran materializarse en determinaciones concretas con la necesaria aptitud para producir consecuencias jurídicas.”</w:t>
      </w:r>
      <w:r w:rsidRPr="003E425B">
        <w:rPr>
          <w:rFonts w:ascii="Times New Roman" w:hAnsi="Times New Roman" w:cs="Times New Roman"/>
          <w:i/>
          <w:iCs/>
          <w:sz w:val="28"/>
          <w:szCs w:val="28"/>
          <w:vertAlign w:val="superscript"/>
        </w:rPr>
        <w:footnoteReference w:id="499"/>
      </w:r>
      <w:r w:rsidRPr="003E425B">
        <w:rPr>
          <w:rFonts w:ascii="Times New Roman" w:hAnsi="Times New Roman" w:cs="Times New Roman"/>
          <w:i/>
          <w:iCs/>
          <w:sz w:val="28"/>
          <w:szCs w:val="28"/>
        </w:rPr>
        <w:t xml:space="preserve"> </w:t>
      </w:r>
    </w:p>
    <w:p w:rsidR="00B47E16" w:rsidRPr="003E425B" w:rsidRDefault="003E425B" w:rsidP="003F1B16">
      <w:pPr>
        <w:tabs>
          <w:tab w:val="left" w:pos="8931"/>
          <w:tab w:val="left" w:pos="9072"/>
        </w:tabs>
        <w:ind w:right="51"/>
        <w:jc w:val="both"/>
        <w:rPr>
          <w:rFonts w:ascii="Times New Roman" w:hAnsi="Times New Roman" w:cs="Times New Roman"/>
          <w:i/>
          <w:iCs/>
          <w:sz w:val="28"/>
          <w:szCs w:val="28"/>
        </w:rPr>
      </w:pPr>
    </w:p>
    <w:p w:rsidR="003F1B16" w:rsidRPr="003E425B" w:rsidRDefault="003E425B" w:rsidP="003F1B16">
      <w:pPr>
        <w:tabs>
          <w:tab w:val="left" w:pos="8931"/>
          <w:tab w:val="left" w:pos="9072"/>
        </w:tabs>
        <w:ind w:right="51"/>
        <w:jc w:val="both"/>
        <w:rPr>
          <w:rFonts w:ascii="Times New Roman" w:hAnsi="Times New Roman" w:cs="Times New Roman"/>
          <w:i/>
          <w:iCs/>
          <w:sz w:val="28"/>
          <w:szCs w:val="28"/>
        </w:rPr>
      </w:pPr>
      <w:r w:rsidRPr="003E425B">
        <w:rPr>
          <w:rFonts w:ascii="Times New Roman" w:hAnsi="Times New Roman" w:cs="Times New Roman"/>
          <w:sz w:val="28"/>
          <w:szCs w:val="28"/>
        </w:rPr>
        <w:t>En ese sentido, para la Sala Plena, la pretensión de otorgar vigencia a act</w:t>
      </w:r>
      <w:r w:rsidRPr="003E425B">
        <w:rPr>
          <w:rFonts w:ascii="Times New Roman" w:hAnsi="Times New Roman" w:cs="Times New Roman"/>
          <w:sz w:val="28"/>
          <w:szCs w:val="28"/>
        </w:rPr>
        <w:t xml:space="preserve">os que no se han ajustado a las exigencias </w:t>
      </w:r>
      <w:r w:rsidRPr="003E425B">
        <w:rPr>
          <w:rFonts w:ascii="Times New Roman" w:hAnsi="Times New Roman" w:cs="Times New Roman"/>
          <w:sz w:val="28"/>
          <w:szCs w:val="28"/>
        </w:rPr>
        <w:t>estatuidas</w:t>
      </w:r>
      <w:r w:rsidRPr="003E425B">
        <w:rPr>
          <w:rFonts w:ascii="Times New Roman" w:hAnsi="Times New Roman" w:cs="Times New Roman"/>
          <w:sz w:val="28"/>
          <w:szCs w:val="28"/>
        </w:rPr>
        <w:t xml:space="preserve"> en la Constitución y en </w:t>
      </w:r>
      <w:r w:rsidRPr="003E425B">
        <w:rPr>
          <w:rFonts w:ascii="Times New Roman" w:hAnsi="Times New Roman" w:cs="Times New Roman"/>
          <w:sz w:val="28"/>
          <w:szCs w:val="28"/>
        </w:rPr>
        <w:t xml:space="preserve">la Ley Orgánica del </w:t>
      </w:r>
      <w:r w:rsidRPr="003E425B">
        <w:rPr>
          <w:rFonts w:ascii="Times New Roman" w:hAnsi="Times New Roman" w:cs="Times New Roman"/>
          <w:sz w:val="28"/>
          <w:szCs w:val="28"/>
        </w:rPr>
        <w:t>Congreso, están llamadas a declararse ineficaces, en cuanto violan los preceptos superiores. En todo caso, si el Congreso prosiguiere en el ejercicio de su fu</w:t>
      </w:r>
      <w:r w:rsidRPr="003E425B">
        <w:rPr>
          <w:rFonts w:ascii="Times New Roman" w:hAnsi="Times New Roman" w:cs="Times New Roman"/>
          <w:sz w:val="28"/>
          <w:szCs w:val="28"/>
        </w:rPr>
        <w:t>nción, pese a los vicios en que hubiere incurrido, se afecta toda la validez de lo actuado.</w:t>
      </w:r>
      <w:r w:rsidRPr="003E425B">
        <w:rPr>
          <w:rFonts w:ascii="Times New Roman" w:hAnsi="Times New Roman" w:cs="Times New Roman"/>
          <w:sz w:val="28"/>
          <w:szCs w:val="28"/>
          <w:vertAlign w:val="superscript"/>
        </w:rPr>
        <w:footnoteReference w:id="500"/>
      </w:r>
      <w:r w:rsidRPr="003E425B">
        <w:rPr>
          <w:rFonts w:ascii="Times New Roman" w:hAnsi="Times New Roman" w:cs="Times New Roman"/>
          <w:sz w:val="28"/>
          <w:szCs w:val="28"/>
        </w:rPr>
        <w:t xml:space="preserve"> Con todo, la Sentencia C-087 de 2016 concluyó que “</w:t>
      </w:r>
      <w:r w:rsidRPr="003E425B">
        <w:rPr>
          <w:rFonts w:ascii="Times New Roman" w:hAnsi="Times New Roman" w:cs="Times New Roman"/>
          <w:i/>
          <w:iCs/>
          <w:sz w:val="28"/>
          <w:szCs w:val="28"/>
        </w:rPr>
        <w:t xml:space="preserve">la carencia </w:t>
      </w:r>
      <w:r w:rsidRPr="003E425B">
        <w:rPr>
          <w:rFonts w:ascii="Times New Roman" w:hAnsi="Times New Roman" w:cs="Times New Roman"/>
          <w:i/>
          <w:iCs/>
          <w:sz w:val="28"/>
          <w:szCs w:val="28"/>
        </w:rPr>
        <w:t>del quórum exigido por la ley constituye una causal de ineficacia de las decisiones que se adoptan d</w:t>
      </w:r>
      <w:r w:rsidRPr="003E425B">
        <w:rPr>
          <w:rFonts w:ascii="Times New Roman" w:hAnsi="Times New Roman" w:cs="Times New Roman"/>
          <w:i/>
          <w:iCs/>
          <w:sz w:val="28"/>
          <w:szCs w:val="28"/>
        </w:rPr>
        <w:t>urante la sesión correspondiente, bien sea ella de una comisión o de una cámara (Artículo 149 C.P.)</w:t>
      </w:r>
      <w:r w:rsidRPr="003E425B">
        <w:rPr>
          <w:rFonts w:ascii="Times New Roman" w:hAnsi="Times New Roman" w:cs="Times New Roman"/>
          <w:i/>
          <w:iCs/>
          <w:sz w:val="28"/>
          <w:szCs w:val="28"/>
        </w:rPr>
        <w:t>.</w:t>
      </w:r>
      <w:r w:rsidRPr="003E425B">
        <w:rPr>
          <w:rFonts w:ascii="Times New Roman" w:hAnsi="Times New Roman" w:cs="Times New Roman"/>
          <w:sz w:val="28"/>
          <w:szCs w:val="28"/>
        </w:rPr>
        <w:t>”</w:t>
      </w:r>
      <w:r w:rsidRPr="003E425B">
        <w:rPr>
          <w:rFonts w:ascii="Times New Roman" w:hAnsi="Times New Roman" w:cs="Times New Roman"/>
          <w:sz w:val="28"/>
          <w:szCs w:val="28"/>
          <w:vertAlign w:val="superscript"/>
        </w:rPr>
        <w:footnoteReference w:id="501"/>
      </w:r>
    </w:p>
    <w:p w:rsidR="003F1B16" w:rsidRPr="003E425B" w:rsidRDefault="003E425B" w:rsidP="003F1B16">
      <w:pPr>
        <w:tabs>
          <w:tab w:val="left" w:pos="8931"/>
          <w:tab w:val="left" w:pos="9072"/>
        </w:tabs>
        <w:ind w:right="51"/>
        <w:jc w:val="both"/>
        <w:rPr>
          <w:rFonts w:ascii="Times New Roman" w:hAnsi="Times New Roman" w:cs="Times New Roman"/>
          <w:i/>
          <w:iCs/>
          <w:sz w:val="28"/>
          <w:szCs w:val="28"/>
        </w:rPr>
      </w:pPr>
    </w:p>
    <w:p w:rsidR="00857CF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 xml:space="preserve">Luego, en la Sentencia C-047 de 2017, </w:t>
      </w:r>
      <w:r w:rsidRPr="003E425B">
        <w:rPr>
          <w:rFonts w:ascii="Times New Roman" w:hAnsi="Times New Roman" w:cs="Times New Roman"/>
          <w:sz w:val="28"/>
          <w:szCs w:val="28"/>
        </w:rPr>
        <w:t xml:space="preserve">como se anunció previamente, </w:t>
      </w:r>
      <w:r w:rsidRPr="003E425B">
        <w:rPr>
          <w:rFonts w:ascii="Times New Roman" w:hAnsi="Times New Roman" w:cs="Times New Roman"/>
          <w:sz w:val="28"/>
          <w:szCs w:val="28"/>
        </w:rPr>
        <w:t xml:space="preserve">la Corte Constitucional analizó en un caso concreto si la imposibilidad de verificar </w:t>
      </w:r>
      <w:r w:rsidRPr="003E425B">
        <w:rPr>
          <w:rFonts w:ascii="Times New Roman" w:hAnsi="Times New Roman" w:cs="Times New Roman"/>
          <w:sz w:val="28"/>
          <w:szCs w:val="28"/>
        </w:rPr>
        <w:t>con exactitud el número de senadores que aprobó una proposición positiva con la que terminó el informe de ponencia para segundo debate en el marco del proyecto de ley 1782 de 2016. En dicha oportunidad, la Corte concluyó que dicho vicio sí configuró un vic</w:t>
      </w:r>
      <w:r w:rsidRPr="003E425B">
        <w:rPr>
          <w:rFonts w:ascii="Times New Roman" w:hAnsi="Times New Roman" w:cs="Times New Roman"/>
          <w:sz w:val="28"/>
          <w:szCs w:val="28"/>
        </w:rPr>
        <w:t>io insubsanable, pues el informe ni siquiera constató cuántos senadores estaban presentes al momento de registrarse la votación y cuántos de ellos emitieron un voto favorable.</w:t>
      </w:r>
      <w:r w:rsidRPr="003E425B">
        <w:rPr>
          <w:rFonts w:ascii="Times New Roman" w:hAnsi="Times New Roman" w:cs="Times New Roman"/>
          <w:sz w:val="28"/>
          <w:szCs w:val="28"/>
          <w:vertAlign w:val="superscript"/>
        </w:rPr>
        <w:footnoteReference w:id="502"/>
      </w:r>
      <w:r w:rsidRPr="003E425B">
        <w:rPr>
          <w:rFonts w:ascii="Times New Roman" w:hAnsi="Times New Roman" w:cs="Times New Roman"/>
          <w:sz w:val="28"/>
          <w:szCs w:val="28"/>
        </w:rPr>
        <w:t xml:space="preserve"> Por consiguiente, la Sala consideró que la inexistencia de datos precisos en ta</w:t>
      </w:r>
      <w:r w:rsidRPr="003E425B">
        <w:rPr>
          <w:rFonts w:ascii="Times New Roman" w:hAnsi="Times New Roman" w:cs="Times New Roman"/>
          <w:sz w:val="28"/>
          <w:szCs w:val="28"/>
        </w:rPr>
        <w:t>l oportunidad, le permitió concluir que no había certeza sobre la existencia de quórum decisorio (Artículo 145 de la Constitución Política), ni la mayoría requerida.</w:t>
      </w:r>
      <w:r w:rsidRPr="003E425B">
        <w:rPr>
          <w:rFonts w:ascii="Times New Roman" w:hAnsi="Times New Roman" w:cs="Times New Roman"/>
          <w:sz w:val="28"/>
          <w:szCs w:val="28"/>
          <w:vertAlign w:val="superscript"/>
        </w:rPr>
        <w:footnoteReference w:id="503"/>
      </w:r>
      <w:r w:rsidRPr="003E425B">
        <w:rPr>
          <w:rFonts w:ascii="Times New Roman" w:hAnsi="Times New Roman" w:cs="Times New Roman"/>
          <w:sz w:val="28"/>
          <w:szCs w:val="28"/>
        </w:rPr>
        <w:t xml:space="preserve"> </w:t>
      </w:r>
    </w:p>
    <w:p w:rsidR="00857CF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 xml:space="preserve">Así, </w:t>
      </w:r>
      <w:r w:rsidRPr="003E425B">
        <w:rPr>
          <w:rFonts w:ascii="Times New Roman" w:hAnsi="Times New Roman" w:cs="Times New Roman"/>
          <w:sz w:val="28"/>
          <w:szCs w:val="28"/>
        </w:rPr>
        <w:t xml:space="preserve">en dicho fallo, esta Corporación </w:t>
      </w:r>
      <w:r w:rsidRPr="003E425B">
        <w:rPr>
          <w:rFonts w:ascii="Times New Roman" w:hAnsi="Times New Roman" w:cs="Times New Roman"/>
          <w:sz w:val="28"/>
          <w:szCs w:val="28"/>
        </w:rPr>
        <w:t xml:space="preserve">invocó la Sentencia C-737 de 2001 para reiterar que, como criterio básico para proceder al saneamiento de un vicio de trámite legislativo, no </w:t>
      </w:r>
      <w:r w:rsidRPr="003E425B">
        <w:rPr>
          <w:rFonts w:ascii="Times New Roman" w:hAnsi="Times New Roman" w:cs="Times New Roman"/>
          <w:sz w:val="28"/>
          <w:szCs w:val="28"/>
        </w:rPr>
        <w:t xml:space="preserve">supone </w:t>
      </w:r>
      <w:r w:rsidRPr="003E425B">
        <w:rPr>
          <w:rFonts w:ascii="Times New Roman" w:hAnsi="Times New Roman" w:cs="Times New Roman"/>
          <w:sz w:val="28"/>
          <w:szCs w:val="28"/>
        </w:rPr>
        <w:t xml:space="preserve">rehacer una etapa estructural del procedimiento, pues, ello, supondría repetir el trámite íntegramente. En </w:t>
      </w:r>
      <w:r w:rsidRPr="003E425B">
        <w:rPr>
          <w:rFonts w:ascii="Times New Roman" w:hAnsi="Times New Roman" w:cs="Times New Roman"/>
          <w:sz w:val="28"/>
          <w:szCs w:val="28"/>
        </w:rPr>
        <w:t>consecuencia, no es la gravedad del vicio la que determina su carácter subsanable o insubsanable, sino la posibilidad real de corregirlo y realizar un análisis sobre la razonabilidad de la corrección. Así, recordó la Sentencia C-337 de 2015 en la cual la C</w:t>
      </w:r>
      <w:r w:rsidRPr="003E425B">
        <w:rPr>
          <w:rFonts w:ascii="Times New Roman" w:hAnsi="Times New Roman" w:cs="Times New Roman"/>
          <w:sz w:val="28"/>
          <w:szCs w:val="28"/>
        </w:rPr>
        <w:t xml:space="preserve">orte declaró la existencia de un vicio de procedimiento legislativo en el segundo debate de una ley aprobatoria de tratado, porque no logró acreditarse el cumplimiento de su aprobación con el quórum decisorio y las mayorías requeridas. En consecuencia, al </w:t>
      </w:r>
      <w:r w:rsidRPr="003E425B">
        <w:rPr>
          <w:rFonts w:ascii="Times New Roman" w:hAnsi="Times New Roman" w:cs="Times New Roman"/>
          <w:sz w:val="28"/>
          <w:szCs w:val="28"/>
        </w:rPr>
        <w:t>aplicar el precedente constitucional, concluyó que el vicio de procedimiento legislativo relacionado con la imposibilidad de verificar el cumplimiento del quórum decisorio y de la regla de mayorías en el momento de votación de la proposición con que finali</w:t>
      </w:r>
      <w:r w:rsidRPr="003E425B">
        <w:rPr>
          <w:rFonts w:ascii="Times New Roman" w:hAnsi="Times New Roman" w:cs="Times New Roman"/>
          <w:sz w:val="28"/>
          <w:szCs w:val="28"/>
        </w:rPr>
        <w:t xml:space="preserve">zó el informe de ponencia, se tradujo en un vicio insubsanable, </w:t>
      </w:r>
      <w:r w:rsidRPr="003E425B">
        <w:rPr>
          <w:rFonts w:ascii="Times New Roman" w:hAnsi="Times New Roman" w:cs="Times New Roman"/>
          <w:b/>
          <w:bCs/>
          <w:sz w:val="28"/>
          <w:szCs w:val="28"/>
        </w:rPr>
        <w:t xml:space="preserve">dado que se dio en una etapa estructural del trámite </w:t>
      </w:r>
      <w:r w:rsidRPr="003E425B">
        <w:rPr>
          <w:rFonts w:ascii="Times New Roman" w:hAnsi="Times New Roman" w:cs="Times New Roman"/>
          <w:b/>
          <w:bCs/>
          <w:sz w:val="28"/>
          <w:szCs w:val="28"/>
        </w:rPr>
        <w:t>legislativo cuando aún no se había conformado la voluntad democr</w:t>
      </w:r>
      <w:r w:rsidRPr="003E425B">
        <w:rPr>
          <w:rFonts w:ascii="Times New Roman" w:hAnsi="Times New Roman" w:cs="Times New Roman"/>
          <w:b/>
          <w:bCs/>
          <w:sz w:val="28"/>
          <w:szCs w:val="28"/>
        </w:rPr>
        <w:t>ática y política de la cámara a la cual le correspondía expresar su beneplá</w:t>
      </w:r>
      <w:r w:rsidRPr="003E425B">
        <w:rPr>
          <w:rFonts w:ascii="Times New Roman" w:hAnsi="Times New Roman" w:cs="Times New Roman"/>
          <w:b/>
          <w:bCs/>
          <w:sz w:val="28"/>
          <w:szCs w:val="28"/>
        </w:rPr>
        <w:t>cito.</w:t>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Posteriormente, la Sala Plena reiteró la regla precedente sobre la insubsanabilidad que produce el vicio por falta de quórum, en la Sentencia C-481 de 2019, la cual refirió que “</w:t>
      </w:r>
      <w:r w:rsidRPr="003E425B">
        <w:rPr>
          <w:rFonts w:ascii="Times New Roman" w:hAnsi="Times New Roman" w:cs="Times New Roman"/>
          <w:sz w:val="28"/>
          <w:szCs w:val="28"/>
        </w:rPr>
        <w:t>[l]</w:t>
      </w:r>
      <w:r w:rsidRPr="003E425B">
        <w:rPr>
          <w:rFonts w:ascii="Times New Roman" w:hAnsi="Times New Roman" w:cs="Times New Roman"/>
          <w:i/>
          <w:iCs/>
          <w:sz w:val="28"/>
          <w:szCs w:val="28"/>
        </w:rPr>
        <w:t>os vicios insubsanables se producen por: “</w:t>
      </w:r>
      <w:r w:rsidRPr="003E425B">
        <w:rPr>
          <w:rFonts w:ascii="Times New Roman" w:hAnsi="Times New Roman" w:cs="Times New Roman"/>
          <w:i/>
          <w:iCs/>
          <w:sz w:val="28"/>
          <w:szCs w:val="28"/>
        </w:rPr>
        <w:t>(i) la reunión de los cong</w:t>
      </w:r>
      <w:r w:rsidRPr="003E425B">
        <w:rPr>
          <w:rFonts w:ascii="Times New Roman" w:hAnsi="Times New Roman" w:cs="Times New Roman"/>
          <w:i/>
          <w:iCs/>
          <w:sz w:val="28"/>
          <w:szCs w:val="28"/>
        </w:rPr>
        <w:t>resistas por fuera de las condiciones constitucionales (artículo 149 CP), (ii) la vulneración de las garantías constitucionales fundamentales (artículo 5º del Reglamento del Congreso), y (iii) la omisión de una etapa estructural del proceso</w:t>
      </w:r>
      <w:r w:rsidRPr="003E425B">
        <w:rPr>
          <w:rFonts w:ascii="Times New Roman" w:hAnsi="Times New Roman" w:cs="Times New Roman"/>
          <w:i/>
          <w:iCs/>
          <w:sz w:val="28"/>
          <w:szCs w:val="28"/>
        </w:rPr>
        <w:t>.”</w:t>
      </w:r>
      <w:r w:rsidRPr="003E425B">
        <w:rPr>
          <w:rFonts w:ascii="Times New Roman" w:hAnsi="Times New Roman" w:cs="Times New Roman"/>
          <w:sz w:val="28"/>
          <w:szCs w:val="28"/>
          <w:vertAlign w:val="superscript"/>
        </w:rPr>
        <w:footnoteReference w:id="504"/>
      </w:r>
      <w:r w:rsidRPr="003E425B">
        <w:rPr>
          <w:rFonts w:ascii="Times New Roman" w:hAnsi="Times New Roman" w:cs="Times New Roman"/>
          <w:sz w:val="28"/>
          <w:szCs w:val="28"/>
        </w:rPr>
        <w:t xml:space="preserve"> Igualmente, </w:t>
      </w:r>
      <w:r w:rsidRPr="003E425B">
        <w:rPr>
          <w:rFonts w:ascii="Times New Roman" w:hAnsi="Times New Roman" w:cs="Times New Roman"/>
          <w:sz w:val="28"/>
          <w:szCs w:val="28"/>
        </w:rPr>
        <w:t>la providencia recordó que la Corte Constitucional ha decantado su jurisprudencia en torno a los vicios insubsanables en el trámite legislativo. Sobre el particular, precisó que:</w:t>
      </w:r>
      <w:r w:rsidRPr="003E425B">
        <w:rPr>
          <w:rFonts w:ascii="Times New Roman" w:hAnsi="Times New Roman" w:cs="Times New Roman"/>
          <w:sz w:val="28"/>
          <w:szCs w:val="28"/>
          <w:vertAlign w:val="superscript"/>
        </w:rPr>
        <w:footnoteReference w:id="505"/>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En sentencia C-047 de 2017, la Corte señaló algunos de los criterios jurisp</w:t>
      </w:r>
      <w:r w:rsidRPr="003E425B">
        <w:rPr>
          <w:rFonts w:ascii="Times New Roman" w:hAnsi="Times New Roman" w:cs="Times New Roman"/>
          <w:i/>
          <w:iCs/>
          <w:sz w:val="28"/>
        </w:rPr>
        <w:t>rudenciales sobre dicho tema y señaló que un vicio puede ser subsanado si existe la posibilidad real de corregirlo, lo que se ha denominado la ‘razonabilidad de la corrección’. En la jurisprudencia se han identificado los siguientes criterios (i) la manera</w:t>
      </w:r>
      <w:r w:rsidRPr="003E425B">
        <w:rPr>
          <w:rFonts w:ascii="Times New Roman" w:hAnsi="Times New Roman" w:cs="Times New Roman"/>
          <w:i/>
          <w:iCs/>
          <w:sz w:val="28"/>
        </w:rPr>
        <w:t xml:space="preserve"> en que se ha conformado la voluntad política determinará si se trata de un vicio que admite subsanación; (ii) no es posible la subsanación si se requiere rehacer una etapa estructural del procedimiento, es decir, si ello comporta la repetición integral de</w:t>
      </w:r>
      <w:r w:rsidRPr="003E425B">
        <w:rPr>
          <w:rFonts w:ascii="Times New Roman" w:hAnsi="Times New Roman" w:cs="Times New Roman"/>
          <w:i/>
          <w:iCs/>
          <w:sz w:val="28"/>
        </w:rPr>
        <w:t>l trámite (artículo 157 CP) ‘tomando en cuenta que la subsanación no puede comprenderse como la repetición de todo un procedimiento’; (iv) la garantía de los derechos de las minorías durante el debate parlamentario o el principio democrático en las votacio</w:t>
      </w:r>
      <w:r w:rsidRPr="003E425B">
        <w:rPr>
          <w:rFonts w:ascii="Times New Roman" w:hAnsi="Times New Roman" w:cs="Times New Roman"/>
          <w:i/>
          <w:iCs/>
          <w:sz w:val="28"/>
        </w:rPr>
        <w:t>nes; y (v) ‘el tipo de ley de que se trata y su evolución a lo largo del debate parlamentario’. A este respecto, el contenido mismo de la ley es un elemento a tener en cuenta para juzgar la razonabilidad de la posible subsanación del vicio. (vi) El incumpl</w:t>
      </w:r>
      <w:r w:rsidRPr="003E425B">
        <w:rPr>
          <w:rFonts w:ascii="Times New Roman" w:hAnsi="Times New Roman" w:cs="Times New Roman"/>
          <w:i/>
          <w:iCs/>
          <w:sz w:val="28"/>
        </w:rPr>
        <w:t>imiento de términos perentorios y preclusivos, da lugar a un vicio insubsanable. (vii) Además, y teniendo en consideración la seguridad jurídica, en principio, habrá más posibilidad de subsanación cuando se trate de proyectos de ley y ‘se hubieren adelanta</w:t>
      </w:r>
      <w:r w:rsidRPr="003E425B">
        <w:rPr>
          <w:rFonts w:ascii="Times New Roman" w:hAnsi="Times New Roman" w:cs="Times New Roman"/>
          <w:i/>
          <w:iCs/>
          <w:sz w:val="28"/>
        </w:rPr>
        <w:t xml:space="preserve">do las etapas centrales del proceso legislativo’.” </w:t>
      </w:r>
    </w:p>
    <w:p w:rsidR="003F1B16" w:rsidRPr="003E425B" w:rsidRDefault="003E425B" w:rsidP="003F1B16">
      <w:pPr>
        <w:tabs>
          <w:tab w:val="left" w:pos="8931"/>
          <w:tab w:val="left" w:pos="9072"/>
        </w:tabs>
        <w:ind w:right="334"/>
        <w:jc w:val="both"/>
        <w:rPr>
          <w:rFonts w:ascii="Times New Roman" w:hAnsi="Times New Roman" w:cs="Times New Roman"/>
          <w:i/>
          <w:iCs/>
          <w:sz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 xml:space="preserve">Ahora bien, en el Auto 272 de 2023, la Sala Plena de esta Corporación retomó el artículo 149 del </w:t>
      </w:r>
      <w:r w:rsidRPr="003E425B">
        <w:rPr>
          <w:rFonts w:ascii="Times New Roman" w:hAnsi="Times New Roman" w:cs="Times New Roman"/>
          <w:sz w:val="28"/>
          <w:szCs w:val="28"/>
        </w:rPr>
        <w:t>t</w:t>
      </w:r>
      <w:r w:rsidRPr="003E425B">
        <w:rPr>
          <w:rFonts w:ascii="Times New Roman" w:hAnsi="Times New Roman" w:cs="Times New Roman"/>
          <w:sz w:val="28"/>
          <w:szCs w:val="28"/>
        </w:rPr>
        <w:t xml:space="preserve">exto </w:t>
      </w:r>
      <w:r w:rsidRPr="003E425B">
        <w:rPr>
          <w:rFonts w:ascii="Times New Roman" w:hAnsi="Times New Roman" w:cs="Times New Roman"/>
          <w:sz w:val="28"/>
          <w:szCs w:val="28"/>
        </w:rPr>
        <w:t>s</w:t>
      </w:r>
      <w:r w:rsidRPr="003E425B">
        <w:rPr>
          <w:rFonts w:ascii="Times New Roman" w:hAnsi="Times New Roman" w:cs="Times New Roman"/>
          <w:sz w:val="28"/>
          <w:szCs w:val="28"/>
        </w:rPr>
        <w:t>uperior para referirse a que, aquel se diseñó como una consecuencia prevista por el Constituyente p</w:t>
      </w:r>
      <w:r w:rsidRPr="003E425B">
        <w:rPr>
          <w:rFonts w:ascii="Times New Roman" w:hAnsi="Times New Roman" w:cs="Times New Roman"/>
          <w:sz w:val="28"/>
          <w:szCs w:val="28"/>
        </w:rPr>
        <w:t>ara los casos en que el ejercicio de funciones legislativas se realiza fuera de las condiciones constitucionales, es decir, ante un vicio insubsanable de rango constitucional. Así, el Auto indicó que:</w:t>
      </w:r>
      <w:r w:rsidRPr="003E425B">
        <w:rPr>
          <w:rFonts w:ascii="Times New Roman" w:hAnsi="Times New Roman" w:cs="Times New Roman"/>
          <w:sz w:val="28"/>
          <w:szCs w:val="28"/>
          <w:vertAlign w:val="superscript"/>
        </w:rPr>
        <w:footnoteReference w:id="506"/>
      </w:r>
    </w:p>
    <w:p w:rsidR="003F1B16" w:rsidRPr="003E425B" w:rsidRDefault="003E425B" w:rsidP="003F1B16">
      <w:pPr>
        <w:tabs>
          <w:tab w:val="left" w:pos="8931"/>
          <w:tab w:val="left" w:pos="9072"/>
        </w:tabs>
        <w:ind w:right="51"/>
        <w:jc w:val="both"/>
        <w:rPr>
          <w:rFonts w:ascii="Times New Roman" w:hAnsi="Times New Roman" w:cs="Times New Roman"/>
          <w:sz w:val="28"/>
          <w:szCs w:val="28"/>
        </w:rPr>
      </w:pPr>
    </w:p>
    <w:p w:rsidR="003F1B16" w:rsidRPr="003E425B" w:rsidRDefault="003E425B" w:rsidP="003F1B16">
      <w:pPr>
        <w:tabs>
          <w:tab w:val="left" w:pos="8931"/>
          <w:tab w:val="left" w:pos="9072"/>
        </w:tabs>
        <w:ind w:left="284" w:right="334"/>
        <w:jc w:val="both"/>
        <w:rPr>
          <w:rFonts w:ascii="Times New Roman" w:hAnsi="Times New Roman" w:cs="Times New Roman"/>
          <w:i/>
          <w:iCs/>
          <w:sz w:val="28"/>
        </w:rPr>
      </w:pPr>
      <w:r w:rsidRPr="003E425B">
        <w:rPr>
          <w:rFonts w:ascii="Times New Roman" w:hAnsi="Times New Roman" w:cs="Times New Roman"/>
          <w:i/>
          <w:iCs/>
          <w:sz w:val="28"/>
        </w:rPr>
        <w:t>“</w:t>
      </w:r>
      <w:r w:rsidRPr="003E425B">
        <w:rPr>
          <w:rFonts w:ascii="Times New Roman" w:hAnsi="Times New Roman" w:cs="Times New Roman"/>
          <w:sz w:val="28"/>
        </w:rPr>
        <w:t>[H]</w:t>
      </w:r>
      <w:r w:rsidRPr="003E425B">
        <w:rPr>
          <w:rFonts w:ascii="Times New Roman" w:hAnsi="Times New Roman" w:cs="Times New Roman"/>
          <w:i/>
          <w:iCs/>
          <w:sz w:val="28"/>
        </w:rPr>
        <w:t xml:space="preserve">asta ahora la jurisprudencia constitucional ha </w:t>
      </w:r>
      <w:r w:rsidRPr="003E425B">
        <w:rPr>
          <w:rFonts w:ascii="Times New Roman" w:hAnsi="Times New Roman" w:cs="Times New Roman"/>
          <w:i/>
          <w:iCs/>
          <w:sz w:val="28"/>
        </w:rPr>
        <w:t>contemplado, amparada en la competencia que tiene la Corte para fijar los efectos en el tiempo de sus propias decisiones y en los términos tanto de los artículos 4 y 149 de la Constitución como del artículo 45 de la Ley 270 de 1996 -Estatutaria de Administ</w:t>
      </w:r>
      <w:r w:rsidRPr="003E425B">
        <w:rPr>
          <w:rFonts w:ascii="Times New Roman" w:hAnsi="Times New Roman" w:cs="Times New Roman"/>
          <w:i/>
          <w:iCs/>
          <w:sz w:val="28"/>
        </w:rPr>
        <w:t>ración de Justicia-, la posibilidad de adoptar fallos con efectos retroactivos, reseñados anteriormente, con el fin de eliminar las consecuencias jurídicas de la disposición acusada ab initio, como si no hubiesen sido promulgadas o porque como la misma Con</w:t>
      </w:r>
      <w:r w:rsidRPr="003E425B">
        <w:rPr>
          <w:rFonts w:ascii="Times New Roman" w:hAnsi="Times New Roman" w:cs="Times New Roman"/>
          <w:i/>
          <w:iCs/>
          <w:sz w:val="28"/>
        </w:rPr>
        <w:t>stitución lo señala, no podrá dárseles efecto alguno. Como lo explica la jurisprudencia constitucional, esta es una solución jurídica excepcional y que debe siempre aplicarse bajo un criterio de estricta autorrestricción judicial, merced de los efectos que</w:t>
      </w:r>
      <w:r w:rsidRPr="003E425B">
        <w:rPr>
          <w:rFonts w:ascii="Times New Roman" w:hAnsi="Times New Roman" w:cs="Times New Roman"/>
          <w:i/>
          <w:iCs/>
          <w:sz w:val="28"/>
        </w:rPr>
        <w:t xml:space="preserve"> conlleva en términos de limitación de los principios de seguridad jurídica y democrático, este último comprendido desde la legitimidad que otorga el mandato representativo de que es titular el Congreso de la República.</w:t>
      </w:r>
      <w:r w:rsidRPr="003E425B">
        <w:rPr>
          <w:rFonts w:ascii="Times New Roman" w:hAnsi="Times New Roman" w:cs="Times New Roman"/>
          <w:i/>
          <w:iCs/>
          <w:sz w:val="28"/>
        </w:rPr>
        <w:t>”</w:t>
      </w:r>
    </w:p>
    <w:p w:rsidR="003F1B16" w:rsidRPr="003E425B" w:rsidRDefault="003E425B" w:rsidP="003F1B16">
      <w:pPr>
        <w:tabs>
          <w:tab w:val="left" w:pos="8931"/>
          <w:tab w:val="left" w:pos="9072"/>
        </w:tabs>
        <w:ind w:right="334"/>
        <w:jc w:val="both"/>
        <w:rPr>
          <w:rFonts w:ascii="Times New Roman" w:hAnsi="Times New Roman" w:cs="Times New Roman"/>
          <w:i/>
          <w:iCs/>
          <w:sz w:val="28"/>
        </w:rPr>
      </w:pPr>
    </w:p>
    <w:p w:rsidR="003F1B16" w:rsidRPr="003E425B" w:rsidRDefault="003E425B" w:rsidP="003F1B16">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Con fundamento en todo lo expuesto</w:t>
      </w:r>
      <w:r w:rsidRPr="003E425B">
        <w:rPr>
          <w:rFonts w:ascii="Times New Roman" w:hAnsi="Times New Roman" w:cs="Times New Roman"/>
          <w:sz w:val="28"/>
          <w:szCs w:val="28"/>
        </w:rPr>
        <w:t>, la Corte Constitucional avanzó en el desarrollo de la jurisprudencia en torno al alcance y aplicación del artículo 149 de la Constitución Política desde la Sentencia C-008 de 1995. Si bien desde el comienzo de sus pronunciamientos consideró que tal dispo</w:t>
      </w:r>
      <w:r w:rsidRPr="003E425B">
        <w:rPr>
          <w:rFonts w:ascii="Times New Roman" w:hAnsi="Times New Roman" w:cs="Times New Roman"/>
          <w:sz w:val="28"/>
          <w:szCs w:val="28"/>
        </w:rPr>
        <w:t>sición sería aplicable dependiendo de la gravedad de los vicios, más tarde precisó que la naturaleza subsanable o insubsanable de los mismos no solo dependería de su gravedad, sino también del momento procedimental en el cual aquellos se perfeccionaron. Ig</w:t>
      </w:r>
      <w:r w:rsidRPr="003E425B">
        <w:rPr>
          <w:rFonts w:ascii="Times New Roman" w:hAnsi="Times New Roman" w:cs="Times New Roman"/>
          <w:sz w:val="28"/>
          <w:szCs w:val="28"/>
        </w:rPr>
        <w:t>ualmente, esta Corporación concluyó que la inobservancia o irrespeto por la constitución del quórum decisorio y las mayorías requeridas para tomar decisiones democráticas en comisiones o cámaras del Congreso de la República, daría lugar a la aplicación del</w:t>
      </w:r>
      <w:r w:rsidRPr="003E425B">
        <w:rPr>
          <w:rFonts w:ascii="Times New Roman" w:hAnsi="Times New Roman" w:cs="Times New Roman"/>
          <w:sz w:val="28"/>
          <w:szCs w:val="28"/>
        </w:rPr>
        <w:t xml:space="preserve"> artículo 149 </w:t>
      </w:r>
      <w:r w:rsidRPr="003E425B">
        <w:rPr>
          <w:rFonts w:ascii="Times New Roman" w:hAnsi="Times New Roman" w:cs="Times New Roman"/>
          <w:sz w:val="28"/>
          <w:szCs w:val="28"/>
        </w:rPr>
        <w:t>en cuestión</w:t>
      </w:r>
      <w:r w:rsidRPr="003E425B">
        <w:rPr>
          <w:rFonts w:ascii="Times New Roman" w:hAnsi="Times New Roman" w:cs="Times New Roman"/>
          <w:sz w:val="28"/>
          <w:szCs w:val="28"/>
        </w:rPr>
        <w:t xml:space="preserve">, en tanto que son vicios que, al materializarse, configuran la ineficacia de los actos y procesos que ha venido adelantando y aprobando el Legislador respecto de un determinado proyecto de ley o acto legislativo.  </w:t>
      </w:r>
    </w:p>
    <w:p w:rsidR="003F1B16" w:rsidRPr="003E425B" w:rsidRDefault="003E425B" w:rsidP="00AB2BCE">
      <w:pPr>
        <w:jc w:val="both"/>
        <w:rPr>
          <w:rFonts w:ascii="Times New Roman" w:hAnsi="Times New Roman" w:cs="Times New Roman"/>
          <w:sz w:val="28"/>
          <w:szCs w:val="28"/>
        </w:rPr>
      </w:pPr>
    </w:p>
    <w:p w:rsidR="00615D3A" w:rsidRPr="003E425B" w:rsidRDefault="003E425B" w:rsidP="07BEF720">
      <w:pPr>
        <w:pStyle w:val="Prrafodelista"/>
        <w:numPr>
          <w:ilvl w:val="0"/>
          <w:numId w:val="46"/>
        </w:numPr>
        <w:jc w:val="both"/>
        <w:rPr>
          <w:rFonts w:ascii="Times New Roman" w:hAnsi="Times New Roman"/>
          <w:b/>
          <w:bCs/>
          <w:color w:val="000000" w:themeColor="text1"/>
          <w:sz w:val="28"/>
          <w:lang w:val="es-ES"/>
        </w:rPr>
      </w:pPr>
      <w:r w:rsidRPr="003E425B">
        <w:rPr>
          <w:rFonts w:ascii="Times New Roman" w:hAnsi="Times New Roman"/>
          <w:b/>
          <w:bCs/>
          <w:color w:val="000000" w:themeColor="text1"/>
          <w:sz w:val="28"/>
          <w:lang w:val="es-ES"/>
        </w:rPr>
        <w:t xml:space="preserve">La Sala Plena </w:t>
      </w:r>
      <w:r w:rsidRPr="003E425B">
        <w:rPr>
          <w:rFonts w:ascii="Times New Roman" w:hAnsi="Times New Roman"/>
          <w:b/>
          <w:bCs/>
          <w:color w:val="000000" w:themeColor="text1"/>
          <w:sz w:val="28"/>
          <w:lang w:val="es-ES"/>
        </w:rPr>
        <w:t xml:space="preserve">debió </w:t>
      </w:r>
      <w:r w:rsidRPr="003E425B">
        <w:rPr>
          <w:rFonts w:ascii="Times New Roman" w:hAnsi="Times New Roman"/>
          <w:b/>
          <w:bCs/>
          <w:color w:val="000000" w:themeColor="text1"/>
          <w:sz w:val="28"/>
          <w:lang w:val="es-ES"/>
        </w:rPr>
        <w:t xml:space="preserve">concluir </w:t>
      </w:r>
      <w:r w:rsidRPr="003E425B">
        <w:rPr>
          <w:rFonts w:ascii="Times New Roman" w:hAnsi="Times New Roman"/>
          <w:b/>
          <w:bCs/>
          <w:color w:val="000000" w:themeColor="text1"/>
          <w:sz w:val="28"/>
          <w:lang w:val="es-ES"/>
        </w:rPr>
        <w:t>que</w:t>
      </w:r>
      <w:r w:rsidRPr="003E425B">
        <w:rPr>
          <w:rFonts w:ascii="Times New Roman" w:hAnsi="Times New Roman"/>
          <w:b/>
          <w:bCs/>
          <w:color w:val="000000" w:themeColor="text1"/>
          <w:sz w:val="28"/>
          <w:lang w:val="es-ES"/>
        </w:rPr>
        <w:t>,</w:t>
      </w:r>
      <w:r w:rsidRPr="003E425B">
        <w:rPr>
          <w:rFonts w:ascii="Times New Roman" w:hAnsi="Times New Roman"/>
          <w:b/>
          <w:bCs/>
          <w:color w:val="000000" w:themeColor="text1"/>
          <w:sz w:val="28"/>
          <w:lang w:val="es-ES"/>
        </w:rPr>
        <w:t xml:space="preserve"> ante la ocurrencia de un vicio insubsanable, en los términos del artículo 149 de la Constitución, la Ley 2281 carecía de toda validez y se debían</w:t>
      </w:r>
      <w:r w:rsidRPr="003E425B">
        <w:rPr>
          <w:rFonts w:ascii="Times New Roman" w:hAnsi="Times New Roman"/>
          <w:b/>
          <w:bCs/>
          <w:color w:val="000000" w:themeColor="text1"/>
          <w:sz w:val="28"/>
          <w:lang w:val="es-ES"/>
        </w:rPr>
        <w:t xml:space="preserve"> </w:t>
      </w:r>
      <w:r w:rsidRPr="003E425B">
        <w:rPr>
          <w:rFonts w:ascii="Times New Roman" w:hAnsi="Times New Roman"/>
          <w:b/>
          <w:bCs/>
          <w:color w:val="000000" w:themeColor="text1"/>
          <w:sz w:val="28"/>
          <w:lang w:val="es-ES"/>
        </w:rPr>
        <w:t>retrotraer</w:t>
      </w:r>
      <w:r w:rsidRPr="003E425B">
        <w:rPr>
          <w:rFonts w:ascii="Times New Roman" w:hAnsi="Times New Roman"/>
          <w:b/>
          <w:bCs/>
          <w:color w:val="000000" w:themeColor="text1"/>
          <w:sz w:val="28"/>
          <w:lang w:val="es-ES"/>
        </w:rPr>
        <w:t xml:space="preserve"> los efectos de la inexequibilidad</w:t>
      </w:r>
    </w:p>
    <w:p w:rsidR="0052724D" w:rsidRPr="003E425B" w:rsidRDefault="003E425B" w:rsidP="00E106D8">
      <w:pPr>
        <w:jc w:val="both"/>
        <w:rPr>
          <w:rFonts w:ascii="Times New Roman" w:hAnsi="Times New Roman" w:cs="Times New Roman"/>
          <w:b/>
          <w:color w:val="000000" w:themeColor="text1"/>
          <w:sz w:val="28"/>
          <w:szCs w:val="28"/>
          <w:lang w:val="es-ES_tradnl"/>
        </w:rPr>
      </w:pPr>
    </w:p>
    <w:p w:rsidR="007A5F1C" w:rsidRPr="003E425B" w:rsidRDefault="003E425B" w:rsidP="00E106D8">
      <w:pPr>
        <w:jc w:val="both"/>
        <w:rPr>
          <w:rFonts w:ascii="Times New Roman" w:hAnsi="Times New Roman" w:cs="Times New Roman"/>
          <w:sz w:val="28"/>
          <w:szCs w:val="28"/>
        </w:rPr>
      </w:pPr>
      <w:r w:rsidRPr="003E425B">
        <w:rPr>
          <w:rFonts w:ascii="Times New Roman" w:hAnsi="Times New Roman" w:cs="Times New Roman"/>
          <w:sz w:val="28"/>
          <w:szCs w:val="28"/>
        </w:rPr>
        <w:t xml:space="preserve">De conformidad con lo anteriormente </w:t>
      </w:r>
      <w:r w:rsidRPr="003E425B">
        <w:rPr>
          <w:rFonts w:ascii="Times New Roman" w:hAnsi="Times New Roman" w:cs="Times New Roman"/>
          <w:sz w:val="28"/>
          <w:szCs w:val="28"/>
        </w:rPr>
        <w:t>expuesto, se tiene que</w:t>
      </w:r>
      <w:r w:rsidRPr="003E425B">
        <w:rPr>
          <w:rFonts w:ascii="Times New Roman" w:hAnsi="Times New Roman" w:cs="Times New Roman"/>
          <w:sz w:val="28"/>
          <w:szCs w:val="28"/>
        </w:rPr>
        <w:t xml:space="preserve"> el trámite legislativo de la norma demandada incurrió en diversos vicios. Por una parte, la realización inconstitucional de una votación ordinaria sin el lleno de las exigencias para excepcional la de tipo nominal y pública, de acuer</w:t>
      </w:r>
      <w:r w:rsidRPr="003E425B">
        <w:rPr>
          <w:rFonts w:ascii="Times New Roman" w:hAnsi="Times New Roman" w:cs="Times New Roman"/>
          <w:sz w:val="28"/>
          <w:szCs w:val="28"/>
        </w:rPr>
        <w:t>do con el artículo 133 de la Constitución y el artículo 129 de la Ley 5ª de 1992, orgánica del Congreso de la República. Por el otro lado, la aprobación</w:t>
      </w:r>
      <w:r w:rsidRPr="003E425B">
        <w:rPr>
          <w:rFonts w:ascii="Times New Roman" w:hAnsi="Times New Roman" w:cs="Times New Roman"/>
          <w:sz w:val="28"/>
          <w:szCs w:val="28"/>
        </w:rPr>
        <w:t xml:space="preserve"> de la proposición positiva del informe de ponencia sin el quórum decisorio y las mayorías exigidas para</w:t>
      </w:r>
      <w:r w:rsidRPr="003E425B">
        <w:rPr>
          <w:rFonts w:ascii="Times New Roman" w:hAnsi="Times New Roman" w:cs="Times New Roman"/>
          <w:sz w:val="28"/>
          <w:szCs w:val="28"/>
        </w:rPr>
        <w:t xml:space="preserve"> tal efecto, dado que se demostró que en el recinto estaban 10 de los 11 senadores necesarios para acreditar la exigencia del artículo 145 de la Constitución.</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A su vez, esto vulneró los artículos 157 y 160 de la Constitución, por cuanto el proyecto de ley </w:t>
      </w:r>
      <w:r w:rsidRPr="003E425B">
        <w:rPr>
          <w:rFonts w:ascii="Times New Roman" w:hAnsi="Times New Roman" w:cs="Times New Roman"/>
          <w:sz w:val="28"/>
          <w:szCs w:val="28"/>
        </w:rPr>
        <w:t>no habría podido ser ley al no haberse aprobado conforme a las reglas exigidas en la Constitución para surtir integralmente el primer debate</w:t>
      </w:r>
      <w:r w:rsidRPr="003E425B">
        <w:rPr>
          <w:rFonts w:ascii="Times New Roman" w:hAnsi="Times New Roman" w:cs="Times New Roman"/>
          <w:sz w:val="28"/>
          <w:szCs w:val="28"/>
        </w:rPr>
        <w:t>.</w:t>
      </w:r>
    </w:p>
    <w:p w:rsidR="00942EA2" w:rsidRPr="003E425B" w:rsidRDefault="003E425B" w:rsidP="00E106D8">
      <w:pPr>
        <w:jc w:val="both"/>
        <w:rPr>
          <w:rFonts w:ascii="Times New Roman" w:hAnsi="Times New Roman" w:cs="Times New Roman"/>
          <w:sz w:val="28"/>
          <w:szCs w:val="28"/>
        </w:rPr>
      </w:pPr>
    </w:p>
    <w:p w:rsidR="00872E20" w:rsidRPr="003E425B" w:rsidRDefault="003E425B" w:rsidP="00872E20">
      <w:pPr>
        <w:tabs>
          <w:tab w:val="left" w:pos="8931"/>
          <w:tab w:val="left" w:pos="9072"/>
        </w:tabs>
        <w:ind w:right="51"/>
        <w:jc w:val="both"/>
        <w:rPr>
          <w:rFonts w:ascii="Times New Roman" w:hAnsi="Times New Roman" w:cs="Times New Roman"/>
          <w:sz w:val="28"/>
          <w:szCs w:val="28"/>
        </w:rPr>
      </w:pPr>
      <w:r w:rsidRPr="003E425B">
        <w:rPr>
          <w:rFonts w:ascii="Times New Roman" w:hAnsi="Times New Roman" w:cs="Times New Roman"/>
          <w:sz w:val="28"/>
          <w:szCs w:val="28"/>
        </w:rPr>
        <w:t>A diferencia de lo considerado por la Sala Plena en la decisión de la referencia, estos vicios eran insubsanables</w:t>
      </w:r>
      <w:r w:rsidRPr="003E425B">
        <w:rPr>
          <w:rFonts w:ascii="Times New Roman" w:hAnsi="Times New Roman" w:cs="Times New Roman"/>
          <w:sz w:val="28"/>
          <w:szCs w:val="28"/>
        </w:rPr>
        <w:t>. Como lo ha anotado la Corte Constitucional, la inobservancia o irrespeto por la constitución del quórum decisorio y las mayorías requeridas para tomar decisiones democráticas en comisiones o cámaras del Congreso de la República, daría lugar a la aplicaci</w:t>
      </w:r>
      <w:r w:rsidRPr="003E425B">
        <w:rPr>
          <w:rFonts w:ascii="Times New Roman" w:hAnsi="Times New Roman" w:cs="Times New Roman"/>
          <w:sz w:val="28"/>
          <w:szCs w:val="28"/>
        </w:rPr>
        <w:t xml:space="preserve">ón del artículo 149 </w:t>
      </w:r>
      <w:r w:rsidRPr="003E425B">
        <w:rPr>
          <w:rFonts w:ascii="Times New Roman" w:hAnsi="Times New Roman" w:cs="Times New Roman"/>
          <w:sz w:val="28"/>
          <w:szCs w:val="28"/>
        </w:rPr>
        <w:t>de la Constitución</w:t>
      </w:r>
      <w:r w:rsidRPr="003E425B">
        <w:rPr>
          <w:rFonts w:ascii="Times New Roman" w:hAnsi="Times New Roman" w:cs="Times New Roman"/>
          <w:sz w:val="28"/>
          <w:szCs w:val="28"/>
        </w:rPr>
        <w:t xml:space="preserve">, en tanto que son vicios que, al materializarse, configuran la ineficacia de los actos y procesos que ha venido adelantando y aprobando el Legislador respecto de un determinado proyecto de ley o acto legislativo.  </w:t>
      </w:r>
    </w:p>
    <w:p w:rsidR="00942EA2" w:rsidRPr="003E425B" w:rsidRDefault="003E425B" w:rsidP="00E106D8">
      <w:pPr>
        <w:jc w:val="both"/>
        <w:rPr>
          <w:rFonts w:ascii="Times New Roman" w:hAnsi="Times New Roman" w:cs="Times New Roman"/>
          <w:sz w:val="28"/>
          <w:szCs w:val="28"/>
        </w:rPr>
      </w:pPr>
    </w:p>
    <w:p w:rsidR="0052724D" w:rsidRPr="003E425B" w:rsidRDefault="003E425B" w:rsidP="0052724D">
      <w:pPr>
        <w:jc w:val="both"/>
        <w:rPr>
          <w:rFonts w:ascii="Times New Roman" w:hAnsi="Times New Roman" w:cs="Times New Roman"/>
          <w:b/>
          <w:color w:val="000000" w:themeColor="text1"/>
          <w:sz w:val="28"/>
          <w:szCs w:val="28"/>
          <w:lang w:val="es-ES_tradnl"/>
        </w:rPr>
      </w:pPr>
      <w:r w:rsidRPr="003E425B">
        <w:rPr>
          <w:rFonts w:ascii="Times New Roman" w:hAnsi="Times New Roman" w:cs="Times New Roman"/>
          <w:sz w:val="28"/>
          <w:szCs w:val="28"/>
        </w:rPr>
        <w:t xml:space="preserve">Por consiguiente, </w:t>
      </w:r>
      <w:r w:rsidRPr="003E425B">
        <w:rPr>
          <w:rFonts w:ascii="Times New Roman" w:hAnsi="Times New Roman" w:cs="Times New Roman"/>
          <w:sz w:val="28"/>
          <w:szCs w:val="28"/>
        </w:rPr>
        <w:t>en los términos del artículo 149 Superior, la Ley 2281 de 2022 carece de toda validez y no podía habérsele dado efecto alguno</w:t>
      </w:r>
      <w:r w:rsidRPr="003E425B">
        <w:rPr>
          <w:rFonts w:ascii="Times New Roman" w:hAnsi="Times New Roman" w:cs="Times New Roman"/>
          <w:sz w:val="28"/>
          <w:szCs w:val="28"/>
        </w:rPr>
        <w:t>. Bajo esta consideración, salvé mi voto</w:t>
      </w:r>
      <w:r w:rsidRPr="003E425B">
        <w:rPr>
          <w:rFonts w:ascii="Times New Roman" w:hAnsi="Times New Roman" w:cs="Times New Roman"/>
          <w:sz w:val="28"/>
          <w:szCs w:val="28"/>
        </w:rPr>
        <w:t xml:space="preserve"> </w:t>
      </w:r>
      <w:r w:rsidRPr="003E425B">
        <w:rPr>
          <w:rFonts w:ascii="Times New Roman" w:hAnsi="Times New Roman" w:cs="Times New Roman"/>
          <w:sz w:val="28"/>
          <w:szCs w:val="28"/>
        </w:rPr>
        <w:t xml:space="preserve">respecto </w:t>
      </w:r>
      <w:r w:rsidRPr="003E425B">
        <w:rPr>
          <w:rFonts w:ascii="Times New Roman" w:hAnsi="Times New Roman" w:cs="Times New Roman"/>
          <w:sz w:val="28"/>
          <w:szCs w:val="28"/>
        </w:rPr>
        <w:t>de</w:t>
      </w:r>
      <w:r w:rsidRPr="003E425B">
        <w:rPr>
          <w:rFonts w:ascii="Times New Roman" w:hAnsi="Times New Roman" w:cs="Times New Roman"/>
          <w:sz w:val="28"/>
          <w:szCs w:val="28"/>
        </w:rPr>
        <w:t>l resolutivo segundo de la providencia en el que se adoptó la</w:t>
      </w:r>
      <w:r w:rsidRPr="003E425B">
        <w:rPr>
          <w:rFonts w:ascii="Times New Roman" w:hAnsi="Times New Roman" w:cs="Times New Roman"/>
          <w:sz w:val="28"/>
          <w:szCs w:val="28"/>
        </w:rPr>
        <w:t xml:space="preserve"> determinación </w:t>
      </w:r>
      <w:r w:rsidRPr="003E425B">
        <w:rPr>
          <w:rFonts w:ascii="Times New Roman" w:hAnsi="Times New Roman" w:cs="Times New Roman"/>
          <w:sz w:val="28"/>
          <w:szCs w:val="28"/>
        </w:rPr>
        <w:t>de diferir los efectos de la decisión de inexequibilidad al término de dos legislaturas, debido a que, por los graves vicios en el trámite, particularmente, la adopción de un acto de naturaleza legislativa sin el quorum decisorio en los térm</w:t>
      </w:r>
      <w:r w:rsidRPr="003E425B">
        <w:rPr>
          <w:rFonts w:ascii="Times New Roman" w:hAnsi="Times New Roman" w:cs="Times New Roman"/>
          <w:sz w:val="28"/>
          <w:szCs w:val="28"/>
        </w:rPr>
        <w:t>inos expuestos, la Corte tenía la obligación constitucional de retrotraer los efectos de la inexequibilidad de la norma demandada al momento de su sanción.</w:t>
      </w:r>
      <w:r w:rsidRPr="003E425B">
        <w:rPr>
          <w:rFonts w:ascii="Times New Roman" w:hAnsi="Times New Roman" w:cs="Times New Roman"/>
          <w:sz w:val="28"/>
          <w:szCs w:val="28"/>
        </w:rPr>
        <w:t xml:space="preserve"> Lo anterior, en la medida en que dicha ley no nació a la vida jurídica y nunca existió.</w:t>
      </w:r>
    </w:p>
    <w:p w:rsidR="003B708E" w:rsidRPr="003E425B" w:rsidRDefault="003E425B" w:rsidP="003B708E">
      <w:pPr>
        <w:jc w:val="both"/>
        <w:rPr>
          <w:rFonts w:ascii="Times New Roman" w:hAnsi="Times New Roman" w:cs="Times New Roman"/>
          <w:b/>
          <w:color w:val="000000" w:themeColor="text1"/>
          <w:sz w:val="28"/>
          <w:szCs w:val="28"/>
          <w:lang w:val="es-ES_tradnl"/>
        </w:rPr>
      </w:pPr>
    </w:p>
    <w:p w:rsidR="0052724D" w:rsidRPr="003E425B" w:rsidRDefault="003E425B" w:rsidP="003B708E">
      <w:pPr>
        <w:jc w:val="both"/>
        <w:rPr>
          <w:rFonts w:ascii="Times New Roman" w:hAnsi="Times New Roman" w:cs="Times New Roman"/>
          <w:sz w:val="28"/>
          <w:szCs w:val="28"/>
        </w:rPr>
      </w:pPr>
      <w:r w:rsidRPr="003E425B">
        <w:rPr>
          <w:rFonts w:ascii="Times New Roman" w:hAnsi="Times New Roman" w:cs="Times New Roman"/>
          <w:sz w:val="28"/>
          <w:szCs w:val="28"/>
        </w:rPr>
        <w:t xml:space="preserve">En efecto, </w:t>
      </w:r>
      <w:r w:rsidRPr="003E425B">
        <w:rPr>
          <w:rFonts w:ascii="Times New Roman" w:hAnsi="Times New Roman" w:cs="Times New Roman"/>
          <w:sz w:val="28"/>
          <w:szCs w:val="28"/>
        </w:rPr>
        <w:t>ese tipo de vicio relacionado con la falta de quorum tiene la entidad para afectar toda una sesión y reunión y no solo a un proyecto. Este escenario descrito habría tenido que derivar en la conclusión que el trámite surtido para la expedición de la ley obj</w:t>
      </w:r>
      <w:r w:rsidRPr="003E425B">
        <w:rPr>
          <w:rFonts w:ascii="Times New Roman" w:hAnsi="Times New Roman" w:cs="Times New Roman"/>
          <w:sz w:val="28"/>
          <w:szCs w:val="28"/>
        </w:rPr>
        <w:t xml:space="preserve">eto de análisis carecía de toda validez y, por lo tanto, ella no podía haber producido efecto alguno. </w:t>
      </w:r>
    </w:p>
    <w:p w:rsidR="0052724D" w:rsidRPr="003E425B" w:rsidRDefault="003E425B" w:rsidP="003B708E">
      <w:pPr>
        <w:jc w:val="both"/>
        <w:rPr>
          <w:rFonts w:ascii="Times New Roman" w:hAnsi="Times New Roman" w:cs="Times New Roman"/>
          <w:sz w:val="28"/>
          <w:szCs w:val="28"/>
        </w:rPr>
      </w:pPr>
    </w:p>
    <w:p w:rsidR="0052724D" w:rsidRPr="003E425B" w:rsidRDefault="003E425B" w:rsidP="003B708E">
      <w:pPr>
        <w:jc w:val="both"/>
        <w:rPr>
          <w:rFonts w:ascii="Times New Roman" w:hAnsi="Times New Roman" w:cs="Times New Roman"/>
          <w:sz w:val="28"/>
          <w:szCs w:val="28"/>
        </w:rPr>
      </w:pPr>
      <w:r w:rsidRPr="003E425B">
        <w:rPr>
          <w:rFonts w:ascii="Times New Roman" w:hAnsi="Times New Roman" w:cs="Times New Roman"/>
          <w:sz w:val="28"/>
          <w:szCs w:val="28"/>
        </w:rPr>
        <w:t>Con fundamento en lo expuesto, más allá de que los demandantes no hubiesen invocado en la acción pública de inconstitucionalidad como parte del parámetr</w:t>
      </w:r>
      <w:r w:rsidRPr="003E425B">
        <w:rPr>
          <w:rFonts w:ascii="Times New Roman" w:hAnsi="Times New Roman" w:cs="Times New Roman"/>
          <w:sz w:val="28"/>
          <w:szCs w:val="28"/>
        </w:rPr>
        <w:t>o el artículo 149 de la Constitución, lo cierto es que es deber de la Corte Constitucional garantizar la guarda y la integridad del texto constitucional y sus mandatos, entre ellos, el principio democrático, en el ejercicio de la función legislativa. De ah</w:t>
      </w:r>
      <w:r w:rsidRPr="003E425B">
        <w:rPr>
          <w:rFonts w:ascii="Times New Roman" w:hAnsi="Times New Roman" w:cs="Times New Roman"/>
          <w:sz w:val="28"/>
          <w:szCs w:val="28"/>
        </w:rPr>
        <w:t>í que, tendría que haberse destacado la insubsanabilidad del vicio en el trámite de la Ley 2281 de 2023 derivado, además de la falta de análisis y evaluación del impacto fiscal, de un incumplimiento de las reglas constitucionales del quorum decisorio, resp</w:t>
      </w:r>
      <w:r w:rsidRPr="003E425B">
        <w:rPr>
          <w:rFonts w:ascii="Times New Roman" w:hAnsi="Times New Roman" w:cs="Times New Roman"/>
          <w:sz w:val="28"/>
          <w:szCs w:val="28"/>
        </w:rPr>
        <w:t xml:space="preserve">ecto del cual ese acto adoptado carece de toda validez, y no puede mantenerse en el ordenamiento jurídico si incumplió con una exigencia constitucional. </w:t>
      </w:r>
    </w:p>
    <w:p w:rsidR="0052724D" w:rsidRPr="003E425B" w:rsidRDefault="003E425B" w:rsidP="003B708E">
      <w:pPr>
        <w:jc w:val="both"/>
        <w:rPr>
          <w:rFonts w:ascii="Times New Roman" w:hAnsi="Times New Roman" w:cs="Times New Roman"/>
          <w:sz w:val="28"/>
          <w:szCs w:val="28"/>
        </w:rPr>
      </w:pPr>
    </w:p>
    <w:p w:rsidR="00FA5DFB" w:rsidRPr="003E425B" w:rsidRDefault="003E425B" w:rsidP="003B708E">
      <w:pPr>
        <w:jc w:val="both"/>
        <w:rPr>
          <w:rFonts w:ascii="Times New Roman" w:hAnsi="Times New Roman" w:cs="Times New Roman"/>
          <w:sz w:val="28"/>
          <w:szCs w:val="28"/>
        </w:rPr>
      </w:pPr>
      <w:r w:rsidRPr="003E425B">
        <w:rPr>
          <w:rFonts w:ascii="Times New Roman" w:hAnsi="Times New Roman" w:cs="Times New Roman"/>
          <w:sz w:val="28"/>
          <w:szCs w:val="28"/>
        </w:rPr>
        <w:t>En suma, como la Constitución expresamente indica que tales actuaciones carecen de toda validez y que</w:t>
      </w:r>
      <w:r w:rsidRPr="003E425B">
        <w:rPr>
          <w:rFonts w:ascii="Times New Roman" w:hAnsi="Times New Roman" w:cs="Times New Roman"/>
          <w:sz w:val="28"/>
          <w:szCs w:val="28"/>
        </w:rPr>
        <w:t xml:space="preserve"> los actos que se expidan no producen efecto alguno, </w:t>
      </w:r>
      <w:r w:rsidRPr="003E425B">
        <w:rPr>
          <w:rFonts w:ascii="Times New Roman" w:hAnsi="Times New Roman" w:cs="Times New Roman"/>
          <w:sz w:val="28"/>
          <w:szCs w:val="28"/>
        </w:rPr>
        <w:t>quiebra</w:t>
      </w:r>
      <w:r w:rsidRPr="003E425B">
        <w:rPr>
          <w:rFonts w:ascii="Times New Roman" w:hAnsi="Times New Roman" w:cs="Times New Roman"/>
          <w:sz w:val="28"/>
          <w:szCs w:val="28"/>
        </w:rPr>
        <w:t xml:space="preserve"> la presunción de constitucionalidad de la Ley 2281 de 2023</w:t>
      </w:r>
      <w:r w:rsidRPr="003E425B">
        <w:rPr>
          <w:rFonts w:ascii="Times New Roman" w:hAnsi="Times New Roman" w:cs="Times New Roman"/>
          <w:sz w:val="28"/>
          <w:szCs w:val="28"/>
        </w:rPr>
        <w:t>.</w:t>
      </w:r>
      <w:r w:rsidRPr="003E425B">
        <w:rPr>
          <w:rFonts w:ascii="Times New Roman" w:hAnsi="Times New Roman" w:cs="Times New Roman"/>
          <w:sz w:val="28"/>
          <w:szCs w:val="28"/>
        </w:rPr>
        <w:t xml:space="preserve"> </w:t>
      </w:r>
    </w:p>
    <w:p w:rsidR="00FA5DFB" w:rsidRPr="003E425B" w:rsidRDefault="003E425B" w:rsidP="003B708E">
      <w:pPr>
        <w:jc w:val="both"/>
        <w:rPr>
          <w:rFonts w:ascii="Times New Roman" w:hAnsi="Times New Roman" w:cs="Times New Roman"/>
          <w:sz w:val="28"/>
          <w:szCs w:val="28"/>
        </w:rPr>
      </w:pPr>
    </w:p>
    <w:p w:rsidR="0052724D" w:rsidRPr="003E425B" w:rsidRDefault="003E425B" w:rsidP="003B708E">
      <w:pPr>
        <w:jc w:val="both"/>
        <w:rPr>
          <w:rFonts w:ascii="Times New Roman" w:hAnsi="Times New Roman" w:cs="Times New Roman"/>
          <w:sz w:val="28"/>
          <w:szCs w:val="28"/>
        </w:rPr>
      </w:pPr>
      <w:r w:rsidRPr="003E425B">
        <w:rPr>
          <w:rFonts w:ascii="Times New Roman" w:hAnsi="Times New Roman" w:cs="Times New Roman"/>
          <w:sz w:val="28"/>
          <w:szCs w:val="28"/>
        </w:rPr>
        <w:t xml:space="preserve">Por esto, </w:t>
      </w:r>
      <w:r w:rsidRPr="003E425B">
        <w:rPr>
          <w:rFonts w:ascii="Times New Roman" w:hAnsi="Times New Roman" w:cs="Times New Roman"/>
          <w:sz w:val="28"/>
          <w:szCs w:val="28"/>
        </w:rPr>
        <w:t>la sentencia que declaró su inexequibilidad debía retrotraer sus efectos hasta a partir de su sanción precisamente para anular los efectos que hasta la fecha se han producido contra expresa disposición constitucional. Diferir los efectos de esta decisión d</w:t>
      </w:r>
      <w:r w:rsidRPr="003E425B">
        <w:rPr>
          <w:rFonts w:ascii="Times New Roman" w:hAnsi="Times New Roman" w:cs="Times New Roman"/>
          <w:sz w:val="28"/>
          <w:szCs w:val="28"/>
        </w:rPr>
        <w:t>e inexequibilidad hasta por dos legislaturas pone en riesgo la garantía del principio democrático que fue especialmente protegido por el Constituyente cuando determinó las consecuencias por ausencia de validez de las actuaciones y la inexistencia de los ef</w:t>
      </w:r>
      <w:r w:rsidRPr="003E425B">
        <w:rPr>
          <w:rFonts w:ascii="Times New Roman" w:hAnsi="Times New Roman" w:cs="Times New Roman"/>
          <w:sz w:val="28"/>
          <w:szCs w:val="28"/>
        </w:rPr>
        <w:t xml:space="preserve">ectos de los actos adoptados según lo señala el artículo 149 de la Constitución. </w:t>
      </w:r>
    </w:p>
    <w:p w:rsidR="0052724D" w:rsidRPr="003E425B" w:rsidRDefault="003E425B" w:rsidP="003B708E">
      <w:pPr>
        <w:jc w:val="both"/>
        <w:rPr>
          <w:rFonts w:ascii="Times New Roman" w:hAnsi="Times New Roman" w:cs="Times New Roman"/>
          <w:sz w:val="28"/>
          <w:szCs w:val="28"/>
        </w:rPr>
      </w:pPr>
    </w:p>
    <w:p w:rsidR="003B708E" w:rsidRPr="003E425B" w:rsidRDefault="003E425B" w:rsidP="003B708E">
      <w:pPr>
        <w:jc w:val="both"/>
        <w:rPr>
          <w:rFonts w:ascii="Times New Roman" w:hAnsi="Times New Roman" w:cs="Times New Roman"/>
          <w:sz w:val="28"/>
          <w:szCs w:val="28"/>
        </w:rPr>
      </w:pPr>
      <w:r w:rsidRPr="003E425B">
        <w:rPr>
          <w:rFonts w:ascii="Times New Roman" w:hAnsi="Times New Roman" w:cs="Times New Roman"/>
          <w:sz w:val="28"/>
          <w:szCs w:val="28"/>
        </w:rPr>
        <w:t>Declarar la inexequibilidad con efectos inmediatos o retroactivos no conlleva la desarticulación institucional ni afecta la garantía y efectividad de los principios y derech</w:t>
      </w:r>
      <w:r w:rsidRPr="003E425B">
        <w:rPr>
          <w:rFonts w:ascii="Times New Roman" w:hAnsi="Times New Roman" w:cs="Times New Roman"/>
          <w:sz w:val="28"/>
          <w:szCs w:val="28"/>
        </w:rPr>
        <w:t>os a la igualdad y la equidad por cuanto, las funciones que le fueron atribuidas al Ministerio creado podían retornar a las autoridades que antes las cumplían y los órganos que integran el sector cuya cabeza es ese Ministerio, podían retornar a los sectore</w:t>
      </w:r>
      <w:r w:rsidRPr="003E425B">
        <w:rPr>
          <w:rFonts w:ascii="Times New Roman" w:hAnsi="Times New Roman" w:cs="Times New Roman"/>
          <w:sz w:val="28"/>
          <w:szCs w:val="28"/>
        </w:rPr>
        <w:t>s donde antes de la Ley 2281 de 2023 estaban ubicados sin solución de continuidad.</w:t>
      </w:r>
    </w:p>
    <w:p w:rsidR="00475393" w:rsidRPr="003E425B" w:rsidRDefault="003E425B" w:rsidP="003B708E">
      <w:pPr>
        <w:jc w:val="both"/>
        <w:rPr>
          <w:rFonts w:ascii="Times New Roman" w:hAnsi="Times New Roman" w:cs="Times New Roman"/>
          <w:bCs/>
          <w:i/>
          <w:iCs/>
          <w:color w:val="000000" w:themeColor="text1"/>
          <w:sz w:val="28"/>
          <w:szCs w:val="28"/>
        </w:rPr>
      </w:pPr>
    </w:p>
    <w:p w:rsidR="00A615D7" w:rsidRPr="003E425B" w:rsidRDefault="003E425B" w:rsidP="00475393">
      <w:pPr>
        <w:pStyle w:val="Prrafodelista"/>
        <w:numPr>
          <w:ilvl w:val="0"/>
          <w:numId w:val="46"/>
        </w:numPr>
        <w:jc w:val="both"/>
        <w:rPr>
          <w:rFonts w:ascii="Times New Roman" w:hAnsi="Times New Roman"/>
          <w:b/>
          <w:color w:val="000000" w:themeColor="text1"/>
          <w:sz w:val="28"/>
          <w:lang w:val="es-ES_tradnl"/>
        </w:rPr>
      </w:pPr>
      <w:r w:rsidRPr="003E425B">
        <w:rPr>
          <w:rFonts w:ascii="Times New Roman" w:hAnsi="Times New Roman"/>
          <w:b/>
          <w:color w:val="000000" w:themeColor="text1"/>
          <w:sz w:val="28"/>
          <w:lang w:val="es-ES_tradnl"/>
        </w:rPr>
        <w:t xml:space="preserve">Otros vicios materiales que han debido examinarse  </w:t>
      </w:r>
    </w:p>
    <w:p w:rsidR="00A615D7" w:rsidRPr="003E425B" w:rsidRDefault="003E425B" w:rsidP="00A615D7">
      <w:pPr>
        <w:jc w:val="both"/>
        <w:rPr>
          <w:rFonts w:ascii="Times New Roman" w:hAnsi="Times New Roman" w:cs="Times New Roman"/>
          <w:b/>
          <w:color w:val="000000" w:themeColor="text1"/>
          <w:sz w:val="28"/>
          <w:szCs w:val="28"/>
          <w:lang w:val="es-ES_tradnl"/>
        </w:rPr>
      </w:pPr>
    </w:p>
    <w:p w:rsidR="00A615D7" w:rsidRPr="003E425B" w:rsidRDefault="003E425B" w:rsidP="00A615D7">
      <w:pPr>
        <w:jc w:val="both"/>
        <w:rPr>
          <w:rFonts w:ascii="Times New Roman" w:hAnsi="Times New Roman" w:cs="Times New Roman"/>
          <w:color w:val="000000" w:themeColor="text1"/>
          <w:sz w:val="28"/>
          <w:szCs w:val="28"/>
        </w:rPr>
      </w:pPr>
      <w:r w:rsidRPr="003E425B">
        <w:rPr>
          <w:rFonts w:ascii="Times New Roman" w:hAnsi="Times New Roman" w:cs="Times New Roman"/>
          <w:color w:val="000000" w:themeColor="text1"/>
          <w:sz w:val="28"/>
          <w:szCs w:val="28"/>
        </w:rPr>
        <w:t xml:space="preserve">El artículo 7 de la Ley 2281 de 2023 establece que el </w:t>
      </w:r>
      <w:r w:rsidRPr="003E425B">
        <w:rPr>
          <w:rFonts w:ascii="Times New Roman" w:hAnsi="Times New Roman" w:cs="Times New Roman"/>
          <w:color w:val="000000" w:themeColor="text1"/>
          <w:sz w:val="28"/>
          <w:szCs w:val="28"/>
        </w:rPr>
        <w:t xml:space="preserve">Ministerio de Igualdad y Equidad tendrá como domicilio la ciudad </w:t>
      </w:r>
      <w:r w:rsidRPr="003E425B">
        <w:rPr>
          <w:rFonts w:ascii="Times New Roman" w:hAnsi="Times New Roman" w:cs="Times New Roman"/>
          <w:color w:val="000000" w:themeColor="text1"/>
          <w:sz w:val="28"/>
          <w:szCs w:val="28"/>
        </w:rPr>
        <w:t>de Bogotá. D.C.</w:t>
      </w:r>
      <w:r w:rsidRPr="003E425B">
        <w:rPr>
          <w:rFonts w:ascii="Times New Roman" w:hAnsi="Times New Roman" w:cs="Times New Roman"/>
          <w:color w:val="000000" w:themeColor="text1"/>
          <w:sz w:val="28"/>
          <w:szCs w:val="28"/>
        </w:rPr>
        <w:t xml:space="preserve"> A su vez, el artículo 8 determina que el Ministerio tendrá un pat</w:t>
      </w:r>
      <w:r w:rsidRPr="003E425B">
        <w:rPr>
          <w:rFonts w:ascii="Times New Roman" w:hAnsi="Times New Roman" w:cs="Times New Roman"/>
          <w:color w:val="000000" w:themeColor="text1"/>
          <w:sz w:val="28"/>
          <w:szCs w:val="28"/>
        </w:rPr>
        <w:t xml:space="preserve">rimonio </w:t>
      </w:r>
      <w:r w:rsidRPr="003E425B">
        <w:rPr>
          <w:rFonts w:ascii="Times New Roman" w:hAnsi="Times New Roman" w:cs="Times New Roman"/>
          <w:color w:val="000000" w:themeColor="text1"/>
          <w:sz w:val="28"/>
          <w:szCs w:val="28"/>
        </w:rPr>
        <w:t>conformado por l</w:t>
      </w:r>
      <w:r w:rsidRPr="003E425B">
        <w:rPr>
          <w:rFonts w:ascii="Times New Roman" w:hAnsi="Times New Roman" w:cs="Times New Roman"/>
          <w:color w:val="000000" w:themeColor="text1"/>
          <w:sz w:val="28"/>
          <w:szCs w:val="28"/>
        </w:rPr>
        <w:t>as sumas que se apropien en el Presupuesto General de la Nación</w:t>
      </w:r>
      <w:r w:rsidRPr="003E425B">
        <w:rPr>
          <w:rFonts w:ascii="Times New Roman" w:hAnsi="Times New Roman" w:cs="Times New Roman"/>
          <w:color w:val="000000" w:themeColor="text1"/>
          <w:sz w:val="28"/>
          <w:szCs w:val="28"/>
        </w:rPr>
        <w:t>; l</w:t>
      </w:r>
      <w:r w:rsidRPr="003E425B">
        <w:rPr>
          <w:rFonts w:ascii="Times New Roman" w:hAnsi="Times New Roman" w:cs="Times New Roman"/>
          <w:color w:val="000000" w:themeColor="text1"/>
          <w:sz w:val="28"/>
          <w:szCs w:val="28"/>
        </w:rPr>
        <w:t>os bienes muebles e inmuebles que adquiera a cualquier título</w:t>
      </w:r>
      <w:r w:rsidRPr="003E425B">
        <w:rPr>
          <w:rFonts w:ascii="Times New Roman" w:hAnsi="Times New Roman" w:cs="Times New Roman"/>
          <w:color w:val="000000" w:themeColor="text1"/>
          <w:sz w:val="28"/>
          <w:szCs w:val="28"/>
        </w:rPr>
        <w:t>; y, l</w:t>
      </w:r>
      <w:r w:rsidRPr="003E425B">
        <w:rPr>
          <w:rFonts w:ascii="Times New Roman" w:hAnsi="Times New Roman" w:cs="Times New Roman"/>
          <w:color w:val="000000" w:themeColor="text1"/>
          <w:sz w:val="28"/>
          <w:szCs w:val="28"/>
        </w:rPr>
        <w:t>as sumas y los bie</w:t>
      </w:r>
      <w:r w:rsidRPr="003E425B">
        <w:rPr>
          <w:rFonts w:ascii="Times New Roman" w:hAnsi="Times New Roman" w:cs="Times New Roman"/>
          <w:color w:val="000000" w:themeColor="text1"/>
          <w:sz w:val="28"/>
          <w:szCs w:val="28"/>
        </w:rPr>
        <w:t>nes muebles e inmuebles que le sean donados o cedidos por entidades públicas o privadas, nacionales o internacionales.</w:t>
      </w:r>
      <w:r w:rsidRPr="003E425B">
        <w:rPr>
          <w:rFonts w:ascii="Times New Roman" w:hAnsi="Times New Roman" w:cs="Times New Roman"/>
          <w:color w:val="000000" w:themeColor="text1"/>
          <w:sz w:val="28"/>
          <w:szCs w:val="28"/>
        </w:rPr>
        <w:t xml:space="preserve"> A su vez, el artículo 11 estableció solo “</w:t>
      </w:r>
      <w:r w:rsidRPr="003E425B">
        <w:rPr>
          <w:rFonts w:ascii="Times New Roman" w:hAnsi="Times New Roman" w:cs="Times New Roman"/>
          <w:color w:val="000000" w:themeColor="text1"/>
          <w:sz w:val="28"/>
          <w:szCs w:val="28"/>
        </w:rPr>
        <w:t>una estructura interna inicial con las dependencias de dirección, asesoría, coordinación, gesti</w:t>
      </w:r>
      <w:r w:rsidRPr="003E425B">
        <w:rPr>
          <w:rFonts w:ascii="Times New Roman" w:hAnsi="Times New Roman" w:cs="Times New Roman"/>
          <w:color w:val="000000" w:themeColor="text1"/>
          <w:sz w:val="28"/>
          <w:szCs w:val="28"/>
        </w:rPr>
        <w:t>ón y apoyo</w:t>
      </w:r>
      <w:r w:rsidRPr="003E425B">
        <w:rPr>
          <w:rFonts w:ascii="Times New Roman" w:hAnsi="Times New Roman" w:cs="Times New Roman"/>
          <w:color w:val="000000" w:themeColor="text1"/>
          <w:sz w:val="28"/>
          <w:szCs w:val="28"/>
        </w:rPr>
        <w:t xml:space="preserve">”. </w:t>
      </w:r>
    </w:p>
    <w:p w:rsidR="0052139C" w:rsidRPr="003E425B" w:rsidRDefault="003E425B" w:rsidP="00A615D7">
      <w:pPr>
        <w:jc w:val="both"/>
        <w:rPr>
          <w:rFonts w:ascii="Times New Roman" w:hAnsi="Times New Roman" w:cs="Times New Roman"/>
          <w:color w:val="000000" w:themeColor="text1"/>
          <w:sz w:val="28"/>
          <w:szCs w:val="28"/>
        </w:rPr>
      </w:pPr>
    </w:p>
    <w:p w:rsidR="0031074D" w:rsidRPr="003E425B" w:rsidRDefault="003E425B" w:rsidP="00A615D7">
      <w:pPr>
        <w:jc w:val="both"/>
        <w:rPr>
          <w:rFonts w:ascii="Times New Roman" w:hAnsi="Times New Roman" w:cs="Times New Roman"/>
          <w:color w:val="000000" w:themeColor="text1"/>
          <w:sz w:val="28"/>
          <w:szCs w:val="28"/>
        </w:rPr>
      </w:pPr>
      <w:r w:rsidRPr="003E425B">
        <w:rPr>
          <w:rFonts w:ascii="Times New Roman" w:hAnsi="Times New Roman" w:cs="Times New Roman"/>
          <w:color w:val="000000" w:themeColor="text1"/>
          <w:sz w:val="28"/>
          <w:szCs w:val="28"/>
        </w:rPr>
        <w:t>Un Ministerio es una entidad pública sin personería jurídica, pero con autonomía administrativa y financiera, que forma parte de la estructura de la persona jurídica Nación. Por tal razón, si no es una persona jurídica, no tiene los atributo</w:t>
      </w:r>
      <w:r w:rsidRPr="003E425B">
        <w:rPr>
          <w:rFonts w:ascii="Times New Roman" w:hAnsi="Times New Roman" w:cs="Times New Roman"/>
          <w:color w:val="000000" w:themeColor="text1"/>
          <w:sz w:val="28"/>
          <w:szCs w:val="28"/>
        </w:rPr>
        <w:t>s de ésta y por lo tanto, no tiene domicilio ni patrimonio. En consecuencia, otorgarle atributos a dependencias que no son personas jurídicas viola los artículos 150-7 de la Constitución.</w:t>
      </w:r>
      <w:r w:rsidRPr="003E425B">
        <w:rPr>
          <w:rFonts w:ascii="Times New Roman" w:hAnsi="Times New Roman" w:cs="Times New Roman"/>
          <w:color w:val="000000" w:themeColor="text1"/>
          <w:sz w:val="28"/>
          <w:szCs w:val="28"/>
        </w:rPr>
        <w:t xml:space="preserve"> Esta norma establece que la ley que cree un ministerio debe establec</w:t>
      </w:r>
      <w:r w:rsidRPr="003E425B">
        <w:rPr>
          <w:rFonts w:ascii="Times New Roman" w:hAnsi="Times New Roman" w:cs="Times New Roman"/>
          <w:color w:val="000000" w:themeColor="text1"/>
          <w:sz w:val="28"/>
          <w:szCs w:val="28"/>
        </w:rPr>
        <w:t xml:space="preserve">er su estructura orgánica. No se trata de establecer una estructura inicial mínima como se hizo, sino la estructura requerida para el cumplimiento de sus funciones. No hacerlo, viola, como ocurrió en este caso, el citado artículo de la Constitución. </w:t>
      </w:r>
    </w:p>
    <w:p w:rsidR="0031074D" w:rsidRPr="003E425B" w:rsidRDefault="003E425B" w:rsidP="00A615D7">
      <w:pPr>
        <w:jc w:val="both"/>
        <w:rPr>
          <w:rFonts w:ascii="Times New Roman" w:hAnsi="Times New Roman" w:cs="Times New Roman"/>
          <w:color w:val="000000" w:themeColor="text1"/>
          <w:sz w:val="28"/>
          <w:szCs w:val="28"/>
        </w:rPr>
      </w:pPr>
    </w:p>
    <w:p w:rsidR="0031074D" w:rsidRPr="003E425B" w:rsidRDefault="003E425B" w:rsidP="00A615D7">
      <w:pPr>
        <w:jc w:val="both"/>
        <w:rPr>
          <w:rFonts w:ascii="Times New Roman" w:hAnsi="Times New Roman" w:cs="Times New Roman"/>
          <w:color w:val="000000" w:themeColor="text1"/>
          <w:sz w:val="28"/>
          <w:szCs w:val="28"/>
        </w:rPr>
      </w:pPr>
      <w:r w:rsidRPr="003E425B">
        <w:rPr>
          <w:rFonts w:ascii="Times New Roman" w:hAnsi="Times New Roman" w:cs="Times New Roman"/>
          <w:color w:val="000000" w:themeColor="text1"/>
          <w:sz w:val="28"/>
          <w:szCs w:val="28"/>
        </w:rPr>
        <w:t>Esta</w:t>
      </w:r>
      <w:r w:rsidRPr="003E425B">
        <w:rPr>
          <w:rFonts w:ascii="Times New Roman" w:hAnsi="Times New Roman" w:cs="Times New Roman"/>
          <w:color w:val="000000" w:themeColor="text1"/>
          <w:sz w:val="28"/>
          <w:szCs w:val="28"/>
        </w:rPr>
        <w:t xml:space="preserve">s situaciones obligaban a declarar la inexequibilidad de los artículos 7, 8 y 11 de la Ley 2281 de 2023, aplicando para tal efecto el artículo 22 del Decreto Ley 2067 de 1991.  </w:t>
      </w:r>
    </w:p>
    <w:p w:rsidR="00A615D7" w:rsidRPr="003E425B" w:rsidRDefault="003E425B" w:rsidP="00A615D7">
      <w:pPr>
        <w:jc w:val="both"/>
        <w:rPr>
          <w:rFonts w:ascii="Times New Roman" w:hAnsi="Times New Roman" w:cs="Times New Roman"/>
          <w:b/>
          <w:color w:val="000000" w:themeColor="text1"/>
          <w:sz w:val="28"/>
          <w:szCs w:val="28"/>
          <w:lang w:val="es-ES_tradnl"/>
        </w:rPr>
      </w:pPr>
      <w:r w:rsidRPr="003E425B">
        <w:rPr>
          <w:rFonts w:ascii="Times New Roman" w:hAnsi="Times New Roman" w:cs="Times New Roman"/>
          <w:color w:val="000000" w:themeColor="text1"/>
          <w:sz w:val="28"/>
          <w:szCs w:val="28"/>
        </w:rPr>
        <w:t> </w:t>
      </w:r>
    </w:p>
    <w:p w:rsidR="00475393" w:rsidRPr="003E425B" w:rsidRDefault="003E425B" w:rsidP="00475393">
      <w:pPr>
        <w:pStyle w:val="Prrafodelista"/>
        <w:numPr>
          <w:ilvl w:val="0"/>
          <w:numId w:val="46"/>
        </w:numPr>
        <w:jc w:val="both"/>
        <w:rPr>
          <w:rFonts w:ascii="Times New Roman" w:hAnsi="Times New Roman"/>
          <w:b/>
          <w:color w:val="000000" w:themeColor="text1"/>
          <w:sz w:val="28"/>
          <w:lang w:val="es-ES_tradnl"/>
        </w:rPr>
      </w:pPr>
      <w:r w:rsidRPr="003E425B">
        <w:rPr>
          <w:rFonts w:ascii="Times New Roman" w:hAnsi="Times New Roman"/>
          <w:b/>
          <w:color w:val="000000" w:themeColor="text1"/>
          <w:sz w:val="28"/>
          <w:lang w:val="es-ES_tradnl"/>
        </w:rPr>
        <w:t>Conclusión</w:t>
      </w:r>
      <w:r w:rsidRPr="003E425B">
        <w:rPr>
          <w:rFonts w:ascii="Times New Roman" w:hAnsi="Times New Roman"/>
          <w:b/>
          <w:color w:val="000000" w:themeColor="text1"/>
          <w:sz w:val="28"/>
          <w:lang w:val="es-ES_tradnl"/>
        </w:rPr>
        <w:t xml:space="preserve"> sobre el alcance de la aclaración y del salvamento parcial de voto</w:t>
      </w:r>
    </w:p>
    <w:p w:rsidR="00475393" w:rsidRPr="003E425B" w:rsidRDefault="003E425B" w:rsidP="00475393">
      <w:pPr>
        <w:jc w:val="both"/>
        <w:rPr>
          <w:rFonts w:ascii="Times New Roman" w:hAnsi="Times New Roman" w:cs="Times New Roman"/>
          <w:b/>
          <w:color w:val="000000" w:themeColor="text1"/>
          <w:sz w:val="28"/>
          <w:szCs w:val="28"/>
          <w:lang w:val="es-ES_tradnl"/>
        </w:rPr>
      </w:pPr>
    </w:p>
    <w:p w:rsidR="00475393" w:rsidRPr="003E425B" w:rsidRDefault="003E425B" w:rsidP="00475393">
      <w:pPr>
        <w:jc w:val="both"/>
        <w:rPr>
          <w:rFonts w:ascii="Times New Roman" w:hAnsi="Times New Roman" w:cs="Times New Roman"/>
          <w:bCs/>
          <w:color w:val="000000" w:themeColor="text1"/>
          <w:sz w:val="28"/>
          <w:szCs w:val="28"/>
          <w:lang w:val="es-ES_tradnl"/>
        </w:rPr>
      </w:pPr>
      <w:r w:rsidRPr="003E425B">
        <w:rPr>
          <w:rFonts w:ascii="Times New Roman" w:hAnsi="Times New Roman" w:cs="Times New Roman"/>
          <w:bCs/>
          <w:color w:val="000000" w:themeColor="text1"/>
          <w:sz w:val="28"/>
          <w:szCs w:val="28"/>
          <w:lang w:val="es-ES_tradnl"/>
        </w:rPr>
        <w:t xml:space="preserve">Con lo expuesto, debo reiterar que la aclaración voto presentada corresponde a mi disenso con la sentencia cuando consideró que no prosperaba el primer cargo de inconstitucionalidad </w:t>
      </w:r>
      <w:r w:rsidRPr="003E425B">
        <w:rPr>
          <w:rFonts w:ascii="Times New Roman" w:hAnsi="Times New Roman" w:cs="Times New Roman"/>
          <w:bCs/>
          <w:color w:val="000000" w:themeColor="text1"/>
          <w:sz w:val="28"/>
          <w:szCs w:val="28"/>
          <w:lang w:val="es-ES_tradnl"/>
        </w:rPr>
        <w:t>planteado por los accionantes en la demanda</w:t>
      </w:r>
      <w:r w:rsidRPr="003E425B">
        <w:rPr>
          <w:rFonts w:ascii="Times New Roman" w:hAnsi="Times New Roman" w:cs="Times New Roman"/>
          <w:bCs/>
          <w:color w:val="000000" w:themeColor="text1"/>
          <w:sz w:val="28"/>
          <w:szCs w:val="28"/>
          <w:lang w:val="es-ES_tradnl"/>
        </w:rPr>
        <w:t>. Lo anterior, en la medida en que era posible concluir que la Comisión Primera del Senado de la República incurrió en vicios insubsanables del trámite legislativo y, por ende, quebrantó los artículos 133, 145, 15</w:t>
      </w:r>
      <w:r w:rsidRPr="003E425B">
        <w:rPr>
          <w:rFonts w:ascii="Times New Roman" w:hAnsi="Times New Roman" w:cs="Times New Roman"/>
          <w:bCs/>
          <w:color w:val="000000" w:themeColor="text1"/>
          <w:sz w:val="28"/>
          <w:szCs w:val="28"/>
          <w:lang w:val="es-ES_tradnl"/>
        </w:rPr>
        <w:t>7 y 160 de la Constitución.</w:t>
      </w:r>
      <w:r w:rsidRPr="003E425B">
        <w:rPr>
          <w:rFonts w:ascii="Times New Roman" w:hAnsi="Times New Roman" w:cs="Times New Roman"/>
          <w:bCs/>
          <w:color w:val="000000" w:themeColor="text1"/>
          <w:sz w:val="28"/>
          <w:szCs w:val="28"/>
          <w:lang w:val="es-ES_tradnl"/>
        </w:rPr>
        <w:t xml:space="preserve"> </w:t>
      </w:r>
      <w:r w:rsidRPr="003E425B">
        <w:rPr>
          <w:rFonts w:ascii="Times New Roman" w:hAnsi="Times New Roman" w:cs="Times New Roman"/>
          <w:bCs/>
          <w:color w:val="000000" w:themeColor="text1"/>
          <w:sz w:val="28"/>
          <w:szCs w:val="28"/>
          <w:lang w:val="es-ES_tradnl"/>
        </w:rPr>
        <w:t xml:space="preserve">Así mismo, corresponde a mi disenso con la sentencia cuando no consideró que los artículos 7, 8 y 11 también violan el artículo 150-7 de la Constitución. </w:t>
      </w:r>
    </w:p>
    <w:p w:rsidR="00294612" w:rsidRPr="003E425B" w:rsidRDefault="003E425B" w:rsidP="00475393">
      <w:pPr>
        <w:jc w:val="both"/>
        <w:rPr>
          <w:rFonts w:ascii="Times New Roman" w:hAnsi="Times New Roman" w:cs="Times New Roman"/>
          <w:bCs/>
          <w:color w:val="000000" w:themeColor="text1"/>
          <w:sz w:val="28"/>
          <w:szCs w:val="28"/>
          <w:lang w:val="es-ES_tradnl"/>
        </w:rPr>
      </w:pPr>
    </w:p>
    <w:p w:rsidR="00294612" w:rsidRPr="003E425B" w:rsidRDefault="003E425B" w:rsidP="00475393">
      <w:pPr>
        <w:jc w:val="both"/>
        <w:rPr>
          <w:rFonts w:ascii="Times New Roman" w:hAnsi="Times New Roman" w:cs="Times New Roman"/>
          <w:bCs/>
          <w:color w:val="000000" w:themeColor="text1"/>
          <w:sz w:val="28"/>
          <w:szCs w:val="28"/>
          <w:lang w:val="es-ES_tradnl"/>
        </w:rPr>
      </w:pPr>
      <w:r w:rsidRPr="003E425B">
        <w:rPr>
          <w:rFonts w:ascii="Times New Roman" w:hAnsi="Times New Roman" w:cs="Times New Roman"/>
          <w:bCs/>
          <w:color w:val="000000" w:themeColor="text1"/>
          <w:sz w:val="28"/>
          <w:szCs w:val="28"/>
          <w:lang w:val="es-ES_tradnl"/>
        </w:rPr>
        <w:t>Por otro lado, la razón de mi salvamento parcial de voto corresponde a q</w:t>
      </w:r>
      <w:r w:rsidRPr="003E425B">
        <w:rPr>
          <w:rFonts w:ascii="Times New Roman" w:hAnsi="Times New Roman" w:cs="Times New Roman"/>
          <w:bCs/>
          <w:color w:val="000000" w:themeColor="text1"/>
          <w:sz w:val="28"/>
          <w:szCs w:val="28"/>
          <w:lang w:val="es-ES_tradnl"/>
        </w:rPr>
        <w:t>ue me aparto respetuosamente del resolutivo segundo de la decisión, en la medida en que la Sala Plena estaba obligada a retrotraer los efectos de la decisión</w:t>
      </w:r>
      <w:r w:rsidRPr="003E425B">
        <w:rPr>
          <w:rFonts w:ascii="Times New Roman" w:hAnsi="Times New Roman" w:cs="Times New Roman"/>
          <w:bCs/>
          <w:color w:val="000000" w:themeColor="text1"/>
          <w:sz w:val="28"/>
          <w:szCs w:val="28"/>
          <w:lang w:val="es-ES_tradnl"/>
        </w:rPr>
        <w:t xml:space="preserve"> y no diferirlos hacia futuro</w:t>
      </w:r>
      <w:r w:rsidRPr="003E425B">
        <w:rPr>
          <w:rFonts w:ascii="Times New Roman" w:hAnsi="Times New Roman" w:cs="Times New Roman"/>
          <w:bCs/>
          <w:color w:val="000000" w:themeColor="text1"/>
          <w:sz w:val="28"/>
          <w:szCs w:val="28"/>
          <w:lang w:val="es-ES_tradnl"/>
        </w:rPr>
        <w:t xml:space="preserve">, en cumplimiento de la sanción prevista en el artículo 149 de la </w:t>
      </w:r>
      <w:r w:rsidRPr="003E425B">
        <w:rPr>
          <w:rFonts w:ascii="Times New Roman" w:hAnsi="Times New Roman" w:cs="Times New Roman"/>
          <w:bCs/>
          <w:color w:val="000000" w:themeColor="text1"/>
          <w:sz w:val="28"/>
          <w:szCs w:val="28"/>
          <w:lang w:val="es-ES_tradnl"/>
        </w:rPr>
        <w:t>Constitución</w:t>
      </w:r>
      <w:r w:rsidRPr="003E425B">
        <w:rPr>
          <w:rFonts w:ascii="Times New Roman" w:hAnsi="Times New Roman" w:cs="Times New Roman"/>
          <w:bCs/>
          <w:color w:val="000000" w:themeColor="text1"/>
          <w:sz w:val="28"/>
          <w:szCs w:val="28"/>
          <w:lang w:val="es-ES_tradnl"/>
        </w:rPr>
        <w:t xml:space="preserve"> y en garantía del principio democrático y la supremacía constitucional. Como se ha señalado, la ley incurrió en los vicios de procedimiento que son insubsanables, lo cual derivó en la pretermisión de una etapa esencial para que el proyecto se </w:t>
      </w:r>
      <w:r w:rsidRPr="003E425B">
        <w:rPr>
          <w:rFonts w:ascii="Times New Roman" w:hAnsi="Times New Roman" w:cs="Times New Roman"/>
          <w:bCs/>
          <w:color w:val="000000" w:themeColor="text1"/>
          <w:sz w:val="28"/>
          <w:szCs w:val="28"/>
          <w:lang w:val="es-ES_tradnl"/>
        </w:rPr>
        <w:t>convierta en ley de la República</w:t>
      </w:r>
      <w:r w:rsidRPr="003E425B">
        <w:rPr>
          <w:rFonts w:ascii="Times New Roman" w:hAnsi="Times New Roman" w:cs="Times New Roman"/>
          <w:bCs/>
          <w:color w:val="000000" w:themeColor="text1"/>
          <w:sz w:val="28"/>
          <w:szCs w:val="28"/>
          <w:lang w:val="es-ES_tradnl"/>
        </w:rPr>
        <w:t xml:space="preserve">. Ello no podría haber llevado, a mi juicio, a una conclusión diferente de que esa norma no existió </w:t>
      </w:r>
      <w:r w:rsidRPr="003E425B">
        <w:rPr>
          <w:rFonts w:ascii="Times New Roman" w:hAnsi="Times New Roman" w:cs="Times New Roman"/>
          <w:bCs/>
          <w:color w:val="000000" w:themeColor="text1"/>
          <w:sz w:val="28"/>
          <w:szCs w:val="28"/>
          <w:lang w:val="es-ES_tradnl"/>
        </w:rPr>
        <w:t xml:space="preserve">o no existe </w:t>
      </w:r>
      <w:r w:rsidRPr="003E425B">
        <w:rPr>
          <w:rFonts w:ascii="Times New Roman" w:hAnsi="Times New Roman" w:cs="Times New Roman"/>
          <w:bCs/>
          <w:color w:val="000000" w:themeColor="text1"/>
          <w:sz w:val="28"/>
          <w:szCs w:val="28"/>
          <w:lang w:val="es-ES_tradnl"/>
        </w:rPr>
        <w:t>en la vida jurídica.</w:t>
      </w:r>
    </w:p>
    <w:p w:rsidR="00091368" w:rsidRPr="003E425B" w:rsidRDefault="003E425B" w:rsidP="00475393">
      <w:pPr>
        <w:jc w:val="both"/>
        <w:rPr>
          <w:rFonts w:ascii="Times New Roman" w:hAnsi="Times New Roman" w:cs="Times New Roman"/>
          <w:bCs/>
          <w:color w:val="000000" w:themeColor="text1"/>
          <w:sz w:val="28"/>
          <w:szCs w:val="28"/>
          <w:lang w:val="es-ES_tradnl"/>
        </w:rPr>
      </w:pPr>
    </w:p>
    <w:p w:rsidR="007338E5" w:rsidRPr="003E425B" w:rsidRDefault="003E425B" w:rsidP="007338E5">
      <w:pPr>
        <w:tabs>
          <w:tab w:val="center" w:pos="3611"/>
        </w:tabs>
        <w:jc w:val="both"/>
        <w:rPr>
          <w:rFonts w:ascii="Times New Roman" w:hAnsi="Times New Roman" w:cs="Times New Roman"/>
          <w:sz w:val="28"/>
          <w:szCs w:val="28"/>
          <w:lang w:val="es-ES"/>
        </w:rPr>
      </w:pPr>
      <w:r w:rsidRPr="003E425B">
        <w:rPr>
          <w:rFonts w:ascii="Times New Roman" w:hAnsi="Times New Roman" w:cs="Times New Roman"/>
          <w:sz w:val="28"/>
          <w:szCs w:val="28"/>
          <w:bdr w:val="none" w:sz="0" w:space="0" w:color="auto" w:frame="1"/>
        </w:rPr>
        <w:t>En estos términos, dejo consignado mi salvamento</w:t>
      </w:r>
      <w:r w:rsidRPr="003E425B">
        <w:rPr>
          <w:rFonts w:ascii="Times New Roman" w:hAnsi="Times New Roman" w:cs="Times New Roman"/>
          <w:sz w:val="28"/>
          <w:szCs w:val="28"/>
          <w:bdr w:val="none" w:sz="0" w:space="0" w:color="auto" w:frame="1"/>
        </w:rPr>
        <w:t xml:space="preserve"> parcial</w:t>
      </w:r>
      <w:r w:rsidRPr="003E425B">
        <w:rPr>
          <w:rFonts w:ascii="Times New Roman" w:hAnsi="Times New Roman" w:cs="Times New Roman"/>
          <w:sz w:val="28"/>
          <w:szCs w:val="28"/>
          <w:bdr w:val="none" w:sz="0" w:space="0" w:color="auto" w:frame="1"/>
        </w:rPr>
        <w:t xml:space="preserve"> </w:t>
      </w:r>
      <w:r w:rsidRPr="003E425B">
        <w:rPr>
          <w:rFonts w:ascii="Times New Roman" w:hAnsi="Times New Roman" w:cs="Times New Roman"/>
          <w:sz w:val="28"/>
          <w:szCs w:val="28"/>
          <w:bdr w:val="none" w:sz="0" w:space="0" w:color="auto" w:frame="1"/>
        </w:rPr>
        <w:t xml:space="preserve">y mi aclaración </w:t>
      </w:r>
      <w:r w:rsidRPr="003E425B">
        <w:rPr>
          <w:rFonts w:ascii="Times New Roman" w:hAnsi="Times New Roman" w:cs="Times New Roman"/>
          <w:sz w:val="28"/>
          <w:szCs w:val="28"/>
          <w:bdr w:val="none" w:sz="0" w:space="0" w:color="auto" w:frame="1"/>
        </w:rPr>
        <w:t>de voto.</w:t>
      </w:r>
    </w:p>
    <w:p w:rsidR="007338E5" w:rsidRPr="003E425B" w:rsidRDefault="003E425B" w:rsidP="007338E5">
      <w:pPr>
        <w:jc w:val="both"/>
        <w:rPr>
          <w:rFonts w:ascii="Times New Roman" w:hAnsi="Times New Roman" w:cs="Times New Roman"/>
          <w:sz w:val="28"/>
          <w:szCs w:val="28"/>
          <w:lang w:val="es-ES"/>
        </w:rPr>
      </w:pPr>
    </w:p>
    <w:p w:rsidR="007338E5" w:rsidRPr="003E425B" w:rsidRDefault="003E425B" w:rsidP="003F1811">
      <w:pPr>
        <w:shd w:val="clear" w:color="auto" w:fill="FFFFFF"/>
        <w:spacing w:line="293" w:lineRule="atLeast"/>
        <w:jc w:val="both"/>
        <w:textAlignment w:val="baseline"/>
        <w:rPr>
          <w:rFonts w:ascii="Times New Roman" w:hAnsi="Times New Roman" w:cs="Times New Roman"/>
          <w:sz w:val="28"/>
          <w:szCs w:val="28"/>
          <w:lang w:val="es-ES"/>
        </w:rPr>
      </w:pPr>
      <w:r w:rsidRPr="003E425B">
        <w:rPr>
          <w:rFonts w:ascii="Times New Roman" w:hAnsi="Times New Roman" w:cs="Times New Roman"/>
          <w:sz w:val="28"/>
          <w:szCs w:val="28"/>
          <w:bdr w:val="none" w:sz="0" w:space="0" w:color="auto" w:frame="1"/>
          <w:lang w:val="es-ES"/>
        </w:rPr>
        <w:t>Fecha </w:t>
      </w:r>
      <w:r w:rsidRPr="003E425B">
        <w:rPr>
          <w:rFonts w:ascii="Times New Roman" w:hAnsi="Times New Roman" w:cs="Times New Roman"/>
          <w:i/>
          <w:iCs/>
          <w:sz w:val="28"/>
          <w:szCs w:val="28"/>
          <w:bdr w:val="none" w:sz="0" w:space="0" w:color="auto" w:frame="1"/>
          <w:lang w:val="es-ES"/>
        </w:rPr>
        <w:t>u</w:t>
      </w:r>
      <w:r w:rsidRPr="003E425B">
        <w:rPr>
          <w:rFonts w:ascii="Times New Roman" w:hAnsi="Times New Roman" w:cs="Times New Roman"/>
          <w:i/>
          <w:iCs/>
          <w:sz w:val="28"/>
          <w:szCs w:val="28"/>
          <w:bdr w:val="none" w:sz="0" w:space="0" w:color="auto" w:frame="1"/>
          <w:lang w:val="es-ES"/>
        </w:rPr>
        <w:t>t supra.</w:t>
      </w:r>
    </w:p>
    <w:p w:rsidR="00091368" w:rsidRPr="003E425B" w:rsidRDefault="003E425B" w:rsidP="00475393">
      <w:pPr>
        <w:jc w:val="both"/>
        <w:rPr>
          <w:rFonts w:ascii="Times New Roman" w:hAnsi="Times New Roman" w:cs="Times New Roman"/>
          <w:bCs/>
          <w:color w:val="000000" w:themeColor="text1"/>
          <w:sz w:val="28"/>
          <w:szCs w:val="28"/>
          <w:lang w:val="es-ES_tradnl"/>
        </w:rPr>
      </w:pPr>
    </w:p>
    <w:p w:rsidR="00C2137F" w:rsidRPr="003E425B" w:rsidRDefault="003E425B" w:rsidP="00475393">
      <w:pPr>
        <w:jc w:val="both"/>
        <w:rPr>
          <w:rFonts w:ascii="Times New Roman" w:hAnsi="Times New Roman" w:cs="Times New Roman"/>
          <w:bCs/>
          <w:color w:val="000000" w:themeColor="text1"/>
          <w:sz w:val="28"/>
          <w:szCs w:val="28"/>
          <w:lang w:val="es-ES_tradnl"/>
        </w:rPr>
      </w:pPr>
    </w:p>
    <w:p w:rsidR="00C2137F" w:rsidRPr="003E425B" w:rsidRDefault="003E425B" w:rsidP="00475393">
      <w:pPr>
        <w:jc w:val="both"/>
        <w:rPr>
          <w:rFonts w:ascii="Times New Roman" w:hAnsi="Times New Roman" w:cs="Times New Roman"/>
          <w:bCs/>
          <w:color w:val="000000" w:themeColor="text1"/>
          <w:sz w:val="28"/>
          <w:szCs w:val="28"/>
          <w:lang w:val="es-ES_tradnl"/>
        </w:rPr>
      </w:pPr>
    </w:p>
    <w:p w:rsidR="00C2137F" w:rsidRPr="003E425B" w:rsidRDefault="003E425B" w:rsidP="00C2137F">
      <w:pPr>
        <w:jc w:val="center"/>
        <w:rPr>
          <w:rFonts w:ascii="Times New Roman" w:hAnsi="Times New Roman" w:cs="Times New Roman"/>
          <w:b/>
          <w:color w:val="000000" w:themeColor="text1"/>
          <w:sz w:val="28"/>
          <w:szCs w:val="28"/>
          <w:lang w:val="es-ES_tradnl"/>
        </w:rPr>
      </w:pPr>
      <w:r w:rsidRPr="003E425B">
        <w:rPr>
          <w:rFonts w:ascii="Times New Roman" w:hAnsi="Times New Roman" w:cs="Times New Roman"/>
          <w:b/>
          <w:color w:val="000000" w:themeColor="text1"/>
          <w:sz w:val="28"/>
          <w:szCs w:val="28"/>
          <w:lang w:val="es-ES_tradnl"/>
        </w:rPr>
        <w:t xml:space="preserve">JORGE ENRIQUE IBÁÑEZ NAJAR </w:t>
      </w:r>
    </w:p>
    <w:p w:rsidR="00C2137F" w:rsidRPr="003E425B" w:rsidRDefault="003E425B" w:rsidP="00C2137F">
      <w:pPr>
        <w:jc w:val="center"/>
        <w:rPr>
          <w:rFonts w:ascii="Times New Roman" w:hAnsi="Times New Roman" w:cs="Times New Roman"/>
          <w:b/>
          <w:color w:val="000000" w:themeColor="text1"/>
          <w:sz w:val="28"/>
          <w:szCs w:val="28"/>
          <w:lang w:val="es-ES_tradnl"/>
        </w:rPr>
      </w:pPr>
      <w:r w:rsidRPr="003E425B">
        <w:rPr>
          <w:rFonts w:ascii="Times New Roman" w:hAnsi="Times New Roman" w:cs="Times New Roman"/>
          <w:b/>
          <w:color w:val="000000" w:themeColor="text1"/>
          <w:sz w:val="28"/>
          <w:szCs w:val="28"/>
          <w:lang w:val="es-ES_tradnl"/>
        </w:rPr>
        <w:t>Magistrado</w:t>
      </w:r>
    </w:p>
    <w:sectPr w:rsidR="00C2137F" w:rsidRPr="003E425B">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E425B">
      <w:pPr>
        <w:spacing w:after="0" w:line="240" w:lineRule="auto"/>
      </w:pPr>
      <w:r>
        <w:separator/>
      </w:r>
    </w:p>
  </w:endnote>
  <w:endnote w:type="continuationSeparator" w:id="0">
    <w:p w:rsidR="00000000" w:rsidRDefault="003E4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E425B">
      <w:pPr>
        <w:spacing w:after="0" w:line="240" w:lineRule="auto"/>
      </w:pPr>
      <w:r>
        <w:separator/>
      </w:r>
    </w:p>
  </w:footnote>
  <w:footnote w:type="continuationSeparator" w:id="0">
    <w:p w:rsidR="00000000" w:rsidRDefault="003E425B">
      <w:pPr>
        <w:spacing w:after="0" w:line="240" w:lineRule="auto"/>
      </w:pPr>
      <w:r>
        <w:continuationSeparator/>
      </w:r>
    </w:p>
  </w:footnote>
  <w:footnote w:id="1">
    <w:p w:rsidR="00E41171" w:rsidRPr="009D3FAE" w:rsidRDefault="003E425B" w:rsidP="00FC5E7C">
      <w:pPr>
        <w:pStyle w:val="Textonotapie"/>
        <w:rPr>
          <w:rFonts w:cs="Times New Roman"/>
        </w:rPr>
      </w:pPr>
      <w:r w:rsidRPr="009D3FAE">
        <w:rPr>
          <w:rStyle w:val="Refdenotaalpie"/>
          <w:rFonts w:cs="Times New Roman"/>
        </w:rPr>
        <w:footnoteRef/>
      </w:r>
      <w:r w:rsidRPr="009D3FAE">
        <w:rPr>
          <w:rFonts w:cs="Times New Roman"/>
        </w:rPr>
        <w:t xml:space="preserve"> Pese a constatar la existencia de un vicio de procedimiento que afectaba la Ley 2281 de 2023 en su totalidad, la Corte examinó la constitucionalidad del artículo 12. Esto, habida cuenta de que la decisión de inexequibilidad tendría efectos diferidos. </w:t>
      </w:r>
    </w:p>
  </w:footnote>
  <w:footnote w:id="2">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A</w:t>
      </w:r>
      <w:r w:rsidRPr="009D3FAE">
        <w:rPr>
          <w:rFonts w:cs="Times New Roman"/>
          <w:szCs w:val="20"/>
        </w:rPr>
        <w:t xml:space="preserve">uto </w:t>
      </w:r>
      <w:r w:rsidRPr="009D3FAE">
        <w:rPr>
          <w:rFonts w:cs="Times New Roman"/>
          <w:szCs w:val="20"/>
          <w:shd w:val="clear" w:color="auto" w:fill="FFFFFF" w:themeFill="background1"/>
        </w:rPr>
        <w:t>de 23 de marzo de 2023, pág. 2. Asimismo, advirtió a los demandantes que contra la decisión de rechazo procedía el recurso de súplica.</w:t>
      </w:r>
    </w:p>
  </w:footnote>
  <w:footnote w:id="3">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El 15 de diciembre de 2023, el magistrado Vladimir Fernández Andrade se posesionó como magistrado de la Corte Const</w:t>
      </w:r>
      <w:r w:rsidRPr="009D3FAE">
        <w:rPr>
          <w:rFonts w:cs="Times New Roman"/>
          <w:szCs w:val="20"/>
        </w:rPr>
        <w:t>itucional, en reemplazo del magistrado Alejandro Linares Cantillo.</w:t>
      </w:r>
    </w:p>
  </w:footnote>
  <w:footnote w:id="4">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255D44">
        <w:rPr>
          <w:rFonts w:cs="Times New Roman"/>
          <w:szCs w:val="20"/>
        </w:rPr>
        <w:t xml:space="preserve">Escrito de la demanda, pág. 33. </w:t>
      </w:r>
      <w:r w:rsidRPr="009D3FAE">
        <w:rPr>
          <w:rFonts w:cs="Times New Roman"/>
          <w:szCs w:val="20"/>
        </w:rPr>
        <w:t>De acuerdo con la demanda, en el recinto solo se encontraban presentes: Fabio Amin, Alexander López, Alejandro Chacón, Alfredo Deluque, Humberto de la Call</w:t>
      </w:r>
      <w:r w:rsidRPr="009D3FAE">
        <w:rPr>
          <w:rFonts w:cs="Times New Roman"/>
          <w:szCs w:val="20"/>
        </w:rPr>
        <w:t>e, Jonathan Pulido Hernández, Ariel Ávila, María José Pizarro y Julián Gallo.</w:t>
      </w:r>
    </w:p>
  </w:footnote>
  <w:footnote w:id="5">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Conforme a la demanda los senadores que estaban ausentes eran: Roy Barreras, Oscar Barreto, Jorge Benedetti, Germán Blanco, María Fernanda Cabal, Julio Elías Chagüi, Juan Carlo</w:t>
      </w:r>
      <w:r w:rsidRPr="009D3FAE">
        <w:rPr>
          <w:rFonts w:cs="Times New Roman"/>
          <w:szCs w:val="20"/>
        </w:rPr>
        <w:t>s García, David Luna, Carlos Motoa, Aida Quilcué, Paloma Valencia y Alejandro Vega.</w:t>
      </w:r>
    </w:p>
  </w:footnote>
  <w:footnote w:id="6">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Conforme al artículo 130 de la Ley 5 de 1992, la votación nominal es una votación pública en la que “podrá emplearse cualquier procedimiento electrónico que acredite el s</w:t>
      </w:r>
      <w:r w:rsidRPr="009D3FAE">
        <w:rPr>
          <w:rFonts w:cs="Times New Roman"/>
          <w:szCs w:val="20"/>
        </w:rPr>
        <w:t>entido del voto de cada Congresista y el resultado de la votación; en caso de ausencia o falta de procedimientos electrónicos, se llamará a lista y cada Congresista anunciará de manera verbal su voto sí o no”.</w:t>
      </w:r>
    </w:p>
  </w:footnote>
  <w:footnote w:id="7">
    <w:p w:rsidR="00E41171" w:rsidRPr="009D3FAE" w:rsidRDefault="003E425B" w:rsidP="00766C65">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La votación ordinaria “se efectúa dando los </w:t>
      </w:r>
      <w:r w:rsidRPr="009D3FAE">
        <w:rPr>
          <w:rFonts w:cs="Times New Roman"/>
          <w:szCs w:val="20"/>
        </w:rPr>
        <w:t>Congresistas, con la mano, un golpe sobre el pupitre”, de acuerdo con el artículo 129 de la Ley 5 de 1992.</w:t>
      </w:r>
    </w:p>
  </w:footnote>
  <w:footnote w:id="8">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Escrito de la demanda, pág. 32.</w:t>
      </w:r>
    </w:p>
  </w:footnote>
  <w:footnote w:id="9">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C-816 de 2004. </w:t>
      </w:r>
    </w:p>
  </w:footnote>
  <w:footnote w:id="10">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Constitución Política, art. 157. Ningún proyecto será ley sin los requisitos siguientes:</w:t>
      </w:r>
    </w:p>
    <w:p w:rsidR="00E41171" w:rsidRPr="009D3FAE" w:rsidRDefault="003E425B" w:rsidP="00CD789C">
      <w:pPr>
        <w:pStyle w:val="Textonotapie"/>
        <w:rPr>
          <w:rFonts w:cs="Times New Roman"/>
          <w:szCs w:val="20"/>
        </w:rPr>
      </w:pPr>
      <w:r w:rsidRPr="009D3FAE">
        <w:rPr>
          <w:rFonts w:cs="Times New Roman"/>
          <w:szCs w:val="20"/>
        </w:rPr>
        <w:t>1. Haber sido publicado oficialmente por el Congreso, antes de darle curso en la comisión respectiva.</w:t>
      </w:r>
    </w:p>
    <w:p w:rsidR="00E41171" w:rsidRPr="009D3FAE" w:rsidRDefault="003E425B" w:rsidP="00CD789C">
      <w:pPr>
        <w:pStyle w:val="Textonotapie"/>
        <w:rPr>
          <w:rFonts w:cs="Times New Roman"/>
          <w:szCs w:val="20"/>
        </w:rPr>
      </w:pPr>
      <w:r w:rsidRPr="009D3FAE">
        <w:rPr>
          <w:rFonts w:cs="Times New Roman"/>
          <w:szCs w:val="20"/>
        </w:rPr>
        <w:t>2. Haber sido aprobado en primer debate en la correspondiente co</w:t>
      </w:r>
      <w:r w:rsidRPr="009D3FAE">
        <w:rPr>
          <w:rFonts w:cs="Times New Roman"/>
          <w:szCs w:val="20"/>
        </w:rPr>
        <w:t>misión permanente de cada Cámara. El reglamento del Congreso determinará los casos en los cuales el primer debate se surtirá en sesión conjunta de las comisiones permanentes de ambas Cámaras.</w:t>
      </w:r>
    </w:p>
    <w:p w:rsidR="00E41171" w:rsidRPr="009D3FAE" w:rsidRDefault="003E425B" w:rsidP="00CD789C">
      <w:pPr>
        <w:pStyle w:val="Textonotapie"/>
        <w:rPr>
          <w:rFonts w:cs="Times New Roman"/>
          <w:szCs w:val="20"/>
        </w:rPr>
      </w:pPr>
      <w:r w:rsidRPr="009D3FAE">
        <w:rPr>
          <w:rFonts w:cs="Times New Roman"/>
          <w:szCs w:val="20"/>
        </w:rPr>
        <w:t>3. Haber sido aprobado en cada Cámara en segundo debate.</w:t>
      </w:r>
    </w:p>
    <w:p w:rsidR="00E41171" w:rsidRPr="009D3FAE" w:rsidRDefault="003E425B" w:rsidP="00CD789C">
      <w:pPr>
        <w:pStyle w:val="Textonotapie"/>
        <w:rPr>
          <w:rFonts w:cs="Times New Roman"/>
          <w:szCs w:val="20"/>
        </w:rPr>
      </w:pPr>
      <w:r w:rsidRPr="009D3FAE">
        <w:rPr>
          <w:rFonts w:cs="Times New Roman"/>
          <w:szCs w:val="20"/>
        </w:rPr>
        <w:t>4. Habe</w:t>
      </w:r>
      <w:r w:rsidRPr="009D3FAE">
        <w:rPr>
          <w:rFonts w:cs="Times New Roman"/>
          <w:szCs w:val="20"/>
        </w:rPr>
        <w:t>r obtenido la sanción del Gobierno.</w:t>
      </w:r>
    </w:p>
  </w:footnote>
  <w:footnote w:id="11">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Escrito de la demanda, pág. 28. </w:t>
      </w:r>
    </w:p>
  </w:footnote>
  <w:footnote w:id="12">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Pr>
          <w:rFonts w:cs="Times New Roman"/>
          <w:szCs w:val="20"/>
        </w:rPr>
        <w:t>Ib.</w:t>
      </w:r>
      <w:r w:rsidRPr="009D3FAE">
        <w:rPr>
          <w:rFonts w:cs="Times New Roman"/>
          <w:szCs w:val="20"/>
        </w:rPr>
        <w:t>, pág. 18.</w:t>
      </w:r>
    </w:p>
  </w:footnote>
  <w:footnote w:id="13">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14">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Los demandantes indican que esta afirmación se encuentra contenida en la “Gaceta 1273 de 2022. Exposición de motivos del Proyecto de Ley 222 de 2022 Senado ‘</w:t>
      </w:r>
      <w:r w:rsidRPr="009D3FAE">
        <w:rPr>
          <w:rFonts w:cs="Times New Roman"/>
          <w:szCs w:val="20"/>
        </w:rPr>
        <w:t>Por medio de la cual se crea el Ministerio de Igualdad y Equidad y se dictan otras disposiciones’”.</w:t>
      </w:r>
    </w:p>
  </w:footnote>
  <w:footnote w:id="15">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24. Los demandantes indican que durante este debate los ponentes afirmaron que “estimaban el costo de la creación del Ministerio en $18.239 mill</w:t>
      </w:r>
      <w:r w:rsidRPr="009D3FAE">
        <w:rPr>
          <w:rFonts w:cs="Times New Roman"/>
          <w:szCs w:val="20"/>
        </w:rPr>
        <w:t xml:space="preserve">ones”, con base en los costos de personal de los ministerios actuales, y “reconocieron que el proyecto de ley no contemplaba una fuente de ingresos adicional para cubrir su financiación”. </w:t>
      </w:r>
    </w:p>
  </w:footnote>
  <w:footnote w:id="16">
    <w:p w:rsidR="00E41171" w:rsidRPr="009D3FAE" w:rsidRDefault="003E425B" w:rsidP="003E6A18">
      <w:pPr>
        <w:pStyle w:val="Textonotapie"/>
        <w:rPr>
          <w:rFonts w:cs="Times New Roman"/>
        </w:rPr>
      </w:pPr>
      <w:r w:rsidRPr="009D3FAE">
        <w:rPr>
          <w:rStyle w:val="Refdenotaalpie"/>
          <w:rFonts w:cs="Times New Roman"/>
        </w:rPr>
        <w:footnoteRef/>
      </w:r>
      <w:r w:rsidRPr="009D3FAE">
        <w:rPr>
          <w:rFonts w:cs="Times New Roman"/>
        </w:rPr>
        <w:t xml:space="preserve"> Ib., pág. 22.</w:t>
      </w:r>
    </w:p>
  </w:footnote>
  <w:footnote w:id="17">
    <w:p w:rsidR="00E41171" w:rsidRPr="009D3FAE" w:rsidRDefault="003E425B" w:rsidP="003E6A18">
      <w:pPr>
        <w:pStyle w:val="Textonotapie"/>
        <w:rPr>
          <w:rFonts w:cs="Times New Roman"/>
        </w:rPr>
      </w:pPr>
      <w:r w:rsidRPr="009D3FAE">
        <w:rPr>
          <w:rStyle w:val="Refdenotaalpie"/>
          <w:rFonts w:cs="Times New Roman"/>
        </w:rPr>
        <w:footnoteRef/>
      </w:r>
      <w:r w:rsidRPr="009D3FAE">
        <w:rPr>
          <w:rFonts w:cs="Times New Roman"/>
        </w:rPr>
        <w:t xml:space="preserve"> Ib.</w:t>
      </w:r>
    </w:p>
  </w:footnote>
  <w:footnote w:id="18">
    <w:p w:rsidR="00E41171" w:rsidRPr="009D3FAE" w:rsidRDefault="003E425B" w:rsidP="003E6A18">
      <w:pPr>
        <w:pStyle w:val="Textonotapie"/>
        <w:rPr>
          <w:rFonts w:cs="Times New Roman"/>
        </w:rPr>
      </w:pPr>
      <w:r w:rsidRPr="009D3FAE">
        <w:rPr>
          <w:rStyle w:val="Refdenotaalpie"/>
          <w:rFonts w:cs="Times New Roman"/>
        </w:rPr>
        <w:footnoteRef/>
      </w:r>
      <w:r w:rsidRPr="009D3FAE">
        <w:rPr>
          <w:rFonts w:cs="Times New Roman"/>
        </w:rPr>
        <w:t xml:space="preserve"> Ib., pág. 24.</w:t>
      </w:r>
    </w:p>
  </w:footnote>
  <w:footnote w:id="19">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En concreto, los demandantes citan la sentencia C-110 de 2019.</w:t>
      </w:r>
    </w:p>
  </w:footnote>
  <w:footnote w:id="20">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21">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27.</w:t>
      </w:r>
    </w:p>
  </w:footnote>
  <w:footnote w:id="22">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23">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págs. 25 y 26. Afirmaron que </w:t>
      </w:r>
      <w:r w:rsidRPr="009D3FAE">
        <w:rPr>
          <w:rFonts w:cs="Times New Roman"/>
          <w:szCs w:val="20"/>
          <w:lang w:val="es-ES"/>
        </w:rPr>
        <w:t>la senadora María Fernanda Cabal presentó ponencia de archivo del proyecto de ley, en la que reiteró “la necesidad de indica</w:t>
      </w:r>
      <w:r w:rsidRPr="009D3FAE">
        <w:rPr>
          <w:rFonts w:cs="Times New Roman"/>
          <w:szCs w:val="20"/>
          <w:lang w:val="es-ES"/>
        </w:rPr>
        <w:t>r de manera expresa el costo del proyecto”</w:t>
      </w:r>
      <w:r w:rsidRPr="009D3FAE">
        <w:rPr>
          <w:rStyle w:val="Refdenotaalpie"/>
          <w:rFonts w:cs="Times New Roman"/>
          <w:szCs w:val="20"/>
          <w:lang w:val="es-ES"/>
        </w:rPr>
        <w:footnoteRef/>
      </w:r>
      <w:r w:rsidRPr="009D3FAE">
        <w:rPr>
          <w:rFonts w:cs="Times New Roman"/>
          <w:szCs w:val="20"/>
          <w:lang w:val="es-ES"/>
        </w:rPr>
        <w:t>. Luego, el senador Alexander López, al momento de sustentar la “ponencia mayoritaria”, “expresó que el concepto del [MHCP] era favorable, avalaba la creación del Ministerio y con ello se cumplía con los requisito</w:t>
      </w:r>
      <w:r w:rsidRPr="009D3FAE">
        <w:rPr>
          <w:rFonts w:cs="Times New Roman"/>
          <w:szCs w:val="20"/>
          <w:lang w:val="es-ES"/>
        </w:rPr>
        <w:t xml:space="preserve">s exigidos por la legislación colombiana en torno al estudio de impacto fiscal del proyecto”. </w:t>
      </w:r>
    </w:p>
  </w:footnote>
  <w:footnote w:id="24">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Los demandantes señalaron que</w:t>
      </w:r>
      <w:r w:rsidRPr="009D3FAE">
        <w:rPr>
          <w:rFonts w:cs="Times New Roman"/>
          <w:szCs w:val="20"/>
          <w:lang w:val="es-ES"/>
        </w:rPr>
        <w:t xml:space="preserve"> el concepto del MHCP “se limita a indicar la proyección de gastos para la vigencia 2023 de los Ministerios actuales y sostien</w:t>
      </w:r>
      <w:r w:rsidRPr="009D3FAE">
        <w:rPr>
          <w:rFonts w:cs="Times New Roman"/>
          <w:szCs w:val="20"/>
          <w:lang w:val="es-ES"/>
        </w:rPr>
        <w:t>e que solo podrá estimar el costo de creación de la nueva cartera una vez se cuente con la estructura final de la entidad”</w:t>
      </w:r>
      <w:r w:rsidRPr="009D3FAE">
        <w:rPr>
          <w:rStyle w:val="Refdenotaalpie"/>
          <w:rFonts w:cs="Times New Roman"/>
          <w:szCs w:val="20"/>
          <w:lang w:val="es-ES"/>
        </w:rPr>
        <w:footnoteRef/>
      </w:r>
      <w:r w:rsidRPr="009D3FAE">
        <w:rPr>
          <w:rFonts w:cs="Times New Roman"/>
          <w:szCs w:val="20"/>
          <w:lang w:val="es-ES"/>
        </w:rPr>
        <w:t>. Además, este concepto no avala</w:t>
      </w:r>
      <w:r>
        <w:rPr>
          <w:rFonts w:cs="Times New Roman"/>
          <w:szCs w:val="20"/>
          <w:lang w:val="es-ES"/>
        </w:rPr>
        <w:t>ba</w:t>
      </w:r>
      <w:r w:rsidRPr="009D3FAE">
        <w:rPr>
          <w:rFonts w:cs="Times New Roman"/>
          <w:szCs w:val="20"/>
          <w:lang w:val="es-ES"/>
        </w:rPr>
        <w:t xml:space="preserve"> de manera expresa la creación del Ministerio de la Igualdad.</w:t>
      </w:r>
    </w:p>
  </w:footnote>
  <w:footnote w:id="25">
    <w:p w:rsidR="00E41171" w:rsidRPr="009D3FAE" w:rsidRDefault="003E425B" w:rsidP="003E6A18">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w:t>
      </w:r>
      <w:r w:rsidRPr="009D3FAE">
        <w:rPr>
          <w:rFonts w:cs="Times New Roman"/>
          <w:szCs w:val="20"/>
          <w:lang w:val="es-ES"/>
        </w:rPr>
        <w:t>Igualmente, afirmaron que el Go</w:t>
      </w:r>
      <w:r w:rsidRPr="009D3FAE">
        <w:rPr>
          <w:rFonts w:cs="Times New Roman"/>
          <w:szCs w:val="20"/>
          <w:lang w:val="es-ES"/>
        </w:rPr>
        <w:t>bierno Nacional y los ponentes del proyecto no respondieron “a los numerosos llamados realizados por la oposición para indicar el costo del mismo”.</w:t>
      </w:r>
    </w:p>
  </w:footnote>
  <w:footnote w:id="26">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Corte Constitucional. Sentencia C-159 de 2021. Demanda, pág. 37.</w:t>
      </w:r>
    </w:p>
  </w:footnote>
  <w:footnote w:id="27">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w:t>
      </w:r>
      <w:r w:rsidRPr="009D3FAE">
        <w:rPr>
          <w:rFonts w:cs="Times New Roman"/>
          <w:szCs w:val="20"/>
        </w:rPr>
        <w:t>onstitucional, sentencia Corte Constitucional. Sentencia C-159 de 2021,</w:t>
      </w:r>
    </w:p>
  </w:footnote>
  <w:footnote w:id="28">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661D27">
        <w:rPr>
          <w:rFonts w:cs="Times New Roman"/>
          <w:szCs w:val="20"/>
        </w:rPr>
        <w:t>Escrito de la demanda, pág. 37.</w:t>
      </w:r>
    </w:p>
  </w:footnote>
  <w:footnote w:id="29">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0">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pág.38.</w:t>
      </w:r>
    </w:p>
  </w:footnote>
  <w:footnote w:id="31">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2">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Estas intervenciones fueron presentadas por María José Pizarro, la Universidad del Bosque, Juntanza de mujeres y disidenc</w:t>
      </w:r>
      <w:r w:rsidRPr="009D3FAE">
        <w:rPr>
          <w:rFonts w:cs="Times New Roman"/>
          <w:szCs w:val="20"/>
        </w:rPr>
        <w:t>ias sexuales de género de Cali, Jahel Quiroga, la Red de Mujeres del Caribe, Luz María Múnera, la Consultoría para los derechos humanos y el desplazamiento forzado, la Comisión Colombiana de Juristas, Ilex acción jurídica, Ana Isabel Arenas Saavedra, la Co</w:t>
      </w:r>
      <w:r w:rsidRPr="009D3FAE">
        <w:rPr>
          <w:rFonts w:cs="Times New Roman"/>
          <w:szCs w:val="20"/>
        </w:rPr>
        <w:t>nferencia Nacional de Organizaciones Afrocolombianas, la Red de Mujeres Afrolatinoamericanas, Afrocaribeñas y de la Diáspora, Alexander López Maya, la Mesa Nacional del Cuidado del Movimiento de Cuidadores Familiares de Personas con Discapacidad y Dependen</w:t>
      </w:r>
      <w:r w:rsidRPr="009D3FAE">
        <w:rPr>
          <w:rFonts w:cs="Times New Roman"/>
          <w:szCs w:val="20"/>
        </w:rPr>
        <w:t>cia Funcional de Colombia, la Corporación Casa de la Mujer, Ángela María Robledo, la Escuela Nacional Sindical, el Departamento Nacional de Planeación, el Consultorio Jurídico Mujeres de la Universidad de los Andes, el Departamento Administrativo para la P</w:t>
      </w:r>
      <w:r w:rsidRPr="009D3FAE">
        <w:rPr>
          <w:rFonts w:cs="Times New Roman"/>
          <w:szCs w:val="20"/>
        </w:rPr>
        <w:t>rosperidad Social, el Ministerio de Justicia y del Derecho, Alirio Uribe, el Departamento Administrativo de la Presidencia de la República, Harold Sua Montaña, el Departamento Administrativo para la Función Pública, el Ministerio de Hacienda y Crédito Públ</w:t>
      </w:r>
      <w:r w:rsidRPr="009D3FAE">
        <w:rPr>
          <w:rFonts w:cs="Times New Roman"/>
          <w:szCs w:val="20"/>
        </w:rPr>
        <w:t>ico, el Ministerio del Interior y la Universidad Libre. Asimismo, la Veeduría Ciudadana de la Política Pública Nacional LBGTI y la Agencia Nacional de Defensa Jurídica del Estado presentaron intervenciones de manera extemporánea.</w:t>
      </w:r>
    </w:p>
  </w:footnote>
  <w:footnote w:id="33">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eastAsia="Times New Roman" w:cs="Times New Roman"/>
          <w:szCs w:val="20"/>
        </w:rPr>
        <w:t>Departamento Administrat</w:t>
      </w:r>
      <w:r w:rsidRPr="009D3FAE">
        <w:rPr>
          <w:rFonts w:eastAsia="Times New Roman" w:cs="Times New Roman"/>
          <w:szCs w:val="20"/>
        </w:rPr>
        <w:t>ivo de Prosperidad Social, Ministerio de Justicia y del Derecho e Ilex acción jurídica.</w:t>
      </w:r>
    </w:p>
  </w:footnote>
  <w:footnote w:id="34">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eastAsia="Times New Roman" w:cs="Times New Roman"/>
          <w:szCs w:val="20"/>
        </w:rPr>
        <w:t>Departamento Administrativo de Prosperidad Social.</w:t>
      </w:r>
    </w:p>
  </w:footnote>
  <w:footnote w:id="35">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Estas fueron María José Pizarro, la Universidad del Bosque, la Red de Mujeres del Caribe, Luz María Múnera, Consultoría para los derechos humanos y el desplazamiento forzado, la Comisión Colombiana de Juristas, Ilex acción jurídica, Ana Isabel Arenas Saav</w:t>
      </w:r>
      <w:r w:rsidRPr="009D3FAE">
        <w:rPr>
          <w:rFonts w:cs="Times New Roman"/>
          <w:szCs w:val="20"/>
        </w:rPr>
        <w:t>edra, Ángela María Robledo y otros, la Conferencia Nacional de Organizaciones Afrocolombianas, la Red de Mujeres Afrolatinoamericanas, Afrocaribeñas y de la Diáspora, Alexander López Maya, la Mesa Nacional del Cuidado del Movimiento de Cuidadores Familiare</w:t>
      </w:r>
      <w:r w:rsidRPr="009D3FAE">
        <w:rPr>
          <w:rFonts w:cs="Times New Roman"/>
          <w:szCs w:val="20"/>
        </w:rPr>
        <w:t>s de Personas con Discapacidad y Dependencia Funcional de Colombia, la Corporación Casa de la Mujer, la Escuela Nacional Sindical, el Departamento Nacional de Planeación, el Consultorio Jurídico Mujeres de la Universidad de los Andes, el Departamento Admin</w:t>
      </w:r>
      <w:r w:rsidRPr="009D3FAE">
        <w:rPr>
          <w:rFonts w:cs="Times New Roman"/>
          <w:szCs w:val="20"/>
        </w:rPr>
        <w:t>istrativo para la Prosperidad Social, el Ministerio de Justicia y del Derecho, Alirio Uribe, el Departamento Administrativo de la Presidencia de la República, el Departamento Administrativo para la Función Pública, el Ministerio de Hacienda y Crédito Públi</w:t>
      </w:r>
      <w:r w:rsidRPr="009D3FAE">
        <w:rPr>
          <w:rFonts w:cs="Times New Roman"/>
          <w:szCs w:val="20"/>
        </w:rPr>
        <w:t>co y el Ministerio del Interior.</w:t>
      </w:r>
    </w:p>
  </w:footnote>
  <w:footnote w:id="36">
    <w:p w:rsidR="00E41171" w:rsidRPr="009D3FAE" w:rsidRDefault="003E425B">
      <w:pPr>
        <w:pStyle w:val="Textonotapie"/>
      </w:pPr>
      <w:r w:rsidRPr="009D3FAE">
        <w:rPr>
          <w:rStyle w:val="Refdenotaalpie"/>
        </w:rPr>
        <w:footnoteRef/>
      </w:r>
      <w:r w:rsidRPr="009D3FAE">
        <w:t xml:space="preserve"> Esta fue la intervención de Harold Sua Montaña.</w:t>
      </w:r>
    </w:p>
  </w:footnote>
  <w:footnote w:id="37">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eastAsia="Times New Roman" w:cs="Times New Roman"/>
          <w:szCs w:val="20"/>
        </w:rPr>
        <w:t xml:space="preserve">Departamento Administrativo de la Presidencia de la República, Departamento Administrativo de la Función Pública, Departamento Administrativo de Prosperidad Social y el </w:t>
      </w:r>
      <w:r w:rsidRPr="009D3FAE">
        <w:rPr>
          <w:rFonts w:eastAsia="Times New Roman" w:cs="Times New Roman"/>
          <w:szCs w:val="20"/>
        </w:rPr>
        <w:t>Ministerio del Interior.</w:t>
      </w:r>
    </w:p>
  </w:footnote>
  <w:footnote w:id="38">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Adicionalmente, indicó que las actas, los videos de las sesiones y las certificaciones remitidas al proceso por los secretarios del Congreso de la República son los elementos probatorios idóneos para demostrar los acontecimientos</w:t>
      </w:r>
      <w:r w:rsidRPr="009D3FAE">
        <w:rPr>
          <w:rFonts w:cs="Times New Roman"/>
          <w:szCs w:val="20"/>
        </w:rPr>
        <w:t xml:space="preserve"> que se presentaron en el trámite legislativo.</w:t>
      </w:r>
    </w:p>
  </w:footnote>
  <w:footnote w:id="39">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10.</w:t>
      </w:r>
    </w:p>
  </w:footnote>
  <w:footnote w:id="40">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Concepto de la Procuradora General de la Nación, p</w:t>
      </w:r>
      <w:r>
        <w:rPr>
          <w:rFonts w:cs="Times New Roman"/>
          <w:szCs w:val="20"/>
        </w:rPr>
        <w:t>ág</w:t>
      </w:r>
      <w:r w:rsidRPr="009D3FAE">
        <w:rPr>
          <w:rFonts w:cs="Times New Roman"/>
          <w:szCs w:val="20"/>
        </w:rPr>
        <w:t>. 5.</w:t>
      </w:r>
    </w:p>
  </w:footnote>
  <w:footnote w:id="41">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El presupuesto anual del Ministerio de la Igualdad y Equidad se estimó en 18.239 millones y los costos del Ministerio serían atendid</w:t>
      </w:r>
      <w:r w:rsidRPr="009D3FAE">
        <w:rPr>
          <w:rFonts w:cs="Times New Roman"/>
          <w:szCs w:val="20"/>
        </w:rPr>
        <w:t>os con los presupuestos apropiados por el Presupuesto General de la Nación para cada vigencia</w:t>
      </w:r>
    </w:p>
  </w:footnote>
  <w:footnote w:id="42">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págs. 7 y 8. Estos costos “únicamente en lo que se refiere a los gastos de personal, es decir, sin incluir otros gastos de funcionamiento como adquisición </w:t>
      </w:r>
      <w:r w:rsidRPr="009D3FAE">
        <w:rPr>
          <w:rFonts w:cs="Times New Roman"/>
          <w:szCs w:val="20"/>
        </w:rPr>
        <w:t>de bienes y servicios, impuestos, los cuales pueden rondar entre el 20% y el 30% de los gastos de personal de la entidad a crear. Tampoco tiene en cuenta los programas de inversión, pues estas erogaciones dependen de la estructura, el alcance y las funcion</w:t>
      </w:r>
      <w:r w:rsidRPr="009D3FAE">
        <w:rPr>
          <w:rFonts w:cs="Times New Roman"/>
          <w:szCs w:val="20"/>
        </w:rPr>
        <w:t>es del nuevo Ministerio”. Asimismo, preciso que “el costo preciso de creación y operación del nuevo Ministerio se puede tener una vez se cuente con la estructura final de la entidad”.</w:t>
      </w:r>
    </w:p>
  </w:footnote>
  <w:footnote w:id="43">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Esto, porque “los partidos de oposición consideraron que implicaba</w:t>
      </w:r>
      <w:r w:rsidRPr="009D3FAE">
        <w:rPr>
          <w:rFonts w:cs="Times New Roman"/>
          <w:szCs w:val="20"/>
        </w:rPr>
        <w:t xml:space="preserve"> un costo excesivo y, por ello, propusieron archivar la iniciativa. Empero, la mayoría de los parlamentarios estimaron que resultaba razonable la propuesta y, en este sentido, optaron por aprobar[la]”.</w:t>
      </w:r>
    </w:p>
  </w:footnote>
  <w:footnote w:id="44">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45">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Estas disposiciones estipulan que el Sector Ad</w:t>
      </w:r>
      <w:r w:rsidRPr="009D3FAE">
        <w:rPr>
          <w:rFonts w:cs="Times New Roman"/>
          <w:szCs w:val="20"/>
        </w:rPr>
        <w:t>ministrativo está integrado por el Ministerio y las demás entidades que la ley defina como adscritas o vinculadas a aquéllos. Están adscritos las superintendencias, los establecimientos públicos y las unidades administrativas especiales y vinculadas las em</w:t>
      </w:r>
      <w:r w:rsidRPr="009D3FAE">
        <w:rPr>
          <w:rFonts w:cs="Times New Roman"/>
          <w:szCs w:val="20"/>
        </w:rPr>
        <w:t>presas industriales y comerciales del Estado y las sociedades de economía mixta.</w:t>
      </w:r>
    </w:p>
  </w:footnote>
  <w:footnote w:id="46">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En esta decisión, la Corte Constitucional indicó que el legislador está facultado para modificar adscripciones o vinculaciones a entidades ante la creación de un nuevo minis</w:t>
      </w:r>
      <w:r w:rsidRPr="009D3FAE">
        <w:rPr>
          <w:rFonts w:cs="Times New Roman"/>
          <w:szCs w:val="20"/>
        </w:rPr>
        <w:t>terio.</w:t>
      </w:r>
    </w:p>
  </w:footnote>
  <w:footnote w:id="47">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En esta sentencia, la Corte Constitucional explicó que los conceptos adscripción y vinculación hacen referencia al grado de autonomía de que gozan los entes descentralizados por servicios. La vinculación supone una mayor independencia respecto de </w:t>
      </w:r>
      <w:r w:rsidRPr="009D3FAE">
        <w:rPr>
          <w:rFonts w:cs="Times New Roman"/>
          <w:szCs w:val="20"/>
        </w:rPr>
        <w:t>los órganos del sector central de la Administración.</w:t>
      </w:r>
    </w:p>
  </w:footnote>
  <w:footnote w:id="48">
    <w:p w:rsidR="00E41171" w:rsidRPr="009D3FAE" w:rsidRDefault="003E425B" w:rsidP="00A54D15">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Estos artículos prescriben que el Sector de Igualdad y Equidad estará compuesto por el Ministerio de Igualdad y Equidad, como un organismo principal y las demás entidades que le adscriba o vincule la l</w:t>
      </w:r>
      <w:r w:rsidRPr="009D3FAE">
        <w:rPr>
          <w:rFonts w:cs="Times New Roman"/>
          <w:szCs w:val="20"/>
        </w:rPr>
        <w:t>ey, conforme al artículo 42 de la Ley 489 de 1998.</w:t>
      </w:r>
    </w:p>
  </w:footnote>
  <w:footnote w:id="49">
    <w:p w:rsidR="00E41171" w:rsidRPr="009D3FAE" w:rsidRDefault="003E425B" w:rsidP="00CD789C">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14.</w:t>
      </w:r>
    </w:p>
  </w:footnote>
  <w:footnote w:id="50">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w:t>
      </w:r>
      <w:r w:rsidRPr="009D3FAE">
        <w:rPr>
          <w:rFonts w:cs="Times New Roman"/>
          <w:i/>
          <w:szCs w:val="20"/>
        </w:rPr>
        <w:t>Cfr</w:t>
      </w:r>
      <w:r w:rsidRPr="009D3FAE">
        <w:rPr>
          <w:rFonts w:cs="Times New Roman"/>
          <w:szCs w:val="20"/>
        </w:rPr>
        <w:t>., Corte Constitucional, auto 300 de 2008 y sentencia C-089 de 2020.</w:t>
      </w:r>
    </w:p>
  </w:footnote>
  <w:footnote w:id="51">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C-1052 de 2001, reiterada en las sentencias C-247 de 2017, C-002 de 2018, C-087 d</w:t>
      </w:r>
      <w:r w:rsidRPr="009D3FAE">
        <w:rPr>
          <w:rFonts w:cs="Times New Roman"/>
          <w:szCs w:val="20"/>
        </w:rPr>
        <w:t>e 2018 y C-221 de 2019.</w:t>
      </w:r>
    </w:p>
  </w:footnote>
  <w:footnote w:id="52">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C-551 de 2019. </w:t>
      </w:r>
    </w:p>
  </w:footnote>
  <w:footnote w:id="53">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C-1052 de 2001.</w:t>
      </w:r>
    </w:p>
  </w:footnote>
  <w:footnote w:id="54">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C-1052 de 2001, reiterada en las sentencias C-247 de 2017, C-002 de 2018, C-087 de 2018 y C-221 de</w:t>
      </w:r>
      <w:r w:rsidRPr="009D3FAE">
        <w:rPr>
          <w:rFonts w:cs="Times New Roman"/>
          <w:szCs w:val="20"/>
        </w:rPr>
        <w:t xml:space="preserve"> 2019.</w:t>
      </w:r>
    </w:p>
  </w:footnote>
  <w:footnote w:id="55">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Ib. </w:t>
      </w:r>
    </w:p>
  </w:footnote>
  <w:footnote w:id="56">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Ib.</w:t>
      </w:r>
    </w:p>
  </w:footnote>
  <w:footnote w:id="57">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Ib.</w:t>
      </w:r>
    </w:p>
  </w:footnote>
  <w:footnote w:id="58">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Ib. </w:t>
      </w:r>
    </w:p>
  </w:footnote>
  <w:footnote w:id="59">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C-049 de 2020. </w:t>
      </w:r>
    </w:p>
  </w:footnote>
  <w:footnote w:id="60">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C-1052 de 2001, reiterada en las sentencias C-247 de 2017, C-002 de 2018, C-087 de 2018 y C-221 de 2019.</w:t>
      </w:r>
    </w:p>
  </w:footnote>
  <w:footnote w:id="61">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Ib.</w:t>
      </w:r>
    </w:p>
  </w:footnote>
  <w:footnote w:id="62">
    <w:p w:rsidR="00E41171" w:rsidRPr="009D3FAE" w:rsidRDefault="003E425B" w:rsidP="00445AB6">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 C-551 de 2019. </w:t>
      </w:r>
    </w:p>
  </w:footnote>
  <w:footnote w:id="63">
    <w:p w:rsidR="00E41171" w:rsidRPr="009D3FAE" w:rsidRDefault="003E425B" w:rsidP="00445AB6">
      <w:pPr>
        <w:rPr>
          <w:rFonts w:cs="Times New Roman"/>
          <w:sz w:val="20"/>
          <w:szCs w:val="20"/>
        </w:rPr>
      </w:pPr>
      <w:r w:rsidRPr="009D3FAE">
        <w:rPr>
          <w:rFonts w:cs="Times New Roman"/>
          <w:sz w:val="20"/>
          <w:szCs w:val="20"/>
          <w:vertAlign w:val="superscript"/>
        </w:rPr>
        <w:footnoteRef/>
      </w:r>
      <w:r w:rsidRPr="009D3FAE">
        <w:rPr>
          <w:rFonts w:cs="Times New Roman"/>
          <w:sz w:val="20"/>
          <w:szCs w:val="20"/>
        </w:rPr>
        <w:t xml:space="preserve"> Corte Constitucional, sentencia C-048 de 2004. </w:t>
      </w:r>
    </w:p>
  </w:footnote>
  <w:footnote w:id="64">
    <w:p w:rsidR="00E41171" w:rsidRPr="009D3FAE" w:rsidRDefault="003E425B" w:rsidP="00445AB6">
      <w:pPr>
        <w:pStyle w:val="Textonotapie"/>
        <w:rPr>
          <w:rFonts w:cs="Times New Roman"/>
          <w:szCs w:val="20"/>
        </w:rPr>
      </w:pPr>
      <w:r w:rsidRPr="009D3FAE">
        <w:rPr>
          <w:rFonts w:cs="Times New Roman"/>
          <w:color w:val="auto"/>
          <w:szCs w:val="20"/>
          <w:vertAlign w:val="superscript"/>
        </w:rPr>
        <w:footnoteRef/>
      </w:r>
      <w:r w:rsidRPr="009D3FAE">
        <w:rPr>
          <w:rFonts w:cs="Times New Roman"/>
          <w:color w:val="auto"/>
          <w:szCs w:val="20"/>
        </w:rPr>
        <w:t xml:space="preserve"> Corte Constitucional, sentencias C-085 de 2018 y C-112 de 2019, entre otras. </w:t>
      </w:r>
    </w:p>
  </w:footnote>
  <w:footnote w:id="65">
    <w:p w:rsidR="00E41171" w:rsidRPr="009D3FAE" w:rsidRDefault="003E425B" w:rsidP="00F83521">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Intervención del Ministerio de Interior.</w:t>
      </w:r>
    </w:p>
  </w:footnote>
  <w:footnote w:id="66">
    <w:p w:rsidR="00E41171" w:rsidRPr="009D3FAE" w:rsidRDefault="003E425B" w:rsidP="002F3DA3">
      <w:pPr>
        <w:pStyle w:val="Textonotapie"/>
      </w:pPr>
      <w:r w:rsidRPr="009D3FAE">
        <w:rPr>
          <w:rStyle w:val="Refdenotaalpie"/>
        </w:rPr>
        <w:footnoteRef/>
      </w:r>
      <w:r w:rsidRPr="009D3FAE">
        <w:t xml:space="preserve"> Corte Constitucional, sentencias C-350 de 1994, C-931 de 2019 y C-408 de 2019. En la sentencia C-931 de 2019, la Corte indicó que “la jurisprudencia constitucional ha considerado que carece de competencia para conocer de demandas contra leyes cuyo objeto </w:t>
      </w:r>
      <w:r w:rsidRPr="009D3FAE">
        <w:t>ya se cumplió, y no siguen produciendo efectos. Así, desde su inicio, consideró que debe inhibirse de conocer la constitucionalidad de una norma que “ya agotó plenamente su contenido”. En tal sentido, “[c]uando se demandan normas que contienen mandatos esp</w:t>
      </w:r>
      <w:r w:rsidRPr="009D3FAE">
        <w:t>ecíficos ya ejecutados, es decir, cuando el precepto acusado ordena que se lleve a cabo un acto o se desarrolle una actividad y el cumplimiento de ésta o aquél ya ha tenido lugar”, dijo la Corte enfáticamente en la Sentencia C-350 de 1994 que, “carece de t</w:t>
      </w:r>
      <w:r w:rsidRPr="009D3FAE">
        <w:t>odo objeto la decisión de la Corte y, por tanto, debe ella declararse inhibida En efecto, si hallara exequible la norma impugnada no haría otra cosa que dejar en firme su ejecutabilidad y, habiéndose dado ya la ejecución, la resolución judicial sería inúti</w:t>
      </w:r>
      <w:r w:rsidRPr="009D3FAE">
        <w:t>l y extemporánea. Y si la encontrara inexequible, no podría ser observada la sentencia en razón de haberse alcanzado ya el fin propuesto por quien profirió la disposición; se encontraría la Corte con hechos cumplidos respecto de los cuales nada podría hace</w:t>
      </w:r>
      <w:r w:rsidRPr="009D3FAE">
        <w:t>r la determinación que adoptase”.</w:t>
      </w:r>
    </w:p>
  </w:footnote>
  <w:footnote w:id="67">
    <w:p w:rsidR="00E41171" w:rsidRPr="009D3FAE" w:rsidRDefault="003E425B" w:rsidP="008244C3">
      <w:pPr>
        <w:pStyle w:val="Textonotapie"/>
      </w:pPr>
      <w:r w:rsidRPr="009D3FAE">
        <w:rPr>
          <w:rStyle w:val="Refdenotaalpie"/>
        </w:rPr>
        <w:footnoteRef/>
      </w:r>
      <w:r w:rsidRPr="009D3FAE">
        <w:t xml:space="preserve"> Corte Constitucional, sentencias </w:t>
      </w:r>
      <w:r w:rsidRPr="009D3FAE">
        <w:rPr>
          <w:color w:val="2D2D2D"/>
          <w:szCs w:val="20"/>
          <w:shd w:val="clear" w:color="auto" w:fill="FFFFFF"/>
        </w:rPr>
        <w:t xml:space="preserve">C-396 de 2019 y </w:t>
      </w:r>
      <w:r w:rsidRPr="009D3FAE">
        <w:t>C-226 de 2021.</w:t>
      </w:r>
    </w:p>
  </w:footnote>
  <w:footnote w:id="68">
    <w:p w:rsidR="00E41171" w:rsidRPr="009D3FAE" w:rsidRDefault="003E425B">
      <w:pPr>
        <w:pStyle w:val="Textonotapie"/>
      </w:pPr>
      <w:r w:rsidRPr="009D3FAE">
        <w:rPr>
          <w:rStyle w:val="Refdenotaalpie"/>
        </w:rPr>
        <w:footnoteRef/>
      </w:r>
      <w:r w:rsidRPr="009D3FAE">
        <w:t xml:space="preserve"> Corte Constitucional, sentencia C-226 de 2021.</w:t>
      </w:r>
    </w:p>
  </w:footnote>
  <w:footnote w:id="69">
    <w:p w:rsidR="00E41171" w:rsidRPr="009D3FAE" w:rsidRDefault="003E425B">
      <w:pPr>
        <w:pStyle w:val="Textonotapie"/>
      </w:pPr>
      <w:r w:rsidRPr="009D3FAE">
        <w:rPr>
          <w:rStyle w:val="Refdenotaalpie"/>
        </w:rPr>
        <w:footnoteRef/>
      </w:r>
      <w:r w:rsidRPr="009D3FAE">
        <w:t xml:space="preserve"> Corte Constitucional, sentencias </w:t>
      </w:r>
      <w:r w:rsidRPr="009D3FAE">
        <w:rPr>
          <w:color w:val="2D2D2D"/>
          <w:szCs w:val="20"/>
          <w:shd w:val="clear" w:color="auto" w:fill="FFFFFF"/>
        </w:rPr>
        <w:t>C-303 de 2010 y</w:t>
      </w:r>
      <w:r w:rsidRPr="009D3FAE">
        <w:t xml:space="preserve"> C-226 de 2021.</w:t>
      </w:r>
    </w:p>
  </w:footnote>
  <w:footnote w:id="70">
    <w:p w:rsidR="00E41171" w:rsidRPr="009D3FAE" w:rsidRDefault="003E425B">
      <w:pPr>
        <w:pStyle w:val="Textonotapie"/>
      </w:pPr>
      <w:r w:rsidRPr="009D3FAE">
        <w:rPr>
          <w:rStyle w:val="Refdenotaalpie"/>
        </w:rPr>
        <w:footnoteRef/>
      </w:r>
      <w:r w:rsidRPr="009D3FAE">
        <w:t xml:space="preserve"> Corte Constitucional, sentencia C-226 d</w:t>
      </w:r>
      <w:r w:rsidRPr="009D3FAE">
        <w:t xml:space="preserve">e 2021. </w:t>
      </w:r>
      <w:r w:rsidRPr="009D3FAE">
        <w:rPr>
          <w:i/>
          <w:iCs/>
        </w:rPr>
        <w:t xml:space="preserve">Cfr. </w:t>
      </w:r>
      <w:r w:rsidRPr="009D3FAE">
        <w:t xml:space="preserve">Sentencias </w:t>
      </w:r>
      <w:r w:rsidRPr="009D3FAE">
        <w:rPr>
          <w:color w:val="2D2D2D"/>
          <w:szCs w:val="20"/>
          <w:shd w:val="clear" w:color="auto" w:fill="FFFFFF"/>
        </w:rPr>
        <w:t>C-416 de 1992, C-022 de 1994, C-264 de 1994, C-282 de 1994, C-281 de 1995, C-583 de 1995, C-244A de 1996, C-1144 de 2000, C-353 de 2015, C-348 de 2017 y C-070 de 2020</w:t>
      </w:r>
      <w:r w:rsidRPr="009D3FAE">
        <w:t>.</w:t>
      </w:r>
    </w:p>
  </w:footnote>
  <w:footnote w:id="71">
    <w:p w:rsidR="00E41171" w:rsidRPr="009D3FAE" w:rsidRDefault="003E425B">
      <w:pPr>
        <w:pStyle w:val="Textonotapie"/>
      </w:pPr>
      <w:r w:rsidRPr="009D3FAE">
        <w:rPr>
          <w:rStyle w:val="Refdenotaalpie"/>
        </w:rPr>
        <w:footnoteRef/>
      </w:r>
      <w:r w:rsidRPr="009D3FAE">
        <w:t xml:space="preserve"> La Corte advierte que la Ley 2281 de 2023 fue publicada el 4 d</w:t>
      </w:r>
      <w:r w:rsidRPr="009D3FAE">
        <w:t>e enero de 2023, en el Diario Oficial No. 52.267. Por esto, el término de 6 meses previsto en la norma demandada finalizó el 4 de julio de 2023.</w:t>
      </w:r>
    </w:p>
  </w:footnote>
  <w:footnote w:id="72">
    <w:p w:rsidR="00E41171" w:rsidRPr="009D3FAE" w:rsidRDefault="003E425B">
      <w:pPr>
        <w:pStyle w:val="Textonotapie"/>
      </w:pPr>
      <w:r w:rsidRPr="009D3FAE">
        <w:rPr>
          <w:rStyle w:val="Refdenotaalpie"/>
        </w:rPr>
        <w:footnoteRef/>
      </w:r>
      <w:r w:rsidRPr="009D3FAE">
        <w:t xml:space="preserve"> En este Decreto, el Presidente determinó las entidades que integran el Sector Igualdad y Equidad. En concreto</w:t>
      </w:r>
      <w:r w:rsidRPr="009D3FAE">
        <w:t xml:space="preserve">, dispuso que el Sector Igualdad y Equidad estría integrado por el Ministerio de Igualdad y Equidad, como entidad cabeza de sector, y las siguientes entidades adscritas: </w:t>
      </w:r>
      <w:r w:rsidRPr="009D3FAE">
        <w:rPr>
          <w:i/>
          <w:iCs/>
        </w:rPr>
        <w:t xml:space="preserve">(i) </w:t>
      </w:r>
      <w:r w:rsidRPr="009D3FAE">
        <w:t xml:space="preserve">el Instituto Colombiano de Bienestar Familiar (ICBF); </w:t>
      </w:r>
      <w:r w:rsidRPr="009D3FAE">
        <w:rPr>
          <w:i/>
          <w:iCs/>
        </w:rPr>
        <w:t>(ii)</w:t>
      </w:r>
      <w:r w:rsidRPr="009D3FAE">
        <w:t xml:space="preserve"> el Instituto Nacional p</w:t>
      </w:r>
      <w:r w:rsidRPr="009D3FAE">
        <w:t xml:space="preserve">ara Sordos (INSOR) y </w:t>
      </w:r>
      <w:r w:rsidRPr="009D3FAE">
        <w:rPr>
          <w:i/>
          <w:iCs/>
        </w:rPr>
        <w:t>(iii)</w:t>
      </w:r>
      <w:r w:rsidRPr="009D3FAE">
        <w:t xml:space="preserve"> el Instituto Nacional para Ciegos (INCI).</w:t>
      </w:r>
    </w:p>
  </w:footnote>
  <w:footnote w:id="73">
    <w:p w:rsidR="00E41171" w:rsidRPr="009D3FAE" w:rsidRDefault="003E425B" w:rsidP="00223823">
      <w:pPr>
        <w:pStyle w:val="Textonotapie"/>
      </w:pPr>
      <w:r w:rsidRPr="009D3FAE">
        <w:rPr>
          <w:rStyle w:val="Refdenotaalpie"/>
          <w:rFonts w:eastAsiaTheme="majorEastAsia"/>
        </w:rPr>
        <w:footnoteRef/>
      </w:r>
      <w:r w:rsidRPr="009D3FAE">
        <w:t xml:space="preserve"> Constitución Política, art. 157. Ningún proyecto será ley sin los requisitos siguientes:</w:t>
      </w:r>
    </w:p>
    <w:p w:rsidR="00E41171" w:rsidRPr="009D3FAE" w:rsidRDefault="003E425B" w:rsidP="00223823">
      <w:pPr>
        <w:pStyle w:val="Textonotapie"/>
      </w:pPr>
      <w:r w:rsidRPr="009D3FAE">
        <w:t>1. Haber sido publicado oficialmente por el Congreso, antes de darle curso en la comisión respec</w:t>
      </w:r>
      <w:r w:rsidRPr="009D3FAE">
        <w:t>tiva.</w:t>
      </w:r>
    </w:p>
    <w:p w:rsidR="00E41171" w:rsidRPr="009D3FAE" w:rsidRDefault="003E425B" w:rsidP="00223823">
      <w:pPr>
        <w:pStyle w:val="Textonotapie"/>
      </w:pPr>
      <w:r w:rsidRPr="009D3FAE">
        <w:t>2. Haber sido aprobado en primer debate en la correspondiente comisión permanente de cada Cámara. El reglamento del Congreso determinará los casos en los cuales el primer debate se surtirá en sesión conjunta de las comisiones permanentes de ambas Cám</w:t>
      </w:r>
      <w:r w:rsidRPr="009D3FAE">
        <w:t>aras.</w:t>
      </w:r>
    </w:p>
    <w:p w:rsidR="00E41171" w:rsidRPr="009D3FAE" w:rsidRDefault="003E425B" w:rsidP="00223823">
      <w:pPr>
        <w:pStyle w:val="Textonotapie"/>
      </w:pPr>
      <w:r w:rsidRPr="009D3FAE">
        <w:t>3. Haber sido aprobado en cada Cámara en segundo debate.</w:t>
      </w:r>
    </w:p>
    <w:p w:rsidR="00E41171" w:rsidRPr="009D3FAE" w:rsidRDefault="003E425B" w:rsidP="00223823">
      <w:pPr>
        <w:pStyle w:val="Textonotapie"/>
      </w:pPr>
      <w:r w:rsidRPr="009D3FAE">
        <w:t>4. Haber obtenido la sanción del Gobierno.</w:t>
      </w:r>
    </w:p>
  </w:footnote>
  <w:footnote w:id="74">
    <w:p w:rsidR="00E41171" w:rsidRPr="009D3FAE" w:rsidRDefault="003E425B" w:rsidP="00223823">
      <w:pPr>
        <w:pStyle w:val="Textonotapie"/>
      </w:pPr>
      <w:r w:rsidRPr="009D3FAE">
        <w:rPr>
          <w:rStyle w:val="Refdenotaalpie"/>
          <w:rFonts w:eastAsiaTheme="majorEastAsia"/>
        </w:rPr>
        <w:footnoteRef/>
      </w:r>
      <w:r w:rsidRPr="009D3FAE">
        <w:t xml:space="preserve"> Ley 5° de 1992, art. 119. “Mayoría absoluta. Se requiere para la aprobación de: (…) 2. Leyes que den facultades extraordinarias al Presidente de la </w:t>
      </w:r>
      <w:r w:rsidRPr="009D3FAE">
        <w:t xml:space="preserve">República (artículo 150, ordinal 10 constitucional)”. </w:t>
      </w:r>
    </w:p>
  </w:footnote>
  <w:footnote w:id="75">
    <w:p w:rsidR="00E41171" w:rsidRPr="009D3FAE" w:rsidRDefault="003E425B" w:rsidP="00223823">
      <w:pPr>
        <w:pStyle w:val="Textonotapie"/>
      </w:pPr>
      <w:r w:rsidRPr="009D3FAE">
        <w:rPr>
          <w:rStyle w:val="Refdenotaalpie"/>
          <w:rFonts w:eastAsiaTheme="majorEastAsia"/>
          <w:lang w:val="es-ES"/>
        </w:rPr>
        <w:footnoteRef/>
      </w:r>
      <w:r w:rsidRPr="009D3FAE">
        <w:t xml:space="preserve"> Estas fueron María José Pizarro, la Universidad del Bosque, la Red de Mujeres del Caribe, Luz María Múnera, Consultoría para los derechos humanos y el desplazamiento forzado, la Comisión Colombiana de Juristas, Ilex acción jurídica, Ana Isabel Arenas Saav</w:t>
      </w:r>
      <w:r w:rsidRPr="009D3FAE">
        <w:t>edra, Ángela María Robledo y otros, la Conferencia Nacional de Organizaciones Afrocolombianas, la Red de Mujeres Afrolatinoamericanas, Afrocaribeñas y de la Diáspora, Alexander López Maya, la Mesa Nacional del Cuidado del Movimiento de Cuidadores Familiare</w:t>
      </w:r>
      <w:r w:rsidRPr="009D3FAE">
        <w:t>s de Personas con Discapacidad y Dependencia Funcional de Colombia, la Corporación Casa de la Mujer, la Escuela Nacional Sindical, el Departamento Nacional de Planeación, el Consultorio Jurídico Mujeres de la Universidad de los Andes, el Departamento Admin</w:t>
      </w:r>
      <w:r w:rsidRPr="009D3FAE">
        <w:t>istrativo para la Prosperidad Social, el Ministerio de Justicia y del Derecho, Alirio Uribe, el Departamento Administrativo de la Presidencia de la República, el Departamento Administrativo para la Función Pública, el Ministerio de Hacienda y Crédito Públi</w:t>
      </w:r>
      <w:r w:rsidRPr="009D3FAE">
        <w:t>co y el Ministerio del Interior.</w:t>
      </w:r>
    </w:p>
  </w:footnote>
  <w:footnote w:id="76">
    <w:p w:rsidR="00E41171" w:rsidRPr="009D3FAE" w:rsidRDefault="003E425B" w:rsidP="00223823">
      <w:pPr>
        <w:pStyle w:val="Textonotapie"/>
      </w:pPr>
      <w:r w:rsidRPr="009D3FAE">
        <w:rPr>
          <w:rStyle w:val="Refdenotaalpie"/>
          <w:rFonts w:eastAsiaTheme="majorEastAsia"/>
        </w:rPr>
        <w:footnoteRef/>
      </w:r>
      <w:r w:rsidRPr="009D3FAE">
        <w:t xml:space="preserve"> Publicada en la Gaceta del Congreso 96 de 27 de febrero de 2023.</w:t>
      </w:r>
    </w:p>
  </w:footnote>
  <w:footnote w:id="77">
    <w:p w:rsidR="00E41171" w:rsidRPr="009D3FAE" w:rsidRDefault="003E425B" w:rsidP="00223823">
      <w:pPr>
        <w:pStyle w:val="Textonotapie"/>
      </w:pPr>
      <w:r w:rsidRPr="009D3FAE">
        <w:rPr>
          <w:rStyle w:val="Refdenotaalpie"/>
          <w:lang w:val="es-ES"/>
        </w:rPr>
        <w:footnoteRef/>
      </w:r>
      <w:r w:rsidRPr="009D3FAE">
        <w:t xml:space="preserve"> Algunos intervinientes citan la sentencia C-763 de 2002, otros la sentencia C-763 de 2022. </w:t>
      </w:r>
    </w:p>
  </w:footnote>
  <w:footnote w:id="78">
    <w:p w:rsidR="00E41171" w:rsidRPr="009D3FAE" w:rsidRDefault="003E425B" w:rsidP="00223823">
      <w:pPr>
        <w:pStyle w:val="Textonotapie"/>
      </w:pPr>
      <w:r w:rsidRPr="009D3FAE">
        <w:rPr>
          <w:rStyle w:val="Refdenotaalpie"/>
          <w:rFonts w:eastAsiaTheme="majorEastAsia"/>
          <w:lang w:val="es-ES"/>
        </w:rPr>
        <w:footnoteRef/>
      </w:r>
      <w:r w:rsidRPr="009D3FAE">
        <w:t xml:space="preserve"> Los intervinientes enuncian la sentencia C-092 de 2022.</w:t>
      </w:r>
    </w:p>
  </w:footnote>
  <w:footnote w:id="79">
    <w:p w:rsidR="00E41171" w:rsidRPr="009D3FAE" w:rsidRDefault="003E425B" w:rsidP="00223823">
      <w:pPr>
        <w:pStyle w:val="Textonotapie"/>
      </w:pPr>
      <w:r w:rsidRPr="009D3FAE">
        <w:rPr>
          <w:rStyle w:val="Refdenotaalpie"/>
          <w:rFonts w:eastAsiaTheme="majorEastAsia"/>
          <w:lang w:val="es-ES"/>
        </w:rPr>
        <w:footnoteRef/>
      </w:r>
      <w:r w:rsidRPr="009D3FAE">
        <w:t xml:space="preserve"> In</w:t>
      </w:r>
      <w:r w:rsidRPr="009D3FAE">
        <w:t>tervención de la Comisión Colombiana de Juristas.</w:t>
      </w:r>
    </w:p>
  </w:footnote>
  <w:footnote w:id="80">
    <w:p w:rsidR="00E41171" w:rsidRPr="009D3FAE" w:rsidRDefault="003E425B" w:rsidP="00223823">
      <w:pPr>
        <w:pStyle w:val="Textonotapie"/>
      </w:pPr>
      <w:r w:rsidRPr="009D3FAE">
        <w:rPr>
          <w:rStyle w:val="Refdenotaalpie"/>
          <w:rFonts w:eastAsiaTheme="majorEastAsia"/>
          <w:lang w:val="es-ES"/>
        </w:rPr>
        <w:footnoteRef/>
      </w:r>
      <w:r w:rsidRPr="009D3FAE">
        <w:t xml:space="preserve"> De acuerdo con la intervención del Ministerio de Interior, el 24 de noviembre de 2022 se realizó la sesión de las Comisiones Constitucionales Primeras Conjuntas. Luego de que no se aprobara la proposición</w:t>
      </w:r>
      <w:r w:rsidRPr="009D3FAE">
        <w:t xml:space="preserve"> de archivo del proyecto, la Secretaría indicó que se desintegró el quorum decisorio, por lo que se levantó la sesión y se convocó para el 28 de noviembre de 2022. El 28 de noviembre de 2022, se realizó la sesión de las Comisiones Constitucionales Primeras</w:t>
      </w:r>
      <w:r w:rsidRPr="009D3FAE">
        <w:t xml:space="preserve"> Conjuntas. En dicha sesión, las Secretarías del Senado y la Cámara de Representantes constataron que existía quórum decisorio en cada una de las comisiones. A continuación, se votaron en bloque los artículos 1, 2, 7, 8, 9, 10, 14 y 15, los cuales fueron a</w:t>
      </w:r>
      <w:r w:rsidRPr="009D3FAE">
        <w:t>probados por 26 representantes, de los 28 presentes y 15 de los 16 senadores presentes. Luego, se votaron de forma individual los artículos 11 (12 de la Ley), 3, 4, 12, 13, 5 y el título, en ese orden. Cada una de las anteriores votaciones fue aprobada por</w:t>
      </w:r>
      <w:r w:rsidRPr="009D3FAE">
        <w:t xml:space="preserve"> mayoría absoluta, aun cuando solo el artículo 11 del proyecto (12 de la ley) lo requería. Así las cosas, contrario a lo manifestado por los demandantes, el proyecto de ley fue aprobado por mayoría absoluta, en dos sesiones.</w:t>
      </w:r>
    </w:p>
  </w:footnote>
  <w:footnote w:id="81">
    <w:p w:rsidR="00E41171" w:rsidRPr="009D3FAE" w:rsidRDefault="003E425B" w:rsidP="00223823">
      <w:pPr>
        <w:pStyle w:val="Textonotapie"/>
      </w:pPr>
      <w:r w:rsidRPr="009D3FAE">
        <w:rPr>
          <w:rStyle w:val="Refdenotaalpie"/>
        </w:rPr>
        <w:footnoteRef/>
      </w:r>
      <w:r w:rsidRPr="009D3FAE">
        <w:t xml:space="preserve"> “Por medio de la cual se crea</w:t>
      </w:r>
      <w:r w:rsidRPr="009D3FAE">
        <w:t xml:space="preserve"> el Ministerio de Igualdad y Equidad y se dictan otras disposiciones”.</w:t>
      </w:r>
    </w:p>
  </w:footnote>
  <w:footnote w:id="82">
    <w:p w:rsidR="00E41171" w:rsidRPr="009D3FAE" w:rsidRDefault="003E425B" w:rsidP="00223823">
      <w:pPr>
        <w:pStyle w:val="Textonotapie"/>
      </w:pPr>
      <w:r w:rsidRPr="009D3FAE">
        <w:rPr>
          <w:rStyle w:val="Refdenotaalpie"/>
        </w:rPr>
        <w:footnoteRef/>
      </w:r>
      <w:r w:rsidRPr="009D3FAE">
        <w:t xml:space="preserve"> Énfasis añadido. </w:t>
      </w:r>
    </w:p>
  </w:footnote>
  <w:footnote w:id="83">
    <w:p w:rsidR="00E41171" w:rsidRPr="009D3FAE" w:rsidRDefault="003E425B" w:rsidP="00223823">
      <w:pPr>
        <w:pStyle w:val="Textonotapie"/>
      </w:pPr>
      <w:r w:rsidRPr="009D3FAE">
        <w:rPr>
          <w:rStyle w:val="Refdenotaalpie"/>
        </w:rPr>
        <w:footnoteRef/>
      </w:r>
      <w:r w:rsidRPr="009D3FAE">
        <w:t xml:space="preserve"> </w:t>
      </w:r>
      <w:r w:rsidRPr="009D3FAE">
        <w:rPr>
          <w:lang w:val="es-ES_tradnl"/>
        </w:rPr>
        <w:t>Consejo de Estado, Sala Plena de lo Contencioso Administrativo, Sentencia del 1º de agosto de 2017, Radicación número: 11001-03-15-000-2014-00529-00(PI) Consejero</w:t>
      </w:r>
      <w:r w:rsidRPr="009D3FAE">
        <w:rPr>
          <w:lang w:val="es-ES_tradnl"/>
        </w:rPr>
        <w:t xml:space="preserve"> ponente: Danilo Rojas Betancourth. Ver también, Corte Constitucional, sentencias C- 816 de 2004, C-1040 de 2005, C-313 de 2014 y C-047 de 2017. </w:t>
      </w:r>
    </w:p>
  </w:footnote>
  <w:footnote w:id="84">
    <w:p w:rsidR="00E41171" w:rsidRPr="009D3FAE" w:rsidRDefault="003E425B" w:rsidP="00223823">
      <w:pPr>
        <w:pStyle w:val="Textonotapie"/>
      </w:pPr>
      <w:r w:rsidRPr="009D3FAE">
        <w:rPr>
          <w:rStyle w:val="Refdenotaalpie"/>
          <w:lang w:val="es-ES"/>
        </w:rPr>
        <w:footnoteRef/>
      </w:r>
      <w:r w:rsidRPr="009D3FAE">
        <w:t xml:space="preserve"> Corte Constitucional, sentencias</w:t>
      </w:r>
      <w:r w:rsidRPr="009D3FAE">
        <w:rPr>
          <w:color w:val="2D2D2D"/>
          <w:shd w:val="clear" w:color="auto" w:fill="FFFFFF"/>
          <w:lang w:val="es-ES_tradnl" w:eastAsia="es-ES_tradnl"/>
        </w:rPr>
        <w:t xml:space="preserve"> </w:t>
      </w:r>
      <w:r w:rsidRPr="009D3FAE">
        <w:rPr>
          <w:lang w:val="es-ES_tradnl"/>
        </w:rPr>
        <w:t>C- 816 de 2004,</w:t>
      </w:r>
      <w:r w:rsidRPr="009D3FAE">
        <w:t xml:space="preserve"> C</w:t>
      </w:r>
      <w:r w:rsidRPr="009D3FAE">
        <w:rPr>
          <w:lang w:val="es-ES_tradnl"/>
        </w:rPr>
        <w:t xml:space="preserve">-1040 de 2005, C-313 de 2014 y </w:t>
      </w:r>
      <w:r w:rsidRPr="009D3FAE">
        <w:t xml:space="preserve">C-047 de 2017. </w:t>
      </w:r>
    </w:p>
  </w:footnote>
  <w:footnote w:id="85">
    <w:p w:rsidR="00E41171" w:rsidRPr="009D3FAE" w:rsidRDefault="003E425B" w:rsidP="00223823">
      <w:pPr>
        <w:pStyle w:val="Textonotapie"/>
      </w:pPr>
      <w:r w:rsidRPr="009D3FAE">
        <w:rPr>
          <w:rStyle w:val="Refdenotaalpie"/>
          <w:lang w:val="es-ES"/>
        </w:rPr>
        <w:footnoteRef/>
      </w:r>
      <w:r w:rsidRPr="009D3FAE">
        <w:t xml:space="preserve"> Corte Con</w:t>
      </w:r>
      <w:r w:rsidRPr="009D3FAE">
        <w:t xml:space="preserve">stitucional, sentencia C-047 de 2017. Ver también, sentencias </w:t>
      </w:r>
      <w:r w:rsidRPr="009D3FAE">
        <w:rPr>
          <w:lang w:val="es-ES_tradnl"/>
        </w:rPr>
        <w:t>C-816 de 2004 y C-360 de 2016. En el mismo sentido, Consejo de Estado, Sala Plena de lo Contencioso Administrativo, Sentencia del 1º de agosto de 2017, Radicación número: 11001-03-15-000-2014-00</w:t>
      </w:r>
      <w:r w:rsidRPr="009D3FAE">
        <w:rPr>
          <w:lang w:val="es-ES_tradnl"/>
        </w:rPr>
        <w:t>529-00(PI) Consejero ponente: Danilo Rojas Betancourth.</w:t>
      </w:r>
    </w:p>
  </w:footnote>
  <w:footnote w:id="86">
    <w:p w:rsidR="00E41171" w:rsidRPr="009D3FAE" w:rsidRDefault="003E425B" w:rsidP="00223823">
      <w:pPr>
        <w:pStyle w:val="Textonotapie"/>
      </w:pPr>
      <w:r w:rsidRPr="009D3FAE">
        <w:rPr>
          <w:rStyle w:val="Refdenotaalpie"/>
          <w:lang w:val="es-ES"/>
        </w:rPr>
        <w:footnoteRef/>
      </w:r>
      <w:r w:rsidRPr="009D3FAE">
        <w:t xml:space="preserve"> Ib.</w:t>
      </w:r>
    </w:p>
  </w:footnote>
  <w:footnote w:id="87">
    <w:p w:rsidR="00E41171" w:rsidRPr="009D3FAE" w:rsidRDefault="003E425B" w:rsidP="00223823">
      <w:pPr>
        <w:pStyle w:val="Textonotapie"/>
        <w:ind w:right="-323"/>
      </w:pPr>
      <w:r w:rsidRPr="009D3FAE">
        <w:rPr>
          <w:rStyle w:val="Refdenotaalpie"/>
          <w:lang w:val="es-ES"/>
        </w:rPr>
        <w:footnoteRef/>
      </w:r>
      <w:r w:rsidRPr="009D3FAE">
        <w:t xml:space="preserve"> En el mismo sentido, ver, entre otras, las sentencias C-760 de 200 y C-551 de 2003.</w:t>
      </w:r>
    </w:p>
  </w:footnote>
  <w:footnote w:id="88">
    <w:p w:rsidR="00E41171" w:rsidRPr="009D3FAE" w:rsidRDefault="003E425B" w:rsidP="00223823">
      <w:pPr>
        <w:pStyle w:val="Textonotapie"/>
      </w:pPr>
      <w:r w:rsidRPr="009D3FAE">
        <w:rPr>
          <w:rStyle w:val="Refdenotaalpie"/>
          <w:lang w:val="es-ES"/>
        </w:rPr>
        <w:footnoteRef/>
      </w:r>
      <w:r w:rsidRPr="009D3FAE">
        <w:t xml:space="preserve"> Corte Constitucional, sentencia C-816 de 2004 y C-313 de 2014. </w:t>
      </w:r>
    </w:p>
  </w:footnote>
  <w:footnote w:id="89">
    <w:p w:rsidR="00E41171" w:rsidRPr="009D3FAE" w:rsidRDefault="003E425B" w:rsidP="00223823">
      <w:pPr>
        <w:pStyle w:val="Textonotapie"/>
      </w:pPr>
      <w:r w:rsidRPr="009D3FAE">
        <w:rPr>
          <w:rStyle w:val="Refdenotaalpie"/>
          <w:rFonts w:eastAsiaTheme="majorEastAsia"/>
          <w:lang w:val="es-ES"/>
        </w:rPr>
        <w:footnoteRef/>
      </w:r>
      <w:r w:rsidRPr="009D3FAE">
        <w:t xml:space="preserve"> Así ocurrió en los casos analizados en l</w:t>
      </w:r>
      <w:r w:rsidRPr="009D3FAE">
        <w:t>as sentencias C-674 de 2017 y C-089 de 2022, en los que las comisiones debatieron y votaron no solo la proposición negativa, sino la positiva del informe de ponencia.</w:t>
      </w:r>
    </w:p>
  </w:footnote>
  <w:footnote w:id="90">
    <w:p w:rsidR="00E41171" w:rsidRPr="009D3FAE" w:rsidRDefault="003E425B" w:rsidP="00223823">
      <w:pPr>
        <w:pStyle w:val="Textonotapie"/>
      </w:pPr>
      <w:r w:rsidRPr="009D3FAE">
        <w:rPr>
          <w:rStyle w:val="Refdenotaalpie"/>
        </w:rPr>
        <w:footnoteRef/>
      </w:r>
      <w:r w:rsidRPr="009D3FAE">
        <w:t xml:space="preserve"> Corte Constitucional, sentencias C-1041 de 2005 y C-816 de 2004. </w:t>
      </w:r>
    </w:p>
  </w:footnote>
  <w:footnote w:id="91">
    <w:p w:rsidR="00E41171" w:rsidRPr="009D3FAE" w:rsidRDefault="003E425B" w:rsidP="00223823">
      <w:pPr>
        <w:pStyle w:val="Textonotapie"/>
      </w:pPr>
      <w:r w:rsidRPr="009D3FAE">
        <w:rPr>
          <w:rStyle w:val="Refdenotaalpie"/>
          <w:lang w:val="es-ES"/>
        </w:rPr>
        <w:footnoteRef/>
      </w:r>
      <w:r w:rsidRPr="009D3FAE">
        <w:t xml:space="preserve"> Corte Constituciona</w:t>
      </w:r>
      <w:r w:rsidRPr="009D3FAE">
        <w:t xml:space="preserve">l, sentencia C-816 de 2004. </w:t>
      </w:r>
    </w:p>
  </w:footnote>
  <w:footnote w:id="92">
    <w:p w:rsidR="00E41171" w:rsidRPr="009D3FAE" w:rsidRDefault="003E425B" w:rsidP="00223823">
      <w:pPr>
        <w:pStyle w:val="Textonotapie"/>
      </w:pPr>
      <w:r w:rsidRPr="009D3FAE">
        <w:rPr>
          <w:rStyle w:val="Refdenotaalpie"/>
          <w:lang w:val="es-ES"/>
        </w:rPr>
        <w:footnoteRef/>
      </w:r>
      <w:r w:rsidRPr="009D3FAE">
        <w:t xml:space="preserve"> Ib. </w:t>
      </w:r>
    </w:p>
  </w:footnote>
  <w:footnote w:id="93">
    <w:p w:rsidR="00E41171" w:rsidRPr="009D3FAE" w:rsidRDefault="003E425B" w:rsidP="00223823">
      <w:pPr>
        <w:pStyle w:val="Textonotapie"/>
      </w:pPr>
      <w:r w:rsidRPr="009D3FAE">
        <w:rPr>
          <w:rStyle w:val="Refdenotaalpie"/>
        </w:rPr>
        <w:footnoteRef/>
      </w:r>
      <w:r w:rsidRPr="009D3FAE">
        <w:t xml:space="preserve"> </w:t>
      </w:r>
      <w:r w:rsidRPr="009D3FAE">
        <w:rPr>
          <w:lang w:val="es-ES_tradnl"/>
        </w:rPr>
        <w:t>Ver también, Consejo de Estado, Sala Plena de lo Contencioso Administrativo, Sentencia del 1º de agosto de 2017, Radicación número: 11001-03-15-000-2014-00529-00(PI) Consejero ponente: Danilo Rojas Betancourth.</w:t>
      </w:r>
    </w:p>
  </w:footnote>
  <w:footnote w:id="94">
    <w:p w:rsidR="00E41171" w:rsidRPr="009D3FAE" w:rsidRDefault="003E425B">
      <w:pPr>
        <w:pStyle w:val="Textonotapie"/>
      </w:pPr>
      <w:r w:rsidRPr="009D3FAE">
        <w:rPr>
          <w:rStyle w:val="Refdenotaalpie"/>
        </w:rPr>
        <w:footnoteRef/>
      </w:r>
      <w:r w:rsidRPr="009D3FAE">
        <w:t xml:space="preserve"> Corte</w:t>
      </w:r>
      <w:r w:rsidRPr="009D3FAE">
        <w:t xml:space="preserve"> Constitucional, sentencia C-816 de 2004. Ver también, Corte Constitucional sentencias C-360 de 2016 y C-047 de 2017. </w:t>
      </w:r>
    </w:p>
  </w:footnote>
  <w:footnote w:id="95">
    <w:p w:rsidR="00E41171" w:rsidRPr="009D3FAE" w:rsidRDefault="003E425B">
      <w:pPr>
        <w:pStyle w:val="Textonotapie"/>
      </w:pPr>
      <w:r w:rsidRPr="009D3FAE">
        <w:rPr>
          <w:rStyle w:val="Refdenotaalpie"/>
        </w:rPr>
        <w:footnoteRef/>
      </w:r>
      <w:r w:rsidRPr="009D3FAE">
        <w:t xml:space="preserve"> Corte Constitucional, sentencia C-819 de 2004. Ver también, sentencia C-047 de 2017. </w:t>
      </w:r>
    </w:p>
  </w:footnote>
  <w:footnote w:id="96">
    <w:p w:rsidR="00E41171" w:rsidRPr="009D3FAE" w:rsidRDefault="003E425B">
      <w:pPr>
        <w:pStyle w:val="Textonotapie"/>
      </w:pPr>
      <w:r w:rsidRPr="009D3FAE">
        <w:rPr>
          <w:rStyle w:val="Refdenotaalpie"/>
        </w:rPr>
        <w:footnoteRef/>
      </w:r>
      <w:r w:rsidRPr="009D3FAE">
        <w:t xml:space="preserve"> Corte Constitucional, sentencia C-473 de 2004. </w:t>
      </w:r>
      <w:r w:rsidRPr="009D3FAE">
        <w:t xml:space="preserve">En el mismo sentido, ver sentencias C-816 de 2004, C-337 de 2015 y C-047 de 2017. </w:t>
      </w:r>
    </w:p>
  </w:footnote>
  <w:footnote w:id="97">
    <w:p w:rsidR="00E41171" w:rsidRPr="009D3FAE" w:rsidRDefault="003E425B" w:rsidP="00FB4130">
      <w:pPr>
        <w:pStyle w:val="Textonotapie"/>
      </w:pPr>
      <w:r w:rsidRPr="009D3FAE">
        <w:rPr>
          <w:rStyle w:val="Refdenotaalpie"/>
          <w:rFonts w:eastAsiaTheme="majorEastAsia"/>
          <w:lang w:val="es-ES"/>
        </w:rPr>
        <w:footnoteRef/>
      </w:r>
      <w:r w:rsidRPr="009D3FAE">
        <w:t xml:space="preserve"> Esta fue la regla aplicada en las sentencias C-080 de 2018, C-252 de 2019 y C-133 de 2022 en las que se constató que las Comisiones Constitucionales aprobaron la proposici</w:t>
      </w:r>
      <w:r w:rsidRPr="009D3FAE">
        <w:t xml:space="preserve">ón positiva del informe de ponencia para primer debate conforme a las exigencias de quorum y mayoría requeridas. </w:t>
      </w:r>
    </w:p>
  </w:footnote>
  <w:footnote w:id="98">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142 de la Constitución Política.</w:t>
      </w:r>
    </w:p>
  </w:footnote>
  <w:footnote w:id="99">
    <w:p w:rsidR="00E41171" w:rsidRPr="009D3FAE" w:rsidRDefault="003E425B" w:rsidP="00FB4130">
      <w:pPr>
        <w:pStyle w:val="Textonotapie"/>
      </w:pPr>
      <w:r w:rsidRPr="009D3FAE">
        <w:rPr>
          <w:rStyle w:val="Refdenotaalpie"/>
          <w:lang w:val="es-ES"/>
        </w:rPr>
        <w:footnoteRef/>
      </w:r>
      <w:r w:rsidRPr="009D3FAE">
        <w:t xml:space="preserve"> Corte Constitucional, sentencias C-620 de 2015, C-087 de 2016, C-047 de 2017 y C-020 de 2018.</w:t>
      </w:r>
    </w:p>
  </w:footnote>
  <w:footnote w:id="100">
    <w:p w:rsidR="00E41171" w:rsidRPr="009D3FAE" w:rsidRDefault="003E425B" w:rsidP="00FB4130">
      <w:pPr>
        <w:pStyle w:val="Textonotapie"/>
      </w:pPr>
      <w:r w:rsidRPr="009D3FAE">
        <w:rPr>
          <w:rStyle w:val="Refdenotaalpie"/>
          <w:lang w:val="es-ES"/>
        </w:rPr>
        <w:footnoteRef/>
      </w:r>
      <w:r w:rsidRPr="009D3FAE">
        <w:t xml:space="preserve"> </w:t>
      </w:r>
      <w:r w:rsidRPr="009D3FAE">
        <w:t>Corte Constitucional, sentencia C-337</w:t>
      </w:r>
      <w:r w:rsidRPr="009D3FAE">
        <w:rPr>
          <w:color w:val="auto"/>
          <w:lang w:val="es-ES_tradnl" w:eastAsia="es-ES_tradnl"/>
        </w:rPr>
        <w:t xml:space="preserve"> </w:t>
      </w:r>
      <w:r w:rsidRPr="009D3FAE">
        <w:rPr>
          <w:lang w:val="es-ES_tradnl"/>
        </w:rPr>
        <w:t>de 20</w:t>
      </w:r>
      <w:r w:rsidRPr="009D3FAE">
        <w:t xml:space="preserve">15, C-087 de 2016, C-106 de 2016 y </w:t>
      </w:r>
      <w:r w:rsidRPr="009D3FAE">
        <w:rPr>
          <w:lang w:val="es-ES_tradnl"/>
        </w:rPr>
        <w:t>C-047 de 2017</w:t>
      </w:r>
      <w:r w:rsidRPr="009D3FAE">
        <w:t xml:space="preserve">. </w:t>
      </w:r>
    </w:p>
  </w:footnote>
  <w:footnote w:id="101">
    <w:p w:rsidR="00E41171" w:rsidRPr="009D3FAE" w:rsidRDefault="003E425B" w:rsidP="00FB4130">
      <w:pPr>
        <w:pStyle w:val="Textonotapie"/>
      </w:pPr>
      <w:r w:rsidRPr="009D3FAE">
        <w:rPr>
          <w:rStyle w:val="Refdenotaalpie"/>
          <w:lang w:val="es-ES"/>
        </w:rPr>
        <w:footnoteRef/>
      </w:r>
      <w:r w:rsidRPr="009D3FAE">
        <w:t xml:space="preserve"> Ley 5º de 1992, art. 122. </w:t>
      </w:r>
    </w:p>
  </w:footnote>
  <w:footnote w:id="102">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128 de la Ley 5 de 1992.</w:t>
      </w:r>
    </w:p>
  </w:footnote>
  <w:footnote w:id="103">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130 de la Ley 5 de 1992. Inciso 2: “En toda votación pública, podrá emplearse cualquier procedimiento electrónico que acredite el sentido del voto de cada Congresista y el resultado de la votación; en caso de ausencia o falta de procedimientos el</w:t>
      </w:r>
      <w:r w:rsidRPr="009D3FAE">
        <w:t>ectrónicos, se llamará a lista y cada Congresista anunciará de manera verbal su voto sí o no”.</w:t>
      </w:r>
    </w:p>
  </w:footnote>
  <w:footnote w:id="104">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129 de la Ley 5 de 1992.</w:t>
      </w:r>
    </w:p>
  </w:footnote>
  <w:footnote w:id="105">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131 de la Ley 5 de 1992.</w:t>
      </w:r>
    </w:p>
  </w:footnote>
  <w:footnote w:id="106">
    <w:p w:rsidR="00E41171" w:rsidRPr="009D3FAE" w:rsidRDefault="003E425B" w:rsidP="00FB4130">
      <w:pPr>
        <w:pStyle w:val="Textonotapie"/>
      </w:pPr>
      <w:r w:rsidRPr="009D3FAE">
        <w:rPr>
          <w:rStyle w:val="Refdenotaalpie"/>
          <w:lang w:val="es-ES"/>
        </w:rPr>
        <w:footnoteRef/>
      </w:r>
      <w:r w:rsidRPr="009D3FAE">
        <w:t xml:space="preserve"> </w:t>
      </w:r>
      <w:r w:rsidRPr="009D3FAE">
        <w:rPr>
          <w:lang w:val="es-ES_tradnl"/>
        </w:rPr>
        <w:t xml:space="preserve">Artículo 130 de la Ley 5 de 1992. </w:t>
      </w:r>
      <w:r w:rsidRPr="009D3FAE">
        <w:t>Corte Constitucional, sentencias C-106 de 2016, C-047</w:t>
      </w:r>
      <w:r w:rsidRPr="009D3FAE">
        <w:t xml:space="preserve"> de 2017 y C-032 de 2021.</w:t>
      </w:r>
    </w:p>
  </w:footnote>
  <w:footnote w:id="107">
    <w:p w:rsidR="00E41171" w:rsidRPr="009D3FAE" w:rsidRDefault="003E425B" w:rsidP="00FB4130">
      <w:pPr>
        <w:pStyle w:val="Textonotapie"/>
      </w:pPr>
      <w:r w:rsidRPr="009D3FAE">
        <w:rPr>
          <w:rStyle w:val="Refdenotaalpie"/>
          <w:lang w:val="es-ES"/>
        </w:rPr>
        <w:footnoteRef/>
      </w:r>
      <w:r w:rsidRPr="009D3FAE">
        <w:t xml:space="preserve"> Corte Constitucional, sentencia C-337 de 2015. </w:t>
      </w:r>
    </w:p>
  </w:footnote>
  <w:footnote w:id="108">
    <w:p w:rsidR="00E41171" w:rsidRPr="009D3FAE" w:rsidRDefault="003E425B" w:rsidP="00FB4130">
      <w:pPr>
        <w:pStyle w:val="Textonotapie"/>
      </w:pPr>
      <w:r w:rsidRPr="009D3FAE">
        <w:rPr>
          <w:rStyle w:val="Refdenotaalpie"/>
          <w:lang w:val="es-ES"/>
        </w:rPr>
        <w:footnoteRef/>
      </w:r>
      <w:r w:rsidRPr="009D3FAE">
        <w:t xml:space="preserve"> Corte Constitucional, sentencias C-337 de 2015 y C-047 de 2017. </w:t>
      </w:r>
    </w:p>
  </w:footnote>
  <w:footnote w:id="109">
    <w:p w:rsidR="00E41171" w:rsidRPr="009D3FAE" w:rsidRDefault="003E425B" w:rsidP="00FB4130">
      <w:pPr>
        <w:pStyle w:val="Textonotapie"/>
      </w:pPr>
      <w:r w:rsidRPr="009D3FAE">
        <w:rPr>
          <w:rStyle w:val="Refdenotaalpie"/>
          <w:lang w:val="es-ES"/>
        </w:rPr>
        <w:footnoteRef/>
      </w:r>
      <w:r w:rsidRPr="009D3FAE">
        <w:t xml:space="preserve"> Corte Constitucional, Auto 175 de 2015. Ver también, sentencia C-106 de 2016. </w:t>
      </w:r>
    </w:p>
  </w:footnote>
  <w:footnote w:id="110">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 C-047 de 2017.</w:t>
      </w:r>
    </w:p>
  </w:footnote>
  <w:footnote w:id="111">
    <w:p w:rsidR="00E41171" w:rsidRPr="009D3FAE" w:rsidRDefault="003E425B" w:rsidP="00FB4130">
      <w:pPr>
        <w:pStyle w:val="Textonotapie"/>
      </w:pPr>
      <w:r w:rsidRPr="009D3FAE">
        <w:rPr>
          <w:rStyle w:val="Refdenotaalpie"/>
          <w:lang w:val="es-ES"/>
        </w:rPr>
        <w:footnoteRef/>
      </w:r>
      <w:r w:rsidRPr="009D3FAE">
        <w:t xml:space="preserve"> Ib. </w:t>
      </w:r>
    </w:p>
  </w:footnote>
  <w:footnote w:id="112">
    <w:p w:rsidR="00E41171" w:rsidRPr="009D3FAE" w:rsidRDefault="003E425B" w:rsidP="00FB4130">
      <w:pPr>
        <w:pStyle w:val="Textonotapie"/>
      </w:pPr>
      <w:r w:rsidRPr="009D3FAE">
        <w:rPr>
          <w:rStyle w:val="Refdenotaalpie"/>
        </w:rPr>
        <w:footnoteRef/>
      </w:r>
      <w:r w:rsidRPr="009D3FAE">
        <w:t xml:space="preserve"> Corte Constitucional, auto 175 de 2015. </w:t>
      </w:r>
    </w:p>
  </w:footnote>
  <w:footnote w:id="113">
    <w:p w:rsidR="00E41171" w:rsidRPr="009D3FAE" w:rsidRDefault="003E425B" w:rsidP="00FB4130">
      <w:pPr>
        <w:pStyle w:val="Textonotapie"/>
      </w:pPr>
      <w:r w:rsidRPr="009D3FAE">
        <w:rPr>
          <w:rStyle w:val="Refdenotaalpie"/>
          <w:lang w:val="es-ES"/>
        </w:rPr>
        <w:footnoteRef/>
      </w:r>
      <w:r w:rsidRPr="009D3FAE">
        <w:t xml:space="preserve"> </w:t>
      </w:r>
      <w:r w:rsidRPr="009D3FAE">
        <w:rPr>
          <w:lang w:val="es-ES_tradnl"/>
        </w:rPr>
        <w:t>Corte Constitucional, sentencias C-295 de 2012, C-274 de 2013, C-337 de 2015 y C-047 de 2017</w:t>
      </w:r>
    </w:p>
  </w:footnote>
  <w:footnote w:id="114">
    <w:p w:rsidR="00E41171" w:rsidRPr="009D3FAE" w:rsidRDefault="003E425B" w:rsidP="00FB4130">
      <w:pPr>
        <w:rPr>
          <w:sz w:val="20"/>
          <w:szCs w:val="20"/>
        </w:rPr>
      </w:pPr>
      <w:r w:rsidRPr="009D3FAE">
        <w:rPr>
          <w:rStyle w:val="Refdenotaalpie"/>
          <w:rFonts w:eastAsiaTheme="majorEastAsia"/>
          <w:sz w:val="20"/>
          <w:szCs w:val="20"/>
          <w:lang w:val="es-ES_tradnl"/>
        </w:rPr>
        <w:footnoteRef/>
      </w:r>
      <w:r w:rsidRPr="009D3FAE">
        <w:rPr>
          <w:sz w:val="20"/>
          <w:szCs w:val="20"/>
        </w:rPr>
        <w:t xml:space="preserve"> Corte Constitucional, sentencias C-295 de 2012, C-274 de 2013</w:t>
      </w:r>
      <w:r w:rsidRPr="009D3FAE">
        <w:rPr>
          <w:sz w:val="20"/>
          <w:szCs w:val="20"/>
        </w:rPr>
        <w:t xml:space="preserve"> y C-047 de 2017.</w:t>
      </w:r>
    </w:p>
  </w:footnote>
  <w:footnote w:id="115">
    <w:p w:rsidR="00E41171" w:rsidRPr="009D3FAE" w:rsidRDefault="003E425B" w:rsidP="00FB4130">
      <w:pPr>
        <w:pStyle w:val="Textonotapie"/>
      </w:pPr>
      <w:r w:rsidRPr="009D3FAE">
        <w:rPr>
          <w:rStyle w:val="Refdenotaalpie"/>
          <w:lang w:val="es-ES"/>
        </w:rPr>
        <w:footnoteRef/>
      </w:r>
      <w:r w:rsidRPr="009D3FAE">
        <w:t xml:space="preserve"> Ib. </w:t>
      </w:r>
    </w:p>
  </w:footnote>
  <w:footnote w:id="116">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sentencias C-221 de 2013, C-750 de 2013 y C-047 de 2017.</w:t>
      </w:r>
    </w:p>
  </w:footnote>
  <w:footnote w:id="117">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sentencias C-221 de 2013, C-750 de 2013 y C-047 de 2017.</w:t>
      </w:r>
    </w:p>
  </w:footnote>
  <w:footnote w:id="118">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 C-047 de 2017.</w:t>
      </w:r>
    </w:p>
  </w:footnote>
  <w:footnote w:id="119">
    <w:p w:rsidR="00E41171" w:rsidRPr="009D3FAE" w:rsidRDefault="003E425B" w:rsidP="00FB4130">
      <w:pPr>
        <w:pStyle w:val="Textonotapie"/>
      </w:pPr>
      <w:r w:rsidRPr="009D3FAE">
        <w:rPr>
          <w:rStyle w:val="Refdenotaalpie"/>
        </w:rPr>
        <w:footnoteRef/>
      </w:r>
      <w:r w:rsidRPr="009D3FAE">
        <w:t xml:space="preserve"> Ib. </w:t>
      </w:r>
    </w:p>
  </w:footnote>
  <w:footnote w:id="120">
    <w:p w:rsidR="00E41171" w:rsidRPr="009D3FAE" w:rsidRDefault="003E425B" w:rsidP="00FB4130">
      <w:pPr>
        <w:pStyle w:val="Textonotapie"/>
      </w:pPr>
      <w:r w:rsidRPr="009D3FAE">
        <w:rPr>
          <w:rStyle w:val="Refdenotaalpie"/>
          <w:lang w:val="es-ES"/>
        </w:rPr>
        <w:footnoteRef/>
      </w:r>
      <w:r w:rsidRPr="009D3FAE">
        <w:t xml:space="preserve"> Conforme a </w:t>
      </w:r>
      <w:r w:rsidRPr="009D3FAE">
        <w:t>la sentencia SU-221 de 2015 “ante la imposibilidad de un acuerdo absoluto (…) el principio de la mayoría opera entonces como una especie de consenso imperfecto, (…) parte de una legitimidad de las decisiones que se soporta en la idea de que en el proceso d</w:t>
      </w:r>
      <w:r w:rsidRPr="009D3FAE">
        <w:t xml:space="preserve">e votación, la situación aprobada recibió más apoyo que rechazo”. </w:t>
      </w:r>
    </w:p>
  </w:footnote>
  <w:footnote w:id="121">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117 de la Ley 5 de 1992.</w:t>
      </w:r>
    </w:p>
  </w:footnote>
  <w:footnote w:id="122">
    <w:p w:rsidR="00E41171" w:rsidRPr="009D3FAE" w:rsidRDefault="003E425B" w:rsidP="00FB4130">
      <w:pPr>
        <w:pStyle w:val="Textonotapie"/>
      </w:pPr>
      <w:r w:rsidRPr="009D3FAE">
        <w:rPr>
          <w:rStyle w:val="Refdenotaalpie"/>
        </w:rPr>
        <w:footnoteRef/>
      </w:r>
      <w:r w:rsidRPr="009D3FAE">
        <w:t xml:space="preserve"> Artículo 117.1 de la ley 5ª de 1992. </w:t>
      </w:r>
    </w:p>
  </w:footnote>
  <w:footnote w:id="123">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146 de la Constitución Política.</w:t>
      </w:r>
    </w:p>
  </w:footnote>
  <w:footnote w:id="124">
    <w:p w:rsidR="00E41171" w:rsidRPr="009D3FAE" w:rsidRDefault="003E425B" w:rsidP="00FB4130">
      <w:pPr>
        <w:pStyle w:val="Textonotapie"/>
      </w:pPr>
      <w:r w:rsidRPr="009D3FAE">
        <w:rPr>
          <w:rStyle w:val="Refdenotaalpie"/>
          <w:rFonts w:eastAsiaTheme="majorEastAsia"/>
          <w:lang w:val="es-ES"/>
        </w:rPr>
        <w:footnoteRef/>
      </w:r>
      <w:r w:rsidRPr="009D3FAE">
        <w:t xml:space="preserve"> Artículo 117.2 de la Ley 5 de 1992. Corte Constitucional, sentencia</w:t>
      </w:r>
      <w:r w:rsidRPr="009D3FAE">
        <w:t xml:space="preserve"> C-784 de 2014.</w:t>
      </w:r>
    </w:p>
  </w:footnote>
  <w:footnote w:id="125">
    <w:p w:rsidR="00E41171" w:rsidRPr="009D3FAE" w:rsidRDefault="003E425B" w:rsidP="00FB4130">
      <w:pPr>
        <w:pStyle w:val="Textonotapie"/>
      </w:pPr>
      <w:r w:rsidRPr="009D3FAE">
        <w:rPr>
          <w:rStyle w:val="Refdenotaalpie"/>
          <w:rFonts w:eastAsiaTheme="majorEastAsia"/>
          <w:lang w:val="es-ES"/>
        </w:rPr>
        <w:footnoteRef/>
      </w:r>
      <w:r w:rsidRPr="009D3FAE">
        <w:t xml:space="preserve"> Las decisiones se toman por los dos tercios de los votos de los asistentes o de los miembros. Artículo 117.3 de la Ley 5 de 1992.</w:t>
      </w:r>
    </w:p>
  </w:footnote>
  <w:footnote w:id="126">
    <w:p w:rsidR="00E41171" w:rsidRPr="009D3FAE" w:rsidRDefault="003E425B" w:rsidP="00FB4130">
      <w:pPr>
        <w:pStyle w:val="Textonotapie"/>
      </w:pPr>
      <w:r w:rsidRPr="009D3FAE">
        <w:rPr>
          <w:rStyle w:val="Refdenotaalpie"/>
          <w:rFonts w:eastAsiaTheme="majorEastAsia"/>
          <w:lang w:val="es-ES"/>
        </w:rPr>
        <w:footnoteRef/>
      </w:r>
      <w:r w:rsidRPr="009D3FAE">
        <w:t xml:space="preserve"> Representada por las tres cuartas partes de los votos de los miembros o integrantes. Artículo 117.4 de la </w:t>
      </w:r>
      <w:r w:rsidRPr="009D3FAE">
        <w:t>Ley 5 de 1992.</w:t>
      </w:r>
    </w:p>
  </w:footnote>
  <w:footnote w:id="127">
    <w:p w:rsidR="00E41171" w:rsidRPr="009D3FAE" w:rsidRDefault="003E425B" w:rsidP="00FB4130">
      <w:pPr>
        <w:pStyle w:val="Textonotapie"/>
      </w:pPr>
      <w:r w:rsidRPr="009D3FAE">
        <w:rPr>
          <w:rStyle w:val="Refdenotaalpie"/>
          <w:rFonts w:eastAsiaTheme="majorEastAsia"/>
          <w:lang w:val="es-ES"/>
        </w:rPr>
        <w:footnoteRef/>
      </w:r>
      <w:r w:rsidRPr="009D3FAE">
        <w:t xml:space="preserve"> Por la cual se expide el Reglamento del Congreso; el Senado y la Cámara de Representantes.</w:t>
      </w:r>
    </w:p>
  </w:footnote>
  <w:footnote w:id="128">
    <w:p w:rsidR="00E41171" w:rsidRPr="009D3FAE" w:rsidRDefault="003E425B" w:rsidP="00FB4130">
      <w:pPr>
        <w:pStyle w:val="Textonotapie"/>
      </w:pPr>
      <w:r w:rsidRPr="009D3FAE">
        <w:rPr>
          <w:rStyle w:val="Refdenotaalpie"/>
          <w:rFonts w:eastAsiaTheme="majorEastAsia"/>
          <w:lang w:val="es-ES"/>
        </w:rPr>
        <w:footnoteRef/>
      </w:r>
      <w:r w:rsidRPr="009D3FAE">
        <w:t xml:space="preserve"> La exigencia de una mayoría especial para estos casos se justifica en la medida en que el Congreso de la República se despoja de su competencia constitucional fundamental. Corte Constitucional, sentencia C-503 de 2001.</w:t>
      </w:r>
    </w:p>
  </w:footnote>
  <w:footnote w:id="129">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sentencias C</w:t>
      </w:r>
      <w:r w:rsidRPr="009D3FAE">
        <w:t>-1040 de 2005, C-337 de 2015 y C-047 de 2017, entre otras.</w:t>
      </w:r>
    </w:p>
  </w:footnote>
  <w:footnote w:id="130">
    <w:p w:rsidR="00E41171" w:rsidRPr="009D3FAE" w:rsidRDefault="003E425B" w:rsidP="00FB4130">
      <w:pPr>
        <w:pStyle w:val="Textonotapie"/>
      </w:pPr>
      <w:r w:rsidRPr="009D3FAE">
        <w:rPr>
          <w:rStyle w:val="Refdenotaalpie"/>
          <w:rFonts w:eastAsiaTheme="majorEastAsia"/>
          <w:lang w:val="es-ES"/>
        </w:rPr>
        <w:footnoteRef/>
      </w:r>
      <w:r w:rsidRPr="009D3FAE">
        <w:t xml:space="preserve"> Ib.</w:t>
      </w:r>
    </w:p>
  </w:footnote>
  <w:footnote w:id="131">
    <w:p w:rsidR="00E41171" w:rsidRPr="009D3FAE" w:rsidRDefault="003E425B" w:rsidP="00FB4130">
      <w:pPr>
        <w:pStyle w:val="Textonotapie"/>
      </w:pPr>
      <w:r w:rsidRPr="009D3FAE">
        <w:rPr>
          <w:rStyle w:val="Refdenotaalpie"/>
        </w:rPr>
        <w:footnoteRef/>
      </w:r>
      <w:r w:rsidRPr="009D3FAE">
        <w:t xml:space="preserve"> Corte Constitucional, Auto 075 de 2015. </w:t>
      </w:r>
    </w:p>
  </w:footnote>
  <w:footnote w:id="132">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sentencias C-274 de 2013, C-337 de 2015, C-032 de 2021 y auto 118 de 2013. En el auto 118 de 2013 la Sala Plena indicó que “</w:t>
      </w:r>
      <w:r w:rsidRPr="009D3FAE">
        <w:t>no es posible desconocer los preceptos orgánicos que revisten carácter oficial a lo consignado en el acta de la sesión, publicada en la Gaceta del Congreso.  Esto a partir del mandato contenido en el artículo 35 de la Ley 5 de 1992, el cual determina la ob</w:t>
      </w:r>
      <w:r w:rsidRPr="009D3FAE">
        <w:t>ligación de levantar dicha acta y su posterior aprobación por las comisiones y plenarias correspondientes. Por tanto, la utilización de los diferentes medios de prueba está unívocamente dirigida a acreditar asuntos confusos o ambivalentes de la información</w:t>
      </w:r>
      <w:r w:rsidRPr="009D3FAE">
        <w:t xml:space="preserve"> contenida en el acta, más a no permitir su irregular complementación o adición”. </w:t>
      </w:r>
    </w:p>
  </w:footnote>
  <w:footnote w:id="133">
    <w:p w:rsidR="00E41171" w:rsidRPr="009D3FAE" w:rsidRDefault="003E425B" w:rsidP="00FB4130">
      <w:pPr>
        <w:pStyle w:val="Textonotapie"/>
      </w:pPr>
      <w:r w:rsidRPr="009D3FAE">
        <w:rPr>
          <w:rStyle w:val="Refdenotaalpie"/>
        </w:rPr>
        <w:footnoteRef/>
      </w:r>
      <w:r w:rsidRPr="009D3FAE">
        <w:t xml:space="preserve"> </w:t>
      </w:r>
      <w:r w:rsidRPr="009D3FAE">
        <w:rPr>
          <w:iCs/>
        </w:rPr>
        <w:t>El artículo 35 de la Ley 5ª de 1992 dispone que, d</w:t>
      </w:r>
      <w:r w:rsidRPr="009D3FAE">
        <w:rPr>
          <w:iCs/>
          <w:lang w:val="es-ES_tradnl"/>
        </w:rPr>
        <w:t>e las sesiones de las plenarias y sus comisiones permanentes, “se levantarán actas que contendrán una relación sucinta de</w:t>
      </w:r>
      <w:r w:rsidRPr="009D3FAE">
        <w:rPr>
          <w:iCs/>
          <w:lang w:val="es-ES_tradnl"/>
        </w:rPr>
        <w:t xml:space="preserve"> los temas debatidos, las personas que han intervenido, los mensajes leídos, las proposiciones presentadas, las comisiones designadas, y las decisiones adoptadas”.</w:t>
      </w:r>
      <w:r w:rsidRPr="009D3FAE">
        <w:t xml:space="preserve"> </w:t>
      </w:r>
      <w:r w:rsidRPr="009D3FAE">
        <w:rPr>
          <w:iCs/>
          <w:lang w:val="es-ES_tradnl"/>
        </w:rPr>
        <w:t>Asimismo, prevé que en, cada sesión, se someterá a discusión y aprobación el acta de la sesi</w:t>
      </w:r>
      <w:r w:rsidRPr="009D3FAE">
        <w:rPr>
          <w:iCs/>
          <w:lang w:val="es-ES_tradnl"/>
        </w:rPr>
        <w:t>ón anterior. Conforme al inciso 5 del artículo 130 de la Ley 5ª de 1992, el acta debe ser publicada en la Gaceta del Congreso, que es el “medio oficial escrito de publicidad de sus actos”.</w:t>
      </w:r>
    </w:p>
  </w:footnote>
  <w:footnote w:id="134">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sentencias C-274 de 2013, C-337 de 2015, C-</w:t>
      </w:r>
      <w:r w:rsidRPr="009D3FAE">
        <w:t>032 de 2021 y auto 118 de 2013. En el auto 118 de 2013 la Sala Plena indicó que “no es posible desconocer los preceptos orgánicos que revisten carácter oficial a lo consignado en el acta de la sesión, publicada en la Gaceta del Congreso.  Esto a partir del</w:t>
      </w:r>
      <w:r w:rsidRPr="009D3FAE">
        <w:t xml:space="preserve"> mandato contenido en el artículo 35 de la Ley 5 de 1992, el cual determina la obligación de levantar dicha acta y su posterior aprobación por las comisiones y plenarias correspondientes. Por tanto, la utilización de los diferentes medios de prueba está un</w:t>
      </w:r>
      <w:r w:rsidRPr="009D3FAE">
        <w:t xml:space="preserve">ívocamente dirigida a acreditar asuntos confusos o ambivalentes de la información contenida en el acta, más a no permitir su irregular complementación o adición”. </w:t>
      </w:r>
    </w:p>
  </w:footnote>
  <w:footnote w:id="135">
    <w:p w:rsidR="00E41171" w:rsidRPr="009D3FAE" w:rsidRDefault="003E425B" w:rsidP="00FB4130">
      <w:pPr>
        <w:pStyle w:val="Textonotapie"/>
      </w:pPr>
      <w:r w:rsidRPr="009D3FAE">
        <w:rPr>
          <w:rStyle w:val="Refdenotaalpie"/>
        </w:rPr>
        <w:footnoteRef/>
      </w:r>
      <w:r w:rsidRPr="009D3FAE">
        <w:t xml:space="preserve"> </w:t>
      </w:r>
      <w:r w:rsidRPr="009D3FAE">
        <w:rPr>
          <w:iCs/>
        </w:rPr>
        <w:t>E</w:t>
      </w:r>
      <w:r w:rsidRPr="009D3FAE">
        <w:rPr>
          <w:iCs/>
          <w:lang w:val="es-ES_tradnl"/>
        </w:rPr>
        <w:t>l artículo 47 de la Ley 5ª de 1993 dispone que es función del Secretario General del Cong</w:t>
      </w:r>
      <w:r w:rsidRPr="009D3FAE">
        <w:rPr>
          <w:iCs/>
          <w:lang w:val="es-ES_tradnl"/>
        </w:rPr>
        <w:t xml:space="preserve">reso </w:t>
      </w:r>
      <w:r w:rsidRPr="009D3FAE">
        <w:rPr>
          <w:i/>
          <w:iCs/>
          <w:lang w:val="es-ES_tradnl"/>
        </w:rPr>
        <w:t xml:space="preserve">(i) </w:t>
      </w:r>
      <w:r w:rsidRPr="009D3FAE">
        <w:rPr>
          <w:iCs/>
          <w:lang w:val="es-ES_tradnl"/>
        </w:rPr>
        <w:t xml:space="preserve">llevar y firmar las actas e </w:t>
      </w:r>
      <w:r w:rsidRPr="009D3FAE">
        <w:rPr>
          <w:i/>
          <w:iCs/>
          <w:lang w:val="es-ES_tradnl"/>
        </w:rPr>
        <w:t>(ii)</w:t>
      </w:r>
      <w:r w:rsidRPr="009D3FAE">
        <w:rPr>
          <w:iCs/>
          <w:lang w:val="es-ES_tradnl"/>
        </w:rPr>
        <w:t xml:space="preserve"> informar y emitir las certificaciones sobre los resultados de toda clase de votación que se cumpla en la corporación. En tales términos, la Corte Constitucional ha enfatizado que </w:t>
      </w:r>
      <w:r w:rsidRPr="009D3FAE">
        <w:rPr>
          <w:lang w:val="es-ES_tradnl"/>
        </w:rPr>
        <w:t>corresponde a los secretarios de la</w:t>
      </w:r>
      <w:r w:rsidRPr="009D3FAE">
        <w:rPr>
          <w:lang w:val="es-ES_tradnl"/>
        </w:rPr>
        <w:t>s plenarias y comisiones “informar de manera fidedigna el resultado de las votaciones y expedir las certificaciones que demuestren que la aprobación cumplió con los requisitos constitucionales”.</w:t>
      </w:r>
      <w:r w:rsidRPr="009D3FAE">
        <w:t xml:space="preserve"> </w:t>
      </w:r>
      <w:r w:rsidRPr="009D3FAE">
        <w:rPr>
          <w:lang w:val="es-ES_tradnl"/>
        </w:rPr>
        <w:t>Corte Constitucional, sentencias C-307 de 2004 y C-337 de 201</w:t>
      </w:r>
      <w:r w:rsidRPr="009D3FAE">
        <w:rPr>
          <w:lang w:val="es-ES_tradnl"/>
        </w:rPr>
        <w:t>5.</w:t>
      </w:r>
    </w:p>
  </w:footnote>
  <w:footnote w:id="136">
    <w:p w:rsidR="00E41171" w:rsidRPr="009D3FAE" w:rsidRDefault="003E425B" w:rsidP="00FB4130">
      <w:pPr>
        <w:pStyle w:val="Textonotapie"/>
      </w:pPr>
      <w:r w:rsidRPr="009D3FAE">
        <w:rPr>
          <w:rStyle w:val="Refdenotaalpie"/>
        </w:rPr>
        <w:footnoteRef/>
      </w:r>
      <w:r w:rsidRPr="009D3FAE">
        <w:t xml:space="preserve"> Numeral 12 del artículo </w:t>
      </w:r>
      <w:r w:rsidRPr="009D3FAE">
        <w:rPr>
          <w:iCs/>
          <w:lang w:val="es-ES_tradnl"/>
        </w:rPr>
        <w:t>47 de la Ley 5ª de 1992.</w:t>
      </w:r>
      <w:r w:rsidRPr="009D3FAE">
        <w:t xml:space="preserve"> </w:t>
      </w:r>
      <w:r w:rsidRPr="009D3FAE">
        <w:rPr>
          <w:iCs/>
          <w:lang w:val="es-ES_tradnl"/>
        </w:rPr>
        <w:t>Corte Constitucional, sentencias C-307 de 2004 y C-337 de 2015.</w:t>
      </w:r>
    </w:p>
  </w:footnote>
  <w:footnote w:id="137">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auto 118 de 2013.</w:t>
      </w:r>
    </w:p>
  </w:footnote>
  <w:footnote w:id="138">
    <w:p w:rsidR="00E41171" w:rsidRPr="009D3FAE" w:rsidRDefault="003E425B" w:rsidP="00FB4130">
      <w:pPr>
        <w:pStyle w:val="Textonotapie"/>
      </w:pPr>
      <w:r w:rsidRPr="009D3FAE">
        <w:rPr>
          <w:rStyle w:val="Refdenotaalpie"/>
        </w:rPr>
        <w:footnoteRef/>
      </w:r>
      <w:r w:rsidRPr="009D3FAE">
        <w:t xml:space="preserve"> Corte Constitucional, auto 118 de 2013. </w:t>
      </w:r>
    </w:p>
  </w:footnote>
  <w:footnote w:id="139">
    <w:p w:rsidR="00E41171" w:rsidRPr="009D3FAE" w:rsidRDefault="003E425B" w:rsidP="00FB4130">
      <w:pPr>
        <w:pStyle w:val="Textonotapie"/>
      </w:pPr>
      <w:r w:rsidRPr="009D3FAE">
        <w:rPr>
          <w:rStyle w:val="Refdenotaalpie"/>
        </w:rPr>
        <w:footnoteRef/>
      </w:r>
      <w:r w:rsidRPr="009D3FAE">
        <w:t xml:space="preserve"> Corte Constitucional, auto 175 de 2015 y sentencia C-337 de 2015. </w:t>
      </w:r>
    </w:p>
  </w:footnote>
  <w:footnote w:id="140">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 C-337 de 2015. Ver también la sentencia C-047 de 2017 y el Auto 118 de 2013.</w:t>
      </w:r>
    </w:p>
  </w:footnote>
  <w:footnote w:id="141">
    <w:p w:rsidR="00E41171" w:rsidRPr="009D3FAE" w:rsidRDefault="003E425B" w:rsidP="00FB4130">
      <w:pPr>
        <w:pStyle w:val="Textonotapie"/>
      </w:pPr>
      <w:r w:rsidRPr="009D3FAE">
        <w:rPr>
          <w:rStyle w:val="Refdenotaalpie"/>
          <w:lang w:val="es-ES"/>
        </w:rPr>
        <w:footnoteRef/>
      </w:r>
      <w:r w:rsidRPr="009D3FAE">
        <w:t xml:space="preserve"> Corte Constitucional, auto 175 de 2015. Ver también, sentencia C-337 de 201</w:t>
      </w:r>
      <w:r w:rsidRPr="009D3FAE">
        <w:t xml:space="preserve">5. </w:t>
      </w:r>
    </w:p>
  </w:footnote>
  <w:footnote w:id="142">
    <w:p w:rsidR="00E41171" w:rsidRPr="009D3FAE" w:rsidRDefault="003E425B" w:rsidP="00FB4130">
      <w:pPr>
        <w:pStyle w:val="Textonotapie"/>
      </w:pPr>
      <w:r w:rsidRPr="009D3FAE">
        <w:rPr>
          <w:rStyle w:val="Refdenotaalpie"/>
        </w:rPr>
        <w:footnoteRef/>
      </w:r>
      <w:r w:rsidRPr="009D3FAE">
        <w:t xml:space="preserve"> Corte Constitucional, sentencia C-337 de 2015. Ver también, autos 118 de 2013 y 075 de 2015, así como la sentencia C-047 de 2017. </w:t>
      </w:r>
    </w:p>
  </w:footnote>
  <w:footnote w:id="143">
    <w:p w:rsidR="00E41171" w:rsidRPr="009D3FAE" w:rsidRDefault="003E425B">
      <w:pPr>
        <w:pStyle w:val="Textonotapie"/>
      </w:pPr>
      <w:r w:rsidRPr="009D3FAE">
        <w:rPr>
          <w:rStyle w:val="Refdenotaalpie"/>
        </w:rPr>
        <w:footnoteRef/>
      </w:r>
      <w:r w:rsidRPr="009D3FAE">
        <w:t xml:space="preserve"> Corte Constitucional, autos 118 de 2013 y 175 de 2015, así como las sentencias C-337 de 2015 y C-047 de 2017. </w:t>
      </w:r>
    </w:p>
  </w:footnote>
  <w:footnote w:id="144">
    <w:p w:rsidR="00E41171" w:rsidRPr="009D3FAE" w:rsidRDefault="003E425B">
      <w:pPr>
        <w:pStyle w:val="Textonotapie"/>
      </w:pPr>
      <w:r w:rsidRPr="009D3FAE">
        <w:rPr>
          <w:rStyle w:val="Refdenotaalpie"/>
        </w:rPr>
        <w:footnoteRef/>
      </w:r>
      <w:r w:rsidRPr="009D3FAE">
        <w:t xml:space="preserve"> Al r</w:t>
      </w:r>
      <w:r w:rsidRPr="009D3FAE">
        <w:t>especto, pueden consultarse, entre otros, los autos 118 de 2013 y 175 de 2015, así como las sentencias C-337 de 2015 y C-047 de 2017. La Sala aclara que estas decisiones examinaron casos en los que se cuestionaba la aprobación del informe de ponencia en la</w:t>
      </w:r>
      <w:r w:rsidRPr="009D3FAE">
        <w:t xml:space="preserve">s plenarias -no en las comisiones-. Esta es una diferencia relevante con el caso </w:t>
      </w:r>
      <w:r w:rsidRPr="009D3FAE">
        <w:rPr>
          <w:i/>
          <w:iCs/>
        </w:rPr>
        <w:t>sub examine</w:t>
      </w:r>
      <w:r w:rsidRPr="009D3FAE">
        <w:t xml:space="preserve">, habida cuenta de que, como se expuso, conforme a la Ley 5ª de 1992 la aprobación del informe de ponencia en no es una condición para que las comisiones debatan y </w:t>
      </w:r>
      <w:r w:rsidRPr="009D3FAE">
        <w:t>voten el articulado. En contraste, la aprobación del informe de ponencia en las plenarias sí es, por expresa disposición legal, un requisito que debe cumplirse antes de pasar al debate y votación del articulado. Con todo, la Sala considera que, desde el pu</w:t>
      </w:r>
      <w:r w:rsidRPr="009D3FAE">
        <w:t xml:space="preserve">nto de vista metodológico, estas decisiones son relevantes. </w:t>
      </w:r>
    </w:p>
  </w:footnote>
  <w:footnote w:id="145">
    <w:p w:rsidR="00E41171" w:rsidRPr="009D3FAE" w:rsidRDefault="003E425B" w:rsidP="00FA6FA6">
      <w:pPr>
        <w:pStyle w:val="Textonotapie"/>
      </w:pPr>
      <w:r w:rsidRPr="009D3FAE">
        <w:rPr>
          <w:rStyle w:val="Refdenotaalpie"/>
        </w:rPr>
        <w:footnoteRef/>
      </w:r>
      <w:r w:rsidRPr="009D3FAE">
        <w:t xml:space="preserve"> Corte Constitucional, autos 118 de 2013 y 175 de 2015, así como las sentencias C-337 de 2015 y C-047 de 2017. </w:t>
      </w:r>
    </w:p>
  </w:footnote>
  <w:footnote w:id="146">
    <w:p w:rsidR="00E41171" w:rsidRPr="009D3FAE" w:rsidRDefault="003E425B" w:rsidP="00FB4130">
      <w:pPr>
        <w:pStyle w:val="Textonotapie"/>
      </w:pPr>
      <w:r w:rsidRPr="009D3FAE">
        <w:rPr>
          <w:rStyle w:val="Refdenotaalpie"/>
        </w:rPr>
        <w:footnoteRef/>
      </w:r>
      <w:r w:rsidRPr="009D3FAE">
        <w:t xml:space="preserve"> “Por medio de la cual se crea el Ministerio de Igualdad y Equidad y se dictan ot</w:t>
      </w:r>
      <w:r w:rsidRPr="009D3FAE">
        <w:t>ras disposiciones”.</w:t>
      </w:r>
    </w:p>
  </w:footnote>
  <w:footnote w:id="147">
    <w:p w:rsidR="00E41171" w:rsidRPr="009D3FAE" w:rsidRDefault="003E425B" w:rsidP="00FB4130">
      <w:pPr>
        <w:pStyle w:val="Textonotapie"/>
      </w:pPr>
      <w:r w:rsidRPr="009D3FAE">
        <w:rPr>
          <w:rStyle w:val="Refdenotaalpie"/>
          <w:rFonts w:eastAsiaTheme="majorEastAsia"/>
          <w:lang w:val="es-ES"/>
        </w:rPr>
        <w:footnoteRef/>
      </w:r>
      <w:r w:rsidRPr="009D3FAE">
        <w:t xml:space="preserve"> Escrito de la demanda, pág. 32.</w:t>
      </w:r>
    </w:p>
  </w:footnote>
  <w:footnote w:id="148">
    <w:p w:rsidR="00E41171" w:rsidRPr="009D3FAE" w:rsidRDefault="003E425B" w:rsidP="00FB4130">
      <w:pPr>
        <w:pStyle w:val="Textonotapie"/>
      </w:pPr>
      <w:r w:rsidRPr="009D3FAE">
        <w:rPr>
          <w:rStyle w:val="Refdenotaalpie"/>
        </w:rPr>
        <w:footnoteRef/>
      </w:r>
      <w:r w:rsidRPr="009D3FAE">
        <w:t xml:space="preserve"> Video de la sesión de comisiones conjuntas de 24 de noviembre de 2022 publicado en el canal de YouTube del Canal del Congreso de Colombia. Minuto 3:52:58. Disponible en: </w:t>
      </w:r>
      <w:hyperlink r:id="rId1" w:history="1">
        <w:r w:rsidRPr="009D3FAE">
          <w:rPr>
            <w:rStyle w:val="Hipervnculo"/>
          </w:rPr>
          <w:t>https://www.youtube.com/watch?v=mRPzEYACftg&amp;ab_channel=CanalCongresoColombia</w:t>
        </w:r>
      </w:hyperlink>
      <w:r w:rsidRPr="009D3FAE">
        <w:t xml:space="preserve">. </w:t>
      </w:r>
    </w:p>
  </w:footnote>
  <w:footnote w:id="149">
    <w:p w:rsidR="00E41171" w:rsidRPr="009D3FAE" w:rsidRDefault="003E425B" w:rsidP="00FB4130">
      <w:pPr>
        <w:pStyle w:val="Textonotapie"/>
      </w:pPr>
      <w:r w:rsidRPr="009D3FAE">
        <w:rPr>
          <w:rStyle w:val="Refdenotaalpie"/>
          <w:rFonts w:eastAsiaTheme="majorEastAsia"/>
          <w:lang w:val="es-ES"/>
        </w:rPr>
        <w:footnoteRef/>
      </w:r>
      <w:r w:rsidRPr="009D3FAE">
        <w:t xml:space="preserve"> Gaceta del Congreso 1477 de 22 de noviembre de 2022, p. 17.</w:t>
      </w:r>
    </w:p>
  </w:footnote>
  <w:footnote w:id="150">
    <w:p w:rsidR="00E41171" w:rsidRPr="009D3FAE" w:rsidRDefault="003E425B" w:rsidP="00FB4130">
      <w:pPr>
        <w:pStyle w:val="Textonotapie"/>
      </w:pPr>
      <w:r w:rsidRPr="009D3FAE">
        <w:rPr>
          <w:rStyle w:val="Refdenotaalpie"/>
        </w:rPr>
        <w:footnoteRef/>
      </w:r>
      <w:r w:rsidRPr="009D3FAE">
        <w:t xml:space="preserve"> </w:t>
      </w:r>
      <w:r w:rsidRPr="009D3FAE">
        <w:rPr>
          <w:lang w:val="es-ES_tradnl"/>
        </w:rPr>
        <w:t xml:space="preserve">Corte Constitucional, </w:t>
      </w:r>
      <w:r w:rsidRPr="009D3FAE">
        <w:rPr>
          <w:lang w:val="es-ES_tradnl"/>
        </w:rPr>
        <w:t>sentencias C-1040 de 2005, C-337 de 2015 y C-047 de 2017, entre otras.</w:t>
      </w:r>
    </w:p>
  </w:footnote>
  <w:footnote w:id="151">
    <w:p w:rsidR="00E41171" w:rsidRPr="009D3FAE" w:rsidRDefault="003E425B" w:rsidP="00FB4130">
      <w:pPr>
        <w:pStyle w:val="Textonotapie"/>
      </w:pPr>
      <w:r w:rsidRPr="009D3FAE">
        <w:rPr>
          <w:rStyle w:val="Refdenotaalpie"/>
          <w:rFonts w:eastAsiaTheme="majorEastAsia"/>
          <w:lang w:val="es-ES"/>
        </w:rPr>
        <w:footnoteRef/>
      </w:r>
      <w:r w:rsidRPr="009D3FAE">
        <w:t xml:space="preserve"> Corte Constitucional, sentencia C-047 de 2017.</w:t>
      </w:r>
    </w:p>
  </w:footnote>
  <w:footnote w:id="152">
    <w:p w:rsidR="00E41171" w:rsidRPr="009D3FAE" w:rsidRDefault="003E425B" w:rsidP="00FB4130">
      <w:pPr>
        <w:pStyle w:val="Textonotapie"/>
      </w:pPr>
      <w:r w:rsidRPr="009D3FAE">
        <w:rPr>
          <w:rStyle w:val="Refdenotaalpie"/>
          <w:lang w:val="es-ES"/>
        </w:rPr>
        <w:footnoteRef/>
      </w:r>
      <w:r w:rsidRPr="009D3FAE">
        <w:t xml:space="preserve"> </w:t>
      </w:r>
      <w:r w:rsidRPr="009D3FAE">
        <w:rPr>
          <w:lang w:val="es-ES_tradnl"/>
        </w:rPr>
        <w:t>Corte Constitucional, sentencias C-295 de 2012, C-274 de 2013, C-337 de 2015 y C-047 de 2017.</w:t>
      </w:r>
    </w:p>
  </w:footnote>
  <w:footnote w:id="153">
    <w:p w:rsidR="00E41171" w:rsidRPr="009D3FAE" w:rsidRDefault="003E425B" w:rsidP="00FB4130">
      <w:pPr>
        <w:rPr>
          <w:sz w:val="20"/>
          <w:szCs w:val="20"/>
        </w:rPr>
      </w:pPr>
      <w:r w:rsidRPr="009D3FAE">
        <w:rPr>
          <w:rStyle w:val="Refdenotaalpie"/>
          <w:rFonts w:eastAsiaTheme="majorEastAsia"/>
          <w:sz w:val="20"/>
          <w:szCs w:val="20"/>
          <w:lang w:val="es-ES_tradnl"/>
        </w:rPr>
        <w:footnoteRef/>
      </w:r>
      <w:r w:rsidRPr="009D3FAE">
        <w:rPr>
          <w:sz w:val="20"/>
          <w:szCs w:val="20"/>
        </w:rPr>
        <w:t xml:space="preserve"> Corte Constitucional, sentencias C-295</w:t>
      </w:r>
      <w:r w:rsidRPr="009D3FAE">
        <w:rPr>
          <w:sz w:val="20"/>
          <w:szCs w:val="20"/>
        </w:rPr>
        <w:t xml:space="preserve"> de 2012, C-274 de 2013 y C-047 de 2017.</w:t>
      </w:r>
    </w:p>
  </w:footnote>
  <w:footnote w:id="154">
    <w:p w:rsidR="00E41171" w:rsidRPr="009D3FAE" w:rsidRDefault="003E425B" w:rsidP="00FB4130">
      <w:pPr>
        <w:pStyle w:val="Textonotapie"/>
      </w:pPr>
      <w:r w:rsidRPr="009D3FAE">
        <w:rPr>
          <w:rStyle w:val="Refdenotaalpie"/>
          <w:rFonts w:eastAsiaTheme="majorEastAsia"/>
        </w:rPr>
        <w:footnoteRef/>
      </w:r>
      <w:r w:rsidRPr="009D3FAE">
        <w:t xml:space="preserve"> Acta Conjunta número 3 de 24 de noviembre de 2022, publicada en la Gaceta del Congreso 96 de 27 de febrero de 2023. p. 37.</w:t>
      </w:r>
    </w:p>
  </w:footnote>
  <w:footnote w:id="155">
    <w:p w:rsidR="00E41171" w:rsidRPr="009D3FAE" w:rsidRDefault="003E425B" w:rsidP="00FB4130">
      <w:pPr>
        <w:pStyle w:val="Textonotapie"/>
      </w:pPr>
      <w:r w:rsidRPr="009D3FAE">
        <w:rPr>
          <w:rStyle w:val="Refdenotaalpie"/>
        </w:rPr>
        <w:footnoteRef/>
      </w:r>
      <w:r w:rsidRPr="009D3FAE">
        <w:t xml:space="preserve"> </w:t>
      </w:r>
      <w:r w:rsidRPr="009D3FAE">
        <w:rPr>
          <w:i/>
          <w:iCs/>
        </w:rPr>
        <w:t>Cfr.</w:t>
      </w:r>
      <w:r w:rsidRPr="009D3FAE">
        <w:t xml:space="preserve"> </w:t>
      </w:r>
      <w:r w:rsidRPr="009D3FAE">
        <w:rPr>
          <w:lang w:val="es-ES_tradnl"/>
        </w:rPr>
        <w:t>Corte Constitucional, sentencias C-155 de 1998 y C-1040 de 2005. Estas providencias</w:t>
      </w:r>
      <w:r w:rsidRPr="009D3FAE">
        <w:rPr>
          <w:lang w:val="es-ES_tradnl"/>
        </w:rPr>
        <w:t xml:space="preserve"> explican que “la votación nominal, por su parte, procederá cuando así lo exija la Constitución, la ley o el reglamento, o cuando así lo solicite cualquier congresista ante la respectiva cámara, siempre y cuando la votación no deba ser secreta (…) la propo</w:t>
      </w:r>
      <w:r w:rsidRPr="009D3FAE">
        <w:rPr>
          <w:lang w:val="es-ES_tradnl"/>
        </w:rPr>
        <w:t xml:space="preserve">sición de votación nominal hecha por un congresista debe ser sometida a decisión de la respectiva corporación y aprobada por ésta sin discusión, ya que la mera propuesta no obliga ni a la Presidencia ni a la plenaria a proceder de acuerdo con la solicitud </w:t>
      </w:r>
      <w:r w:rsidRPr="009D3FAE">
        <w:rPr>
          <w:lang w:val="es-ES_tradnl"/>
        </w:rPr>
        <w:t>que en ese sentido se haya formulado”.</w:t>
      </w:r>
    </w:p>
  </w:footnote>
  <w:footnote w:id="156">
    <w:p w:rsidR="00E41171" w:rsidRPr="009D3FAE" w:rsidRDefault="003E425B" w:rsidP="00FB4130">
      <w:pPr>
        <w:pStyle w:val="Textonotapie"/>
      </w:pPr>
      <w:r w:rsidRPr="009D3FAE">
        <w:rPr>
          <w:rStyle w:val="Refdenotaalpie"/>
        </w:rPr>
        <w:footnoteRef/>
      </w:r>
      <w:r w:rsidRPr="009D3FAE">
        <w:t xml:space="preserve"> En la intervención en el debate de la proposición positiva la senadora Paloma Valencia indicó: “quiero insistir, Señor Presidente, en que la Constitución es muy clara en que se necesitan mayorías absolutas, de maner</w:t>
      </w:r>
      <w:r w:rsidRPr="009D3FAE">
        <w:t>a que tanto el artículo de las facultades como la proposición con la que termina el informe de ponencia tienen que tener mayoría absoluta positiva para poder avanzar, porque aquí hay algunos que dicen: no, es que vamos a pupitrear la proposición con la que</w:t>
      </w:r>
      <w:r w:rsidRPr="009D3FAE">
        <w:t xml:space="preserve"> termina el informe. Señor Presidente, esa proposición no se puede pupitrear, necesita mayorías absolutas, porque la proposición es la que abre la facultad para hablar de ese artículo que genera las facultades y, por lo tanto, no solo el artículo, sino tam</w:t>
      </w:r>
      <w:r w:rsidRPr="009D3FAE">
        <w:t xml:space="preserve">bién la proposición, van a necesitar mayorías absolutas. De lo contrario, el artículo quedaría viciado”. </w:t>
      </w:r>
      <w:r w:rsidRPr="009D3FAE">
        <w:rPr>
          <w:lang w:val="es-ES_tradnl"/>
        </w:rPr>
        <w:t>Video de la sesión de comisiones conjuntas de 24 de noviembre de 2022 publicado en el canal de YouTube del Canal del Congreso de Colombia. Minutos 3:40</w:t>
      </w:r>
      <w:r w:rsidRPr="009D3FAE">
        <w:rPr>
          <w:lang w:val="es-ES_tradnl"/>
        </w:rPr>
        <w:t xml:space="preserve">:24 a 3:41:15. Disponible en: </w:t>
      </w:r>
      <w:hyperlink r:id="rId2" w:history="1">
        <w:r w:rsidRPr="009D3FAE">
          <w:rPr>
            <w:rStyle w:val="Hipervnculo"/>
            <w:lang w:val="es-ES_tradnl"/>
          </w:rPr>
          <w:t>https://www.youtube.com/watch?v=mRPzEYACftg&amp;ab_channel=CanalCongresoColombia</w:t>
        </w:r>
      </w:hyperlink>
      <w:r w:rsidRPr="009D3FAE">
        <w:rPr>
          <w:lang w:val="es-ES_tradnl"/>
        </w:rPr>
        <w:t>.</w:t>
      </w:r>
    </w:p>
  </w:footnote>
  <w:footnote w:id="157">
    <w:p w:rsidR="00E41171" w:rsidRPr="009D3FAE" w:rsidRDefault="003E425B" w:rsidP="00FB4130">
      <w:pPr>
        <w:pStyle w:val="Textonotapie"/>
      </w:pPr>
      <w:r w:rsidRPr="009D3FAE">
        <w:rPr>
          <w:rStyle w:val="Refdenotaalpie"/>
        </w:rPr>
        <w:footnoteRef/>
      </w:r>
      <w:r w:rsidRPr="009D3FAE">
        <w:t xml:space="preserve"> </w:t>
      </w:r>
      <w:r w:rsidRPr="009D3FAE">
        <w:rPr>
          <w:lang w:val="es-ES_tradnl"/>
        </w:rPr>
        <w:t>Video de la sesión de comisiones conjuntas de 24 de n</w:t>
      </w:r>
      <w:r w:rsidRPr="009D3FAE">
        <w:rPr>
          <w:lang w:val="es-ES_tradnl"/>
        </w:rPr>
        <w:t xml:space="preserve">oviembre de 2022 publicado en el canal de YouTube del Cana del Congreso de Colombia. Minutos 3:53:14 a 3:53:23. Disponible en: </w:t>
      </w:r>
      <w:hyperlink r:id="rId3" w:history="1">
        <w:r w:rsidRPr="009D3FAE">
          <w:rPr>
            <w:rStyle w:val="Hipervnculo"/>
            <w:lang w:val="es-ES_tradnl"/>
          </w:rPr>
          <w:t>https://www.youtube.com/watch?v=mRPz</w:t>
        </w:r>
        <w:r w:rsidRPr="009D3FAE">
          <w:rPr>
            <w:rStyle w:val="Hipervnculo"/>
            <w:lang w:val="es-ES_tradnl"/>
          </w:rPr>
          <w:t>EYACftg&amp;ab_channel=CanalCongresoColombia</w:t>
        </w:r>
      </w:hyperlink>
      <w:r w:rsidRPr="009D3FAE">
        <w:rPr>
          <w:lang w:val="es-ES_tradnl"/>
        </w:rPr>
        <w:t>.</w:t>
      </w:r>
    </w:p>
  </w:footnote>
  <w:footnote w:id="158">
    <w:p w:rsidR="00E41171" w:rsidRPr="009D3FAE" w:rsidRDefault="003E425B" w:rsidP="00FB4130">
      <w:pPr>
        <w:pStyle w:val="Textonotapie"/>
      </w:pPr>
      <w:r w:rsidRPr="009D3FAE">
        <w:rPr>
          <w:rStyle w:val="Refdenotaalpie"/>
        </w:rPr>
        <w:footnoteRef/>
      </w:r>
      <w:r w:rsidRPr="009D3FAE">
        <w:t xml:space="preserve"> “Por medio de la cual se crea el Ministerio de Igualdad y Equidad y se dictan otras disposiciones”.</w:t>
      </w:r>
    </w:p>
  </w:footnote>
  <w:footnote w:id="159">
    <w:p w:rsidR="00E41171" w:rsidRPr="009D3FAE" w:rsidRDefault="003E425B" w:rsidP="00FB4130">
      <w:pPr>
        <w:pStyle w:val="Textonotapie"/>
      </w:pPr>
      <w:r w:rsidRPr="009D3FAE">
        <w:rPr>
          <w:rStyle w:val="Refdenotaalpie"/>
          <w:rFonts w:eastAsiaTheme="majorEastAsia"/>
          <w:lang w:val="es-ES"/>
        </w:rPr>
        <w:footnoteRef/>
      </w:r>
      <w:r w:rsidRPr="009D3FAE">
        <w:t xml:space="preserve"> Acta Conjunta número 3 de 24 de noviembre de 2022, publicada en la Gaceta del Congreso 96 de 27 de febrero de </w:t>
      </w:r>
      <w:r w:rsidRPr="009D3FAE">
        <w:t>2023. p. 37.</w:t>
      </w:r>
    </w:p>
  </w:footnote>
  <w:footnote w:id="160">
    <w:p w:rsidR="00E41171" w:rsidRPr="009D3FAE" w:rsidRDefault="003E425B" w:rsidP="004F15AD">
      <w:pPr>
        <w:pStyle w:val="Textonotapie"/>
      </w:pPr>
      <w:r w:rsidRPr="009D3FAE">
        <w:rPr>
          <w:rStyle w:val="Refdenotaalpie"/>
        </w:rPr>
        <w:footnoteRef/>
      </w:r>
      <w:r w:rsidRPr="009D3FAE">
        <w:t xml:space="preserve"> Gaceta 838 de 6 de julio de 2023. La Sala Plena reconoce que los senadores Julio César Estrada Cordero y Julio Elías Chagüi Flórez dejaron constancias, sin embargo, estas estaban fundadas en su inasistencia a la sesión, no en la información relativa al qu</w:t>
      </w:r>
      <w:r w:rsidRPr="009D3FAE">
        <w:t xml:space="preserve">órum y mayorías. </w:t>
      </w:r>
    </w:p>
  </w:footnote>
  <w:footnote w:id="161">
    <w:p w:rsidR="00E41171" w:rsidRPr="009D3FAE" w:rsidRDefault="003E425B" w:rsidP="00087760">
      <w:pPr>
        <w:pStyle w:val="Textonotapie"/>
      </w:pPr>
      <w:r w:rsidRPr="009D3FAE">
        <w:rPr>
          <w:rStyle w:val="Refdenotaalpie"/>
        </w:rPr>
        <w:footnoteRef/>
      </w:r>
      <w:r w:rsidRPr="009D3FAE">
        <w:t xml:space="preserve"> Corte Constitucional, sentencia C-029 de 2018. </w:t>
      </w:r>
    </w:p>
  </w:footnote>
  <w:footnote w:id="162">
    <w:p w:rsidR="00E41171" w:rsidRPr="009D3FAE" w:rsidRDefault="003E425B" w:rsidP="00FB4130">
      <w:pPr>
        <w:pStyle w:val="Textonotapie"/>
      </w:pPr>
      <w:r w:rsidRPr="009D3FAE">
        <w:rPr>
          <w:rStyle w:val="Refdenotaalpie"/>
        </w:rPr>
        <w:footnoteRef/>
      </w:r>
      <w:r w:rsidRPr="009D3FAE">
        <w:t xml:space="preserve"> Certificado de la Secretaría de la Comisión Primera del Senado de la República enviado en respuesta al Oficio N° OPC-052/23, 24 de abril de 2023, p. 7.</w:t>
      </w:r>
    </w:p>
  </w:footnote>
  <w:footnote w:id="163">
    <w:p w:rsidR="00E41171" w:rsidRPr="009D3FAE" w:rsidRDefault="003E425B">
      <w:pPr>
        <w:pStyle w:val="Textonotapie"/>
      </w:pPr>
      <w:r w:rsidRPr="009D3FAE">
        <w:rPr>
          <w:rStyle w:val="Refdenotaalpie"/>
        </w:rPr>
        <w:footnoteRef/>
      </w:r>
      <w:r w:rsidRPr="009D3FAE">
        <w:t xml:space="preserve"> Corte Constitucional, sentencias</w:t>
      </w:r>
      <w:r w:rsidRPr="009D3FAE">
        <w:t xml:space="preserve"> C-337 de 2015 y C-047 de 2017. </w:t>
      </w:r>
    </w:p>
  </w:footnote>
  <w:footnote w:id="164">
    <w:p w:rsidR="00E41171" w:rsidRPr="009D3FAE" w:rsidRDefault="003E425B" w:rsidP="00FB4130">
      <w:pPr>
        <w:pStyle w:val="Textonotapie"/>
      </w:pPr>
      <w:r w:rsidRPr="009D3FAE">
        <w:rPr>
          <w:rStyle w:val="Refdenotaalpie"/>
          <w:rFonts w:eastAsiaTheme="majorEastAsia"/>
          <w:lang w:val="es-ES"/>
        </w:rPr>
        <w:footnoteRef/>
      </w:r>
      <w:r w:rsidRPr="009D3FAE">
        <w:t xml:space="preserve"> Una radicada por la senadora María Fernanda Cabal y otra radicada por el representante a la Cámara Miguel Polo Polo.</w:t>
      </w:r>
    </w:p>
  </w:footnote>
  <w:footnote w:id="165">
    <w:p w:rsidR="00E41171" w:rsidRPr="009D3FAE" w:rsidRDefault="003E425B" w:rsidP="00FB4130">
      <w:pPr>
        <w:pStyle w:val="Textonotapie"/>
      </w:pPr>
      <w:r w:rsidRPr="009D3FAE">
        <w:rPr>
          <w:rStyle w:val="Refdenotaalpie"/>
          <w:rFonts w:eastAsiaTheme="majorEastAsia"/>
          <w:lang w:val="es-ES"/>
        </w:rPr>
        <w:footnoteRef/>
      </w:r>
      <w:r w:rsidRPr="009D3FAE">
        <w:t xml:space="preserve"> Fabio Raúl Amín Saleme</w:t>
      </w:r>
      <w:r w:rsidRPr="009D3FAE">
        <w:t xml:space="preserve">, Ariel Fernando Ávila Martínez, Alejandro Carlos Chacón Camargo, Julio Elías Chagüi Flórez, Humberto De la Calle Lombana, Alfredo Rafael Deluque Zuleta, Julián Gallo Cubillos, Juan Carlos García Gómez, Alexánder López Maya, María José Pizarro Rodríguez y </w:t>
      </w:r>
      <w:r w:rsidRPr="009D3FAE">
        <w:t>Jonathan Ferney Pulido Hernández. Acta Conjunta número 3 de 24 de noviembre de 2022, publicada en la Gaceta del Congreso 96 de 27 de febrero de 2023. p. 29-30.</w:t>
      </w:r>
    </w:p>
  </w:footnote>
  <w:footnote w:id="166">
    <w:p w:rsidR="00E41171" w:rsidRPr="009D3FAE" w:rsidRDefault="003E425B" w:rsidP="00FB4130">
      <w:pPr>
        <w:pStyle w:val="Textonotapie"/>
      </w:pPr>
      <w:r w:rsidRPr="009D3FAE">
        <w:rPr>
          <w:rStyle w:val="Refdenotaalpie"/>
          <w:rFonts w:eastAsiaTheme="majorEastAsia"/>
          <w:lang w:val="es-ES"/>
        </w:rPr>
        <w:footnoteRef/>
      </w:r>
      <w:r w:rsidRPr="009D3FAE">
        <w:t xml:space="preserve"> Fabio Raúl Amín Saleme, Ariel Fernando Ávila Martínez, Alejandro Carlos Chacón Camargo, Julio </w:t>
      </w:r>
      <w:r w:rsidRPr="009D3FAE">
        <w:t>Elías Chagüi Flórez, Alfredo Rafael Deluque Zuleta, Julián Gallo Cubillos, Alexánder López Maya, María José Pizarro Rodríguez, Jonathan Ferney Pulido Hernández y Paloma Susana Valencia Laserna. Acta Conjunta número 3 de 24 de noviembre de 2022, publicada e</w:t>
      </w:r>
      <w:r w:rsidRPr="009D3FAE">
        <w:t>n la Gaceta del Congreso 96 de 27 de febrero de 2023. p. 41.</w:t>
      </w:r>
    </w:p>
  </w:footnote>
  <w:footnote w:id="167">
    <w:p w:rsidR="00E41171" w:rsidRPr="009D3FAE" w:rsidRDefault="003E425B" w:rsidP="00FB4130">
      <w:pPr>
        <w:pStyle w:val="Textonotapie"/>
      </w:pPr>
      <w:r w:rsidRPr="009D3FAE">
        <w:rPr>
          <w:rStyle w:val="Refdenotaalpie"/>
          <w:rFonts w:eastAsiaTheme="majorEastAsia"/>
        </w:rPr>
        <w:footnoteRef/>
      </w:r>
      <w:r w:rsidRPr="009D3FAE">
        <w:t xml:space="preserve"> Acta Conjunta número 3 de 24 de noviembre de 2022, publicada en la Gaceta del Congreso 96 de 27 de febrero de 2023. p. 37.</w:t>
      </w:r>
    </w:p>
  </w:footnote>
  <w:footnote w:id="168">
    <w:p w:rsidR="00E41171" w:rsidRPr="009D3FAE" w:rsidRDefault="003E425B" w:rsidP="00FB4130">
      <w:pPr>
        <w:pStyle w:val="Textonotapie"/>
      </w:pPr>
      <w:r w:rsidRPr="009D3FAE">
        <w:rPr>
          <w:rStyle w:val="Refdenotaalpie"/>
        </w:rPr>
        <w:footnoteRef/>
      </w:r>
      <w:r w:rsidRPr="009D3FAE">
        <w:t xml:space="preserve"> Ib., p. 41.</w:t>
      </w:r>
    </w:p>
  </w:footnote>
  <w:footnote w:id="169">
    <w:p w:rsidR="00E41171" w:rsidRPr="009D3FAE" w:rsidRDefault="003E425B">
      <w:pPr>
        <w:pStyle w:val="Textonotapie"/>
      </w:pPr>
      <w:r w:rsidRPr="009D3FAE">
        <w:rPr>
          <w:rStyle w:val="Refdenotaalpie"/>
        </w:rPr>
        <w:footnoteRef/>
      </w:r>
      <w:r w:rsidRPr="009D3FAE">
        <w:t xml:space="preserve"> La Sala Plena debe determinar si la falta de certeza </w:t>
      </w:r>
      <w:r w:rsidRPr="009D3FAE">
        <w:rPr>
          <w:iCs/>
        </w:rPr>
        <w:t>s</w:t>
      </w:r>
      <w:r w:rsidRPr="009D3FAE">
        <w:rPr>
          <w:iCs/>
        </w:rPr>
        <w:t>obre el número de senadores presentes y que votaron favorablemente el informe de ponencia constituye una simple irregularidad o un vicio de procedimiento</w:t>
      </w:r>
      <w:r w:rsidRPr="009D3FAE">
        <w:t>, por tres razones. Primero, la falta de certeza sobre el quórum y la mayoría se deriva de un incumplim</w:t>
      </w:r>
      <w:r w:rsidRPr="009D3FAE">
        <w:t>iento del secretario de la mesa directiva de la Comisión Primera del Senado. Como se expuso, la Corte Constitucional ha señalado que, cuando la votación se lleva a cabo de forma ordinaria, es deber del secretario de la célula legislativa dejar consignada e</w:t>
      </w:r>
      <w:r w:rsidRPr="009D3FAE">
        <w:t>n el acta de la sesión la información sobre el número de senadores presentes que votaron favorablemente la decisión al momento exacto o preciso en que se llevó a cabo la votación. En tales términos, la Corte debe determinar la incidencia que dicho incumpli</w:t>
      </w:r>
      <w:r w:rsidRPr="009D3FAE">
        <w:t>miento tuvo en el procedimiento legislativo y en la formación de la voluntad democrática. Segundo, desde el punto de vista metodológico, el examen sobre la incidencia de la falta de certeza es la tercera etapa del juicio constitucional en este tipo de caso</w:t>
      </w:r>
      <w:r w:rsidRPr="009D3FAE">
        <w:t xml:space="preserve">s. Tercero, en algunas decisiones la Corte Constitucional ha encontrado que la falta de certeza sobre el cumplimiento de las reglas de quórum y mayorías para aprobar el informe de ponencia en las </w:t>
      </w:r>
      <w:r w:rsidRPr="009D3FAE">
        <w:rPr>
          <w:i/>
          <w:iCs/>
        </w:rPr>
        <w:t>plenarias</w:t>
      </w:r>
      <w:r w:rsidRPr="009D3FAE">
        <w:t xml:space="preserve"> puede configurar un vicio de procedimiento. Al res</w:t>
      </w:r>
      <w:r w:rsidRPr="009D3FAE">
        <w:t xml:space="preserve">pecto, pueden consultarse, entre otras, los autos 118 de 2013 y 175 de 2015, así como las sentencias C-337 de 2015 y C-047 de 2017. La Corte debe determinar si esta línea jurisprudencial es o no aplicable a este caso.  </w:t>
      </w:r>
    </w:p>
  </w:footnote>
  <w:footnote w:id="170">
    <w:p w:rsidR="00E41171" w:rsidRPr="009D3FAE" w:rsidRDefault="003E425B" w:rsidP="00FB4130">
      <w:pPr>
        <w:pStyle w:val="Textonotapie"/>
      </w:pPr>
      <w:r w:rsidRPr="009D3FAE">
        <w:rPr>
          <w:rStyle w:val="Refdenotaalpie"/>
        </w:rPr>
        <w:footnoteRef/>
      </w:r>
      <w:r w:rsidRPr="009D3FAE">
        <w:t xml:space="preserve"> Corte Constitucional, sentencias C</w:t>
      </w:r>
      <w:r w:rsidRPr="009D3FAE">
        <w:t xml:space="preserve">-1056 de 2004, C-1040 de 2005, C-786 de 2012, C-087 de 2016, C-360 de 2016, C-084 de 2018 y C-032 de 2021, entre otras. </w:t>
      </w:r>
    </w:p>
  </w:footnote>
  <w:footnote w:id="171">
    <w:p w:rsidR="00E41171" w:rsidRPr="009D3FAE" w:rsidRDefault="003E425B" w:rsidP="00FB4130">
      <w:pPr>
        <w:pStyle w:val="Textonotapie"/>
        <w:ind w:right="-204"/>
      </w:pPr>
      <w:r w:rsidRPr="009D3FAE">
        <w:rPr>
          <w:vertAlign w:val="superscript"/>
        </w:rPr>
        <w:footnoteRef/>
      </w:r>
      <w:r w:rsidRPr="009D3FAE">
        <w:t xml:space="preserve"> Corte Constitucional, sentencias C-055 de 1996, C - 1152 de 2003,</w:t>
      </w:r>
      <w:r w:rsidRPr="009D3FAE">
        <w:rPr>
          <w:bCs/>
        </w:rPr>
        <w:t xml:space="preserve"> C-788 de 2011 y </w:t>
      </w:r>
      <w:r w:rsidRPr="009D3FAE">
        <w:t xml:space="preserve">C -786 de 2012. </w:t>
      </w:r>
    </w:p>
  </w:footnote>
  <w:footnote w:id="172">
    <w:p w:rsidR="00E41171" w:rsidRPr="009D3FAE" w:rsidRDefault="003E425B" w:rsidP="00FB4130">
      <w:pPr>
        <w:pStyle w:val="Textonotapie"/>
      </w:pPr>
      <w:r w:rsidRPr="009D3FAE">
        <w:rPr>
          <w:rStyle w:val="Refdenotaalpie"/>
        </w:rPr>
        <w:footnoteRef/>
      </w:r>
      <w:r w:rsidRPr="009D3FAE">
        <w:t xml:space="preserve"> </w:t>
      </w:r>
      <w:r w:rsidRPr="009D3FAE">
        <w:rPr>
          <w:lang w:val="es-ES_tradnl"/>
        </w:rPr>
        <w:t xml:space="preserve">Corte Constitucional, sentencia </w:t>
      </w:r>
      <w:r w:rsidRPr="009D3FAE">
        <w:rPr>
          <w:lang w:val="es-ES_tradnl"/>
        </w:rPr>
        <w:t>C-032 de 2021.</w:t>
      </w:r>
    </w:p>
  </w:footnote>
  <w:footnote w:id="173">
    <w:p w:rsidR="00E41171" w:rsidRPr="009D3FAE" w:rsidRDefault="003E425B" w:rsidP="00FB4130">
      <w:pPr>
        <w:pStyle w:val="Textonotapie"/>
      </w:pPr>
      <w:r w:rsidRPr="009D3FAE">
        <w:rPr>
          <w:rStyle w:val="Refdenotaalpie"/>
        </w:rPr>
        <w:footnoteRef/>
      </w:r>
      <w:r w:rsidRPr="009D3FAE">
        <w:t xml:space="preserve"> Ib. </w:t>
      </w:r>
    </w:p>
  </w:footnote>
  <w:footnote w:id="174">
    <w:p w:rsidR="00E41171" w:rsidRPr="009D3FAE" w:rsidRDefault="003E425B" w:rsidP="00FB4130">
      <w:pPr>
        <w:pStyle w:val="Textonotapie"/>
      </w:pPr>
      <w:r w:rsidRPr="009D3FAE">
        <w:rPr>
          <w:rStyle w:val="Refdenotaalpie"/>
        </w:rPr>
        <w:footnoteRef/>
      </w:r>
      <w:r w:rsidRPr="009D3FAE">
        <w:t xml:space="preserve"> Corte Constitucional, sentencia C-786 de 2012.  Ver también, sentencias C-087 de 2016 y C-032 de 2021. </w:t>
      </w:r>
    </w:p>
  </w:footnote>
  <w:footnote w:id="175">
    <w:p w:rsidR="00E41171" w:rsidRPr="009D3FAE" w:rsidRDefault="003E425B">
      <w:pPr>
        <w:pStyle w:val="Textonotapie"/>
      </w:pPr>
      <w:r w:rsidRPr="009D3FAE">
        <w:rPr>
          <w:rStyle w:val="Refdenotaalpie"/>
        </w:rPr>
        <w:footnoteRef/>
      </w:r>
      <w:r w:rsidRPr="009D3FAE">
        <w:t xml:space="preserve"> Corte Constitucional, sentencias C-076 de 2012, C-332 de 2012, C-371 de 2012, C-419 de 2012, C-786 de 2012 y C-029 de 2018. </w:t>
      </w:r>
    </w:p>
  </w:footnote>
  <w:footnote w:id="176">
    <w:p w:rsidR="00E41171" w:rsidRPr="009D3FAE" w:rsidRDefault="003E425B">
      <w:pPr>
        <w:pStyle w:val="Textonotapie"/>
      </w:pPr>
      <w:r w:rsidRPr="009D3FAE">
        <w:rPr>
          <w:rStyle w:val="Refdenotaalpie"/>
        </w:rPr>
        <w:footnoteRef/>
      </w:r>
      <w:r w:rsidRPr="009D3FAE">
        <w:t xml:space="preserve"> Corte Constitucional, sentencia C-029 de 2018. En el mismo sentido, sentencias C-076 de 2012, C-332 de 2012, C-371 de 2012, C-419 de 2012 y C-786 de 2012. </w:t>
      </w:r>
    </w:p>
  </w:footnote>
  <w:footnote w:id="177">
    <w:p w:rsidR="00E41171" w:rsidRPr="009D3FAE" w:rsidRDefault="003E425B" w:rsidP="00FB4130">
      <w:pPr>
        <w:pStyle w:val="Textonotapie"/>
      </w:pPr>
      <w:r w:rsidRPr="009D3FAE">
        <w:rPr>
          <w:rStyle w:val="Refdenotaalpie"/>
        </w:rPr>
        <w:footnoteRef/>
      </w:r>
      <w:r w:rsidRPr="009D3FAE">
        <w:t xml:space="preserve"> </w:t>
      </w:r>
      <w:r w:rsidRPr="009D3FAE">
        <w:rPr>
          <w:lang w:val="es-ES_tradnl"/>
        </w:rPr>
        <w:t xml:space="preserve">Corte Constitucional, sentencia C-258 de 2014. </w:t>
      </w:r>
    </w:p>
  </w:footnote>
  <w:footnote w:id="178">
    <w:p w:rsidR="00E41171" w:rsidRPr="009D3FAE" w:rsidRDefault="003E425B">
      <w:pPr>
        <w:pStyle w:val="Textonotapie"/>
      </w:pPr>
      <w:r w:rsidRPr="009D3FAE">
        <w:rPr>
          <w:rStyle w:val="Refdenotaalpie"/>
        </w:rPr>
        <w:footnoteRef/>
      </w:r>
      <w:r w:rsidRPr="009D3FAE">
        <w:t xml:space="preserve"> La Sala Plena reconoce que, en los autos 118 de</w:t>
      </w:r>
      <w:r w:rsidRPr="009D3FAE">
        <w:t xml:space="preserve"> 2013 y 175 de 2015, así como las sentencias C-337 de 2015 y C-047 de 2017, la Corte consideró que la falta de certeza sobre el quórum decisorio al momento en que las plenarias llevaron a cabo la aprobación del informe de potencia, constituía un vicio de p</w:t>
      </w:r>
      <w:r w:rsidRPr="009D3FAE">
        <w:t>rocedimiento. Sin embargo, la Sala reitera que estas decisiones no son, en estricto sentido, precedentes aplicables a este caso. Lo anterior, debido a que en este caso se cuestiona la presunta falta de aprobación del informe de ponencia por parte de una co</w:t>
      </w:r>
      <w:r w:rsidRPr="009D3FAE">
        <w:t xml:space="preserve">misión constitucional permanente, no por las plenarias de alguna de las cámaras. Esta es una diferencia fundamental porque, como se expuso, de acuerdo con la Ley 5ª de 1992 y la jurisprudencia de esta Corte, la aprobación del informe de ponencia en las </w:t>
      </w:r>
      <w:r w:rsidRPr="009D3FAE">
        <w:rPr>
          <w:i/>
          <w:iCs/>
        </w:rPr>
        <w:t>ple</w:t>
      </w:r>
      <w:r w:rsidRPr="009D3FAE">
        <w:rPr>
          <w:i/>
          <w:iCs/>
        </w:rPr>
        <w:t>narias</w:t>
      </w:r>
      <w:r w:rsidRPr="009D3FAE">
        <w:t xml:space="preserve"> es una condición </w:t>
      </w:r>
      <w:r w:rsidRPr="009D3FAE">
        <w:rPr>
          <w:i/>
          <w:iCs/>
        </w:rPr>
        <w:t>sine qua non</w:t>
      </w:r>
      <w:r w:rsidRPr="009D3FAE">
        <w:t xml:space="preserve"> para proceder al debate y votación del articulado. En contraste, la aprobación del informe de ponencia en las </w:t>
      </w:r>
      <w:r w:rsidRPr="009D3FAE">
        <w:rPr>
          <w:i/>
          <w:iCs/>
        </w:rPr>
        <w:t>comisiones</w:t>
      </w:r>
      <w:r w:rsidRPr="009D3FAE">
        <w:t xml:space="preserve"> no es obligatoria. La ley permite que se prescinda de su votación. </w:t>
      </w:r>
    </w:p>
  </w:footnote>
  <w:footnote w:id="179">
    <w:p w:rsidR="00E41171" w:rsidRPr="009D3FAE" w:rsidRDefault="003E425B" w:rsidP="00403D26">
      <w:pPr>
        <w:pStyle w:val="Textonotapie"/>
      </w:pPr>
      <w:r w:rsidRPr="009D3FAE">
        <w:rPr>
          <w:rStyle w:val="Refdenotaalpie"/>
        </w:rPr>
        <w:footnoteRef/>
      </w:r>
      <w:r w:rsidRPr="009D3FAE">
        <w:t xml:space="preserve"> Acta Conjunta número 04 del </w:t>
      </w:r>
      <w:r w:rsidRPr="009D3FAE">
        <w:t>28 de noviembre de 2022, Gaceta del Congreso número 97 de 2023.</w:t>
      </w:r>
    </w:p>
  </w:footnote>
  <w:footnote w:id="180">
    <w:p w:rsidR="00E41171" w:rsidRPr="009D3FAE" w:rsidRDefault="003E425B">
      <w:pPr>
        <w:pStyle w:val="Textonotapie"/>
      </w:pPr>
      <w:r w:rsidRPr="009D3FAE">
        <w:rPr>
          <w:rStyle w:val="Refdenotaalpie"/>
        </w:rPr>
        <w:footnoteRef/>
      </w:r>
      <w:r w:rsidRPr="009D3FAE">
        <w:t xml:space="preserve"> Ib.</w:t>
      </w:r>
    </w:p>
  </w:footnote>
  <w:footnote w:id="181">
    <w:p w:rsidR="00E41171" w:rsidRPr="009D3FAE" w:rsidRDefault="003E425B">
      <w:pPr>
        <w:pStyle w:val="Textonotapie"/>
      </w:pPr>
      <w:r w:rsidRPr="009D3FAE">
        <w:rPr>
          <w:rStyle w:val="Refdenotaalpie"/>
        </w:rPr>
        <w:footnoteRef/>
      </w:r>
      <w:r w:rsidRPr="009D3FAE">
        <w:t xml:space="preserve"> Acta número 33 del 12 de diciembre de 2022, Gaceta del Congreso número 244 de 28 de marzo de 2023.</w:t>
      </w:r>
    </w:p>
  </w:footnote>
  <w:footnote w:id="182">
    <w:p w:rsidR="00E41171" w:rsidRPr="009D3FAE" w:rsidRDefault="003E425B" w:rsidP="00E157CB">
      <w:pPr>
        <w:pStyle w:val="Textonotapie"/>
      </w:pPr>
      <w:r w:rsidRPr="009D3FAE">
        <w:rPr>
          <w:rStyle w:val="Refdenotaalpie"/>
        </w:rPr>
        <w:footnoteRef/>
      </w:r>
      <w:r w:rsidRPr="009D3FAE">
        <w:t xml:space="preserve"> Acta número 38 del 12 de diciembre de 2022, Gaceta del Congreso 422 de 4 de mayo de</w:t>
      </w:r>
      <w:r w:rsidRPr="009D3FAE">
        <w:t xml:space="preserve"> 2023.</w:t>
      </w:r>
      <w:r w:rsidRPr="009D3FAE" w:rsidDel="00E67588">
        <w:t xml:space="preserve"> </w:t>
      </w:r>
    </w:p>
  </w:footnote>
  <w:footnote w:id="18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Escrito de la demanda, pág. 18.</w:t>
      </w:r>
    </w:p>
  </w:footnote>
  <w:footnote w:id="18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Escrito de la demanda, pág. 18.</w:t>
      </w:r>
    </w:p>
  </w:footnote>
  <w:footnote w:id="18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22.</w:t>
      </w:r>
    </w:p>
  </w:footnote>
  <w:footnote w:id="18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18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25.</w:t>
      </w:r>
    </w:p>
  </w:footnote>
  <w:footnote w:id="188">
    <w:p w:rsidR="00E41171" w:rsidRPr="009D3FAE" w:rsidRDefault="003E425B" w:rsidP="002860D7">
      <w:pPr>
        <w:pStyle w:val="Textonotapie"/>
      </w:pPr>
      <w:r w:rsidRPr="009D3FAE">
        <w:rPr>
          <w:rStyle w:val="Refdenotaalpie"/>
        </w:rPr>
        <w:footnoteRef/>
      </w:r>
      <w:r w:rsidRPr="009D3FAE">
        <w:t xml:space="preserve"> </w:t>
      </w:r>
      <w:r w:rsidRPr="009D3FAE">
        <w:rPr>
          <w:szCs w:val="20"/>
        </w:rPr>
        <w:t>Estas fueron María José Pizarro, la Universidad del Bosque, la Red de Mujeres del Caribe, Luz María Múnera, Consultoría para los derechos humanos y el desplazamiento forzado, la Comisión Colombiana de Juristas, Ilex acción jurídica, Ana Isabel Arenas Saave</w:t>
      </w:r>
      <w:r w:rsidRPr="009D3FAE">
        <w:rPr>
          <w:szCs w:val="20"/>
        </w:rPr>
        <w:t>dra, Ángela María Robledo y otros, la Conferencia Nacional de Organizaciones Afrocolombianas, la Red de Mujeres Afrolatinoamericanas, Afrocaribeñas y de la Diáspora, Alexander López Maya, la Mesa Nacional del Cuidado del Movimiento de Cuidadores Familiares</w:t>
      </w:r>
      <w:r w:rsidRPr="009D3FAE">
        <w:rPr>
          <w:szCs w:val="20"/>
        </w:rPr>
        <w:t xml:space="preserve"> de Personas con Discapacidad y Dependencia Funcional de Colombia, la Corporación Casa de la Mujer, la Escuela Nacional Sindical, el Departamento Nacional de Planeación, el Consultorio Jurídico Mujeres de la Universidad de los Andes, el Departamento Admini</w:t>
      </w:r>
      <w:r w:rsidRPr="009D3FAE">
        <w:rPr>
          <w:szCs w:val="20"/>
        </w:rPr>
        <w:t>strativo para la Prosperidad Social, el Ministerio de Justicia y del Derecho, Alirio Uribe, el Departamento Administrativo de la Presidencia de la República, el Departamento Administrativo para la Función Pública, el Ministerio de Hacienda y Crédito Públic</w:t>
      </w:r>
      <w:r w:rsidRPr="009D3FAE">
        <w:rPr>
          <w:szCs w:val="20"/>
        </w:rPr>
        <w:t>o y el Ministerio del Interior.</w:t>
      </w:r>
    </w:p>
  </w:footnote>
  <w:footnote w:id="189">
    <w:p w:rsidR="00E41171" w:rsidRPr="009D3FAE" w:rsidRDefault="003E425B" w:rsidP="002860D7">
      <w:pPr>
        <w:pStyle w:val="Textonotapie"/>
      </w:pPr>
      <w:r w:rsidRPr="009D3FAE">
        <w:rPr>
          <w:rStyle w:val="Refdenotaalpie"/>
        </w:rPr>
        <w:footnoteRef/>
      </w:r>
      <w:r w:rsidRPr="009D3FAE">
        <w:t xml:space="preserve"> Intervenciones del </w:t>
      </w:r>
      <w:r w:rsidRPr="009D3FAE">
        <w:rPr>
          <w:szCs w:val="20"/>
        </w:rPr>
        <w:t>Departamento Administrativo de la Presidencia de la República y el Ministerio de Hacienda y Crédito Público.</w:t>
      </w:r>
    </w:p>
  </w:footnote>
  <w:footnote w:id="190">
    <w:p w:rsidR="00E41171" w:rsidRPr="009D3FAE" w:rsidRDefault="003E425B" w:rsidP="002860D7">
      <w:pPr>
        <w:pStyle w:val="Textonotapie"/>
      </w:pPr>
      <w:r w:rsidRPr="009D3FAE">
        <w:rPr>
          <w:rStyle w:val="Refdenotaalpie"/>
        </w:rPr>
        <w:footnoteRef/>
      </w:r>
      <w:r w:rsidRPr="009D3FAE">
        <w:t xml:space="preserve"> Ib., pág. 6</w:t>
      </w:r>
      <w:r w:rsidRPr="009D3FAE">
        <w:rPr>
          <w:lang w:val="es-ES"/>
        </w:rPr>
        <w:t>.</w:t>
      </w:r>
    </w:p>
  </w:footnote>
  <w:footnote w:id="191">
    <w:p w:rsidR="00E41171" w:rsidRPr="009D3FAE" w:rsidRDefault="003E425B" w:rsidP="002860D7">
      <w:pPr>
        <w:pStyle w:val="Textonotapie"/>
      </w:pPr>
      <w:r w:rsidRPr="009D3FAE">
        <w:rPr>
          <w:rStyle w:val="Refdenotaalpie"/>
        </w:rPr>
        <w:footnoteRef/>
      </w:r>
      <w:r w:rsidRPr="009D3FAE">
        <w:t xml:space="preserve"> Intervención del Ministerio de Hacienda y Crédito Público, pág. 5. </w:t>
      </w:r>
      <w:r w:rsidRPr="009D3FAE">
        <w:rPr>
          <w:i/>
          <w:iCs/>
        </w:rPr>
        <w:t>Cfr.</w:t>
      </w:r>
      <w:r w:rsidRPr="009D3FAE">
        <w:t xml:space="preserve"> Intervención del Departamento Administrativo de la Presidencia de la República, pág. 38.</w:t>
      </w:r>
    </w:p>
  </w:footnote>
  <w:footnote w:id="192">
    <w:p w:rsidR="00E41171" w:rsidRPr="009D3FAE" w:rsidRDefault="003E425B" w:rsidP="002860D7">
      <w:pPr>
        <w:pStyle w:val="Textonotapie"/>
      </w:pPr>
      <w:r w:rsidRPr="009D3FAE">
        <w:rPr>
          <w:rStyle w:val="Refdenotaalpie"/>
        </w:rPr>
        <w:footnoteRef/>
      </w:r>
      <w:r w:rsidRPr="009D3FAE">
        <w:t xml:space="preserve"> Ib., pág. 10.</w:t>
      </w:r>
    </w:p>
  </w:footnote>
  <w:footnote w:id="193">
    <w:p w:rsidR="00E41171" w:rsidRPr="009D3FAE" w:rsidRDefault="003E425B" w:rsidP="002860D7">
      <w:pPr>
        <w:pStyle w:val="Textonotapie"/>
      </w:pPr>
      <w:r w:rsidRPr="009D3FAE">
        <w:rPr>
          <w:rStyle w:val="Refdenotaalpie"/>
        </w:rPr>
        <w:footnoteRef/>
      </w:r>
      <w:r w:rsidRPr="009D3FAE">
        <w:t xml:space="preserve"> Ib. </w:t>
      </w:r>
      <w:r w:rsidRPr="009D3FAE">
        <w:rPr>
          <w:i/>
          <w:iCs/>
        </w:rPr>
        <w:t>Cfr.</w:t>
      </w:r>
      <w:r w:rsidRPr="009D3FAE">
        <w:t xml:space="preserve"> Intervención del </w:t>
      </w:r>
      <w:r w:rsidRPr="009D3FAE">
        <w:rPr>
          <w:szCs w:val="20"/>
        </w:rPr>
        <w:t>Departamento Administrativo de la Presidencia de la República, pág. 38.</w:t>
      </w:r>
    </w:p>
  </w:footnote>
  <w:footnote w:id="194">
    <w:p w:rsidR="00E41171" w:rsidRPr="009D3FAE" w:rsidRDefault="003E425B" w:rsidP="002860D7">
      <w:pPr>
        <w:pStyle w:val="Textonotapie"/>
      </w:pPr>
      <w:r w:rsidRPr="009D3FAE">
        <w:rPr>
          <w:rStyle w:val="Refdenotaalpie"/>
        </w:rPr>
        <w:footnoteRef/>
      </w:r>
      <w:r w:rsidRPr="009D3FAE">
        <w:t xml:space="preserve"> Intervención del </w:t>
      </w:r>
      <w:r w:rsidRPr="009D3FAE">
        <w:rPr>
          <w:szCs w:val="20"/>
        </w:rPr>
        <w:t xml:space="preserve">Departamento Administrativo de </w:t>
      </w:r>
      <w:r w:rsidRPr="009D3FAE">
        <w:rPr>
          <w:szCs w:val="20"/>
        </w:rPr>
        <w:t>la Presidencia de la República y CJ Mujeres Uniandes.</w:t>
      </w:r>
    </w:p>
  </w:footnote>
  <w:footnote w:id="195">
    <w:p w:rsidR="00E41171" w:rsidRPr="009D3FAE" w:rsidRDefault="003E425B" w:rsidP="002860D7">
      <w:pPr>
        <w:pStyle w:val="Textonotapie"/>
      </w:pPr>
      <w:r w:rsidRPr="009D3FAE">
        <w:rPr>
          <w:rStyle w:val="Refdenotaalpie"/>
        </w:rPr>
        <w:footnoteRef/>
      </w:r>
      <w:r w:rsidRPr="009D3FAE">
        <w:t xml:space="preserve"> Intervenciones de la Red de Mujeres del Caribe, Red de Mujeres Afrolatinoamericanas, Afrocaribeñas y de la Diáspora, Mesa Nacional del Cuidado del Movimiento de Cuidadores Familiares de Personas con D</w:t>
      </w:r>
      <w:r w:rsidRPr="009D3FAE">
        <w:t>iscapacidad y Dependencia Funcional de Colombia y la Corporación Casa de la Mujer.</w:t>
      </w:r>
    </w:p>
  </w:footnote>
  <w:footnote w:id="196">
    <w:p w:rsidR="00E41171" w:rsidRPr="009D3FAE" w:rsidRDefault="003E425B" w:rsidP="002860D7">
      <w:pPr>
        <w:pStyle w:val="Textonotapie"/>
      </w:pPr>
      <w:r w:rsidRPr="009D3FAE">
        <w:rPr>
          <w:rStyle w:val="Refdenotaalpie"/>
        </w:rPr>
        <w:footnoteRef/>
      </w:r>
      <w:r w:rsidRPr="009D3FAE">
        <w:t xml:space="preserve"> Intervenciones del Ministerio Público, </w:t>
      </w:r>
      <w:r w:rsidRPr="009D3FAE">
        <w:rPr>
          <w:szCs w:val="20"/>
        </w:rPr>
        <w:t>Departamento Administrativo de la Presidencia de la República y del Ministerio de Hacienda y Crédito Público.</w:t>
      </w:r>
    </w:p>
  </w:footnote>
  <w:footnote w:id="197">
    <w:p w:rsidR="00E41171" w:rsidRPr="009D3FAE" w:rsidRDefault="003E425B" w:rsidP="002860D7">
      <w:pPr>
        <w:pStyle w:val="Textonotapie"/>
      </w:pPr>
      <w:r w:rsidRPr="009D3FAE">
        <w:rPr>
          <w:rStyle w:val="Refdenotaalpie"/>
        </w:rPr>
        <w:footnoteRef/>
      </w:r>
      <w:r w:rsidRPr="009D3FAE">
        <w:t xml:space="preserve"> Intervención del Dep</w:t>
      </w:r>
      <w:r w:rsidRPr="009D3FAE">
        <w:t>artamento Administrativo de la Función Pública, Alexander López Maya, Alirio Uribe y el Ministerio Público.</w:t>
      </w:r>
    </w:p>
  </w:footnote>
  <w:footnote w:id="198">
    <w:p w:rsidR="00E41171" w:rsidRPr="009D3FAE" w:rsidRDefault="003E425B" w:rsidP="002860D7">
      <w:pPr>
        <w:pStyle w:val="Textonotapie"/>
      </w:pPr>
      <w:r w:rsidRPr="009D3FAE">
        <w:rPr>
          <w:rStyle w:val="Refdenotaalpie"/>
        </w:rPr>
        <w:footnoteRef/>
      </w:r>
      <w:r w:rsidRPr="009D3FAE">
        <w:t xml:space="preserve"> Intervención del Departamento Administrativo de la Función Pública, Alexander López Maya, Alirio Uribe y el Ministerio Público.</w:t>
      </w:r>
    </w:p>
  </w:footnote>
  <w:footnote w:id="199">
    <w:p w:rsidR="00E41171" w:rsidRPr="009D3FAE" w:rsidRDefault="003E425B" w:rsidP="00B706FF">
      <w:pPr>
        <w:pStyle w:val="Textonotapie"/>
      </w:pPr>
      <w:r w:rsidRPr="009D3FAE">
        <w:rPr>
          <w:rStyle w:val="Refdenotaalpie"/>
        </w:rPr>
        <w:footnoteRef/>
      </w:r>
      <w:r w:rsidRPr="009D3FAE">
        <w:t xml:space="preserve"> Intervención del</w:t>
      </w:r>
      <w:r w:rsidRPr="009D3FAE">
        <w:t xml:space="preserve"> Departamento Administrativo de Prosperidad Social, Red de Mujeres del Caribe, Red de Mujeres Afrolatinoamericanas, Afrocaribeñas y de la Diáspora, Mesa Nacional del Cuidado del Movimiento de Cuidadores Familiares de Personas con Discapacidad y Dependencia</w:t>
      </w:r>
      <w:r w:rsidRPr="009D3FAE">
        <w:t xml:space="preserve"> Funcional de Colombia y la Corporación Casa de la Mujer, Consultoría para los derechos humanos y el desplazamiento forzado, Escuela Nacional Sindical.</w:t>
      </w:r>
    </w:p>
  </w:footnote>
  <w:footnote w:id="200">
    <w:p w:rsidR="00E41171" w:rsidRPr="009D3FAE" w:rsidRDefault="003E425B" w:rsidP="002860D7">
      <w:pPr>
        <w:pStyle w:val="Textonotapie"/>
      </w:pPr>
      <w:r w:rsidRPr="009D3FAE">
        <w:rPr>
          <w:rStyle w:val="Refdenotaalpie"/>
        </w:rPr>
        <w:footnoteRef/>
      </w:r>
      <w:r w:rsidRPr="009D3FAE">
        <w:t xml:space="preserve"> Intervención del </w:t>
      </w:r>
      <w:r w:rsidRPr="009D3FAE">
        <w:rPr>
          <w:szCs w:val="20"/>
        </w:rPr>
        <w:t>Departamento Administrativo de la Presidencia de la República.</w:t>
      </w:r>
    </w:p>
  </w:footnote>
  <w:footnote w:id="201">
    <w:p w:rsidR="00E41171" w:rsidRPr="009D3FAE" w:rsidRDefault="003E425B" w:rsidP="002860D7">
      <w:pPr>
        <w:pStyle w:val="Textonotapie"/>
      </w:pPr>
      <w:r w:rsidRPr="009D3FAE">
        <w:rPr>
          <w:rStyle w:val="Refdenotaalpie"/>
        </w:rPr>
        <w:footnoteRef/>
      </w:r>
      <w:r w:rsidRPr="009D3FAE">
        <w:t xml:space="preserve"> Intervención del Dep</w:t>
      </w:r>
      <w:r w:rsidRPr="009D3FAE">
        <w:t>artamento Administrativo de Prosperidad Social, Ministerio del Interior, Universidad del Bosque, María José Pizarro, Ana Isabel Arenas Saavedra, Ángela María Robledo y otros, Alexander López Maya, Alirio Uribe, Luz María Múnera, Consultoría para los derech</w:t>
      </w:r>
      <w:r w:rsidRPr="009D3FAE">
        <w:t>os humanos y el desplazamiento forzado, Ilex acción jurídica, Escuela Nacional Sindical y el Ministerio Público.</w:t>
      </w:r>
    </w:p>
  </w:footnote>
  <w:footnote w:id="202">
    <w:p w:rsidR="00E41171" w:rsidRPr="009D3FAE" w:rsidRDefault="003E425B" w:rsidP="004D1283">
      <w:pPr>
        <w:pStyle w:val="Textonotapie"/>
      </w:pPr>
      <w:r w:rsidRPr="009D3FAE">
        <w:rPr>
          <w:rStyle w:val="Refdenotaalpie"/>
        </w:rPr>
        <w:footnoteRef/>
      </w:r>
      <w:r w:rsidRPr="009D3FAE">
        <w:t xml:space="preserve"> Intervención de la Red de Mujeres del Caribe, Red de Mujeres Afrolatinoamericanas, Afrocaribeñas y de la Diáspora, Mesa Nacional del Cuidado </w:t>
      </w:r>
      <w:r w:rsidRPr="009D3FAE">
        <w:t>del Movimiento de Cuidadores Familiares de Personas con Discapacidad y Dependencia Funcional de Colombia y la Corporación Casa de la Mujer, Consultoría para los derechos humanos y el desplazamiento forzado, Escuela Nacional Sindical, el Ministerio de Justi</w:t>
      </w:r>
      <w:r w:rsidRPr="009D3FAE">
        <w:t>cia, Comisión Colombiana de Juristas, Alexander López Maya y Alirio Uribe.</w:t>
      </w:r>
    </w:p>
  </w:footnote>
  <w:footnote w:id="203">
    <w:p w:rsidR="00E41171" w:rsidRPr="009D3FAE" w:rsidRDefault="003E425B" w:rsidP="002860D7">
      <w:pPr>
        <w:pStyle w:val="Textonotapie"/>
        <w:rPr>
          <w:szCs w:val="20"/>
        </w:rPr>
      </w:pPr>
      <w:r w:rsidRPr="009D3FAE">
        <w:rPr>
          <w:rStyle w:val="Refdenotaalpie"/>
          <w:szCs w:val="20"/>
        </w:rPr>
        <w:footnoteRef/>
      </w:r>
      <w:r w:rsidRPr="009D3FAE">
        <w:rPr>
          <w:szCs w:val="20"/>
        </w:rPr>
        <w:t xml:space="preserve"> </w:t>
      </w:r>
      <w:r w:rsidRPr="009D3FAE">
        <w:rPr>
          <w:i/>
          <w:iCs/>
          <w:szCs w:val="20"/>
        </w:rPr>
        <w:t>Cfr.</w:t>
      </w:r>
      <w:r w:rsidRPr="009D3FAE">
        <w:rPr>
          <w:szCs w:val="20"/>
        </w:rPr>
        <w:t xml:space="preserve"> Intervención del </w:t>
      </w:r>
      <w:r w:rsidRPr="009D3FAE">
        <w:t>Departamento Administrativo de la Presidencia de la República</w:t>
      </w:r>
      <w:r w:rsidRPr="009D3FAE">
        <w:rPr>
          <w:szCs w:val="20"/>
        </w:rPr>
        <w:t xml:space="preserve"> y </w:t>
      </w:r>
      <w:r w:rsidRPr="009D3FAE">
        <w:t>Departamento Administrativo de Prosperidad Social</w:t>
      </w:r>
      <w:r w:rsidRPr="009D3FAE">
        <w:rPr>
          <w:rFonts w:eastAsia="Times New Roman" w:cs="Times New Roman"/>
          <w:sz w:val="22"/>
        </w:rPr>
        <w:t>.</w:t>
      </w:r>
    </w:p>
  </w:footnote>
  <w:footnote w:id="204">
    <w:p w:rsidR="00E41171" w:rsidRPr="009D3FAE" w:rsidRDefault="003E425B" w:rsidP="002860D7">
      <w:pPr>
        <w:pStyle w:val="Textonotapie"/>
      </w:pPr>
      <w:r w:rsidRPr="009D3FAE">
        <w:rPr>
          <w:rStyle w:val="Refdenotaalpie"/>
        </w:rPr>
        <w:footnoteRef/>
      </w:r>
      <w:r w:rsidRPr="009D3FAE">
        <w:t xml:space="preserve"> </w:t>
      </w:r>
      <w:r w:rsidRPr="009D3FAE">
        <w:rPr>
          <w:i/>
          <w:iCs/>
        </w:rPr>
        <w:t>Cfr.</w:t>
      </w:r>
      <w:r w:rsidRPr="009D3FAE">
        <w:t xml:space="preserve"> Intervención del DAPRE, Conferencia Nacional de Organizaciones Afrocolombianas </w:t>
      </w:r>
      <w:r w:rsidRPr="009D3FAE">
        <w:rPr>
          <w:szCs w:val="20"/>
        </w:rPr>
        <w:t>Consultorio Jurídico Mujeres de la Universidad de los Andes y la Escuela Nacional Sindical.</w:t>
      </w:r>
    </w:p>
  </w:footnote>
  <w:footnote w:id="205">
    <w:p w:rsidR="00E41171" w:rsidRPr="009D3FAE" w:rsidRDefault="003E425B" w:rsidP="002860D7">
      <w:pPr>
        <w:pStyle w:val="Textonotapie"/>
      </w:pPr>
      <w:r w:rsidRPr="009D3FAE">
        <w:rPr>
          <w:rStyle w:val="Refdenotaalpie"/>
        </w:rPr>
        <w:footnoteRef/>
      </w:r>
      <w:r w:rsidRPr="009D3FAE">
        <w:t xml:space="preserve"> </w:t>
      </w:r>
      <w:r w:rsidRPr="009D3FAE">
        <w:rPr>
          <w:i/>
          <w:iCs/>
        </w:rPr>
        <w:t>Cfr.</w:t>
      </w:r>
      <w:r w:rsidRPr="009D3FAE">
        <w:t xml:space="preserve"> Intervención del DAPRE, Conferencia Nacional de Organizaciones Afrocolombiana</w:t>
      </w:r>
      <w:r w:rsidRPr="009D3FAE">
        <w:t xml:space="preserve">s </w:t>
      </w:r>
      <w:r w:rsidRPr="009D3FAE">
        <w:rPr>
          <w:szCs w:val="20"/>
        </w:rPr>
        <w:t>Consultorio Jurídico Mujeres de la Universidad de los Andes y la Escuela Nacional Sindical.</w:t>
      </w:r>
    </w:p>
  </w:footnote>
  <w:footnote w:id="206">
    <w:p w:rsidR="00E41171" w:rsidRPr="009D3FAE" w:rsidRDefault="003E425B" w:rsidP="002860D7">
      <w:pPr>
        <w:pStyle w:val="Textonotapie"/>
      </w:pPr>
      <w:r w:rsidRPr="009D3FAE">
        <w:rPr>
          <w:rStyle w:val="Refdenotaalpie"/>
        </w:rPr>
        <w:footnoteRef/>
      </w:r>
      <w:r w:rsidRPr="009D3FAE">
        <w:t xml:space="preserve"> </w:t>
      </w:r>
      <w:r w:rsidRPr="009D3FAE">
        <w:rPr>
          <w:i/>
          <w:iCs/>
        </w:rPr>
        <w:t xml:space="preserve">Cfr. </w:t>
      </w:r>
      <w:r w:rsidRPr="009D3FAE">
        <w:t xml:space="preserve">Intervención de la </w:t>
      </w:r>
      <w:r w:rsidRPr="009D3FAE">
        <w:rPr>
          <w:szCs w:val="20"/>
        </w:rPr>
        <w:t>Red de Mujeres del Caribe, la Red de Mujeres Afrolatinoamericanas, Afrocaribeñas y de la Diáspora, la Mesa Nacional del Cuidado del Movi</w:t>
      </w:r>
      <w:r w:rsidRPr="009D3FAE">
        <w:rPr>
          <w:szCs w:val="20"/>
        </w:rPr>
        <w:t>miento de Cuidadores Familiares de Personas con Discapacidad y Dependencia Funcional de Colombia, la Corporación Casa de la Mujer.</w:t>
      </w:r>
    </w:p>
  </w:footnote>
  <w:footnote w:id="207">
    <w:p w:rsidR="00E41171" w:rsidRPr="009D3FAE" w:rsidRDefault="003E425B" w:rsidP="00B706FF">
      <w:pPr>
        <w:pStyle w:val="Textonotapie"/>
      </w:pPr>
      <w:r w:rsidRPr="009D3FAE">
        <w:rPr>
          <w:rStyle w:val="Refdenotaalpie"/>
        </w:rPr>
        <w:footnoteRef/>
      </w:r>
      <w:r w:rsidRPr="009D3FAE">
        <w:t xml:space="preserve"> Intervención del </w:t>
      </w:r>
      <w:r w:rsidRPr="009D3FAE">
        <w:rPr>
          <w:szCs w:val="20"/>
        </w:rPr>
        <w:t>Departamento Administrativo de la Presidencia de la República, pág. 33.</w:t>
      </w:r>
    </w:p>
  </w:footnote>
  <w:footnote w:id="20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w:t>
      </w:r>
      <w:r w:rsidRPr="009D3FAE">
        <w:rPr>
          <w:rFonts w:cs="Times New Roman"/>
          <w:szCs w:val="20"/>
        </w:rPr>
        <w:t xml:space="preserve"> C-289 de 2014, C-052 de 2015, C-075 de 2022 y C-085 de 2022. </w:t>
      </w:r>
    </w:p>
  </w:footnote>
  <w:footnote w:id="20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C-085 de 2022. </w:t>
      </w:r>
    </w:p>
  </w:footnote>
  <w:footnote w:id="21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w:t>
      </w:r>
    </w:p>
  </w:footnote>
  <w:footnote w:id="21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Asamblea Nacional Constituyente. Informe – Ponencia. “Rama Legislativa del Poder Público”. Álvaro Echeverry Uruburo, Hernando Yepes Ar</w:t>
      </w:r>
      <w:r w:rsidRPr="009D3FAE">
        <w:rPr>
          <w:rFonts w:cs="Times New Roman"/>
          <w:szCs w:val="20"/>
        </w:rPr>
        <w:t>cila, Alfonso Palacio Rudas y Luis Guillermo Nieto Roa, Arturo Mejía Borda. </w:t>
      </w:r>
      <w:r w:rsidRPr="009D3FAE">
        <w:rPr>
          <w:rFonts w:cs="Times New Roman"/>
          <w:i/>
          <w:iCs/>
          <w:szCs w:val="20"/>
        </w:rPr>
        <w:t>Gaceta Constitucional</w:t>
      </w:r>
      <w:r w:rsidRPr="009D3FAE">
        <w:rPr>
          <w:rFonts w:cs="Times New Roman"/>
          <w:szCs w:val="20"/>
        </w:rPr>
        <w:t>, Nº 79, Bogotá, D.E., miércoles 22 de mayo de 1991, pp. 2-32.</w:t>
      </w:r>
    </w:p>
  </w:footnote>
  <w:footnote w:id="212">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sentencias C-337 de 1993, C-423 de 1995, C-600A de 1995, C-281 de 1997, </w:t>
      </w:r>
      <w:r w:rsidRPr="009D3FAE">
        <w:rPr>
          <w:rFonts w:cs="Times New Roman"/>
          <w:szCs w:val="20"/>
          <w:lang w:val="es-ES"/>
        </w:rPr>
        <w:t xml:space="preserve">C-432 de 2000, C-442 de 2001, C-540 de 2001, C-615 de 2002, C-955 de 2007, C-1042 de 2007, C701 de 2010, C-494 de 2015 y C-026 de 2018. </w:t>
      </w:r>
    </w:p>
  </w:footnote>
  <w:footnote w:id="213">
    <w:p w:rsidR="00E41171" w:rsidRPr="009D3FAE" w:rsidRDefault="003E425B" w:rsidP="002860D7">
      <w:pPr>
        <w:pStyle w:val="Textonotapie"/>
        <w:shd w:val="clear" w:color="auto" w:fill="FFFFFF" w:themeFill="background1"/>
        <w:rPr>
          <w:rFonts w:cs="Times New Roman"/>
          <w:szCs w:val="20"/>
        </w:rPr>
      </w:pPr>
      <w:r w:rsidRPr="009D3FAE">
        <w:rPr>
          <w:rFonts w:cs="Times New Roman"/>
          <w:color w:val="auto"/>
          <w:szCs w:val="20"/>
          <w:vertAlign w:val="superscript"/>
        </w:rPr>
        <w:footnoteRef/>
      </w:r>
      <w:r w:rsidRPr="009D3FAE">
        <w:rPr>
          <w:rFonts w:cs="Times New Roman"/>
          <w:color w:val="auto"/>
          <w:szCs w:val="20"/>
        </w:rPr>
        <w:t xml:space="preserve"> Corte Constitucional, sentencias C-1246 de 2001, C-072 de 2006, entre otras.</w:t>
      </w:r>
    </w:p>
  </w:footnote>
  <w:footnote w:id="214">
    <w:p w:rsidR="00E41171" w:rsidRPr="009D3FAE" w:rsidRDefault="003E425B" w:rsidP="002860D7">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Corte Constitucional, sentencias C-856 de 2006, C-373 de 2009, C-051 de 2018 y C-085 de 2022.</w:t>
      </w:r>
    </w:p>
  </w:footnote>
  <w:footnote w:id="215">
    <w:p w:rsidR="00E41171" w:rsidRPr="009D3FAE" w:rsidRDefault="003E425B" w:rsidP="002860D7">
      <w:pPr>
        <w:pStyle w:val="Textonotapie"/>
        <w:shd w:val="clear" w:color="auto" w:fill="FFFFFF" w:themeFill="background1"/>
        <w:rPr>
          <w:rFonts w:cs="Times New Roman"/>
          <w:szCs w:val="20"/>
        </w:rPr>
      </w:pPr>
      <w:r w:rsidRPr="009D3FAE">
        <w:rPr>
          <w:rFonts w:cs="Times New Roman"/>
          <w:color w:val="auto"/>
          <w:szCs w:val="20"/>
          <w:vertAlign w:val="superscript"/>
        </w:rPr>
        <w:footnoteRef/>
      </w:r>
      <w:r w:rsidRPr="009D3FAE">
        <w:rPr>
          <w:rFonts w:cs="Times New Roman"/>
          <w:color w:val="auto"/>
          <w:szCs w:val="20"/>
        </w:rPr>
        <w:t xml:space="preserve"> Corte Constitucional, sentencias C-700 de 2010 y C-866 de 2010, esta última reiterada en sentencia C-520 de 2019.</w:t>
      </w:r>
    </w:p>
  </w:footnote>
  <w:footnote w:id="21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C-170 de 2021 y C-133 de 2022. </w:t>
      </w:r>
    </w:p>
  </w:footnote>
  <w:footnote w:id="21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C-322 de 2021. </w:t>
      </w:r>
    </w:p>
  </w:footnote>
  <w:footnote w:id="21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C-425 de 2023. </w:t>
      </w:r>
    </w:p>
  </w:footnote>
  <w:footnote w:id="21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Ley 819 de 2003, art. 1. “Marco fiscal de mediano plazo. Antes del 15 de junio de cada v</w:t>
      </w:r>
      <w:r w:rsidRPr="009D3FAE">
        <w:rPr>
          <w:rFonts w:cs="Times New Roman"/>
          <w:szCs w:val="20"/>
        </w:rPr>
        <w:t>igencia fiscal, el Gobierno Nacional, presentará a las Comisiones Económicas del Senado y de la Cámara de Representantes, un Marco Fiscal de Mediano Plazo, el cual será estudiado y discutido con prioridad durante el primer debate de la Ley Anual de Presupu</w:t>
      </w:r>
      <w:r w:rsidRPr="009D3FAE">
        <w:rPr>
          <w:rFonts w:cs="Times New Roman"/>
          <w:szCs w:val="20"/>
        </w:rPr>
        <w:t xml:space="preserve">esto. Este Marco contendrá, como mínimo: (…) g) El costo fiscal de las leyes sancionadas en la vigencia fiscal anterior (…)”. </w:t>
      </w:r>
    </w:p>
  </w:footnote>
  <w:footnote w:id="220">
    <w:p w:rsidR="00E41171" w:rsidRPr="009D3FAE" w:rsidRDefault="003E425B">
      <w:pPr>
        <w:pStyle w:val="Textonotapie"/>
      </w:pPr>
      <w:r w:rsidRPr="009D3FAE">
        <w:rPr>
          <w:rStyle w:val="Refdenotaalpie"/>
        </w:rPr>
        <w:footnoteRef/>
      </w:r>
      <w:r w:rsidRPr="009D3FAE">
        <w:t xml:space="preserve"> Corte Constitucional, sentencia C-110 de 2019. </w:t>
      </w:r>
    </w:p>
  </w:footnote>
  <w:footnote w:id="221">
    <w:p w:rsidR="00E41171" w:rsidRPr="009D3FAE" w:rsidRDefault="003E425B">
      <w:pPr>
        <w:pStyle w:val="Textonotapie"/>
      </w:pPr>
      <w:r w:rsidRPr="009D3FAE">
        <w:rPr>
          <w:rStyle w:val="Refdenotaalpie"/>
        </w:rPr>
        <w:footnoteRef/>
      </w:r>
      <w:r w:rsidRPr="009D3FAE">
        <w:t xml:space="preserve"> Corte Constitucional, sentencias C-110 de 2019, C-170 de 2021, C-133 de 2022 </w:t>
      </w:r>
      <w:r w:rsidRPr="009D3FAE">
        <w:t xml:space="preserve">C-034 de 2023 y C-425 de 023, entre muchas otras. </w:t>
      </w:r>
    </w:p>
  </w:footnote>
  <w:footnote w:id="22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i/>
          <w:iCs/>
          <w:szCs w:val="20"/>
        </w:rPr>
        <w:t xml:space="preserve">Cfr. </w:t>
      </w:r>
      <w:r w:rsidRPr="009D3FAE">
        <w:rPr>
          <w:rFonts w:cs="Times New Roman"/>
          <w:szCs w:val="20"/>
        </w:rPr>
        <w:t>Corte Constitucional, sentencias C-502 de 2007, C-315 de 2008, C-1139 de 2008, C-286 de 2009, C-373 de 2009, C-506 de 2009, C-662 de 2009, C-238 de 2010, C-398 de 2010, C-866 de 2010, C-490 de 2011,</w:t>
      </w:r>
      <w:r w:rsidRPr="009D3FAE">
        <w:rPr>
          <w:rFonts w:cs="Times New Roman"/>
          <w:szCs w:val="20"/>
        </w:rPr>
        <w:t xml:space="preserve"> C-154 de 2016, C-051 de 2018, C-026 de 2018, C-093 de 2018, C-110 de 2019, C-520 de 2019, C-451 de 2020, C-170 de 2021, C-322 de 2021, C-124 de 2022, C-175 de 2023, C-349 de 2023, entre otras. </w:t>
      </w:r>
    </w:p>
  </w:footnote>
  <w:footnote w:id="22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w:t>
      </w:r>
    </w:p>
  </w:footnote>
  <w:footnote w:id="224">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Corte Constitucional, sentencias C-075 de 2022, C-08</w:t>
      </w:r>
      <w:r w:rsidRPr="009D3FAE">
        <w:rPr>
          <w:rFonts w:cs="Times New Roman"/>
          <w:szCs w:val="20"/>
          <w:lang w:val="es-ES"/>
        </w:rPr>
        <w:t xml:space="preserve">5 de 2022, C-124 de 2022 y C-425 de 2023. </w:t>
      </w:r>
    </w:p>
  </w:footnote>
  <w:footnote w:id="225">
    <w:p w:rsidR="00E41171" w:rsidRPr="009D3FAE" w:rsidRDefault="003E425B">
      <w:pPr>
        <w:pStyle w:val="Textonotapie"/>
      </w:pPr>
      <w:r w:rsidRPr="009D3FAE">
        <w:rPr>
          <w:rStyle w:val="Refdenotaalpie"/>
        </w:rPr>
        <w:footnoteRef/>
      </w:r>
      <w:r w:rsidRPr="009D3FAE">
        <w:t xml:space="preserve"> Corte Constitucional, sentencias C-085 de 2022. Ver también, sentencias C-288 de 2012, C-110 de 2019 y C-322 de 2021. </w:t>
      </w:r>
    </w:p>
  </w:footnote>
  <w:footnote w:id="22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Ley 1473 de 2011, art. 7º. </w:t>
      </w:r>
    </w:p>
  </w:footnote>
  <w:footnote w:id="22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C-322 de 2021. </w:t>
      </w:r>
    </w:p>
  </w:footnote>
  <w:footnote w:id="22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w:t>
      </w:r>
      <w:r w:rsidRPr="009D3FAE">
        <w:rPr>
          <w:rFonts w:cs="Times New Roman"/>
          <w:szCs w:val="20"/>
        </w:rPr>
        <w:t>titucional, sentencias</w:t>
      </w:r>
      <w:r w:rsidRPr="009D3FAE">
        <w:rPr>
          <w:rFonts w:cs="Times New Roman"/>
          <w:szCs w:val="20"/>
          <w:lang w:val="es-ES"/>
        </w:rPr>
        <w:t xml:space="preserve"> C-753 de 2013 y C-322 de 2021. </w:t>
      </w:r>
    </w:p>
  </w:footnote>
  <w:footnote w:id="22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C-110 de 2019. </w:t>
      </w:r>
    </w:p>
  </w:footnote>
  <w:footnote w:id="23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C-753 de 2013. </w:t>
      </w:r>
    </w:p>
  </w:footnote>
  <w:footnote w:id="23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C-110 de 2019.</w:t>
      </w:r>
    </w:p>
  </w:footnote>
  <w:footnote w:id="232">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sentencias </w:t>
      </w:r>
      <w:r w:rsidRPr="009D3FAE">
        <w:rPr>
          <w:rFonts w:cs="Times New Roman"/>
          <w:szCs w:val="20"/>
        </w:rPr>
        <w:t xml:space="preserve">C-502 de 2007 y C-955 de 2007. </w:t>
      </w:r>
    </w:p>
  </w:footnote>
  <w:footnote w:id="233">
    <w:p w:rsidR="00E41171" w:rsidRPr="009D3FAE" w:rsidRDefault="003E425B" w:rsidP="002860D7">
      <w:pPr>
        <w:pStyle w:val="Textonotapie"/>
        <w:ind w:right="-141"/>
        <w:rPr>
          <w:rFonts w:cs="Times New Roman"/>
          <w:szCs w:val="20"/>
          <w:lang w:val="es-ES"/>
        </w:rPr>
      </w:pPr>
      <w:r w:rsidRPr="009D3FAE">
        <w:rPr>
          <w:rStyle w:val="Refdenotaalpie"/>
          <w:rFonts w:cs="Times New Roman"/>
          <w:szCs w:val="20"/>
        </w:rPr>
        <w:footnoteRef/>
      </w:r>
      <w:r w:rsidRPr="009D3FAE">
        <w:rPr>
          <w:rFonts w:cs="Times New Roman"/>
          <w:szCs w:val="20"/>
        </w:rPr>
        <w:t xml:space="preserve"> Corte Constitucional, sentencia</w:t>
      </w:r>
      <w:r w:rsidRPr="009D3FAE">
        <w:rPr>
          <w:rFonts w:cs="Times New Roman"/>
          <w:szCs w:val="20"/>
          <w:lang w:val="es-ES"/>
        </w:rPr>
        <w:t xml:space="preserve"> C-776 de 2010.</w:t>
      </w:r>
    </w:p>
  </w:footnote>
  <w:footnote w:id="23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C-085 de 2022. </w:t>
      </w:r>
    </w:p>
  </w:footnote>
  <w:footnote w:id="235">
    <w:p w:rsidR="00E41171" w:rsidRPr="009D3FAE" w:rsidRDefault="003E425B" w:rsidP="002860D7">
      <w:pPr>
        <w:pStyle w:val="Textonotapie"/>
        <w:rPr>
          <w:rFonts w:cs="Times New Roman"/>
          <w:szCs w:val="20"/>
        </w:rPr>
      </w:pPr>
      <w:r w:rsidRPr="009D3FAE">
        <w:rPr>
          <w:rFonts w:cs="Times New Roman"/>
          <w:szCs w:val="20"/>
          <w:vertAlign w:val="superscript"/>
        </w:rPr>
        <w:footnoteRef/>
      </w:r>
      <w:r w:rsidRPr="009D3FAE">
        <w:rPr>
          <w:rFonts w:cs="Times New Roman"/>
          <w:szCs w:val="20"/>
        </w:rPr>
        <w:t xml:space="preserve"> </w:t>
      </w:r>
      <w:r w:rsidRPr="009D3FAE">
        <w:rPr>
          <w:rFonts w:cs="Times New Roman"/>
          <w:bCs/>
          <w:szCs w:val="20"/>
        </w:rPr>
        <w:t>Gaceta del Congreso No. 86 del 8 de abril de 2002.</w:t>
      </w:r>
    </w:p>
  </w:footnote>
  <w:footnote w:id="23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C-315 de 2008, C-506 de 2009, C-662 d</w:t>
      </w:r>
      <w:r w:rsidRPr="009D3FAE">
        <w:rPr>
          <w:rFonts w:cs="Times New Roman"/>
          <w:szCs w:val="20"/>
        </w:rPr>
        <w:t>e 2009, C-490 de 2011, C-026 de 2018, C-093 de 2018, C-110 de 2019, C-170 de 2021, C-124 de 2022 y C-459 de 2023.</w:t>
      </w:r>
    </w:p>
  </w:footnote>
  <w:footnote w:id="237">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C-502 de 2007. </w:t>
      </w:r>
    </w:p>
  </w:footnote>
  <w:footnote w:id="23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C-502 de 2007. </w:t>
      </w:r>
      <w:r w:rsidRPr="009D3FAE">
        <w:rPr>
          <w:rFonts w:cs="Times New Roman"/>
          <w:i/>
          <w:iCs/>
          <w:szCs w:val="20"/>
        </w:rPr>
        <w:t>Cfr.</w:t>
      </w:r>
      <w:r w:rsidRPr="009D3FAE">
        <w:rPr>
          <w:rFonts w:cs="Times New Roman"/>
          <w:szCs w:val="20"/>
        </w:rPr>
        <w:t xml:space="preserve"> Sentencias C-315 de 2008, C-731 de 200</w:t>
      </w:r>
      <w:r w:rsidRPr="009D3FAE">
        <w:rPr>
          <w:rFonts w:cs="Times New Roman"/>
          <w:szCs w:val="20"/>
        </w:rPr>
        <w:t>8, C-373 de 2009, C-506 de 2009, C-662 de 2009, C-238 de 2010, C-625 de 2010, C-866 de 2010, C-490 de 2011, C-154 de 2016, C-026 de 2018, C-110 de 2019, C-520 de 2019, C-175 de 2023, entre muchas otras.</w:t>
      </w:r>
    </w:p>
  </w:footnote>
  <w:footnote w:id="23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C-133 de 2022. </w:t>
      </w:r>
    </w:p>
  </w:footnote>
  <w:footnote w:id="24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w:t>
      </w:r>
      <w:r w:rsidRPr="009D3FAE">
        <w:rPr>
          <w:rFonts w:cs="Times New Roman"/>
          <w:szCs w:val="20"/>
        </w:rPr>
        <w:t xml:space="preserve">orte Constitucional, sentencia C-134 de 2023. </w:t>
      </w:r>
    </w:p>
  </w:footnote>
  <w:footnote w:id="241">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Corte Constitucional, sentencias C-1113 de 2004, C-500 de 2005, C-072 de 2006, C-856 de 2006, C-502 de 2007, C-955 de 2007, C-1139 de 2008, C-286 de 2009, C-238 de 2010, C-398 de 2010, C-765 de 2012, C-274 d</w:t>
      </w:r>
      <w:r w:rsidRPr="009D3FAE">
        <w:rPr>
          <w:rFonts w:cs="Times New Roman"/>
          <w:szCs w:val="20"/>
          <w:lang w:val="es-ES"/>
        </w:rPr>
        <w:t xml:space="preserve">e 2013, C-110 de 2019, C-075 de 2022, C-124 de 2022, C-361 de 2023, entre otras. </w:t>
      </w:r>
    </w:p>
  </w:footnote>
  <w:footnote w:id="242">
    <w:p w:rsidR="00E41171" w:rsidRPr="009D3FAE" w:rsidRDefault="003E425B" w:rsidP="002860D7">
      <w:pPr>
        <w:pStyle w:val="Textonotapie"/>
        <w:ind w:right="-234"/>
        <w:rPr>
          <w:rFonts w:cs="Times New Roman"/>
          <w:szCs w:val="20"/>
        </w:rPr>
      </w:pPr>
      <w:r w:rsidRPr="009D3FAE">
        <w:rPr>
          <w:rStyle w:val="Refdenotaalpie"/>
          <w:rFonts w:cs="Times New Roman"/>
          <w:iCs/>
          <w:szCs w:val="20"/>
        </w:rPr>
        <w:footnoteRef/>
      </w:r>
      <w:r w:rsidRPr="009D3FAE">
        <w:rPr>
          <w:rFonts w:cs="Times New Roman"/>
          <w:szCs w:val="20"/>
        </w:rPr>
        <w:t xml:space="preserve"> Corte Constitucional, sentencias C-091 de 2021, C-170 de 2021, C-187 de 2022 y C-175 de 2023.</w:t>
      </w:r>
    </w:p>
  </w:footnote>
  <w:footnote w:id="243">
    <w:p w:rsidR="00E41171" w:rsidRPr="009D3FAE" w:rsidRDefault="003E425B" w:rsidP="002860D7">
      <w:pPr>
        <w:pStyle w:val="Textonotapie"/>
        <w:ind w:right="-234"/>
        <w:rPr>
          <w:rFonts w:cs="Times New Roman"/>
          <w:szCs w:val="20"/>
        </w:rPr>
      </w:pPr>
      <w:r w:rsidRPr="009D3FAE">
        <w:rPr>
          <w:rStyle w:val="Refdenotaalpie"/>
          <w:rFonts w:cs="Times New Roman"/>
          <w:iCs/>
          <w:szCs w:val="20"/>
        </w:rPr>
        <w:footnoteRef/>
      </w:r>
      <w:r w:rsidRPr="009D3FAE">
        <w:rPr>
          <w:rFonts w:cs="Times New Roman"/>
          <w:szCs w:val="20"/>
        </w:rPr>
        <w:t xml:space="preserve"> Corte Constitucional, sentencias C-989 de 2004, C-091 de 2021, C-175 de 2023 y C-361 de 2023.</w:t>
      </w:r>
    </w:p>
  </w:footnote>
  <w:footnote w:id="24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C-170 de 2021. </w:t>
      </w:r>
    </w:p>
  </w:footnote>
  <w:footnote w:id="24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C-1139 de 2008, C-286 de 2009, C-767 de 2010 y C-134 de 2023.</w:t>
      </w:r>
    </w:p>
  </w:footnote>
  <w:footnote w:id="24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w:t>
      </w:r>
      <w:r w:rsidRPr="009D3FAE">
        <w:rPr>
          <w:rFonts w:cs="Times New Roman"/>
          <w:szCs w:val="20"/>
        </w:rPr>
        <w:t>tucional, sentencias C-473 de 2005, C-856 de 2006, C-731 de 2008, C-1139 de 2008, C-1200 de 2008, C-015A de 2009, C-286 de 2009, C-441 de 2009, C-506 de 2009, C-238 de 2010, C-373 de 2010, C-767 de 2010, C-490 de 2011, C-274 de 2013, C-026 de 2018, C-051 d</w:t>
      </w:r>
      <w:r w:rsidRPr="009D3FAE">
        <w:rPr>
          <w:rFonts w:cs="Times New Roman"/>
          <w:szCs w:val="20"/>
        </w:rPr>
        <w:t xml:space="preserve">e 2018 y C-093 de 2018. </w:t>
      </w:r>
    </w:p>
  </w:footnote>
  <w:footnote w:id="24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C-134 de 2023, C-133 de 2022, C-124 de 2022 y C-085 de 2022</w:t>
      </w:r>
    </w:p>
  </w:footnote>
  <w:footnote w:id="24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C-856 de 2006, </w:t>
      </w:r>
      <w:r w:rsidRPr="009D3FAE">
        <w:rPr>
          <w:rFonts w:cs="Times New Roman"/>
          <w:szCs w:val="20"/>
          <w:lang w:val="es-ES"/>
        </w:rPr>
        <w:t xml:space="preserve">C-731 de 2008, C-015A de 2009, C-286 de 2009, C-133 de 2022, </w:t>
      </w:r>
      <w:r w:rsidRPr="009D3FAE">
        <w:rPr>
          <w:rFonts w:cs="Times New Roman"/>
          <w:szCs w:val="20"/>
        </w:rPr>
        <w:t xml:space="preserve">C-085 de 2022 y C-034 de </w:t>
      </w:r>
      <w:r w:rsidRPr="009D3FAE">
        <w:rPr>
          <w:rFonts w:cs="Times New Roman"/>
          <w:szCs w:val="20"/>
        </w:rPr>
        <w:t xml:space="preserve">2022. </w:t>
      </w:r>
    </w:p>
  </w:footnote>
  <w:footnote w:id="24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C-134 de 2023. </w:t>
      </w:r>
    </w:p>
  </w:footnote>
  <w:footnote w:id="25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C-093 de 2024. </w:t>
      </w:r>
    </w:p>
  </w:footnote>
  <w:footnote w:id="25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C-093 de 2024. </w:t>
      </w:r>
    </w:p>
  </w:footnote>
  <w:footnote w:id="252">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Corte Constitucional, sentencia C-015A de 2009.</w:t>
      </w:r>
    </w:p>
  </w:footnote>
  <w:footnote w:id="253">
    <w:p w:rsidR="00E41171" w:rsidRPr="009D3FAE" w:rsidRDefault="003E425B">
      <w:pPr>
        <w:pStyle w:val="Textonotapie"/>
      </w:pPr>
      <w:r w:rsidRPr="009D3FAE">
        <w:rPr>
          <w:rStyle w:val="Refdenotaalpie"/>
        </w:rPr>
        <w:footnoteRef/>
      </w:r>
      <w:r w:rsidRPr="009D3FAE">
        <w:t xml:space="preserve"> Corte Constitucional, sentencia C-093 de 2024. </w:t>
      </w:r>
    </w:p>
  </w:footnote>
  <w:footnote w:id="254">
    <w:p w:rsidR="00E41171" w:rsidRPr="009D3FAE" w:rsidRDefault="003E425B" w:rsidP="002860D7">
      <w:pPr>
        <w:pStyle w:val="Corte"/>
        <w:spacing w:before="0"/>
        <w:mirrorIndents/>
      </w:pPr>
      <w:r w:rsidRPr="009D3FAE">
        <w:rPr>
          <w:rStyle w:val="Refdenotaalpie"/>
        </w:rPr>
        <w:footnoteRef/>
      </w:r>
      <w:r w:rsidRPr="009D3FAE">
        <w:t xml:space="preserve"> Corte Constitucional, sentencia C-856 de 2006 y C-425 de 2023.</w:t>
      </w:r>
    </w:p>
  </w:footnote>
  <w:footnote w:id="255">
    <w:p w:rsidR="00E41171" w:rsidRPr="009D3FAE" w:rsidRDefault="003E425B" w:rsidP="002860D7">
      <w:pPr>
        <w:pStyle w:val="Corte"/>
        <w:spacing w:before="0"/>
        <w:mirrorIndents/>
      </w:pPr>
      <w:r w:rsidRPr="009D3FAE">
        <w:rPr>
          <w:rStyle w:val="Refdenotaalpie"/>
        </w:rPr>
        <w:footnoteRef/>
      </w:r>
      <w:r w:rsidRPr="009D3FAE">
        <w:t xml:space="preserve"> Corte Constitucional sentencias C-075 de 2022, C-700 de 2010 y C-425 de 2023.</w:t>
      </w:r>
    </w:p>
  </w:footnote>
  <w:footnote w:id="25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w:t>
      </w:r>
      <w:r w:rsidRPr="009D3FAE">
        <w:rPr>
          <w:rFonts w:cs="Times New Roman"/>
          <w:szCs w:val="20"/>
          <w:lang w:eastAsia="es-MX"/>
        </w:rPr>
        <w:t xml:space="preserve">C-955 de 2007, C-1011 de 2018, C-540 de 2012, C-154 de 2016, C-133 de 2022 </w:t>
      </w:r>
      <w:r w:rsidRPr="009D3FAE">
        <w:rPr>
          <w:rFonts w:cs="Times New Roman"/>
          <w:szCs w:val="20"/>
          <w:lang w:eastAsia="es-MX"/>
        </w:rPr>
        <w:t>y C-134 de 2023</w:t>
      </w:r>
      <w:r w:rsidRPr="009D3FAE">
        <w:rPr>
          <w:rFonts w:cs="Times New Roman"/>
          <w:szCs w:val="20"/>
        </w:rPr>
        <w:t>.</w:t>
      </w:r>
    </w:p>
  </w:footnote>
  <w:footnote w:id="25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C-425 de 2023. Ver también, sentencias C-282 de 2021 y C-856 de 2006. </w:t>
      </w:r>
    </w:p>
  </w:footnote>
  <w:footnote w:id="25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C-1011 de 2008. </w:t>
      </w:r>
    </w:p>
  </w:footnote>
  <w:footnote w:id="259">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sentencias C-085 de 2022 y C-124 de 2022. </w:t>
      </w:r>
    </w:p>
  </w:footnote>
  <w:footnote w:id="260">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Corte Constitu</w:t>
      </w:r>
      <w:r w:rsidRPr="009D3FAE">
        <w:rPr>
          <w:rFonts w:cs="Times New Roman"/>
          <w:szCs w:val="20"/>
          <w:lang w:val="es-ES"/>
        </w:rPr>
        <w:t>cional, sentencia C-134 de 2023.</w:t>
      </w:r>
    </w:p>
  </w:footnote>
  <w:footnote w:id="26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C-395 de 2021 y C-085 de 2022. </w:t>
      </w:r>
    </w:p>
  </w:footnote>
  <w:footnote w:id="26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C-134 de 2023. </w:t>
      </w:r>
    </w:p>
  </w:footnote>
  <w:footnote w:id="26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w:t>
      </w:r>
    </w:p>
  </w:footnote>
  <w:footnote w:id="26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C-373 de 2009, C-170 de 2021, C-322 de 2021, C-395 de 2021, C-13</w:t>
      </w:r>
      <w:r w:rsidRPr="009D3FAE">
        <w:rPr>
          <w:rFonts w:cs="Times New Roman"/>
          <w:szCs w:val="20"/>
        </w:rPr>
        <w:t xml:space="preserve">4 de 2023, C-425 de 2023 y C-459 de 2023. </w:t>
      </w:r>
    </w:p>
  </w:footnote>
  <w:footnote w:id="26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C-170 de 2021, C-322 de 2021, C-175 de 2023, C-424 de 2023 y C-459 de 2023. </w:t>
      </w:r>
    </w:p>
  </w:footnote>
  <w:footnote w:id="26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C-170 de 202 y C-085 de 2022. Ver también, sentencias C-955 de 200</w:t>
      </w:r>
      <w:r w:rsidRPr="009D3FAE">
        <w:rPr>
          <w:rFonts w:cs="Times New Roman"/>
          <w:szCs w:val="20"/>
        </w:rPr>
        <w:t xml:space="preserve">7, C-502 de 2007, C-238 de 2010, C-866 de 2010 y C-349 de 2023. </w:t>
      </w:r>
    </w:p>
  </w:footnote>
  <w:footnote w:id="26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C-425 de 2023. </w:t>
      </w:r>
    </w:p>
  </w:footnote>
  <w:footnote w:id="268">
    <w:p w:rsidR="00E41171" w:rsidRPr="009D3FAE" w:rsidRDefault="003E425B" w:rsidP="002860D7">
      <w:pPr>
        <w:pStyle w:val="Prrafodelista"/>
        <w:spacing w:line="240" w:lineRule="auto"/>
        <w:ind w:left="0"/>
        <w:rPr>
          <w:sz w:val="20"/>
          <w:szCs w:val="20"/>
        </w:rPr>
      </w:pPr>
      <w:r w:rsidRPr="009D3FAE">
        <w:rPr>
          <w:sz w:val="20"/>
          <w:szCs w:val="20"/>
          <w:vertAlign w:val="superscript"/>
        </w:rPr>
        <w:footnoteRef/>
      </w:r>
      <w:r w:rsidRPr="009D3FAE">
        <w:rPr>
          <w:sz w:val="20"/>
          <w:szCs w:val="20"/>
        </w:rPr>
        <w:t xml:space="preserve"> Ib.</w:t>
      </w:r>
    </w:p>
  </w:footnote>
  <w:footnote w:id="269">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sentencias C-502 de 2007, C-520 de 2019 y C-134 de 2023. </w:t>
      </w:r>
    </w:p>
  </w:footnote>
  <w:footnote w:id="27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C-075 de 2022. </w:t>
      </w:r>
      <w:r w:rsidRPr="009D3FAE">
        <w:rPr>
          <w:rFonts w:cs="Times New Roman"/>
          <w:i/>
          <w:szCs w:val="20"/>
        </w:rPr>
        <w:t xml:space="preserve">Cfr. </w:t>
      </w:r>
      <w:r w:rsidRPr="009D3FAE">
        <w:rPr>
          <w:rFonts w:cs="Times New Roman"/>
          <w:szCs w:val="20"/>
        </w:rPr>
        <w:t xml:space="preserve"> C-018 de 2018. Ver también, sentencia C-1139 de 2008. </w:t>
      </w:r>
    </w:p>
  </w:footnote>
  <w:footnote w:id="27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C-075 de 2022 y C-133 de 2022.</w:t>
      </w:r>
    </w:p>
  </w:footnote>
  <w:footnote w:id="272">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C-075 de 2022. </w:t>
      </w:r>
    </w:p>
  </w:footnote>
  <w:footnote w:id="273">
    <w:p w:rsidR="00E41171" w:rsidRPr="009D3FAE" w:rsidRDefault="003E425B" w:rsidP="002860D7">
      <w:pPr>
        <w:pStyle w:val="Textonotapie"/>
      </w:pPr>
      <w:r w:rsidRPr="009D3FAE">
        <w:rPr>
          <w:rStyle w:val="Refdenotaalpie"/>
        </w:rPr>
        <w:footnoteRef/>
      </w:r>
      <w:r w:rsidRPr="009D3FAE">
        <w:t xml:space="preserve"> Ib. </w:t>
      </w:r>
    </w:p>
  </w:footnote>
  <w:footnote w:id="274">
    <w:p w:rsidR="00E41171" w:rsidRPr="009D3FAE" w:rsidRDefault="003E425B" w:rsidP="00DE6373">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C-459 de 2023. </w:t>
      </w:r>
    </w:p>
  </w:footnote>
  <w:footnote w:id="275">
    <w:p w:rsidR="00E41171" w:rsidRPr="009D3FAE" w:rsidRDefault="003E425B" w:rsidP="00DE6373">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C-110 de 2019. </w:t>
      </w:r>
    </w:p>
  </w:footnote>
  <w:footnote w:id="27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w:t>
      </w:r>
      <w:r w:rsidRPr="009D3FAE">
        <w:rPr>
          <w:rFonts w:cs="Times New Roman"/>
          <w:szCs w:val="20"/>
        </w:rPr>
        <w:t>C-075 de 2022.</w:t>
      </w:r>
    </w:p>
  </w:footnote>
  <w:footnote w:id="27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w:t>
      </w:r>
      <w:r w:rsidRPr="009D3FAE">
        <w:rPr>
          <w:rFonts w:cs="Times New Roman"/>
          <w:szCs w:val="20"/>
        </w:rPr>
        <w:t>C-373 de 2009.</w:t>
      </w:r>
    </w:p>
  </w:footnote>
  <w:footnote w:id="27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w:t>
      </w:r>
      <w:r w:rsidRPr="009D3FAE">
        <w:rPr>
          <w:rFonts w:cs="Times New Roman"/>
          <w:szCs w:val="20"/>
        </w:rPr>
        <w:t>C-955 de 2007.</w:t>
      </w:r>
    </w:p>
  </w:footnote>
  <w:footnote w:id="27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w:t>
      </w:r>
      <w:r w:rsidRPr="009D3FAE">
        <w:rPr>
          <w:rFonts w:cs="Times New Roman"/>
          <w:szCs w:val="20"/>
        </w:rPr>
        <w:t>C-154 de 2016.</w:t>
      </w:r>
    </w:p>
  </w:footnote>
  <w:footnote w:id="28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Corte Con</w:t>
      </w:r>
      <w:r w:rsidRPr="009D3FAE">
        <w:rPr>
          <w:rFonts w:cs="Times New Roman"/>
          <w:szCs w:val="20"/>
          <w:lang w:val="es-ES"/>
        </w:rPr>
        <w:t xml:space="preserve">stitucional, sentencia </w:t>
      </w:r>
      <w:r w:rsidRPr="009D3FAE">
        <w:rPr>
          <w:rFonts w:cs="Times New Roman"/>
          <w:szCs w:val="20"/>
        </w:rPr>
        <w:t>C-018 de 2018.</w:t>
      </w:r>
    </w:p>
  </w:footnote>
  <w:footnote w:id="281">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C-874 de 2005. </w:t>
      </w:r>
    </w:p>
  </w:footnote>
  <w:footnote w:id="28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w:t>
      </w:r>
      <w:r w:rsidRPr="009D3FAE">
        <w:rPr>
          <w:rFonts w:cs="Times New Roman"/>
          <w:szCs w:val="20"/>
        </w:rPr>
        <w:t>C-154 de 2016.</w:t>
      </w:r>
    </w:p>
  </w:footnote>
  <w:footnote w:id="28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C-133 de 2022. </w:t>
      </w:r>
    </w:p>
  </w:footnote>
  <w:footnote w:id="284">
    <w:p w:rsidR="00E41171" w:rsidRPr="009D3FAE" w:rsidRDefault="003E425B" w:rsidP="002860D7">
      <w:pPr>
        <w:pStyle w:val="Textonotapie"/>
        <w:ind w:right="-234"/>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C-373 de 2009.</w:t>
      </w:r>
    </w:p>
  </w:footnote>
  <w:footnote w:id="28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w:t>
      </w:r>
      <w:r w:rsidRPr="009D3FAE">
        <w:rPr>
          <w:rFonts w:cs="Times New Roman"/>
          <w:szCs w:val="20"/>
        </w:rPr>
        <w:t xml:space="preserve">al, sentencia C-133 de 2022. </w:t>
      </w:r>
    </w:p>
  </w:footnote>
  <w:footnote w:id="28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w:t>
      </w:r>
      <w:r w:rsidRPr="009D3FAE">
        <w:rPr>
          <w:rFonts w:cs="Times New Roman"/>
          <w:iCs/>
          <w:szCs w:val="20"/>
        </w:rPr>
        <w:t xml:space="preserve">sentencia C-170 de 2021. Ver también, sentencias C-850 de 2009, C-520 de 2019, C-425 de 2023 y C-459 de 2023. </w:t>
      </w:r>
    </w:p>
  </w:footnote>
  <w:footnote w:id="287">
    <w:p w:rsidR="00E41171" w:rsidRPr="009D3FAE" w:rsidRDefault="003E425B" w:rsidP="002860D7">
      <w:pPr>
        <w:mirrorIndents/>
        <w:rPr>
          <w:rFonts w:cs="Times New Roman"/>
          <w:iCs/>
          <w:sz w:val="20"/>
          <w:szCs w:val="20"/>
        </w:rPr>
      </w:pPr>
      <w:r w:rsidRPr="009D3FAE">
        <w:rPr>
          <w:rStyle w:val="Refdenotaalpie"/>
          <w:rFonts w:cs="Times New Roman"/>
          <w:sz w:val="20"/>
          <w:szCs w:val="20"/>
        </w:rPr>
        <w:footnoteRef/>
      </w:r>
      <w:r w:rsidRPr="009D3FAE">
        <w:rPr>
          <w:rFonts w:cs="Times New Roman"/>
          <w:iCs/>
          <w:sz w:val="20"/>
          <w:szCs w:val="20"/>
        </w:rPr>
        <w:t xml:space="preserve"> Corte Constitucional, sentencias C-1197 de 2008, C-1139 de 2008 y C-315 de 2008.</w:t>
      </w:r>
    </w:p>
  </w:footnote>
  <w:footnote w:id="288">
    <w:p w:rsidR="00E41171" w:rsidRPr="009D3FAE" w:rsidRDefault="003E425B" w:rsidP="002860D7">
      <w:pPr>
        <w:pStyle w:val="Textonotapie"/>
        <w:rPr>
          <w:lang w:val="es-ES"/>
        </w:rPr>
      </w:pPr>
      <w:r w:rsidRPr="009D3FAE">
        <w:rPr>
          <w:rStyle w:val="Refdenotaalpie"/>
        </w:rPr>
        <w:footnoteRef/>
      </w:r>
      <w:r w:rsidRPr="009D3FAE">
        <w:t xml:space="preserve"> </w:t>
      </w:r>
      <w:r w:rsidRPr="009D3FAE">
        <w:rPr>
          <w:lang w:val="es-ES"/>
        </w:rPr>
        <w:t>Ib.</w:t>
      </w:r>
    </w:p>
  </w:footnote>
  <w:footnote w:id="28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C-373 de 2009 y C-116 de 2024.</w:t>
      </w:r>
    </w:p>
  </w:footnote>
  <w:footnote w:id="29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C-373 de 2009, C-170 de 2021, C-085 de 2022, C-175 de 2023 y C-425 de 2023.</w:t>
      </w:r>
    </w:p>
  </w:footnote>
  <w:footnote w:id="291">
    <w:p w:rsidR="00E41171" w:rsidRPr="009D3FAE" w:rsidRDefault="003E425B" w:rsidP="002860D7">
      <w:pPr>
        <w:pStyle w:val="Prrafodelista"/>
        <w:spacing w:line="240" w:lineRule="auto"/>
        <w:ind w:left="0"/>
        <w:rPr>
          <w:sz w:val="20"/>
          <w:szCs w:val="20"/>
          <w:lang w:val="es-ES_tradnl"/>
        </w:rPr>
      </w:pPr>
      <w:r w:rsidRPr="009D3FAE">
        <w:rPr>
          <w:sz w:val="20"/>
          <w:szCs w:val="20"/>
          <w:vertAlign w:val="superscript"/>
        </w:rPr>
        <w:footnoteRef/>
      </w:r>
      <w:r w:rsidRPr="009D3FAE">
        <w:rPr>
          <w:sz w:val="20"/>
          <w:szCs w:val="20"/>
        </w:rPr>
        <w:t xml:space="preserve"> </w:t>
      </w:r>
      <w:r w:rsidRPr="009D3FAE">
        <w:rPr>
          <w:sz w:val="20"/>
          <w:szCs w:val="20"/>
          <w:lang w:val="es-ES_tradnl"/>
        </w:rPr>
        <w:t>Corte Constitucional, sentencias C-424 de 2023.</w:t>
      </w:r>
    </w:p>
  </w:footnote>
  <w:footnote w:id="292">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Corte Constitucional, sentenc</w:t>
      </w:r>
      <w:r w:rsidRPr="009D3FAE">
        <w:rPr>
          <w:rFonts w:cs="Times New Roman"/>
          <w:szCs w:val="20"/>
          <w:lang w:val="es-ES"/>
        </w:rPr>
        <w:t xml:space="preserve">ias C-1139 de 2008 y C-1197 de 2008. </w:t>
      </w:r>
    </w:p>
  </w:footnote>
  <w:footnote w:id="29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w:t>
      </w:r>
      <w:r w:rsidRPr="009D3FAE">
        <w:rPr>
          <w:rFonts w:eastAsiaTheme="minorHAnsi" w:cs="Times New Roman"/>
          <w:color w:val="auto"/>
          <w:kern w:val="2"/>
          <w:szCs w:val="20"/>
          <w:lang w:eastAsia="es-MX"/>
          <w14:ligatures w14:val="standardContextual"/>
        </w:rPr>
        <w:t xml:space="preserve"> </w:t>
      </w:r>
      <w:r w:rsidRPr="009D3FAE">
        <w:rPr>
          <w:rFonts w:cs="Times New Roman"/>
          <w:szCs w:val="20"/>
        </w:rPr>
        <w:t xml:space="preserve">C-1197 de 2008, C-700 de 2010, C-776 de 2010, C-866 de 2010 y C-051 de 2018, C-110 de 2019, </w:t>
      </w:r>
      <w:r w:rsidRPr="009D3FAE">
        <w:rPr>
          <w:rFonts w:cs="Times New Roman"/>
          <w:iCs/>
          <w:szCs w:val="20"/>
        </w:rPr>
        <w:t xml:space="preserve">C-085 de 2022, C-075 de 2022, C-175 de 2023, </w:t>
      </w:r>
      <w:r w:rsidRPr="009D3FAE">
        <w:rPr>
          <w:rFonts w:cs="Times New Roman"/>
          <w:szCs w:val="20"/>
        </w:rPr>
        <w:t>y C-425 de 2023.</w:t>
      </w:r>
    </w:p>
  </w:footnote>
  <w:footnote w:id="294">
    <w:p w:rsidR="00E41171" w:rsidRPr="009D3FAE" w:rsidRDefault="003E425B" w:rsidP="002860D7">
      <w:pPr>
        <w:mirrorIndents/>
        <w:rPr>
          <w:rFonts w:cs="Times New Roman"/>
          <w:iCs/>
          <w:sz w:val="20"/>
          <w:szCs w:val="20"/>
        </w:rPr>
      </w:pPr>
      <w:r w:rsidRPr="009D3FAE">
        <w:rPr>
          <w:rStyle w:val="Refdenotaalpie"/>
          <w:rFonts w:cs="Times New Roman"/>
          <w:sz w:val="20"/>
          <w:szCs w:val="20"/>
        </w:rPr>
        <w:footnoteRef/>
      </w:r>
      <w:r w:rsidRPr="009D3FAE">
        <w:rPr>
          <w:rFonts w:cs="Times New Roman"/>
          <w:iCs/>
          <w:sz w:val="20"/>
          <w:szCs w:val="20"/>
        </w:rPr>
        <w:t xml:space="preserve"> Corte Constitucional, sentencia C-520 de 2019, C-154 de 2016, C-490 de 2011, C-866 de 2010 y C-700 de 2010.</w:t>
      </w:r>
    </w:p>
  </w:footnote>
  <w:footnote w:id="295">
    <w:p w:rsidR="00E41171" w:rsidRPr="009D3FAE" w:rsidRDefault="003E425B" w:rsidP="002860D7">
      <w:pPr>
        <w:mirrorIndents/>
        <w:rPr>
          <w:rFonts w:cs="Times New Roman"/>
          <w:iCs/>
          <w:sz w:val="20"/>
          <w:szCs w:val="20"/>
        </w:rPr>
      </w:pPr>
      <w:r w:rsidRPr="009D3FAE">
        <w:rPr>
          <w:rStyle w:val="Refdenotaalpie"/>
          <w:rFonts w:cs="Times New Roman"/>
          <w:sz w:val="20"/>
          <w:szCs w:val="20"/>
        </w:rPr>
        <w:footnoteRef/>
      </w:r>
      <w:r w:rsidRPr="009D3FAE">
        <w:rPr>
          <w:rFonts w:cs="Times New Roman"/>
          <w:iCs/>
          <w:sz w:val="20"/>
          <w:szCs w:val="20"/>
        </w:rPr>
        <w:t xml:space="preserve"> Ib.</w:t>
      </w:r>
    </w:p>
  </w:footnote>
  <w:footnote w:id="29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color w:val="000000" w:themeColor="text1"/>
          <w:szCs w:val="20"/>
        </w:rPr>
        <w:t xml:space="preserve">Corte Constitucional, sentencia </w:t>
      </w:r>
      <w:r w:rsidRPr="009D3FAE">
        <w:rPr>
          <w:rFonts w:cs="Times New Roman"/>
          <w:szCs w:val="20"/>
        </w:rPr>
        <w:t>C-776 de 2010.</w:t>
      </w:r>
    </w:p>
  </w:footnote>
  <w:footnote w:id="29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C-315 de 2008. Ver también, Corte Constitucional, sentencias C-731 d</w:t>
      </w:r>
      <w:r w:rsidRPr="009D3FAE">
        <w:rPr>
          <w:rFonts w:cs="Times New Roman"/>
          <w:szCs w:val="20"/>
        </w:rPr>
        <w:t xml:space="preserve">e 2008, C-286 de 2009, C-373 de 2009, C-700 de 2010 y C-425 de 2023.  </w:t>
      </w:r>
    </w:p>
  </w:footnote>
  <w:footnote w:id="29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C-110 de 2019. </w:t>
      </w:r>
    </w:p>
  </w:footnote>
  <w:footnote w:id="29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w:t>
      </w:r>
    </w:p>
  </w:footnote>
  <w:footnote w:id="300">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Core Constitucional, sentencia C-1200 de 2008. En el mismo sentido, </w:t>
      </w:r>
      <w:r w:rsidRPr="009D3FAE">
        <w:rPr>
          <w:rFonts w:cs="Times New Roman"/>
          <w:szCs w:val="20"/>
        </w:rPr>
        <w:t xml:space="preserve">sentencias C-520 de 2019 y C-425 de 2023. </w:t>
      </w:r>
    </w:p>
  </w:footnote>
  <w:footnote w:id="30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w:t>
      </w:r>
      <w:r w:rsidRPr="009D3FAE">
        <w:rPr>
          <w:rFonts w:cs="Times New Roman"/>
          <w:szCs w:val="20"/>
        </w:rPr>
        <w:t xml:space="preserve">ucional, sentencia C-110 de 2019. Ver también, sentencias C-700 de 2010 y C-133 de 2022. </w:t>
      </w:r>
    </w:p>
  </w:footnote>
  <w:footnote w:id="302">
    <w:p w:rsidR="00E41171" w:rsidRPr="009D3FAE" w:rsidRDefault="003E425B">
      <w:pPr>
        <w:pStyle w:val="Textonotapie"/>
      </w:pPr>
      <w:r w:rsidRPr="009D3FAE">
        <w:rPr>
          <w:rStyle w:val="Refdenotaalpie"/>
        </w:rPr>
        <w:footnoteRef/>
      </w:r>
      <w:r w:rsidRPr="009D3FAE">
        <w:t xml:space="preserve"> Corte Constitucional, sentencia C-110 de 2019. </w:t>
      </w:r>
    </w:p>
  </w:footnote>
  <w:footnote w:id="303">
    <w:p w:rsidR="00E41171" w:rsidRPr="009D3FAE" w:rsidRDefault="003E425B">
      <w:pPr>
        <w:pStyle w:val="Textonotapie"/>
      </w:pPr>
      <w:r w:rsidRPr="009D3FAE">
        <w:rPr>
          <w:rStyle w:val="Refdenotaalpie"/>
        </w:rPr>
        <w:footnoteRef/>
      </w:r>
      <w:r w:rsidRPr="009D3FAE">
        <w:t xml:space="preserve"> Ib. </w:t>
      </w:r>
    </w:p>
  </w:footnote>
  <w:footnote w:id="304">
    <w:p w:rsidR="00E41171" w:rsidRPr="009D3FAE" w:rsidRDefault="003E425B" w:rsidP="00703FEF">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C-502 de 2007. </w:t>
      </w:r>
    </w:p>
  </w:footnote>
  <w:footnote w:id="30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Decreto 111 de 1996, art. 11. El Presupuesto General de la Nación se compone de las siguientes partes: (…) b) El Presupuesto de Gastos o Ley de Apropiaciones. Incluirá las apropiaciones para la Rama Judicial, la Rama Legislativa, la Fiscalía General de la</w:t>
      </w:r>
      <w:r w:rsidRPr="009D3FAE">
        <w:rPr>
          <w:rFonts w:cs="Times New Roman"/>
          <w:szCs w:val="20"/>
        </w:rPr>
        <w:t xml:space="preserve"> Nación, la Procuraduría General de la Nación, la Defensoría del Pueblo, la Contraloría General de la República, la Registraduría Nacional del Estado Civil que incluye el Consejo Nacional Electoral, </w:t>
      </w:r>
      <w:r w:rsidRPr="009D3FAE">
        <w:rPr>
          <w:rFonts w:cs="Times New Roman"/>
          <w:b/>
          <w:bCs/>
          <w:szCs w:val="20"/>
          <w:u w:val="single"/>
        </w:rPr>
        <w:t>los Ministerios</w:t>
      </w:r>
      <w:r w:rsidRPr="009D3FAE">
        <w:rPr>
          <w:rFonts w:cs="Times New Roman"/>
          <w:szCs w:val="20"/>
        </w:rPr>
        <w:t>, los Departamentos Administrativos, los E</w:t>
      </w:r>
      <w:r w:rsidRPr="009D3FAE">
        <w:rPr>
          <w:rFonts w:cs="Times New Roman"/>
          <w:szCs w:val="20"/>
        </w:rPr>
        <w:t xml:space="preserve">stablecimientos Públicos y la Policía Nacional, </w:t>
      </w:r>
      <w:r w:rsidRPr="009D3FAE">
        <w:rPr>
          <w:rFonts w:cs="Times New Roman"/>
          <w:b/>
          <w:bCs/>
          <w:szCs w:val="20"/>
          <w:u w:val="single"/>
        </w:rPr>
        <w:t>distinguiendo entre gastos de funcionamiento, servicio de la deuda pública y gastos de inversión</w:t>
      </w:r>
      <w:r w:rsidRPr="009D3FAE">
        <w:rPr>
          <w:rFonts w:cs="Times New Roman"/>
          <w:szCs w:val="20"/>
        </w:rPr>
        <w:t xml:space="preserve">, clasificados y detallados en la forma que indiquen los reglamentos. </w:t>
      </w:r>
      <w:r w:rsidRPr="009D3FAE">
        <w:rPr>
          <w:rFonts w:cs="Times New Roman"/>
          <w:i/>
          <w:iCs/>
          <w:szCs w:val="20"/>
        </w:rPr>
        <w:t>Cfr.</w:t>
      </w:r>
      <w:r w:rsidRPr="009D3FAE">
        <w:rPr>
          <w:rFonts w:cs="Times New Roman"/>
          <w:szCs w:val="20"/>
        </w:rPr>
        <w:t xml:space="preserve"> Art. 36. El presupuesto de gastos se </w:t>
      </w:r>
      <w:r w:rsidRPr="009D3FAE">
        <w:rPr>
          <w:rFonts w:cs="Times New Roman"/>
          <w:szCs w:val="20"/>
        </w:rPr>
        <w:t xml:space="preserve">compondrá </w:t>
      </w:r>
      <w:r w:rsidRPr="009D3FAE">
        <w:rPr>
          <w:rFonts w:cs="Times New Roman"/>
          <w:b/>
          <w:bCs/>
          <w:szCs w:val="20"/>
          <w:u w:val="single"/>
        </w:rPr>
        <w:t>de los gastos de funcionamiento, del servicio de la deuda pública y de los gastos de inversión</w:t>
      </w:r>
      <w:r w:rsidRPr="009D3FAE">
        <w:rPr>
          <w:rFonts w:cs="Times New Roman"/>
          <w:szCs w:val="20"/>
        </w:rPr>
        <w:t xml:space="preserve">. Cada uno de estos gastos se presentará clasificado en diferentes secciones que corresponderán a: (…), </w:t>
      </w:r>
      <w:r w:rsidRPr="009D3FAE">
        <w:rPr>
          <w:rFonts w:cs="Times New Roman"/>
          <w:b/>
          <w:bCs/>
          <w:szCs w:val="20"/>
          <w:u w:val="single"/>
        </w:rPr>
        <w:t>una (1) por cada Ministerio</w:t>
      </w:r>
      <w:r w:rsidRPr="009D3FAE">
        <w:rPr>
          <w:rFonts w:cs="Times New Roman"/>
          <w:szCs w:val="20"/>
        </w:rPr>
        <w:t xml:space="preserve"> (resaltado fuera de </w:t>
      </w:r>
      <w:r w:rsidRPr="009D3FAE">
        <w:rPr>
          <w:rFonts w:cs="Times New Roman"/>
          <w:szCs w:val="20"/>
        </w:rPr>
        <w:t>texto).</w:t>
      </w:r>
    </w:p>
  </w:footnote>
  <w:footnote w:id="30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Decreto 1068 de 2015, art. 2.8.1.4.2. “Clasificación del Proyecto de presupuesto. El proyecto de presupuesto de Gastos se presentará al Congreso de la República clasificado en secciones presupuestales distinguiendo entre cada una los gastos de fu</w:t>
      </w:r>
      <w:r w:rsidRPr="009D3FAE">
        <w:rPr>
          <w:rFonts w:cs="Times New Roman"/>
          <w:szCs w:val="20"/>
        </w:rPr>
        <w:t>ncionamiento, servicio de la deuda pública y los gastos de inversión. Los gastos de inversión se clasificarán en Programas y subprogramas”.</w:t>
      </w:r>
    </w:p>
  </w:footnote>
  <w:footnote w:id="30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w:t>
      </w:r>
      <w:r w:rsidRPr="009D3FAE">
        <w:rPr>
          <w:rFonts w:cs="Times New Roman"/>
          <w:i/>
          <w:iCs/>
          <w:szCs w:val="20"/>
        </w:rPr>
        <w:t xml:space="preserve">Cfr. </w:t>
      </w:r>
      <w:r w:rsidRPr="009D3FAE">
        <w:rPr>
          <w:rFonts w:cs="Times New Roman"/>
          <w:szCs w:val="20"/>
        </w:rPr>
        <w:t xml:space="preserve">Departamento Nacional de Planeación, Manual de Clasificación Presupuestal (2020), pág. 194. Disponible en </w:t>
      </w:r>
      <w:hyperlink r:id="rId4" w:history="1">
        <w:r w:rsidRPr="009D3FAE">
          <w:rPr>
            <w:rStyle w:val="Hipervnculo"/>
            <w:rFonts w:cs="Times New Roman"/>
            <w:szCs w:val="20"/>
          </w:rPr>
          <w:t>https://colaboracion.dnp.gov.co/CDT/DNP/manual_de_clasificacion_presupuestal.pdf</w:t>
        </w:r>
      </w:hyperlink>
      <w:r w:rsidRPr="009D3FAE">
        <w:rPr>
          <w:rFonts w:cs="Times New Roman"/>
          <w:szCs w:val="20"/>
        </w:rPr>
        <w:t>.</w:t>
      </w:r>
    </w:p>
  </w:footnote>
  <w:footnote w:id="30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C-066 de 2000, C-046 de 2004 y C-200 de 2020.</w:t>
      </w:r>
      <w:r w:rsidRPr="009D3FAE">
        <w:rPr>
          <w:rFonts w:cs="Times New Roman"/>
          <w:szCs w:val="20"/>
        </w:rPr>
        <w:t xml:space="preserve"> </w:t>
      </w:r>
      <w:r w:rsidRPr="009D3FAE">
        <w:rPr>
          <w:rFonts w:cs="Times New Roman"/>
          <w:i/>
          <w:iCs/>
          <w:szCs w:val="20"/>
        </w:rPr>
        <w:t xml:space="preserve">Cfr., </w:t>
      </w:r>
      <w:r w:rsidRPr="009D3FAE">
        <w:rPr>
          <w:rFonts w:cs="Times New Roman"/>
          <w:szCs w:val="20"/>
        </w:rPr>
        <w:t>Sentencia C-1437 de 2000.</w:t>
      </w:r>
    </w:p>
  </w:footnote>
  <w:footnote w:id="30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Consejo de Estado, Sección Tercera, Subsección C, sentencia de 10 de septiembre de 2014, rad. Núm. 73001-23-31-000-2001-01509-01 (25.909). </w:t>
      </w:r>
      <w:r w:rsidRPr="009D3FAE">
        <w:rPr>
          <w:rFonts w:cs="Times New Roman"/>
          <w:i/>
          <w:iCs/>
          <w:szCs w:val="20"/>
        </w:rPr>
        <w:t xml:space="preserve">Cfr. </w:t>
      </w:r>
      <w:r w:rsidRPr="009D3FAE">
        <w:rPr>
          <w:rFonts w:cs="Times New Roman"/>
          <w:szCs w:val="20"/>
        </w:rPr>
        <w:t>Corte Constitucional, sentencia C-736 de 2007.</w:t>
      </w:r>
    </w:p>
  </w:footnote>
  <w:footnote w:id="310">
    <w:p w:rsidR="00E41171" w:rsidRPr="009D3FAE" w:rsidRDefault="003E425B" w:rsidP="002860D7">
      <w:pPr>
        <w:pStyle w:val="Textonotapie"/>
      </w:pPr>
      <w:r w:rsidRPr="009D3FAE">
        <w:rPr>
          <w:rStyle w:val="Refdenotaalpie"/>
        </w:rPr>
        <w:footnoteRef/>
      </w:r>
      <w:r w:rsidRPr="009D3FAE">
        <w:t xml:space="preserve"> Decreto 111 de 1996, art. 38</w:t>
      </w:r>
      <w:r w:rsidRPr="009D3FAE">
        <w:t>. En el presupuesto de gastos sólo se podrán incluir apropiaciones que correspondan: (…) b) A gastos decretados conforme a la ley (…).</w:t>
      </w:r>
    </w:p>
  </w:footnote>
  <w:footnote w:id="311">
    <w:p w:rsidR="00E41171" w:rsidRPr="009D3FAE" w:rsidRDefault="003E425B" w:rsidP="002860D7">
      <w:pPr>
        <w:pStyle w:val="Textonotapie"/>
      </w:pPr>
      <w:r w:rsidRPr="009D3FAE">
        <w:rPr>
          <w:rStyle w:val="Refdenotaalpie"/>
        </w:rPr>
        <w:footnoteRef/>
      </w:r>
      <w:r w:rsidRPr="009D3FAE">
        <w:t xml:space="preserve"> Corte Constitucional, sentencia C-442 de 2001.</w:t>
      </w:r>
    </w:p>
  </w:footnote>
  <w:footnote w:id="312">
    <w:p w:rsidR="00E41171" w:rsidRPr="009D3FAE" w:rsidRDefault="003E425B" w:rsidP="002860D7">
      <w:pPr>
        <w:pStyle w:val="Textonotapie"/>
      </w:pPr>
      <w:r w:rsidRPr="009D3FAE">
        <w:rPr>
          <w:rStyle w:val="Refdenotaalpie"/>
        </w:rPr>
        <w:footnoteRef/>
      </w:r>
      <w:r w:rsidRPr="009D3FAE">
        <w:t xml:space="preserve"> Corte Constitucional, sentencia C-208 de 2023.</w:t>
      </w:r>
    </w:p>
  </w:footnote>
  <w:footnote w:id="313">
    <w:p w:rsidR="00E41171" w:rsidRPr="009D3FAE" w:rsidRDefault="003E425B">
      <w:pPr>
        <w:pStyle w:val="Textonotapie"/>
      </w:pPr>
      <w:r w:rsidRPr="009D3FAE">
        <w:rPr>
          <w:rStyle w:val="Refdenotaalpie"/>
        </w:rPr>
        <w:footnoteRef/>
      </w:r>
      <w:r w:rsidRPr="009D3FAE">
        <w:t xml:space="preserve"> Corte Constitucional,</w:t>
      </w:r>
      <w:r w:rsidRPr="009D3FAE">
        <w:t xml:space="preserve"> sentencia C-093 de 2024. </w:t>
      </w:r>
    </w:p>
  </w:footnote>
  <w:footnote w:id="31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13.</w:t>
      </w:r>
    </w:p>
  </w:footnote>
  <w:footnote w:id="31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16">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Gacetas </w:t>
      </w:r>
      <w:r w:rsidRPr="009D3FAE">
        <w:rPr>
          <w:rFonts w:cs="Times New Roman"/>
          <w:szCs w:val="20"/>
          <w:lang w:val="es-ES"/>
        </w:rPr>
        <w:t>1596 de 2022, pág. 15 y Gaceta 1604 de 2022, pág. 23.</w:t>
      </w:r>
    </w:p>
  </w:footnote>
  <w:footnote w:id="31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244 de 2023, pág. 108. Al respecto, la senadora indicó: “</w:t>
      </w:r>
      <w:r w:rsidRPr="009D3FAE">
        <w:rPr>
          <w:rFonts w:cs="Times New Roman"/>
          <w:szCs w:val="20"/>
          <w:lang w:val="es-ES"/>
        </w:rPr>
        <w:t>Presidente, este si le voy a solicitar que lo vote, porque este es un artícul</w:t>
      </w:r>
      <w:r w:rsidRPr="009D3FAE">
        <w:rPr>
          <w:rFonts w:cs="Times New Roman"/>
          <w:szCs w:val="20"/>
          <w:lang w:val="es-ES"/>
        </w:rPr>
        <w:t>o bien importante y es lo que hemos venido diciendo todo el tiempo, que se den facultades para reestructurar las entidades, sin admitir creación del nuevo gasto burocrático; creo que eso es lo que es importante. Hay suficientes entidades para reacomodar, p</w:t>
      </w:r>
      <w:r w:rsidRPr="009D3FAE">
        <w:rPr>
          <w:rFonts w:cs="Times New Roman"/>
          <w:szCs w:val="20"/>
          <w:lang w:val="es-ES"/>
        </w:rPr>
        <w:t>ero no aumentando el gasto burocrático del Ministerio.</w:t>
      </w:r>
      <w:r w:rsidRPr="009D3FAE">
        <w:rPr>
          <w:rFonts w:cs="Times New Roman"/>
          <w:szCs w:val="20"/>
        </w:rPr>
        <w:t>”</w:t>
      </w:r>
    </w:p>
  </w:footnote>
  <w:footnote w:id="31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107. La Secretaría General del Senado informó que hubo 9 votos a favor de la proposición y 59 en contra.</w:t>
      </w:r>
    </w:p>
  </w:footnote>
  <w:footnote w:id="31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C-031 de 2017. </w:t>
      </w:r>
    </w:p>
  </w:footnote>
  <w:footnote w:id="32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2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1273 de 2022, pág. 3.</w:t>
      </w:r>
    </w:p>
  </w:footnote>
  <w:footnote w:id="32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9.</w:t>
      </w:r>
    </w:p>
  </w:footnote>
  <w:footnote w:id="323">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El Presidente del Senado de la República doctor Roy Leonardo Barreras Montealegre, el Presidente de la Cámara de Representante doctor David Racero Mayorca y los congresistas: Iván Cepeda Castro, Alexánder</w:t>
      </w:r>
      <w:r w:rsidRPr="009D3FAE">
        <w:rPr>
          <w:rFonts w:eastAsiaTheme="minorHAnsi" w:cs="Times New Roman"/>
          <w:color w:val="auto"/>
          <w:szCs w:val="20"/>
          <w:lang w:eastAsia="en-US"/>
        </w:rPr>
        <w:t xml:space="preserve"> </w:t>
      </w:r>
      <w:r w:rsidRPr="009D3FAE">
        <w:rPr>
          <w:rFonts w:cs="Times New Roman"/>
          <w:szCs w:val="20"/>
        </w:rPr>
        <w:t>Lópe</w:t>
      </w:r>
      <w:r w:rsidRPr="009D3FAE">
        <w:rPr>
          <w:rFonts w:cs="Times New Roman"/>
          <w:szCs w:val="20"/>
        </w:rPr>
        <w:t>z Maya, Pedro Flórez Porras, Isabel Cristina Zuleta, María José Pizarro, Gloria Flórez Schneider, Aída Quilcué Vivas, Jahel Quiroga, Imelda Daza Cotes, Aída Avella Esquivel, Sandra Ramírez Lobo, Inti Asprilla Reyes, Martha Peralta Epieyu, César Pachón Achu</w:t>
      </w:r>
      <w:r w:rsidRPr="009D3FAE">
        <w:rPr>
          <w:rFonts w:cs="Times New Roman"/>
          <w:szCs w:val="20"/>
        </w:rPr>
        <w:t>ry, Paulino Riascos, Pedro Suárez Vacca, Leyla Rincón Trujillo, Alejandro Ocampo Giraldo, Etna Argote Calderón, Susana Gómez, Dorina Hernández Palomino, Karina Bocanegra, Gilma Díaz Arias, Jorge Bastidas Rosero, Ermes Pete Vivas, Gabriel Parrado Durán, Agm</w:t>
      </w:r>
      <w:r w:rsidRPr="009D3FAE">
        <w:rPr>
          <w:rFonts w:cs="Times New Roman"/>
          <w:szCs w:val="20"/>
        </w:rPr>
        <w:t xml:space="preserve">eth Escaf Tijerino, Luz María Múnera Medina, James Mosquera Torres, John Jairo González Agudelo, Gabriel Becerra, Heráclito Landinez, Cristóbal Caicedo, Erick Velasco, Mary Anne Perdomo Gutiérrez. </w:t>
      </w:r>
    </w:p>
  </w:footnote>
  <w:footnote w:id="324">
    <w:p w:rsidR="00E41171" w:rsidRPr="009D3FAE" w:rsidRDefault="003E425B">
      <w:pPr>
        <w:pStyle w:val="Textonotapie"/>
      </w:pPr>
      <w:r w:rsidRPr="009D3FAE">
        <w:rPr>
          <w:rStyle w:val="Refdenotaalpie"/>
        </w:rPr>
        <w:footnoteRef/>
      </w:r>
      <w:r w:rsidRPr="009D3FAE">
        <w:t xml:space="preserve"> Corte Constitucional, sentencia C-425 de 2023. En el mis</w:t>
      </w:r>
      <w:r w:rsidRPr="009D3FAE">
        <w:t>mo sentido, ver sentencia C-134 de 2023: “la jurisprudencia constitucional ha sostenido que en los proyectos de ley que resulten de la iniciativa de otras ramas u órganos del poder público, o del Gobierno Nacional en conjunto con estas, igualmente se requi</w:t>
      </w:r>
      <w:r w:rsidRPr="009D3FAE">
        <w:t>ere un estudio de impacto fiscal, pero este se cumple con una mínima consideración al respecto, en la cual se identifiquen los referentes básicos de este análisis”.</w:t>
      </w:r>
    </w:p>
  </w:footnote>
  <w:footnote w:id="325">
    <w:p w:rsidR="00E41171" w:rsidRPr="009D3FAE" w:rsidRDefault="003E425B">
      <w:pPr>
        <w:pStyle w:val="Textonotapie"/>
      </w:pPr>
      <w:r w:rsidRPr="009D3FAE">
        <w:rPr>
          <w:rStyle w:val="Refdenotaalpie"/>
        </w:rPr>
        <w:footnoteRef/>
      </w:r>
      <w:r w:rsidRPr="009D3FAE">
        <w:t xml:space="preserve"> Corte Constitucional, sentencias C-459 de 2023 y C-093 de 2024. Ver también, sentencia C-</w:t>
      </w:r>
      <w:r w:rsidRPr="009D3FAE">
        <w:t xml:space="preserve">133 de 2022. </w:t>
      </w:r>
    </w:p>
  </w:footnote>
  <w:footnote w:id="326">
    <w:p w:rsidR="00E41171" w:rsidRPr="009D3FAE" w:rsidRDefault="003E425B">
      <w:pPr>
        <w:pStyle w:val="Textonotapie"/>
      </w:pPr>
      <w:r w:rsidRPr="009D3FAE">
        <w:rPr>
          <w:rStyle w:val="Refdenotaalpie"/>
        </w:rPr>
        <w:footnoteRef/>
      </w:r>
      <w:r w:rsidRPr="009D3FAE">
        <w:t xml:space="preserve"> Ib.</w:t>
      </w:r>
    </w:p>
  </w:footnote>
  <w:footnote w:id="327">
    <w:p w:rsidR="00E41171" w:rsidRPr="009D3FAE" w:rsidRDefault="003E425B">
      <w:pPr>
        <w:pStyle w:val="Textonotapie"/>
      </w:pPr>
      <w:r w:rsidRPr="009D3FAE">
        <w:rPr>
          <w:rStyle w:val="Refdenotaalpie"/>
        </w:rPr>
        <w:footnoteRef/>
      </w:r>
      <w:r w:rsidRPr="009D3FAE">
        <w:t xml:space="preserve"> Ib. </w:t>
      </w:r>
    </w:p>
  </w:footnote>
  <w:footnote w:id="328">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C-133 de 2022. </w:t>
      </w:r>
    </w:p>
  </w:footnote>
  <w:footnote w:id="329">
    <w:p w:rsidR="00E41171" w:rsidRPr="009D3FAE" w:rsidRDefault="003E425B" w:rsidP="002860D7">
      <w:pPr>
        <w:rPr>
          <w:rFonts w:eastAsia="Arial" w:cs="Times New Roman"/>
          <w:color w:val="000000"/>
          <w:sz w:val="20"/>
          <w:szCs w:val="20"/>
        </w:rPr>
      </w:pPr>
      <w:r w:rsidRPr="009D3FAE">
        <w:rPr>
          <w:rStyle w:val="Refdenotaalpie"/>
          <w:rFonts w:cs="Times New Roman"/>
          <w:sz w:val="20"/>
          <w:szCs w:val="20"/>
        </w:rPr>
        <w:footnoteRef/>
      </w:r>
      <w:r w:rsidRPr="009D3FAE">
        <w:rPr>
          <w:rFonts w:cs="Times New Roman"/>
          <w:sz w:val="20"/>
          <w:szCs w:val="20"/>
        </w:rPr>
        <w:t xml:space="preserve"> Gaceta 1273, pág. 9. </w:t>
      </w:r>
    </w:p>
  </w:footnote>
  <w:footnote w:id="330">
    <w:p w:rsidR="00E41171" w:rsidRPr="009D3FAE" w:rsidRDefault="003E425B" w:rsidP="002860D7">
      <w:pPr>
        <w:pStyle w:val="Textonotapie"/>
      </w:pPr>
      <w:r w:rsidRPr="009D3FAE">
        <w:rPr>
          <w:rStyle w:val="Refdenotaalpie"/>
        </w:rPr>
        <w:footnoteRef/>
      </w:r>
      <w:r w:rsidRPr="009D3FAE">
        <w:t xml:space="preserve"> Sobre el modelo de planeación de la Constitución Política, ver Corte Constitucional, sentencia C-063 de 2021.</w:t>
      </w:r>
    </w:p>
  </w:footnote>
  <w:footnote w:id="331">
    <w:p w:rsidR="00E41171" w:rsidRPr="009D3FAE" w:rsidRDefault="003E425B" w:rsidP="002860D7">
      <w:pPr>
        <w:pStyle w:val="Textonotapie"/>
      </w:pPr>
      <w:r w:rsidRPr="009D3FAE">
        <w:rPr>
          <w:rStyle w:val="Refdenotaalpie"/>
        </w:rPr>
        <w:footnoteRef/>
      </w:r>
      <w:r w:rsidRPr="009D3FAE">
        <w:t xml:space="preserve"> Decreto 498 de 2020, art. 2.2.12.1. Refor</w:t>
      </w:r>
      <w:r w:rsidRPr="009D3FAE">
        <w:t xml:space="preserve">mas de las plantas de empleos. Las reformas de las plantas de empleos de las entidades de la Rama Ejecutiva de los órdenes nacional y territorial deberán motivarse en necesidades del servicio o en razones de modernización de la administración y contar con </w:t>
      </w:r>
      <w:r w:rsidRPr="009D3FAE">
        <w:t>estudios técnicos de análisis de cargas de trabajo e impacto en la modernización que así lo demuestren.</w:t>
      </w:r>
    </w:p>
    <w:p w:rsidR="00E41171" w:rsidRPr="009D3FAE" w:rsidRDefault="003E425B" w:rsidP="002860D7">
      <w:pPr>
        <w:pStyle w:val="Textonotapie"/>
      </w:pPr>
      <w:r w:rsidRPr="009D3FAE">
        <w:t>Las solicitudes para la modificación de las plantas de empleos, además de lo anterior, deberán contener: i) costos comparativos de la planta vigente y l</w:t>
      </w:r>
      <w:r w:rsidRPr="009D3FAE">
        <w:t>a propuesta, ii) efectos sobre la adquisición de bienes y servicios de la entidad, iii) concepto del Departamento Nacional de Planeación si se afecta el presupuesto de inversión y, iv) los demás que la Dirección General de Presupuesto Público Nacional cons</w:t>
      </w:r>
      <w:r w:rsidRPr="009D3FAE">
        <w:t>idere pertinentes.</w:t>
      </w:r>
    </w:p>
  </w:footnote>
  <w:footnote w:id="332">
    <w:p w:rsidR="00E41171" w:rsidRPr="009D3FAE" w:rsidRDefault="003E425B" w:rsidP="002860D7">
      <w:pPr>
        <w:pStyle w:val="Textonotapie"/>
      </w:pPr>
      <w:r w:rsidRPr="009D3FAE">
        <w:rPr>
          <w:rStyle w:val="Refdenotaalpie"/>
        </w:rPr>
        <w:footnoteRef/>
      </w:r>
      <w:r w:rsidRPr="009D3FAE">
        <w:t xml:space="preserve"> Corte Constitucional, sentencia C-067 de 2018. </w:t>
      </w:r>
    </w:p>
  </w:footnote>
  <w:footnote w:id="33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1477 de 2022, pág. 13.</w:t>
      </w:r>
    </w:p>
  </w:footnote>
  <w:footnote w:id="33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3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3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3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3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9.</w:t>
      </w:r>
    </w:p>
  </w:footnote>
  <w:footnote w:id="33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40">
    <w:p w:rsidR="00E41171" w:rsidRPr="009D3FAE" w:rsidRDefault="003E425B" w:rsidP="002860D7">
      <w:pPr>
        <w:pStyle w:val="Textonotapie"/>
      </w:pPr>
      <w:r w:rsidRPr="009D3FAE">
        <w:rPr>
          <w:rStyle w:val="Refdenotaalpie"/>
        </w:rPr>
        <w:footnoteRef/>
      </w:r>
      <w:r w:rsidRPr="009D3FAE">
        <w:t xml:space="preserve"> Asimismo, el informe de ponencia indicó que mostraba “</w:t>
      </w:r>
      <w:r w:rsidRPr="009D3FAE">
        <w:rPr>
          <w:lang w:val="es-ES"/>
        </w:rPr>
        <w:t xml:space="preserve">el presupuesto asignado de acuerdo con los trazadores </w:t>
      </w:r>
      <w:r w:rsidRPr="009D3FAE">
        <w:rPr>
          <w:lang w:val="es-ES"/>
        </w:rPr>
        <w:t>que se establecen en la ley, para la vigencia 2023, los recursos para el sector administrativo que recogerá el Ministerio de la Igualdad y Equidad</w:t>
      </w:r>
      <w:r w:rsidRPr="009D3FAE">
        <w:t xml:space="preserve">”. </w:t>
      </w:r>
    </w:p>
  </w:footnote>
  <w:footnote w:id="34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4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4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4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Gacetas 96 y 97 de 2022. Estos congresistas fueron los senadores María Fernanda Cabal,</w:t>
      </w:r>
      <w:r w:rsidRPr="009D3FAE">
        <w:rPr>
          <w:rFonts w:cs="Times New Roman"/>
          <w:szCs w:val="20"/>
        </w:rPr>
        <w:t xml:space="preserve"> Paloma Valencia, Humberto de la Calle y Carlos Fernando Motoa y los representantes Miguel Polo Polo, José Jaime Uscátegui Pastrana, Hernán Darío Cadavid Márquez, Alejandro Carlos Chacón Camargo, Adriana Carolina Arbeláez Giraldo y Diógenes Quintero Amaya.</w:t>
      </w:r>
    </w:p>
  </w:footnote>
  <w:footnote w:id="34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97 de 2023, pág. 17.  El representante José Jaime Uscátegui Pastrana señaló que “y aquí lo último que hay es claridad y precisión, yo me acerco donde el Senador Alexánder y le pregunto eso, ¿cuánto va a costar?, y me dice no pueden ser 30.000 mi</w:t>
      </w:r>
      <w:r w:rsidRPr="009D3FAE">
        <w:rPr>
          <w:rFonts w:cs="Times New Roman"/>
          <w:szCs w:val="20"/>
        </w:rPr>
        <w:t>llones de pesos al año, pero si me están hablando de transformar el DPS el Ministerio les estamos entregando más de 6 billones de pesos al año, que es lo que nos cuesta el sostenimiento del Sector Prosperidad Social.</w:t>
      </w:r>
    </w:p>
    <w:p w:rsidR="00E41171" w:rsidRPr="009D3FAE" w:rsidRDefault="003E425B" w:rsidP="002860D7">
      <w:pPr>
        <w:pStyle w:val="Textonotapie"/>
        <w:rPr>
          <w:rFonts w:cs="Times New Roman"/>
          <w:szCs w:val="20"/>
        </w:rPr>
      </w:pPr>
      <w:r w:rsidRPr="009D3FAE">
        <w:rPr>
          <w:rFonts w:cs="Times New Roman"/>
          <w:szCs w:val="20"/>
        </w:rPr>
        <w:t>(…)</w:t>
      </w:r>
    </w:p>
    <w:p w:rsidR="00E41171" w:rsidRPr="009D3FAE" w:rsidRDefault="003E425B" w:rsidP="002860D7">
      <w:pPr>
        <w:pStyle w:val="Textonotapie"/>
        <w:rPr>
          <w:rFonts w:cs="Times New Roman"/>
          <w:szCs w:val="20"/>
        </w:rPr>
      </w:pPr>
      <w:r w:rsidRPr="009D3FAE">
        <w:rPr>
          <w:rFonts w:cs="Times New Roman"/>
          <w:szCs w:val="20"/>
        </w:rPr>
        <w:t xml:space="preserve">Porque con esta transformación o </w:t>
      </w:r>
      <w:r w:rsidRPr="009D3FAE">
        <w:rPr>
          <w:rFonts w:cs="Times New Roman"/>
          <w:szCs w:val="20"/>
        </w:rPr>
        <w:t xml:space="preserve">creación, porque aún no sabemos cuál es el término apropiado, no tenemos ni idea para donde vamos, yo le decía Luz María con mucho respeto a la Representante, aquí podemos estar creando un Frankenstein, el Frankenstein de la supuesta igualdad que nos va a </w:t>
      </w:r>
      <w:r w:rsidRPr="009D3FAE">
        <w:rPr>
          <w:rFonts w:cs="Times New Roman"/>
          <w:szCs w:val="20"/>
        </w:rPr>
        <w:t>llevar a armar un sancocho de entidades, cargos administrativos, presupuestos, facultades y todavía no sabemos en qué consiste este Frankenstein y le estamos dando a su creador al señor Presidente de la República un cheque en blanco para que haga lo que qu</w:t>
      </w:r>
      <w:r w:rsidRPr="009D3FAE">
        <w:rPr>
          <w:rFonts w:cs="Times New Roman"/>
          <w:szCs w:val="20"/>
        </w:rPr>
        <w:t>iera y como lo quiera.</w:t>
      </w:r>
    </w:p>
    <w:p w:rsidR="00E41171" w:rsidRPr="009D3FAE" w:rsidRDefault="003E425B" w:rsidP="002860D7">
      <w:pPr>
        <w:pStyle w:val="Textonotapie"/>
        <w:rPr>
          <w:rFonts w:cs="Times New Roman"/>
          <w:szCs w:val="20"/>
        </w:rPr>
      </w:pPr>
      <w:r w:rsidRPr="009D3FAE">
        <w:rPr>
          <w:rFonts w:cs="Times New Roman"/>
          <w:szCs w:val="20"/>
        </w:rPr>
        <w:t>(…)</w:t>
      </w:r>
    </w:p>
    <w:p w:rsidR="00E41171" w:rsidRPr="009D3FAE" w:rsidRDefault="003E425B" w:rsidP="002860D7">
      <w:pPr>
        <w:pStyle w:val="Textonotapie"/>
        <w:rPr>
          <w:rFonts w:cs="Times New Roman"/>
          <w:szCs w:val="20"/>
        </w:rPr>
      </w:pPr>
      <w:r w:rsidRPr="009D3FAE">
        <w:rPr>
          <w:rFonts w:cs="Times New Roman"/>
          <w:szCs w:val="20"/>
        </w:rPr>
        <w:t>Así que yo le suplico que en su función también de moderador, nos dé alguna tranquilidad para votar sí o no como cada quien quiera, acorde a su conciencia, pero con alguna mínima ilustración o de lo contrario aquí estamos pupitri</w:t>
      </w:r>
      <w:r w:rsidRPr="009D3FAE">
        <w:rPr>
          <w:rFonts w:cs="Times New Roman"/>
          <w:szCs w:val="20"/>
        </w:rPr>
        <w:t>ando un proyecto de ley, con unas implicaciones muy serias para el país y para la ciudadanía y lo estamos haciendo con los ojos cerrados, con los ojos cerrados nos están llevando al matadero y al menos desde esta curul de la oposición, no lo vamos a permit</w:t>
      </w:r>
      <w:r w:rsidRPr="009D3FAE">
        <w:rPr>
          <w:rFonts w:cs="Times New Roman"/>
          <w:szCs w:val="20"/>
        </w:rPr>
        <w:t>ir o al menos permítanos como nos lo están permitiendo en este instante dejar esta constancia”  (resaltado fuera de texto).</w:t>
      </w:r>
    </w:p>
  </w:footnote>
  <w:footnote w:id="34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Por ejemplo, el representante Diógenes Quintero Amaya indicó que “Presidente, es para insistir nuevamente en que este proyecto, co</w:t>
      </w:r>
      <w:r w:rsidRPr="009D3FAE">
        <w:rPr>
          <w:rFonts w:cs="Times New Roman"/>
          <w:szCs w:val="20"/>
        </w:rPr>
        <w:t xml:space="preserve">mo está, sin definir una estructura mínima, </w:t>
      </w:r>
      <w:r w:rsidRPr="009D3FAE">
        <w:rPr>
          <w:rFonts w:cs="Times New Roman"/>
          <w:b/>
          <w:bCs/>
          <w:szCs w:val="20"/>
          <w:u w:val="single"/>
        </w:rPr>
        <w:t>va a ser inconstitucional</w:t>
      </w:r>
      <w:r w:rsidRPr="009D3FAE">
        <w:rPr>
          <w:rFonts w:cs="Times New Roman"/>
          <w:szCs w:val="20"/>
        </w:rPr>
        <w:t>, y yo quiero manifestar mi disposición a acompañar, es necesario un Ministerio de la Igualdad en Colombia, pero este Congreso tiene que definir, crear la estructura del Ministerio y es l</w:t>
      </w:r>
      <w:r w:rsidRPr="009D3FAE">
        <w:rPr>
          <w:rFonts w:cs="Times New Roman"/>
          <w:szCs w:val="20"/>
        </w:rPr>
        <w:t>a invitación que le hago amistosamente a los ponentes y al Gobierno”.</w:t>
      </w:r>
    </w:p>
  </w:footnote>
  <w:footnote w:id="34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96 de 2023, pág. 20. Esta fue la intervención del senador Alexander López Maya. El senador afirmó que: </w:t>
      </w:r>
      <w:r w:rsidRPr="009D3FAE">
        <w:rPr>
          <w:rFonts w:cs="Times New Roman"/>
          <w:szCs w:val="20"/>
          <w:lang w:val="es-ES"/>
        </w:rPr>
        <w:t>“este es un Ministerio y este es un proyecto que otorga facultades al Pres</w:t>
      </w:r>
      <w:r w:rsidRPr="009D3FAE">
        <w:rPr>
          <w:rFonts w:cs="Times New Roman"/>
          <w:szCs w:val="20"/>
          <w:lang w:val="es-ES"/>
        </w:rPr>
        <w:t>idente de la República, facultades expresas para ordenar el Estado, en materia de costo fiscal va a tener el mínimo impacto fiscal, porque los costos de las entidades que vayan al Ministerio la Igualdad, serán los mismos costos que serán asumidos desde ese</w:t>
      </w:r>
      <w:r w:rsidRPr="009D3FAE">
        <w:rPr>
          <w:rFonts w:cs="Times New Roman"/>
          <w:szCs w:val="20"/>
          <w:lang w:val="es-ES"/>
        </w:rPr>
        <w:t xml:space="preserve"> Ministerio, aquí nos han dicho a nosotros que esto va a costar 2.5, 2.3 billones, eso no es cierto, esto va a tener el mínimo impacto fiscal, porque de hecho, ya las entidades, los funcionarios y la infraestructura que se requiere para poner en funcionami</w:t>
      </w:r>
      <w:r w:rsidRPr="009D3FAE">
        <w:rPr>
          <w:rFonts w:cs="Times New Roman"/>
          <w:szCs w:val="20"/>
          <w:lang w:val="es-ES"/>
        </w:rPr>
        <w:t>ento este Ministerio, ya existe”.</w:t>
      </w:r>
    </w:p>
  </w:footnote>
  <w:footnote w:id="34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22. Intervención de la representante Luz María Munera Medina.</w:t>
      </w:r>
    </w:p>
  </w:footnote>
  <w:footnote w:id="34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5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97 de 2023, pág. 19.</w:t>
      </w:r>
    </w:p>
  </w:footnote>
  <w:footnote w:id="35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55. Intervención del senador Alexander López Maya.</w:t>
      </w:r>
    </w:p>
  </w:footnote>
  <w:footnote w:id="35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5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 C-075 de </w:t>
      </w:r>
      <w:r w:rsidRPr="009D3FAE">
        <w:rPr>
          <w:rFonts w:cs="Times New Roman"/>
          <w:szCs w:val="20"/>
        </w:rPr>
        <w:t xml:space="preserve">2022. </w:t>
      </w:r>
      <w:r w:rsidRPr="009D3FAE">
        <w:rPr>
          <w:rFonts w:cs="Times New Roman"/>
          <w:i/>
          <w:szCs w:val="20"/>
        </w:rPr>
        <w:t xml:space="preserve">Cfr. </w:t>
      </w:r>
      <w:r w:rsidRPr="009D3FAE">
        <w:rPr>
          <w:rFonts w:cs="Times New Roman"/>
          <w:szCs w:val="20"/>
        </w:rPr>
        <w:t xml:space="preserve"> C-018 de 2018. Ver también, sentencia C-1139 de 2008. </w:t>
      </w:r>
    </w:p>
  </w:footnote>
  <w:footnote w:id="35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C-075 de 2022 y C-133 de 2022.</w:t>
      </w:r>
    </w:p>
  </w:footnote>
  <w:footnote w:id="355">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 C-075 de 2022. </w:t>
      </w:r>
    </w:p>
  </w:footnote>
  <w:footnote w:id="356">
    <w:p w:rsidR="00E41171" w:rsidRPr="009D3FAE" w:rsidRDefault="003E425B">
      <w:pPr>
        <w:pStyle w:val="Textonotapie"/>
        <w:rPr>
          <w:lang w:val="es-MX"/>
        </w:rPr>
      </w:pPr>
      <w:r w:rsidRPr="009D3FAE">
        <w:rPr>
          <w:rStyle w:val="Refdenotaalpie"/>
        </w:rPr>
        <w:footnoteRef/>
      </w:r>
      <w:r w:rsidRPr="009D3FAE">
        <w:t xml:space="preserve"> La Sala Plena advierte que, en el informe de ponencia, también se presentó información sobre el presupuesto de inversión estimado del Ministerio de Igualdad y Equidad. Estos estimativos, sin embargo, eran confusos. De un lado, no es claro si estos valores</w:t>
      </w:r>
      <w:r w:rsidRPr="009D3FAE">
        <w:t xml:space="preserve"> representan el presupuesto de inversión del nuevo ministerio o los de las entidades adscritas y vinculadas que entrarían a formar parte del sector de igualdad y equidad. En cualquier caso, los ponentes no explicaron cuál sería el fundamento de esta estima</w:t>
      </w:r>
      <w:r w:rsidRPr="009D3FAE">
        <w:t>ción, como tampoco qué entidades en concreto entrarían a formar parte del nuevo sector administrativo.</w:t>
      </w:r>
    </w:p>
  </w:footnote>
  <w:footnote w:id="35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5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Gacetas 96 y 97 de 2022. Estos congresistas fueron los senadores María Fernanda Cabal, Paloma Valencia, Humberto de la Calle y Carlos Fernando Mo</w:t>
      </w:r>
      <w:r w:rsidRPr="009D3FAE">
        <w:rPr>
          <w:rFonts w:cs="Times New Roman"/>
          <w:szCs w:val="20"/>
        </w:rPr>
        <w:t>toa y los representantes Miguel Polo Polo, José Jaime Uscátegui Pastrana, Hernán Darío Cadavid Márquez, Alejandro Carlos Chacón Camargo, Adriana Carolina Arbeláez Giraldo y Diógenes Quintero Amaya.</w:t>
      </w:r>
    </w:p>
  </w:footnote>
  <w:footnote w:id="35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1481 de 2022.</w:t>
      </w:r>
    </w:p>
  </w:footnote>
  <w:footnote w:id="36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1490 de 2022.</w:t>
      </w:r>
    </w:p>
  </w:footnote>
  <w:footnote w:id="361">
    <w:p w:rsidR="00E41171" w:rsidRPr="009D3FAE" w:rsidRDefault="003E425B">
      <w:pPr>
        <w:pStyle w:val="Textonotapie"/>
      </w:pPr>
      <w:r w:rsidRPr="009D3FAE">
        <w:rPr>
          <w:rStyle w:val="Refdenotaalpie"/>
        </w:rPr>
        <w:footnoteRef/>
      </w:r>
      <w:r w:rsidRPr="009D3FAE">
        <w:t xml:space="preserve"> En concret</w:t>
      </w:r>
      <w:r w:rsidRPr="009D3FAE">
        <w:t>o, el pliego modificatorio proponía la siguiente redacción para el artículo que concedía facultades extraordinarias al Presidente de la República: “</w:t>
      </w:r>
      <w:r w:rsidRPr="009D3FAE">
        <w:rPr>
          <w:b/>
          <w:bCs/>
        </w:rPr>
        <w:t xml:space="preserve">Artículo 11. Facultades extraordinarias. </w:t>
      </w:r>
      <w:r w:rsidRPr="009D3FAE">
        <w:t>Revístase al Presidente de la República de precisas facultades extr</w:t>
      </w:r>
      <w:r w:rsidRPr="009D3FAE">
        <w:t xml:space="preserve">aordinarias, por el término de seis (6) meses, contados a partir de la fecha de publicación de la presente ley, para expedir normas con fuerza material de ley dirigidas a integrar al Sector de Igualdad y Equidad con las entidades que defina como adscritas </w:t>
      </w:r>
      <w:r w:rsidRPr="009D3FAE">
        <w:t xml:space="preserve">o vinculadas. Lo anterior, de conformidad con lo establecido en el artículo 150 numeral 10 de la Constitución Política”. </w:t>
      </w:r>
    </w:p>
  </w:footnote>
  <w:footnote w:id="362">
    <w:p w:rsidR="00E41171" w:rsidRPr="009D3FAE" w:rsidRDefault="003E425B" w:rsidP="002860D7">
      <w:pPr>
        <w:pStyle w:val="Textonotapie"/>
      </w:pPr>
      <w:r w:rsidRPr="009D3FAE">
        <w:rPr>
          <w:rStyle w:val="Refdenotaalpie"/>
        </w:rPr>
        <w:footnoteRef/>
      </w:r>
      <w:r w:rsidRPr="009D3FAE">
        <w:t xml:space="preserve"> La Sala resalta que, en el informe de ponencia se reiteró que existen “11 sectores, 14 Entidades, 26 Fondos, 102 dependencias, 24 Si</w:t>
      </w:r>
      <w:r w:rsidRPr="009D3FAE">
        <w:t>stemas Nacionales, 121 Mecanismos e instancias de articulación y coordinación (consejos, comisiones, comités) y 123 programas relacionados con la Igualdad y la Equidad”. Asimismo, presentaron una gráfica de “Inversión para algunas dependencias del Sector A</w:t>
      </w:r>
      <w:r w:rsidRPr="009D3FAE">
        <w:t xml:space="preserve">dministrativo de Igualdad y Equidad directamente relacionadas con la atención a sujetos de especial protección”. Con todo, esta gráfica era diferente a la que se presentó en la ponencia para primer debate en las comisiones conjuntas (párr. </w:t>
      </w:r>
      <w:r>
        <w:t>202</w:t>
      </w:r>
      <w:r w:rsidRPr="009D3FAE">
        <w:t xml:space="preserve"> supra):</w:t>
      </w:r>
    </w:p>
  </w:footnote>
  <w:footnote w:id="36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w:t>
      </w:r>
      <w:r w:rsidRPr="009D3FAE">
        <w:rPr>
          <w:rFonts w:cs="Times New Roman"/>
          <w:szCs w:val="20"/>
        </w:rPr>
        <w:t xml:space="preserve">ceta 1064 de 2022, pág. 23. </w:t>
      </w:r>
      <w:r w:rsidRPr="009D3FAE">
        <w:rPr>
          <w:rFonts w:cs="Times New Roman"/>
          <w:i/>
          <w:iCs/>
          <w:szCs w:val="20"/>
        </w:rPr>
        <w:t>Cfr.</w:t>
      </w:r>
      <w:r w:rsidRPr="009D3FAE">
        <w:rPr>
          <w:rFonts w:cs="Times New Roman"/>
          <w:szCs w:val="20"/>
        </w:rPr>
        <w:t xml:space="preserve"> Gaceta 1596 de 2022, pág. 15.</w:t>
      </w:r>
    </w:p>
  </w:footnote>
  <w:footnote w:id="36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Este concepto se encuentra en las Gacetas 1622 de 2022, 422 de 2023</w:t>
      </w:r>
    </w:p>
  </w:footnote>
  <w:footnote w:id="36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1622 de 2022, pág. 7.</w:t>
      </w:r>
    </w:p>
  </w:footnote>
  <w:footnote w:id="36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Los valores contenidos en el cuadro son “millones de pesos corrientes”.</w:t>
      </w:r>
    </w:p>
  </w:footnote>
  <w:footnote w:id="36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68">
    <w:p w:rsidR="00E41171" w:rsidRPr="009D3FAE" w:rsidRDefault="003E425B" w:rsidP="002860D7">
      <w:pPr>
        <w:pStyle w:val="Textonotapie"/>
      </w:pPr>
      <w:r w:rsidRPr="009D3FAE">
        <w:rPr>
          <w:rStyle w:val="Refdenotaalpie"/>
        </w:rPr>
        <w:footnoteRef/>
      </w:r>
      <w:r w:rsidRPr="009D3FAE">
        <w:t xml:space="preserve"> Ib.</w:t>
      </w:r>
    </w:p>
  </w:footnote>
  <w:footnote w:id="36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7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w:t>
      </w:r>
      <w:r w:rsidRPr="009D3FAE">
        <w:rPr>
          <w:rFonts w:cs="Times New Roman"/>
          <w:iCs/>
          <w:szCs w:val="20"/>
        </w:rPr>
        <w:t xml:space="preserve">sentencia C-170 de 2021. Ver también, sentencias C-850 de 2009, C-520 de 2019, C-425 de 2023 y C-459 de 2023. </w:t>
      </w:r>
    </w:p>
  </w:footnote>
  <w:footnote w:id="371">
    <w:p w:rsidR="00E41171" w:rsidRPr="009D3FAE" w:rsidRDefault="003E425B" w:rsidP="002860D7">
      <w:pPr>
        <w:mirrorIndents/>
        <w:rPr>
          <w:rFonts w:cs="Times New Roman"/>
          <w:iCs/>
          <w:sz w:val="20"/>
          <w:szCs w:val="20"/>
        </w:rPr>
      </w:pPr>
      <w:r w:rsidRPr="009D3FAE">
        <w:rPr>
          <w:rStyle w:val="Refdenotaalpie"/>
          <w:rFonts w:cs="Times New Roman"/>
          <w:sz w:val="20"/>
          <w:szCs w:val="20"/>
        </w:rPr>
        <w:footnoteRef/>
      </w:r>
      <w:r w:rsidRPr="009D3FAE">
        <w:rPr>
          <w:rFonts w:cs="Times New Roman"/>
          <w:iCs/>
          <w:sz w:val="20"/>
          <w:szCs w:val="20"/>
        </w:rPr>
        <w:t xml:space="preserve"> Corte Constitucional, sentencias C-1197 de 2008, C-1139 de 2008 y C-315 de 2008.</w:t>
      </w:r>
    </w:p>
  </w:footnote>
  <w:footnote w:id="37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Corte Constitucional, sentencias Corte Constitucional, sentencias C-373 de 2009, C-170 de 2021, C-085 de 2022, C-175 de 2023 y C-425 de 2023.</w:t>
      </w:r>
    </w:p>
  </w:footnote>
  <w:footnote w:id="373">
    <w:p w:rsidR="00E41171" w:rsidRPr="009D3FAE" w:rsidRDefault="003E425B" w:rsidP="002860D7">
      <w:pPr>
        <w:pStyle w:val="Prrafodelista"/>
        <w:spacing w:line="240" w:lineRule="auto"/>
        <w:ind w:left="0"/>
        <w:rPr>
          <w:sz w:val="20"/>
          <w:szCs w:val="20"/>
          <w:lang w:val="es-ES_tradnl"/>
        </w:rPr>
      </w:pPr>
      <w:r w:rsidRPr="009D3FAE">
        <w:rPr>
          <w:sz w:val="20"/>
          <w:szCs w:val="20"/>
          <w:vertAlign w:val="superscript"/>
        </w:rPr>
        <w:footnoteRef/>
      </w:r>
      <w:r w:rsidRPr="009D3FAE">
        <w:rPr>
          <w:sz w:val="20"/>
          <w:szCs w:val="20"/>
        </w:rPr>
        <w:t xml:space="preserve"> Corte Constitucional, sentencia</w:t>
      </w:r>
      <w:r w:rsidRPr="009D3FAE">
        <w:rPr>
          <w:sz w:val="20"/>
          <w:szCs w:val="20"/>
          <w:lang w:val="es-ES_tradnl"/>
        </w:rPr>
        <w:t xml:space="preserve"> C-424 de 2023.</w:t>
      </w:r>
    </w:p>
  </w:footnote>
  <w:footnote w:id="374">
    <w:p w:rsidR="00E41171" w:rsidRPr="009D3FAE" w:rsidRDefault="003E425B" w:rsidP="002860D7">
      <w:pPr>
        <w:pStyle w:val="Textonotapie"/>
        <w:rPr>
          <w:rFonts w:cs="Times New Roman"/>
          <w:szCs w:val="20"/>
          <w:lang w:val="es-ES"/>
        </w:rPr>
      </w:pPr>
      <w:r w:rsidRPr="009D3FAE">
        <w:rPr>
          <w:rStyle w:val="Refdenotaalpie"/>
          <w:rFonts w:cs="Times New Roman"/>
          <w:szCs w:val="20"/>
        </w:rPr>
        <w:footnoteRef/>
      </w:r>
      <w:r w:rsidRPr="009D3FAE">
        <w:rPr>
          <w:rFonts w:cs="Times New Roman"/>
          <w:szCs w:val="20"/>
        </w:rPr>
        <w:t xml:space="preserve"> </w:t>
      </w:r>
      <w:r w:rsidRPr="009D3FAE">
        <w:rPr>
          <w:rFonts w:cs="Times New Roman"/>
          <w:szCs w:val="20"/>
          <w:lang w:val="es-ES"/>
        </w:rPr>
        <w:t xml:space="preserve">Corte Constitucional, sentencias C-1139 de 2008 y C-1197 de 2008. </w:t>
      </w:r>
    </w:p>
  </w:footnote>
  <w:footnote w:id="375">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Estos fueron Miguel Polo Polo, </w:t>
      </w:r>
      <w:r w:rsidRPr="009D3FAE">
        <w:rPr>
          <w:rFonts w:cs="Times New Roman"/>
          <w:szCs w:val="20"/>
        </w:rPr>
        <w:tab/>
        <w:t>José Jaime Uscátegui Pastrana, Luis Miguel López Aristizábal, Astrid Sánchez Montes de Oca, Hernán Darío Cadavid Márquez, Christian Munir Garcés Aljure, Mo</w:t>
      </w:r>
      <w:r w:rsidRPr="009D3FAE">
        <w:rPr>
          <w:rFonts w:cs="Times New Roman"/>
          <w:szCs w:val="20"/>
        </w:rPr>
        <w:t>desto Enrique Aguilera Vides, Andrés Eduardo Forero Molina, Yenica Sugein Acosta Infante y Jennifer Dalley Pedraza Sandoval.</w:t>
      </w:r>
    </w:p>
  </w:footnote>
  <w:footnote w:id="376">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Gaceta 422 de 2023, pág. 18. Intervención del representante Miguel Polo Polo.</w:t>
      </w:r>
    </w:p>
  </w:footnote>
  <w:footnote w:id="377">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19. Intervención del representante José</w:t>
      </w:r>
      <w:r w:rsidRPr="009D3FAE">
        <w:rPr>
          <w:rFonts w:cs="Times New Roman"/>
          <w:szCs w:val="20"/>
        </w:rPr>
        <w:t xml:space="preserve"> Jaime Uscátegui Pastrana.</w:t>
      </w:r>
    </w:p>
  </w:footnote>
  <w:footnote w:id="378">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21.</w:t>
      </w:r>
    </w:p>
  </w:footnote>
  <w:footnote w:id="379">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21.</w:t>
      </w:r>
    </w:p>
  </w:footnote>
  <w:footnote w:id="380">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25.</w:t>
      </w:r>
    </w:p>
  </w:footnote>
  <w:footnote w:id="381">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382">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Estos fueron los senadores María Fernanda Cabal, Miguel Uribe Turbay, Alejandro Carlos Chacón Camargo,</w:t>
      </w:r>
      <w:r w:rsidRPr="009D3FAE">
        <w:rPr>
          <w:rFonts w:cs="Times New Roman"/>
          <w:szCs w:val="20"/>
          <w:lang w:eastAsia="pt-BR"/>
        </w:rPr>
        <w:t xml:space="preserve"> </w:t>
      </w:r>
      <w:r w:rsidRPr="009D3FAE">
        <w:rPr>
          <w:rFonts w:cs="Times New Roman"/>
          <w:szCs w:val="20"/>
        </w:rPr>
        <w:t>Juan Felipe Lemos Uribe, Paloma Susana Valencia Laserna, Carlos Manuel</w:t>
      </w:r>
      <w:r w:rsidRPr="009D3FAE">
        <w:rPr>
          <w:rFonts w:cs="Times New Roman"/>
          <w:szCs w:val="20"/>
        </w:rPr>
        <w:t xml:space="preserve"> Meisel Vergara, Carlos Abraham Jiménez López, Ciro Alejandro Ramírez Cortés, Óscar Mauricio Giraldo Hernández y Juan Diego Echavarría Sánchez.</w:t>
      </w:r>
    </w:p>
  </w:footnote>
  <w:footnote w:id="383">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58.</w:t>
      </w:r>
    </w:p>
  </w:footnote>
  <w:footnote w:id="384">
    <w:p w:rsidR="00E41171" w:rsidRPr="009D3FAE" w:rsidRDefault="003E425B" w:rsidP="002860D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55.</w:t>
      </w:r>
    </w:p>
  </w:footnote>
  <w:footnote w:id="385">
    <w:p w:rsidR="00E41171" w:rsidRPr="009D3FAE" w:rsidRDefault="003E425B" w:rsidP="002860D7">
      <w:pPr>
        <w:pStyle w:val="Textonotapie"/>
      </w:pPr>
      <w:r w:rsidRPr="009D3FAE">
        <w:rPr>
          <w:rStyle w:val="Refdenotaalpie"/>
        </w:rPr>
        <w:footnoteRef/>
      </w:r>
      <w:r w:rsidRPr="009D3FAE">
        <w:t xml:space="preserve"> Corte Constitucional, sentencia C-036 de 2023. </w:t>
      </w:r>
    </w:p>
  </w:footnote>
  <w:footnote w:id="386">
    <w:p w:rsidR="00E41171" w:rsidRPr="009D3FAE" w:rsidRDefault="003E425B">
      <w:pPr>
        <w:pStyle w:val="Textonotapie"/>
      </w:pPr>
      <w:r w:rsidRPr="009D3FAE">
        <w:rPr>
          <w:rStyle w:val="Refdenotaalpie"/>
        </w:rPr>
        <w:footnoteRef/>
      </w:r>
      <w:r w:rsidRPr="009D3FAE">
        <w:t xml:space="preserve"> La Sala Plena advierte que a</w:t>
      </w:r>
      <w:r w:rsidRPr="009D3FAE">
        <w:t xml:space="preserve">lgunos intervinientes sugirieron que, aun si la Sala Plena encontraba que se había incumplido la obligación prevista en el artículo 7º de la Ley 2281 de 2023, en todo caso la Corte debería declarar la exequibilidad de la norma. Esto, porque el criterio de </w:t>
      </w:r>
      <w:r w:rsidRPr="009D3FAE">
        <w:t>sostenibilidad fiscal y el requisito orgánico de aprobación de las leyes era instrumental y no se pueden invocar para menoscabar, restringir o negar la protección de derechos fundamentales. La Sala Plena no comparte esta argumentación. Esto, porque el requ</w:t>
      </w:r>
      <w:r w:rsidRPr="009D3FAE">
        <w:t>isito orgánico previsto en el artículo 7º de la Ley 819 de 2003 es un requisito de procedimiento para la aprobación de todas las leyes, incluso aquellos que tengan por objeto contribuir a la garantía de derechos fundamentales. Por lo demás, la conclusión s</w:t>
      </w:r>
      <w:r w:rsidRPr="009D3FAE">
        <w:t>egún la cual una norma infringió el artículo 7º de la Ley 819 de 2003 no implica que el criterio de sostenibilidad fiscal tenga una jerarquía superior al principio de igualdad, u otros derechos fundamentales. Esto, porque, se reitera, la obligación de llev</w:t>
      </w:r>
      <w:r w:rsidRPr="009D3FAE">
        <w:t>ar a cabo el análisis de impacto fiscal tiene una naturaleza procesal-deliberativa, no sustantiva. La declaratoria de inexequibilidad no está fundada en el desconocimiento sustantivo del criterio de sostenibilidad fiscal y tampoco implica aceptar, bajo nin</w:t>
      </w:r>
      <w:r w:rsidRPr="009D3FAE">
        <w:t>guna circunstancia, que el Congreso de la República tenga prohibido crear entidades u organismos de la administración pública nacional dirigidas a la superación de los escenarios de discriminación que han padecido diferentes grupos de sujetos de especial p</w:t>
      </w:r>
      <w:r w:rsidRPr="009D3FAE">
        <w:t>rotección constitucional. Con todo, la Sala Plena reconoce que los impactos que la declaratoria de inexequibilidad puedan implicar para la garantía de otros derechos fundamentales y principios constitucionales es relevante al momento de examinar los efecto</w:t>
      </w:r>
      <w:r w:rsidRPr="009D3FAE">
        <w:t xml:space="preserve">s en el tiempo de la inexequibilidad. En tales términos, tendrá en cuenta este elemento en la sección 5 </w:t>
      </w:r>
      <w:r w:rsidRPr="009D3FAE">
        <w:rPr>
          <w:i/>
          <w:iCs/>
        </w:rPr>
        <w:t>infra</w:t>
      </w:r>
      <w:r w:rsidRPr="009D3FAE">
        <w:t xml:space="preserve">.  </w:t>
      </w:r>
    </w:p>
  </w:footnote>
  <w:footnote w:id="387">
    <w:p w:rsidR="00E41171" w:rsidRPr="009D3FAE" w:rsidRDefault="003E425B">
      <w:pPr>
        <w:pStyle w:val="Textonotapie"/>
      </w:pPr>
      <w:r w:rsidRPr="009D3FAE">
        <w:rPr>
          <w:rStyle w:val="Refdenotaalpie"/>
        </w:rPr>
        <w:footnoteRef/>
      </w:r>
      <w:r w:rsidRPr="009D3FAE">
        <w:t xml:space="preserve"> Pese a constatar la existencia de un vicio de procedimiento que afectaba la Ley 2281 de 2023 en su totalidad, la Corte examinará la constituc</w:t>
      </w:r>
      <w:r w:rsidRPr="009D3FAE">
        <w:t xml:space="preserve">ionalidad del artículo 12. Esto, habida cuenta de que, como se expondrá en la sección 5 </w:t>
      </w:r>
      <w:r w:rsidRPr="009D3FAE">
        <w:rPr>
          <w:i/>
          <w:iCs/>
        </w:rPr>
        <w:t>infra</w:t>
      </w:r>
      <w:r w:rsidRPr="009D3FAE">
        <w:t>, la decisión de inexequibilidad tendrá efectos diferidos, lo que implicaría que este artículo continuaría surtiendo efectos por dos años más.  En este sentido, la</w:t>
      </w:r>
      <w:r w:rsidRPr="009D3FAE">
        <w:t xml:space="preserve"> declaratoria de inexequibilidad de la Ley 2281 de 2023 con efectos diferidos implica que los efectos de la cosa juzgada constitucional son relativos, por lo que es posible examinar cargos distintos a los que dieron lugar a la decisión de la Corte. Lo ante</w:t>
      </w:r>
      <w:r w:rsidRPr="009D3FAE">
        <w:t xml:space="preserve">rior, de conformidad con las reglas fijadas en la sentencia C-088 de 2014. Por lo tanto, en criterio de la Sala, es indispensable examinar su constitucionalidad. </w:t>
      </w:r>
    </w:p>
  </w:footnote>
  <w:footnote w:id="388">
    <w:p w:rsidR="00E41171" w:rsidRPr="009D3FAE" w:rsidRDefault="003E425B" w:rsidP="00832D81">
      <w:pPr>
        <w:pStyle w:val="Textonotapie"/>
      </w:pPr>
      <w:r w:rsidRPr="009D3FAE">
        <w:rPr>
          <w:rStyle w:val="Refdenotaalpie"/>
        </w:rPr>
        <w:footnoteRef/>
      </w:r>
      <w:r w:rsidRPr="009D3FAE">
        <w:t xml:space="preserve"> Intervención del DAPRE, DAPS, Ministerio del Interior, Ministerio de Justicia, Comisión Col</w:t>
      </w:r>
      <w:r w:rsidRPr="009D3FAE">
        <w:t xml:space="preserve">ombiana de Juristas, Universidad Libre, Universidad del Bosque, María José Pizarro, </w:t>
      </w:r>
      <w:r w:rsidRPr="009D3FAE">
        <w:rPr>
          <w:sz w:val="22"/>
        </w:rPr>
        <w:t xml:space="preserve">Ana Isabel Arenas Saavedra, Ángela María Robledo y otros, Alexander López Maya, Alirio Uribe, </w:t>
      </w:r>
      <w:r w:rsidRPr="009D3FAE">
        <w:t>la Red de Mujeres Afrolatinoamericanas</w:t>
      </w:r>
      <w:r w:rsidRPr="009D3FAE">
        <w:t>, Afrocaribeñas y de la Diáspora, Alexander López Maya, la Mesa Nacional del Cuidado del Movimiento de Cuidadores Familiares de Personas con Discapacidad y Dependencia Funcional de Colombia, la Corporación Casa de la Mujer e Ilex acción jurídica.</w:t>
      </w:r>
    </w:p>
  </w:footnote>
  <w:footnote w:id="389">
    <w:p w:rsidR="00E41171" w:rsidRPr="009D3FAE" w:rsidRDefault="003E425B" w:rsidP="00832D81">
      <w:pPr>
        <w:pStyle w:val="Textonotapie"/>
      </w:pPr>
      <w:r w:rsidRPr="009D3FAE">
        <w:rPr>
          <w:rStyle w:val="Refdenotaalpie"/>
        </w:rPr>
        <w:footnoteRef/>
      </w:r>
      <w:r w:rsidRPr="009D3FAE">
        <w:t xml:space="preserve"> Ver con</w:t>
      </w:r>
      <w:r w:rsidRPr="009D3FAE">
        <w:t xml:space="preserve">cepto de la Procuradora General de la Nación, párr. </w:t>
      </w:r>
      <w:r w:rsidRPr="009D3FAE">
        <w:fldChar w:fldCharType="begin"/>
      </w:r>
      <w:r w:rsidRPr="009D3FAE">
        <w:instrText xml:space="preserve"> REF _Ref165377293 \r \h  \* MERGEFORMAT </w:instrText>
      </w:r>
      <w:r w:rsidRPr="009D3FAE">
        <w:fldChar w:fldCharType="separate"/>
      </w:r>
      <w:r w:rsidRPr="009D3FAE">
        <w:t>25</w:t>
      </w:r>
      <w:r w:rsidRPr="009D3FAE">
        <w:fldChar w:fldCharType="end"/>
      </w:r>
      <w:r w:rsidRPr="009D3FAE">
        <w:t xml:space="preserve"> </w:t>
      </w:r>
      <w:r w:rsidRPr="009D3FAE">
        <w:rPr>
          <w:i/>
          <w:iCs/>
        </w:rPr>
        <w:t>supra</w:t>
      </w:r>
      <w:r w:rsidRPr="009D3FAE">
        <w:t xml:space="preserve">. </w:t>
      </w:r>
    </w:p>
  </w:footnote>
  <w:footnote w:id="390">
    <w:p w:rsidR="00E41171" w:rsidRPr="009D3FAE" w:rsidRDefault="003E425B" w:rsidP="00832D81">
      <w:pPr>
        <w:pStyle w:val="Textonotapie"/>
      </w:pPr>
      <w:r w:rsidRPr="009D3FAE">
        <w:rPr>
          <w:rStyle w:val="Refdenotaalpie"/>
        </w:rPr>
        <w:footnoteRef/>
      </w:r>
      <w:r w:rsidRPr="009D3FAE">
        <w:t xml:space="preserve"> Los intervinientes enuncian la sentencia C-032 de 1999.</w:t>
      </w:r>
    </w:p>
  </w:footnote>
  <w:footnote w:id="391">
    <w:p w:rsidR="00E41171" w:rsidRPr="009D3FAE" w:rsidRDefault="003E425B" w:rsidP="00832D81">
      <w:pPr>
        <w:pStyle w:val="Textonotapie"/>
      </w:pPr>
      <w:r w:rsidRPr="009D3FAE">
        <w:rPr>
          <w:rStyle w:val="Refdenotaalpie"/>
        </w:rPr>
        <w:footnoteRef/>
      </w:r>
      <w:r w:rsidRPr="009D3FAE">
        <w:t xml:space="preserve"> Intervención de la Univer</w:t>
      </w:r>
      <w:r w:rsidRPr="009D3FAE">
        <w:t>sidad Libre y Consultoría para los derechos humanos y el desplazamiento forzado.</w:t>
      </w:r>
    </w:p>
  </w:footnote>
  <w:footnote w:id="392">
    <w:p w:rsidR="00E41171" w:rsidRPr="009D3FAE" w:rsidRDefault="003E425B" w:rsidP="00832D81">
      <w:pPr>
        <w:pStyle w:val="Textonotapie"/>
      </w:pPr>
      <w:r w:rsidRPr="009D3FAE">
        <w:rPr>
          <w:rStyle w:val="Refdenotaalpie"/>
        </w:rPr>
        <w:footnoteRef/>
      </w:r>
      <w:r w:rsidRPr="009D3FAE">
        <w:t xml:space="preserve"> Intervención del Consultorio Jurídico Mujeres de la Universidad de los Andes.</w:t>
      </w:r>
    </w:p>
  </w:footnote>
  <w:footnote w:id="393">
    <w:p w:rsidR="00E41171" w:rsidRPr="009D3FAE" w:rsidRDefault="003E425B" w:rsidP="00832D81">
      <w:pPr>
        <w:pStyle w:val="Textonotapie"/>
      </w:pPr>
      <w:r w:rsidRPr="009D3FAE">
        <w:rPr>
          <w:rStyle w:val="Refdenotaalpie"/>
        </w:rPr>
        <w:footnoteRef/>
      </w:r>
      <w:r w:rsidRPr="009D3FAE">
        <w:t xml:space="preserve"> Intervención de la Consultoría para los derechos humanos y el desplazamiento forzado.</w:t>
      </w:r>
    </w:p>
  </w:footnote>
  <w:footnote w:id="394">
    <w:p w:rsidR="00E41171" w:rsidRPr="009D3FAE" w:rsidRDefault="003E425B" w:rsidP="00832D81">
      <w:pPr>
        <w:pStyle w:val="Textonotapie"/>
      </w:pPr>
      <w:r w:rsidRPr="009D3FAE">
        <w:rPr>
          <w:rStyle w:val="Refdenotaalpie"/>
        </w:rPr>
        <w:footnoteRef/>
      </w:r>
      <w:r w:rsidRPr="009D3FAE">
        <w:t xml:space="preserve"> Corte</w:t>
      </w:r>
      <w:r w:rsidRPr="009D3FAE">
        <w:t xml:space="preserve"> Constitucional, sentencia C-090 de 2022. </w:t>
      </w:r>
    </w:p>
  </w:footnote>
  <w:footnote w:id="395">
    <w:p w:rsidR="00E41171" w:rsidRPr="009D3FAE" w:rsidRDefault="003E425B" w:rsidP="00832D81">
      <w:pPr>
        <w:pStyle w:val="Textonotapie"/>
      </w:pPr>
      <w:r w:rsidRPr="009D3FAE">
        <w:rPr>
          <w:rStyle w:val="Refdenotaalpie"/>
        </w:rPr>
        <w:footnoteRef/>
      </w:r>
      <w:r w:rsidRPr="009D3FAE">
        <w:t xml:space="preserve"> Corte Constitucional, sentencias C-630 de 2014 y C-366 de 2012. </w:t>
      </w:r>
    </w:p>
  </w:footnote>
  <w:footnote w:id="396">
    <w:p w:rsidR="00E41171" w:rsidRPr="009D3FAE" w:rsidRDefault="003E425B" w:rsidP="00832D81">
      <w:pPr>
        <w:pStyle w:val="Textonotapie"/>
      </w:pPr>
      <w:r w:rsidRPr="009D3FAE">
        <w:rPr>
          <w:rStyle w:val="Refdenotaalpie"/>
        </w:rPr>
        <w:footnoteRef/>
      </w:r>
      <w:r w:rsidRPr="009D3FAE">
        <w:t xml:space="preserve"> Corte Constitucional, sentencias C-092 de 2020, C-249 de 2019, C-261 de 2016, C-562 de 2015, C-219 de 2015 C-306 de 2004, C-510 y C-512 de 1992.</w:t>
      </w:r>
      <w:r w:rsidRPr="009D3FAE">
        <w:t xml:space="preserve"> </w:t>
      </w:r>
    </w:p>
  </w:footnote>
  <w:footnote w:id="397">
    <w:p w:rsidR="00E41171" w:rsidRPr="009D3FAE" w:rsidRDefault="003E425B" w:rsidP="00832D81">
      <w:pPr>
        <w:pStyle w:val="Textonotapie"/>
      </w:pPr>
      <w:r w:rsidRPr="009D3FAE">
        <w:rPr>
          <w:rStyle w:val="Refdenotaalpie"/>
        </w:rPr>
        <w:footnoteRef/>
      </w:r>
      <w:r w:rsidRPr="009D3FAE">
        <w:t xml:space="preserve"> Corte Constitucional, sentencia C-172 de 2017. </w:t>
      </w:r>
    </w:p>
  </w:footnote>
  <w:footnote w:id="398">
    <w:p w:rsidR="00E41171" w:rsidRPr="009D3FAE" w:rsidRDefault="003E425B" w:rsidP="00832D81">
      <w:pPr>
        <w:pStyle w:val="Textonotapie"/>
      </w:pPr>
      <w:r w:rsidRPr="009D3FAE">
        <w:rPr>
          <w:rStyle w:val="Refdenotaalpie"/>
        </w:rPr>
        <w:footnoteRef/>
      </w:r>
      <w:r w:rsidRPr="009D3FAE">
        <w:t xml:space="preserve"> Corte Constitucional, sentencias C-630 de 2014 y C-172 de 2021. </w:t>
      </w:r>
    </w:p>
  </w:footnote>
  <w:footnote w:id="399">
    <w:p w:rsidR="00E41171" w:rsidRPr="009D3FAE" w:rsidRDefault="003E425B" w:rsidP="00832D81">
      <w:pPr>
        <w:pStyle w:val="Textonotapie"/>
      </w:pPr>
      <w:r w:rsidRPr="009D3FAE">
        <w:rPr>
          <w:rStyle w:val="Refdenotaalpie"/>
        </w:rPr>
        <w:footnoteRef/>
      </w:r>
      <w:r w:rsidRPr="009D3FAE">
        <w:t xml:space="preserve"> Corte Constitucional, sentencia C-159 de 2021. </w:t>
      </w:r>
    </w:p>
  </w:footnote>
  <w:footnote w:id="400">
    <w:p w:rsidR="00E41171" w:rsidRPr="009D3FAE" w:rsidRDefault="003E425B" w:rsidP="00832D81">
      <w:pPr>
        <w:pStyle w:val="Textonotapie"/>
      </w:pPr>
      <w:r w:rsidRPr="009D3FAE">
        <w:rPr>
          <w:rStyle w:val="Refdenotaalpie"/>
        </w:rPr>
        <w:footnoteRef/>
      </w:r>
      <w:r w:rsidRPr="009D3FAE">
        <w:t xml:space="preserve"> Corte Constitucional, sentencias C-630 de 2014, C-172 de 2017, C-092 de 2020 y C-159 de 2021. </w:t>
      </w:r>
    </w:p>
  </w:footnote>
  <w:footnote w:id="401">
    <w:p w:rsidR="00E41171" w:rsidRPr="009D3FAE" w:rsidRDefault="003E425B" w:rsidP="00832D81">
      <w:pPr>
        <w:pStyle w:val="Textonotapie"/>
      </w:pPr>
      <w:r w:rsidRPr="009D3FAE">
        <w:rPr>
          <w:rStyle w:val="Refdenotaalpie"/>
        </w:rPr>
        <w:footnoteRef/>
      </w:r>
      <w:r w:rsidRPr="009D3FAE">
        <w:t xml:space="preserve"> Corte Constitucional, sentencia C-219 de 2015. Ver también, sentencia C-172 de 2017. </w:t>
      </w:r>
    </w:p>
  </w:footnote>
  <w:footnote w:id="402">
    <w:p w:rsidR="00E41171" w:rsidRPr="009D3FAE" w:rsidRDefault="003E425B" w:rsidP="00832D81">
      <w:pPr>
        <w:pStyle w:val="Textonotapie"/>
      </w:pPr>
      <w:r w:rsidRPr="009D3FAE">
        <w:rPr>
          <w:rStyle w:val="Refdenotaalpie"/>
        </w:rPr>
        <w:footnoteRef/>
      </w:r>
      <w:r w:rsidRPr="009D3FAE">
        <w:t xml:space="preserve"> Constitución Política, art. 150.10. </w:t>
      </w:r>
    </w:p>
  </w:footnote>
  <w:footnote w:id="403">
    <w:p w:rsidR="00E41171" w:rsidRPr="009D3FAE" w:rsidRDefault="003E425B" w:rsidP="00832D81">
      <w:pPr>
        <w:pStyle w:val="Textonotapie"/>
      </w:pPr>
      <w:r w:rsidRPr="009D3FAE">
        <w:rPr>
          <w:rStyle w:val="Refdenotaalpie"/>
        </w:rPr>
        <w:footnoteRef/>
      </w:r>
      <w:r w:rsidRPr="009D3FAE">
        <w:t xml:space="preserve"> Corte Constitucional, sentencia</w:t>
      </w:r>
      <w:r w:rsidRPr="009D3FAE">
        <w:t xml:space="preserve">s C-074 de 1993, C-979 de 2002, C-097 de 2003, C-061 de 2005, C-634 de 2012, C-745 de 2012, C-784 de 2012, C-219 de 2015, C-261 de 2016 y C-159 de 2021. </w:t>
      </w:r>
    </w:p>
  </w:footnote>
  <w:footnote w:id="404">
    <w:p w:rsidR="00E41171" w:rsidRPr="009D3FAE" w:rsidRDefault="003E425B" w:rsidP="00832D81">
      <w:pPr>
        <w:pStyle w:val="Textonotapie"/>
      </w:pPr>
      <w:r w:rsidRPr="009D3FAE">
        <w:rPr>
          <w:vertAlign w:val="superscript"/>
        </w:rPr>
        <w:footnoteRef/>
      </w:r>
      <w:r w:rsidRPr="009D3FAE">
        <w:t xml:space="preserve"> Corte Constitucional, sentencia C-097 de 2003, C-061 de 2005, C-745 de 2012 y C-219 de 2015. </w:t>
      </w:r>
    </w:p>
  </w:footnote>
  <w:footnote w:id="405">
    <w:p w:rsidR="00E41171" w:rsidRPr="009D3FAE" w:rsidRDefault="003E425B" w:rsidP="00832D81">
      <w:pPr>
        <w:pStyle w:val="Textonotapie"/>
      </w:pPr>
      <w:r w:rsidRPr="009D3FAE">
        <w:rPr>
          <w:rStyle w:val="Refdenotaalpie"/>
        </w:rPr>
        <w:footnoteRef/>
      </w:r>
      <w:r w:rsidRPr="009D3FAE">
        <w:t xml:space="preserve"> Cort</w:t>
      </w:r>
      <w:r w:rsidRPr="009D3FAE">
        <w:t>e Constitucional, sentencia C-757 de 2002.</w:t>
      </w:r>
    </w:p>
  </w:footnote>
  <w:footnote w:id="406">
    <w:p w:rsidR="00E41171" w:rsidRPr="009D3FAE" w:rsidRDefault="003E425B" w:rsidP="00832D81">
      <w:pPr>
        <w:pStyle w:val="Textonotapie"/>
      </w:pPr>
      <w:r w:rsidRPr="009D3FAE">
        <w:rPr>
          <w:rStyle w:val="Refdenotaalpie"/>
        </w:rPr>
        <w:footnoteRef/>
      </w:r>
      <w:r w:rsidRPr="009D3FAE">
        <w:t xml:space="preserve"> Corte Constitucional, sentencia C-366 de 2012. </w:t>
      </w:r>
    </w:p>
  </w:footnote>
  <w:footnote w:id="407">
    <w:p w:rsidR="00E41171" w:rsidRPr="009D3FAE" w:rsidRDefault="003E425B" w:rsidP="00832D81">
      <w:pPr>
        <w:pStyle w:val="Textonotapie"/>
      </w:pPr>
      <w:r w:rsidRPr="009D3FAE">
        <w:rPr>
          <w:rStyle w:val="Refdenotaalpie"/>
        </w:rPr>
        <w:footnoteRef/>
      </w:r>
      <w:r w:rsidRPr="009D3FAE">
        <w:t xml:space="preserve"> Corte Constitucional, sentencias C-032 de 1999, C-097 de 2003, C-784 de 2012, C-240 de 2012 y C-</w:t>
      </w:r>
      <w:r w:rsidRPr="009D3FAE">
        <w:rPr>
          <w:iCs/>
        </w:rPr>
        <w:t xml:space="preserve">335 de 2016. </w:t>
      </w:r>
    </w:p>
  </w:footnote>
  <w:footnote w:id="408">
    <w:p w:rsidR="00E41171" w:rsidRPr="009D3FAE" w:rsidRDefault="003E425B" w:rsidP="00832D81">
      <w:pPr>
        <w:pStyle w:val="Textonotapie"/>
      </w:pPr>
      <w:r w:rsidRPr="009D3FAE">
        <w:rPr>
          <w:rStyle w:val="Refdenotaalpie"/>
        </w:rPr>
        <w:footnoteRef/>
      </w:r>
      <w:r w:rsidRPr="009D3FAE">
        <w:t xml:space="preserve"> Corte Constitucional, sentencia C-097 de 2003. </w:t>
      </w:r>
    </w:p>
  </w:footnote>
  <w:footnote w:id="409">
    <w:p w:rsidR="00E41171" w:rsidRPr="009D3FAE" w:rsidRDefault="003E425B" w:rsidP="00832D81">
      <w:pPr>
        <w:pStyle w:val="Textonotapie"/>
      </w:pPr>
      <w:r w:rsidRPr="009D3FAE">
        <w:rPr>
          <w:rStyle w:val="Refdenotaalpie"/>
        </w:rPr>
        <w:footnoteRef/>
      </w:r>
      <w:r w:rsidRPr="009D3FAE">
        <w:t xml:space="preserve"> Corte Constitucional, sentencia C-159 de 2021. Ver también, sentencias C-097 de 2003, C-630 de 2014 y C-219 de 2015. </w:t>
      </w:r>
    </w:p>
  </w:footnote>
  <w:footnote w:id="410">
    <w:p w:rsidR="00E41171" w:rsidRPr="009D3FAE" w:rsidRDefault="003E425B" w:rsidP="00832D81">
      <w:pPr>
        <w:pStyle w:val="Textonotapie"/>
      </w:pPr>
      <w:r w:rsidRPr="009D3FAE">
        <w:rPr>
          <w:rStyle w:val="Refdenotaalpie"/>
        </w:rPr>
        <w:footnoteRef/>
      </w:r>
      <w:r w:rsidRPr="009D3FAE">
        <w:t xml:space="preserve"> Corte Constitucional, sentencia C-097 de 2003. Ver también, sentencia C-645 de 2016. </w:t>
      </w:r>
    </w:p>
  </w:footnote>
  <w:footnote w:id="411">
    <w:p w:rsidR="00E41171" w:rsidRPr="009D3FAE" w:rsidRDefault="003E425B" w:rsidP="00832D81">
      <w:pPr>
        <w:pStyle w:val="Textonotapie"/>
      </w:pPr>
      <w:r w:rsidRPr="009D3FAE">
        <w:rPr>
          <w:vertAlign w:val="superscript"/>
        </w:rPr>
        <w:footnoteRef/>
      </w:r>
      <w:r w:rsidRPr="009D3FAE">
        <w:t xml:space="preserve"> Corte Constitucional, sentencia C-503 de 2001. </w:t>
      </w:r>
    </w:p>
  </w:footnote>
  <w:footnote w:id="412">
    <w:p w:rsidR="00E41171" w:rsidRPr="009D3FAE" w:rsidRDefault="003E425B" w:rsidP="00832D81">
      <w:pPr>
        <w:pStyle w:val="Textonotapie"/>
      </w:pPr>
      <w:r w:rsidRPr="009D3FAE">
        <w:rPr>
          <w:rStyle w:val="Refdenotaalpie"/>
        </w:rPr>
        <w:footnoteRef/>
      </w:r>
      <w:r w:rsidRPr="009D3FAE">
        <w:t xml:space="preserve"> Corte Constitucional, sentencia C-219 de 2015. Ver también, C-562 de 2015. </w:t>
      </w:r>
    </w:p>
  </w:footnote>
  <w:footnote w:id="413">
    <w:p w:rsidR="00E41171" w:rsidRPr="009D3FAE" w:rsidRDefault="003E425B" w:rsidP="00832D81">
      <w:pPr>
        <w:pStyle w:val="Textonotapie"/>
      </w:pPr>
      <w:r w:rsidRPr="009D3FAE">
        <w:rPr>
          <w:vertAlign w:val="superscript"/>
        </w:rPr>
        <w:footnoteRef/>
      </w:r>
      <w:r w:rsidRPr="009D3FAE">
        <w:t xml:space="preserve"> Corte Constitucional, sentencia C-074 de 1993. Ver también, sentencias C-784 de 2012, C-366 de 2012 y C-335 de 2016. </w:t>
      </w:r>
    </w:p>
  </w:footnote>
  <w:footnote w:id="414">
    <w:p w:rsidR="00E41171" w:rsidRPr="009D3FAE" w:rsidRDefault="003E425B" w:rsidP="00832D81">
      <w:pPr>
        <w:pStyle w:val="Textonotapie"/>
      </w:pPr>
      <w:r w:rsidRPr="009D3FAE">
        <w:rPr>
          <w:rStyle w:val="Refdenotaalpie"/>
        </w:rPr>
        <w:footnoteRef/>
      </w:r>
      <w:r w:rsidRPr="009D3FAE">
        <w:t xml:space="preserve"> Corte Constitucional, sentencia C-562 de 2015. </w:t>
      </w:r>
    </w:p>
  </w:footnote>
  <w:footnote w:id="415">
    <w:p w:rsidR="00E41171" w:rsidRPr="009D3FAE" w:rsidRDefault="003E425B" w:rsidP="00832D81">
      <w:pPr>
        <w:pStyle w:val="Textonotapie"/>
      </w:pPr>
      <w:r w:rsidRPr="009D3FAE">
        <w:rPr>
          <w:rStyle w:val="Refdenotaalpie"/>
        </w:rPr>
        <w:footnoteRef/>
      </w:r>
      <w:r w:rsidRPr="009D3FAE">
        <w:t xml:space="preserve"> Corte</w:t>
      </w:r>
      <w:r w:rsidRPr="009D3FAE">
        <w:t xml:space="preserve"> Constitucional, sentencia C-219 de 2015. Ver también, sentencia C-744 de 2012</w:t>
      </w:r>
    </w:p>
  </w:footnote>
  <w:footnote w:id="416">
    <w:p w:rsidR="00E41171" w:rsidRPr="009D3FAE" w:rsidRDefault="003E425B" w:rsidP="00832D81">
      <w:pPr>
        <w:pStyle w:val="Textonotapie"/>
      </w:pPr>
      <w:r w:rsidRPr="009D3FAE">
        <w:rPr>
          <w:rStyle w:val="Refdenotaalpie"/>
        </w:rPr>
        <w:footnoteRef/>
      </w:r>
      <w:r w:rsidRPr="009D3FAE">
        <w:t xml:space="preserve"> Corte Constitucional, sentencia C-235 de 2014. Ver también, sentencia C-306 de 2004. </w:t>
      </w:r>
    </w:p>
  </w:footnote>
  <w:footnote w:id="417">
    <w:p w:rsidR="00E41171" w:rsidRPr="009D3FAE" w:rsidRDefault="003E425B" w:rsidP="00832D81">
      <w:pPr>
        <w:pStyle w:val="Textonotapie"/>
      </w:pPr>
      <w:r w:rsidRPr="009D3FAE">
        <w:rPr>
          <w:rStyle w:val="Refdenotaalpie"/>
        </w:rPr>
        <w:footnoteRef/>
      </w:r>
      <w:r w:rsidRPr="009D3FAE">
        <w:t xml:space="preserve"> Ib. </w:t>
      </w:r>
    </w:p>
  </w:footnote>
  <w:footnote w:id="418">
    <w:p w:rsidR="00E41171" w:rsidRPr="009D3FAE" w:rsidRDefault="003E425B" w:rsidP="000D7B21">
      <w:pPr>
        <w:pStyle w:val="Textonotapie"/>
      </w:pPr>
      <w:r w:rsidRPr="009D3FAE">
        <w:rPr>
          <w:rStyle w:val="Refdenotaalpie"/>
        </w:rPr>
        <w:footnoteRef/>
      </w:r>
      <w:r w:rsidRPr="009D3FAE">
        <w:t xml:space="preserve"> Corte Constitucional, sentencia C-856 de 2006. </w:t>
      </w:r>
    </w:p>
  </w:footnote>
  <w:footnote w:id="419">
    <w:p w:rsidR="00E41171" w:rsidRPr="009D3FAE" w:rsidRDefault="003E425B" w:rsidP="000D7B21">
      <w:pPr>
        <w:pStyle w:val="Textonotapie"/>
      </w:pPr>
      <w:r w:rsidRPr="009D3FAE">
        <w:rPr>
          <w:rStyle w:val="Refdenotaalpie"/>
        </w:rPr>
        <w:footnoteRef/>
      </w:r>
      <w:r w:rsidRPr="009D3FAE">
        <w:t xml:space="preserve"> Corte Constitucional, sentencia C-1437 de 2000. Ver también, Corte Constitucional, sentencia </w:t>
      </w:r>
      <w:r w:rsidRPr="009D3FAE">
        <w:rPr>
          <w:lang w:val="es-MX"/>
        </w:rPr>
        <w:t>C-046 de 2004</w:t>
      </w:r>
      <w:r w:rsidRPr="009D3FAE">
        <w:t xml:space="preserve">: “Además, la amplia competencia del legislador en esta materia lleva consigo la facultad de modificar adscripciones o vinculaciones a entidades, si </w:t>
      </w:r>
      <w:r w:rsidRPr="009D3FAE">
        <w:t>así lo determinan las circunstancias. Es decir, si una entidad se encuentra vinculada o adscrita a un determinado organismo, esta circunstancia no impide que pueda ser vinculado a otro, siempre y cuando se den los elementos de afinidad con el nuevo organis</w:t>
      </w:r>
      <w:r w:rsidRPr="009D3FAE">
        <w:t xml:space="preserve">mo”. </w:t>
      </w:r>
    </w:p>
  </w:footnote>
  <w:footnote w:id="420">
    <w:p w:rsidR="00E41171" w:rsidRPr="009D3FAE" w:rsidRDefault="003E425B" w:rsidP="000D7B21">
      <w:pPr>
        <w:pStyle w:val="Textonotapie"/>
      </w:pPr>
      <w:r w:rsidRPr="009D3FAE">
        <w:rPr>
          <w:rStyle w:val="Refdenotaalpie"/>
        </w:rPr>
        <w:footnoteRef/>
      </w:r>
      <w:r w:rsidRPr="009D3FAE">
        <w:t xml:space="preserve"> Corte Constitucional, sentencias C-1437 de 2000, C-889 de 2002, C-046 de 2004, C-121 de 2004. C-306 de 2004 y C-043 de 2023. </w:t>
      </w:r>
    </w:p>
  </w:footnote>
  <w:footnote w:id="421">
    <w:p w:rsidR="00E41171" w:rsidRPr="009D3FAE" w:rsidRDefault="003E425B" w:rsidP="000D7B21">
      <w:pPr>
        <w:pStyle w:val="Textonotapie"/>
      </w:pPr>
      <w:r w:rsidRPr="009D3FAE">
        <w:rPr>
          <w:rStyle w:val="Refdenotaalpie"/>
        </w:rPr>
        <w:footnoteRef/>
      </w:r>
      <w:r w:rsidRPr="009D3FAE">
        <w:t xml:space="preserve"> Corte Constitucional, sentencia C-889 de 2002. Ver también, sentencia C-046 de 2004. </w:t>
      </w:r>
    </w:p>
  </w:footnote>
  <w:footnote w:id="422">
    <w:p w:rsidR="00E41171" w:rsidRPr="009D3FAE" w:rsidRDefault="003E425B" w:rsidP="000D7B21">
      <w:pPr>
        <w:pStyle w:val="Textonotapie"/>
      </w:pPr>
      <w:r w:rsidRPr="009D3FAE">
        <w:rPr>
          <w:rStyle w:val="Refdenotaalpie"/>
        </w:rPr>
        <w:footnoteRef/>
      </w:r>
      <w:r w:rsidRPr="009D3FAE">
        <w:t xml:space="preserve"> Corte Constitucional, sentencia </w:t>
      </w:r>
      <w:r w:rsidRPr="009D3FAE">
        <w:t xml:space="preserve">C-889 de 2002. Ver también, sentencias C-046 de 2004 y C-306 de 2004. </w:t>
      </w:r>
    </w:p>
  </w:footnote>
  <w:footnote w:id="423">
    <w:p w:rsidR="00E41171" w:rsidRPr="009D3FAE" w:rsidRDefault="003E425B" w:rsidP="000D7B21">
      <w:pPr>
        <w:pStyle w:val="Textonotapie"/>
      </w:pPr>
      <w:r w:rsidRPr="009D3FAE">
        <w:rPr>
          <w:rStyle w:val="Refdenotaalpie"/>
        </w:rPr>
        <w:footnoteRef/>
      </w:r>
      <w:r w:rsidRPr="009D3FAE">
        <w:t xml:space="preserve"> Corte Constitucional, sentencias C-046 de 2004 y C-121 de 2004</w:t>
      </w:r>
    </w:p>
  </w:footnote>
  <w:footnote w:id="424">
    <w:p w:rsidR="00E41171" w:rsidRPr="009D3FAE" w:rsidRDefault="003E425B" w:rsidP="000D7B21">
      <w:pPr>
        <w:pStyle w:val="Textonotapie"/>
      </w:pPr>
      <w:r w:rsidRPr="009D3FAE">
        <w:rPr>
          <w:rStyle w:val="Refdenotaalpie"/>
        </w:rPr>
        <w:footnoteRef/>
      </w:r>
      <w:r w:rsidRPr="009D3FAE">
        <w:t xml:space="preserve"> Corte Constitucional, sentencias C-066 de 2000, C-046 de 2004 y C-200 de 2020. </w:t>
      </w:r>
      <w:r w:rsidRPr="009D3FAE">
        <w:rPr>
          <w:i/>
          <w:iCs/>
        </w:rPr>
        <w:t xml:space="preserve">Cfr., </w:t>
      </w:r>
      <w:r w:rsidRPr="009D3FAE">
        <w:t>Sentencia C-1437 de 2000.</w:t>
      </w:r>
    </w:p>
  </w:footnote>
  <w:footnote w:id="425">
    <w:p w:rsidR="00E41171" w:rsidRPr="009D3FAE" w:rsidRDefault="003E425B" w:rsidP="000D7B21">
      <w:pPr>
        <w:pStyle w:val="Textonotapie"/>
      </w:pPr>
      <w:r w:rsidRPr="009D3FAE">
        <w:rPr>
          <w:rStyle w:val="Refdenotaalpie"/>
        </w:rPr>
        <w:footnoteRef/>
      </w:r>
      <w:r w:rsidRPr="009D3FAE">
        <w:t xml:space="preserve"> Consejo de Estado, Sección Tercera, Subsección C, sentencia de 10 de septiembre de 2014, rad. Núm. 73001-23-31-000-2001-01509-01 (25.909). </w:t>
      </w:r>
      <w:r w:rsidRPr="009D3FAE">
        <w:rPr>
          <w:i/>
          <w:iCs/>
        </w:rPr>
        <w:t xml:space="preserve">Cfr. </w:t>
      </w:r>
      <w:r w:rsidRPr="009D3FAE">
        <w:t>Corte Constitucional, sentencia C-736 de 2007.</w:t>
      </w:r>
    </w:p>
  </w:footnote>
  <w:footnote w:id="426">
    <w:p w:rsidR="00E41171" w:rsidRPr="009D3FAE" w:rsidRDefault="003E425B" w:rsidP="000D7B21">
      <w:pPr>
        <w:pStyle w:val="Textonotapie"/>
      </w:pPr>
      <w:r w:rsidRPr="009D3FAE">
        <w:rPr>
          <w:rStyle w:val="Refdenotaalpie"/>
        </w:rPr>
        <w:footnoteRef/>
      </w:r>
      <w:r w:rsidRPr="009D3FAE">
        <w:t xml:space="preserve"> Ib. </w:t>
      </w:r>
    </w:p>
  </w:footnote>
  <w:footnote w:id="427">
    <w:p w:rsidR="00E41171" w:rsidRPr="009D3FAE" w:rsidRDefault="003E425B" w:rsidP="009D50C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 pág. 9.</w:t>
      </w:r>
    </w:p>
  </w:footnote>
  <w:footnote w:id="428">
    <w:p w:rsidR="00E41171" w:rsidRPr="009D3FAE" w:rsidRDefault="003E425B" w:rsidP="009D50C7">
      <w:pPr>
        <w:pStyle w:val="Textonotapie"/>
        <w:rPr>
          <w:rFonts w:cs="Times New Roman"/>
          <w:szCs w:val="20"/>
        </w:rPr>
      </w:pPr>
      <w:r w:rsidRPr="009D3FAE">
        <w:rPr>
          <w:rStyle w:val="Refdenotaalpie"/>
          <w:rFonts w:cs="Times New Roman"/>
          <w:szCs w:val="20"/>
        </w:rPr>
        <w:footnoteRef/>
      </w:r>
      <w:r w:rsidRPr="009D3FAE">
        <w:rPr>
          <w:rFonts w:cs="Times New Roman"/>
          <w:szCs w:val="20"/>
        </w:rPr>
        <w:t xml:space="preserve"> Ib.</w:t>
      </w:r>
    </w:p>
  </w:footnote>
  <w:footnote w:id="429">
    <w:p w:rsidR="00E41171" w:rsidRPr="009D3FAE" w:rsidRDefault="003E425B" w:rsidP="000D7B21">
      <w:pPr>
        <w:pStyle w:val="Textonotapie"/>
      </w:pPr>
      <w:r w:rsidRPr="009D3FAE">
        <w:rPr>
          <w:rStyle w:val="Refdenotaalpie"/>
        </w:rPr>
        <w:footnoteRef/>
      </w:r>
      <w:r w:rsidRPr="009D3FAE">
        <w:t xml:space="preserve"> Corte Constitucional, sentencia C-</w:t>
      </w:r>
      <w:r w:rsidRPr="009D3FAE">
        <w:t xml:space="preserve">219 de 2015. Ver también, sentencia C-562 de 2015. </w:t>
      </w:r>
    </w:p>
  </w:footnote>
  <w:footnote w:id="430">
    <w:p w:rsidR="00E41171" w:rsidRPr="009D3FAE" w:rsidRDefault="003E425B" w:rsidP="000D7B21">
      <w:pPr>
        <w:pStyle w:val="Textonotapie"/>
      </w:pPr>
      <w:r w:rsidRPr="009D3FAE">
        <w:rPr>
          <w:rStyle w:val="Refdenotaalpie"/>
        </w:rPr>
        <w:footnoteRef/>
      </w:r>
      <w:r w:rsidRPr="009D3FAE">
        <w:t xml:space="preserve"> Corte Constitucional, sentencia C-562 de 2015. </w:t>
      </w:r>
    </w:p>
  </w:footnote>
  <w:footnote w:id="431">
    <w:p w:rsidR="00E41171" w:rsidRPr="009D3FAE" w:rsidRDefault="003E425B" w:rsidP="000D7B21">
      <w:pPr>
        <w:pStyle w:val="Textonotapie"/>
      </w:pPr>
      <w:r w:rsidRPr="009D3FAE">
        <w:rPr>
          <w:rStyle w:val="Refdenotaalpie"/>
        </w:rPr>
        <w:footnoteRef/>
      </w:r>
      <w:r w:rsidRPr="009D3FAE">
        <w:t xml:space="preserve"> Corte Constitucional, sentencia C-219 de 2015. Ver también, sentencia C-744 de 2012</w:t>
      </w:r>
    </w:p>
  </w:footnote>
  <w:footnote w:id="432">
    <w:p w:rsidR="00E41171" w:rsidRPr="009D3FAE" w:rsidRDefault="003E425B" w:rsidP="000D7B21">
      <w:pPr>
        <w:pStyle w:val="Textonotapie"/>
      </w:pPr>
      <w:r w:rsidRPr="009D3FAE">
        <w:rPr>
          <w:rStyle w:val="Refdenotaalpie"/>
        </w:rPr>
        <w:footnoteRef/>
      </w:r>
      <w:r w:rsidRPr="009D3FAE">
        <w:t xml:space="preserve"> Corte Constitucional, sentencia C-235 de 2014. Ver también, senten</w:t>
      </w:r>
      <w:r w:rsidRPr="009D3FAE">
        <w:t xml:space="preserve">cia C-306 de 2004. </w:t>
      </w:r>
    </w:p>
  </w:footnote>
  <w:footnote w:id="433">
    <w:p w:rsidR="00E41171" w:rsidRPr="009D3FAE" w:rsidRDefault="003E425B" w:rsidP="001D7E8C">
      <w:pPr>
        <w:pStyle w:val="Textonotapie"/>
      </w:pPr>
      <w:r w:rsidRPr="009D3FAE">
        <w:rPr>
          <w:rStyle w:val="Refdenotaalpie"/>
          <w:rFonts w:eastAsiaTheme="majorEastAsia"/>
        </w:rPr>
        <w:footnoteRef/>
      </w:r>
      <w:r w:rsidRPr="009D3FAE">
        <w:t xml:space="preserve"> Corte Constitucional, sentencia C-737 de 2001.</w:t>
      </w:r>
    </w:p>
  </w:footnote>
  <w:footnote w:id="434">
    <w:p w:rsidR="00E41171" w:rsidRPr="009D3FAE" w:rsidRDefault="003E425B" w:rsidP="001D7E8C">
      <w:pPr>
        <w:pStyle w:val="Textonotapie"/>
      </w:pPr>
      <w:r w:rsidRPr="009D3FAE">
        <w:rPr>
          <w:rStyle w:val="Refdenotaalpie"/>
          <w:rFonts w:eastAsiaTheme="majorEastAsia"/>
        </w:rPr>
        <w:footnoteRef/>
      </w:r>
      <w:r w:rsidRPr="009D3FAE">
        <w:t xml:space="preserve"> Corte Constitucional, sentencias C-112 de 2000 y C-252 de 2010.</w:t>
      </w:r>
    </w:p>
  </w:footnote>
  <w:footnote w:id="435">
    <w:p w:rsidR="00E41171" w:rsidRPr="009D3FAE" w:rsidRDefault="003E425B" w:rsidP="001D7E8C">
      <w:pPr>
        <w:pStyle w:val="Textonotapie"/>
      </w:pPr>
      <w:r w:rsidRPr="009D3FAE">
        <w:rPr>
          <w:rStyle w:val="Refdenotaalpie"/>
        </w:rPr>
        <w:footnoteRef/>
      </w:r>
      <w:r w:rsidRPr="009D3FAE">
        <w:t xml:space="preserve"> Corte Constitucional, sentencia C-481 de 2019. </w:t>
      </w:r>
    </w:p>
  </w:footnote>
  <w:footnote w:id="436">
    <w:p w:rsidR="00E41171" w:rsidRPr="009D3FAE" w:rsidRDefault="003E425B" w:rsidP="001D7E8C">
      <w:pPr>
        <w:pStyle w:val="Textonotapie"/>
      </w:pPr>
      <w:r w:rsidRPr="009D3FAE">
        <w:rPr>
          <w:rStyle w:val="Refdenotaalpie"/>
        </w:rPr>
        <w:footnoteRef/>
      </w:r>
      <w:r w:rsidRPr="009D3FAE">
        <w:t xml:space="preserve"> Corte Constitucional, sentencias C-141 de 2001 y C-047 de 2018.</w:t>
      </w:r>
    </w:p>
  </w:footnote>
  <w:footnote w:id="437">
    <w:p w:rsidR="00E41171" w:rsidRPr="009D3FAE" w:rsidRDefault="003E425B" w:rsidP="001D7E8C">
      <w:pPr>
        <w:pStyle w:val="Textonotapie"/>
      </w:pPr>
      <w:r w:rsidRPr="009D3FAE">
        <w:rPr>
          <w:rStyle w:val="Refdenotaalpie"/>
        </w:rPr>
        <w:footnoteRef/>
      </w:r>
      <w:r w:rsidRPr="009D3FAE">
        <w:t xml:space="preserve"> Cor</w:t>
      </w:r>
      <w:r w:rsidRPr="009D3FAE">
        <w:t>te Constitucional, sentencias C-030 de 2019, C-568 de 2019 y C-101 de 2022.</w:t>
      </w:r>
    </w:p>
  </w:footnote>
  <w:footnote w:id="438">
    <w:p w:rsidR="00E41171" w:rsidRPr="009D3FAE" w:rsidRDefault="003E425B" w:rsidP="001D7E8C">
      <w:pPr>
        <w:pStyle w:val="Textonotapie"/>
      </w:pPr>
      <w:r w:rsidRPr="009D3FAE">
        <w:rPr>
          <w:rStyle w:val="Refdenotaalpie"/>
        </w:rPr>
        <w:footnoteRef/>
      </w:r>
      <w:r w:rsidRPr="009D3FAE">
        <w:t xml:space="preserve"> Corte Constitucional, sentencias C-141 de 2001 y C-568 de 2019.</w:t>
      </w:r>
    </w:p>
  </w:footnote>
  <w:footnote w:id="439">
    <w:p w:rsidR="00E41171" w:rsidRPr="009D3FAE" w:rsidRDefault="003E425B" w:rsidP="001D7E8C">
      <w:pPr>
        <w:pStyle w:val="Textonotapie"/>
      </w:pPr>
      <w:r w:rsidRPr="009D3FAE">
        <w:rPr>
          <w:rStyle w:val="Refdenotaalpie"/>
        </w:rPr>
        <w:footnoteRef/>
      </w:r>
      <w:r w:rsidRPr="009D3FAE">
        <w:t xml:space="preserve"> Corte Constitucional, sentencias C-737 de 2001, C-030 de 2019, C-481 de 2019 y C-101 de 2022. </w:t>
      </w:r>
    </w:p>
  </w:footnote>
  <w:footnote w:id="440">
    <w:p w:rsidR="00E41171" w:rsidRPr="009D3FAE" w:rsidRDefault="003E425B" w:rsidP="001D7E8C">
      <w:pPr>
        <w:pStyle w:val="Textonotapie"/>
      </w:pPr>
      <w:r w:rsidRPr="009D3FAE">
        <w:rPr>
          <w:rStyle w:val="Refdenotaalpie"/>
        </w:rPr>
        <w:footnoteRef/>
      </w:r>
      <w:r w:rsidRPr="009D3FAE">
        <w:t xml:space="preserve"> Corte Constituc</w:t>
      </w:r>
      <w:r w:rsidRPr="009D3FAE">
        <w:t xml:space="preserve">ional, sentencias C-737 de 2001, C-030 de 2019, C-481 de 2019. </w:t>
      </w:r>
    </w:p>
  </w:footnote>
  <w:footnote w:id="441">
    <w:p w:rsidR="00E41171" w:rsidRPr="009D3FAE" w:rsidRDefault="003E425B" w:rsidP="001D7E8C">
      <w:pPr>
        <w:pStyle w:val="Textonotapie"/>
      </w:pPr>
      <w:r w:rsidRPr="009D3FAE">
        <w:rPr>
          <w:rStyle w:val="Refdenotaalpie"/>
        </w:rPr>
        <w:footnoteRef/>
      </w:r>
      <w:r w:rsidRPr="009D3FAE">
        <w:t xml:space="preserve"> Ib. </w:t>
      </w:r>
    </w:p>
  </w:footnote>
  <w:footnote w:id="442">
    <w:p w:rsidR="00E41171" w:rsidRPr="009D3FAE" w:rsidRDefault="003E425B" w:rsidP="001D7E8C">
      <w:pPr>
        <w:pStyle w:val="Textonotapie"/>
      </w:pPr>
      <w:r w:rsidRPr="009D3FAE">
        <w:rPr>
          <w:rStyle w:val="Refdenotaalpie"/>
        </w:rPr>
        <w:footnoteRef/>
      </w:r>
      <w:r w:rsidRPr="009D3FAE">
        <w:t xml:space="preserve"> Ib. </w:t>
      </w:r>
    </w:p>
  </w:footnote>
  <w:footnote w:id="443">
    <w:p w:rsidR="00E41171" w:rsidRPr="009D3FAE" w:rsidRDefault="003E425B" w:rsidP="001D7E8C">
      <w:pPr>
        <w:pStyle w:val="Textonotapie"/>
      </w:pPr>
      <w:r w:rsidRPr="009D3FAE">
        <w:rPr>
          <w:rStyle w:val="Refdenotaalpie"/>
        </w:rPr>
        <w:footnoteRef/>
      </w:r>
      <w:r w:rsidRPr="009D3FAE">
        <w:t xml:space="preserve"> Art. 3 de la </w:t>
      </w:r>
      <w:r w:rsidRPr="009D3FAE">
        <w:rPr>
          <w:lang w:val="es-ES"/>
        </w:rPr>
        <w:t>Ley 2281 de 2023</w:t>
      </w:r>
    </w:p>
  </w:footnote>
  <w:footnote w:id="444">
    <w:p w:rsidR="00E41171" w:rsidRPr="009D3FAE" w:rsidRDefault="003E425B" w:rsidP="001D7E8C">
      <w:pPr>
        <w:pStyle w:val="Textonotapie"/>
      </w:pPr>
      <w:r w:rsidRPr="009D3FAE">
        <w:rPr>
          <w:rStyle w:val="Refdenotaalpie"/>
        </w:rPr>
        <w:footnoteRef/>
      </w:r>
      <w:r w:rsidRPr="009D3FAE">
        <w:t xml:space="preserve"> Decreto 1075 de 2023, art. 48. </w:t>
      </w:r>
    </w:p>
  </w:footnote>
  <w:footnote w:id="445">
    <w:p w:rsidR="00E41171" w:rsidRDefault="003E425B">
      <w:pPr>
        <w:pStyle w:val="Textonotapie"/>
      </w:pPr>
      <w:r w:rsidRPr="009D3FAE">
        <w:rPr>
          <w:rStyle w:val="Refdenotaalpie"/>
        </w:rPr>
        <w:footnoteRef/>
      </w:r>
      <w:r w:rsidRPr="009D3FAE">
        <w:t xml:space="preserve"> Por lo demás, la Sala Plena que este término del diferimiento es compatible con el diferimiento que la Corte e</w:t>
      </w:r>
      <w:r w:rsidRPr="009D3FAE">
        <w:t>fectuó en la sentencia C-047 de 2021.</w:t>
      </w:r>
      <w:r>
        <w:t xml:space="preserve"> </w:t>
      </w:r>
    </w:p>
  </w:footnote>
  <w:footnote w:id="446">
    <w:p w:rsidR="00E4520F" w:rsidRDefault="003E425B" w:rsidP="00E4520F">
      <w:pPr>
        <w:pStyle w:val="Textonotapie"/>
      </w:pPr>
      <w:r>
        <w:rPr>
          <w:rStyle w:val="Refdenotaalpie"/>
        </w:rPr>
        <w:footnoteRef/>
      </w:r>
      <w:r>
        <w:t xml:space="preserve"> Según el DAPRE: “</w:t>
      </w:r>
      <w:r w:rsidRPr="001421BE">
        <w:t>la determinación exacta de un costo fiscal alrededor de la puesta en marcha del Ministerio de Igualdad debe basarse en el reconocimiento de que dicha cartera está llamada a reforzar la protección de</w:t>
      </w:r>
      <w:r w:rsidRPr="001421BE">
        <w:t xml:space="preserve"> derechos constitucionales en un marco complejo de sinergias interinstitucionales y sistemas o subsistemas de intervención institucional que tiene como base acciones y estrategias previamente impulsadas por diversas instituciones ya existentes cuya redistr</w:t>
      </w:r>
      <w:r w:rsidRPr="001421BE">
        <w:t>ibución, basada en el propósito de construir sobre lo construido, no tendría costos exorbitantes para las finanzas del Estado, mientras que si podría impactar notablemente en los derechos de la ciudadanía</w:t>
      </w:r>
      <w:r>
        <w:t>”.</w:t>
      </w:r>
    </w:p>
  </w:footnote>
  <w:footnote w:id="447">
    <w:p w:rsidR="00E4520F" w:rsidRDefault="003E425B" w:rsidP="00E4520F">
      <w:pPr>
        <w:pStyle w:val="Textonotapie"/>
      </w:pPr>
      <w:r>
        <w:rPr>
          <w:rStyle w:val="Refdenotaalpie"/>
        </w:rPr>
        <w:footnoteRef/>
      </w:r>
      <w:r>
        <w:t xml:space="preserve"> </w:t>
      </w:r>
      <w:r w:rsidRPr="004D5FA9">
        <w:t xml:space="preserve">Según el DAPRE: </w:t>
      </w:r>
      <w:r>
        <w:t>“</w:t>
      </w:r>
      <w:r w:rsidRPr="00CE772F">
        <w:t>como ocurrió con la aprobación</w:t>
      </w:r>
      <w:r w:rsidRPr="00CE772F">
        <w:t xml:space="preserve"> de la Ley 2281 de 2023, la carga establecida en la Ley 819 de 2003 </w:t>
      </w:r>
      <w:r>
        <w:t>‘</w:t>
      </w:r>
      <w:r w:rsidRPr="00CE772F">
        <w:t>no exige un análisis detallado o exhaustivo del costo fiscal y las fuentes de financiamiento</w:t>
      </w:r>
      <w:r>
        <w:t>’</w:t>
      </w:r>
      <w:r w:rsidRPr="00CE772F">
        <w:t xml:space="preserve">, lo que establece es </w:t>
      </w:r>
      <w:r>
        <w:t>‘</w:t>
      </w:r>
      <w:r w:rsidRPr="00CE772F">
        <w:t>una mínima consideración al respecto, de modo que sea posible establece</w:t>
      </w:r>
      <w:r w:rsidRPr="00CE772F">
        <w:t>r los referentes básicos para analizar los efectos fiscales del proyecto de ley</w:t>
      </w:r>
      <w:r>
        <w:t>’</w:t>
      </w:r>
      <w:r w:rsidRPr="00CE772F">
        <w:t>. Este es el estándar en términos de deliberación legislativa que se debe aplicar a medidas legislativas como la creación de un ministerio y un sector administrativo</w:t>
      </w:r>
      <w:r>
        <w:t>”.</w:t>
      </w:r>
    </w:p>
  </w:footnote>
  <w:footnote w:id="448">
    <w:p w:rsidR="00E4520F" w:rsidRDefault="003E425B" w:rsidP="00E4520F">
      <w:pPr>
        <w:pStyle w:val="Textonotapie"/>
      </w:pPr>
      <w:r>
        <w:rPr>
          <w:rStyle w:val="Refdenotaalpie"/>
        </w:rPr>
        <w:footnoteRef/>
      </w:r>
      <w:r>
        <w:t xml:space="preserve"> </w:t>
      </w:r>
      <w:r w:rsidRPr="000A0F01">
        <w:t>CONSEJ</w:t>
      </w:r>
      <w:r w:rsidRPr="000A0F01">
        <w:t>O DE ESTADO, Sección Tercera. Sentencia del 7 de marzo de 2012. C.P, Hernán Andrade Rincón. Expediente número: 20001-23-31-000-2000-0047-01 (22.936).</w:t>
      </w:r>
    </w:p>
  </w:footnote>
  <w:footnote w:id="449">
    <w:p w:rsidR="00E4520F" w:rsidRDefault="003E425B" w:rsidP="00E4520F">
      <w:pPr>
        <w:pStyle w:val="Textonotapie"/>
      </w:pPr>
      <w:r>
        <w:rPr>
          <w:rStyle w:val="Refdenotaalpie"/>
        </w:rPr>
        <w:footnoteRef/>
      </w:r>
      <w:r>
        <w:t xml:space="preserve"> Estos intervinientes presentaron escritos de manera separada. Sin embargo, sus argumentos sobre los carg</w:t>
      </w:r>
      <w:r>
        <w:t>os son materialmente idénticos.</w:t>
      </w:r>
    </w:p>
  </w:footnote>
  <w:footnote w:id="450">
    <w:p w:rsidR="00E4520F" w:rsidRDefault="003E425B" w:rsidP="00E4520F">
      <w:pPr>
        <w:pStyle w:val="Textonotapie"/>
      </w:pPr>
      <w:r>
        <w:rPr>
          <w:rStyle w:val="Refdenotaalpie"/>
          <w:rFonts w:eastAsiaTheme="majorEastAsia"/>
        </w:rPr>
        <w:footnoteRef/>
      </w:r>
      <w:r>
        <w:t xml:space="preserve"> Enuncian la sentencia C-092 de 2022.</w:t>
      </w:r>
    </w:p>
  </w:footnote>
  <w:footnote w:id="451">
    <w:p w:rsidR="00E4520F" w:rsidRDefault="003E425B" w:rsidP="00E4520F">
      <w:pPr>
        <w:pStyle w:val="Textonotapie"/>
      </w:pPr>
      <w:r>
        <w:rPr>
          <w:rStyle w:val="Refdenotaalpie"/>
          <w:rFonts w:eastAsiaTheme="majorEastAsia"/>
        </w:rPr>
        <w:footnoteRef/>
      </w:r>
      <w:r>
        <w:t>Los intervinientes indican que “</w:t>
      </w:r>
      <w:r w:rsidRPr="003052E7">
        <w:rPr>
          <w:lang w:val="es-ES"/>
        </w:rPr>
        <w:t>si se otorgan a través de una fórmula general cuyo contenido puede ser indudablemente determinado y delimitado, no puede alegarse vulneración del requis</w:t>
      </w:r>
      <w:r w:rsidRPr="003052E7">
        <w:rPr>
          <w:lang w:val="es-ES"/>
        </w:rPr>
        <w:t xml:space="preserve">ito de precisión. La esencia de este criterio recae en la precisión y claridad sobre el campo de acción, no implica una delimitación exhaustiva, minuciosa y detallada, </w:t>
      </w:r>
      <w:r>
        <w:rPr>
          <w:lang w:val="es-ES"/>
        </w:rPr>
        <w:t>‘</w:t>
      </w:r>
      <w:r w:rsidRPr="003052E7">
        <w:rPr>
          <w:lang w:val="es-ES"/>
        </w:rPr>
        <w:t>basta con que claramente se determine y delimite la materia, los objetivos y fines de l</w:t>
      </w:r>
      <w:r w:rsidRPr="003052E7">
        <w:rPr>
          <w:lang w:val="es-ES"/>
        </w:rPr>
        <w:t>as facultades</w:t>
      </w:r>
      <w:r>
        <w:rPr>
          <w:lang w:val="es-ES"/>
        </w:rPr>
        <w:t>’</w:t>
      </w:r>
      <w:r>
        <w:t>”. Al respecto, citan la sentencia C-366 de 2021.</w:t>
      </w:r>
    </w:p>
  </w:footnote>
  <w:footnote w:id="452">
    <w:p w:rsidR="00E4520F" w:rsidRDefault="003E425B" w:rsidP="00E4520F">
      <w:pPr>
        <w:pStyle w:val="Textonotapie"/>
      </w:pPr>
      <w:r>
        <w:rPr>
          <w:rStyle w:val="Refdenotaalpie"/>
          <w:rFonts w:eastAsiaTheme="majorEastAsia"/>
        </w:rPr>
        <w:footnoteRef/>
      </w:r>
      <w:r>
        <w:t xml:space="preserve"> Los accionantes enuncian las sentencias C-1187 de 2000, C-540 de 2001, C-617 de 2002, C- 460 de 2004 y C-052 de 2015.</w:t>
      </w:r>
    </w:p>
  </w:footnote>
  <w:footnote w:id="453">
    <w:p w:rsidR="00BC4AAA" w:rsidRDefault="003E425B">
      <w:pPr>
        <w:pStyle w:val="Textonotapie"/>
      </w:pPr>
      <w:r>
        <w:rPr>
          <w:rStyle w:val="Refdenotaalpie"/>
        </w:rPr>
        <w:footnoteRef/>
      </w:r>
      <w:r>
        <w:t xml:space="preserve"> Según el DAPRE: “</w:t>
      </w:r>
      <w:r w:rsidRPr="001421BE">
        <w:t xml:space="preserve">la determinación exacta de un costo fiscal alrededor </w:t>
      </w:r>
      <w:r w:rsidRPr="001421BE">
        <w:t>de la puesta en marcha del Ministerio de Igualdad debe basarse en el reconocimiento de que dicha cartera está llamada a reforzar la protección de derechos constitucionales en un marco complejo de sinergias interinstitucionales y sistemas o subsistemas de i</w:t>
      </w:r>
      <w:r w:rsidRPr="001421BE">
        <w:t>ntervención institucional que tiene como base acciones y estrategias previamente impulsadas por diversas instituciones ya existentes cuya redistribución, basada en el propósito de construir sobre lo construido, no tendría costos exorbitantes para las finan</w:t>
      </w:r>
      <w:r w:rsidRPr="001421BE">
        <w:t>zas del Estado, mientras que si podría impactar notablemente en los derechos de la ciudadanía</w:t>
      </w:r>
      <w:r>
        <w:t>”</w:t>
      </w:r>
      <w:r>
        <w:t>.</w:t>
      </w:r>
    </w:p>
  </w:footnote>
  <w:footnote w:id="454">
    <w:p w:rsidR="00D42F97" w:rsidRDefault="003E425B">
      <w:pPr>
        <w:pStyle w:val="Textonotapie"/>
      </w:pPr>
      <w:r>
        <w:rPr>
          <w:rStyle w:val="Refdenotaalpie"/>
        </w:rPr>
        <w:footnoteRef/>
      </w:r>
      <w:r>
        <w:t xml:space="preserve"> </w:t>
      </w:r>
      <w:r w:rsidRPr="004D5FA9">
        <w:t xml:space="preserve">Según el DAPRE: </w:t>
      </w:r>
      <w:r>
        <w:t>“</w:t>
      </w:r>
      <w:r w:rsidRPr="00CE772F">
        <w:t xml:space="preserve">como ocurrió con la aprobación de la Ley 2281 de 2023, la carga establecida en la Ley 819 de 2003 </w:t>
      </w:r>
      <w:r>
        <w:t>‘</w:t>
      </w:r>
      <w:r w:rsidRPr="00CE772F">
        <w:t>no exige un análisis detallado o exhaustiv</w:t>
      </w:r>
      <w:r w:rsidRPr="00CE772F">
        <w:t>o del costo fiscal y las fuentes de financiamiento</w:t>
      </w:r>
      <w:r>
        <w:t>’</w:t>
      </w:r>
      <w:r w:rsidRPr="00CE772F">
        <w:t xml:space="preserve">, lo que establece es </w:t>
      </w:r>
      <w:r>
        <w:t>‘</w:t>
      </w:r>
      <w:r w:rsidRPr="00CE772F">
        <w:t>una mínima consideración al respecto, de modo que sea posible establecer los referentes básicos para analizar los efectos fiscales del proyecto de ley</w:t>
      </w:r>
      <w:r>
        <w:t>’</w:t>
      </w:r>
      <w:r w:rsidRPr="00CE772F">
        <w:t>. Este es el estándar en términ</w:t>
      </w:r>
      <w:r w:rsidRPr="00CE772F">
        <w:t>os de deliberación legislativa que se debe aplicar a medidas legislativas como la creación de un ministerio y un sector administrativo</w:t>
      </w:r>
      <w:r>
        <w:t>”</w:t>
      </w:r>
      <w:r>
        <w:t>.</w:t>
      </w:r>
    </w:p>
  </w:footnote>
  <w:footnote w:id="455">
    <w:p w:rsidR="003E61F4" w:rsidRDefault="003E425B" w:rsidP="003E61F4">
      <w:pPr>
        <w:pStyle w:val="Textonotapie"/>
      </w:pPr>
      <w:r>
        <w:rPr>
          <w:rStyle w:val="Refdenotaalpie"/>
        </w:rPr>
        <w:footnoteRef/>
      </w:r>
      <w:r>
        <w:t xml:space="preserve"> </w:t>
      </w:r>
      <w:r w:rsidRPr="000A0F01">
        <w:t xml:space="preserve">CONSEJO DE ESTADO, Sección Tercera. Sentencia del 7 de marzo de 2012. C.P, Hernán Andrade Rincón. Expediente número: </w:t>
      </w:r>
      <w:r w:rsidRPr="000A0F01">
        <w:t>20001-23-31-000-2000-0047-01 (22.936).</w:t>
      </w:r>
    </w:p>
  </w:footnote>
  <w:footnote w:id="456">
    <w:p w:rsidR="00A56317" w:rsidRDefault="003E425B">
      <w:pPr>
        <w:pStyle w:val="Textonotapie"/>
      </w:pPr>
      <w:r>
        <w:rPr>
          <w:rStyle w:val="Refdenotaalpie"/>
        </w:rPr>
        <w:footnoteRef/>
      </w:r>
      <w:r>
        <w:t xml:space="preserve"> </w:t>
      </w:r>
      <w:r>
        <w:t>Estos intervinientes presentaron escritos de manera separada. Sin embargo, sus argumentos sobre los cargos son materialmente idénticos.</w:t>
      </w:r>
    </w:p>
  </w:footnote>
  <w:footnote w:id="457">
    <w:p w:rsidR="00D46E18" w:rsidRDefault="003E425B">
      <w:pPr>
        <w:pStyle w:val="Textonotapie"/>
      </w:pPr>
      <w:r>
        <w:rPr>
          <w:rStyle w:val="Refdenotaalpie"/>
          <w:rFonts w:eastAsiaTheme="majorEastAsia"/>
        </w:rPr>
        <w:footnoteRef/>
      </w:r>
      <w:r>
        <w:t xml:space="preserve"> Enuncian la sentencia C-092 de 2022.</w:t>
      </w:r>
    </w:p>
  </w:footnote>
  <w:footnote w:id="458">
    <w:p w:rsidR="00D46E18" w:rsidRDefault="003E425B">
      <w:pPr>
        <w:pStyle w:val="Textonotapie"/>
      </w:pPr>
      <w:r>
        <w:rPr>
          <w:rStyle w:val="Refdenotaalpie"/>
          <w:rFonts w:eastAsiaTheme="majorEastAsia"/>
        </w:rPr>
        <w:footnoteRef/>
      </w:r>
      <w:r>
        <w:t>Los intervinientes indican que “</w:t>
      </w:r>
      <w:r w:rsidRPr="003052E7">
        <w:rPr>
          <w:lang w:val="es-ES"/>
        </w:rPr>
        <w:t>si se o</w:t>
      </w:r>
      <w:r w:rsidRPr="003052E7">
        <w:rPr>
          <w:lang w:val="es-ES"/>
        </w:rPr>
        <w:t>torgan a través de una fórmula general cuyo contenido puede ser indudablemente determinado y delimitado, no puede alegarse vulneración del requisito de precisión. La esencia de este criterio recae en la precisión y claridad sobre el campo de acción, no imp</w:t>
      </w:r>
      <w:r w:rsidRPr="003052E7">
        <w:rPr>
          <w:lang w:val="es-ES"/>
        </w:rPr>
        <w:t xml:space="preserve">lica una delimitación exhaustiva, minuciosa y detallada, </w:t>
      </w:r>
      <w:r>
        <w:rPr>
          <w:lang w:val="es-ES"/>
        </w:rPr>
        <w:t>‘</w:t>
      </w:r>
      <w:r w:rsidRPr="003052E7">
        <w:rPr>
          <w:lang w:val="es-ES"/>
        </w:rPr>
        <w:t>basta con que claramente se determine y delimite la materia, los objetivos y fines de las facultades</w:t>
      </w:r>
      <w:r>
        <w:rPr>
          <w:lang w:val="es-ES"/>
        </w:rPr>
        <w:t>’</w:t>
      </w:r>
      <w:r>
        <w:t>”. Al respecto, citan la sentencia C-366 de 2021.</w:t>
      </w:r>
    </w:p>
  </w:footnote>
  <w:footnote w:id="459">
    <w:p w:rsidR="00A56C8C" w:rsidRDefault="003E425B" w:rsidP="00717F71">
      <w:pPr>
        <w:pStyle w:val="Textonotapie"/>
      </w:pPr>
      <w:r>
        <w:rPr>
          <w:rStyle w:val="Refdenotaalpie"/>
          <w:rFonts w:eastAsiaTheme="majorEastAsia"/>
        </w:rPr>
        <w:footnoteRef/>
      </w:r>
      <w:r>
        <w:t xml:space="preserve"> Los accionantes enuncian las sentencias C-118</w:t>
      </w:r>
      <w:r>
        <w:t>7 de 2000, C-540 de 2001, C-617 de 2002, C- 460 de 2004 y C-052 de 2015.</w:t>
      </w:r>
    </w:p>
  </w:footnote>
  <w:footnote w:id="460">
    <w:p w:rsidR="00D73E0D" w:rsidRDefault="003E425B" w:rsidP="00AD4EB5">
      <w:pPr>
        <w:pStyle w:val="Textonotapie"/>
      </w:pPr>
      <w:r>
        <w:rPr>
          <w:vertAlign w:val="superscript"/>
        </w:rPr>
        <w:footnoteRef/>
      </w:r>
      <w:r>
        <w:t xml:space="preserve"> Corte Constitucional, Sentencia C- 087 de 2016</w:t>
      </w:r>
    </w:p>
  </w:footnote>
  <w:footnote w:id="461">
    <w:p w:rsidR="00D73E0D" w:rsidRDefault="003E425B" w:rsidP="00AD4EB5">
      <w:pPr>
        <w:pStyle w:val="Textonotapie"/>
      </w:pPr>
      <w:r>
        <w:rPr>
          <w:vertAlign w:val="superscript"/>
        </w:rPr>
        <w:footnoteRef/>
      </w:r>
      <w:r>
        <w:t xml:space="preserve"> </w:t>
      </w:r>
      <w:r w:rsidRPr="00715F84">
        <w:t>Artículo 1</w:t>
      </w:r>
      <w:r>
        <w:t>29</w:t>
      </w:r>
      <w:r w:rsidRPr="00715F84">
        <w:t xml:space="preserve"> de la </w:t>
      </w:r>
      <w:r>
        <w:t>Ley 5ª</w:t>
      </w:r>
      <w:r w:rsidRPr="00715F84">
        <w:t>de 1992</w:t>
      </w:r>
    </w:p>
  </w:footnote>
  <w:footnote w:id="462">
    <w:p w:rsidR="00D73E0D" w:rsidRDefault="003E425B" w:rsidP="00AD4EB5">
      <w:pPr>
        <w:pStyle w:val="Textonotapie"/>
      </w:pPr>
      <w:r>
        <w:rPr>
          <w:vertAlign w:val="superscript"/>
        </w:rPr>
        <w:footnoteRef/>
      </w:r>
      <w:r>
        <w:t xml:space="preserve"> </w:t>
      </w:r>
      <w:r w:rsidRPr="00715F84">
        <w:t>Artículo 1</w:t>
      </w:r>
      <w:r>
        <w:t xml:space="preserve">30 </w:t>
      </w:r>
      <w:r w:rsidRPr="00715F84">
        <w:t xml:space="preserve">de la </w:t>
      </w:r>
      <w:r>
        <w:t>Ley 5ª</w:t>
      </w:r>
      <w:r w:rsidRPr="00715F84">
        <w:t xml:space="preserve"> de 1992</w:t>
      </w:r>
    </w:p>
  </w:footnote>
  <w:footnote w:id="463">
    <w:p w:rsidR="00D73E0D" w:rsidRDefault="003E425B" w:rsidP="00AD4EB5">
      <w:pPr>
        <w:pStyle w:val="Textonotapie"/>
      </w:pPr>
      <w:r>
        <w:rPr>
          <w:vertAlign w:val="superscript"/>
        </w:rPr>
        <w:footnoteRef/>
      </w:r>
      <w:r>
        <w:t xml:space="preserve"> </w:t>
      </w:r>
      <w:r w:rsidRPr="00715F84">
        <w:t>Artículo 1</w:t>
      </w:r>
      <w:r>
        <w:t xml:space="preserve">31 </w:t>
      </w:r>
      <w:r w:rsidRPr="00715F84">
        <w:t xml:space="preserve">de la </w:t>
      </w:r>
      <w:r>
        <w:t>Ley 5ª</w:t>
      </w:r>
      <w:r w:rsidRPr="00715F84">
        <w:t xml:space="preserve"> de 1992</w:t>
      </w:r>
    </w:p>
  </w:footnote>
  <w:footnote w:id="464">
    <w:p w:rsidR="00D73E0D" w:rsidRDefault="003E425B" w:rsidP="00980B54">
      <w:pPr>
        <w:pStyle w:val="Textonotapie"/>
      </w:pPr>
      <w:r>
        <w:rPr>
          <w:vertAlign w:val="superscript"/>
        </w:rPr>
        <w:footnoteRef/>
      </w:r>
      <w:r>
        <w:t xml:space="preserve"> Corte Constitucional, C-1</w:t>
      </w:r>
      <w:r>
        <w:t xml:space="preserve">06 de 2016. </w:t>
      </w:r>
      <w:r>
        <w:rPr>
          <w:i/>
          <w:iCs/>
        </w:rPr>
        <w:t xml:space="preserve">Cfr., </w:t>
      </w:r>
      <w:r>
        <w:t>Corte Constitucional, Sentencia C-134 de 2014.</w:t>
      </w:r>
    </w:p>
  </w:footnote>
  <w:footnote w:id="465">
    <w:p w:rsidR="00D73E0D" w:rsidRDefault="003E425B" w:rsidP="00980B54">
      <w:pPr>
        <w:pStyle w:val="Textonotapie"/>
      </w:pPr>
      <w:r>
        <w:rPr>
          <w:vertAlign w:val="superscript"/>
        </w:rPr>
        <w:footnoteRef/>
      </w:r>
      <w:r>
        <w:t xml:space="preserve"> </w:t>
      </w:r>
      <w:r>
        <w:rPr>
          <w:i/>
          <w:iCs/>
        </w:rPr>
        <w:t xml:space="preserve">Cfr., </w:t>
      </w:r>
      <w:r>
        <w:t>Corte Constitucional, Sentencia C-337 de 2015</w:t>
      </w:r>
    </w:p>
  </w:footnote>
  <w:footnote w:id="466">
    <w:p w:rsidR="00D73E0D" w:rsidRDefault="003E425B" w:rsidP="00980B54">
      <w:pPr>
        <w:pStyle w:val="Textonotapie"/>
      </w:pPr>
      <w:r>
        <w:rPr>
          <w:vertAlign w:val="superscript"/>
        </w:rPr>
        <w:footnoteRef/>
      </w:r>
      <w:r>
        <w:t xml:space="preserve"> Corte Constitucional, Sentencia C-047 de 2017.</w:t>
      </w:r>
    </w:p>
  </w:footnote>
  <w:footnote w:id="467">
    <w:p w:rsidR="00D73E0D" w:rsidRDefault="003E425B" w:rsidP="00980B54">
      <w:pPr>
        <w:pStyle w:val="Textonotapie"/>
      </w:pPr>
      <w:r>
        <w:rPr>
          <w:vertAlign w:val="superscript"/>
        </w:rPr>
        <w:footnoteRef/>
      </w:r>
      <w:r>
        <w:t xml:space="preserve"> </w:t>
      </w:r>
      <w:r w:rsidRPr="00AF736A">
        <w:t xml:space="preserve">Acta Conjunta número 3 del 24 de noviembre de 2022, publicada en la Gaceta del </w:t>
      </w:r>
      <w:r w:rsidRPr="00AF736A">
        <w:t>Congreso 96 de 27 de febrero de 2023</w:t>
      </w:r>
      <w:r>
        <w:t>, Pg. 37.</w:t>
      </w:r>
    </w:p>
  </w:footnote>
  <w:footnote w:id="468">
    <w:p w:rsidR="00D73E0D" w:rsidRDefault="003E425B" w:rsidP="00980B54">
      <w:pPr>
        <w:pStyle w:val="Textonotapie"/>
      </w:pPr>
      <w:r>
        <w:rPr>
          <w:vertAlign w:val="superscript"/>
        </w:rPr>
        <w:footnoteRef/>
      </w:r>
      <w:r>
        <w:t xml:space="preserve"> Corte Constitucional, Sentencia C-161 de 2024.</w:t>
      </w:r>
    </w:p>
  </w:footnote>
  <w:footnote w:id="469">
    <w:p w:rsidR="00D73E0D" w:rsidRDefault="003E425B">
      <w:pPr>
        <w:pStyle w:val="Textonotapie"/>
      </w:pPr>
      <w:r>
        <w:rPr>
          <w:vertAlign w:val="superscript"/>
        </w:rPr>
        <w:footnoteRef/>
      </w:r>
      <w:r>
        <w:t xml:space="preserve"> La votación nominal y pública de la proposición de archivo se realizó a las 11:37am. Por su parte, la ordinaria del informe de ponencia ocurrió a las 12:38:45p</w:t>
      </w:r>
      <w:r>
        <w:t>m, mientras que la votación nominal y pública de modificación de algunos artículos fue a las 12:47:18pm.</w:t>
      </w:r>
    </w:p>
  </w:footnote>
  <w:footnote w:id="470">
    <w:p w:rsidR="00D73E0D" w:rsidRDefault="003E425B">
      <w:pPr>
        <w:pStyle w:val="Textonotapie"/>
      </w:pPr>
      <w:r>
        <w:rPr>
          <w:vertAlign w:val="superscript"/>
        </w:rPr>
        <w:footnoteRef/>
      </w:r>
      <w:r>
        <w:t xml:space="preserve"> Corte Constitucional, Sentencia C-161 de 2024. </w:t>
      </w:r>
    </w:p>
  </w:footnote>
  <w:footnote w:id="471">
    <w:p w:rsidR="00D73E0D" w:rsidRDefault="003E425B">
      <w:pPr>
        <w:pStyle w:val="Textonotapie"/>
      </w:pPr>
      <w:r>
        <w:rPr>
          <w:vertAlign w:val="superscript"/>
        </w:rPr>
        <w:footnoteRef/>
      </w:r>
      <w:r>
        <w:t xml:space="preserve"> Corte Constitucional, Sentencia C-161 de 2024.</w:t>
      </w:r>
    </w:p>
  </w:footnote>
  <w:footnote w:id="472">
    <w:p w:rsidR="00D73E0D" w:rsidRDefault="003E425B">
      <w:pPr>
        <w:pStyle w:val="Textonotapie"/>
      </w:pPr>
      <w:r>
        <w:rPr>
          <w:vertAlign w:val="superscript"/>
        </w:rPr>
        <w:footnoteRef/>
      </w:r>
      <w:r>
        <w:t xml:space="preserve"> Corte Constitucional, Sentencia C-161 de 2024.</w:t>
      </w:r>
    </w:p>
  </w:footnote>
  <w:footnote w:id="473">
    <w:p w:rsidR="00D73E0D" w:rsidRDefault="003E425B" w:rsidP="00F823DA">
      <w:pPr>
        <w:pStyle w:val="Textonotapie"/>
      </w:pPr>
      <w:r>
        <w:rPr>
          <w:vertAlign w:val="superscript"/>
        </w:rPr>
        <w:footnoteRef/>
      </w:r>
      <w:r>
        <w:t xml:space="preserve"> </w:t>
      </w:r>
      <w:r w:rsidRPr="00707755">
        <w:t>E</w:t>
      </w:r>
      <w:r w:rsidRPr="00707755">
        <w:t>xpediente digital D-15</w:t>
      </w:r>
      <w:r w:rsidRPr="00010FEE">
        <w:t>.146, Video 7, Video 8 y Video 9</w:t>
      </w:r>
      <w:r>
        <w:t>.</w:t>
      </w:r>
    </w:p>
  </w:footnote>
  <w:footnote w:id="474">
    <w:p w:rsidR="00A91038" w:rsidRDefault="003E425B" w:rsidP="00A91038">
      <w:pPr>
        <w:pStyle w:val="Textonotapie"/>
      </w:pPr>
      <w:r w:rsidRPr="00A91038">
        <w:rPr>
          <w:vertAlign w:val="superscript"/>
        </w:rPr>
        <w:footnoteRef/>
      </w:r>
      <w:r w:rsidRPr="00A91038">
        <w:t xml:space="preserve"> </w:t>
      </w:r>
      <w:r w:rsidRPr="00A91038">
        <w:t>Video de</w:t>
      </w:r>
      <w:r>
        <w:t xml:space="preserve"> la sesión de comisiones conjuntas de 24 de noviembre de 2022 publicado en el canal de YouTube del Canal del Congreso de Colombia . Disponible en: </w:t>
      </w:r>
    </w:p>
    <w:p w:rsidR="00D73E0D" w:rsidRDefault="003E425B" w:rsidP="00A91038">
      <w:pPr>
        <w:pStyle w:val="Textonotapie"/>
      </w:pPr>
      <w:hyperlink r:id="rId5" w:history="1">
        <w:r w:rsidRPr="002C34D6">
          <w:rPr>
            <w:rStyle w:val="Hipervnculo"/>
          </w:rPr>
          <w:t>https://www.youtube.com/watch?v=mRPzEYACftg&amp;ab_channel=CanalCongresoColombia</w:t>
        </w:r>
      </w:hyperlink>
      <w:r>
        <w:t xml:space="preserve">. </w:t>
      </w:r>
    </w:p>
  </w:footnote>
  <w:footnote w:id="475">
    <w:p w:rsidR="00D73E0D" w:rsidRDefault="003E425B">
      <w:pPr>
        <w:pStyle w:val="Textonotapie"/>
      </w:pPr>
      <w:r>
        <w:rPr>
          <w:vertAlign w:val="superscript"/>
        </w:rPr>
        <w:footnoteRef/>
      </w:r>
      <w:r>
        <w:t xml:space="preserve"> </w:t>
      </w:r>
      <w:r>
        <w:t>Disponible en</w:t>
      </w:r>
      <w:r>
        <w:t xml:space="preserve">: </w:t>
      </w:r>
      <w:hyperlink r:id="rId6" w:history="1">
        <w:r w:rsidRPr="001A67AF">
          <w:rPr>
            <w:rStyle w:val="Hipervnculo"/>
          </w:rPr>
          <w:t>Videos conjunto 1.mp4</w:t>
        </w:r>
      </w:hyperlink>
      <w:r>
        <w:t xml:space="preserve"> </w:t>
      </w:r>
    </w:p>
  </w:footnote>
  <w:footnote w:id="476">
    <w:p w:rsidR="00D73E0D" w:rsidRDefault="003E425B" w:rsidP="00482D79">
      <w:pPr>
        <w:pStyle w:val="Textonotapie"/>
      </w:pPr>
      <w:r>
        <w:rPr>
          <w:vertAlign w:val="superscript"/>
        </w:rPr>
        <w:footnoteRef/>
      </w:r>
      <w:r>
        <w:t xml:space="preserve"> Acta Conjunta número 3 de 24 de noviembre de 2022, publicada en la Gaceta del Congreso 96 de 27 de febrero de 2023. p. 29-30.</w:t>
      </w:r>
    </w:p>
  </w:footnote>
  <w:footnote w:id="477">
    <w:p w:rsidR="00D73E0D" w:rsidRDefault="003E425B">
      <w:pPr>
        <w:pStyle w:val="Textonotapie"/>
      </w:pPr>
      <w:r>
        <w:rPr>
          <w:vertAlign w:val="superscript"/>
        </w:rPr>
        <w:footnoteRef/>
      </w:r>
      <w:r>
        <w:t xml:space="preserve"> </w:t>
      </w:r>
      <w:r w:rsidRPr="0036295E">
        <w:rPr>
          <w:i/>
          <w:iCs/>
        </w:rPr>
        <w:t>Ibidem</w:t>
      </w:r>
      <w:r>
        <w:rPr>
          <w:i/>
          <w:iCs/>
        </w:rPr>
        <w:t>.</w:t>
      </w:r>
    </w:p>
  </w:footnote>
  <w:footnote w:id="478">
    <w:p w:rsidR="00D73E0D" w:rsidRDefault="003E425B">
      <w:pPr>
        <w:pStyle w:val="Textonotapie"/>
      </w:pPr>
      <w:r>
        <w:rPr>
          <w:vertAlign w:val="superscript"/>
        </w:rPr>
        <w:footnoteRef/>
      </w:r>
      <w:r>
        <w:t xml:space="preserve"> Corte Constitucional, Sentencia C-161 de 2024.</w:t>
      </w:r>
    </w:p>
  </w:footnote>
  <w:footnote w:id="479">
    <w:p w:rsidR="00D73E0D" w:rsidRDefault="003E425B">
      <w:pPr>
        <w:pStyle w:val="Textonotapie"/>
      </w:pPr>
      <w:r w:rsidRPr="00DB3315">
        <w:rPr>
          <w:i/>
          <w:iCs/>
          <w:vertAlign w:val="superscript"/>
        </w:rPr>
        <w:footnoteRef/>
      </w:r>
      <w:r w:rsidRPr="00DB3315">
        <w:rPr>
          <w:i/>
          <w:iCs/>
        </w:rPr>
        <w:t xml:space="preserve"> Ibidem</w:t>
      </w:r>
    </w:p>
  </w:footnote>
  <w:footnote w:id="480">
    <w:p w:rsidR="00D73E0D" w:rsidRDefault="003E425B">
      <w:pPr>
        <w:pStyle w:val="Textonotapie"/>
      </w:pPr>
      <w:r>
        <w:rPr>
          <w:vertAlign w:val="superscript"/>
        </w:rPr>
        <w:footnoteRef/>
      </w:r>
      <w:r>
        <w:t xml:space="preserve"> Corte Constitucional, Sentencia C-816 de 2004</w:t>
      </w:r>
    </w:p>
  </w:footnote>
  <w:footnote w:id="481">
    <w:p w:rsidR="00D73E0D" w:rsidRDefault="003E425B">
      <w:pPr>
        <w:pStyle w:val="Textonotapie"/>
      </w:pPr>
      <w:r>
        <w:rPr>
          <w:vertAlign w:val="superscript"/>
        </w:rPr>
        <w:footnoteRef/>
      </w:r>
      <w:r>
        <w:t xml:space="preserve"> Corte Constitucional, Sentencia C- 337 de 2015</w:t>
      </w:r>
    </w:p>
  </w:footnote>
  <w:footnote w:id="482">
    <w:p w:rsidR="00D73E0D" w:rsidRDefault="003E425B">
      <w:pPr>
        <w:pStyle w:val="Textonotapie"/>
      </w:pPr>
      <w:r>
        <w:rPr>
          <w:vertAlign w:val="superscript"/>
        </w:rPr>
        <w:footnoteRef/>
      </w:r>
      <w:r>
        <w:t xml:space="preserve"> </w:t>
      </w:r>
      <w:r w:rsidRPr="006A63E3">
        <w:rPr>
          <w:i/>
          <w:iCs/>
        </w:rPr>
        <w:t>Ibidem</w:t>
      </w:r>
    </w:p>
  </w:footnote>
  <w:footnote w:id="483">
    <w:p w:rsidR="00D73E0D" w:rsidRDefault="003E425B">
      <w:pPr>
        <w:pStyle w:val="Textonotapie"/>
      </w:pPr>
      <w:r>
        <w:rPr>
          <w:vertAlign w:val="superscript"/>
        </w:rPr>
        <w:footnoteRef/>
      </w:r>
      <w:r>
        <w:t xml:space="preserve"> Corte Constitucional, Sentencia C- 314 de 2022</w:t>
      </w:r>
    </w:p>
  </w:footnote>
  <w:footnote w:id="484">
    <w:p w:rsidR="00D73E0D" w:rsidRDefault="003E425B">
      <w:pPr>
        <w:pStyle w:val="Textonotapie"/>
      </w:pPr>
      <w:r>
        <w:rPr>
          <w:vertAlign w:val="superscript"/>
        </w:rPr>
        <w:footnoteRef/>
      </w:r>
      <w:r>
        <w:t xml:space="preserve"> Corte Constitucional, Sentencia C- 360 de 2016</w:t>
      </w:r>
    </w:p>
  </w:footnote>
  <w:footnote w:id="485">
    <w:p w:rsidR="00D73E0D" w:rsidRDefault="003E425B" w:rsidP="00DA27FC">
      <w:pPr>
        <w:pStyle w:val="Textonotapie"/>
      </w:pPr>
      <w:r w:rsidRPr="00862D9F">
        <w:rPr>
          <w:vertAlign w:val="superscript"/>
        </w:rPr>
        <w:footnoteRef/>
      </w:r>
      <w:r w:rsidRPr="00862D9F">
        <w:t xml:space="preserve"> </w:t>
      </w:r>
      <w:r w:rsidRPr="00862D9F">
        <w:rPr>
          <w:i/>
          <w:iCs/>
        </w:rPr>
        <w:t xml:space="preserve">Cfr. </w:t>
      </w:r>
      <w:r w:rsidRPr="00862D9F">
        <w:t>Corte Constitucional, Sentencia C-203 de 1995.</w:t>
      </w:r>
    </w:p>
  </w:footnote>
  <w:footnote w:id="486">
    <w:p w:rsidR="00D73E0D" w:rsidRDefault="003E425B">
      <w:pPr>
        <w:pStyle w:val="Textonotapie"/>
      </w:pPr>
      <w:r>
        <w:rPr>
          <w:vertAlign w:val="superscript"/>
        </w:rPr>
        <w:footnoteRef/>
      </w:r>
      <w:r>
        <w:t xml:space="preserve"> </w:t>
      </w:r>
      <w:r>
        <w:t>Corte Constitucional, Sentencia C- 047 de 2017</w:t>
      </w:r>
    </w:p>
  </w:footnote>
  <w:footnote w:id="487">
    <w:p w:rsidR="00D73E0D" w:rsidRDefault="003E425B" w:rsidP="003F1B16">
      <w:pPr>
        <w:pStyle w:val="Textonotapie"/>
      </w:pPr>
      <w:r w:rsidRPr="00862D9F">
        <w:rPr>
          <w:vertAlign w:val="superscript"/>
        </w:rPr>
        <w:footnoteRef/>
      </w:r>
      <w:r w:rsidRPr="00862D9F">
        <w:t xml:space="preserve"> Corte Constitucional, Sentencia C-203 de 1995. </w:t>
      </w:r>
    </w:p>
  </w:footnote>
  <w:footnote w:id="488">
    <w:p w:rsidR="00D73E0D" w:rsidRDefault="003E425B" w:rsidP="003F1B16">
      <w:pPr>
        <w:pStyle w:val="Textonotapie"/>
      </w:pPr>
      <w:r w:rsidRPr="00862D9F">
        <w:rPr>
          <w:vertAlign w:val="superscript"/>
        </w:rPr>
        <w:footnoteRef/>
      </w:r>
      <w:r w:rsidRPr="00862D9F">
        <w:t xml:space="preserve"> </w:t>
      </w:r>
      <w:r w:rsidRPr="00862D9F">
        <w:rPr>
          <w:i/>
          <w:iCs/>
        </w:rPr>
        <w:t>Cfr.</w:t>
      </w:r>
      <w:r>
        <w:rPr>
          <w:i/>
          <w:iCs/>
        </w:rPr>
        <w:t>,</w:t>
      </w:r>
      <w:r w:rsidRPr="00862D9F">
        <w:rPr>
          <w:i/>
          <w:iCs/>
        </w:rPr>
        <w:t xml:space="preserve"> </w:t>
      </w:r>
      <w:r w:rsidRPr="00862D9F">
        <w:t xml:space="preserve">Corte Constitucional, Sentencia C-008 de 1995. </w:t>
      </w:r>
    </w:p>
  </w:footnote>
  <w:footnote w:id="489">
    <w:p w:rsidR="00D73E0D" w:rsidRDefault="003E425B" w:rsidP="003F1B16">
      <w:pPr>
        <w:pStyle w:val="Textonotapie"/>
      </w:pPr>
      <w:r w:rsidRPr="00862D9F">
        <w:rPr>
          <w:vertAlign w:val="superscript"/>
        </w:rPr>
        <w:footnoteRef/>
      </w:r>
      <w:r w:rsidRPr="00862D9F">
        <w:t xml:space="preserve"> </w:t>
      </w:r>
      <w:r w:rsidRPr="00862D9F">
        <w:rPr>
          <w:i/>
          <w:iCs/>
        </w:rPr>
        <w:t>Cfr.</w:t>
      </w:r>
      <w:r>
        <w:rPr>
          <w:i/>
          <w:iCs/>
        </w:rPr>
        <w:t>,</w:t>
      </w:r>
      <w:r w:rsidRPr="00862D9F">
        <w:rPr>
          <w:i/>
          <w:iCs/>
        </w:rPr>
        <w:t xml:space="preserve"> </w:t>
      </w:r>
      <w:r w:rsidRPr="00862D9F">
        <w:t>Corte Constitucional, Sentencia C-203 de 1995.</w:t>
      </w:r>
    </w:p>
  </w:footnote>
  <w:footnote w:id="490">
    <w:p w:rsidR="00D73E0D" w:rsidRDefault="003E425B" w:rsidP="003F1B16">
      <w:pPr>
        <w:pStyle w:val="Textonotapie"/>
      </w:pPr>
      <w:r w:rsidRPr="00EA2BEA">
        <w:rPr>
          <w:vertAlign w:val="superscript"/>
        </w:rPr>
        <w:footnoteRef/>
      </w:r>
      <w:r w:rsidRPr="00EA2BEA">
        <w:t xml:space="preserve"> Corte Constitucional, Sentencia C-737 de 2001. </w:t>
      </w:r>
    </w:p>
  </w:footnote>
  <w:footnote w:id="491">
    <w:p w:rsidR="00D73E0D" w:rsidRDefault="003E425B" w:rsidP="003F1B16">
      <w:pPr>
        <w:pStyle w:val="Textonotapie"/>
      </w:pPr>
      <w:r w:rsidRPr="00EA2BEA">
        <w:rPr>
          <w:vertAlign w:val="superscript"/>
        </w:rPr>
        <w:footnoteRef/>
      </w:r>
      <w:r w:rsidRPr="00EA2BEA">
        <w:t xml:space="preserve"> </w:t>
      </w:r>
      <w:r w:rsidRPr="00EA2BEA">
        <w:rPr>
          <w:i/>
          <w:iCs/>
        </w:rPr>
        <w:t xml:space="preserve">Cfr. </w:t>
      </w:r>
      <w:r w:rsidRPr="00EA2BEA">
        <w:t xml:space="preserve">Corte Constitucional, Sentencia C-203 de 1995 y C-737 de 2001. </w:t>
      </w:r>
    </w:p>
  </w:footnote>
  <w:footnote w:id="492">
    <w:p w:rsidR="00D73E0D" w:rsidRDefault="003E425B" w:rsidP="003F1B16">
      <w:pPr>
        <w:pStyle w:val="Textonotapie"/>
      </w:pPr>
      <w:r w:rsidRPr="00EA2BEA">
        <w:rPr>
          <w:vertAlign w:val="superscript"/>
        </w:rPr>
        <w:footnoteRef/>
      </w:r>
      <w:r w:rsidRPr="00EA2BEA">
        <w:t xml:space="preserve"> Corte Constitucional, Sentencia C-737 de 2001.</w:t>
      </w:r>
      <w:r>
        <w:t xml:space="preserve"> </w:t>
      </w:r>
    </w:p>
  </w:footnote>
  <w:footnote w:id="493">
    <w:p w:rsidR="00D73E0D" w:rsidRDefault="003E425B" w:rsidP="003F1B16">
      <w:pPr>
        <w:pStyle w:val="Textonotapie"/>
      </w:pPr>
      <w:r w:rsidRPr="00FA411F">
        <w:rPr>
          <w:vertAlign w:val="superscript"/>
        </w:rPr>
        <w:footnoteRef/>
      </w:r>
      <w:r w:rsidRPr="00FA411F">
        <w:t xml:space="preserve"> </w:t>
      </w:r>
      <w:r w:rsidRPr="00FA411F">
        <w:rPr>
          <w:i/>
          <w:iCs/>
        </w:rPr>
        <w:t>Cfr.</w:t>
      </w:r>
      <w:r>
        <w:rPr>
          <w:i/>
          <w:iCs/>
        </w:rPr>
        <w:t>,</w:t>
      </w:r>
      <w:r w:rsidRPr="00FA411F">
        <w:rPr>
          <w:i/>
          <w:iCs/>
        </w:rPr>
        <w:t xml:space="preserve"> </w:t>
      </w:r>
      <w:r w:rsidRPr="00FA411F">
        <w:t xml:space="preserve">Corte Constitucional, Sentencia C-141 de 2010. </w:t>
      </w:r>
    </w:p>
  </w:footnote>
  <w:footnote w:id="494">
    <w:p w:rsidR="00D73E0D" w:rsidRDefault="003E425B" w:rsidP="003F1B16">
      <w:pPr>
        <w:pStyle w:val="Textonotapie"/>
      </w:pPr>
      <w:r w:rsidRPr="00FA411F">
        <w:rPr>
          <w:vertAlign w:val="superscript"/>
        </w:rPr>
        <w:footnoteRef/>
      </w:r>
      <w:r w:rsidRPr="00FA411F">
        <w:t xml:space="preserve"> Corte Constitucional, Sentencia C-141 de 2010. </w:t>
      </w:r>
    </w:p>
  </w:footnote>
  <w:footnote w:id="495">
    <w:p w:rsidR="00D73E0D" w:rsidRDefault="003E425B" w:rsidP="003F1B16">
      <w:pPr>
        <w:pStyle w:val="Textonotapie"/>
      </w:pPr>
      <w:r w:rsidRPr="00FA411F">
        <w:rPr>
          <w:vertAlign w:val="superscript"/>
        </w:rPr>
        <w:footnoteRef/>
      </w:r>
      <w:r w:rsidRPr="00FA411F">
        <w:t xml:space="preserve"> Ibidem. </w:t>
      </w:r>
    </w:p>
  </w:footnote>
  <w:footnote w:id="496">
    <w:p w:rsidR="00D73E0D" w:rsidRDefault="003E425B" w:rsidP="003F1B16">
      <w:pPr>
        <w:pStyle w:val="Textonotapie"/>
      </w:pPr>
      <w:r w:rsidRPr="00FA411F">
        <w:rPr>
          <w:vertAlign w:val="superscript"/>
        </w:rPr>
        <w:footnoteRef/>
      </w:r>
      <w:r w:rsidRPr="00FA411F">
        <w:t xml:space="preserve"> Ibidem.</w:t>
      </w:r>
      <w:r>
        <w:t xml:space="preserve"> </w:t>
      </w:r>
    </w:p>
  </w:footnote>
  <w:footnote w:id="497">
    <w:p w:rsidR="00D73E0D" w:rsidRDefault="003E425B" w:rsidP="003F1B16">
      <w:pPr>
        <w:pStyle w:val="Textonotapie"/>
      </w:pPr>
      <w:r w:rsidRPr="00CD534A">
        <w:rPr>
          <w:vertAlign w:val="superscript"/>
        </w:rPr>
        <w:footnoteRef/>
      </w:r>
      <w:r w:rsidRPr="00CD534A">
        <w:t xml:space="preserve"> Corte Constitucional, Sentencia C-685 de 2011. </w:t>
      </w:r>
    </w:p>
  </w:footnote>
  <w:footnote w:id="498">
    <w:p w:rsidR="00D73E0D" w:rsidRDefault="003E425B" w:rsidP="003F1B16">
      <w:pPr>
        <w:pStyle w:val="Textonotapie"/>
      </w:pPr>
      <w:r w:rsidRPr="00CD534A">
        <w:rPr>
          <w:vertAlign w:val="superscript"/>
        </w:rPr>
        <w:footnoteRef/>
      </w:r>
      <w:r w:rsidRPr="00CD534A">
        <w:t xml:space="preserve"> </w:t>
      </w:r>
      <w:r w:rsidRPr="00CD534A">
        <w:rPr>
          <w:i/>
          <w:iCs/>
        </w:rPr>
        <w:t>Cfr.</w:t>
      </w:r>
      <w:r>
        <w:rPr>
          <w:i/>
          <w:iCs/>
        </w:rPr>
        <w:t>,</w:t>
      </w:r>
      <w:r w:rsidRPr="00CD534A">
        <w:rPr>
          <w:i/>
          <w:iCs/>
        </w:rPr>
        <w:t xml:space="preserve"> </w:t>
      </w:r>
      <w:r w:rsidRPr="00CD534A">
        <w:t>Corte Constitucional, Sentencia C-685 de 2011.</w:t>
      </w:r>
      <w:r>
        <w:t xml:space="preserve"> </w:t>
      </w:r>
    </w:p>
  </w:footnote>
  <w:footnote w:id="499">
    <w:p w:rsidR="00D73E0D" w:rsidRDefault="003E425B" w:rsidP="003F1B16">
      <w:pPr>
        <w:pStyle w:val="Textonotapie"/>
      </w:pPr>
      <w:r w:rsidRPr="00363E0F">
        <w:rPr>
          <w:vertAlign w:val="superscript"/>
        </w:rPr>
        <w:footnoteRef/>
      </w:r>
      <w:r w:rsidRPr="00363E0F">
        <w:t xml:space="preserve"> Corte Constitucional, Senten</w:t>
      </w:r>
      <w:r w:rsidRPr="00363E0F">
        <w:t xml:space="preserve">cia C-087 de 2016. </w:t>
      </w:r>
    </w:p>
  </w:footnote>
  <w:footnote w:id="500">
    <w:p w:rsidR="00D73E0D" w:rsidRDefault="003E425B" w:rsidP="003F1B16">
      <w:pPr>
        <w:pStyle w:val="Textonotapie"/>
      </w:pPr>
      <w:r w:rsidRPr="00363E0F">
        <w:rPr>
          <w:vertAlign w:val="superscript"/>
        </w:rPr>
        <w:footnoteRef/>
      </w:r>
      <w:r w:rsidRPr="00363E0F">
        <w:t xml:space="preserve"> </w:t>
      </w:r>
      <w:r w:rsidRPr="00363E0F">
        <w:rPr>
          <w:i/>
          <w:iCs/>
        </w:rPr>
        <w:t xml:space="preserve">Cfr. </w:t>
      </w:r>
      <w:r w:rsidRPr="00363E0F">
        <w:t xml:space="preserve">Corte Constitucional, Sentencia C-087 de 2016. </w:t>
      </w:r>
    </w:p>
  </w:footnote>
  <w:footnote w:id="501">
    <w:p w:rsidR="00D73E0D" w:rsidRDefault="003E425B" w:rsidP="003F1B16">
      <w:pPr>
        <w:pStyle w:val="Textonotapie"/>
      </w:pPr>
      <w:r w:rsidRPr="00363E0F">
        <w:rPr>
          <w:vertAlign w:val="superscript"/>
        </w:rPr>
        <w:footnoteRef/>
      </w:r>
      <w:r w:rsidRPr="00363E0F">
        <w:t xml:space="preserve"> Corte Constitucional, Sentencia C-087 de 2016. </w:t>
      </w:r>
    </w:p>
  </w:footnote>
  <w:footnote w:id="502">
    <w:p w:rsidR="00D73E0D" w:rsidRDefault="003E425B" w:rsidP="003F1B16">
      <w:pPr>
        <w:pStyle w:val="Textonotapie"/>
      </w:pPr>
      <w:r w:rsidRPr="00363E0F">
        <w:rPr>
          <w:vertAlign w:val="superscript"/>
        </w:rPr>
        <w:footnoteRef/>
      </w:r>
      <w:r w:rsidRPr="00363E0F">
        <w:t xml:space="preserve"> </w:t>
      </w:r>
      <w:r w:rsidRPr="00363E0F">
        <w:rPr>
          <w:i/>
          <w:iCs/>
        </w:rPr>
        <w:t>Cfr.</w:t>
      </w:r>
      <w:r>
        <w:rPr>
          <w:i/>
          <w:iCs/>
        </w:rPr>
        <w:t>,</w:t>
      </w:r>
      <w:r w:rsidRPr="00363E0F">
        <w:rPr>
          <w:i/>
          <w:iCs/>
        </w:rPr>
        <w:t xml:space="preserve"> </w:t>
      </w:r>
      <w:r w:rsidRPr="00363E0F">
        <w:t xml:space="preserve">Corte Constitucional, Sentencia C-047 de 2017. </w:t>
      </w:r>
    </w:p>
  </w:footnote>
  <w:footnote w:id="503">
    <w:p w:rsidR="00D73E0D" w:rsidRDefault="003E425B" w:rsidP="003F1B16">
      <w:pPr>
        <w:pStyle w:val="Textonotapie"/>
      </w:pPr>
      <w:r w:rsidRPr="00363E0F">
        <w:rPr>
          <w:vertAlign w:val="superscript"/>
        </w:rPr>
        <w:footnoteRef/>
      </w:r>
      <w:r w:rsidRPr="00363E0F">
        <w:t xml:space="preserve"> </w:t>
      </w:r>
      <w:r>
        <w:t xml:space="preserve">Ibidem. </w:t>
      </w:r>
    </w:p>
  </w:footnote>
  <w:footnote w:id="504">
    <w:p w:rsidR="00D73E0D" w:rsidRDefault="003E425B" w:rsidP="003F1B16">
      <w:pPr>
        <w:pStyle w:val="Textonotapie"/>
      </w:pPr>
      <w:r w:rsidRPr="00A42C48">
        <w:rPr>
          <w:vertAlign w:val="superscript"/>
        </w:rPr>
        <w:footnoteRef/>
      </w:r>
      <w:r w:rsidRPr="00A42C48">
        <w:t xml:space="preserve"> Corte Constitucional, Sentencia C-481 de 2019. </w:t>
      </w:r>
    </w:p>
  </w:footnote>
  <w:footnote w:id="505">
    <w:p w:rsidR="00D73E0D" w:rsidRDefault="003E425B" w:rsidP="003F1B16">
      <w:pPr>
        <w:pStyle w:val="Textonotapie"/>
      </w:pPr>
      <w:r w:rsidRPr="00A42C48">
        <w:rPr>
          <w:vertAlign w:val="superscript"/>
        </w:rPr>
        <w:footnoteRef/>
      </w:r>
      <w:r w:rsidRPr="00A42C48">
        <w:t xml:space="preserve"> Ibidem. </w:t>
      </w:r>
    </w:p>
  </w:footnote>
  <w:footnote w:id="506">
    <w:p w:rsidR="00D73E0D" w:rsidRDefault="003E425B" w:rsidP="003F1B16">
      <w:pPr>
        <w:pStyle w:val="Textonotapie"/>
      </w:pPr>
      <w:r w:rsidRPr="00A42C48">
        <w:rPr>
          <w:vertAlign w:val="superscript"/>
        </w:rPr>
        <w:footnoteRef/>
      </w:r>
      <w:r w:rsidRPr="00A42C48">
        <w:t xml:space="preserve"> Corte Constitucional, Auto 272 de 2023.</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2086"/>
    <w:multiLevelType w:val="multilevel"/>
    <w:tmpl w:val="240A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C46554"/>
    <w:multiLevelType w:val="hybridMultilevel"/>
    <w:tmpl w:val="AA669304"/>
    <w:lvl w:ilvl="0" w:tplc="481A7AA0">
      <w:start w:val="1"/>
      <w:numFmt w:val="lowerRoman"/>
      <w:lvlText w:val="(%1)"/>
      <w:lvlJc w:val="left"/>
      <w:pPr>
        <w:ind w:left="1178" w:hanging="720"/>
      </w:pPr>
      <w:rPr>
        <w:rFonts w:hint="default"/>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2258" w:hanging="180"/>
      </w:pPr>
    </w:lvl>
    <w:lvl w:ilvl="3" w:tplc="240A000F" w:tentative="1">
      <w:start w:val="1"/>
      <w:numFmt w:val="decimal"/>
      <w:lvlText w:val="%4."/>
      <w:lvlJc w:val="left"/>
      <w:pPr>
        <w:ind w:left="2978" w:hanging="360"/>
      </w:pPr>
    </w:lvl>
    <w:lvl w:ilvl="4" w:tplc="240A0019" w:tentative="1">
      <w:start w:val="1"/>
      <w:numFmt w:val="lowerLetter"/>
      <w:lvlText w:val="%5."/>
      <w:lvlJc w:val="left"/>
      <w:pPr>
        <w:ind w:left="3698" w:hanging="360"/>
      </w:pPr>
    </w:lvl>
    <w:lvl w:ilvl="5" w:tplc="240A001B" w:tentative="1">
      <w:start w:val="1"/>
      <w:numFmt w:val="lowerRoman"/>
      <w:lvlText w:val="%6."/>
      <w:lvlJc w:val="right"/>
      <w:pPr>
        <w:ind w:left="4418" w:hanging="180"/>
      </w:pPr>
    </w:lvl>
    <w:lvl w:ilvl="6" w:tplc="240A000F" w:tentative="1">
      <w:start w:val="1"/>
      <w:numFmt w:val="decimal"/>
      <w:lvlText w:val="%7."/>
      <w:lvlJc w:val="left"/>
      <w:pPr>
        <w:ind w:left="5138" w:hanging="360"/>
      </w:pPr>
    </w:lvl>
    <w:lvl w:ilvl="7" w:tplc="240A0019" w:tentative="1">
      <w:start w:val="1"/>
      <w:numFmt w:val="lowerLetter"/>
      <w:lvlText w:val="%8."/>
      <w:lvlJc w:val="left"/>
      <w:pPr>
        <w:ind w:left="5858" w:hanging="360"/>
      </w:pPr>
    </w:lvl>
    <w:lvl w:ilvl="8" w:tplc="240A001B" w:tentative="1">
      <w:start w:val="1"/>
      <w:numFmt w:val="lowerRoman"/>
      <w:lvlText w:val="%9."/>
      <w:lvlJc w:val="right"/>
      <w:pPr>
        <w:ind w:left="6578" w:hanging="180"/>
      </w:pPr>
    </w:lvl>
  </w:abstractNum>
  <w:abstractNum w:abstractNumId="2" w15:restartNumberingAfterBreak="0">
    <w:nsid w:val="096463B5"/>
    <w:multiLevelType w:val="hybridMultilevel"/>
    <w:tmpl w:val="7B6C4CC6"/>
    <w:lvl w:ilvl="0" w:tplc="A8485A82">
      <w:start w:val="1"/>
      <w:numFmt w:val="decimal"/>
      <w:lvlText w:val="%1."/>
      <w:lvlJc w:val="left"/>
      <w:pPr>
        <w:ind w:left="720" w:hanging="360"/>
      </w:pPr>
      <w:rPr>
        <w:rFonts w:ascii="Times New Roman" w:eastAsia="Times New Roman" w:hAnsi="Times New Roman"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9312F"/>
    <w:multiLevelType w:val="hybridMultilevel"/>
    <w:tmpl w:val="6A18AA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134B38"/>
    <w:multiLevelType w:val="hybridMultilevel"/>
    <w:tmpl w:val="BF661CC4"/>
    <w:lvl w:ilvl="0" w:tplc="039613A4">
      <w:start w:val="1"/>
      <w:numFmt w:val="lowerLetter"/>
      <w:lvlText w:val="(%1)"/>
      <w:lvlJc w:val="left"/>
      <w:pPr>
        <w:ind w:left="1428" w:hanging="360"/>
      </w:pPr>
      <w:rPr>
        <w:rFonts w:hint="default"/>
        <w:b/>
        <w:i w:val="0"/>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14466DE3"/>
    <w:multiLevelType w:val="multilevel"/>
    <w:tmpl w:val="EFA085FA"/>
    <w:styleLink w:val="Listaactual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91001C"/>
    <w:multiLevelType w:val="hybridMultilevel"/>
    <w:tmpl w:val="B40E3074"/>
    <w:lvl w:ilvl="0" w:tplc="46581F66">
      <w:start w:val="1"/>
      <w:numFmt w:val="lowerRoman"/>
      <w:lvlText w:val="(%1)"/>
      <w:lvlJc w:val="left"/>
      <w:pPr>
        <w:ind w:left="720" w:hanging="360"/>
      </w:pPr>
      <w:rPr>
        <w:rFonts w:hint="default"/>
        <w:b/>
        <w:bCs w:val="0"/>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A50351"/>
    <w:multiLevelType w:val="hybridMultilevel"/>
    <w:tmpl w:val="E8CA187A"/>
    <w:lvl w:ilvl="0" w:tplc="8934014E">
      <w:start w:val="1"/>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3D435ED"/>
    <w:multiLevelType w:val="hybridMultilevel"/>
    <w:tmpl w:val="FFFFFFFF"/>
    <w:lvl w:ilvl="0" w:tplc="317E0F46">
      <w:start w:val="1"/>
      <w:numFmt w:val="upperRoman"/>
      <w:pStyle w:val="Ttulo11"/>
      <w:lvlText w:val="%1."/>
      <w:lvlJc w:val="left"/>
      <w:rPr>
        <w:rFonts w:cs="Times New Roman" w:hint="default"/>
        <w:b/>
        <w:i w:val="0"/>
      </w:rPr>
    </w:lvl>
    <w:lvl w:ilvl="1" w:tplc="4AFC23DA">
      <w:start w:val="1"/>
      <w:numFmt w:val="upperLetter"/>
      <w:pStyle w:val="Ttulo21"/>
      <w:lvlText w:val="%2."/>
      <w:lvlJc w:val="left"/>
      <w:pPr>
        <w:ind w:left="720"/>
      </w:pPr>
      <w:rPr>
        <w:rFonts w:cs="Times New Roman" w:hint="default"/>
        <w:b/>
        <w:i w:val="0"/>
      </w:rPr>
    </w:lvl>
    <w:lvl w:ilvl="2" w:tplc="D166E368">
      <w:start w:val="1"/>
      <w:numFmt w:val="decimal"/>
      <w:pStyle w:val="Ttulo31"/>
      <w:lvlText w:val="%3."/>
      <w:lvlJc w:val="left"/>
      <w:pPr>
        <w:ind w:left="1440"/>
      </w:pPr>
      <w:rPr>
        <w:rFonts w:cs="Times New Roman" w:hint="default"/>
        <w:b/>
        <w:i w:val="0"/>
      </w:rPr>
    </w:lvl>
    <w:lvl w:ilvl="3" w:tplc="BFF6B644">
      <w:start w:val="1"/>
      <w:numFmt w:val="lowerLetter"/>
      <w:pStyle w:val="Ttulo41"/>
      <w:lvlText w:val="%4)"/>
      <w:lvlJc w:val="left"/>
      <w:pPr>
        <w:ind w:left="2160"/>
      </w:pPr>
      <w:rPr>
        <w:rFonts w:cs="Times New Roman" w:hint="default"/>
        <w:b/>
        <w:i w:val="0"/>
      </w:rPr>
    </w:lvl>
    <w:lvl w:ilvl="4" w:tplc="BDCCC5D2">
      <w:start w:val="1"/>
      <w:numFmt w:val="decimal"/>
      <w:pStyle w:val="Ttulo51"/>
      <w:lvlText w:val="(%5)"/>
      <w:lvlJc w:val="left"/>
      <w:pPr>
        <w:ind w:left="2880"/>
      </w:pPr>
      <w:rPr>
        <w:rFonts w:cs="Times New Roman" w:hint="default"/>
        <w:b/>
        <w:i w:val="0"/>
      </w:rPr>
    </w:lvl>
    <w:lvl w:ilvl="5" w:tplc="AE84AD8C">
      <w:start w:val="1"/>
      <w:numFmt w:val="lowerLetter"/>
      <w:pStyle w:val="Ttulo61"/>
      <w:lvlText w:val="(%6)"/>
      <w:lvlJc w:val="left"/>
      <w:pPr>
        <w:ind w:left="3600"/>
      </w:pPr>
      <w:rPr>
        <w:rFonts w:cs="Times New Roman" w:hint="default"/>
        <w:b/>
        <w:i w:val="0"/>
      </w:rPr>
    </w:lvl>
    <w:lvl w:ilvl="6" w:tplc="52A4CF1A">
      <w:start w:val="1"/>
      <w:numFmt w:val="lowerRoman"/>
      <w:pStyle w:val="Ttulo71"/>
      <w:lvlText w:val="(%7)"/>
      <w:lvlJc w:val="left"/>
      <w:pPr>
        <w:ind w:left="4320"/>
      </w:pPr>
      <w:rPr>
        <w:rFonts w:cs="Times New Roman" w:hint="default"/>
        <w:b/>
        <w:i w:val="0"/>
      </w:rPr>
    </w:lvl>
    <w:lvl w:ilvl="7" w:tplc="D23CDC42">
      <w:start w:val="1"/>
      <w:numFmt w:val="lowerLetter"/>
      <w:pStyle w:val="Ttulo81"/>
      <w:lvlText w:val="(%8)"/>
      <w:lvlJc w:val="left"/>
      <w:pPr>
        <w:ind w:left="5040"/>
      </w:pPr>
      <w:rPr>
        <w:rFonts w:cs="Times New Roman" w:hint="default"/>
      </w:rPr>
    </w:lvl>
    <w:lvl w:ilvl="8" w:tplc="650E58C8">
      <w:start w:val="1"/>
      <w:numFmt w:val="lowerRoman"/>
      <w:pStyle w:val="Ttulo91"/>
      <w:lvlText w:val="(%9)"/>
      <w:lvlJc w:val="left"/>
      <w:pPr>
        <w:ind w:left="5760"/>
      </w:pPr>
      <w:rPr>
        <w:rFonts w:cs="Times New Roman" w:hint="default"/>
      </w:rPr>
    </w:lvl>
  </w:abstractNum>
  <w:abstractNum w:abstractNumId="9" w15:restartNumberingAfterBreak="0">
    <w:nsid w:val="24382136"/>
    <w:multiLevelType w:val="hybridMultilevel"/>
    <w:tmpl w:val="56A08FA2"/>
    <w:lvl w:ilvl="0" w:tplc="9B580DBC">
      <w:start w:val="2"/>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D06D5A"/>
    <w:multiLevelType w:val="hybridMultilevel"/>
    <w:tmpl w:val="EAC8814C"/>
    <w:lvl w:ilvl="0" w:tplc="240A0015">
      <w:start w:val="1"/>
      <w:numFmt w:val="upp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B6A2B09"/>
    <w:multiLevelType w:val="hybridMultilevel"/>
    <w:tmpl w:val="73AE4D50"/>
    <w:lvl w:ilvl="0" w:tplc="C3F8A318">
      <w:start w:val="1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CFF64A0"/>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2DA00977"/>
    <w:multiLevelType w:val="hybridMultilevel"/>
    <w:tmpl w:val="FFFFFFFF"/>
    <w:lvl w:ilvl="0" w:tplc="8C588BE2">
      <w:start w:val="1"/>
      <w:numFmt w:val="lowerRoman"/>
      <w:lvlText w:val="(%1)"/>
      <w:lvlJc w:val="left"/>
      <w:pPr>
        <w:ind w:left="1032" w:hanging="720"/>
      </w:pPr>
      <w:rPr>
        <w:rFonts w:cs="Times New Roman" w:hint="default"/>
      </w:rPr>
    </w:lvl>
    <w:lvl w:ilvl="1" w:tplc="240A0019" w:tentative="1">
      <w:start w:val="1"/>
      <w:numFmt w:val="lowerLetter"/>
      <w:lvlText w:val="%2."/>
      <w:lvlJc w:val="left"/>
      <w:pPr>
        <w:ind w:left="1392" w:hanging="360"/>
      </w:pPr>
      <w:rPr>
        <w:rFonts w:cs="Times New Roman"/>
      </w:rPr>
    </w:lvl>
    <w:lvl w:ilvl="2" w:tplc="240A001B" w:tentative="1">
      <w:start w:val="1"/>
      <w:numFmt w:val="lowerRoman"/>
      <w:lvlText w:val="%3."/>
      <w:lvlJc w:val="right"/>
      <w:pPr>
        <w:ind w:left="2112" w:hanging="180"/>
      </w:pPr>
      <w:rPr>
        <w:rFonts w:cs="Times New Roman"/>
      </w:rPr>
    </w:lvl>
    <w:lvl w:ilvl="3" w:tplc="240A000F" w:tentative="1">
      <w:start w:val="1"/>
      <w:numFmt w:val="decimal"/>
      <w:lvlText w:val="%4."/>
      <w:lvlJc w:val="left"/>
      <w:pPr>
        <w:ind w:left="2832" w:hanging="360"/>
      </w:pPr>
      <w:rPr>
        <w:rFonts w:cs="Times New Roman"/>
      </w:rPr>
    </w:lvl>
    <w:lvl w:ilvl="4" w:tplc="240A0019" w:tentative="1">
      <w:start w:val="1"/>
      <w:numFmt w:val="lowerLetter"/>
      <w:lvlText w:val="%5."/>
      <w:lvlJc w:val="left"/>
      <w:pPr>
        <w:ind w:left="3552" w:hanging="360"/>
      </w:pPr>
      <w:rPr>
        <w:rFonts w:cs="Times New Roman"/>
      </w:rPr>
    </w:lvl>
    <w:lvl w:ilvl="5" w:tplc="240A001B" w:tentative="1">
      <w:start w:val="1"/>
      <w:numFmt w:val="lowerRoman"/>
      <w:lvlText w:val="%6."/>
      <w:lvlJc w:val="right"/>
      <w:pPr>
        <w:ind w:left="4272" w:hanging="180"/>
      </w:pPr>
      <w:rPr>
        <w:rFonts w:cs="Times New Roman"/>
      </w:rPr>
    </w:lvl>
    <w:lvl w:ilvl="6" w:tplc="240A000F" w:tentative="1">
      <w:start w:val="1"/>
      <w:numFmt w:val="decimal"/>
      <w:lvlText w:val="%7."/>
      <w:lvlJc w:val="left"/>
      <w:pPr>
        <w:ind w:left="4992" w:hanging="360"/>
      </w:pPr>
      <w:rPr>
        <w:rFonts w:cs="Times New Roman"/>
      </w:rPr>
    </w:lvl>
    <w:lvl w:ilvl="7" w:tplc="240A0019" w:tentative="1">
      <w:start w:val="1"/>
      <w:numFmt w:val="lowerLetter"/>
      <w:lvlText w:val="%8."/>
      <w:lvlJc w:val="left"/>
      <w:pPr>
        <w:ind w:left="5712" w:hanging="360"/>
      </w:pPr>
      <w:rPr>
        <w:rFonts w:cs="Times New Roman"/>
      </w:rPr>
    </w:lvl>
    <w:lvl w:ilvl="8" w:tplc="240A001B" w:tentative="1">
      <w:start w:val="1"/>
      <w:numFmt w:val="lowerRoman"/>
      <w:lvlText w:val="%9."/>
      <w:lvlJc w:val="right"/>
      <w:pPr>
        <w:ind w:left="6432" w:hanging="180"/>
      </w:pPr>
      <w:rPr>
        <w:rFonts w:cs="Times New Roman"/>
      </w:rPr>
    </w:lvl>
  </w:abstractNum>
  <w:abstractNum w:abstractNumId="14" w15:restartNumberingAfterBreak="0">
    <w:nsid w:val="2F26747A"/>
    <w:multiLevelType w:val="hybridMultilevel"/>
    <w:tmpl w:val="AE3CD1A8"/>
    <w:lvl w:ilvl="0" w:tplc="B1882F88">
      <w:start w:val="1"/>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5AD6182"/>
    <w:multiLevelType w:val="hybridMultilevel"/>
    <w:tmpl w:val="6D40A298"/>
    <w:lvl w:ilvl="0" w:tplc="1068ECB8">
      <w:start w:val="1"/>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DB7A09"/>
    <w:multiLevelType w:val="hybridMultilevel"/>
    <w:tmpl w:val="D04A62D4"/>
    <w:lvl w:ilvl="0" w:tplc="BC48C762">
      <w:start w:val="1"/>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923249C"/>
    <w:multiLevelType w:val="hybridMultilevel"/>
    <w:tmpl w:val="541C4570"/>
    <w:lvl w:ilvl="0" w:tplc="78DE4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50122B"/>
    <w:multiLevelType w:val="hybridMultilevel"/>
    <w:tmpl w:val="4AF61FE0"/>
    <w:lvl w:ilvl="0" w:tplc="416C3FA6">
      <w:start w:val="2"/>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275450"/>
    <w:multiLevelType w:val="multilevel"/>
    <w:tmpl w:val="240A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B764349"/>
    <w:multiLevelType w:val="multilevel"/>
    <w:tmpl w:val="F41C5CBE"/>
    <w:lvl w:ilvl="0">
      <w:start w:val="4"/>
      <w:numFmt w:val="decimal"/>
      <w:lvlText w:val="%1."/>
      <w:lvlJc w:val="left"/>
      <w:pPr>
        <w:ind w:left="360" w:hanging="360"/>
      </w:pPr>
      <w:rPr>
        <w:rFonts w:hint="default"/>
        <w:color w:val="auto"/>
      </w:rPr>
    </w:lvl>
    <w:lvl w:ilvl="1">
      <w:start w:val="3"/>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BC634EE"/>
    <w:multiLevelType w:val="multilevel"/>
    <w:tmpl w:val="9B0242C4"/>
    <w:lvl w:ilvl="0">
      <w:start w:val="1"/>
      <w:numFmt w:val="decimal"/>
      <w:lvlText w:val="%1."/>
      <w:lvlJc w:val="left"/>
      <w:pPr>
        <w:ind w:left="360" w:hanging="360"/>
      </w:pPr>
      <w:rPr>
        <w:rFonts w:hint="default"/>
        <w:b w:val="0"/>
        <w:i w:val="0"/>
        <w:color w:val="000000"/>
        <w:sz w:val="28"/>
        <w:szCs w:val="28"/>
        <w:vertAlign w:val="baseline"/>
      </w:rPr>
    </w:lvl>
    <w:lvl w:ilvl="1">
      <w:start w:val="1"/>
      <w:numFmt w:val="decimal"/>
      <w:lvlText w:val="%1.%2."/>
      <w:lvlJc w:val="left"/>
      <w:pPr>
        <w:ind w:left="792" w:hanging="432"/>
      </w:pPr>
      <w:rPr>
        <w:b w:val="0"/>
        <w:bCs/>
        <w:i w:val="0"/>
        <w:color w:val="000000"/>
        <w:sz w:val="28"/>
        <w:szCs w:val="28"/>
        <w:vertAlign w:val="baseline"/>
      </w:rPr>
    </w:lvl>
    <w:lvl w:ilvl="2">
      <w:start w:val="1"/>
      <w:numFmt w:val="decimal"/>
      <w:lvlText w:val="%1.%2.%3."/>
      <w:lvlJc w:val="left"/>
      <w:pPr>
        <w:ind w:left="1224" w:hanging="504"/>
      </w:pPr>
      <w:rPr>
        <w:i w:val="0"/>
        <w:vertAlign w:val="baseline"/>
      </w:rPr>
    </w:lvl>
    <w:lvl w:ilvl="3">
      <w:start w:val="1"/>
      <w:numFmt w:val="decimal"/>
      <w:lvlText w:val="%1.%2.%3.%4."/>
      <w:lvlJc w:val="left"/>
      <w:pPr>
        <w:ind w:left="1728" w:hanging="648"/>
      </w:pPr>
      <w:rPr>
        <w:i w:val="0"/>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6"/>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2" w15:restartNumberingAfterBreak="0">
    <w:nsid w:val="4C687411"/>
    <w:multiLevelType w:val="multilevel"/>
    <w:tmpl w:val="ACB6613E"/>
    <w:lvl w:ilvl="0">
      <w:start w:val="1"/>
      <w:numFmt w:val="decimal"/>
      <w:lvlText w:val="%1."/>
      <w:lvlJc w:val="left"/>
      <w:pPr>
        <w:ind w:left="360" w:hanging="360"/>
      </w:pPr>
      <w:rPr>
        <w:rFonts w:cs="Times New Roman" w:hint="default"/>
        <w:b/>
        <w:bCs/>
        <w:i w:val="0"/>
        <w:color w:val="auto"/>
        <w:sz w:val="28"/>
        <w:szCs w:val="28"/>
        <w:vertAlign w:val="baseline"/>
      </w:rPr>
    </w:lvl>
    <w:lvl w:ilvl="1">
      <w:start w:val="1"/>
      <w:numFmt w:val="decimal"/>
      <w:lvlText w:val="%1.%2."/>
      <w:lvlJc w:val="left"/>
      <w:pPr>
        <w:ind w:left="792" w:hanging="432"/>
      </w:pPr>
      <w:rPr>
        <w:rFonts w:cs="Times New Roman" w:hint="default"/>
        <w:b/>
        <w:bCs/>
        <w:i w:val="0"/>
        <w:vertAlign w:val="baseline"/>
      </w:rPr>
    </w:lvl>
    <w:lvl w:ilvl="2">
      <w:start w:val="1"/>
      <w:numFmt w:val="decimal"/>
      <w:lvlText w:val="%1.%2.%3."/>
      <w:lvlJc w:val="left"/>
      <w:pPr>
        <w:ind w:left="1224" w:hanging="504"/>
      </w:pPr>
      <w:rPr>
        <w:rFonts w:cs="Times New Roman" w:hint="default"/>
        <w:vertAlign w:val="baseline"/>
      </w:rPr>
    </w:lvl>
    <w:lvl w:ilvl="3">
      <w:start w:val="1"/>
      <w:numFmt w:val="decimal"/>
      <w:lvlText w:val="%1.%2.%3.%4."/>
      <w:lvlJc w:val="left"/>
      <w:pPr>
        <w:ind w:left="1728" w:hanging="648"/>
      </w:pPr>
      <w:rPr>
        <w:rFonts w:cs="Times New Roman" w:hint="default"/>
        <w:vertAlign w:val="baseline"/>
      </w:rPr>
    </w:lvl>
    <w:lvl w:ilvl="4">
      <w:start w:val="1"/>
      <w:numFmt w:val="decimal"/>
      <w:lvlText w:val="%1.%2.%3.%4.%5."/>
      <w:lvlJc w:val="left"/>
      <w:pPr>
        <w:ind w:left="2232" w:hanging="792"/>
      </w:pPr>
      <w:rPr>
        <w:rFonts w:cs="Times New Roman" w:hint="default"/>
        <w:vertAlign w:val="baseline"/>
      </w:rPr>
    </w:lvl>
    <w:lvl w:ilvl="5">
      <w:start w:val="1"/>
      <w:numFmt w:val="decimal"/>
      <w:lvlText w:val="%1.%2.%3.%4.%5.%6."/>
      <w:lvlJc w:val="left"/>
      <w:pPr>
        <w:ind w:left="2736" w:hanging="936"/>
      </w:pPr>
      <w:rPr>
        <w:rFonts w:cs="Times New Roman" w:hint="default"/>
        <w:vertAlign w:val="baseline"/>
      </w:rPr>
    </w:lvl>
    <w:lvl w:ilvl="6">
      <w:start w:val="1"/>
      <w:numFmt w:val="decimal"/>
      <w:lvlText w:val="%1.%2.%3.%4.%5.%6.%7."/>
      <w:lvlJc w:val="left"/>
      <w:pPr>
        <w:ind w:left="3240" w:hanging="1080"/>
      </w:pPr>
      <w:rPr>
        <w:rFonts w:cs="Times New Roman" w:hint="default"/>
        <w:vertAlign w:val="baseline"/>
      </w:rPr>
    </w:lvl>
    <w:lvl w:ilvl="7">
      <w:start w:val="1"/>
      <w:numFmt w:val="decimal"/>
      <w:lvlText w:val="%1.%2.%3.%4.%5.%6.%7.%8."/>
      <w:lvlJc w:val="left"/>
      <w:pPr>
        <w:ind w:left="3744" w:hanging="1224"/>
      </w:pPr>
      <w:rPr>
        <w:rFonts w:cs="Times New Roman" w:hint="default"/>
        <w:vertAlign w:val="baseline"/>
      </w:rPr>
    </w:lvl>
    <w:lvl w:ilvl="8">
      <w:start w:val="1"/>
      <w:numFmt w:val="decimal"/>
      <w:lvlText w:val="%1.%2.%3.%4.%5.%6.%7.%8.%9."/>
      <w:lvlJc w:val="left"/>
      <w:pPr>
        <w:ind w:left="4320" w:hanging="1440"/>
      </w:pPr>
      <w:rPr>
        <w:rFonts w:cs="Times New Roman" w:hint="default"/>
        <w:vertAlign w:val="baseline"/>
      </w:rPr>
    </w:lvl>
  </w:abstractNum>
  <w:abstractNum w:abstractNumId="23" w15:restartNumberingAfterBreak="0">
    <w:nsid w:val="4D697DF5"/>
    <w:multiLevelType w:val="hybridMultilevel"/>
    <w:tmpl w:val="459CF8DE"/>
    <w:lvl w:ilvl="0" w:tplc="1C3A519A">
      <w:start w:val="1"/>
      <w:numFmt w:val="lowerRoman"/>
      <w:lvlText w:val="(%1)  "/>
      <w:lvlJc w:val="left"/>
      <w:pPr>
        <w:ind w:left="720"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C84B6E"/>
    <w:multiLevelType w:val="hybridMultilevel"/>
    <w:tmpl w:val="2FFAD1AE"/>
    <w:lvl w:ilvl="0" w:tplc="BA6A0056">
      <w:start w:val="1"/>
      <w:numFmt w:val="lowerLetter"/>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4D7E6C"/>
    <w:multiLevelType w:val="hybridMultilevel"/>
    <w:tmpl w:val="1250C566"/>
    <w:lvl w:ilvl="0" w:tplc="BA6A0056">
      <w:start w:val="1"/>
      <w:numFmt w:val="lowerLetter"/>
      <w:lvlText w:val="(%1)"/>
      <w:lvlJc w:val="left"/>
      <w:pPr>
        <w:ind w:left="1428" w:hanging="360"/>
      </w:pPr>
      <w:rPr>
        <w:rFonts w:hint="default"/>
        <w:b/>
        <w:i w:val="0"/>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6" w15:restartNumberingAfterBreak="0">
    <w:nsid w:val="57F9279A"/>
    <w:multiLevelType w:val="hybridMultilevel"/>
    <w:tmpl w:val="9AA2B4C4"/>
    <w:lvl w:ilvl="0" w:tplc="2D56C7C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057C11"/>
    <w:multiLevelType w:val="hybridMultilevel"/>
    <w:tmpl w:val="41105D2A"/>
    <w:lvl w:ilvl="0" w:tplc="CC9E7D6E">
      <w:start w:val="2"/>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9177E51"/>
    <w:multiLevelType w:val="multilevel"/>
    <w:tmpl w:val="BBDA447A"/>
    <w:lvl w:ilvl="0">
      <w:start w:val="116"/>
      <w:numFmt w:val="decimal"/>
      <w:lvlText w:val="%1."/>
      <w:lvlJc w:val="left"/>
      <w:pPr>
        <w:ind w:left="785" w:hanging="360"/>
      </w:pPr>
      <w:rPr>
        <w:rFonts w:hint="default"/>
        <w:b w:val="0"/>
        <w:bCs w:val="0"/>
        <w:i w:val="0"/>
        <w:iCs w:val="0"/>
        <w:sz w:val="28"/>
        <w:szCs w:val="28"/>
      </w:rPr>
    </w:lvl>
    <w:lvl w:ilvl="1">
      <w:start w:val="1"/>
      <w:numFmt w:val="decimal"/>
      <w:lvlText w:val="%1.%2."/>
      <w:lvlJc w:val="left"/>
      <w:pPr>
        <w:ind w:left="792" w:hanging="432"/>
      </w:pPr>
      <w:rPr>
        <w:rFonts w:hint="default"/>
        <w:b w:val="0"/>
        <w:bCs/>
        <w:i w:val="0"/>
        <w:iCs w:val="0"/>
      </w:rPr>
    </w:lvl>
    <w:lvl w:ilvl="2">
      <w:start w:val="1"/>
      <w:numFmt w:val="decimal"/>
      <w:lvlText w:val="%1.%2.%3."/>
      <w:lvlJc w:val="left"/>
      <w:pPr>
        <w:ind w:left="192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9875BBD"/>
    <w:multiLevelType w:val="multilevel"/>
    <w:tmpl w:val="8FCC0286"/>
    <w:lvl w:ilvl="0">
      <w:start w:val="168"/>
      <w:numFmt w:val="decimal"/>
      <w:lvlText w:val="%1."/>
      <w:lvlJc w:val="left"/>
      <w:pPr>
        <w:ind w:left="785" w:hanging="360"/>
      </w:pPr>
      <w:rPr>
        <w:rFonts w:hint="default"/>
        <w:b w:val="0"/>
        <w:bCs w:val="0"/>
        <w:i w:val="0"/>
        <w:iCs w:val="0"/>
        <w:sz w:val="28"/>
        <w:szCs w:val="28"/>
      </w:rPr>
    </w:lvl>
    <w:lvl w:ilvl="1">
      <w:start w:val="1"/>
      <w:numFmt w:val="lowerRoman"/>
      <w:lvlText w:val="(%2)"/>
      <w:lvlJc w:val="left"/>
      <w:pPr>
        <w:ind w:left="792" w:hanging="432"/>
      </w:pPr>
      <w:rPr>
        <w:rFonts w:ascii="Times New Roman" w:eastAsia="Calibri" w:hAnsi="Times New Roman" w:cs="Times New Roman"/>
        <w:i w:val="0"/>
        <w:iCs w:val="0"/>
      </w:rPr>
    </w:lvl>
    <w:lvl w:ilvl="2">
      <w:start w:val="1"/>
      <w:numFmt w:val="decimal"/>
      <w:lvlText w:val="%1.%2.%3."/>
      <w:lvlJc w:val="left"/>
      <w:pPr>
        <w:ind w:left="192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ACF6F98"/>
    <w:multiLevelType w:val="hybridMultilevel"/>
    <w:tmpl w:val="D1E84A98"/>
    <w:lvl w:ilvl="0" w:tplc="FC7A80BE">
      <w:start w:val="1"/>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BA93BAD"/>
    <w:multiLevelType w:val="hybridMultilevel"/>
    <w:tmpl w:val="DD4E9A8C"/>
    <w:lvl w:ilvl="0" w:tplc="C04EE132">
      <w:start w:val="1"/>
      <w:numFmt w:val="upperRoman"/>
      <w:lvlText w:val="%1."/>
      <w:lvlJc w:val="left"/>
      <w:pPr>
        <w:ind w:left="720" w:hanging="360"/>
      </w:pPr>
      <w:rPr>
        <w:rFonts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DDA3AFF"/>
    <w:multiLevelType w:val="multilevel"/>
    <w:tmpl w:val="08F0191C"/>
    <w:lvl w:ilvl="0">
      <w:start w:val="148"/>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FC0669"/>
    <w:multiLevelType w:val="multilevel"/>
    <w:tmpl w:val="9E7A1ADC"/>
    <w:lvl w:ilvl="0">
      <w:start w:val="4"/>
      <w:numFmt w:val="decimal"/>
      <w:lvlText w:val="%1."/>
      <w:lvlJc w:val="left"/>
      <w:pPr>
        <w:ind w:left="360" w:hanging="360"/>
      </w:pPr>
      <w:rPr>
        <w:rFonts w:hint="default"/>
        <w:color w:val="auto"/>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4537F01"/>
    <w:multiLevelType w:val="hybridMultilevel"/>
    <w:tmpl w:val="F84E7D42"/>
    <w:lvl w:ilvl="0" w:tplc="B8808F68">
      <w:start w:val="2"/>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B200962"/>
    <w:multiLevelType w:val="hybridMultilevel"/>
    <w:tmpl w:val="9FD8B840"/>
    <w:lvl w:ilvl="0" w:tplc="18EC8298">
      <w:start w:val="1"/>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880EEF"/>
    <w:multiLevelType w:val="hybridMultilevel"/>
    <w:tmpl w:val="53A09F42"/>
    <w:lvl w:ilvl="0" w:tplc="3E5248E6">
      <w:start w:val="1"/>
      <w:numFmt w:val="lowerRoman"/>
      <w:lvlText w:val="(%1)"/>
      <w:lvlJc w:val="left"/>
      <w:pPr>
        <w:ind w:left="1178" w:hanging="720"/>
      </w:pPr>
      <w:rPr>
        <w:rFonts w:hint="default"/>
        <w:i/>
        <w:iCs/>
      </w:rPr>
    </w:lvl>
    <w:lvl w:ilvl="1" w:tplc="FFFFFFFF" w:tentative="1">
      <w:start w:val="1"/>
      <w:numFmt w:val="lowerLetter"/>
      <w:lvlText w:val="%2."/>
      <w:lvlJc w:val="left"/>
      <w:pPr>
        <w:ind w:left="1538" w:hanging="360"/>
      </w:pPr>
    </w:lvl>
    <w:lvl w:ilvl="2" w:tplc="FFFFFFFF" w:tentative="1">
      <w:start w:val="1"/>
      <w:numFmt w:val="lowerRoman"/>
      <w:lvlText w:val="%3."/>
      <w:lvlJc w:val="right"/>
      <w:pPr>
        <w:ind w:left="2258" w:hanging="180"/>
      </w:pPr>
    </w:lvl>
    <w:lvl w:ilvl="3" w:tplc="FFFFFFFF" w:tentative="1">
      <w:start w:val="1"/>
      <w:numFmt w:val="decimal"/>
      <w:lvlText w:val="%4."/>
      <w:lvlJc w:val="left"/>
      <w:pPr>
        <w:ind w:left="2978" w:hanging="360"/>
      </w:pPr>
    </w:lvl>
    <w:lvl w:ilvl="4" w:tplc="FFFFFFFF" w:tentative="1">
      <w:start w:val="1"/>
      <w:numFmt w:val="lowerLetter"/>
      <w:lvlText w:val="%5."/>
      <w:lvlJc w:val="left"/>
      <w:pPr>
        <w:ind w:left="3698" w:hanging="360"/>
      </w:pPr>
    </w:lvl>
    <w:lvl w:ilvl="5" w:tplc="FFFFFFFF" w:tentative="1">
      <w:start w:val="1"/>
      <w:numFmt w:val="lowerRoman"/>
      <w:lvlText w:val="%6."/>
      <w:lvlJc w:val="right"/>
      <w:pPr>
        <w:ind w:left="4418" w:hanging="180"/>
      </w:pPr>
    </w:lvl>
    <w:lvl w:ilvl="6" w:tplc="FFFFFFFF" w:tentative="1">
      <w:start w:val="1"/>
      <w:numFmt w:val="decimal"/>
      <w:lvlText w:val="%7."/>
      <w:lvlJc w:val="left"/>
      <w:pPr>
        <w:ind w:left="5138" w:hanging="360"/>
      </w:pPr>
    </w:lvl>
    <w:lvl w:ilvl="7" w:tplc="FFFFFFFF" w:tentative="1">
      <w:start w:val="1"/>
      <w:numFmt w:val="lowerLetter"/>
      <w:lvlText w:val="%8."/>
      <w:lvlJc w:val="left"/>
      <w:pPr>
        <w:ind w:left="5858" w:hanging="360"/>
      </w:pPr>
    </w:lvl>
    <w:lvl w:ilvl="8" w:tplc="FFFFFFFF" w:tentative="1">
      <w:start w:val="1"/>
      <w:numFmt w:val="lowerRoman"/>
      <w:lvlText w:val="%9."/>
      <w:lvlJc w:val="right"/>
      <w:pPr>
        <w:ind w:left="6578" w:hanging="180"/>
      </w:pPr>
    </w:lvl>
  </w:abstractNum>
  <w:abstractNum w:abstractNumId="37" w15:restartNumberingAfterBreak="0">
    <w:nsid w:val="6ECD7A2C"/>
    <w:multiLevelType w:val="hybridMultilevel"/>
    <w:tmpl w:val="491E8628"/>
    <w:lvl w:ilvl="0" w:tplc="3FBEE00E">
      <w:start w:val="2"/>
      <w:numFmt w:val="lowerRoman"/>
      <w:lvlText w:val="(%1)"/>
      <w:lvlJc w:val="left"/>
      <w:pPr>
        <w:ind w:left="720" w:hanging="360"/>
      </w:pPr>
      <w:rPr>
        <w:rFonts w:hint="default"/>
        <w:i w:val="0"/>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4327023"/>
    <w:multiLevelType w:val="hybridMultilevel"/>
    <w:tmpl w:val="FFFFFFFF"/>
    <w:lvl w:ilvl="0" w:tplc="AFA600BE">
      <w:start w:val="71"/>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61E3AEE"/>
    <w:multiLevelType w:val="hybridMultilevel"/>
    <w:tmpl w:val="FFFFFFFF"/>
    <w:styleLink w:val="Estilo1"/>
    <w:lvl w:ilvl="0" w:tplc="76F2AC2C">
      <w:start w:val="1"/>
      <w:numFmt w:val="upperRoman"/>
      <w:lvlText w:val="%1."/>
      <w:lvlJc w:val="left"/>
      <w:pPr>
        <w:ind w:left="567" w:hanging="567"/>
      </w:pPr>
      <w:rPr>
        <w:rFonts w:ascii="Times New Roman" w:hAnsi="Times New Roman" w:cs="Times New Roman" w:hint="default"/>
        <w:sz w:val="28"/>
      </w:rPr>
    </w:lvl>
    <w:lvl w:ilvl="1" w:tplc="AE686FEE">
      <w:start w:val="1"/>
      <w:numFmt w:val="lowerLetter"/>
      <w:lvlText w:val="%2)"/>
      <w:lvlJc w:val="left"/>
      <w:pPr>
        <w:ind w:left="720" w:hanging="360"/>
      </w:pPr>
      <w:rPr>
        <w:rFonts w:cs="Times New Roman" w:hint="default"/>
      </w:rPr>
    </w:lvl>
    <w:lvl w:ilvl="2" w:tplc="6D96A4B0">
      <w:start w:val="1"/>
      <w:numFmt w:val="lowerRoman"/>
      <w:lvlText w:val="%3)"/>
      <w:lvlJc w:val="left"/>
      <w:pPr>
        <w:ind w:left="1080" w:hanging="360"/>
      </w:pPr>
      <w:rPr>
        <w:rFonts w:cs="Times New Roman" w:hint="default"/>
      </w:rPr>
    </w:lvl>
    <w:lvl w:ilvl="3" w:tplc="9AEA8362">
      <w:start w:val="1"/>
      <w:numFmt w:val="decimal"/>
      <w:lvlText w:val="(%4)"/>
      <w:lvlJc w:val="left"/>
      <w:pPr>
        <w:ind w:left="1440" w:hanging="360"/>
      </w:pPr>
      <w:rPr>
        <w:rFonts w:cs="Times New Roman" w:hint="default"/>
      </w:rPr>
    </w:lvl>
    <w:lvl w:ilvl="4" w:tplc="E71467E4">
      <w:start w:val="1"/>
      <w:numFmt w:val="lowerLetter"/>
      <w:lvlText w:val="(%5)"/>
      <w:lvlJc w:val="left"/>
      <w:pPr>
        <w:ind w:left="1800" w:hanging="360"/>
      </w:pPr>
      <w:rPr>
        <w:rFonts w:cs="Times New Roman" w:hint="default"/>
      </w:rPr>
    </w:lvl>
    <w:lvl w:ilvl="5" w:tplc="2A08D210">
      <w:start w:val="1"/>
      <w:numFmt w:val="lowerRoman"/>
      <w:lvlText w:val="(%6)"/>
      <w:lvlJc w:val="left"/>
      <w:pPr>
        <w:ind w:left="2160" w:hanging="360"/>
      </w:pPr>
      <w:rPr>
        <w:rFonts w:cs="Times New Roman" w:hint="default"/>
      </w:rPr>
    </w:lvl>
    <w:lvl w:ilvl="6" w:tplc="3BE2D400">
      <w:start w:val="1"/>
      <w:numFmt w:val="decimal"/>
      <w:lvlText w:val="%7."/>
      <w:lvlJc w:val="left"/>
      <w:pPr>
        <w:ind w:left="2520" w:hanging="360"/>
      </w:pPr>
      <w:rPr>
        <w:rFonts w:cs="Times New Roman" w:hint="default"/>
      </w:rPr>
    </w:lvl>
    <w:lvl w:ilvl="7" w:tplc="BBF6419A">
      <w:start w:val="1"/>
      <w:numFmt w:val="lowerLetter"/>
      <w:lvlText w:val="%8."/>
      <w:lvlJc w:val="left"/>
      <w:pPr>
        <w:ind w:left="2880" w:hanging="360"/>
      </w:pPr>
      <w:rPr>
        <w:rFonts w:cs="Times New Roman" w:hint="default"/>
      </w:rPr>
    </w:lvl>
    <w:lvl w:ilvl="8" w:tplc="42FC38CE">
      <w:start w:val="1"/>
      <w:numFmt w:val="lowerRoman"/>
      <w:lvlText w:val="%9."/>
      <w:lvlJc w:val="left"/>
      <w:pPr>
        <w:ind w:left="3240" w:hanging="360"/>
      </w:pPr>
      <w:rPr>
        <w:rFonts w:cs="Times New Roman" w:hint="default"/>
      </w:rPr>
    </w:lvl>
  </w:abstractNum>
  <w:abstractNum w:abstractNumId="40" w15:restartNumberingAfterBreak="0">
    <w:nsid w:val="76EA3A5A"/>
    <w:multiLevelType w:val="multilevel"/>
    <w:tmpl w:val="FFFFFFFF"/>
    <w:styleLink w:val="Estilo2"/>
    <w:lvl w:ilvl="0">
      <w:start w:val="1"/>
      <w:numFmt w:val="decimal"/>
      <w:lvlText w:val="%1."/>
      <w:lvlJc w:val="left"/>
      <w:pPr>
        <w:ind w:firstLine="567"/>
      </w:pPr>
      <w:rPr>
        <w:rFonts w:cs="Times New Roman" w:hint="default"/>
        <w:b/>
        <w:i w:val="0"/>
        <w:color w:val="auto"/>
        <w:sz w:val="28"/>
        <w:szCs w:val="28"/>
        <w:vertAlign w:val="baseline"/>
      </w:rPr>
    </w:lvl>
    <w:lvl w:ilvl="1">
      <w:start w:val="1"/>
      <w:numFmt w:val="decimal"/>
      <w:lvlText w:val="%1.%2."/>
      <w:lvlJc w:val="left"/>
      <w:pPr>
        <w:ind w:left="792" w:hanging="432"/>
      </w:pPr>
      <w:rPr>
        <w:rFonts w:cs="Times New Roman" w:hint="default"/>
        <w:b/>
        <w:vertAlign w:val="baseline"/>
      </w:rPr>
    </w:lvl>
    <w:lvl w:ilvl="2">
      <w:start w:val="1"/>
      <w:numFmt w:val="decimal"/>
      <w:lvlText w:val="%1.%2.%3."/>
      <w:lvlJc w:val="left"/>
      <w:pPr>
        <w:ind w:left="1224" w:hanging="504"/>
      </w:pPr>
      <w:rPr>
        <w:rFonts w:cs="Times New Roman" w:hint="default"/>
        <w:vertAlign w:val="baseline"/>
      </w:rPr>
    </w:lvl>
    <w:lvl w:ilvl="3">
      <w:start w:val="1"/>
      <w:numFmt w:val="decimal"/>
      <w:lvlText w:val="%1.%2.%3.%4."/>
      <w:lvlJc w:val="left"/>
      <w:pPr>
        <w:ind w:left="1728" w:hanging="648"/>
      </w:pPr>
      <w:rPr>
        <w:rFonts w:cs="Times New Roman" w:hint="default"/>
        <w:vertAlign w:val="baseline"/>
      </w:rPr>
    </w:lvl>
    <w:lvl w:ilvl="4">
      <w:start w:val="1"/>
      <w:numFmt w:val="decimal"/>
      <w:lvlText w:val="%1.%2.%3.%4.%5."/>
      <w:lvlJc w:val="left"/>
      <w:pPr>
        <w:ind w:left="2232" w:hanging="792"/>
      </w:pPr>
      <w:rPr>
        <w:rFonts w:cs="Times New Roman" w:hint="default"/>
        <w:vertAlign w:val="baseline"/>
      </w:rPr>
    </w:lvl>
    <w:lvl w:ilvl="5">
      <w:start w:val="1"/>
      <w:numFmt w:val="decimal"/>
      <w:lvlText w:val="%1.%2.%3.%4.%5.%6."/>
      <w:lvlJc w:val="left"/>
      <w:pPr>
        <w:ind w:left="2736" w:hanging="936"/>
      </w:pPr>
      <w:rPr>
        <w:rFonts w:cs="Times New Roman" w:hint="default"/>
        <w:vertAlign w:val="baseline"/>
      </w:rPr>
    </w:lvl>
    <w:lvl w:ilvl="6">
      <w:start w:val="1"/>
      <w:numFmt w:val="decimal"/>
      <w:lvlText w:val="%1.%2.%3.%4.%5.%6.%7."/>
      <w:lvlJc w:val="left"/>
      <w:pPr>
        <w:ind w:left="3240" w:hanging="1080"/>
      </w:pPr>
      <w:rPr>
        <w:rFonts w:cs="Times New Roman" w:hint="default"/>
        <w:vertAlign w:val="baseline"/>
      </w:rPr>
    </w:lvl>
    <w:lvl w:ilvl="7">
      <w:start w:val="1"/>
      <w:numFmt w:val="decimal"/>
      <w:lvlText w:val="%1.%2.%3.%4.%5.%6.%7.%8."/>
      <w:lvlJc w:val="left"/>
      <w:pPr>
        <w:ind w:left="3744" w:hanging="1224"/>
      </w:pPr>
      <w:rPr>
        <w:rFonts w:cs="Times New Roman" w:hint="default"/>
        <w:vertAlign w:val="baseline"/>
      </w:rPr>
    </w:lvl>
    <w:lvl w:ilvl="8">
      <w:start w:val="1"/>
      <w:numFmt w:val="decimal"/>
      <w:lvlText w:val="%1.%2.%3.%4.%5.%6.%7.%8.%9."/>
      <w:lvlJc w:val="left"/>
      <w:pPr>
        <w:ind w:left="4320" w:hanging="1440"/>
      </w:pPr>
      <w:rPr>
        <w:rFonts w:cs="Times New Roman" w:hint="default"/>
        <w:vertAlign w:val="baseline"/>
      </w:rPr>
    </w:lvl>
  </w:abstractNum>
  <w:abstractNum w:abstractNumId="41" w15:restartNumberingAfterBreak="0">
    <w:nsid w:val="77EA0FCB"/>
    <w:multiLevelType w:val="hybridMultilevel"/>
    <w:tmpl w:val="C6C05DA0"/>
    <w:lvl w:ilvl="0" w:tplc="60C0161C">
      <w:start w:val="1"/>
      <w:numFmt w:val="lowerRoman"/>
      <w:lvlText w:val="(%1)"/>
      <w:lvlJc w:val="left"/>
      <w:pPr>
        <w:ind w:left="1031" w:hanging="720"/>
      </w:pPr>
      <w:rPr>
        <w:rFonts w:hint="default"/>
        <w:i/>
        <w:iCs/>
      </w:rPr>
    </w:lvl>
    <w:lvl w:ilvl="1" w:tplc="240A0019" w:tentative="1">
      <w:start w:val="1"/>
      <w:numFmt w:val="lowerLetter"/>
      <w:lvlText w:val="%2."/>
      <w:lvlJc w:val="left"/>
      <w:pPr>
        <w:ind w:left="1391" w:hanging="360"/>
      </w:pPr>
    </w:lvl>
    <w:lvl w:ilvl="2" w:tplc="240A001B" w:tentative="1">
      <w:start w:val="1"/>
      <w:numFmt w:val="lowerRoman"/>
      <w:lvlText w:val="%3."/>
      <w:lvlJc w:val="right"/>
      <w:pPr>
        <w:ind w:left="2111" w:hanging="180"/>
      </w:pPr>
    </w:lvl>
    <w:lvl w:ilvl="3" w:tplc="240A000F" w:tentative="1">
      <w:start w:val="1"/>
      <w:numFmt w:val="decimal"/>
      <w:lvlText w:val="%4."/>
      <w:lvlJc w:val="left"/>
      <w:pPr>
        <w:ind w:left="2831" w:hanging="360"/>
      </w:pPr>
    </w:lvl>
    <w:lvl w:ilvl="4" w:tplc="240A0019" w:tentative="1">
      <w:start w:val="1"/>
      <w:numFmt w:val="lowerLetter"/>
      <w:lvlText w:val="%5."/>
      <w:lvlJc w:val="left"/>
      <w:pPr>
        <w:ind w:left="3551" w:hanging="360"/>
      </w:pPr>
    </w:lvl>
    <w:lvl w:ilvl="5" w:tplc="240A001B" w:tentative="1">
      <w:start w:val="1"/>
      <w:numFmt w:val="lowerRoman"/>
      <w:lvlText w:val="%6."/>
      <w:lvlJc w:val="right"/>
      <w:pPr>
        <w:ind w:left="4271" w:hanging="180"/>
      </w:pPr>
    </w:lvl>
    <w:lvl w:ilvl="6" w:tplc="240A000F" w:tentative="1">
      <w:start w:val="1"/>
      <w:numFmt w:val="decimal"/>
      <w:lvlText w:val="%7."/>
      <w:lvlJc w:val="left"/>
      <w:pPr>
        <w:ind w:left="4991" w:hanging="360"/>
      </w:pPr>
    </w:lvl>
    <w:lvl w:ilvl="7" w:tplc="240A0019" w:tentative="1">
      <w:start w:val="1"/>
      <w:numFmt w:val="lowerLetter"/>
      <w:lvlText w:val="%8."/>
      <w:lvlJc w:val="left"/>
      <w:pPr>
        <w:ind w:left="5711" w:hanging="360"/>
      </w:pPr>
    </w:lvl>
    <w:lvl w:ilvl="8" w:tplc="240A001B" w:tentative="1">
      <w:start w:val="1"/>
      <w:numFmt w:val="lowerRoman"/>
      <w:lvlText w:val="%9."/>
      <w:lvlJc w:val="right"/>
      <w:pPr>
        <w:ind w:left="6431" w:hanging="180"/>
      </w:pPr>
    </w:lvl>
  </w:abstractNum>
  <w:abstractNum w:abstractNumId="42" w15:restartNumberingAfterBreak="0">
    <w:nsid w:val="79FB65E0"/>
    <w:multiLevelType w:val="multilevel"/>
    <w:tmpl w:val="A346230A"/>
    <w:styleLink w:val="Listaactual3"/>
    <w:lvl w:ilvl="0">
      <w:start w:val="166"/>
      <w:numFmt w:val="decimal"/>
      <w:lvlText w:val="%1."/>
      <w:lvlJc w:val="left"/>
      <w:pPr>
        <w:ind w:left="785" w:hanging="360"/>
      </w:pPr>
      <w:rPr>
        <w:rFonts w:hint="default"/>
        <w:b w:val="0"/>
        <w:bCs w:val="0"/>
        <w:i w:val="0"/>
        <w:iCs w:val="0"/>
        <w:sz w:val="28"/>
        <w:szCs w:val="28"/>
      </w:rPr>
    </w:lvl>
    <w:lvl w:ilvl="1">
      <w:start w:val="1"/>
      <w:numFmt w:val="decimal"/>
      <w:lvlText w:val="%1.%2."/>
      <w:lvlJc w:val="left"/>
      <w:pPr>
        <w:ind w:left="792" w:hanging="432"/>
      </w:pPr>
      <w:rPr>
        <w:rFonts w:hint="default"/>
        <w:i w:val="0"/>
        <w:iCs w:val="0"/>
      </w:rPr>
    </w:lvl>
    <w:lvl w:ilvl="2">
      <w:start w:val="1"/>
      <w:numFmt w:val="decimal"/>
      <w:lvlText w:val="%1.%2.%3."/>
      <w:lvlJc w:val="left"/>
      <w:pPr>
        <w:ind w:left="192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A043295"/>
    <w:multiLevelType w:val="multilevel"/>
    <w:tmpl w:val="6AC45818"/>
    <w:styleLink w:val="Listaactual2"/>
    <w:lvl w:ilvl="0">
      <w:start w:val="126"/>
      <w:numFmt w:val="decimal"/>
      <w:lvlText w:val="%1."/>
      <w:lvlJc w:val="left"/>
      <w:pPr>
        <w:ind w:left="785" w:hanging="360"/>
      </w:pPr>
      <w:rPr>
        <w:rFonts w:hint="default"/>
        <w:b w:val="0"/>
        <w:bCs w:val="0"/>
        <w:i w:val="0"/>
        <w:iCs w:val="0"/>
        <w:sz w:val="28"/>
        <w:szCs w:val="28"/>
      </w:rPr>
    </w:lvl>
    <w:lvl w:ilvl="1">
      <w:start w:val="1"/>
      <w:numFmt w:val="decimal"/>
      <w:lvlText w:val="%1.%2."/>
      <w:lvlJc w:val="left"/>
      <w:pPr>
        <w:ind w:left="792" w:hanging="432"/>
      </w:pPr>
      <w:rPr>
        <w:rFonts w:hint="default"/>
        <w:b w:val="0"/>
        <w:bCs/>
        <w:i w:val="0"/>
        <w:iCs w:val="0"/>
      </w:rPr>
    </w:lvl>
    <w:lvl w:ilvl="2">
      <w:start w:val="1"/>
      <w:numFmt w:val="decimal"/>
      <w:lvlText w:val="%1.%2.%3."/>
      <w:lvlJc w:val="left"/>
      <w:pPr>
        <w:ind w:left="192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39"/>
  </w:num>
  <w:num w:numId="3">
    <w:abstractNumId w:val="40"/>
  </w:num>
  <w:num w:numId="4">
    <w:abstractNumId w:val="5"/>
  </w:num>
  <w:num w:numId="5">
    <w:abstractNumId w:val="43"/>
  </w:num>
  <w:num w:numId="6">
    <w:abstractNumId w:val="42"/>
  </w:num>
  <w:num w:numId="7">
    <w:abstractNumId w:val="3"/>
  </w:num>
  <w:num w:numId="8">
    <w:abstractNumId w:val="31"/>
  </w:num>
  <w:num w:numId="9">
    <w:abstractNumId w:val="22"/>
  </w:num>
  <w:num w:numId="10">
    <w:abstractNumId w:val="21"/>
  </w:num>
  <w:num w:numId="11">
    <w:abstractNumId w:val="17"/>
  </w:num>
  <w:num w:numId="12">
    <w:abstractNumId w:val="23"/>
  </w:num>
  <w:num w:numId="13">
    <w:abstractNumId w:val="26"/>
  </w:num>
  <w:num w:numId="14">
    <w:abstractNumId w:val="19"/>
  </w:num>
  <w:num w:numId="15">
    <w:abstractNumId w:val="15"/>
  </w:num>
  <w:num w:numId="16">
    <w:abstractNumId w:val="37"/>
  </w:num>
  <w:num w:numId="17">
    <w:abstractNumId w:val="30"/>
  </w:num>
  <w:num w:numId="18">
    <w:abstractNumId w:val="9"/>
  </w:num>
  <w:num w:numId="19">
    <w:abstractNumId w:val="2"/>
  </w:num>
  <w:num w:numId="20">
    <w:abstractNumId w:val="1"/>
  </w:num>
  <w:num w:numId="21">
    <w:abstractNumId w:val="36"/>
  </w:num>
  <w:num w:numId="22">
    <w:abstractNumId w:val="6"/>
  </w:num>
  <w:num w:numId="23">
    <w:abstractNumId w:val="18"/>
  </w:num>
  <w:num w:numId="24">
    <w:abstractNumId w:val="38"/>
  </w:num>
  <w:num w:numId="25">
    <w:abstractNumId w:val="28"/>
  </w:num>
  <w:num w:numId="26">
    <w:abstractNumId w:val="14"/>
  </w:num>
  <w:num w:numId="27">
    <w:abstractNumId w:val="4"/>
  </w:num>
  <w:num w:numId="28">
    <w:abstractNumId w:val="32"/>
  </w:num>
  <w:num w:numId="29">
    <w:abstractNumId w:val="0"/>
  </w:num>
  <w:num w:numId="30">
    <w:abstractNumId w:val="41"/>
  </w:num>
  <w:num w:numId="31">
    <w:abstractNumId w:val="16"/>
  </w:num>
  <w:num w:numId="32">
    <w:abstractNumId w:val="25"/>
  </w:num>
  <w:num w:numId="33">
    <w:abstractNumId w:val="29"/>
  </w:num>
  <w:num w:numId="34">
    <w:abstractNumId w:val="34"/>
  </w:num>
  <w:num w:numId="35">
    <w:abstractNumId w:val="24"/>
  </w:num>
  <w:num w:numId="36">
    <w:abstractNumId w:val="27"/>
  </w:num>
  <w:num w:numId="37">
    <w:abstractNumId w:val="33"/>
  </w:num>
  <w:num w:numId="38">
    <w:abstractNumId w:val="12"/>
  </w:num>
  <w:num w:numId="39">
    <w:abstractNumId w:val="13"/>
  </w:num>
  <w:num w:numId="40">
    <w:abstractNumId w:val="20"/>
  </w:num>
  <w:num w:numId="41">
    <w:abstractNumId w:val="7"/>
  </w:num>
  <w:num w:numId="42">
    <w:abstractNumId w:val="35"/>
  </w:num>
  <w:num w:numId="43">
    <w:abstractNumId w:val="11"/>
  </w:num>
  <w:num w:numId="44">
    <w:abstractNumId w:val="35"/>
  </w:num>
  <w:num w:numId="45">
    <w:abstractNumId w:val="11"/>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627"/>
    <w:rsid w:val="00362627"/>
    <w:rsid w:val="003E425B"/>
    <w:rsid w:val="00D7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DDB8B287-CA40-4A44-B478-7658E7B6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B612E"/>
    <w:pPr>
      <w:keepNext/>
      <w:keepLines/>
      <w:spacing w:before="240"/>
      <w:outlineLvl w:val="0"/>
    </w:pPr>
    <w:rPr>
      <w:rFonts w:eastAsiaTheme="majorEastAsia" w:cstheme="majorBidi"/>
      <w:b/>
      <w:color w:val="000000" w:themeColor="text1"/>
      <w:szCs w:val="32"/>
    </w:rPr>
  </w:style>
  <w:style w:type="paragraph" w:styleId="Ttulo2">
    <w:name w:val="heading 2"/>
    <w:aliases w:val="FNCER 1"/>
    <w:basedOn w:val="Normal"/>
    <w:next w:val="Normal"/>
    <w:link w:val="Ttulo2Car"/>
    <w:uiPriority w:val="9"/>
    <w:unhideWhenUsed/>
    <w:qFormat/>
    <w:rsid w:val="0060054B"/>
    <w:pPr>
      <w:keepNext/>
      <w:keepLines/>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FD5E02"/>
    <w:pPr>
      <w:keepNext/>
      <w:keepLines/>
      <w:spacing w:before="40"/>
      <w:outlineLvl w:val="2"/>
    </w:pPr>
    <w:rPr>
      <w:rFonts w:eastAsiaTheme="majorEastAsia" w:cstheme="majorBidi"/>
      <w:b/>
      <w:color w:val="000000" w:themeColor="text1"/>
      <w:szCs w:val="24"/>
    </w:rPr>
  </w:style>
  <w:style w:type="paragraph" w:styleId="Ttulo4">
    <w:name w:val="heading 4"/>
    <w:basedOn w:val="Normal"/>
    <w:next w:val="Normal"/>
    <w:link w:val="Ttulo4Car"/>
    <w:uiPriority w:val="9"/>
    <w:unhideWhenUsed/>
    <w:qFormat/>
    <w:rsid w:val="00422809"/>
    <w:pPr>
      <w:keepNext/>
      <w:keepLines/>
      <w:spacing w:before="40"/>
      <w:outlineLvl w:val="3"/>
    </w:pPr>
    <w:rPr>
      <w:rFonts w:eastAsiaTheme="majorEastAsia" w:cstheme="majorBidi"/>
      <w:b/>
      <w:iCs/>
    </w:rPr>
  </w:style>
  <w:style w:type="paragraph" w:styleId="Ttulo5">
    <w:name w:val="heading 5"/>
    <w:basedOn w:val="Normal"/>
    <w:next w:val="Normal"/>
    <w:link w:val="Ttulo5Car"/>
    <w:uiPriority w:val="9"/>
    <w:unhideWhenUsed/>
    <w:qFormat/>
    <w:rsid w:val="00A82B1E"/>
    <w:pPr>
      <w:keepNext/>
      <w:keepLines/>
      <w:spacing w:before="40"/>
      <w:ind w:left="708"/>
      <w:outlineLvl w:val="4"/>
    </w:pPr>
    <w:rPr>
      <w:rFonts w:eastAsiaTheme="majorEastAsia" w:cstheme="majorBidi"/>
      <w:b/>
    </w:rPr>
  </w:style>
  <w:style w:type="paragraph" w:styleId="Ttulo6">
    <w:name w:val="heading 6"/>
    <w:basedOn w:val="Normal"/>
    <w:next w:val="Normal"/>
    <w:link w:val="Ttulo6Car"/>
    <w:uiPriority w:val="9"/>
    <w:unhideWhenUsed/>
    <w:qFormat/>
    <w:rsid w:val="0012509E"/>
    <w:pPr>
      <w:keepNext/>
      <w:keepLines/>
      <w:outlineLvl w:val="5"/>
    </w:pPr>
    <w:rPr>
      <w:rFonts w:eastAsiaTheme="majorEastAsia" w:cstheme="majorBidi"/>
      <w:b/>
    </w:rPr>
  </w:style>
  <w:style w:type="paragraph" w:styleId="Ttulo7">
    <w:name w:val="heading 7"/>
    <w:basedOn w:val="Normal"/>
    <w:next w:val="Normal"/>
    <w:link w:val="Ttulo7Car"/>
    <w:uiPriority w:val="9"/>
    <w:unhideWhenUsed/>
    <w:qFormat/>
    <w:rsid w:val="006E655D"/>
    <w:pPr>
      <w:keepNext/>
      <w:keepLines/>
      <w:outlineLvl w:val="6"/>
    </w:pPr>
    <w:rPr>
      <w:rFonts w:eastAsiaTheme="majorEastAsia" w:cstheme="majorBidi"/>
      <w:b/>
      <w:iCs/>
      <w:color w:val="000000" w:themeColor="text1"/>
    </w:rPr>
  </w:style>
  <w:style w:type="paragraph" w:styleId="Ttulo8">
    <w:name w:val="heading 8"/>
    <w:basedOn w:val="Normal"/>
    <w:next w:val="Normal"/>
    <w:link w:val="Ttulo8Car"/>
    <w:uiPriority w:val="9"/>
    <w:unhideWhenUsed/>
    <w:qFormat/>
    <w:rsid w:val="006C10B0"/>
    <w:pPr>
      <w:keepNext/>
      <w:keepLines/>
      <w:outlineLvl w:val="7"/>
    </w:pPr>
    <w:rPr>
      <w:rFonts w:eastAsiaTheme="majorEastAsia" w:cstheme="majorBidi"/>
      <w:b/>
      <w:color w:val="272727" w:themeColor="text1" w:themeTint="D8"/>
      <w:szCs w:val="21"/>
    </w:rPr>
  </w:style>
  <w:style w:type="paragraph" w:styleId="Ttulo9">
    <w:name w:val="heading 9"/>
    <w:basedOn w:val="Normal"/>
    <w:next w:val="Normal"/>
    <w:link w:val="Ttulo9Car"/>
    <w:uiPriority w:val="9"/>
    <w:unhideWhenUsed/>
    <w:qFormat/>
    <w:rsid w:val="005A4426"/>
    <w:pPr>
      <w:keepNext/>
      <w:keepLines/>
      <w:outlineLvl w:val="8"/>
    </w:pPr>
    <w:rPr>
      <w:rFonts w:eastAsiaTheme="majorEastAsia" w:cstheme="majorBidi"/>
      <w:b/>
      <w:iCs/>
      <w:color w:val="272727" w:themeColor="text1" w:themeTint="D8"/>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612E"/>
    <w:rPr>
      <w:rFonts w:ascii="Times New Roman" w:eastAsiaTheme="majorEastAsia" w:hAnsi="Times New Roman" w:cstheme="majorBidi"/>
      <w:b/>
      <w:color w:val="000000" w:themeColor="text1"/>
      <w:sz w:val="28"/>
      <w:szCs w:val="32"/>
    </w:rPr>
  </w:style>
  <w:style w:type="character" w:customStyle="1" w:styleId="Ttulo2Car">
    <w:name w:val="Título 2 Car"/>
    <w:aliases w:val="FNCER 1 Car"/>
    <w:basedOn w:val="Fuentedeprrafopredeter"/>
    <w:link w:val="Ttulo2"/>
    <w:uiPriority w:val="9"/>
    <w:rsid w:val="0060054B"/>
    <w:rPr>
      <w:rFonts w:ascii="Times New Roman" w:eastAsiaTheme="majorEastAsia" w:hAnsi="Times New Roman" w:cstheme="majorBidi"/>
      <w:b/>
      <w:sz w:val="28"/>
      <w:szCs w:val="26"/>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locked/>
    <w:rsid w:val="00E5257C"/>
    <w:rPr>
      <w:rFonts w:ascii="Times New Roman" w:eastAsia="Arial" w:hAnsi="Times New Roman" w:cs="Arial"/>
      <w:color w:val="000000"/>
      <w:sz w:val="20"/>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notentext,ft"/>
    <w:basedOn w:val="Normal"/>
    <w:link w:val="TextonotapieCar"/>
    <w:uiPriority w:val="99"/>
    <w:unhideWhenUsed/>
    <w:qFormat/>
    <w:rsid w:val="00E5257C"/>
    <w:rPr>
      <w:rFonts w:eastAsia="Arial" w:cs="Arial"/>
      <w:color w:val="000000"/>
      <w:sz w:val="20"/>
    </w:rPr>
  </w:style>
  <w:style w:type="character" w:customStyle="1" w:styleId="TextonotapieCar1">
    <w:name w:val="Texto nota pie Car1"/>
    <w:aliases w:val="Ref. de nota al pie1 Car1,Texto de nota al pie Car1,referencia nota al pie Car1,Footnotes refss Car,Appel note de bas de page Car,Fago Fußnotenzeichen Car,Footnote number Car,BVI fnr Car,f Car,4_G Car,16 Point Car,F Car,FC Car,ft Car"/>
    <w:basedOn w:val="Fuentedeprrafopredeter"/>
    <w:uiPriority w:val="99"/>
    <w:qFormat/>
    <w:rsid w:val="001A73CA"/>
    <w:rPr>
      <w:sz w:val="20"/>
      <w:szCs w:val="20"/>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1A73CA"/>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1A73CA"/>
    <w:rPr>
      <w:vertAlign w:val="superscript"/>
    </w:rPr>
  </w:style>
  <w:style w:type="paragraph" w:styleId="Encabezado">
    <w:name w:val="header"/>
    <w:basedOn w:val="Normal"/>
    <w:link w:val="EncabezadoCar"/>
    <w:uiPriority w:val="99"/>
    <w:unhideWhenUsed/>
    <w:rsid w:val="001A73CA"/>
    <w:pPr>
      <w:tabs>
        <w:tab w:val="center" w:pos="4419"/>
        <w:tab w:val="right" w:pos="8838"/>
      </w:tabs>
    </w:pPr>
    <w:rPr>
      <w:rFonts w:eastAsia="Calibri" w:cs="Times New Roman"/>
      <w:color w:val="000000"/>
      <w:szCs w:val="28"/>
    </w:rPr>
  </w:style>
  <w:style w:type="character" w:customStyle="1" w:styleId="EncabezadoCar">
    <w:name w:val="Encabezado Car"/>
    <w:basedOn w:val="Fuentedeprrafopredeter"/>
    <w:link w:val="Encabezado"/>
    <w:uiPriority w:val="99"/>
    <w:rsid w:val="001A73CA"/>
    <w:rPr>
      <w:rFonts w:ascii="Times New Roman" w:eastAsia="Calibri" w:hAnsi="Times New Roman" w:cs="Times New Roman"/>
      <w:color w:val="000000"/>
      <w:sz w:val="28"/>
      <w:szCs w:val="28"/>
    </w:rPr>
  </w:style>
  <w:style w:type="paragraph" w:styleId="Piedepgina">
    <w:name w:val="footer"/>
    <w:basedOn w:val="Normal"/>
    <w:link w:val="PiedepginaCar"/>
    <w:uiPriority w:val="99"/>
    <w:unhideWhenUsed/>
    <w:rsid w:val="001A73CA"/>
    <w:pPr>
      <w:tabs>
        <w:tab w:val="center" w:pos="4419"/>
        <w:tab w:val="right" w:pos="8838"/>
      </w:tabs>
    </w:pPr>
    <w:rPr>
      <w:rFonts w:eastAsia="Calibri" w:cs="Times New Roman"/>
      <w:color w:val="000000"/>
      <w:szCs w:val="28"/>
    </w:rPr>
  </w:style>
  <w:style w:type="character" w:customStyle="1" w:styleId="PiedepginaCar">
    <w:name w:val="Pie de página Car"/>
    <w:basedOn w:val="Fuentedeprrafopredeter"/>
    <w:link w:val="Piedepgina"/>
    <w:uiPriority w:val="99"/>
    <w:rsid w:val="001A73CA"/>
    <w:rPr>
      <w:rFonts w:ascii="Times New Roman" w:eastAsia="Calibri" w:hAnsi="Times New Roman" w:cs="Times New Roman"/>
      <w:color w:val="000000"/>
      <w:sz w:val="28"/>
      <w:szCs w:val="28"/>
    </w:rPr>
  </w:style>
  <w:style w:type="paragraph" w:styleId="Textodeglobo">
    <w:name w:val="Balloon Text"/>
    <w:basedOn w:val="Normal"/>
    <w:link w:val="TextodegloboCar"/>
    <w:uiPriority w:val="99"/>
    <w:semiHidden/>
    <w:unhideWhenUsed/>
    <w:rsid w:val="001A73CA"/>
    <w:rPr>
      <w:rFonts w:ascii="Segoe UI" w:eastAsia="Calibri" w:hAnsi="Segoe UI" w:cs="Segoe UI"/>
      <w:color w:val="000000"/>
      <w:sz w:val="18"/>
      <w:szCs w:val="18"/>
    </w:rPr>
  </w:style>
  <w:style w:type="character" w:customStyle="1" w:styleId="TextodegloboCar">
    <w:name w:val="Texto de globo Car"/>
    <w:basedOn w:val="Fuentedeprrafopredeter"/>
    <w:link w:val="Textodeglobo"/>
    <w:uiPriority w:val="99"/>
    <w:semiHidden/>
    <w:rsid w:val="001A73CA"/>
    <w:rPr>
      <w:rFonts w:ascii="Segoe UI" w:eastAsia="Calibri" w:hAnsi="Segoe UI" w:cs="Segoe UI"/>
      <w:color w:val="000000"/>
      <w:sz w:val="18"/>
      <w:szCs w:val="18"/>
    </w:rPr>
  </w:style>
  <w:style w:type="paragraph" w:styleId="Prrafodelista">
    <w:name w:val="List Paragraph"/>
    <w:aliases w:val="Footnote,Colorful List - Accent 11,List Paragraph2,List Paragraph1,Ha,lp1,Párrafo,Numbered Paragraph,Bullets,titulo 3,BOLADEF,BOLA,Párrafo de lista21,Guión,Titulo 8,HOJA,Chulito,Párrafo de lista3,MIBEX B,TITULO1REQ,Párrafo de lista31"/>
    <w:basedOn w:val="Normal"/>
    <w:link w:val="PrrafodelistaCar"/>
    <w:uiPriority w:val="34"/>
    <w:qFormat/>
    <w:rsid w:val="001A73CA"/>
    <w:pPr>
      <w:spacing w:line="276" w:lineRule="auto"/>
      <w:ind w:left="720"/>
      <w:contextualSpacing/>
    </w:pPr>
    <w:rPr>
      <w:rFonts w:eastAsia="Calibri" w:cs="Times New Roman"/>
      <w:color w:val="000000"/>
      <w:szCs w:val="28"/>
    </w:rPr>
  </w:style>
  <w:style w:type="character" w:styleId="Refdecomentario">
    <w:name w:val="annotation reference"/>
    <w:basedOn w:val="Fuentedeprrafopredeter"/>
    <w:uiPriority w:val="99"/>
    <w:semiHidden/>
    <w:unhideWhenUsed/>
    <w:rsid w:val="001A73CA"/>
    <w:rPr>
      <w:sz w:val="16"/>
      <w:szCs w:val="16"/>
    </w:rPr>
  </w:style>
  <w:style w:type="paragraph" w:styleId="Textocomentario">
    <w:name w:val="annotation text"/>
    <w:basedOn w:val="Normal"/>
    <w:link w:val="TextocomentarioCar"/>
    <w:uiPriority w:val="99"/>
    <w:unhideWhenUsed/>
    <w:rsid w:val="001A73CA"/>
    <w:rPr>
      <w:rFonts w:eastAsia="Calibri" w:cs="Times New Roman"/>
      <w:color w:val="000000"/>
      <w:sz w:val="20"/>
      <w:szCs w:val="20"/>
    </w:rPr>
  </w:style>
  <w:style w:type="character" w:customStyle="1" w:styleId="TextocomentarioCar">
    <w:name w:val="Texto comentario Car"/>
    <w:basedOn w:val="Fuentedeprrafopredeter"/>
    <w:link w:val="Textocomentario"/>
    <w:uiPriority w:val="99"/>
    <w:rsid w:val="001A73CA"/>
    <w:rPr>
      <w:rFonts w:ascii="Times New Roman" w:eastAsia="Calibri" w:hAnsi="Times New Roman"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1A73CA"/>
    <w:rPr>
      <w:b/>
      <w:bCs/>
    </w:rPr>
  </w:style>
  <w:style w:type="character" w:customStyle="1" w:styleId="AsuntodelcomentarioCar">
    <w:name w:val="Asunto del comentario Car"/>
    <w:basedOn w:val="TextocomentarioCar"/>
    <w:link w:val="Asuntodelcomentario"/>
    <w:uiPriority w:val="99"/>
    <w:semiHidden/>
    <w:rsid w:val="001A73CA"/>
    <w:rPr>
      <w:rFonts w:ascii="Times New Roman" w:eastAsia="Calibri" w:hAnsi="Times New Roman" w:cs="Times New Roman"/>
      <w:b/>
      <w:bCs/>
      <w:color w:val="000000"/>
      <w:sz w:val="20"/>
      <w:szCs w:val="20"/>
    </w:rPr>
  </w:style>
  <w:style w:type="paragraph" w:styleId="NormalWeb">
    <w:name w:val="Normal (Web)"/>
    <w:basedOn w:val="Normal"/>
    <w:uiPriority w:val="99"/>
    <w:unhideWhenUsed/>
    <w:rsid w:val="001A73CA"/>
    <w:pPr>
      <w:spacing w:before="100" w:beforeAutospacing="1" w:after="100" w:afterAutospacing="1"/>
    </w:pPr>
    <w:rPr>
      <w:rFonts w:eastAsia="Times New Roman" w:cs="Times New Roman"/>
      <w:sz w:val="24"/>
      <w:szCs w:val="24"/>
    </w:rPr>
  </w:style>
  <w:style w:type="paragraph" w:styleId="Sinespaciado">
    <w:name w:val="No Spacing"/>
    <w:aliases w:val="CAPITULO I"/>
    <w:link w:val="SinespaciadoCar"/>
    <w:uiPriority w:val="1"/>
    <w:qFormat/>
    <w:rsid w:val="001A73CA"/>
    <w:pPr>
      <w:spacing w:after="0" w:line="240" w:lineRule="auto"/>
    </w:pPr>
    <w:rPr>
      <w:rFonts w:ascii="Times New Roman" w:eastAsia="Calibri" w:hAnsi="Times New Roman" w:cs="Times New Roman"/>
      <w:color w:val="000000"/>
      <w:sz w:val="28"/>
      <w:szCs w:val="28"/>
    </w:rPr>
  </w:style>
  <w:style w:type="character" w:styleId="Hipervnculo">
    <w:name w:val="Hyperlink"/>
    <w:basedOn w:val="Fuentedeprrafopredeter"/>
    <w:uiPriority w:val="99"/>
    <w:unhideWhenUsed/>
    <w:rsid w:val="001A73CA"/>
    <w:rPr>
      <w:color w:val="0000FF"/>
      <w:u w:val="single"/>
    </w:rPr>
  </w:style>
  <w:style w:type="character" w:customStyle="1" w:styleId="iaj">
    <w:name w:val="i_aj"/>
    <w:basedOn w:val="Fuentedeprrafopredeter"/>
    <w:rsid w:val="001A73CA"/>
  </w:style>
  <w:style w:type="character" w:styleId="Textoennegrita">
    <w:name w:val="Strong"/>
    <w:basedOn w:val="Fuentedeprrafopredeter"/>
    <w:uiPriority w:val="22"/>
    <w:qFormat/>
    <w:rsid w:val="001A73CA"/>
    <w:rPr>
      <w:b/>
      <w:bCs/>
    </w:rPr>
  </w:style>
  <w:style w:type="table" w:styleId="Tablaconcuadrcula">
    <w:name w:val="Table Grid"/>
    <w:basedOn w:val="Tablanormal"/>
    <w:uiPriority w:val="39"/>
    <w:rsid w:val="001A7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1A7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1A73CA"/>
    <w:rPr>
      <w:i/>
      <w:iCs/>
      <w:color w:val="5B9BD5" w:themeColor="accent1"/>
    </w:rPr>
  </w:style>
  <w:style w:type="paragraph" w:styleId="Revisin">
    <w:name w:val="Revision"/>
    <w:hidden/>
    <w:uiPriority w:val="99"/>
    <w:semiHidden/>
    <w:rsid w:val="001A73CA"/>
    <w:pPr>
      <w:spacing w:after="0" w:line="240" w:lineRule="auto"/>
    </w:pPr>
  </w:style>
  <w:style w:type="character" w:styleId="Textodelmarcadordeposicin">
    <w:name w:val="Placeholder Text"/>
    <w:basedOn w:val="Fuentedeprrafopredeter"/>
    <w:uiPriority w:val="99"/>
    <w:semiHidden/>
    <w:rsid w:val="001A73CA"/>
    <w:rPr>
      <w:color w:val="808080"/>
    </w:rPr>
  </w:style>
  <w:style w:type="paragraph" w:styleId="Textoindependiente">
    <w:name w:val="Body Text"/>
    <w:basedOn w:val="Normal"/>
    <w:link w:val="TextoindependienteCar"/>
    <w:uiPriority w:val="99"/>
    <w:semiHidden/>
    <w:rsid w:val="001A73CA"/>
    <w:pPr>
      <w:spacing w:after="120"/>
    </w:pPr>
    <w:rPr>
      <w:rFonts w:eastAsia="Times New Roman" w:cs="Times New Roman"/>
      <w:position w:val="6"/>
      <w:szCs w:val="28"/>
      <w:lang w:eastAsia="es-ES"/>
    </w:rPr>
  </w:style>
  <w:style w:type="character" w:customStyle="1" w:styleId="TextoindependienteCar">
    <w:name w:val="Texto independiente Car"/>
    <w:basedOn w:val="Fuentedeprrafopredeter"/>
    <w:link w:val="Textoindependiente"/>
    <w:uiPriority w:val="99"/>
    <w:semiHidden/>
    <w:rsid w:val="001A73CA"/>
    <w:rPr>
      <w:rFonts w:ascii="Times New Roman" w:eastAsia="Times New Roman" w:hAnsi="Times New Roman" w:cs="Times New Roman"/>
      <w:position w:val="6"/>
      <w:sz w:val="28"/>
      <w:szCs w:val="28"/>
      <w:lang w:eastAsia="es-ES"/>
    </w:rPr>
  </w:style>
  <w:style w:type="character" w:customStyle="1" w:styleId="apple-style-span">
    <w:name w:val="apple-style-span"/>
    <w:uiPriority w:val="99"/>
    <w:rsid w:val="001A73CA"/>
    <w:rPr>
      <w:rFonts w:eastAsia="Times New Roman"/>
      <w:lang w:val="es-CO" w:eastAsia="es-CO"/>
    </w:rPr>
  </w:style>
  <w:style w:type="character" w:customStyle="1" w:styleId="Ref">
    <w:name w:val="Ref"/>
    <w:aliases w:val="de nota al pie"/>
    <w:rsid w:val="001A73CA"/>
    <w:rPr>
      <w:vertAlign w:val="superscript"/>
    </w:rPr>
  </w:style>
  <w:style w:type="character" w:customStyle="1" w:styleId="iaj0">
    <w:name w:val="iaj"/>
    <w:basedOn w:val="Fuentedeprrafopredeter"/>
    <w:rsid w:val="001A73CA"/>
  </w:style>
  <w:style w:type="character" w:customStyle="1" w:styleId="PrrafodelistaCar">
    <w:name w:val="Párrafo de lista Car"/>
    <w:aliases w:val="Footnote Car,Colorful List - Accent 11 Car,List Paragraph2 Car,List Paragraph1 Car,Ha Car,lp1 Car,Párrafo Car,Numbered Paragraph Car,Bullets Car,titulo 3 Car,BOLADEF Car,BOLA Car,Párrafo de lista21 Car,Guión Car,Titulo 8 Car"/>
    <w:link w:val="Prrafodelista"/>
    <w:uiPriority w:val="34"/>
    <w:qFormat/>
    <w:locked/>
    <w:rsid w:val="001A73CA"/>
    <w:rPr>
      <w:rFonts w:ascii="Times New Roman" w:eastAsia="Calibri" w:hAnsi="Times New Roman" w:cs="Times New Roman"/>
      <w:color w:val="000000"/>
      <w:sz w:val="28"/>
      <w:szCs w:val="28"/>
    </w:rPr>
  </w:style>
  <w:style w:type="character" w:customStyle="1" w:styleId="apple-converted-space">
    <w:name w:val="apple-converted-space"/>
    <w:basedOn w:val="Fuentedeprrafopredeter"/>
    <w:rsid w:val="001A73CA"/>
  </w:style>
  <w:style w:type="paragraph" w:customStyle="1" w:styleId="Piedepagina">
    <w:name w:val="Pie de pagina"/>
    <w:aliases w:val="Ref. de nota al pie2"/>
    <w:basedOn w:val="Normal"/>
    <w:uiPriority w:val="99"/>
    <w:qFormat/>
    <w:rsid w:val="00EF731B"/>
    <w:pPr>
      <w:spacing w:line="240" w:lineRule="exact"/>
    </w:pPr>
    <w:rPr>
      <w:vertAlign w:val="superscript"/>
    </w:rPr>
  </w:style>
  <w:style w:type="character" w:customStyle="1" w:styleId="SinespaciadoCar">
    <w:name w:val="Sin espaciado Car"/>
    <w:aliases w:val="CAPITULO I Car"/>
    <w:basedOn w:val="Fuentedeprrafopredeter"/>
    <w:link w:val="Sinespaciado"/>
    <w:uiPriority w:val="1"/>
    <w:locked/>
    <w:rsid w:val="00EF731B"/>
    <w:rPr>
      <w:rFonts w:ascii="Times New Roman" w:eastAsia="Calibri" w:hAnsi="Times New Roman" w:cs="Times New Roman"/>
      <w:color w:val="000000"/>
      <w:sz w:val="28"/>
      <w:szCs w:val="28"/>
    </w:rPr>
  </w:style>
  <w:style w:type="paragraph" w:customStyle="1" w:styleId="Sinespaciado1">
    <w:name w:val="Sin espaciado1"/>
    <w:link w:val="NoSpacingChar"/>
    <w:rsid w:val="00EF731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F731B"/>
    <w:rPr>
      <w:rFonts w:ascii="Times New Roman" w:eastAsia="Times New Roman" w:hAnsi="Times New Roman" w:cs="Times New Roman"/>
      <w:sz w:val="24"/>
      <w:szCs w:val="24"/>
      <w:lang w:eastAsia="es-ES"/>
    </w:rPr>
  </w:style>
  <w:style w:type="character" w:customStyle="1" w:styleId="FontStyle21">
    <w:name w:val="Font Style21"/>
    <w:uiPriority w:val="99"/>
    <w:rsid w:val="00EF731B"/>
    <w:rPr>
      <w:rFonts w:ascii="Times New Roman" w:hAnsi="Times New Roman" w:cs="Times New Roman"/>
      <w:sz w:val="26"/>
      <w:szCs w:val="26"/>
    </w:rPr>
  </w:style>
  <w:style w:type="paragraph" w:customStyle="1" w:styleId="Style4">
    <w:name w:val="Style4"/>
    <w:basedOn w:val="Normal"/>
    <w:uiPriority w:val="99"/>
    <w:rsid w:val="00EF731B"/>
    <w:pPr>
      <w:widowControl w:val="0"/>
      <w:autoSpaceDE w:val="0"/>
      <w:autoSpaceDN w:val="0"/>
      <w:adjustRightInd w:val="0"/>
      <w:spacing w:line="360" w:lineRule="exact"/>
    </w:pPr>
    <w:rPr>
      <w:rFonts w:eastAsia="MS Mincho" w:cs="Times New Roman"/>
      <w:sz w:val="24"/>
      <w:szCs w:val="24"/>
      <w:u w:color="000000"/>
      <w:lang w:val="es-ES" w:eastAsia="es-ES"/>
    </w:rPr>
  </w:style>
  <w:style w:type="paragraph" w:styleId="Textonotaalfinal">
    <w:name w:val="endnote text"/>
    <w:basedOn w:val="Normal"/>
    <w:link w:val="TextonotaalfinalCar"/>
    <w:uiPriority w:val="99"/>
    <w:semiHidden/>
    <w:unhideWhenUsed/>
    <w:rsid w:val="00453094"/>
    <w:rPr>
      <w:sz w:val="20"/>
      <w:szCs w:val="20"/>
    </w:rPr>
  </w:style>
  <w:style w:type="character" w:customStyle="1" w:styleId="TextonotaalfinalCar">
    <w:name w:val="Texto nota al final Car"/>
    <w:basedOn w:val="Fuentedeprrafopredeter"/>
    <w:link w:val="Textonotaalfinal"/>
    <w:uiPriority w:val="99"/>
    <w:semiHidden/>
    <w:rsid w:val="00453094"/>
    <w:rPr>
      <w:sz w:val="20"/>
      <w:szCs w:val="20"/>
    </w:rPr>
  </w:style>
  <w:style w:type="character" w:styleId="Refdenotaalfinal">
    <w:name w:val="endnote reference"/>
    <w:basedOn w:val="Fuentedeprrafopredeter"/>
    <w:uiPriority w:val="99"/>
    <w:semiHidden/>
    <w:unhideWhenUsed/>
    <w:rsid w:val="00453094"/>
    <w:rPr>
      <w:vertAlign w:val="superscript"/>
    </w:rPr>
  </w:style>
  <w:style w:type="character" w:customStyle="1" w:styleId="Mencinsinresolver1">
    <w:name w:val="Mención sin resolver1"/>
    <w:basedOn w:val="Fuentedeprrafopredeter"/>
    <w:uiPriority w:val="99"/>
    <w:semiHidden/>
    <w:unhideWhenUsed/>
    <w:rsid w:val="00501CA8"/>
    <w:rPr>
      <w:color w:val="605E5C"/>
      <w:shd w:val="clear" w:color="auto" w:fill="E1DFDD"/>
    </w:rPr>
  </w:style>
  <w:style w:type="paragraph" w:customStyle="1" w:styleId="Normal1">
    <w:name w:val="Normal1"/>
    <w:rsid w:val="00E14CB8"/>
    <w:rPr>
      <w:rFonts w:ascii="Calibri" w:eastAsia="Times New Roman" w:hAnsi="Calibri" w:cs="Calibri"/>
      <w:color w:val="000000"/>
      <w:lang w:val="es-ES" w:eastAsia="es-ES"/>
    </w:rPr>
  </w:style>
  <w:style w:type="paragraph" w:customStyle="1" w:styleId="Default">
    <w:name w:val="Default"/>
    <w:rsid w:val="00544643"/>
    <w:pPr>
      <w:autoSpaceDE w:val="0"/>
      <w:autoSpaceDN w:val="0"/>
      <w:adjustRightInd w:val="0"/>
      <w:spacing w:after="0" w:line="240" w:lineRule="auto"/>
    </w:pPr>
    <w:rPr>
      <w:rFonts w:ascii="Arial" w:hAnsi="Arial" w:cs="Arial"/>
      <w:color w:val="000000"/>
      <w:sz w:val="24"/>
      <w:szCs w:val="24"/>
    </w:rPr>
  </w:style>
  <w:style w:type="table" w:customStyle="1" w:styleId="Tablaconcuadrcula4">
    <w:name w:val="Tabla con cuadrícula4"/>
    <w:basedOn w:val="Tablanormal"/>
    <w:next w:val="Tablaconcuadrcula"/>
    <w:uiPriority w:val="59"/>
    <w:rsid w:val="00735C93"/>
    <w:pPr>
      <w:spacing w:after="0" w:line="240" w:lineRule="auto"/>
    </w:pPr>
    <w:rPr>
      <w:rFonts w:ascii="Calibri" w:eastAsia="Times New Roman"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FD5E02"/>
    <w:rPr>
      <w:rFonts w:ascii="Times New Roman" w:eastAsiaTheme="majorEastAsia" w:hAnsi="Times New Roman" w:cstheme="majorBidi"/>
      <w:b/>
      <w:color w:val="000000" w:themeColor="text1"/>
      <w:sz w:val="28"/>
      <w:szCs w:val="24"/>
    </w:rPr>
  </w:style>
  <w:style w:type="paragraph" w:customStyle="1" w:styleId="Listamedia2-nfasis41">
    <w:name w:val="Lista media 2 - Énfasis 41"/>
    <w:basedOn w:val="Normal"/>
    <w:uiPriority w:val="34"/>
    <w:qFormat/>
    <w:rsid w:val="003F37B0"/>
    <w:pPr>
      <w:shd w:val="clear" w:color="auto" w:fill="FFFFFF"/>
      <w:ind w:left="720"/>
      <w:contextualSpacing/>
      <w:textAlignment w:val="baseline"/>
    </w:pPr>
    <w:rPr>
      <w:rFonts w:eastAsia="Times New Roman" w:cs="Times New Roman"/>
      <w:color w:val="000000" w:themeColor="text1"/>
      <w:szCs w:val="28"/>
      <w:lang w:val="pt-BR" w:eastAsia="pt-BR"/>
    </w:rPr>
  </w:style>
  <w:style w:type="table" w:customStyle="1" w:styleId="Tablaconcuadrcula2">
    <w:name w:val="Tabla con cuadrícula2"/>
    <w:basedOn w:val="Tablanormal"/>
    <w:next w:val="Tablaconcuadrcula"/>
    <w:uiPriority w:val="39"/>
    <w:rsid w:val="00756351"/>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56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422809"/>
    <w:rPr>
      <w:rFonts w:ascii="Times New Roman" w:eastAsiaTheme="majorEastAsia" w:hAnsi="Times New Roman" w:cstheme="majorBidi"/>
      <w:b/>
      <w:iCs/>
      <w:sz w:val="28"/>
    </w:rPr>
  </w:style>
  <w:style w:type="table" w:customStyle="1" w:styleId="Tablaconcuadrcula15">
    <w:name w:val="Tabla con cuadrícula15"/>
    <w:basedOn w:val="Tablanormal"/>
    <w:next w:val="Tablaconcuadrcula"/>
    <w:uiPriority w:val="39"/>
    <w:rsid w:val="00404DA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A82B1E"/>
    <w:rPr>
      <w:rFonts w:ascii="Times New Roman" w:eastAsiaTheme="majorEastAsia" w:hAnsi="Times New Roman" w:cstheme="majorBidi"/>
      <w:b/>
      <w:sz w:val="28"/>
    </w:rPr>
  </w:style>
  <w:style w:type="paragraph" w:customStyle="1" w:styleId="Cuerpo">
    <w:name w:val="Cuerpo"/>
    <w:rsid w:val="000250F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8"/>
      <w:szCs w:val="28"/>
      <w:u w:color="000000"/>
      <w:bdr w:val="nil"/>
    </w:rPr>
  </w:style>
  <w:style w:type="paragraph" w:styleId="Lista">
    <w:name w:val="List"/>
    <w:basedOn w:val="Normal"/>
    <w:unhideWhenUsed/>
    <w:rsid w:val="00533BFE"/>
    <w:pPr>
      <w:spacing w:after="200" w:line="276" w:lineRule="auto"/>
      <w:ind w:left="283" w:hanging="283"/>
      <w:contextualSpacing/>
    </w:pPr>
    <w:rPr>
      <w:rFonts w:eastAsia="Times New Roman" w:cs="Times New Roman"/>
      <w:szCs w:val="24"/>
    </w:rPr>
  </w:style>
  <w:style w:type="paragraph" w:customStyle="1" w:styleId="Sombreadomedio1-nfasis11">
    <w:name w:val="Sombreado medio 1 - Énfasis 11"/>
    <w:uiPriority w:val="1"/>
    <w:rsid w:val="00533BFE"/>
    <w:pPr>
      <w:spacing w:after="0" w:line="240" w:lineRule="auto"/>
    </w:pPr>
    <w:rPr>
      <w:rFonts w:ascii="Calibri" w:eastAsia="Times New Roman" w:hAnsi="Calibri" w:cs="Calibri"/>
      <w:color w:val="000000"/>
      <w:lang w:val="es-ES_tradnl" w:eastAsia="es-ES"/>
    </w:rPr>
  </w:style>
  <w:style w:type="table" w:customStyle="1" w:styleId="Tablaconcuadrcula5">
    <w:name w:val="Tabla con cuadrícula5"/>
    <w:basedOn w:val="Tablanormal"/>
    <w:next w:val="Tablaconcuadrcula"/>
    <w:uiPriority w:val="39"/>
    <w:rsid w:val="003E7810"/>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B1492C"/>
    <w:pPr>
      <w:spacing w:after="0" w:line="240" w:lineRule="auto"/>
    </w:pPr>
    <w:rPr>
      <w:rFonts w:eastAsia="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C393B"/>
    <w:pPr>
      <w:spacing w:after="0" w:line="240" w:lineRule="auto"/>
    </w:pPr>
    <w:rPr>
      <w:rFonts w:eastAsia="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basedOn w:val="Fuentedeprrafopredeter"/>
    <w:rsid w:val="00406ED9"/>
  </w:style>
  <w:style w:type="character" w:customStyle="1" w:styleId="Ttulo6Car">
    <w:name w:val="Título 6 Car"/>
    <w:basedOn w:val="Fuentedeprrafopredeter"/>
    <w:link w:val="Ttulo6"/>
    <w:uiPriority w:val="9"/>
    <w:rsid w:val="0012509E"/>
    <w:rPr>
      <w:rFonts w:ascii="Times New Roman" w:eastAsiaTheme="majorEastAsia" w:hAnsi="Times New Roman" w:cstheme="majorBidi"/>
      <w:b/>
      <w:sz w:val="28"/>
    </w:rPr>
  </w:style>
  <w:style w:type="character" w:customStyle="1" w:styleId="Ttulo7Car">
    <w:name w:val="Título 7 Car"/>
    <w:basedOn w:val="Fuentedeprrafopredeter"/>
    <w:link w:val="Ttulo7"/>
    <w:uiPriority w:val="9"/>
    <w:rsid w:val="006E655D"/>
    <w:rPr>
      <w:rFonts w:ascii="Times New Roman" w:eastAsiaTheme="majorEastAsia" w:hAnsi="Times New Roman" w:cstheme="majorBidi"/>
      <w:b/>
      <w:iCs/>
      <w:color w:val="000000" w:themeColor="text1"/>
      <w:sz w:val="28"/>
    </w:rPr>
  </w:style>
  <w:style w:type="character" w:customStyle="1" w:styleId="Ttulo8Car">
    <w:name w:val="Título 8 Car"/>
    <w:basedOn w:val="Fuentedeprrafopredeter"/>
    <w:link w:val="Ttulo8"/>
    <w:uiPriority w:val="9"/>
    <w:rsid w:val="006C10B0"/>
    <w:rPr>
      <w:rFonts w:ascii="Times New Roman" w:eastAsiaTheme="majorEastAsia" w:hAnsi="Times New Roman" w:cstheme="majorBidi"/>
      <w:b/>
      <w:color w:val="272727" w:themeColor="text1" w:themeTint="D8"/>
      <w:sz w:val="28"/>
      <w:szCs w:val="21"/>
    </w:rPr>
  </w:style>
  <w:style w:type="character" w:customStyle="1" w:styleId="Ttulo9Car">
    <w:name w:val="Título 9 Car"/>
    <w:basedOn w:val="Fuentedeprrafopredeter"/>
    <w:link w:val="Ttulo9"/>
    <w:uiPriority w:val="9"/>
    <w:rsid w:val="005A4426"/>
    <w:rPr>
      <w:rFonts w:ascii="Times New Roman" w:eastAsiaTheme="majorEastAsia" w:hAnsi="Times New Roman" w:cstheme="majorBidi"/>
      <w:b/>
      <w:iCs/>
      <w:color w:val="272727" w:themeColor="text1" w:themeTint="D8"/>
      <w:sz w:val="28"/>
      <w:szCs w:val="21"/>
    </w:rPr>
  </w:style>
  <w:style w:type="table" w:customStyle="1" w:styleId="Tablaconcuadrcula54">
    <w:name w:val="Tabla con cuadrícula54"/>
    <w:basedOn w:val="Tablanormal"/>
    <w:next w:val="Tablaconcuadrcula"/>
    <w:uiPriority w:val="39"/>
    <w:rsid w:val="00332C5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32C5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
    <w:name w:val="Normal 1"/>
    <w:basedOn w:val="Lista"/>
    <w:link w:val="Normal1Car"/>
    <w:qFormat/>
    <w:rsid w:val="00EF572B"/>
    <w:pPr>
      <w:tabs>
        <w:tab w:val="left" w:pos="0"/>
        <w:tab w:val="left" w:pos="567"/>
      </w:tabs>
      <w:spacing w:after="0" w:line="240" w:lineRule="auto"/>
      <w:ind w:left="0" w:firstLine="0"/>
    </w:pPr>
    <w:rPr>
      <w:rFonts w:eastAsia="Calibri"/>
      <w:szCs w:val="28"/>
      <w:lang w:val="es-ES_tradnl"/>
    </w:rPr>
  </w:style>
  <w:style w:type="character" w:customStyle="1" w:styleId="Normal1Car">
    <w:name w:val="Normal 1 Car"/>
    <w:basedOn w:val="Fuentedeprrafopredeter"/>
    <w:link w:val="Normal10"/>
    <w:rsid w:val="00EF572B"/>
    <w:rPr>
      <w:rFonts w:ascii="Times New Roman" w:eastAsia="Calibri" w:hAnsi="Times New Roman" w:cs="Times New Roman"/>
      <w:sz w:val="28"/>
      <w:szCs w:val="28"/>
      <w:lang w:val="es-ES_tradnl"/>
    </w:rPr>
  </w:style>
  <w:style w:type="paragraph" w:customStyle="1" w:styleId="Ttulo11">
    <w:name w:val="Título 11"/>
    <w:basedOn w:val="Normal"/>
    <w:uiPriority w:val="99"/>
    <w:rsid w:val="00FB4130"/>
    <w:pPr>
      <w:numPr>
        <w:numId w:val="1"/>
      </w:numPr>
    </w:pPr>
    <w:rPr>
      <w:rFonts w:eastAsia="Times New Roman" w:cs="Times New Roman"/>
      <w:sz w:val="24"/>
      <w:szCs w:val="24"/>
      <w:lang w:val="es-ES" w:eastAsia="es-ES"/>
    </w:rPr>
  </w:style>
  <w:style w:type="paragraph" w:customStyle="1" w:styleId="Ttulo21">
    <w:name w:val="Título 21"/>
    <w:basedOn w:val="Normal"/>
    <w:uiPriority w:val="99"/>
    <w:rsid w:val="00FB4130"/>
    <w:pPr>
      <w:numPr>
        <w:ilvl w:val="1"/>
        <w:numId w:val="1"/>
      </w:numPr>
    </w:pPr>
    <w:rPr>
      <w:rFonts w:eastAsia="Times New Roman" w:cs="Times New Roman"/>
      <w:sz w:val="24"/>
      <w:szCs w:val="24"/>
      <w:lang w:val="es-ES" w:eastAsia="es-ES"/>
    </w:rPr>
  </w:style>
  <w:style w:type="paragraph" w:customStyle="1" w:styleId="Ttulo31">
    <w:name w:val="Título 31"/>
    <w:basedOn w:val="Normal"/>
    <w:uiPriority w:val="99"/>
    <w:rsid w:val="00FB4130"/>
    <w:pPr>
      <w:numPr>
        <w:ilvl w:val="2"/>
        <w:numId w:val="1"/>
      </w:numPr>
    </w:pPr>
    <w:rPr>
      <w:rFonts w:eastAsia="Times New Roman" w:cs="Times New Roman"/>
      <w:sz w:val="24"/>
      <w:szCs w:val="24"/>
      <w:lang w:val="es-ES" w:eastAsia="es-ES"/>
    </w:rPr>
  </w:style>
  <w:style w:type="paragraph" w:customStyle="1" w:styleId="Ttulo41">
    <w:name w:val="Título 41"/>
    <w:basedOn w:val="Normal"/>
    <w:uiPriority w:val="99"/>
    <w:rsid w:val="00FB4130"/>
    <w:pPr>
      <w:numPr>
        <w:ilvl w:val="3"/>
        <w:numId w:val="1"/>
      </w:numPr>
    </w:pPr>
    <w:rPr>
      <w:rFonts w:eastAsia="Times New Roman" w:cs="Times New Roman"/>
      <w:sz w:val="24"/>
      <w:szCs w:val="24"/>
      <w:lang w:val="es-ES" w:eastAsia="es-ES"/>
    </w:rPr>
  </w:style>
  <w:style w:type="paragraph" w:customStyle="1" w:styleId="Ttulo51">
    <w:name w:val="Título 51"/>
    <w:basedOn w:val="Normal"/>
    <w:uiPriority w:val="99"/>
    <w:rsid w:val="00FB4130"/>
    <w:pPr>
      <w:numPr>
        <w:ilvl w:val="4"/>
        <w:numId w:val="1"/>
      </w:numPr>
    </w:pPr>
    <w:rPr>
      <w:rFonts w:eastAsia="Times New Roman" w:cs="Times New Roman"/>
      <w:sz w:val="24"/>
      <w:szCs w:val="24"/>
      <w:lang w:val="es-ES" w:eastAsia="es-ES"/>
    </w:rPr>
  </w:style>
  <w:style w:type="paragraph" w:customStyle="1" w:styleId="Ttulo61">
    <w:name w:val="Título 61"/>
    <w:basedOn w:val="Normal"/>
    <w:uiPriority w:val="99"/>
    <w:rsid w:val="00FB4130"/>
    <w:pPr>
      <w:numPr>
        <w:ilvl w:val="5"/>
        <w:numId w:val="1"/>
      </w:numPr>
    </w:pPr>
    <w:rPr>
      <w:rFonts w:eastAsia="Times New Roman" w:cs="Times New Roman"/>
      <w:sz w:val="24"/>
      <w:szCs w:val="24"/>
      <w:lang w:val="es-ES" w:eastAsia="es-ES"/>
    </w:rPr>
  </w:style>
  <w:style w:type="paragraph" w:customStyle="1" w:styleId="Ttulo71">
    <w:name w:val="Título 71"/>
    <w:basedOn w:val="Normal"/>
    <w:uiPriority w:val="99"/>
    <w:rsid w:val="00FB4130"/>
    <w:pPr>
      <w:numPr>
        <w:ilvl w:val="6"/>
        <w:numId w:val="1"/>
      </w:numPr>
    </w:pPr>
    <w:rPr>
      <w:rFonts w:eastAsia="Times New Roman" w:cs="Times New Roman"/>
      <w:sz w:val="24"/>
      <w:szCs w:val="24"/>
      <w:lang w:val="es-ES" w:eastAsia="es-ES"/>
    </w:rPr>
  </w:style>
  <w:style w:type="paragraph" w:customStyle="1" w:styleId="Ttulo81">
    <w:name w:val="Título 81"/>
    <w:basedOn w:val="Normal"/>
    <w:uiPriority w:val="99"/>
    <w:rsid w:val="00FB4130"/>
    <w:pPr>
      <w:numPr>
        <w:ilvl w:val="7"/>
        <w:numId w:val="1"/>
      </w:numPr>
    </w:pPr>
    <w:rPr>
      <w:rFonts w:eastAsia="Times New Roman" w:cs="Times New Roman"/>
      <w:sz w:val="24"/>
      <w:szCs w:val="24"/>
      <w:lang w:val="es-ES" w:eastAsia="es-ES"/>
    </w:rPr>
  </w:style>
  <w:style w:type="paragraph" w:customStyle="1" w:styleId="Ttulo91">
    <w:name w:val="Título 91"/>
    <w:basedOn w:val="Normal"/>
    <w:uiPriority w:val="99"/>
    <w:rsid w:val="00FB4130"/>
    <w:pPr>
      <w:numPr>
        <w:ilvl w:val="8"/>
        <w:numId w:val="1"/>
      </w:numPr>
    </w:pPr>
    <w:rPr>
      <w:rFonts w:eastAsia="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FB4130"/>
    <w:pPr>
      <w:spacing w:after="120"/>
    </w:pPr>
    <w:rPr>
      <w:rFonts w:eastAsia="Times New Roman" w:cs="Times New Roman"/>
      <w:sz w:val="16"/>
      <w:szCs w:val="16"/>
      <w:lang w:val="es-ES_tradnl" w:eastAsia="es-ES_tradnl"/>
    </w:rPr>
  </w:style>
  <w:style w:type="character" w:customStyle="1" w:styleId="Textoindependiente3Car">
    <w:name w:val="Texto independiente 3 Car"/>
    <w:basedOn w:val="Fuentedeprrafopredeter"/>
    <w:link w:val="Textoindependiente3"/>
    <w:uiPriority w:val="99"/>
    <w:semiHidden/>
    <w:rsid w:val="00FB4130"/>
    <w:rPr>
      <w:rFonts w:ascii="Times New Roman" w:eastAsia="Times New Roman" w:hAnsi="Times New Roman" w:cs="Times New Roman"/>
      <w:sz w:val="16"/>
      <w:szCs w:val="16"/>
      <w:lang w:val="es-ES_tradnl" w:eastAsia="es-ES_tradnl"/>
    </w:rPr>
  </w:style>
  <w:style w:type="paragraph" w:styleId="Descripcin">
    <w:name w:val="caption"/>
    <w:basedOn w:val="Normal"/>
    <w:next w:val="Normal"/>
    <w:uiPriority w:val="99"/>
    <w:qFormat/>
    <w:rsid w:val="00FB4130"/>
    <w:pPr>
      <w:jc w:val="center"/>
    </w:pPr>
    <w:rPr>
      <w:rFonts w:eastAsia="Times New Roman" w:cs="Times New Roman"/>
      <w:b/>
      <w:szCs w:val="20"/>
      <w:lang w:eastAsia="es-ES"/>
    </w:rPr>
  </w:style>
  <w:style w:type="paragraph" w:customStyle="1" w:styleId="style2">
    <w:name w:val="style2"/>
    <w:basedOn w:val="Normal"/>
    <w:rsid w:val="00FB4130"/>
    <w:pPr>
      <w:spacing w:before="100" w:beforeAutospacing="1" w:after="100" w:afterAutospacing="1"/>
    </w:pPr>
    <w:rPr>
      <w:rFonts w:eastAsia="Times New Roman" w:cs="Times New Roman"/>
      <w:sz w:val="24"/>
      <w:szCs w:val="24"/>
    </w:rPr>
  </w:style>
  <w:style w:type="character" w:customStyle="1" w:styleId="fontstyle11">
    <w:name w:val="fontstyle11"/>
    <w:basedOn w:val="Fuentedeprrafopredeter"/>
    <w:rsid w:val="00FB4130"/>
    <w:rPr>
      <w:rFonts w:cs="Times New Roman"/>
    </w:rPr>
  </w:style>
  <w:style w:type="paragraph" w:customStyle="1" w:styleId="style40">
    <w:name w:val="style4"/>
    <w:basedOn w:val="Normal"/>
    <w:rsid w:val="00FB4130"/>
    <w:pPr>
      <w:spacing w:before="100" w:beforeAutospacing="1" w:after="100" w:afterAutospacing="1"/>
    </w:pPr>
    <w:rPr>
      <w:rFonts w:eastAsia="Times New Roman" w:cs="Times New Roman"/>
      <w:sz w:val="24"/>
      <w:szCs w:val="24"/>
    </w:rPr>
  </w:style>
  <w:style w:type="character" w:customStyle="1" w:styleId="fontstyle12">
    <w:name w:val="fontstyle12"/>
    <w:basedOn w:val="Fuentedeprrafopredeter"/>
    <w:rsid w:val="00FB4130"/>
    <w:rPr>
      <w:rFonts w:cs="Times New Roman"/>
    </w:rPr>
  </w:style>
  <w:style w:type="character" w:customStyle="1" w:styleId="fontstyle14">
    <w:name w:val="fontstyle14"/>
    <w:basedOn w:val="Fuentedeprrafopredeter"/>
    <w:rsid w:val="00FB4130"/>
    <w:rPr>
      <w:rFonts w:cs="Times New Roman"/>
    </w:rPr>
  </w:style>
  <w:style w:type="paragraph" w:customStyle="1" w:styleId="style8">
    <w:name w:val="style8"/>
    <w:basedOn w:val="Normal"/>
    <w:rsid w:val="00FB4130"/>
    <w:pPr>
      <w:spacing w:before="100" w:beforeAutospacing="1" w:after="100" w:afterAutospacing="1"/>
    </w:pPr>
    <w:rPr>
      <w:rFonts w:eastAsia="Times New Roman" w:cs="Times New Roman"/>
      <w:sz w:val="24"/>
      <w:szCs w:val="24"/>
    </w:rPr>
  </w:style>
  <w:style w:type="character" w:customStyle="1" w:styleId="fontstyle13">
    <w:name w:val="fontstyle13"/>
    <w:basedOn w:val="Fuentedeprrafopredeter"/>
    <w:rsid w:val="00FB4130"/>
    <w:rPr>
      <w:rFonts w:cs="Times New Roman"/>
    </w:rPr>
  </w:style>
  <w:style w:type="paragraph" w:customStyle="1" w:styleId="style1">
    <w:name w:val="style1"/>
    <w:basedOn w:val="Normal"/>
    <w:rsid w:val="00FB4130"/>
    <w:pPr>
      <w:spacing w:before="100" w:beforeAutospacing="1" w:after="100" w:afterAutospacing="1"/>
    </w:pPr>
    <w:rPr>
      <w:rFonts w:eastAsia="Times New Roman" w:cs="Times New Roman"/>
      <w:sz w:val="24"/>
      <w:szCs w:val="24"/>
    </w:rPr>
  </w:style>
  <w:style w:type="paragraph" w:styleId="Sangradetextonormal">
    <w:name w:val="Body Text Indent"/>
    <w:basedOn w:val="Normal"/>
    <w:link w:val="SangradetextonormalCar"/>
    <w:uiPriority w:val="99"/>
    <w:semiHidden/>
    <w:unhideWhenUsed/>
    <w:rsid w:val="00FB4130"/>
    <w:pPr>
      <w:spacing w:after="120"/>
      <w:ind w:left="283"/>
    </w:pPr>
    <w:rPr>
      <w:rFonts w:eastAsia="Times New Roman" w:cs="Times New Roman"/>
      <w:sz w:val="24"/>
      <w:szCs w:val="24"/>
      <w:lang w:val="es-ES_tradnl" w:eastAsia="es-ES_tradnl"/>
    </w:rPr>
  </w:style>
  <w:style w:type="character" w:customStyle="1" w:styleId="SangradetextonormalCar">
    <w:name w:val="Sangría de texto normal Car"/>
    <w:basedOn w:val="Fuentedeprrafopredeter"/>
    <w:link w:val="Sangradetextonormal"/>
    <w:uiPriority w:val="99"/>
    <w:semiHidden/>
    <w:rsid w:val="00FB4130"/>
    <w:rPr>
      <w:rFonts w:ascii="Times New Roman" w:eastAsia="Times New Roman" w:hAnsi="Times New Roman" w:cs="Times New Roman"/>
      <w:sz w:val="24"/>
      <w:szCs w:val="24"/>
      <w:lang w:val="es-ES_tradnl" w:eastAsia="es-ES_tradnl"/>
    </w:rPr>
  </w:style>
  <w:style w:type="paragraph" w:customStyle="1" w:styleId="MediumGrid21">
    <w:name w:val="Medium Grid 21"/>
    <w:uiPriority w:val="1"/>
    <w:qFormat/>
    <w:rsid w:val="00FB4130"/>
    <w:pPr>
      <w:spacing w:after="0" w:line="240" w:lineRule="auto"/>
    </w:pPr>
    <w:rPr>
      <w:rFonts w:ascii="Calibri" w:eastAsia="Times New Roman" w:hAnsi="Calibri" w:cs="Times New Roman"/>
      <w:lang w:val="es-ES"/>
    </w:rPr>
  </w:style>
  <w:style w:type="paragraph" w:customStyle="1" w:styleId="cuerpo0">
    <w:name w:val="cuerpo"/>
    <w:basedOn w:val="Normal"/>
    <w:rsid w:val="00FB4130"/>
    <w:pPr>
      <w:spacing w:before="100" w:beforeAutospacing="1" w:after="100" w:afterAutospacing="1"/>
    </w:pPr>
    <w:rPr>
      <w:rFonts w:eastAsia="Times New Roman" w:cs="Times New Roman"/>
      <w:sz w:val="24"/>
      <w:szCs w:val="24"/>
    </w:rPr>
  </w:style>
  <w:style w:type="character" w:customStyle="1" w:styleId="inclinada">
    <w:name w:val="inclinada"/>
    <w:basedOn w:val="Fuentedeprrafopredeter"/>
    <w:rsid w:val="00FB4130"/>
    <w:rPr>
      <w:rFonts w:cs="Times New Roman"/>
    </w:rPr>
  </w:style>
  <w:style w:type="character" w:styleId="Nmerodepgina">
    <w:name w:val="page number"/>
    <w:basedOn w:val="Fuentedeprrafopredeter"/>
    <w:uiPriority w:val="99"/>
    <w:rsid w:val="00FB4130"/>
    <w:rPr>
      <w:rFonts w:cs="Times New Roman"/>
    </w:rPr>
  </w:style>
  <w:style w:type="paragraph" w:styleId="Cita">
    <w:name w:val="Quote"/>
    <w:basedOn w:val="Normal"/>
    <w:next w:val="Normal"/>
    <w:link w:val="CitaCar"/>
    <w:uiPriority w:val="29"/>
    <w:qFormat/>
    <w:rsid w:val="00FB4130"/>
    <w:pPr>
      <w:spacing w:before="200"/>
      <w:ind w:left="864" w:right="864"/>
      <w:jc w:val="center"/>
    </w:pPr>
    <w:rPr>
      <w:rFonts w:eastAsia="Times New Roman" w:cs="Times New Roman"/>
      <w:i/>
      <w:iCs/>
      <w:color w:val="404040" w:themeColor="text1" w:themeTint="BF"/>
      <w:sz w:val="24"/>
      <w:szCs w:val="24"/>
      <w:lang w:val="es-ES_tradnl" w:eastAsia="es-ES_tradnl"/>
    </w:rPr>
  </w:style>
  <w:style w:type="character" w:customStyle="1" w:styleId="CitaCar">
    <w:name w:val="Cita Car"/>
    <w:basedOn w:val="Fuentedeprrafopredeter"/>
    <w:link w:val="Cita"/>
    <w:uiPriority w:val="29"/>
    <w:rsid w:val="00FB4130"/>
    <w:rPr>
      <w:rFonts w:ascii="Times New Roman" w:eastAsia="Times New Roman" w:hAnsi="Times New Roman" w:cs="Times New Roman"/>
      <w:i/>
      <w:iCs/>
      <w:color w:val="404040" w:themeColor="text1" w:themeTint="BF"/>
      <w:sz w:val="24"/>
      <w:szCs w:val="24"/>
      <w:lang w:val="es-ES_tradnl" w:eastAsia="es-ES_tradnl"/>
    </w:rPr>
  </w:style>
  <w:style w:type="character" w:customStyle="1" w:styleId="eop">
    <w:name w:val="eop"/>
    <w:basedOn w:val="Fuentedeprrafopredeter"/>
    <w:rsid w:val="00FB4130"/>
    <w:rPr>
      <w:rFonts w:cs="Times New Roman"/>
    </w:rPr>
  </w:style>
  <w:style w:type="paragraph" w:customStyle="1" w:styleId="paragraph">
    <w:name w:val="paragraph"/>
    <w:basedOn w:val="Normal"/>
    <w:rsid w:val="00FB4130"/>
    <w:pPr>
      <w:spacing w:before="100" w:beforeAutospacing="1" w:after="100" w:afterAutospacing="1"/>
    </w:pPr>
    <w:rPr>
      <w:rFonts w:eastAsia="Times New Roman" w:cs="Times New Roman"/>
      <w:sz w:val="24"/>
      <w:szCs w:val="24"/>
      <w:lang w:val="es-ES_tradnl"/>
    </w:rPr>
  </w:style>
  <w:style w:type="character" w:customStyle="1" w:styleId="normaltextrun">
    <w:name w:val="normaltextrun"/>
    <w:basedOn w:val="Fuentedeprrafopredeter"/>
    <w:rsid w:val="00FB4130"/>
    <w:rPr>
      <w:rFonts w:cs="Times New Roman"/>
    </w:rPr>
  </w:style>
  <w:style w:type="paragraph" w:styleId="TtuloTDC">
    <w:name w:val="TOC Heading"/>
    <w:basedOn w:val="Ttulo1"/>
    <w:next w:val="Normal"/>
    <w:uiPriority w:val="39"/>
    <w:unhideWhenUsed/>
    <w:qFormat/>
    <w:rsid w:val="00FB4130"/>
    <w:pPr>
      <w:outlineLvl w:val="9"/>
    </w:pPr>
    <w:rPr>
      <w:rFonts w:asciiTheme="majorHAnsi" w:hAnsiTheme="majorHAnsi" w:cs="Times New Roman"/>
      <w:b w:val="0"/>
      <w:color w:val="2E74B5" w:themeColor="accent1" w:themeShade="BF"/>
      <w:sz w:val="32"/>
    </w:rPr>
  </w:style>
  <w:style w:type="paragraph" w:styleId="TDC1">
    <w:name w:val="toc 1"/>
    <w:basedOn w:val="Normal"/>
    <w:next w:val="Normal"/>
    <w:autoRedefine/>
    <w:uiPriority w:val="39"/>
    <w:unhideWhenUsed/>
    <w:rsid w:val="00FB4130"/>
    <w:pPr>
      <w:spacing w:before="120"/>
    </w:pPr>
    <w:rPr>
      <w:rFonts w:eastAsia="Times New Roman" w:cs="Calibri"/>
      <w:b/>
      <w:bCs/>
      <w:i/>
      <w:iCs/>
      <w:sz w:val="24"/>
      <w:szCs w:val="24"/>
      <w:lang w:val="es-ES_tradnl" w:eastAsia="es-ES_tradnl"/>
    </w:rPr>
  </w:style>
  <w:style w:type="paragraph" w:styleId="TDC2">
    <w:name w:val="toc 2"/>
    <w:basedOn w:val="Normal"/>
    <w:next w:val="Normal"/>
    <w:autoRedefine/>
    <w:uiPriority w:val="39"/>
    <w:unhideWhenUsed/>
    <w:rsid w:val="00FB4130"/>
    <w:pPr>
      <w:spacing w:before="120"/>
      <w:ind w:left="240"/>
    </w:pPr>
    <w:rPr>
      <w:rFonts w:eastAsia="Times New Roman" w:cs="Calibri"/>
      <w:b/>
      <w:bCs/>
      <w:lang w:val="es-ES_tradnl" w:eastAsia="es-ES_tradnl"/>
    </w:rPr>
  </w:style>
  <w:style w:type="paragraph" w:styleId="TDC3">
    <w:name w:val="toc 3"/>
    <w:basedOn w:val="Normal"/>
    <w:next w:val="Normal"/>
    <w:autoRedefine/>
    <w:uiPriority w:val="39"/>
    <w:unhideWhenUsed/>
    <w:rsid w:val="00FB4130"/>
    <w:pPr>
      <w:ind w:left="480"/>
    </w:pPr>
    <w:rPr>
      <w:rFonts w:eastAsia="Times New Roman" w:cs="Calibri"/>
      <w:sz w:val="20"/>
      <w:szCs w:val="20"/>
      <w:lang w:val="es-ES_tradnl" w:eastAsia="es-ES_tradnl"/>
    </w:rPr>
  </w:style>
  <w:style w:type="paragraph" w:styleId="TDC4">
    <w:name w:val="toc 4"/>
    <w:basedOn w:val="Normal"/>
    <w:next w:val="Normal"/>
    <w:autoRedefine/>
    <w:uiPriority w:val="39"/>
    <w:unhideWhenUsed/>
    <w:rsid w:val="00FB4130"/>
    <w:pPr>
      <w:tabs>
        <w:tab w:val="left" w:pos="1701"/>
        <w:tab w:val="right" w:leader="dot" w:pos="8944"/>
      </w:tabs>
      <w:ind w:left="1701" w:hanging="696"/>
    </w:pPr>
    <w:rPr>
      <w:rFonts w:eastAsia="Times New Roman" w:cs="Calibri"/>
      <w:sz w:val="20"/>
      <w:szCs w:val="20"/>
      <w:lang w:val="es-ES_tradnl" w:eastAsia="es-ES_tradnl"/>
    </w:rPr>
  </w:style>
  <w:style w:type="paragraph" w:styleId="TDC5">
    <w:name w:val="toc 5"/>
    <w:basedOn w:val="Normal"/>
    <w:next w:val="Normal"/>
    <w:autoRedefine/>
    <w:uiPriority w:val="39"/>
    <w:unhideWhenUsed/>
    <w:rsid w:val="00FB4130"/>
    <w:pPr>
      <w:tabs>
        <w:tab w:val="left" w:pos="1680"/>
        <w:tab w:val="left" w:pos="2377"/>
        <w:tab w:val="right" w:leader="dot" w:pos="8944"/>
      </w:tabs>
      <w:ind w:left="1701"/>
    </w:pPr>
    <w:rPr>
      <w:rFonts w:eastAsia="Times New Roman" w:cs="Calibri"/>
      <w:sz w:val="20"/>
      <w:szCs w:val="20"/>
      <w:lang w:val="es-ES_tradnl" w:eastAsia="es-ES_tradnl"/>
    </w:rPr>
  </w:style>
  <w:style w:type="paragraph" w:styleId="TDC6">
    <w:name w:val="toc 6"/>
    <w:basedOn w:val="Normal"/>
    <w:next w:val="Normal"/>
    <w:autoRedefine/>
    <w:uiPriority w:val="39"/>
    <w:unhideWhenUsed/>
    <w:rsid w:val="00FB4130"/>
    <w:pPr>
      <w:tabs>
        <w:tab w:val="left" w:pos="1920"/>
        <w:tab w:val="right" w:leader="dot" w:pos="8944"/>
      </w:tabs>
      <w:ind w:left="1701" w:hanging="709"/>
    </w:pPr>
    <w:rPr>
      <w:rFonts w:eastAsia="Times New Roman" w:cs="Calibri"/>
      <w:sz w:val="20"/>
      <w:szCs w:val="20"/>
      <w:lang w:val="es-ES_tradnl" w:eastAsia="es-ES_tradnl"/>
    </w:rPr>
  </w:style>
  <w:style w:type="paragraph" w:styleId="TDC7">
    <w:name w:val="toc 7"/>
    <w:basedOn w:val="Normal"/>
    <w:next w:val="Normal"/>
    <w:autoRedefine/>
    <w:uiPriority w:val="39"/>
    <w:unhideWhenUsed/>
    <w:rsid w:val="00FB4130"/>
    <w:pPr>
      <w:tabs>
        <w:tab w:val="left" w:pos="2116"/>
        <w:tab w:val="right" w:leader="dot" w:pos="8944"/>
      </w:tabs>
      <w:ind w:left="1701"/>
    </w:pPr>
    <w:rPr>
      <w:rFonts w:eastAsia="Times New Roman" w:cs="Calibri"/>
      <w:sz w:val="20"/>
      <w:szCs w:val="20"/>
      <w:lang w:val="es-ES_tradnl" w:eastAsia="es-ES_tradnl"/>
    </w:rPr>
  </w:style>
  <w:style w:type="paragraph" w:styleId="TDC8">
    <w:name w:val="toc 8"/>
    <w:basedOn w:val="Normal"/>
    <w:next w:val="Normal"/>
    <w:autoRedefine/>
    <w:uiPriority w:val="39"/>
    <w:unhideWhenUsed/>
    <w:rsid w:val="00FB4130"/>
    <w:pPr>
      <w:ind w:left="1680"/>
    </w:pPr>
    <w:rPr>
      <w:rFonts w:eastAsia="Times New Roman" w:cs="Calibri"/>
      <w:sz w:val="20"/>
      <w:szCs w:val="20"/>
      <w:lang w:val="es-ES_tradnl" w:eastAsia="es-ES_tradnl"/>
    </w:rPr>
  </w:style>
  <w:style w:type="paragraph" w:styleId="TDC9">
    <w:name w:val="toc 9"/>
    <w:basedOn w:val="Normal"/>
    <w:next w:val="Normal"/>
    <w:autoRedefine/>
    <w:uiPriority w:val="39"/>
    <w:unhideWhenUsed/>
    <w:rsid w:val="00FB4130"/>
    <w:pPr>
      <w:ind w:left="1920"/>
    </w:pPr>
    <w:rPr>
      <w:rFonts w:eastAsia="Times New Roman" w:cs="Calibri"/>
      <w:sz w:val="20"/>
      <w:szCs w:val="20"/>
      <w:lang w:val="es-ES_tradnl" w:eastAsia="es-ES_tradnl"/>
    </w:rPr>
  </w:style>
  <w:style w:type="numbering" w:customStyle="1" w:styleId="Estilo1">
    <w:name w:val="Estilo1"/>
    <w:link w:val="Estilo1Car"/>
    <w:rsid w:val="00FB4130"/>
    <w:pPr>
      <w:numPr>
        <w:numId w:val="2"/>
      </w:numPr>
    </w:pPr>
  </w:style>
  <w:style w:type="numbering" w:customStyle="1" w:styleId="Estilo2">
    <w:name w:val="Estilo2"/>
    <w:rsid w:val="00FB4130"/>
    <w:pPr>
      <w:numPr>
        <w:numId w:val="3"/>
      </w:numPr>
    </w:pPr>
  </w:style>
  <w:style w:type="character" w:styleId="Hipervnculovisitado">
    <w:name w:val="FollowedHyperlink"/>
    <w:basedOn w:val="Fuentedeprrafopredeter"/>
    <w:uiPriority w:val="99"/>
    <w:semiHidden/>
    <w:unhideWhenUsed/>
    <w:rsid w:val="00FB4130"/>
    <w:rPr>
      <w:color w:val="954F72" w:themeColor="followedHyperlink"/>
      <w:u w:val="single"/>
    </w:rPr>
  </w:style>
  <w:style w:type="paragraph" w:customStyle="1" w:styleId="Corte">
    <w:name w:val="Corte"/>
    <w:basedOn w:val="Textonotapie"/>
    <w:link w:val="CorteCar"/>
    <w:rsid w:val="002860D7"/>
    <w:pPr>
      <w:spacing w:before="60"/>
    </w:pPr>
    <w:rPr>
      <w:rFonts w:eastAsia="Times New Roman" w:cs="Times New Roman"/>
      <w:color w:val="auto"/>
      <w:position w:val="6"/>
      <w:szCs w:val="20"/>
      <w:lang w:val="es-MX" w:eastAsia="es-ES"/>
    </w:rPr>
  </w:style>
  <w:style w:type="character" w:customStyle="1" w:styleId="CorteCar">
    <w:name w:val="Corte Car"/>
    <w:basedOn w:val="Fuentedeprrafopredeter"/>
    <w:link w:val="Corte"/>
    <w:locked/>
    <w:rsid w:val="002860D7"/>
    <w:rPr>
      <w:rFonts w:ascii="Times New Roman" w:eastAsia="Times New Roman" w:hAnsi="Times New Roman" w:cs="Times New Roman"/>
      <w:position w:val="6"/>
      <w:sz w:val="20"/>
      <w:szCs w:val="20"/>
      <w:lang w:val="es-MX" w:eastAsia="es-ES"/>
    </w:rPr>
  </w:style>
  <w:style w:type="paragraph" w:customStyle="1" w:styleId="Pa14">
    <w:name w:val="Pa14"/>
    <w:basedOn w:val="Default"/>
    <w:next w:val="Default"/>
    <w:uiPriority w:val="99"/>
    <w:rsid w:val="002860D7"/>
    <w:pPr>
      <w:spacing w:line="231" w:lineRule="atLeast"/>
    </w:pPr>
    <w:rPr>
      <w:rFonts w:ascii="Times New Roman" w:hAnsi="Times New Roman" w:cs="Times New Roman"/>
      <w:color w:val="auto"/>
      <w:lang w:val="es-ES"/>
    </w:rPr>
  </w:style>
  <w:style w:type="paragraph" w:customStyle="1" w:styleId="Sombreadovistoso-nfasis31">
    <w:name w:val="Sombreado vistoso - Énfasis 31"/>
    <w:basedOn w:val="Normal"/>
    <w:uiPriority w:val="34"/>
    <w:qFormat/>
    <w:rsid w:val="002860D7"/>
    <w:pPr>
      <w:widowControl w:val="0"/>
      <w:ind w:left="720"/>
      <w:contextualSpacing/>
    </w:pPr>
    <w:rPr>
      <w:rFonts w:eastAsia="Times New Roman" w:cs="Times New Roman"/>
      <w:color w:val="000000"/>
      <w:szCs w:val="28"/>
      <w:lang w:val="es-ES" w:eastAsia="es-ES"/>
    </w:rPr>
  </w:style>
  <w:style w:type="paragraph" w:customStyle="1" w:styleId="Pa29">
    <w:name w:val="Pa29"/>
    <w:basedOn w:val="Normal"/>
    <w:next w:val="Normal"/>
    <w:uiPriority w:val="99"/>
    <w:rsid w:val="002860D7"/>
    <w:pPr>
      <w:autoSpaceDE w:val="0"/>
      <w:autoSpaceDN w:val="0"/>
      <w:adjustRightInd w:val="0"/>
      <w:spacing w:line="201" w:lineRule="atLeast"/>
    </w:pPr>
    <w:rPr>
      <w:rFonts w:cs="Times New Roman"/>
      <w:sz w:val="24"/>
      <w:szCs w:val="24"/>
      <w:lang w:val="es-ES"/>
    </w:rPr>
  </w:style>
  <w:style w:type="character" w:customStyle="1" w:styleId="A14">
    <w:name w:val="A14"/>
    <w:uiPriority w:val="99"/>
    <w:rsid w:val="002860D7"/>
    <w:rPr>
      <w:color w:val="000000"/>
      <w:sz w:val="20"/>
      <w:szCs w:val="20"/>
      <w:u w:val="single"/>
    </w:rPr>
  </w:style>
  <w:style w:type="numbering" w:customStyle="1" w:styleId="Listaactual1">
    <w:name w:val="Lista actual1"/>
    <w:uiPriority w:val="99"/>
    <w:rsid w:val="00A41F0C"/>
    <w:pPr>
      <w:numPr>
        <w:numId w:val="4"/>
      </w:numPr>
    </w:pPr>
  </w:style>
  <w:style w:type="numbering" w:customStyle="1" w:styleId="Listaactual2">
    <w:name w:val="Lista actual2"/>
    <w:uiPriority w:val="99"/>
    <w:rsid w:val="00495E52"/>
    <w:pPr>
      <w:numPr>
        <w:numId w:val="5"/>
      </w:numPr>
    </w:pPr>
  </w:style>
  <w:style w:type="numbering" w:customStyle="1" w:styleId="Listaactual3">
    <w:name w:val="Lista actual3"/>
    <w:uiPriority w:val="99"/>
    <w:rsid w:val="00623BFA"/>
    <w:pPr>
      <w:numPr>
        <w:numId w:val="6"/>
      </w:numPr>
    </w:pPr>
  </w:style>
  <w:style w:type="paragraph" w:styleId="Ttulo">
    <w:name w:val="Title"/>
    <w:basedOn w:val="Normal"/>
    <w:next w:val="Normal"/>
    <w:link w:val="TtuloCar"/>
    <w:uiPriority w:val="10"/>
    <w:qFormat/>
    <w:rsid w:val="007274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74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7401"/>
    <w:pPr>
      <w:numPr>
        <w:ilvl w:val="1"/>
      </w:numPr>
    </w:pPr>
    <w:rPr>
      <w:rFonts w:eastAsiaTheme="majorEastAsia" w:cstheme="majorBidi"/>
      <w:color w:val="595959" w:themeColor="text1" w:themeTint="A6"/>
      <w:spacing w:val="15"/>
      <w:szCs w:val="28"/>
    </w:rPr>
  </w:style>
  <w:style w:type="character" w:customStyle="1" w:styleId="SubttuloCar">
    <w:name w:val="Subtítulo Car"/>
    <w:basedOn w:val="Fuentedeprrafopredeter"/>
    <w:link w:val="Subttulo"/>
    <w:uiPriority w:val="11"/>
    <w:rsid w:val="00727401"/>
    <w:rPr>
      <w:rFonts w:eastAsiaTheme="majorEastAsia" w:cstheme="majorBidi"/>
      <w:color w:val="595959" w:themeColor="text1" w:themeTint="A6"/>
      <w:spacing w:val="15"/>
      <w:kern w:val="0"/>
      <w:sz w:val="28"/>
      <w:szCs w:val="28"/>
    </w:rPr>
  </w:style>
  <w:style w:type="paragraph" w:styleId="Citadestacada">
    <w:name w:val="Intense Quote"/>
    <w:basedOn w:val="Normal"/>
    <w:next w:val="Normal"/>
    <w:link w:val="CitadestacadaCar"/>
    <w:uiPriority w:val="30"/>
    <w:qFormat/>
    <w:rsid w:val="0072740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727401"/>
    <w:rPr>
      <w:rFonts w:ascii="Times New Roman" w:hAnsi="Times New Roman"/>
      <w:i/>
      <w:iCs/>
      <w:color w:val="2E74B5" w:themeColor="accent1" w:themeShade="BF"/>
      <w:kern w:val="0"/>
      <w:sz w:val="28"/>
    </w:rPr>
  </w:style>
  <w:style w:type="character" w:styleId="Referenciaintensa">
    <w:name w:val="Intense Reference"/>
    <w:basedOn w:val="Fuentedeprrafopredeter"/>
    <w:uiPriority w:val="32"/>
    <w:qFormat/>
    <w:rsid w:val="00727401"/>
    <w:rPr>
      <w:b/>
      <w:bCs/>
      <w:smallCaps/>
      <w:color w:val="2E74B5" w:themeColor="accent1" w:themeShade="BF"/>
      <w:spacing w:val="5"/>
    </w:rPr>
  </w:style>
  <w:style w:type="table" w:styleId="Tabladecuadrcula3-nfasis1">
    <w:name w:val="Grid Table 3 Accent 1"/>
    <w:basedOn w:val="Tablanormal"/>
    <w:uiPriority w:val="48"/>
    <w:rsid w:val="00471CDF"/>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DEEAF6" w:themeFill="accent1" w:themeFillTint="33"/>
      </w:tcPr>
    </w:tblStylePr>
    <w:tblStylePr w:type="band1Horz">
      <w:rPr>
        <w:rFonts w:cs="Times New Roman"/>
      </w:rPr>
      <w:tblPr/>
      <w:tcPr>
        <w:shd w:val="clear" w:color="auto" w:fill="DEEAF6" w:themeFill="accent1" w:themeFillTint="33"/>
      </w:tcPr>
    </w:tblStylePr>
    <w:tblStylePr w:type="neCell">
      <w:rPr>
        <w:rFonts w:cs="Times New Roman"/>
      </w:rPr>
      <w:tblPr/>
      <w:tcPr>
        <w:tcBorders>
          <w:bottom w:val="single" w:sz="4" w:space="0" w:color="9CC2E5" w:themeColor="accent1" w:themeTint="99"/>
        </w:tcBorders>
      </w:tcPr>
    </w:tblStylePr>
    <w:tblStylePr w:type="nwCell">
      <w:rPr>
        <w:rFonts w:cs="Times New Roman"/>
      </w:rPr>
      <w:tblPr/>
      <w:tcPr>
        <w:tcBorders>
          <w:bottom w:val="single" w:sz="4" w:space="0" w:color="9CC2E5" w:themeColor="accent1" w:themeTint="99"/>
        </w:tcBorders>
      </w:tcPr>
    </w:tblStylePr>
    <w:tblStylePr w:type="seCell">
      <w:rPr>
        <w:rFonts w:cs="Times New Roman"/>
      </w:rPr>
      <w:tblPr/>
      <w:tcPr>
        <w:tcBorders>
          <w:top w:val="single" w:sz="4" w:space="0" w:color="9CC2E5" w:themeColor="accent1" w:themeTint="99"/>
        </w:tcBorders>
      </w:tcPr>
    </w:tblStylePr>
    <w:tblStylePr w:type="swCell">
      <w:rPr>
        <w:rFonts w:cs="Times New Roman"/>
      </w:rPr>
      <w:tblPr/>
      <w:tcPr>
        <w:tcBorders>
          <w:top w:val="single" w:sz="4" w:space="0" w:color="9CC2E5" w:themeColor="accent1" w:themeTint="99"/>
        </w:tcBorders>
      </w:tcPr>
    </w:tblStylePr>
  </w:style>
  <w:style w:type="table" w:styleId="Tabladecuadrcula1clara-nfasis1">
    <w:name w:val="Grid Table 1 Light Accent 1"/>
    <w:basedOn w:val="Tablanormal"/>
    <w:uiPriority w:val="46"/>
    <w:rsid w:val="006C7333"/>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rFonts w:cs="Times New Roman"/>
        <w:b/>
        <w:bCs/>
      </w:rPr>
      <w:tblPr/>
      <w:tcPr>
        <w:tcBorders>
          <w:bottom w:val="single" w:sz="12" w:space="0" w:color="9CC2E5" w:themeColor="accent1" w:themeTint="99"/>
        </w:tcBorders>
      </w:tcPr>
    </w:tblStylePr>
    <w:tblStylePr w:type="lastRow">
      <w:rPr>
        <w:rFonts w:cs="Times New Roman"/>
        <w:b/>
        <w:bCs/>
      </w:rPr>
      <w:tblPr/>
      <w:tcPr>
        <w:tcBorders>
          <w:top w:val="double" w:sz="2" w:space="0" w:color="9CC2E5" w:themeColor="accent1" w:themeTint="99"/>
        </w:tcBorders>
      </w:tcPr>
    </w:tblStylePr>
    <w:tblStylePr w:type="firstCol">
      <w:rPr>
        <w:rFonts w:cs="Times New Roman"/>
        <w:b/>
        <w:bCs/>
      </w:rPr>
    </w:tblStylePr>
    <w:tblStylePr w:type="lastCol">
      <w:rPr>
        <w:rFonts w:cs="Times New Roman"/>
        <w:b/>
        <w:bCs/>
      </w:rPr>
    </w:tblStylePr>
  </w:style>
  <w:style w:type="character" w:customStyle="1" w:styleId="Estilo1Car">
    <w:name w:val="Estilo1 Car"/>
    <w:basedOn w:val="Fuentedeprrafopredeter"/>
    <w:link w:val="Estilo1"/>
    <w:locked/>
    <w:rsid w:val="000C20A4"/>
    <w:rPr>
      <w:rFonts w:eastAsia="Times New Roman" w:cs="Times New Roman"/>
      <w:sz w:val="28"/>
      <w:szCs w:val="28"/>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bin"/><Relationship Id="rId18" Type="http://schemas.openxmlformats.org/officeDocument/2006/relationships/image" Target="media/image6.bin"/><Relationship Id="rId26" Type="http://schemas.openxmlformats.org/officeDocument/2006/relationships/image" Target="media/image14.bin"/><Relationship Id="rId3" Type="http://schemas.openxmlformats.org/officeDocument/2006/relationships/settings" Target="settings.xml"/><Relationship Id="rId21" Type="http://schemas.openxmlformats.org/officeDocument/2006/relationships/image" Target="media/image9.bin"/><Relationship Id="rId7" Type="http://schemas.openxmlformats.org/officeDocument/2006/relationships/image" Target="media/image1.bin"/><Relationship Id="rId12" Type="http://schemas.openxmlformats.org/officeDocument/2006/relationships/hyperlink" Target="https://www.alcaldiabogota.gov.co/sisjur/normas/Norma1.jsp?dt=S&amp;i=186" TargetMode="External"/><Relationship Id="rId17" Type="http://schemas.openxmlformats.org/officeDocument/2006/relationships/image" Target="media/image5.bin"/><Relationship Id="rId25" Type="http://schemas.openxmlformats.org/officeDocument/2006/relationships/image" Target="media/image13.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lcaldiabogota.gov.co/sisjur/normas/Norma1.jsp?dt=S&amp;i=4125" TargetMode="External"/><Relationship Id="rId20" Type="http://schemas.openxmlformats.org/officeDocument/2006/relationships/image" Target="media/image8.bin"/><Relationship Id="rId29" Type="http://schemas.openxmlformats.org/officeDocument/2006/relationships/image" Target="media/image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caldiabogota.gov.co/sisjur/normas/Norma1.jsp?dt=S&amp;i=4125" TargetMode="External"/><Relationship Id="rId24" Type="http://schemas.openxmlformats.org/officeDocument/2006/relationships/image" Target="media/image12.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lcaldiabogota.gov.co/sisjur/normas/Norma1.jsp?dt=S&amp;i=4125" TargetMode="External"/><Relationship Id="rId23" Type="http://schemas.openxmlformats.org/officeDocument/2006/relationships/image" Target="media/image11.bin"/><Relationship Id="rId28" Type="http://schemas.openxmlformats.org/officeDocument/2006/relationships/image" Target="media/image16.bin"/><Relationship Id="rId10" Type="http://schemas.openxmlformats.org/officeDocument/2006/relationships/image" Target="media/image3.bin"/><Relationship Id="rId19" Type="http://schemas.openxmlformats.org/officeDocument/2006/relationships/image" Target="media/image7.bin"/><Relationship Id="rId31" Type="http://schemas.openxmlformats.org/officeDocument/2006/relationships/image" Target="media/image19.bin"/><Relationship Id="rId4" Type="http://schemas.openxmlformats.org/officeDocument/2006/relationships/webSettings" Target="webSettings.xml"/><Relationship Id="rId9" Type="http://schemas.openxmlformats.org/officeDocument/2006/relationships/image" Target="media/image2.bin"/><Relationship Id="rId14" Type="http://schemas.openxmlformats.org/officeDocument/2006/relationships/hyperlink" Target="https://www.alcaldiabogota.gov.co/sisjur/normas/Norma1.jsp?dt=S&amp;i=4125" TargetMode="External"/><Relationship Id="rId22" Type="http://schemas.openxmlformats.org/officeDocument/2006/relationships/image" Target="media/image10.bin"/><Relationship Id="rId27" Type="http://schemas.openxmlformats.org/officeDocument/2006/relationships/image" Target="media/image15.bin"/><Relationship Id="rId30" Type="http://schemas.openxmlformats.org/officeDocument/2006/relationships/image" Target="media/image18.bin"/><Relationship Id="rId8" Type="http://schemas.openxmlformats.org/officeDocument/2006/relationships/hyperlink" Target="http://www.secretariasenado.gov.co/senado/basedoc/ley_0005_1992.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mRPzEYACftg&amp;ab_channel=CanalCongresoColombia" TargetMode="External"/><Relationship Id="rId2" Type="http://schemas.openxmlformats.org/officeDocument/2006/relationships/hyperlink" Target="https://www.youtube.com/watch?v=mRPzEYACftg&amp;ab_channel=CanalCongresoColombia" TargetMode="External"/><Relationship Id="rId1" Type="http://schemas.openxmlformats.org/officeDocument/2006/relationships/hyperlink" Target="https://www.youtube.com/watch?v=mRPzEYACftg&amp;ab_channel=CanalCongresoColombia" TargetMode="External"/><Relationship Id="rId6" Type="http://schemas.openxmlformats.org/officeDocument/2006/relationships/hyperlink" Target="https://etbcsj-my.sharepoint.com/:v:/g/personal/karennperaltas_corteconstitucional_gov_co/Ee6IHl0rJS1HlOOT_5ff_hkBzLNyaXptcl8CaO4KeSOXpA?nav=eyJyZWZlcnJhbEluZm8iOnsicmVmZXJyYWxBcHAiOiJPbmVEcml2ZUZvckJ1c2luZXNzIiwicmVmZXJyYWxBcHBQbGF0Zm9ybSI6IldlYiIsInJlZmVycmFsTW9kZSI6InZpZXciLCJyZWZlcnJhbFZpZXciOiJNeUZpbGVzTGlua0NvcHkifX0&amp;e=B3q0ef" TargetMode="External"/><Relationship Id="rId5" Type="http://schemas.openxmlformats.org/officeDocument/2006/relationships/hyperlink" Target="https://www.youtube.com/watch?v=mRPzEYACftg&amp;ab_channel=CanalCongresoColombia" TargetMode="External"/><Relationship Id="rId4" Type="http://schemas.openxmlformats.org/officeDocument/2006/relationships/hyperlink" Target="https://colaboracion.dnp.gov.co/CDT/DNP/manual_de_clasificacion_presupuestal.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82471</Words>
  <Characters>453591</Characters>
  <Application>Microsoft Office Word</Application>
  <DocSecurity>0</DocSecurity>
  <Lines>3779</Lines>
  <Paragraphs>1069</Paragraphs>
  <ScaleCrop>false</ScaleCrop>
  <Company/>
  <LinksUpToDate>false</LinksUpToDate>
  <CharactersWithSpaces>534993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2024-10-10T14:33:00Z</dcterms:created>
  <dcterms:modified xsi:type="dcterms:W3CDTF">2024-10-10T14:33:00Z</dcterms:modified>
</cp:coreProperties>
</file>