
<file path=[Content_Types].xml><?xml version="1.0" encoding="utf-8"?>
<Types xmlns="http://schemas.openxmlformats.org/package/2006/content-types">
  <Default Extension="bin"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7D8" w:rsidRPr="00527F3E" w:rsidRDefault="00BE0B18">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527F3E">
        <w:rPr>
          <w:rFonts w:ascii="Times New Roman" w:hAnsi="Times New Roman" w:cs="Times New Roman"/>
          <w:sz w:val="28"/>
          <w:szCs w:val="24"/>
        </w:rPr>
        <w:t xml:space="preserve"> </w:t>
      </w:r>
    </w:p>
    <w:p w:rsidR="00FB37D8" w:rsidRPr="00527F3E" w:rsidRDefault="00FB37D8">
      <w:pPr>
        <w:widowControl w:val="0"/>
        <w:autoSpaceDE w:val="0"/>
        <w:autoSpaceDN w:val="0"/>
        <w:adjustRightInd w:val="0"/>
        <w:spacing w:after="0" w:line="240" w:lineRule="auto"/>
        <w:rPr>
          <w:rFonts w:ascii="Times New Roman" w:hAnsi="Times New Roman" w:cs="Times New Roman"/>
          <w:sz w:val="28"/>
          <w:szCs w:val="28"/>
        </w:rPr>
      </w:pPr>
    </w:p>
    <w:p w:rsidR="00FB37D8" w:rsidRPr="00527F3E" w:rsidRDefault="00BE0B18">
      <w:pPr>
        <w:widowControl w:val="0"/>
        <w:autoSpaceDE w:val="0"/>
        <w:autoSpaceDN w:val="0"/>
        <w:adjustRightInd w:val="0"/>
        <w:spacing w:after="0" w:line="240" w:lineRule="auto"/>
        <w:jc w:val="center"/>
        <w:rPr>
          <w:rFonts w:ascii="Times New Roman" w:hAnsi="Times New Roman" w:cs="Times New Roman"/>
          <w:b/>
          <w:bCs/>
          <w:sz w:val="28"/>
          <w:szCs w:val="28"/>
        </w:rPr>
      </w:pPr>
      <w:r w:rsidRPr="00527F3E">
        <w:rPr>
          <w:rFonts w:ascii="Times New Roman" w:hAnsi="Times New Roman" w:cs="Times New Roman"/>
          <w:b/>
          <w:bCs/>
          <w:sz w:val="28"/>
          <w:szCs w:val="28"/>
        </w:rPr>
        <w:t xml:space="preserve">TEMAS-SUBTEMAS </w:t>
      </w:r>
    </w:p>
    <w:p w:rsidR="00FB37D8" w:rsidRPr="00527F3E" w:rsidRDefault="00FB37D8">
      <w:pPr>
        <w:widowControl w:val="0"/>
        <w:autoSpaceDE w:val="0"/>
        <w:autoSpaceDN w:val="0"/>
        <w:adjustRightInd w:val="0"/>
        <w:spacing w:after="0" w:line="240" w:lineRule="auto"/>
        <w:jc w:val="center"/>
        <w:rPr>
          <w:rFonts w:ascii="Times New Roman" w:hAnsi="Times New Roman" w:cs="Times New Roman"/>
          <w:b/>
          <w:bCs/>
          <w:sz w:val="28"/>
          <w:szCs w:val="28"/>
        </w:rPr>
      </w:pPr>
    </w:p>
    <w:p w:rsidR="00FB37D8" w:rsidRPr="00527F3E" w:rsidRDefault="00BE0B18">
      <w:pPr>
        <w:widowControl w:val="0"/>
        <w:autoSpaceDE w:val="0"/>
        <w:autoSpaceDN w:val="0"/>
        <w:adjustRightInd w:val="0"/>
        <w:spacing w:after="0" w:line="240" w:lineRule="auto"/>
        <w:jc w:val="center"/>
        <w:rPr>
          <w:rFonts w:ascii="Times New Roman" w:hAnsi="Times New Roman" w:cs="Times New Roman"/>
          <w:sz w:val="28"/>
          <w:szCs w:val="28"/>
        </w:rPr>
      </w:pPr>
      <w:r w:rsidRPr="00527F3E">
        <w:rPr>
          <w:rFonts w:ascii="Times New Roman" w:hAnsi="Times New Roman" w:cs="Times New Roman"/>
          <w:b/>
          <w:bCs/>
          <w:sz w:val="28"/>
          <w:szCs w:val="28"/>
        </w:rPr>
        <w:t xml:space="preserve">Sentencia C-168/24 </w:t>
      </w:r>
    </w:p>
    <w:p w:rsidR="00FB37D8" w:rsidRPr="00527F3E" w:rsidRDefault="00FB37D8">
      <w:pPr>
        <w:widowControl w:val="0"/>
        <w:autoSpaceDE w:val="0"/>
        <w:autoSpaceDN w:val="0"/>
        <w:adjustRightInd w:val="0"/>
        <w:spacing w:after="0" w:line="240" w:lineRule="auto"/>
        <w:jc w:val="both"/>
        <w:rPr>
          <w:rFonts w:ascii="Times New Roman" w:hAnsi="Times New Roman" w:cs="Times New Roman"/>
          <w:sz w:val="28"/>
          <w:szCs w:val="28"/>
        </w:rPr>
      </w:pPr>
    </w:p>
    <w:p w:rsidR="00FB37D8" w:rsidRPr="00527F3E" w:rsidRDefault="00BE0B18">
      <w:pPr>
        <w:widowControl w:val="0"/>
        <w:autoSpaceDE w:val="0"/>
        <w:autoSpaceDN w:val="0"/>
        <w:adjustRightInd w:val="0"/>
        <w:spacing w:after="0" w:line="240" w:lineRule="auto"/>
        <w:jc w:val="both"/>
        <w:rPr>
          <w:rFonts w:ascii="Times New Roman" w:hAnsi="Times New Roman" w:cs="Times New Roman"/>
          <w:sz w:val="28"/>
          <w:szCs w:val="28"/>
        </w:rPr>
      </w:pPr>
      <w:r w:rsidRPr="00527F3E">
        <w:rPr>
          <w:rFonts w:ascii="Times New Roman" w:hAnsi="Times New Roman" w:cs="Times New Roman"/>
          <w:b/>
          <w:bCs/>
          <w:sz w:val="28"/>
          <w:szCs w:val="28"/>
        </w:rPr>
        <w:t>PRINCIPIO DE UNIDAD DE MATERIA</w:t>
      </w:r>
      <w:r w:rsidRPr="00527F3E">
        <w:rPr>
          <w:rFonts w:ascii="Times New Roman" w:hAnsi="Times New Roman" w:cs="Times New Roman"/>
          <w:sz w:val="28"/>
          <w:szCs w:val="28"/>
        </w:rPr>
        <w:t>-No se vulnera en norma destinada a financiar el déficit de los sistemas integrados de transporte masivo y sistemas estratégicos de transporte, incluida en ley de adición presupuestal</w:t>
      </w:r>
    </w:p>
    <w:p w:rsidR="00FB37D8" w:rsidRPr="00527F3E" w:rsidRDefault="00FB37D8">
      <w:pPr>
        <w:widowControl w:val="0"/>
        <w:autoSpaceDE w:val="0"/>
        <w:autoSpaceDN w:val="0"/>
        <w:adjustRightInd w:val="0"/>
        <w:spacing w:after="0" w:line="240" w:lineRule="auto"/>
        <w:jc w:val="both"/>
        <w:rPr>
          <w:rFonts w:ascii="Times New Roman" w:hAnsi="Times New Roman" w:cs="Times New Roman"/>
          <w:sz w:val="28"/>
          <w:szCs w:val="28"/>
        </w:rPr>
      </w:pPr>
    </w:p>
    <w:p w:rsidR="00FB37D8" w:rsidRPr="00527F3E" w:rsidRDefault="00BE0B18">
      <w:pPr>
        <w:widowControl w:val="0"/>
        <w:autoSpaceDE w:val="0"/>
        <w:autoSpaceDN w:val="0"/>
        <w:adjustRightInd w:val="0"/>
        <w:spacing w:after="0" w:line="240" w:lineRule="auto"/>
        <w:jc w:val="both"/>
        <w:rPr>
          <w:rFonts w:ascii="Times New Roman" w:hAnsi="Times New Roman" w:cs="Times New Roman"/>
          <w:sz w:val="28"/>
          <w:szCs w:val="28"/>
        </w:rPr>
      </w:pPr>
      <w:r w:rsidRPr="00527F3E">
        <w:rPr>
          <w:rFonts w:ascii="Times New Roman" w:hAnsi="Times New Roman" w:cs="Times New Roman"/>
          <w:i/>
          <w:iCs/>
          <w:sz w:val="28"/>
          <w:szCs w:val="28"/>
        </w:rPr>
        <w:t>(...) ninguno de los contenidos normativos incluidos en el parágrafo 2º del artículo 4 de la Ley 2299 de 2003 desconoce el principio de unidad de materia (arts. 158 y 169, C.P.). Esta conclusión se soporta en las siguientes premisas: Primera, los tres contenidos normativos incluidos en el parágrafo acusado guardan un vínculo instrumental con el tema presupuestal, en tanto están orientados a garantizar la adecuada ejecución del presupuesto general de la Nación, específicamente del rubro destinado a financiar el déficit de los SITM y los SETP. Segunda, el parágrafo acusado no modifica normas sustantivas, pues su alcance consiste en ordenar a las entidades territoriales aplicar los instrumentos normativos previstos en la ley de contratación estatal para revisar el equilibrio económico de los contratos y restablecerlo cuando se haya afectado de manera grave en perjuicio de las entidades territoriales y los usuarios; ni de la literalidad del parágrafo 2º acusado, ni de los antecedentes legislativos, se infiere el propósito de modificar la normatividad general en materia de contratación sino, más bien, el de darle cumplimiento. Tercera, la norma acusada no tiene vocación de permanencia, por cuanto expresamente fijó su vigencia hasta el 31 de diciembre de 2023 y no mantuvo sus efectos luego de esta fecha, con lo cual respeta el principio de anualidad que rige en materia de leyes de presupuesto.</w:t>
      </w:r>
    </w:p>
    <w:p w:rsidR="00FB37D8" w:rsidRPr="00527F3E" w:rsidRDefault="00FB37D8">
      <w:pPr>
        <w:widowControl w:val="0"/>
        <w:autoSpaceDE w:val="0"/>
        <w:autoSpaceDN w:val="0"/>
        <w:adjustRightInd w:val="0"/>
        <w:spacing w:after="0" w:line="240" w:lineRule="auto"/>
        <w:jc w:val="both"/>
        <w:rPr>
          <w:rFonts w:ascii="Times New Roman" w:hAnsi="Times New Roman" w:cs="Times New Roman"/>
          <w:sz w:val="28"/>
          <w:szCs w:val="28"/>
        </w:rPr>
      </w:pPr>
    </w:p>
    <w:p w:rsidR="00FB37D8" w:rsidRPr="00527F3E" w:rsidRDefault="00BE0B18">
      <w:pPr>
        <w:widowControl w:val="0"/>
        <w:autoSpaceDE w:val="0"/>
        <w:autoSpaceDN w:val="0"/>
        <w:adjustRightInd w:val="0"/>
        <w:spacing w:after="0" w:line="240" w:lineRule="auto"/>
        <w:jc w:val="both"/>
        <w:rPr>
          <w:rFonts w:ascii="Times New Roman" w:hAnsi="Times New Roman" w:cs="Times New Roman"/>
          <w:sz w:val="28"/>
          <w:szCs w:val="28"/>
        </w:rPr>
      </w:pPr>
      <w:r w:rsidRPr="00527F3E">
        <w:rPr>
          <w:rFonts w:ascii="Times New Roman" w:hAnsi="Times New Roman" w:cs="Times New Roman"/>
          <w:b/>
          <w:bCs/>
          <w:sz w:val="28"/>
          <w:szCs w:val="28"/>
        </w:rPr>
        <w:t>CONTROL DE CONSTITUCIONALIDAD</w:t>
      </w:r>
      <w:r w:rsidRPr="00527F3E">
        <w:rPr>
          <w:rFonts w:ascii="Times New Roman" w:hAnsi="Times New Roman" w:cs="Times New Roman"/>
          <w:sz w:val="28"/>
          <w:szCs w:val="28"/>
        </w:rPr>
        <w:t xml:space="preserve">-Procedencia respecto de normas vigentes o de aquellas que habiendo perdido su vigencia pueden continuar produciendo efectos jurídicos </w:t>
      </w:r>
    </w:p>
    <w:p w:rsidR="00FB37D8" w:rsidRPr="00527F3E" w:rsidRDefault="00FB37D8">
      <w:pPr>
        <w:widowControl w:val="0"/>
        <w:autoSpaceDE w:val="0"/>
        <w:autoSpaceDN w:val="0"/>
        <w:adjustRightInd w:val="0"/>
        <w:spacing w:after="0" w:line="240" w:lineRule="auto"/>
        <w:jc w:val="both"/>
        <w:rPr>
          <w:rFonts w:ascii="Times New Roman" w:hAnsi="Times New Roman" w:cs="Times New Roman"/>
          <w:sz w:val="28"/>
          <w:szCs w:val="28"/>
        </w:rPr>
      </w:pPr>
    </w:p>
    <w:p w:rsidR="00FB37D8" w:rsidRPr="00527F3E" w:rsidRDefault="00BE0B18">
      <w:pPr>
        <w:widowControl w:val="0"/>
        <w:autoSpaceDE w:val="0"/>
        <w:autoSpaceDN w:val="0"/>
        <w:adjustRightInd w:val="0"/>
        <w:spacing w:after="0" w:line="240" w:lineRule="auto"/>
        <w:jc w:val="both"/>
        <w:rPr>
          <w:rFonts w:ascii="Times New Roman" w:hAnsi="Times New Roman" w:cs="Times New Roman"/>
          <w:sz w:val="28"/>
          <w:szCs w:val="28"/>
        </w:rPr>
      </w:pPr>
      <w:r w:rsidRPr="00527F3E">
        <w:rPr>
          <w:rFonts w:ascii="Times New Roman" w:hAnsi="Times New Roman" w:cs="Times New Roman"/>
          <w:b/>
          <w:bCs/>
          <w:sz w:val="28"/>
          <w:szCs w:val="28"/>
        </w:rPr>
        <w:t>CONTROL CONSTITUCIONAL</w:t>
      </w:r>
      <w:r w:rsidRPr="00527F3E">
        <w:rPr>
          <w:rFonts w:ascii="Times New Roman" w:hAnsi="Times New Roman" w:cs="Times New Roman"/>
          <w:sz w:val="28"/>
          <w:szCs w:val="28"/>
        </w:rPr>
        <w:t xml:space="preserve">-Hipótesis excepcional cuando disposición ha dejado de producir efectos jurídicos </w:t>
      </w:r>
    </w:p>
    <w:p w:rsidR="00FB37D8" w:rsidRPr="00527F3E" w:rsidRDefault="00FB37D8">
      <w:pPr>
        <w:widowControl w:val="0"/>
        <w:autoSpaceDE w:val="0"/>
        <w:autoSpaceDN w:val="0"/>
        <w:adjustRightInd w:val="0"/>
        <w:spacing w:after="0" w:line="240" w:lineRule="auto"/>
        <w:jc w:val="both"/>
        <w:rPr>
          <w:rFonts w:ascii="Times New Roman" w:hAnsi="Times New Roman" w:cs="Times New Roman"/>
          <w:sz w:val="28"/>
          <w:szCs w:val="28"/>
        </w:rPr>
      </w:pPr>
    </w:p>
    <w:p w:rsidR="00FB37D8" w:rsidRPr="00527F3E" w:rsidRDefault="00BE0B18">
      <w:pPr>
        <w:widowControl w:val="0"/>
        <w:autoSpaceDE w:val="0"/>
        <w:autoSpaceDN w:val="0"/>
        <w:adjustRightInd w:val="0"/>
        <w:spacing w:after="0" w:line="240" w:lineRule="auto"/>
        <w:jc w:val="both"/>
        <w:rPr>
          <w:rFonts w:ascii="Times New Roman" w:hAnsi="Times New Roman" w:cs="Times New Roman"/>
          <w:sz w:val="28"/>
          <w:szCs w:val="28"/>
        </w:rPr>
      </w:pPr>
      <w:r w:rsidRPr="00527F3E">
        <w:rPr>
          <w:rFonts w:ascii="Times New Roman" w:hAnsi="Times New Roman" w:cs="Times New Roman"/>
          <w:b/>
          <w:bCs/>
          <w:sz w:val="28"/>
          <w:szCs w:val="28"/>
        </w:rPr>
        <w:t>PRINCIPIO PERPETUATIO JURISDICTIONIS</w:t>
      </w:r>
      <w:r w:rsidRPr="00527F3E">
        <w:rPr>
          <w:rFonts w:ascii="Times New Roman" w:hAnsi="Times New Roman" w:cs="Times New Roman"/>
          <w:sz w:val="28"/>
          <w:szCs w:val="28"/>
        </w:rPr>
        <w:t>-Aplicación respecto de norma que ha dejado de regir</w:t>
      </w:r>
    </w:p>
    <w:p w:rsidR="00FB37D8" w:rsidRPr="00527F3E" w:rsidRDefault="00FB37D8">
      <w:pPr>
        <w:widowControl w:val="0"/>
        <w:autoSpaceDE w:val="0"/>
        <w:autoSpaceDN w:val="0"/>
        <w:adjustRightInd w:val="0"/>
        <w:spacing w:after="0" w:line="240" w:lineRule="auto"/>
        <w:jc w:val="both"/>
        <w:rPr>
          <w:rFonts w:ascii="Times New Roman" w:hAnsi="Times New Roman" w:cs="Times New Roman"/>
          <w:sz w:val="28"/>
          <w:szCs w:val="28"/>
        </w:rPr>
      </w:pPr>
    </w:p>
    <w:p w:rsidR="00FB37D8" w:rsidRPr="00527F3E" w:rsidRDefault="00BE0B18">
      <w:pPr>
        <w:widowControl w:val="0"/>
        <w:autoSpaceDE w:val="0"/>
        <w:autoSpaceDN w:val="0"/>
        <w:adjustRightInd w:val="0"/>
        <w:spacing w:after="0" w:line="240" w:lineRule="auto"/>
        <w:jc w:val="both"/>
        <w:rPr>
          <w:rFonts w:ascii="Times New Roman" w:hAnsi="Times New Roman" w:cs="Times New Roman"/>
          <w:sz w:val="28"/>
          <w:szCs w:val="28"/>
        </w:rPr>
      </w:pPr>
      <w:r w:rsidRPr="00527F3E">
        <w:rPr>
          <w:rFonts w:ascii="Times New Roman" w:hAnsi="Times New Roman" w:cs="Times New Roman"/>
          <w:i/>
          <w:iCs/>
          <w:sz w:val="28"/>
          <w:szCs w:val="28"/>
        </w:rPr>
        <w:t>(...) en aplicación del principio de perpetuatio jurisdictionis, según el cual la pérdida de vigencia no impide que el juez constitucional pueda decidir sobre el fondo; (ii) en casos excepcionales donde una norma derogada todavía continúa teniendo efectos jurídicos dentro del ordenamiento; y (iii) cuando existe la posibilidad de que la norma tenga efectos en el futuro. En tales circunstancias, la Corte ha dicho que está justificado pronunciarse sobre la validez jurídica de disposiciones no vigentes.</w:t>
      </w:r>
    </w:p>
    <w:p w:rsidR="00FB37D8" w:rsidRPr="00527F3E" w:rsidRDefault="00FB37D8">
      <w:pPr>
        <w:widowControl w:val="0"/>
        <w:autoSpaceDE w:val="0"/>
        <w:autoSpaceDN w:val="0"/>
        <w:adjustRightInd w:val="0"/>
        <w:spacing w:after="0" w:line="240" w:lineRule="auto"/>
        <w:jc w:val="both"/>
        <w:rPr>
          <w:rFonts w:ascii="Times New Roman" w:hAnsi="Times New Roman" w:cs="Times New Roman"/>
          <w:sz w:val="28"/>
          <w:szCs w:val="28"/>
        </w:rPr>
      </w:pPr>
    </w:p>
    <w:p w:rsidR="00FB37D8" w:rsidRPr="00527F3E" w:rsidRDefault="00BE0B18">
      <w:pPr>
        <w:widowControl w:val="0"/>
        <w:autoSpaceDE w:val="0"/>
        <w:autoSpaceDN w:val="0"/>
        <w:adjustRightInd w:val="0"/>
        <w:spacing w:after="0" w:line="240" w:lineRule="auto"/>
        <w:jc w:val="both"/>
        <w:rPr>
          <w:rFonts w:ascii="Times New Roman" w:hAnsi="Times New Roman" w:cs="Times New Roman"/>
          <w:sz w:val="28"/>
          <w:szCs w:val="28"/>
        </w:rPr>
      </w:pPr>
      <w:r w:rsidRPr="00527F3E">
        <w:rPr>
          <w:rFonts w:ascii="Times New Roman" w:hAnsi="Times New Roman" w:cs="Times New Roman"/>
          <w:b/>
          <w:bCs/>
          <w:sz w:val="28"/>
          <w:szCs w:val="28"/>
        </w:rPr>
        <w:t>PRINCIPIO DE UNIDAD DE MATERIA</w:t>
      </w:r>
      <w:r w:rsidRPr="00527F3E">
        <w:rPr>
          <w:rFonts w:ascii="Times New Roman" w:hAnsi="Times New Roman" w:cs="Times New Roman"/>
          <w:sz w:val="28"/>
          <w:szCs w:val="28"/>
        </w:rPr>
        <w:t xml:space="preserve">-Contenido y alcance </w:t>
      </w:r>
    </w:p>
    <w:p w:rsidR="00FB37D8" w:rsidRPr="00527F3E" w:rsidRDefault="00FB37D8">
      <w:pPr>
        <w:widowControl w:val="0"/>
        <w:autoSpaceDE w:val="0"/>
        <w:autoSpaceDN w:val="0"/>
        <w:adjustRightInd w:val="0"/>
        <w:spacing w:after="0" w:line="240" w:lineRule="auto"/>
        <w:jc w:val="both"/>
        <w:rPr>
          <w:rFonts w:ascii="Times New Roman" w:hAnsi="Times New Roman" w:cs="Times New Roman"/>
          <w:sz w:val="28"/>
          <w:szCs w:val="28"/>
        </w:rPr>
      </w:pPr>
    </w:p>
    <w:p w:rsidR="00FB37D8" w:rsidRPr="00527F3E" w:rsidRDefault="00BE0B18">
      <w:pPr>
        <w:widowControl w:val="0"/>
        <w:autoSpaceDE w:val="0"/>
        <w:autoSpaceDN w:val="0"/>
        <w:adjustRightInd w:val="0"/>
        <w:spacing w:after="0" w:line="240" w:lineRule="auto"/>
        <w:jc w:val="both"/>
        <w:rPr>
          <w:rFonts w:ascii="Times New Roman" w:hAnsi="Times New Roman" w:cs="Times New Roman"/>
          <w:sz w:val="28"/>
          <w:szCs w:val="28"/>
        </w:rPr>
      </w:pPr>
      <w:r w:rsidRPr="00527F3E">
        <w:rPr>
          <w:rFonts w:ascii="Times New Roman" w:hAnsi="Times New Roman" w:cs="Times New Roman"/>
          <w:b/>
          <w:bCs/>
          <w:sz w:val="28"/>
          <w:szCs w:val="28"/>
        </w:rPr>
        <w:t>PRINCIPIO DE UNIDAD DE MATERIA</w:t>
      </w:r>
      <w:r w:rsidRPr="00527F3E">
        <w:rPr>
          <w:rFonts w:ascii="Times New Roman" w:hAnsi="Times New Roman" w:cs="Times New Roman"/>
          <w:sz w:val="28"/>
          <w:szCs w:val="28"/>
        </w:rPr>
        <w:t xml:space="preserve">-Conexidad causal, teleológica, temática o sistemática </w:t>
      </w:r>
    </w:p>
    <w:p w:rsidR="00FB37D8" w:rsidRPr="00527F3E" w:rsidRDefault="00FB37D8">
      <w:pPr>
        <w:widowControl w:val="0"/>
        <w:autoSpaceDE w:val="0"/>
        <w:autoSpaceDN w:val="0"/>
        <w:adjustRightInd w:val="0"/>
        <w:spacing w:after="0" w:line="240" w:lineRule="auto"/>
        <w:jc w:val="both"/>
        <w:rPr>
          <w:rFonts w:ascii="Times New Roman" w:hAnsi="Times New Roman" w:cs="Times New Roman"/>
          <w:sz w:val="28"/>
          <w:szCs w:val="28"/>
        </w:rPr>
      </w:pPr>
    </w:p>
    <w:p w:rsidR="00FB37D8" w:rsidRPr="00527F3E" w:rsidRDefault="00BE0B18">
      <w:pPr>
        <w:widowControl w:val="0"/>
        <w:autoSpaceDE w:val="0"/>
        <w:autoSpaceDN w:val="0"/>
        <w:adjustRightInd w:val="0"/>
        <w:spacing w:after="0" w:line="240" w:lineRule="auto"/>
        <w:jc w:val="both"/>
        <w:rPr>
          <w:rFonts w:ascii="Times New Roman" w:hAnsi="Times New Roman" w:cs="Times New Roman"/>
          <w:sz w:val="28"/>
          <w:szCs w:val="28"/>
        </w:rPr>
      </w:pPr>
      <w:r w:rsidRPr="00527F3E">
        <w:rPr>
          <w:rFonts w:ascii="Times New Roman" w:hAnsi="Times New Roman" w:cs="Times New Roman"/>
          <w:b/>
          <w:bCs/>
          <w:sz w:val="28"/>
          <w:szCs w:val="28"/>
        </w:rPr>
        <w:t>PRINCIPIO DE UNIDAD DE MATERIA EN LEY ANUAL DE PRESUPUESTO</w:t>
      </w:r>
      <w:r w:rsidRPr="00527F3E">
        <w:rPr>
          <w:rFonts w:ascii="Times New Roman" w:hAnsi="Times New Roman" w:cs="Times New Roman"/>
          <w:sz w:val="28"/>
          <w:szCs w:val="28"/>
        </w:rPr>
        <w:t>-Jurisprudencia constitucional</w:t>
      </w:r>
    </w:p>
    <w:p w:rsidR="00FB37D8" w:rsidRPr="00527F3E" w:rsidRDefault="00FB37D8">
      <w:pPr>
        <w:widowControl w:val="0"/>
        <w:autoSpaceDE w:val="0"/>
        <w:autoSpaceDN w:val="0"/>
        <w:adjustRightInd w:val="0"/>
        <w:spacing w:after="0" w:line="240" w:lineRule="auto"/>
        <w:jc w:val="both"/>
        <w:rPr>
          <w:rFonts w:ascii="Times New Roman" w:hAnsi="Times New Roman" w:cs="Times New Roman"/>
          <w:sz w:val="28"/>
          <w:szCs w:val="28"/>
        </w:rPr>
      </w:pPr>
    </w:p>
    <w:p w:rsidR="00FB37D8" w:rsidRPr="00527F3E" w:rsidRDefault="00BE0B18">
      <w:pPr>
        <w:widowControl w:val="0"/>
        <w:autoSpaceDE w:val="0"/>
        <w:autoSpaceDN w:val="0"/>
        <w:adjustRightInd w:val="0"/>
        <w:spacing w:after="0" w:line="240" w:lineRule="auto"/>
        <w:jc w:val="both"/>
        <w:rPr>
          <w:rFonts w:ascii="Times New Roman" w:hAnsi="Times New Roman" w:cs="Times New Roman"/>
          <w:sz w:val="28"/>
          <w:szCs w:val="28"/>
        </w:rPr>
      </w:pPr>
      <w:r w:rsidRPr="00527F3E">
        <w:rPr>
          <w:rFonts w:ascii="Times New Roman" w:hAnsi="Times New Roman" w:cs="Times New Roman"/>
          <w:i/>
          <w:iCs/>
          <w:sz w:val="28"/>
          <w:szCs w:val="28"/>
        </w:rPr>
        <w:t>(...) al examinar las implicaciones del principio de unidad de materia frente a las leyes anuales de presupuesto y las que la adicionan o modifican, el precedente constitucional es pacífico al señalar que: “[U]na norma incluida dentro de la ley anual de presupuesto puede guardar una relación de conexidad (i) causal, (ii) teleológica, (iii) temática o (iv) sistémica con la materia general del cuerpo normativo en el que se inserta. En el caso de las leyes anuales de presupuesto se suman tres criterios adicionales, (a) temporalidad (anual), (b) tema y (c) finalidad (presupuestal).  Por tanto, por ejemplo, las disposiciones generales de la ley anual del presupuesto no pueden tener vocación de permanencia, no pueden modificar reglas generales, incluidas en leyes permanentes”. Dicho de otro modo, para que se tenga por cumplido el principio de unidad de materia en las leyes anuales de presupuesto “deben acreditarse tres parámetros específicos: el vínculo con la materia presupuestal, la prohibición de modificar materias sustantivas y el cumplimiento del requisito de temporalidad”.</w:t>
      </w:r>
    </w:p>
    <w:p w:rsidR="00FB37D8" w:rsidRPr="00527F3E" w:rsidRDefault="00FB37D8">
      <w:pPr>
        <w:widowControl w:val="0"/>
        <w:autoSpaceDE w:val="0"/>
        <w:autoSpaceDN w:val="0"/>
        <w:adjustRightInd w:val="0"/>
        <w:spacing w:after="0" w:line="240" w:lineRule="auto"/>
        <w:jc w:val="both"/>
        <w:rPr>
          <w:rFonts w:ascii="Times New Roman" w:hAnsi="Times New Roman" w:cs="Times New Roman"/>
          <w:sz w:val="28"/>
          <w:szCs w:val="28"/>
        </w:rPr>
      </w:pPr>
    </w:p>
    <w:p w:rsidR="00FB37D8" w:rsidRPr="00527F3E" w:rsidRDefault="00BE0B18">
      <w:pPr>
        <w:widowControl w:val="0"/>
        <w:autoSpaceDE w:val="0"/>
        <w:autoSpaceDN w:val="0"/>
        <w:adjustRightInd w:val="0"/>
        <w:spacing w:after="0" w:line="240" w:lineRule="auto"/>
        <w:jc w:val="both"/>
        <w:rPr>
          <w:rFonts w:ascii="Times New Roman" w:hAnsi="Times New Roman" w:cs="Times New Roman"/>
          <w:sz w:val="28"/>
          <w:szCs w:val="28"/>
        </w:rPr>
      </w:pPr>
      <w:r w:rsidRPr="00527F3E">
        <w:rPr>
          <w:rFonts w:ascii="Times New Roman" w:hAnsi="Times New Roman" w:cs="Times New Roman"/>
          <w:b/>
          <w:bCs/>
          <w:sz w:val="28"/>
          <w:szCs w:val="28"/>
        </w:rPr>
        <w:t>LEY ANUAL DE PRESUPUESTO</w:t>
      </w:r>
      <w:r w:rsidRPr="00527F3E">
        <w:rPr>
          <w:rFonts w:ascii="Times New Roman" w:hAnsi="Times New Roman" w:cs="Times New Roman"/>
          <w:sz w:val="28"/>
          <w:szCs w:val="28"/>
        </w:rPr>
        <w:t xml:space="preserve">-Aplicación del principio de unidad de materia </w:t>
      </w:r>
    </w:p>
    <w:p w:rsidR="00FB37D8" w:rsidRPr="00527F3E" w:rsidRDefault="00FB37D8">
      <w:pPr>
        <w:widowControl w:val="0"/>
        <w:autoSpaceDE w:val="0"/>
        <w:autoSpaceDN w:val="0"/>
        <w:adjustRightInd w:val="0"/>
        <w:spacing w:after="0" w:line="240" w:lineRule="auto"/>
        <w:jc w:val="both"/>
        <w:rPr>
          <w:rFonts w:ascii="Times New Roman" w:hAnsi="Times New Roman" w:cs="Times New Roman"/>
          <w:sz w:val="28"/>
          <w:szCs w:val="28"/>
        </w:rPr>
      </w:pPr>
    </w:p>
    <w:p w:rsidR="00FB37D8" w:rsidRPr="00527F3E" w:rsidRDefault="00BE0B18">
      <w:pPr>
        <w:widowControl w:val="0"/>
        <w:autoSpaceDE w:val="0"/>
        <w:autoSpaceDN w:val="0"/>
        <w:adjustRightInd w:val="0"/>
        <w:spacing w:after="0" w:line="240" w:lineRule="auto"/>
        <w:jc w:val="both"/>
        <w:rPr>
          <w:rFonts w:ascii="Times New Roman" w:hAnsi="Times New Roman" w:cs="Times New Roman"/>
          <w:sz w:val="28"/>
          <w:szCs w:val="28"/>
        </w:rPr>
      </w:pPr>
      <w:r w:rsidRPr="00527F3E">
        <w:rPr>
          <w:rFonts w:ascii="Times New Roman" w:hAnsi="Times New Roman" w:cs="Times New Roman"/>
          <w:b/>
          <w:bCs/>
          <w:sz w:val="28"/>
          <w:szCs w:val="28"/>
        </w:rPr>
        <w:t>LEY DE PRESUPUESTO</w:t>
      </w:r>
      <w:r w:rsidRPr="00527F3E">
        <w:rPr>
          <w:rFonts w:ascii="Times New Roman" w:hAnsi="Times New Roman" w:cs="Times New Roman"/>
          <w:sz w:val="28"/>
          <w:szCs w:val="28"/>
        </w:rPr>
        <w:t xml:space="preserve">-Jurisprudencia constitucional sobre casos en que se viola el principio de unidad de materia </w:t>
      </w:r>
    </w:p>
    <w:p w:rsidR="00FB37D8" w:rsidRPr="00527F3E" w:rsidRDefault="00FB37D8">
      <w:pPr>
        <w:widowControl w:val="0"/>
        <w:autoSpaceDE w:val="0"/>
        <w:autoSpaceDN w:val="0"/>
        <w:adjustRightInd w:val="0"/>
        <w:spacing w:after="0" w:line="240" w:lineRule="auto"/>
        <w:jc w:val="both"/>
        <w:rPr>
          <w:rFonts w:ascii="Times New Roman" w:hAnsi="Times New Roman" w:cs="Times New Roman"/>
          <w:sz w:val="28"/>
          <w:szCs w:val="28"/>
        </w:rPr>
      </w:pPr>
    </w:p>
    <w:p w:rsidR="00FB37D8" w:rsidRPr="00527F3E" w:rsidRDefault="00BE0B18">
      <w:pPr>
        <w:widowControl w:val="0"/>
        <w:autoSpaceDE w:val="0"/>
        <w:autoSpaceDN w:val="0"/>
        <w:adjustRightInd w:val="0"/>
        <w:spacing w:after="0" w:line="240" w:lineRule="auto"/>
        <w:jc w:val="both"/>
        <w:rPr>
          <w:rFonts w:ascii="Times New Roman" w:hAnsi="Times New Roman" w:cs="Times New Roman"/>
          <w:sz w:val="28"/>
          <w:szCs w:val="28"/>
        </w:rPr>
      </w:pPr>
      <w:r w:rsidRPr="00527F3E">
        <w:rPr>
          <w:rFonts w:ascii="Times New Roman" w:hAnsi="Times New Roman" w:cs="Times New Roman"/>
          <w:b/>
          <w:bCs/>
          <w:sz w:val="28"/>
          <w:szCs w:val="28"/>
        </w:rPr>
        <w:t>LEY DE PRESUPUESTO</w:t>
      </w:r>
      <w:r w:rsidRPr="00527F3E">
        <w:rPr>
          <w:rFonts w:ascii="Times New Roman" w:hAnsi="Times New Roman" w:cs="Times New Roman"/>
          <w:sz w:val="28"/>
          <w:szCs w:val="28"/>
        </w:rPr>
        <w:t xml:space="preserve">-Jurisprudencia constitucional sobre casos en que no se viola el principio de unidad de materia </w:t>
      </w:r>
    </w:p>
    <w:p w:rsidR="00FB37D8" w:rsidRPr="00527F3E" w:rsidRDefault="00FB37D8">
      <w:pPr>
        <w:widowControl w:val="0"/>
        <w:autoSpaceDE w:val="0"/>
        <w:autoSpaceDN w:val="0"/>
        <w:adjustRightInd w:val="0"/>
        <w:spacing w:after="0" w:line="240" w:lineRule="auto"/>
        <w:jc w:val="both"/>
        <w:rPr>
          <w:rFonts w:ascii="Times New Roman" w:hAnsi="Times New Roman" w:cs="Times New Roman"/>
          <w:sz w:val="28"/>
          <w:szCs w:val="28"/>
        </w:rPr>
      </w:pPr>
    </w:p>
    <w:p w:rsidR="00FB37D8" w:rsidRPr="00527F3E" w:rsidRDefault="00BE0B18">
      <w:pPr>
        <w:widowControl w:val="0"/>
        <w:autoSpaceDE w:val="0"/>
        <w:autoSpaceDN w:val="0"/>
        <w:adjustRightInd w:val="0"/>
        <w:spacing w:after="0" w:line="240" w:lineRule="auto"/>
        <w:jc w:val="both"/>
        <w:rPr>
          <w:rFonts w:ascii="Times New Roman" w:hAnsi="Times New Roman" w:cs="Times New Roman"/>
          <w:sz w:val="28"/>
          <w:szCs w:val="28"/>
        </w:rPr>
      </w:pPr>
      <w:r w:rsidRPr="00527F3E">
        <w:rPr>
          <w:rFonts w:ascii="Times New Roman" w:hAnsi="Times New Roman" w:cs="Times New Roman"/>
          <w:b/>
          <w:bCs/>
          <w:sz w:val="28"/>
          <w:szCs w:val="28"/>
        </w:rPr>
        <w:t>CONTROL DE CONSTITUCIONALIDAD POR VULNERACION DEL PRINCIPIO DE UNIDAD DE MATERIA</w:t>
      </w:r>
      <w:r w:rsidRPr="00527F3E">
        <w:rPr>
          <w:rFonts w:ascii="Times New Roman" w:hAnsi="Times New Roman" w:cs="Times New Roman"/>
          <w:sz w:val="28"/>
          <w:szCs w:val="28"/>
        </w:rPr>
        <w:t xml:space="preserve">-Metodología </w:t>
      </w:r>
    </w:p>
    <w:p w:rsidR="00FB37D8" w:rsidRPr="00527F3E" w:rsidRDefault="00FB37D8">
      <w:pPr>
        <w:widowControl w:val="0"/>
        <w:autoSpaceDE w:val="0"/>
        <w:autoSpaceDN w:val="0"/>
        <w:adjustRightInd w:val="0"/>
        <w:spacing w:after="0" w:line="240" w:lineRule="auto"/>
        <w:jc w:val="both"/>
        <w:rPr>
          <w:rFonts w:ascii="Times New Roman" w:hAnsi="Times New Roman" w:cs="Times New Roman"/>
          <w:sz w:val="28"/>
          <w:szCs w:val="28"/>
        </w:rPr>
      </w:pPr>
    </w:p>
    <w:p w:rsidR="00FB37D8" w:rsidRPr="00527F3E" w:rsidRDefault="00527F3E">
      <w:pPr>
        <w:widowControl w:val="0"/>
        <w:autoSpaceDE w:val="0"/>
        <w:autoSpaceDN w:val="0"/>
        <w:adjustRightInd w:val="0"/>
        <w:spacing w:after="0" w:line="240" w:lineRule="auto"/>
        <w:jc w:val="both"/>
        <w:rPr>
          <w:rFonts w:ascii="Times New Roman" w:hAnsi="Times New Roman" w:cs="Times New Roman"/>
          <w:sz w:val="28"/>
        </w:rPr>
      </w:pPr>
      <w:r w:rsidRPr="00527F3E">
        <w:rPr>
          <w:rFonts w:ascii="Times New Roman" w:hAnsi="Times New Roman" w:cs="Times New Roman"/>
          <w:sz w:val="28"/>
          <w:szCs w:val="28"/>
        </w:rPr>
        <w:pict>
          <v:rect id="_x0000_i1025" style="width:0;height:1.5pt" o:hralign="center" o:hrstd="t" o:hr="t" fillcolor="#a0a0a0" stroked="f"/>
        </w:pict>
      </w:r>
    </w:p>
    <w:p w:rsidR="00B9678A" w:rsidRPr="00527F3E" w:rsidRDefault="00527F3E" w:rsidP="00B9678A">
      <w:pPr>
        <w:tabs>
          <w:tab w:val="center" w:pos="4252"/>
          <w:tab w:val="right" w:pos="8504"/>
        </w:tabs>
        <w:spacing w:after="0" w:line="240" w:lineRule="auto"/>
        <w:jc w:val="center"/>
        <w:rPr>
          <w:rFonts w:ascii="Times New Roman" w:eastAsia="Times New Roman" w:hAnsi="Times New Roman" w:cs="Times New Roman"/>
          <w:b/>
          <w:bCs/>
          <w:color w:val="000000"/>
          <w:sz w:val="28"/>
          <w:szCs w:val="28"/>
          <w:lang w:eastAsia="es-ES_tradnl"/>
        </w:rPr>
      </w:pPr>
      <w:r w:rsidRPr="00527F3E">
        <w:rPr>
          <w:rFonts w:ascii="Times New Roman" w:eastAsia="Times New Roman" w:hAnsi="Times New Roman" w:cs="Times New Roman"/>
          <w:b/>
          <w:bCs/>
          <w:color w:val="000000"/>
          <w:sz w:val="28"/>
          <w:szCs w:val="28"/>
          <w:lang w:eastAsia="es-ES_tradnl"/>
        </w:rPr>
        <w:t>REPÚBLICA DE COLOMBIA</w:t>
      </w:r>
    </w:p>
    <w:p w:rsidR="00B9678A" w:rsidRPr="00527F3E" w:rsidRDefault="00527F3E" w:rsidP="00B9678A">
      <w:pPr>
        <w:tabs>
          <w:tab w:val="center" w:pos="4252"/>
          <w:tab w:val="right" w:pos="8504"/>
        </w:tabs>
        <w:spacing w:after="0" w:line="240" w:lineRule="auto"/>
        <w:jc w:val="center"/>
        <w:rPr>
          <w:rFonts w:ascii="Times New Roman" w:eastAsia="Times New Roman" w:hAnsi="Times New Roman" w:cs="Times New Roman"/>
          <w:b/>
          <w:bCs/>
          <w:color w:val="000000"/>
          <w:sz w:val="28"/>
          <w:szCs w:val="28"/>
          <w:lang w:eastAsia="es-ES_tradnl"/>
        </w:rPr>
      </w:pPr>
      <w:r w:rsidRPr="00527F3E">
        <w:rPr>
          <w:rFonts w:ascii="Times New Roman" w:eastAsia="Times New Roman" w:hAnsi="Times New Roman" w:cs="Times New Roman"/>
          <w:b/>
          <w:bCs/>
          <w:noProof/>
          <w:color w:val="000000"/>
          <w:sz w:val="28"/>
          <w:szCs w:val="28"/>
        </w:rPr>
        <w:drawing>
          <wp:inline distT="0" distB="0" distL="0" distR="0" wp14:anchorId="55733EE6" wp14:editId="4140E3E8">
            <wp:extent cx="792000" cy="792000"/>
            <wp:effectExtent l="0" t="0" r="0" b="0"/>
            <wp:docPr id="1"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inline>
        </w:drawing>
      </w:r>
    </w:p>
    <w:p w:rsidR="00B9678A" w:rsidRPr="00527F3E" w:rsidRDefault="00527F3E" w:rsidP="00B9678A">
      <w:pPr>
        <w:tabs>
          <w:tab w:val="center" w:pos="4252"/>
          <w:tab w:val="right" w:pos="8504"/>
        </w:tabs>
        <w:spacing w:after="0" w:line="240" w:lineRule="auto"/>
        <w:jc w:val="center"/>
        <w:rPr>
          <w:rFonts w:ascii="Times New Roman" w:eastAsia="Times New Roman" w:hAnsi="Times New Roman" w:cs="Times New Roman"/>
          <w:b/>
          <w:bCs/>
          <w:color w:val="000000"/>
          <w:sz w:val="28"/>
          <w:szCs w:val="28"/>
          <w:lang w:eastAsia="es-ES_tradnl"/>
        </w:rPr>
      </w:pPr>
      <w:r w:rsidRPr="00527F3E">
        <w:rPr>
          <w:rFonts w:ascii="Times New Roman" w:eastAsia="Times New Roman" w:hAnsi="Times New Roman" w:cs="Times New Roman"/>
          <w:b/>
          <w:bCs/>
          <w:color w:val="000000"/>
          <w:sz w:val="28"/>
          <w:szCs w:val="28"/>
          <w:lang w:eastAsia="es-ES_tradnl"/>
        </w:rPr>
        <w:t>CORTE CONSTITUCIONAL</w:t>
      </w:r>
    </w:p>
    <w:p w:rsidR="00B9678A" w:rsidRPr="00527F3E" w:rsidRDefault="00527F3E" w:rsidP="00B9678A">
      <w:pPr>
        <w:spacing w:after="0" w:line="240" w:lineRule="auto"/>
        <w:jc w:val="center"/>
        <w:rPr>
          <w:rFonts w:ascii="Times New Roman" w:eastAsia="Times New Roman" w:hAnsi="Times New Roman" w:cs="Times New Roman"/>
          <w:color w:val="000000"/>
          <w:sz w:val="28"/>
          <w:szCs w:val="28"/>
          <w:lang w:eastAsia="es-ES_tradnl"/>
        </w:rPr>
      </w:pPr>
    </w:p>
    <w:p w:rsidR="00B9678A" w:rsidRPr="00527F3E" w:rsidRDefault="00527F3E" w:rsidP="00B9678A">
      <w:pPr>
        <w:spacing w:after="0" w:line="240" w:lineRule="auto"/>
        <w:jc w:val="center"/>
        <w:rPr>
          <w:rFonts w:ascii="Times New Roman" w:eastAsia="Times New Roman" w:hAnsi="Times New Roman" w:cs="Times New Roman"/>
          <w:b/>
          <w:bCs/>
          <w:color w:val="000000"/>
          <w:sz w:val="28"/>
          <w:szCs w:val="28"/>
          <w:lang w:eastAsia="es-ES_tradnl"/>
        </w:rPr>
      </w:pPr>
      <w:r w:rsidRPr="00527F3E">
        <w:rPr>
          <w:rFonts w:ascii="Times New Roman" w:eastAsia="Times New Roman" w:hAnsi="Times New Roman" w:cs="Times New Roman"/>
          <w:b/>
          <w:bCs/>
          <w:color w:val="000000"/>
          <w:sz w:val="28"/>
          <w:szCs w:val="28"/>
          <w:lang w:eastAsia="es-ES_tradnl"/>
        </w:rPr>
        <w:t>SENTENCIA C-168 DE 2024</w:t>
      </w:r>
    </w:p>
    <w:p w:rsidR="00B9678A" w:rsidRPr="00527F3E" w:rsidRDefault="00527F3E" w:rsidP="00B9678A">
      <w:pPr>
        <w:spacing w:after="0" w:line="240" w:lineRule="auto"/>
        <w:rPr>
          <w:rFonts w:ascii="Times New Roman" w:eastAsia="Times New Roman" w:hAnsi="Times New Roman" w:cs="Times New Roman"/>
          <w:b/>
          <w:bCs/>
          <w:color w:val="000000"/>
          <w:sz w:val="28"/>
          <w:szCs w:val="28"/>
          <w:lang w:eastAsia="es-ES_tradnl"/>
        </w:rPr>
      </w:pPr>
    </w:p>
    <w:p w:rsidR="00B9678A" w:rsidRPr="00527F3E" w:rsidRDefault="00527F3E" w:rsidP="00B9678A">
      <w:pPr>
        <w:spacing w:after="0" w:line="240" w:lineRule="auto"/>
        <w:rPr>
          <w:rFonts w:ascii="Times New Roman" w:eastAsia="Times New Roman" w:hAnsi="Times New Roman" w:cs="Times New Roman"/>
          <w:b/>
          <w:bCs/>
          <w:color w:val="000000"/>
          <w:sz w:val="28"/>
          <w:szCs w:val="28"/>
          <w:lang w:eastAsia="es-ES_tradnl"/>
        </w:rPr>
      </w:pPr>
    </w:p>
    <w:p w:rsidR="00B9678A" w:rsidRPr="00527F3E" w:rsidRDefault="00527F3E" w:rsidP="00B9678A">
      <w:pPr>
        <w:spacing w:after="0" w:line="240" w:lineRule="auto"/>
        <w:ind w:left="3402" w:right="49"/>
        <w:jc w:val="both"/>
        <w:rPr>
          <w:rFonts w:ascii="Times New Roman" w:eastAsia="Times New Roman" w:hAnsi="Times New Roman" w:cs="Times New Roman"/>
          <w:color w:val="000000"/>
          <w:sz w:val="28"/>
          <w:szCs w:val="28"/>
          <w:lang w:eastAsia="es-ES_tradnl"/>
        </w:rPr>
      </w:pPr>
      <w:r w:rsidRPr="00527F3E">
        <w:rPr>
          <w:rFonts w:ascii="Times New Roman" w:eastAsia="Times New Roman" w:hAnsi="Times New Roman" w:cs="Times New Roman"/>
          <w:b/>
          <w:bCs/>
          <w:color w:val="000000"/>
          <w:sz w:val="28"/>
          <w:szCs w:val="28"/>
          <w:lang w:eastAsia="es-ES_tradnl"/>
        </w:rPr>
        <w:t xml:space="preserve">Referencia: </w:t>
      </w:r>
      <w:r w:rsidRPr="00527F3E">
        <w:rPr>
          <w:rFonts w:ascii="Times New Roman" w:eastAsia="Times New Roman" w:hAnsi="Times New Roman" w:cs="Times New Roman"/>
          <w:color w:val="000000"/>
          <w:sz w:val="28"/>
          <w:szCs w:val="28"/>
          <w:lang w:eastAsia="es-ES_tradnl"/>
        </w:rPr>
        <w:t>expediente D-15440.</w:t>
      </w:r>
    </w:p>
    <w:p w:rsidR="00B9678A" w:rsidRPr="00527F3E" w:rsidRDefault="00527F3E" w:rsidP="00B9678A">
      <w:pPr>
        <w:spacing w:after="0" w:line="240" w:lineRule="auto"/>
        <w:ind w:right="49"/>
        <w:jc w:val="both"/>
        <w:rPr>
          <w:rFonts w:ascii="Times New Roman" w:eastAsia="Times New Roman" w:hAnsi="Times New Roman" w:cs="Times New Roman"/>
          <w:color w:val="000000"/>
          <w:sz w:val="28"/>
          <w:szCs w:val="28"/>
          <w:lang w:eastAsia="es-ES_tradnl"/>
        </w:rPr>
      </w:pPr>
    </w:p>
    <w:p w:rsidR="00B9678A" w:rsidRPr="00527F3E" w:rsidRDefault="00527F3E" w:rsidP="00B9678A">
      <w:pPr>
        <w:spacing w:after="0" w:line="240" w:lineRule="auto"/>
        <w:ind w:left="3402" w:right="49"/>
        <w:jc w:val="both"/>
        <w:rPr>
          <w:rFonts w:ascii="Times New Roman" w:eastAsia="Times New Roman" w:hAnsi="Times New Roman" w:cs="Times New Roman"/>
          <w:iCs/>
          <w:color w:val="000000"/>
          <w:sz w:val="28"/>
          <w:szCs w:val="28"/>
          <w:lang w:val="es-ES" w:eastAsia="es-ES_tradnl"/>
        </w:rPr>
      </w:pPr>
      <w:r w:rsidRPr="00527F3E">
        <w:rPr>
          <w:rFonts w:ascii="Times New Roman" w:eastAsia="Times New Roman" w:hAnsi="Times New Roman" w:cs="Times New Roman"/>
          <w:color w:val="000000"/>
          <w:sz w:val="28"/>
          <w:szCs w:val="28"/>
          <w:lang w:eastAsia="es-ES_tradnl"/>
        </w:rPr>
        <w:t xml:space="preserve">Demanda de inconstitucionalidad contra el parágrafo 2º del artículo 4º de la Ley 2299 de 2023, </w:t>
      </w:r>
      <w:r w:rsidRPr="00527F3E">
        <w:rPr>
          <w:rFonts w:ascii="Times New Roman" w:eastAsia="Times New Roman" w:hAnsi="Times New Roman" w:cs="Times New Roman"/>
          <w:iCs/>
          <w:color w:val="000000"/>
          <w:sz w:val="28"/>
          <w:szCs w:val="28"/>
          <w:lang w:eastAsia="es-ES_tradnl"/>
        </w:rPr>
        <w:t xml:space="preserve">“[p]or la cual se adiciona y efectúan unas modificaciones al Presupuesto General de la Nación de la </w:t>
      </w:r>
      <w:r w:rsidRPr="00527F3E">
        <w:rPr>
          <w:rFonts w:ascii="Times New Roman" w:eastAsia="Times New Roman" w:hAnsi="Times New Roman" w:cs="Times New Roman"/>
          <w:iCs/>
          <w:color w:val="000000"/>
          <w:sz w:val="28"/>
          <w:szCs w:val="28"/>
          <w:lang w:eastAsia="es-ES_tradnl"/>
        </w:rPr>
        <w:t>vigencia fiscal de 2023”.</w:t>
      </w:r>
    </w:p>
    <w:p w:rsidR="00B9678A" w:rsidRPr="00527F3E" w:rsidRDefault="00527F3E" w:rsidP="00B9678A">
      <w:pPr>
        <w:spacing w:after="0" w:line="240" w:lineRule="auto"/>
        <w:ind w:left="3402" w:right="49"/>
        <w:jc w:val="both"/>
        <w:rPr>
          <w:rFonts w:ascii="Times New Roman" w:eastAsia="Times New Roman" w:hAnsi="Times New Roman" w:cs="Times New Roman"/>
          <w:b/>
          <w:color w:val="000000"/>
          <w:sz w:val="28"/>
          <w:szCs w:val="28"/>
          <w:lang w:eastAsia="es-ES_tradnl"/>
        </w:rPr>
      </w:pPr>
    </w:p>
    <w:p w:rsidR="00B9678A" w:rsidRPr="00527F3E" w:rsidRDefault="00527F3E" w:rsidP="00B9678A">
      <w:pPr>
        <w:spacing w:after="0" w:line="240" w:lineRule="auto"/>
        <w:ind w:left="3402" w:right="49"/>
        <w:jc w:val="both"/>
        <w:rPr>
          <w:rFonts w:ascii="Times New Roman" w:eastAsia="Times New Roman" w:hAnsi="Times New Roman" w:cs="Times New Roman"/>
          <w:color w:val="000000"/>
          <w:sz w:val="28"/>
          <w:szCs w:val="28"/>
          <w:lang w:eastAsia="es-ES_tradnl"/>
        </w:rPr>
      </w:pPr>
      <w:r w:rsidRPr="00527F3E">
        <w:rPr>
          <w:rFonts w:ascii="Times New Roman" w:eastAsia="Times New Roman" w:hAnsi="Times New Roman" w:cs="Times New Roman"/>
          <w:b/>
          <w:color w:val="000000"/>
          <w:sz w:val="28"/>
          <w:szCs w:val="28"/>
          <w:lang w:eastAsia="es-ES_tradnl"/>
        </w:rPr>
        <w:t xml:space="preserve">Demandante: </w:t>
      </w:r>
      <w:r w:rsidRPr="00527F3E">
        <w:rPr>
          <w:rFonts w:ascii="Times New Roman" w:eastAsia="Times New Roman" w:hAnsi="Times New Roman" w:cs="Times New Roman"/>
          <w:bCs/>
          <w:color w:val="000000"/>
          <w:sz w:val="28"/>
          <w:szCs w:val="28"/>
          <w:lang w:eastAsia="es-ES_tradnl"/>
        </w:rPr>
        <w:t>Carlos Abraham Jiménez López</w:t>
      </w:r>
      <w:r w:rsidRPr="00527F3E">
        <w:rPr>
          <w:rFonts w:ascii="Times New Roman" w:eastAsia="Times New Roman" w:hAnsi="Times New Roman" w:cs="Times New Roman"/>
          <w:color w:val="000000"/>
          <w:sz w:val="28"/>
          <w:szCs w:val="28"/>
          <w:lang w:val="es-ES" w:eastAsia="es-ES_tradnl"/>
        </w:rPr>
        <w:t>.</w:t>
      </w:r>
    </w:p>
    <w:p w:rsidR="00B9678A" w:rsidRPr="00527F3E" w:rsidRDefault="00527F3E" w:rsidP="00B9678A">
      <w:pPr>
        <w:spacing w:after="0" w:line="240" w:lineRule="auto"/>
        <w:ind w:right="49"/>
        <w:jc w:val="both"/>
        <w:rPr>
          <w:rFonts w:ascii="Times New Roman" w:eastAsia="Times New Roman" w:hAnsi="Times New Roman" w:cs="Times New Roman"/>
          <w:bCs/>
          <w:color w:val="000000"/>
          <w:sz w:val="28"/>
          <w:szCs w:val="28"/>
          <w:lang w:eastAsia="es-ES_tradnl"/>
        </w:rPr>
      </w:pPr>
    </w:p>
    <w:p w:rsidR="00B9678A" w:rsidRPr="00527F3E" w:rsidRDefault="00527F3E" w:rsidP="00B9678A">
      <w:pPr>
        <w:spacing w:after="0" w:line="240" w:lineRule="auto"/>
        <w:ind w:left="3402" w:right="49"/>
        <w:jc w:val="both"/>
        <w:rPr>
          <w:rFonts w:ascii="Times New Roman" w:eastAsia="Times New Roman" w:hAnsi="Times New Roman" w:cs="Times New Roman"/>
          <w:b/>
          <w:bCs/>
          <w:color w:val="000000"/>
          <w:sz w:val="28"/>
          <w:szCs w:val="28"/>
          <w:lang w:eastAsia="es-ES_tradnl"/>
        </w:rPr>
      </w:pPr>
      <w:r w:rsidRPr="00527F3E">
        <w:rPr>
          <w:rFonts w:ascii="Times New Roman" w:eastAsia="Times New Roman" w:hAnsi="Times New Roman" w:cs="Times New Roman"/>
          <w:b/>
          <w:bCs/>
          <w:color w:val="000000"/>
          <w:sz w:val="28"/>
          <w:szCs w:val="28"/>
          <w:lang w:eastAsia="es-ES_tradnl"/>
        </w:rPr>
        <w:t>Magistrada ponente:</w:t>
      </w:r>
    </w:p>
    <w:p w:rsidR="00B9678A" w:rsidRPr="00527F3E" w:rsidRDefault="00527F3E" w:rsidP="00B9678A">
      <w:pPr>
        <w:spacing w:after="0" w:line="240" w:lineRule="auto"/>
        <w:ind w:left="2694" w:right="49" w:firstLine="708"/>
        <w:jc w:val="both"/>
        <w:rPr>
          <w:rFonts w:ascii="Times New Roman" w:eastAsia="Times New Roman" w:hAnsi="Times New Roman" w:cs="Times New Roman"/>
          <w:color w:val="000000"/>
          <w:sz w:val="28"/>
          <w:szCs w:val="28"/>
          <w:lang w:eastAsia="es-ES_tradnl"/>
        </w:rPr>
      </w:pPr>
      <w:r w:rsidRPr="00527F3E">
        <w:rPr>
          <w:rFonts w:ascii="Times New Roman" w:eastAsia="Times New Roman" w:hAnsi="Times New Roman" w:cs="Times New Roman"/>
          <w:color w:val="000000"/>
          <w:sz w:val="28"/>
          <w:szCs w:val="28"/>
          <w:lang w:eastAsia="es-ES_tradnl"/>
        </w:rPr>
        <w:t>Diana Fajardo Rivera</w:t>
      </w:r>
    </w:p>
    <w:p w:rsidR="00B9678A" w:rsidRPr="00527F3E" w:rsidRDefault="00527F3E" w:rsidP="00B9678A">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val="it-IT" w:eastAsia="es-ES"/>
        </w:rPr>
      </w:pPr>
    </w:p>
    <w:p w:rsidR="00B9678A" w:rsidRPr="00527F3E" w:rsidRDefault="00527F3E" w:rsidP="00B9678A">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val="it-IT" w:eastAsia="es-ES"/>
        </w:rPr>
      </w:pPr>
    </w:p>
    <w:p w:rsidR="00B9678A" w:rsidRPr="00527F3E" w:rsidRDefault="00527F3E" w:rsidP="00B9678A">
      <w:pPr>
        <w:spacing w:after="0" w:line="240" w:lineRule="auto"/>
        <w:jc w:val="both"/>
        <w:textAlignment w:val="baseline"/>
        <w:rPr>
          <w:rFonts w:ascii="Times New Roman" w:eastAsia="Times New Roman" w:hAnsi="Times New Roman" w:cs="Times New Roman"/>
          <w:color w:val="000000"/>
          <w:sz w:val="28"/>
          <w:szCs w:val="28"/>
          <w:lang w:eastAsia="es-ES"/>
        </w:rPr>
      </w:pPr>
      <w:r w:rsidRPr="00527F3E">
        <w:rPr>
          <w:rFonts w:ascii="Times New Roman" w:eastAsia="Times New Roman" w:hAnsi="Times New Roman" w:cs="Times New Roman"/>
          <w:color w:val="000000"/>
          <w:sz w:val="28"/>
          <w:szCs w:val="28"/>
          <w:bdr w:val="none" w:sz="0" w:space="0" w:color="auto" w:frame="1"/>
          <w:lang w:eastAsia="es-ES"/>
        </w:rPr>
        <w:t>Bogotá D.C., nueve (9) de mayo de dos mil veinticuatro (2024)</w:t>
      </w:r>
    </w:p>
    <w:p w:rsidR="00B9678A" w:rsidRPr="00527F3E" w:rsidRDefault="00527F3E" w:rsidP="00B9678A">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eastAsia="es-ES"/>
        </w:rPr>
      </w:pPr>
      <w:r w:rsidRPr="00527F3E">
        <w:rPr>
          <w:rFonts w:ascii="Times New Roman" w:eastAsia="Times New Roman" w:hAnsi="Times New Roman" w:cs="Times New Roman"/>
          <w:color w:val="000000"/>
          <w:sz w:val="28"/>
          <w:szCs w:val="28"/>
          <w:bdr w:val="none" w:sz="0" w:space="0" w:color="auto" w:frame="1"/>
          <w:lang w:eastAsia="es-ES"/>
        </w:rPr>
        <w:t> </w:t>
      </w:r>
    </w:p>
    <w:p w:rsidR="00B9678A" w:rsidRPr="00527F3E" w:rsidRDefault="00527F3E" w:rsidP="00B9678A">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eastAsia="es-ES"/>
        </w:rPr>
      </w:pPr>
      <w:r w:rsidRPr="00527F3E">
        <w:rPr>
          <w:rFonts w:ascii="Times New Roman" w:eastAsia="Times New Roman" w:hAnsi="Times New Roman" w:cs="Times New Roman"/>
          <w:color w:val="000000"/>
          <w:sz w:val="28"/>
          <w:szCs w:val="28"/>
          <w:bdr w:val="none" w:sz="0" w:space="0" w:color="auto" w:frame="1"/>
          <w:lang w:eastAsia="es-ES"/>
        </w:rPr>
        <w:t xml:space="preserve">La Sala Plena de la Corte Constitucional, en ejercicio de sus atribuciones constitucionales y en cumplimiento de los requisitos y trámites establecidos en el Decreto Ley 2067 de 1991, ha proferido la siguiente </w:t>
      </w:r>
    </w:p>
    <w:p w:rsidR="00B9678A" w:rsidRPr="00527F3E" w:rsidRDefault="00527F3E" w:rsidP="00B9678A">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eastAsia="es-ES"/>
        </w:rPr>
      </w:pPr>
    </w:p>
    <w:p w:rsidR="00B9678A" w:rsidRPr="00527F3E" w:rsidRDefault="00527F3E" w:rsidP="00B9678A">
      <w:pPr>
        <w:spacing w:after="0" w:line="240" w:lineRule="auto"/>
        <w:ind w:left="2832" w:firstLine="708"/>
        <w:jc w:val="both"/>
        <w:textAlignment w:val="baseline"/>
        <w:rPr>
          <w:rFonts w:ascii="Times New Roman" w:eastAsia="Times New Roman" w:hAnsi="Times New Roman" w:cs="Times New Roman"/>
          <w:b/>
          <w:color w:val="000000"/>
          <w:sz w:val="28"/>
          <w:szCs w:val="28"/>
          <w:bdr w:val="none" w:sz="0" w:space="0" w:color="auto" w:frame="1"/>
          <w:lang w:eastAsia="es-ES"/>
        </w:rPr>
      </w:pPr>
      <w:r w:rsidRPr="00527F3E">
        <w:rPr>
          <w:rFonts w:ascii="Times New Roman" w:eastAsia="Times New Roman" w:hAnsi="Times New Roman" w:cs="Times New Roman"/>
          <w:b/>
          <w:color w:val="000000"/>
          <w:sz w:val="28"/>
          <w:szCs w:val="28"/>
          <w:bdr w:val="none" w:sz="0" w:space="0" w:color="auto" w:frame="1"/>
          <w:lang w:eastAsia="es-ES"/>
        </w:rPr>
        <w:t>SENTENCIA</w:t>
      </w:r>
    </w:p>
    <w:p w:rsidR="00B9678A" w:rsidRPr="00527F3E" w:rsidRDefault="00527F3E" w:rsidP="00B9678A">
      <w:pPr>
        <w:shd w:val="clear" w:color="auto" w:fill="FFFFFF"/>
        <w:tabs>
          <w:tab w:val="left" w:pos="426"/>
        </w:tabs>
        <w:autoSpaceDE w:val="0"/>
        <w:autoSpaceDN w:val="0"/>
        <w:spacing w:after="150" w:line="240" w:lineRule="auto"/>
        <w:ind w:right="49"/>
        <w:jc w:val="both"/>
        <w:textAlignment w:val="baseline"/>
        <w:rPr>
          <w:rFonts w:ascii="Times New Roman" w:eastAsia="Times New Roman" w:hAnsi="Times New Roman" w:cs="Times New Roman"/>
          <w:b/>
          <w:color w:val="000000"/>
          <w:sz w:val="28"/>
          <w:szCs w:val="28"/>
        </w:rPr>
      </w:pPr>
    </w:p>
    <w:p w:rsidR="00B9678A" w:rsidRPr="00527F3E" w:rsidRDefault="00527F3E" w:rsidP="00B9678A">
      <w:pPr>
        <w:shd w:val="clear" w:color="auto" w:fill="FFFFFF"/>
        <w:tabs>
          <w:tab w:val="left" w:pos="426"/>
        </w:tabs>
        <w:autoSpaceDE w:val="0"/>
        <w:autoSpaceDN w:val="0"/>
        <w:spacing w:after="150" w:line="240" w:lineRule="auto"/>
        <w:ind w:right="49"/>
        <w:jc w:val="center"/>
        <w:textAlignment w:val="baseline"/>
        <w:rPr>
          <w:rFonts w:ascii="Times New Roman" w:eastAsia="Times New Roman" w:hAnsi="Times New Roman" w:cs="Times New Roman"/>
          <w:b/>
          <w:color w:val="000000"/>
          <w:sz w:val="28"/>
          <w:szCs w:val="28"/>
        </w:rPr>
      </w:pPr>
      <w:r w:rsidRPr="00527F3E">
        <w:rPr>
          <w:rFonts w:ascii="Times New Roman" w:eastAsia="Times New Roman" w:hAnsi="Times New Roman" w:cs="Times New Roman"/>
          <w:b/>
          <w:color w:val="000000"/>
          <w:sz w:val="28"/>
          <w:szCs w:val="28"/>
        </w:rPr>
        <w:t>Síntesis de la decisión</w:t>
      </w:r>
    </w:p>
    <w:p w:rsidR="00B9678A" w:rsidRPr="00527F3E" w:rsidRDefault="00527F3E" w:rsidP="00B9678A">
      <w:pPr>
        <w:tabs>
          <w:tab w:val="left" w:pos="426"/>
        </w:tabs>
        <w:spacing w:after="0" w:line="240" w:lineRule="auto"/>
        <w:ind w:right="49"/>
        <w:jc w:val="both"/>
        <w:textAlignment w:val="baseline"/>
        <w:rPr>
          <w:rFonts w:ascii="Times New Roman" w:eastAsia="Times New Roman" w:hAnsi="Times New Roman" w:cs="Times New Roman"/>
          <w:color w:val="000000"/>
          <w:sz w:val="28"/>
          <w:szCs w:val="28"/>
        </w:rPr>
      </w:pPr>
      <w:r w:rsidRPr="00527F3E">
        <w:rPr>
          <w:rFonts w:ascii="Times New Roman" w:eastAsia="Times New Roman" w:hAnsi="Times New Roman" w:cs="Times New Roman"/>
          <w:color w:val="000000"/>
          <w:sz w:val="28"/>
          <w:szCs w:val="28"/>
        </w:rPr>
        <w:t>La Corte Constitucional asumió el estudio de una demanda de inconstitucionalidad contra el parágrafo 2º del artículo 4 de la Ley 2299 de 2023 por, presuntamente, desconocer el principio de unidad de materia consagrado en los artículos 158 y 169 de la Const</w:t>
      </w:r>
      <w:r w:rsidRPr="00527F3E">
        <w:rPr>
          <w:rFonts w:ascii="Times New Roman" w:eastAsia="Times New Roman" w:hAnsi="Times New Roman" w:cs="Times New Roman"/>
          <w:color w:val="000000"/>
          <w:sz w:val="28"/>
          <w:szCs w:val="28"/>
        </w:rPr>
        <w:t>itución. El demandante sostuvo que el parágrafo acusado desconocía tales contenidos superiores por cuanto ordenan la modificación de contratos estatales de concesión y operación de sistemas integrados de transporte masivo (SITM) y/o sistemas estratégicos d</w:t>
      </w:r>
      <w:r w:rsidRPr="00527F3E">
        <w:rPr>
          <w:rFonts w:ascii="Times New Roman" w:eastAsia="Times New Roman" w:hAnsi="Times New Roman" w:cs="Times New Roman"/>
          <w:color w:val="000000"/>
          <w:sz w:val="28"/>
          <w:szCs w:val="28"/>
        </w:rPr>
        <w:t xml:space="preserve">e transporte público (SETP), o su terminación unilateral, sin que sea una ley de adición presupuestal el mecanismo válido para hacerlo. </w:t>
      </w:r>
    </w:p>
    <w:p w:rsidR="00B9678A" w:rsidRPr="00527F3E" w:rsidRDefault="00527F3E" w:rsidP="00B9678A">
      <w:pPr>
        <w:tabs>
          <w:tab w:val="left" w:pos="426"/>
        </w:tabs>
        <w:spacing w:after="0" w:line="240" w:lineRule="auto"/>
        <w:ind w:right="49"/>
        <w:jc w:val="both"/>
        <w:textAlignment w:val="baseline"/>
        <w:rPr>
          <w:rFonts w:ascii="Times New Roman" w:eastAsia="Times New Roman" w:hAnsi="Times New Roman" w:cs="Times New Roman"/>
          <w:color w:val="000000"/>
          <w:sz w:val="28"/>
          <w:szCs w:val="28"/>
        </w:rPr>
      </w:pPr>
    </w:p>
    <w:p w:rsidR="00B9678A" w:rsidRPr="00527F3E" w:rsidRDefault="00527F3E" w:rsidP="00B9678A">
      <w:pPr>
        <w:tabs>
          <w:tab w:val="left" w:pos="426"/>
        </w:tabs>
        <w:spacing w:after="0" w:line="240" w:lineRule="auto"/>
        <w:ind w:right="49"/>
        <w:jc w:val="both"/>
        <w:textAlignment w:val="baseline"/>
        <w:rPr>
          <w:rFonts w:ascii="Times New Roman" w:eastAsia="Times New Roman" w:hAnsi="Times New Roman" w:cs="Times New Roman"/>
          <w:color w:val="000000"/>
          <w:sz w:val="28"/>
          <w:szCs w:val="28"/>
        </w:rPr>
      </w:pPr>
      <w:r w:rsidRPr="00527F3E">
        <w:rPr>
          <w:rFonts w:ascii="Times New Roman" w:eastAsia="Times New Roman" w:hAnsi="Times New Roman" w:cs="Times New Roman"/>
          <w:color w:val="000000"/>
          <w:sz w:val="28"/>
          <w:szCs w:val="28"/>
        </w:rPr>
        <w:t xml:space="preserve">Antes de entrar en el fondo del asunto, y en respuesta a la solicitud de fallo inhibitorio por carencia de objeto formulada por la procuradora general de la Nación, la Sala examinó su competencia para pronunciarse sobre la norma acusada. Tras examinar las </w:t>
      </w:r>
      <w:r w:rsidRPr="00527F3E">
        <w:rPr>
          <w:rFonts w:ascii="Times New Roman" w:eastAsia="Times New Roman" w:hAnsi="Times New Roman" w:cs="Times New Roman"/>
          <w:color w:val="000000"/>
          <w:sz w:val="28"/>
          <w:szCs w:val="28"/>
        </w:rPr>
        <w:t xml:space="preserve">hipótesis en las que la Corte ha admitido ser competente para decidir de fondo sobre normas que han perdido vigencia, la Sala concluyó que en el presente caso se verificaban los presupuestos para dar aplicación al principio de </w:t>
      </w:r>
      <w:r w:rsidRPr="00527F3E">
        <w:rPr>
          <w:rFonts w:ascii="Times New Roman" w:eastAsia="Times New Roman" w:hAnsi="Times New Roman" w:cs="Times New Roman"/>
          <w:i/>
          <w:iCs/>
          <w:color w:val="000000"/>
          <w:sz w:val="28"/>
          <w:szCs w:val="28"/>
        </w:rPr>
        <w:t xml:space="preserve">perpetuatio jurisdictionis, </w:t>
      </w:r>
      <w:r w:rsidRPr="00527F3E">
        <w:rPr>
          <w:rFonts w:ascii="Times New Roman" w:eastAsia="Times New Roman" w:hAnsi="Times New Roman" w:cs="Times New Roman"/>
          <w:color w:val="000000"/>
          <w:sz w:val="28"/>
          <w:szCs w:val="28"/>
        </w:rPr>
        <w:t>p</w:t>
      </w:r>
      <w:r w:rsidRPr="00527F3E">
        <w:rPr>
          <w:rFonts w:ascii="Times New Roman" w:eastAsia="Times New Roman" w:hAnsi="Times New Roman" w:cs="Times New Roman"/>
          <w:color w:val="000000"/>
          <w:sz w:val="28"/>
          <w:szCs w:val="28"/>
        </w:rPr>
        <w:t>or cuanto la norma se encontraba vigente al momento de la presentación de la demanda y dejó de estarlo antes de que se emitiera una decisión. Por tanto, en aplicación de este principio, la Sala Plena afirmó su competencia para pronunciarse sobre la norma a</w:t>
      </w:r>
      <w:r w:rsidRPr="00527F3E">
        <w:rPr>
          <w:rFonts w:ascii="Times New Roman" w:eastAsia="Times New Roman" w:hAnsi="Times New Roman" w:cs="Times New Roman"/>
          <w:color w:val="000000"/>
          <w:sz w:val="28"/>
          <w:szCs w:val="28"/>
        </w:rPr>
        <w:t xml:space="preserve">cusada. </w:t>
      </w:r>
    </w:p>
    <w:p w:rsidR="00B9678A" w:rsidRPr="00527F3E" w:rsidRDefault="00527F3E" w:rsidP="00B9678A">
      <w:pPr>
        <w:tabs>
          <w:tab w:val="left" w:pos="426"/>
        </w:tabs>
        <w:spacing w:after="0" w:line="240" w:lineRule="auto"/>
        <w:ind w:right="49"/>
        <w:jc w:val="both"/>
        <w:textAlignment w:val="baseline"/>
        <w:rPr>
          <w:rFonts w:ascii="Times New Roman" w:eastAsia="Times New Roman" w:hAnsi="Times New Roman" w:cs="Times New Roman"/>
          <w:color w:val="000000"/>
          <w:sz w:val="28"/>
          <w:szCs w:val="28"/>
        </w:rPr>
      </w:pPr>
    </w:p>
    <w:p w:rsidR="00B9678A" w:rsidRPr="00527F3E" w:rsidRDefault="00527F3E" w:rsidP="00B9678A">
      <w:pPr>
        <w:tabs>
          <w:tab w:val="left" w:pos="426"/>
        </w:tabs>
        <w:spacing w:after="0" w:line="240" w:lineRule="auto"/>
        <w:ind w:right="49"/>
        <w:jc w:val="both"/>
        <w:textAlignment w:val="baseline"/>
        <w:rPr>
          <w:rFonts w:ascii="Times New Roman" w:eastAsia="Times New Roman" w:hAnsi="Times New Roman" w:cs="Times New Roman"/>
          <w:color w:val="000000"/>
          <w:sz w:val="28"/>
          <w:szCs w:val="28"/>
        </w:rPr>
      </w:pPr>
      <w:r w:rsidRPr="00527F3E">
        <w:rPr>
          <w:rFonts w:ascii="Times New Roman" w:eastAsia="Times New Roman" w:hAnsi="Times New Roman" w:cs="Times New Roman"/>
          <w:color w:val="000000"/>
          <w:sz w:val="28"/>
          <w:szCs w:val="28"/>
        </w:rPr>
        <w:t>Asimismo, en respuesta a una petición de inhibición por ineptitud sustantiva de la demanda, la Sala ratificó las razones expuestas en la fase de admisibilidad para concluir que la acusación planteada cumplía con los requisitos de claridad, certez</w:t>
      </w:r>
      <w:r w:rsidRPr="00527F3E">
        <w:rPr>
          <w:rFonts w:ascii="Times New Roman" w:eastAsia="Times New Roman" w:hAnsi="Times New Roman" w:cs="Times New Roman"/>
          <w:color w:val="000000"/>
          <w:sz w:val="28"/>
          <w:szCs w:val="28"/>
        </w:rPr>
        <w:t xml:space="preserve">a y especificidad, cuestionados por el interviniente que solicitó proferir fallo inhibitorio. </w:t>
      </w:r>
    </w:p>
    <w:p w:rsidR="00B9678A" w:rsidRPr="00527F3E" w:rsidRDefault="00527F3E" w:rsidP="00B9678A">
      <w:pPr>
        <w:tabs>
          <w:tab w:val="left" w:pos="426"/>
        </w:tabs>
        <w:spacing w:after="0" w:line="240" w:lineRule="auto"/>
        <w:ind w:right="49"/>
        <w:jc w:val="both"/>
        <w:textAlignment w:val="baseline"/>
        <w:rPr>
          <w:rFonts w:ascii="Times New Roman" w:eastAsia="Times New Roman" w:hAnsi="Times New Roman" w:cs="Times New Roman"/>
          <w:color w:val="000000"/>
          <w:sz w:val="28"/>
          <w:szCs w:val="28"/>
        </w:rPr>
      </w:pPr>
    </w:p>
    <w:p w:rsidR="00B9678A" w:rsidRPr="00527F3E" w:rsidRDefault="00527F3E" w:rsidP="00B9678A">
      <w:pPr>
        <w:tabs>
          <w:tab w:val="left" w:pos="426"/>
        </w:tabs>
        <w:spacing w:after="0" w:line="240" w:lineRule="auto"/>
        <w:ind w:right="49"/>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rPr>
        <w:t>Resueltas estas cuestiones previas, la Sala a continuación fijó el siguiente problema jurídico: ¿</w:t>
      </w:r>
      <w:r w:rsidRPr="00527F3E">
        <w:rPr>
          <w:rFonts w:ascii="Times New Roman" w:eastAsia="Times New Roman" w:hAnsi="Times New Roman" w:cs="Times New Roman"/>
          <w:iCs/>
          <w:color w:val="000000"/>
          <w:sz w:val="28"/>
          <w:szCs w:val="28"/>
          <w:lang w:val="es-ES"/>
        </w:rPr>
        <w:t>el parágrafo 2º del artículo 4º de la Ley 2299 de 2023 desconoc</w:t>
      </w:r>
      <w:r w:rsidRPr="00527F3E">
        <w:rPr>
          <w:rFonts w:ascii="Times New Roman" w:eastAsia="Times New Roman" w:hAnsi="Times New Roman" w:cs="Times New Roman"/>
          <w:iCs/>
          <w:color w:val="000000"/>
          <w:sz w:val="28"/>
          <w:szCs w:val="28"/>
          <w:lang w:val="es-ES"/>
        </w:rPr>
        <w:t xml:space="preserve">e el principio de unidad de materia previsto en los artículos 158 y 169 de la Constitución Política al incorporar, dentro de una ley de adición presupuestal, disposiciones que ordenan a las autoridades territoriales </w:t>
      </w:r>
      <w:r w:rsidRPr="00527F3E">
        <w:rPr>
          <w:rFonts w:ascii="Times New Roman" w:eastAsia="Times New Roman" w:hAnsi="Times New Roman" w:cs="Times New Roman"/>
          <w:i/>
          <w:color w:val="000000"/>
          <w:sz w:val="28"/>
          <w:szCs w:val="28"/>
          <w:lang w:val="es-ES"/>
        </w:rPr>
        <w:t>(i)</w:t>
      </w:r>
      <w:r w:rsidRPr="00527F3E">
        <w:rPr>
          <w:rFonts w:ascii="Times New Roman" w:eastAsia="Times New Roman" w:hAnsi="Times New Roman" w:cs="Times New Roman"/>
          <w:iCs/>
          <w:color w:val="000000"/>
          <w:sz w:val="28"/>
          <w:szCs w:val="28"/>
          <w:lang w:val="es-ES"/>
        </w:rPr>
        <w:t xml:space="preserve"> determinar los efectos económicos ad</w:t>
      </w:r>
      <w:r w:rsidRPr="00527F3E">
        <w:rPr>
          <w:rFonts w:ascii="Times New Roman" w:eastAsia="Times New Roman" w:hAnsi="Times New Roman" w:cs="Times New Roman"/>
          <w:iCs/>
          <w:color w:val="000000"/>
          <w:sz w:val="28"/>
          <w:szCs w:val="28"/>
          <w:lang w:val="es-ES"/>
        </w:rPr>
        <w:t xml:space="preserve">versos que hayan afectado de manera grave el equilibrio económico de los contratos de concesión y operación de los </w:t>
      </w:r>
      <w:r w:rsidRPr="00527F3E">
        <w:rPr>
          <w:rFonts w:ascii="Times New Roman" w:eastAsia="Times New Roman" w:hAnsi="Times New Roman" w:cs="Times New Roman"/>
          <w:color w:val="000000"/>
          <w:sz w:val="28"/>
          <w:szCs w:val="28"/>
          <w:lang w:val="es-ES"/>
        </w:rPr>
        <w:t xml:space="preserve">sistemas integrados de transporte masivo (SITM) y sistemas estratégicos de transporte público (SETP); </w:t>
      </w:r>
      <w:r w:rsidRPr="00527F3E">
        <w:rPr>
          <w:rFonts w:ascii="Times New Roman" w:eastAsia="Times New Roman" w:hAnsi="Times New Roman" w:cs="Times New Roman"/>
          <w:i/>
          <w:iCs/>
          <w:color w:val="000000"/>
          <w:sz w:val="28"/>
          <w:szCs w:val="28"/>
          <w:lang w:val="es-ES"/>
        </w:rPr>
        <w:t>(ii)</w:t>
      </w:r>
      <w:r w:rsidRPr="00527F3E">
        <w:rPr>
          <w:rFonts w:ascii="Times New Roman" w:eastAsia="Times New Roman" w:hAnsi="Times New Roman" w:cs="Times New Roman"/>
          <w:color w:val="000000"/>
          <w:sz w:val="28"/>
          <w:szCs w:val="28"/>
          <w:lang w:val="es-ES"/>
        </w:rPr>
        <w:t xml:space="preserve"> adelantar, hasta el 31 de diciembre de 2023, las renegociaciones de las condiciones económicas y de distribución de riesgos de esos contratos, a través de mesas en las que, además de los operadores y concesionarios privados y las autoridades territoriales</w:t>
      </w:r>
      <w:r w:rsidRPr="00527F3E">
        <w:rPr>
          <w:rFonts w:ascii="Times New Roman" w:eastAsia="Times New Roman" w:hAnsi="Times New Roman" w:cs="Times New Roman"/>
          <w:color w:val="000000"/>
          <w:sz w:val="28"/>
          <w:szCs w:val="28"/>
          <w:lang w:val="es-ES"/>
        </w:rPr>
        <w:t xml:space="preserve"> que sean parte en dichos contratos, intervendrán el Ministerio de Transporte y, eventualmente, la Contraloría General de la República; y, </w:t>
      </w:r>
      <w:r w:rsidRPr="00527F3E">
        <w:rPr>
          <w:rFonts w:ascii="Times New Roman" w:eastAsia="Times New Roman" w:hAnsi="Times New Roman" w:cs="Times New Roman"/>
          <w:i/>
          <w:iCs/>
          <w:color w:val="000000"/>
          <w:sz w:val="28"/>
          <w:szCs w:val="28"/>
          <w:lang w:val="es-ES"/>
        </w:rPr>
        <w:t>(iii)</w:t>
      </w:r>
      <w:r w:rsidRPr="00527F3E">
        <w:rPr>
          <w:rFonts w:ascii="Times New Roman" w:eastAsia="Times New Roman" w:hAnsi="Times New Roman" w:cs="Times New Roman"/>
          <w:color w:val="000000"/>
          <w:sz w:val="28"/>
          <w:szCs w:val="28"/>
          <w:lang w:val="es-ES"/>
        </w:rPr>
        <w:t xml:space="preserve"> adelantar las mesas de renegociación de manera previa al ejercicio de la facultad prevista en el artículo 17 de</w:t>
      </w:r>
      <w:r w:rsidRPr="00527F3E">
        <w:rPr>
          <w:rFonts w:ascii="Times New Roman" w:eastAsia="Times New Roman" w:hAnsi="Times New Roman" w:cs="Times New Roman"/>
          <w:color w:val="000000"/>
          <w:sz w:val="28"/>
          <w:szCs w:val="28"/>
          <w:lang w:val="es-ES"/>
        </w:rPr>
        <w:t xml:space="preserve"> la Ley 80 de 1993 (terminación unilateral de los contratos)?</w:t>
      </w:r>
    </w:p>
    <w:p w:rsidR="00B9678A" w:rsidRPr="00527F3E" w:rsidRDefault="00527F3E" w:rsidP="00B9678A">
      <w:pPr>
        <w:tabs>
          <w:tab w:val="left" w:pos="426"/>
        </w:tabs>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B9678A">
      <w:pPr>
        <w:tabs>
          <w:tab w:val="left" w:pos="426"/>
        </w:tabs>
        <w:spacing w:after="0" w:line="240" w:lineRule="auto"/>
        <w:ind w:right="49"/>
        <w:jc w:val="both"/>
        <w:textAlignment w:val="baseline"/>
        <w:rPr>
          <w:rFonts w:ascii="Times New Roman" w:eastAsia="Times New Roman" w:hAnsi="Times New Roman" w:cs="Times New Roman"/>
          <w:iCs/>
          <w:color w:val="000000"/>
          <w:sz w:val="28"/>
          <w:szCs w:val="28"/>
          <w:lang w:val="es-ES"/>
        </w:rPr>
      </w:pPr>
      <w:r w:rsidRPr="00527F3E">
        <w:rPr>
          <w:rFonts w:ascii="Times New Roman" w:eastAsia="Times New Roman" w:hAnsi="Times New Roman" w:cs="Times New Roman"/>
          <w:color w:val="000000"/>
          <w:sz w:val="28"/>
          <w:szCs w:val="28"/>
        </w:rPr>
        <w:t>Tras reiterar el precedente constitucional relativo a las exigencias que el principio de unidad de materia proyecta sobre las leyes anuales de presupuesto y de adición presupuestal, y definir e</w:t>
      </w:r>
      <w:r w:rsidRPr="00527F3E">
        <w:rPr>
          <w:rFonts w:ascii="Times New Roman" w:eastAsia="Times New Roman" w:hAnsi="Times New Roman" w:cs="Times New Roman"/>
          <w:color w:val="000000"/>
          <w:sz w:val="28"/>
          <w:szCs w:val="28"/>
        </w:rPr>
        <w:t xml:space="preserve">l alcance de la disposición acusada, la Corte concluyó que </w:t>
      </w:r>
      <w:r w:rsidRPr="00527F3E">
        <w:rPr>
          <w:rFonts w:ascii="Times New Roman" w:eastAsia="Times New Roman" w:hAnsi="Times New Roman" w:cs="Times New Roman"/>
          <w:color w:val="000000"/>
          <w:sz w:val="28"/>
          <w:szCs w:val="28"/>
          <w:lang w:val="es-ES"/>
        </w:rPr>
        <w:t xml:space="preserve">los contenidos normativos incluidos en el parágrafo 2º del artículo 4 de la Ley 2299 de 2003 no desconocen el principio de unidad de materia </w:t>
      </w:r>
      <w:r w:rsidRPr="00527F3E">
        <w:rPr>
          <w:rFonts w:ascii="Times New Roman" w:eastAsia="Times New Roman" w:hAnsi="Times New Roman" w:cs="Times New Roman"/>
          <w:iCs/>
          <w:color w:val="000000"/>
          <w:sz w:val="28"/>
          <w:szCs w:val="28"/>
          <w:lang w:val="es-ES"/>
        </w:rPr>
        <w:t xml:space="preserve">(arts. 158 y 169, C.P.). </w:t>
      </w:r>
    </w:p>
    <w:p w:rsidR="00B9678A" w:rsidRPr="00527F3E" w:rsidRDefault="00527F3E" w:rsidP="00B9678A">
      <w:pPr>
        <w:tabs>
          <w:tab w:val="left" w:pos="426"/>
        </w:tabs>
        <w:spacing w:after="0" w:line="240" w:lineRule="auto"/>
        <w:ind w:right="49"/>
        <w:jc w:val="both"/>
        <w:textAlignment w:val="baseline"/>
        <w:rPr>
          <w:rFonts w:ascii="Times New Roman" w:eastAsia="Times New Roman" w:hAnsi="Times New Roman" w:cs="Times New Roman"/>
          <w:iCs/>
          <w:color w:val="000000"/>
          <w:sz w:val="28"/>
          <w:szCs w:val="28"/>
          <w:lang w:val="es-ES"/>
        </w:rPr>
      </w:pPr>
    </w:p>
    <w:p w:rsidR="00B9678A" w:rsidRPr="00527F3E" w:rsidRDefault="00527F3E" w:rsidP="00B9678A">
      <w:pPr>
        <w:tabs>
          <w:tab w:val="left" w:pos="426"/>
        </w:tabs>
        <w:spacing w:after="0" w:line="240" w:lineRule="auto"/>
        <w:ind w:right="49"/>
        <w:jc w:val="both"/>
        <w:textAlignment w:val="baseline"/>
        <w:rPr>
          <w:rFonts w:ascii="Times New Roman" w:eastAsia="Times New Roman" w:hAnsi="Times New Roman" w:cs="Times New Roman"/>
          <w:iCs/>
          <w:color w:val="000000"/>
          <w:sz w:val="28"/>
          <w:szCs w:val="28"/>
          <w:lang w:val="es-ES"/>
        </w:rPr>
      </w:pPr>
      <w:r w:rsidRPr="00527F3E">
        <w:rPr>
          <w:rFonts w:ascii="Times New Roman" w:eastAsia="Times New Roman" w:hAnsi="Times New Roman" w:cs="Times New Roman"/>
          <w:iCs/>
          <w:color w:val="000000"/>
          <w:sz w:val="28"/>
          <w:szCs w:val="28"/>
          <w:lang w:val="es-ES"/>
        </w:rPr>
        <w:t>La Sala sustentó esta conclus</w:t>
      </w:r>
      <w:r w:rsidRPr="00527F3E">
        <w:rPr>
          <w:rFonts w:ascii="Times New Roman" w:eastAsia="Times New Roman" w:hAnsi="Times New Roman" w:cs="Times New Roman"/>
          <w:iCs/>
          <w:color w:val="000000"/>
          <w:sz w:val="28"/>
          <w:szCs w:val="28"/>
          <w:lang w:val="es-ES"/>
        </w:rPr>
        <w:t xml:space="preserve">ión en tres premisas centrales. </w:t>
      </w:r>
      <w:r w:rsidRPr="00527F3E">
        <w:rPr>
          <w:rFonts w:ascii="Times New Roman" w:eastAsia="Times New Roman" w:hAnsi="Times New Roman" w:cs="Times New Roman"/>
          <w:i/>
          <w:color w:val="000000"/>
          <w:sz w:val="28"/>
          <w:szCs w:val="28"/>
          <w:lang w:val="es-ES"/>
        </w:rPr>
        <w:t>Primera</w:t>
      </w:r>
      <w:r w:rsidRPr="00527F3E">
        <w:rPr>
          <w:rFonts w:ascii="Times New Roman" w:eastAsia="Times New Roman" w:hAnsi="Times New Roman" w:cs="Times New Roman"/>
          <w:iCs/>
          <w:color w:val="000000"/>
          <w:sz w:val="28"/>
          <w:szCs w:val="28"/>
          <w:lang w:val="es-ES"/>
        </w:rPr>
        <w:t>, los tres contenidos normativos incluidos en el parágrafo acusado guardan un vínculo instrumental con el tema presupuestal, en tanto están orientados a garantizar la adecuada ejecución del presupuesto general de la N</w:t>
      </w:r>
      <w:r w:rsidRPr="00527F3E">
        <w:rPr>
          <w:rFonts w:ascii="Times New Roman" w:eastAsia="Times New Roman" w:hAnsi="Times New Roman" w:cs="Times New Roman"/>
          <w:iCs/>
          <w:color w:val="000000"/>
          <w:sz w:val="28"/>
          <w:szCs w:val="28"/>
          <w:lang w:val="es-ES"/>
        </w:rPr>
        <w:t>ación, específicamente del rubro destinado a financiar el déficit de los SITM y los SETP; esto por cuanto las renegociaciones pueden generar condiciones más favorables para la ejecución de los contratos, reasignar recursos hacia áreas prioritarias y obtene</w:t>
      </w:r>
      <w:r w:rsidRPr="00527F3E">
        <w:rPr>
          <w:rFonts w:ascii="Times New Roman" w:eastAsia="Times New Roman" w:hAnsi="Times New Roman" w:cs="Times New Roman"/>
          <w:iCs/>
          <w:color w:val="000000"/>
          <w:sz w:val="28"/>
          <w:szCs w:val="28"/>
          <w:lang w:val="es-ES"/>
        </w:rPr>
        <w:t xml:space="preserve">r mayor flexibilidad financiera, todo lo cual puede contribuir a solucionar las causas del desequilibrio financiero y mejorar la eficiencia en la prestación del servicio de transporte. </w:t>
      </w:r>
    </w:p>
    <w:p w:rsidR="00B9678A" w:rsidRPr="00527F3E" w:rsidRDefault="00527F3E" w:rsidP="00B9678A">
      <w:pPr>
        <w:tabs>
          <w:tab w:val="left" w:pos="426"/>
        </w:tabs>
        <w:spacing w:after="0" w:line="240" w:lineRule="auto"/>
        <w:ind w:right="49"/>
        <w:jc w:val="both"/>
        <w:textAlignment w:val="baseline"/>
        <w:rPr>
          <w:rFonts w:ascii="Times New Roman" w:eastAsia="Times New Roman" w:hAnsi="Times New Roman" w:cs="Times New Roman"/>
          <w:iCs/>
          <w:color w:val="000000"/>
          <w:sz w:val="28"/>
          <w:szCs w:val="28"/>
          <w:lang w:val="es-ES"/>
        </w:rPr>
      </w:pPr>
    </w:p>
    <w:p w:rsidR="00B9678A" w:rsidRPr="00527F3E" w:rsidRDefault="00527F3E" w:rsidP="00B9678A">
      <w:pPr>
        <w:tabs>
          <w:tab w:val="left" w:pos="426"/>
        </w:tabs>
        <w:spacing w:after="0" w:line="240" w:lineRule="auto"/>
        <w:ind w:right="49"/>
        <w:jc w:val="both"/>
        <w:textAlignment w:val="baseline"/>
        <w:rPr>
          <w:rFonts w:ascii="Times New Roman" w:eastAsia="Times New Roman" w:hAnsi="Times New Roman" w:cs="Times New Roman"/>
          <w:iCs/>
          <w:color w:val="000000"/>
          <w:sz w:val="28"/>
          <w:szCs w:val="28"/>
          <w:lang w:val="es-ES"/>
        </w:rPr>
      </w:pPr>
      <w:r w:rsidRPr="00527F3E">
        <w:rPr>
          <w:rFonts w:ascii="Times New Roman" w:eastAsia="Times New Roman" w:hAnsi="Times New Roman" w:cs="Times New Roman"/>
          <w:i/>
          <w:color w:val="000000"/>
          <w:sz w:val="28"/>
          <w:szCs w:val="28"/>
          <w:lang w:val="es-ES"/>
        </w:rPr>
        <w:t>Segunda</w:t>
      </w:r>
      <w:r w:rsidRPr="00527F3E">
        <w:rPr>
          <w:rFonts w:ascii="Times New Roman" w:eastAsia="Times New Roman" w:hAnsi="Times New Roman" w:cs="Times New Roman"/>
          <w:iCs/>
          <w:color w:val="000000"/>
          <w:sz w:val="28"/>
          <w:szCs w:val="28"/>
          <w:lang w:val="es-ES"/>
        </w:rPr>
        <w:t>, el parágrafo acusado no modifica normas sustantivas, en tant</w:t>
      </w:r>
      <w:r w:rsidRPr="00527F3E">
        <w:rPr>
          <w:rFonts w:ascii="Times New Roman" w:eastAsia="Times New Roman" w:hAnsi="Times New Roman" w:cs="Times New Roman"/>
          <w:iCs/>
          <w:color w:val="000000"/>
          <w:sz w:val="28"/>
          <w:szCs w:val="28"/>
          <w:lang w:val="es-ES"/>
        </w:rPr>
        <w:t>o no establece una nueva causal de terminación unilateral del contrato estatal, ni ordena a las entidades territoriales acudir a la terminación de los contratos de concesión de los SITM y SETP; su alcance consiste en ordenar a las entidades territoriales d</w:t>
      </w:r>
      <w:r w:rsidRPr="00527F3E">
        <w:rPr>
          <w:rFonts w:ascii="Times New Roman" w:eastAsia="Times New Roman" w:hAnsi="Times New Roman" w:cs="Times New Roman"/>
          <w:iCs/>
          <w:color w:val="000000"/>
          <w:sz w:val="28"/>
          <w:szCs w:val="28"/>
          <w:lang w:val="es-ES"/>
        </w:rPr>
        <w:t>ar aplicación a los instrumentos normativos previstos en la ley de contratación estatal para revisar el equilibrio económico de dichos contratos y restablecerlo cuando se haya afectado de manera grave en perjuicio de las entidades territoriales y los usuar</w:t>
      </w:r>
      <w:r w:rsidRPr="00527F3E">
        <w:rPr>
          <w:rFonts w:ascii="Times New Roman" w:eastAsia="Times New Roman" w:hAnsi="Times New Roman" w:cs="Times New Roman"/>
          <w:iCs/>
          <w:color w:val="000000"/>
          <w:sz w:val="28"/>
          <w:szCs w:val="28"/>
          <w:lang w:val="es-ES"/>
        </w:rPr>
        <w:t xml:space="preserve">ios. Ni de la literalidad del parágrafo 2º acusado, ni de los antecedentes legislativos, se infiere el propósito de modificar la normatividad general en materia de contratación sino, más bien, el de darle cumplimiento. </w:t>
      </w:r>
    </w:p>
    <w:p w:rsidR="00B9678A" w:rsidRPr="00527F3E" w:rsidRDefault="00527F3E" w:rsidP="00B9678A">
      <w:pPr>
        <w:tabs>
          <w:tab w:val="left" w:pos="426"/>
        </w:tabs>
        <w:spacing w:after="0" w:line="240" w:lineRule="auto"/>
        <w:ind w:right="49"/>
        <w:jc w:val="both"/>
        <w:textAlignment w:val="baseline"/>
        <w:rPr>
          <w:rFonts w:ascii="Times New Roman" w:eastAsia="Times New Roman" w:hAnsi="Times New Roman" w:cs="Times New Roman"/>
          <w:iCs/>
          <w:color w:val="000000"/>
          <w:sz w:val="28"/>
          <w:szCs w:val="28"/>
          <w:lang w:val="es-ES"/>
        </w:rPr>
      </w:pPr>
    </w:p>
    <w:p w:rsidR="00B9678A" w:rsidRPr="00527F3E" w:rsidRDefault="00527F3E" w:rsidP="00B9678A">
      <w:pPr>
        <w:tabs>
          <w:tab w:val="left" w:pos="426"/>
        </w:tabs>
        <w:spacing w:after="0" w:line="240" w:lineRule="auto"/>
        <w:ind w:right="49"/>
        <w:jc w:val="both"/>
        <w:textAlignment w:val="baseline"/>
        <w:rPr>
          <w:rFonts w:ascii="Times New Roman" w:eastAsia="Times New Roman" w:hAnsi="Times New Roman" w:cs="Times New Roman"/>
          <w:iCs/>
          <w:color w:val="000000"/>
          <w:sz w:val="28"/>
          <w:szCs w:val="28"/>
          <w:lang w:val="es-ES"/>
        </w:rPr>
      </w:pPr>
      <w:r w:rsidRPr="00527F3E">
        <w:rPr>
          <w:rFonts w:ascii="Times New Roman" w:eastAsia="Times New Roman" w:hAnsi="Times New Roman" w:cs="Times New Roman"/>
          <w:i/>
          <w:color w:val="000000"/>
          <w:sz w:val="28"/>
          <w:szCs w:val="28"/>
          <w:lang w:val="es-ES"/>
        </w:rPr>
        <w:t>Tercera</w:t>
      </w:r>
      <w:r w:rsidRPr="00527F3E">
        <w:rPr>
          <w:rFonts w:ascii="Times New Roman" w:eastAsia="Times New Roman" w:hAnsi="Times New Roman" w:cs="Times New Roman"/>
          <w:iCs/>
          <w:color w:val="000000"/>
          <w:sz w:val="28"/>
          <w:szCs w:val="28"/>
          <w:lang w:val="es-ES"/>
        </w:rPr>
        <w:t xml:space="preserve">, la norma acusada no tiene </w:t>
      </w:r>
      <w:r w:rsidRPr="00527F3E">
        <w:rPr>
          <w:rFonts w:ascii="Times New Roman" w:eastAsia="Times New Roman" w:hAnsi="Times New Roman" w:cs="Times New Roman"/>
          <w:iCs/>
          <w:color w:val="000000"/>
          <w:sz w:val="28"/>
          <w:szCs w:val="28"/>
          <w:lang w:val="es-ES"/>
        </w:rPr>
        <w:t>vocación de permanencia, por cuanto expresamente fijó su vigencia hasta el 31 de diciembre de 2023 y no mantuvo sus efectos luego de esta fecha, con lo cual respeta el principio de anualidad que rige en materia de leyes de presupuesto.</w:t>
      </w:r>
    </w:p>
    <w:p w:rsidR="00B9678A" w:rsidRPr="00527F3E" w:rsidRDefault="00527F3E" w:rsidP="00B9678A">
      <w:pPr>
        <w:tabs>
          <w:tab w:val="left" w:pos="426"/>
        </w:tabs>
        <w:spacing w:after="0" w:line="240" w:lineRule="auto"/>
        <w:ind w:right="49"/>
        <w:jc w:val="both"/>
        <w:textAlignment w:val="baseline"/>
        <w:rPr>
          <w:rFonts w:ascii="Times New Roman" w:eastAsia="Times New Roman" w:hAnsi="Times New Roman" w:cs="Times New Roman"/>
          <w:iCs/>
          <w:color w:val="000000"/>
          <w:sz w:val="28"/>
          <w:szCs w:val="28"/>
          <w:lang w:val="es-ES"/>
        </w:rPr>
      </w:pPr>
    </w:p>
    <w:p w:rsidR="00B9678A" w:rsidRPr="00527F3E" w:rsidRDefault="00527F3E" w:rsidP="00B9678A">
      <w:pPr>
        <w:tabs>
          <w:tab w:val="left" w:pos="426"/>
        </w:tabs>
        <w:spacing w:after="0" w:line="240" w:lineRule="auto"/>
        <w:ind w:right="49"/>
        <w:jc w:val="both"/>
        <w:textAlignment w:val="baseline"/>
        <w:rPr>
          <w:rFonts w:ascii="Times New Roman" w:eastAsia="Times New Roman" w:hAnsi="Times New Roman" w:cs="Times New Roman"/>
          <w:iCs/>
          <w:color w:val="000000"/>
          <w:sz w:val="28"/>
          <w:szCs w:val="28"/>
          <w:lang w:val="es-ES"/>
        </w:rPr>
      </w:pPr>
      <w:r w:rsidRPr="00527F3E">
        <w:rPr>
          <w:rFonts w:ascii="Times New Roman" w:eastAsia="Times New Roman" w:hAnsi="Times New Roman" w:cs="Times New Roman"/>
          <w:iCs/>
          <w:color w:val="000000"/>
          <w:sz w:val="28"/>
          <w:szCs w:val="28"/>
          <w:lang w:val="es-ES"/>
        </w:rPr>
        <w:t xml:space="preserve">Por las anteriores razones, la Corte declaró exequible </w:t>
      </w:r>
      <w:r w:rsidRPr="00527F3E">
        <w:rPr>
          <w:rFonts w:ascii="Times New Roman" w:eastAsia="Times New Roman" w:hAnsi="Times New Roman" w:cs="Times New Roman"/>
          <w:color w:val="000000"/>
          <w:sz w:val="28"/>
          <w:szCs w:val="28"/>
          <w:lang w:val="es-ES" w:eastAsia="es-ES_tradnl"/>
        </w:rPr>
        <w:t>el parágrafo 2º del artículo 4 de la Ley 2299 de 2023 por el cargo examinado</w:t>
      </w:r>
      <w:r w:rsidRPr="00527F3E">
        <w:rPr>
          <w:rFonts w:ascii="Times New Roman" w:eastAsia="Times New Roman" w:hAnsi="Times New Roman" w:cs="Times New Roman"/>
          <w:color w:val="000000"/>
          <w:sz w:val="28"/>
          <w:szCs w:val="28"/>
          <w:lang w:eastAsia="es-ES_tradnl"/>
        </w:rPr>
        <w:t>.</w:t>
      </w:r>
    </w:p>
    <w:p w:rsidR="00B9678A" w:rsidRPr="00527F3E" w:rsidRDefault="00527F3E" w:rsidP="00B9678A">
      <w:pPr>
        <w:tabs>
          <w:tab w:val="left" w:pos="426"/>
        </w:tabs>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B9678A">
      <w:pPr>
        <w:keepNext/>
        <w:spacing w:after="0" w:line="240" w:lineRule="auto"/>
        <w:jc w:val="both"/>
        <w:textAlignment w:val="baseline"/>
        <w:outlineLvl w:val="0"/>
        <w:rPr>
          <w:rFonts w:ascii="Times New Roman" w:eastAsia="Times New Roman" w:hAnsi="Times New Roman" w:cs="Times New Roman"/>
          <w:b/>
          <w:bCs/>
          <w:color w:val="000000"/>
          <w:sz w:val="28"/>
          <w:szCs w:val="28"/>
          <w:bdr w:val="none" w:sz="0" w:space="0" w:color="auto" w:frame="1"/>
          <w:lang w:eastAsia="es-ES"/>
        </w:rPr>
      </w:pPr>
      <w:r w:rsidRPr="00527F3E">
        <w:rPr>
          <w:rFonts w:ascii="Times New Roman" w:eastAsia="Times New Roman" w:hAnsi="Times New Roman" w:cs="Times New Roman"/>
          <w:b/>
          <w:bCs/>
          <w:color w:val="000000"/>
          <w:sz w:val="28"/>
          <w:szCs w:val="28"/>
          <w:bdr w:val="none" w:sz="0" w:space="0" w:color="auto" w:frame="1"/>
          <w:lang w:eastAsia="es-ES"/>
        </w:rPr>
        <w:t>I. ANTECEDENTES</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eastAsia="es-ES_tradnl"/>
        </w:rPr>
      </w:pPr>
    </w:p>
    <w:p w:rsidR="00B9678A" w:rsidRPr="00527F3E" w:rsidRDefault="00527F3E" w:rsidP="00923437">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 El ciudadano Carlos Abraham Jiménez López presentó acción pública de inconstitucionalidad en contra </w:t>
      </w:r>
      <w:r w:rsidRPr="00527F3E">
        <w:rPr>
          <w:rFonts w:ascii="Times New Roman" w:eastAsia="Times New Roman" w:hAnsi="Times New Roman" w:cs="Times New Roman"/>
          <w:iCs/>
          <w:color w:val="000000"/>
          <w:sz w:val="28"/>
          <w:szCs w:val="28"/>
          <w:lang w:val="es-ES"/>
        </w:rPr>
        <w:t xml:space="preserve">del parágrafo 2º, artículo 4º, de la Ley 2299 de 2023, </w:t>
      </w:r>
      <w:r w:rsidRPr="00527F3E">
        <w:rPr>
          <w:rFonts w:ascii="Times New Roman" w:eastAsia="Times New Roman" w:hAnsi="Times New Roman" w:cs="Times New Roman"/>
          <w:color w:val="000000"/>
          <w:sz w:val="28"/>
          <w:szCs w:val="28"/>
          <w:lang w:val="es-ES"/>
        </w:rPr>
        <w:t>“[p]or la cual se adiciona y efectúan unas modificaciones al Presupuesto General de la Nación de la vigencia fiscal de 2023”</w:t>
      </w:r>
      <w:r w:rsidRPr="00527F3E">
        <w:rPr>
          <w:rFonts w:ascii="Times New Roman" w:eastAsia="Times New Roman" w:hAnsi="Times New Roman" w:cs="Times New Roman"/>
          <w:iCs/>
          <w:color w:val="000000"/>
          <w:sz w:val="28"/>
          <w:szCs w:val="28"/>
          <w:lang w:val="es-ES"/>
        </w:rPr>
        <w:t xml:space="preserve">, </w:t>
      </w:r>
      <w:r w:rsidRPr="00527F3E">
        <w:rPr>
          <w:rFonts w:ascii="Times New Roman" w:eastAsia="Times New Roman" w:hAnsi="Times New Roman" w:cs="Times New Roman"/>
          <w:color w:val="000000"/>
          <w:sz w:val="28"/>
          <w:szCs w:val="28"/>
          <w:lang w:val="es-ES"/>
        </w:rPr>
        <w:t xml:space="preserve">que modificó el artículo 99 de la Ley 2276 de 2022, </w:t>
      </w:r>
      <w:r w:rsidRPr="00527F3E">
        <w:rPr>
          <w:rFonts w:ascii="Times New Roman" w:eastAsia="Times New Roman" w:hAnsi="Times New Roman" w:cs="Times New Roman"/>
          <w:iCs/>
          <w:color w:val="000000"/>
          <w:sz w:val="28"/>
          <w:szCs w:val="28"/>
          <w:lang w:val="es-ES"/>
        </w:rPr>
        <w:t>“[p]or la cual se decre</w:t>
      </w:r>
      <w:r w:rsidRPr="00527F3E">
        <w:rPr>
          <w:rFonts w:ascii="Times New Roman" w:eastAsia="Times New Roman" w:hAnsi="Times New Roman" w:cs="Times New Roman"/>
          <w:iCs/>
          <w:color w:val="000000"/>
          <w:sz w:val="28"/>
          <w:szCs w:val="28"/>
          <w:lang w:val="es-ES"/>
        </w:rPr>
        <w:t>ta el Presupuesto de Rentas y Recursos de Capital y Ley de Apropiaciones para la vigencia fiscal del 1 de enero al 31 de diciembre de 2023”</w:t>
      </w:r>
      <w:r w:rsidRPr="00527F3E">
        <w:rPr>
          <w:rFonts w:ascii="Times New Roman" w:eastAsia="Times New Roman" w:hAnsi="Times New Roman" w:cs="Times New Roman"/>
          <w:color w:val="000000"/>
          <w:sz w:val="28"/>
          <w:szCs w:val="28"/>
          <w:lang w:val="es-ES"/>
        </w:rPr>
        <w:t>. El accionante plantea, como cargo único, que el parágrafo acusado vulnera el principio de unidad de materia consagr</w:t>
      </w:r>
      <w:r w:rsidRPr="00527F3E">
        <w:rPr>
          <w:rFonts w:ascii="Times New Roman" w:eastAsia="Times New Roman" w:hAnsi="Times New Roman" w:cs="Times New Roman"/>
          <w:color w:val="000000"/>
          <w:sz w:val="28"/>
          <w:szCs w:val="28"/>
          <w:lang w:val="es-ES"/>
        </w:rPr>
        <w:t>ado en los artículos 158 y 169 de la Constitución Política</w:t>
      </w:r>
      <w:r w:rsidRPr="00527F3E">
        <w:rPr>
          <w:rFonts w:ascii="Times New Roman" w:eastAsia="Times New Roman" w:hAnsi="Times New Roman" w:cs="Times New Roman"/>
          <w:color w:val="000000"/>
          <w:sz w:val="28"/>
          <w:szCs w:val="28"/>
          <w:vertAlign w:val="superscript"/>
          <w:lang w:val="es-ES"/>
        </w:rPr>
        <w:footnoteReference w:id="1"/>
      </w:r>
      <w:r w:rsidRPr="00527F3E">
        <w:rPr>
          <w:rFonts w:ascii="Times New Roman" w:eastAsia="Times New Roman" w:hAnsi="Times New Roman" w:cs="Times New Roman"/>
          <w:color w:val="000000"/>
          <w:sz w:val="28"/>
          <w:szCs w:val="28"/>
          <w:lang w:val="es-ES"/>
        </w:rPr>
        <w:t>.</w:t>
      </w:r>
    </w:p>
    <w:p w:rsidR="00B9678A" w:rsidRPr="00527F3E" w:rsidRDefault="00527F3E" w:rsidP="00923437">
      <w:pPr>
        <w:tabs>
          <w:tab w:val="left" w:pos="426"/>
        </w:tabs>
        <w:autoSpaceDE w:val="0"/>
        <w:autoSpaceDN w:val="0"/>
        <w:spacing w:line="240" w:lineRule="auto"/>
        <w:ind w:right="49"/>
        <w:contextualSpacing/>
        <w:jc w:val="both"/>
        <w:textAlignment w:val="baseline"/>
        <w:rPr>
          <w:rFonts w:ascii="Times New Roman" w:eastAsia="Times New Roman" w:hAnsi="Times New Roman" w:cs="Times New Roman"/>
          <w:color w:val="000000"/>
          <w:sz w:val="28"/>
          <w:szCs w:val="28"/>
          <w:lang w:val="es-ES"/>
        </w:rPr>
      </w:pPr>
    </w:p>
    <w:p w:rsidR="00B9678A" w:rsidRPr="00527F3E" w:rsidRDefault="00527F3E" w:rsidP="00923437">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La demanda fue inadmitida mediante el Auto del 28 de agosto de 2023</w:t>
      </w:r>
      <w:r w:rsidRPr="00527F3E">
        <w:rPr>
          <w:rFonts w:ascii="Times New Roman" w:eastAsia="Times New Roman" w:hAnsi="Times New Roman" w:cs="Times New Roman"/>
          <w:color w:val="000000"/>
          <w:sz w:val="28"/>
          <w:szCs w:val="28"/>
          <w:vertAlign w:val="superscript"/>
          <w:lang w:val="es-ES"/>
        </w:rPr>
        <w:footnoteReference w:id="2"/>
      </w:r>
      <w:r w:rsidRPr="00527F3E">
        <w:rPr>
          <w:rFonts w:ascii="Times New Roman" w:eastAsia="Times New Roman" w:hAnsi="Times New Roman" w:cs="Times New Roman"/>
          <w:color w:val="000000"/>
          <w:sz w:val="28"/>
          <w:szCs w:val="28"/>
          <w:lang w:val="es-ES"/>
        </w:rPr>
        <w:t>. Dentro del término de ejecutoria de la anterior decisión, el actor presentó escrito de corrección de la demanda</w:t>
      </w:r>
      <w:r w:rsidRPr="00527F3E">
        <w:rPr>
          <w:rFonts w:ascii="Times New Roman" w:eastAsia="Times New Roman" w:hAnsi="Times New Roman" w:cs="Times New Roman"/>
          <w:color w:val="000000"/>
          <w:sz w:val="28"/>
          <w:szCs w:val="28"/>
          <w:vertAlign w:val="superscript"/>
          <w:lang w:val="es-ES"/>
        </w:rPr>
        <w:footnoteReference w:id="3"/>
      </w:r>
      <w:r w:rsidRPr="00527F3E">
        <w:rPr>
          <w:rFonts w:ascii="Times New Roman" w:eastAsia="Times New Roman" w:hAnsi="Times New Roman" w:cs="Times New Roman"/>
          <w:color w:val="000000"/>
          <w:sz w:val="28"/>
          <w:szCs w:val="28"/>
          <w:lang w:val="es-ES"/>
        </w:rPr>
        <w:t>. Una vez ef</w:t>
      </w:r>
      <w:r w:rsidRPr="00527F3E">
        <w:rPr>
          <w:rFonts w:ascii="Times New Roman" w:eastAsia="Times New Roman" w:hAnsi="Times New Roman" w:cs="Times New Roman"/>
          <w:color w:val="000000"/>
          <w:sz w:val="28"/>
          <w:szCs w:val="28"/>
          <w:lang w:val="es-ES"/>
        </w:rPr>
        <w:t>ectuado el estudio exigido por el ordenamiento, la demanda fue admitida mediante el Auto del 19 de septiembre de 2023</w:t>
      </w:r>
      <w:r w:rsidRPr="00527F3E">
        <w:rPr>
          <w:rFonts w:ascii="Times New Roman" w:eastAsia="Times New Roman" w:hAnsi="Times New Roman" w:cs="Times New Roman"/>
          <w:color w:val="000000"/>
          <w:sz w:val="28"/>
          <w:szCs w:val="28"/>
          <w:vertAlign w:val="superscript"/>
          <w:lang w:val="es-ES"/>
        </w:rPr>
        <w:footnoteReference w:id="4"/>
      </w:r>
      <w:r w:rsidRPr="00527F3E">
        <w:rPr>
          <w:rFonts w:ascii="Times New Roman" w:eastAsia="Times New Roman" w:hAnsi="Times New Roman" w:cs="Times New Roman"/>
          <w:color w:val="000000"/>
          <w:sz w:val="28"/>
          <w:szCs w:val="28"/>
          <w:lang w:val="es-ES"/>
        </w:rPr>
        <w:t>.</w:t>
      </w:r>
    </w:p>
    <w:p w:rsidR="00B9678A" w:rsidRPr="00527F3E" w:rsidRDefault="00527F3E" w:rsidP="00B9678A">
      <w:pPr>
        <w:spacing w:line="240" w:lineRule="auto"/>
        <w:ind w:left="720"/>
        <w:contextualSpacing/>
        <w:rPr>
          <w:rFonts w:ascii="Times New Roman" w:eastAsia="Times New Roman" w:hAnsi="Times New Roman" w:cs="Times New Roman"/>
          <w:color w:val="000000"/>
          <w:sz w:val="28"/>
          <w:szCs w:val="28"/>
          <w:lang w:val="es-ES"/>
        </w:rPr>
      </w:pPr>
    </w:p>
    <w:p w:rsidR="00B9678A" w:rsidRPr="00527F3E" w:rsidRDefault="00527F3E" w:rsidP="00923437">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En la misma providencia se ordenó la práctica de pruebas y se dispuso que, una vez recibidas y calificadas las pruebas solicitadas, se </w:t>
      </w:r>
      <w:r w:rsidRPr="00527F3E">
        <w:rPr>
          <w:rFonts w:ascii="Times New Roman" w:eastAsia="Times New Roman" w:hAnsi="Times New Roman" w:cs="Times New Roman"/>
          <w:i/>
          <w:iCs/>
          <w:color w:val="000000"/>
          <w:sz w:val="28"/>
          <w:szCs w:val="28"/>
          <w:lang w:val="es-ES"/>
        </w:rPr>
        <w:t>(i)</w:t>
      </w:r>
      <w:r w:rsidRPr="00527F3E">
        <w:rPr>
          <w:rFonts w:ascii="Times New Roman" w:eastAsia="Times New Roman" w:hAnsi="Times New Roman" w:cs="Times New Roman"/>
          <w:color w:val="000000"/>
          <w:sz w:val="28"/>
          <w:szCs w:val="28"/>
          <w:lang w:val="es-ES"/>
        </w:rPr>
        <w:t xml:space="preserve"> comunicara la iniciación del proceso al </w:t>
      </w:r>
      <w:r w:rsidRPr="00527F3E">
        <w:rPr>
          <w:rFonts w:ascii="Times New Roman" w:eastAsia="Times New Roman" w:hAnsi="Times New Roman" w:cs="Times New Roman"/>
          <w:bCs/>
          <w:color w:val="000000"/>
          <w:sz w:val="28"/>
          <w:szCs w:val="28"/>
          <w:lang w:val="es-ES" w:eastAsia="es-ES"/>
        </w:rPr>
        <w:t>presidente de la república, al presidente del Congreso y a la Nación - ministerios de Hacienda y Crédito Público y de Transporte</w:t>
      </w:r>
      <w:r w:rsidRPr="00527F3E">
        <w:rPr>
          <w:rFonts w:ascii="Times New Roman" w:eastAsia="Times New Roman" w:hAnsi="Times New Roman" w:cs="Times New Roman"/>
          <w:bCs/>
          <w:color w:val="000000"/>
          <w:sz w:val="28"/>
          <w:szCs w:val="28"/>
          <w:vertAlign w:val="superscript"/>
          <w:lang w:val="es-ES" w:eastAsia="es-ES"/>
        </w:rPr>
        <w:footnoteReference w:id="5"/>
      </w:r>
      <w:r w:rsidRPr="00527F3E">
        <w:rPr>
          <w:rFonts w:ascii="Times New Roman" w:eastAsia="Times New Roman" w:hAnsi="Times New Roman" w:cs="Times New Roman"/>
          <w:bCs/>
          <w:color w:val="000000"/>
          <w:sz w:val="28"/>
          <w:szCs w:val="28"/>
          <w:lang w:val="es-ES" w:eastAsia="es-ES"/>
        </w:rPr>
        <w:t xml:space="preserve">; </w:t>
      </w:r>
      <w:r w:rsidRPr="00527F3E">
        <w:rPr>
          <w:rFonts w:ascii="Times New Roman" w:eastAsia="Times New Roman" w:hAnsi="Times New Roman" w:cs="Times New Roman"/>
          <w:bCs/>
          <w:i/>
          <w:iCs/>
          <w:color w:val="000000"/>
          <w:sz w:val="28"/>
          <w:szCs w:val="28"/>
          <w:lang w:val="es-ES" w:eastAsia="es-ES"/>
        </w:rPr>
        <w:t xml:space="preserve">(ii) </w:t>
      </w:r>
      <w:r w:rsidRPr="00527F3E">
        <w:rPr>
          <w:rFonts w:ascii="Times New Roman" w:eastAsia="Times New Roman" w:hAnsi="Times New Roman" w:cs="Times New Roman"/>
          <w:bCs/>
          <w:color w:val="000000"/>
          <w:sz w:val="28"/>
          <w:szCs w:val="28"/>
          <w:lang w:val="es-ES" w:eastAsia="es-ES"/>
        </w:rPr>
        <w:t>diera traslado a la procuradora general de la Nación</w:t>
      </w:r>
      <w:r w:rsidRPr="00527F3E">
        <w:rPr>
          <w:rFonts w:ascii="Times New Roman" w:eastAsia="Times New Roman" w:hAnsi="Times New Roman" w:cs="Times New Roman"/>
          <w:bCs/>
          <w:color w:val="000000"/>
          <w:sz w:val="28"/>
          <w:szCs w:val="28"/>
          <w:vertAlign w:val="superscript"/>
          <w:lang w:val="es-ES" w:eastAsia="es-ES"/>
        </w:rPr>
        <w:footnoteReference w:id="6"/>
      </w:r>
      <w:r w:rsidRPr="00527F3E">
        <w:rPr>
          <w:rFonts w:ascii="Times New Roman" w:eastAsia="Times New Roman" w:hAnsi="Times New Roman" w:cs="Times New Roman"/>
          <w:bCs/>
          <w:color w:val="000000"/>
          <w:sz w:val="28"/>
          <w:szCs w:val="28"/>
          <w:lang w:val="es-ES" w:eastAsia="es-ES"/>
        </w:rPr>
        <w:t xml:space="preserve"> y </w:t>
      </w:r>
      <w:r w:rsidRPr="00527F3E">
        <w:rPr>
          <w:rFonts w:ascii="Times New Roman" w:eastAsia="Times New Roman" w:hAnsi="Times New Roman" w:cs="Times New Roman"/>
          <w:bCs/>
          <w:i/>
          <w:color w:val="000000"/>
          <w:sz w:val="28"/>
          <w:szCs w:val="28"/>
          <w:lang w:val="es-ES" w:eastAsia="es-ES"/>
        </w:rPr>
        <w:t>(iii)</w:t>
      </w:r>
      <w:r w:rsidRPr="00527F3E">
        <w:rPr>
          <w:rFonts w:ascii="Times New Roman" w:eastAsia="Times New Roman" w:hAnsi="Times New Roman" w:cs="Times New Roman"/>
          <w:bCs/>
          <w:color w:val="000000"/>
          <w:sz w:val="28"/>
          <w:szCs w:val="28"/>
          <w:lang w:val="es-ES" w:eastAsia="es-ES"/>
        </w:rPr>
        <w:t xml:space="preserve"> fijara en lista la disposición acusada por el término de diez (10) días, con el objeto de que cualquier ciudadana o ciudadano la impugne o defienda</w:t>
      </w:r>
      <w:r w:rsidRPr="00527F3E">
        <w:rPr>
          <w:rFonts w:ascii="Times New Roman" w:eastAsia="Times New Roman" w:hAnsi="Times New Roman" w:cs="Times New Roman"/>
          <w:bCs/>
          <w:color w:val="000000"/>
          <w:sz w:val="28"/>
          <w:szCs w:val="28"/>
          <w:vertAlign w:val="superscript"/>
          <w:lang w:val="es-ES" w:eastAsia="es-ES"/>
        </w:rPr>
        <w:footnoteReference w:id="7"/>
      </w:r>
      <w:r w:rsidRPr="00527F3E">
        <w:rPr>
          <w:rFonts w:ascii="Times New Roman" w:eastAsia="Times New Roman" w:hAnsi="Times New Roman" w:cs="Times New Roman"/>
          <w:bCs/>
          <w:color w:val="000000"/>
          <w:sz w:val="28"/>
          <w:szCs w:val="28"/>
          <w:lang w:val="es-ES" w:eastAsia="es-ES"/>
        </w:rPr>
        <w:t>.</w:t>
      </w:r>
    </w:p>
    <w:p w:rsidR="00B9678A" w:rsidRPr="00527F3E" w:rsidRDefault="00527F3E" w:rsidP="00923437">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923437">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De igual forma, </w:t>
      </w:r>
      <w:r w:rsidRPr="00527F3E">
        <w:rPr>
          <w:rFonts w:ascii="Times New Roman" w:eastAsia="Times New Roman" w:hAnsi="Times New Roman" w:cs="Times New Roman"/>
          <w:i/>
          <w:color w:val="000000"/>
          <w:sz w:val="28"/>
          <w:szCs w:val="28"/>
          <w:lang w:val="es-ES"/>
        </w:rPr>
        <w:t xml:space="preserve">(iv) </w:t>
      </w:r>
      <w:r w:rsidRPr="00527F3E">
        <w:rPr>
          <w:rFonts w:ascii="Times New Roman" w:eastAsia="Times New Roman" w:hAnsi="Times New Roman" w:cs="Times New Roman"/>
          <w:color w:val="000000"/>
          <w:sz w:val="28"/>
          <w:szCs w:val="28"/>
          <w:lang w:val="es-ES"/>
        </w:rPr>
        <w:t xml:space="preserve">se invitó a las siguientes entidades a emitir concepto sobre la demanda de la </w:t>
      </w:r>
      <w:r w:rsidRPr="00527F3E">
        <w:rPr>
          <w:rFonts w:ascii="Times New Roman" w:eastAsia="Times New Roman" w:hAnsi="Times New Roman" w:cs="Times New Roman"/>
          <w:color w:val="000000"/>
          <w:sz w:val="28"/>
          <w:szCs w:val="28"/>
          <w:lang w:val="es-ES"/>
        </w:rPr>
        <w:t>referencia: a la Superintendencia de Transporte y a la Agencia Nacional de Contratación Pública - Colombia Compra Eficiente; a los distritos de Barranquilla, Bogotá D.C. y Santa Marta; a las alcaldías de los municipios de Bucaramanga, Cali, Medellín, Monte</w:t>
      </w:r>
      <w:r w:rsidRPr="00527F3E">
        <w:rPr>
          <w:rFonts w:ascii="Times New Roman" w:eastAsia="Times New Roman" w:hAnsi="Times New Roman" w:cs="Times New Roman"/>
          <w:color w:val="000000"/>
          <w:sz w:val="28"/>
          <w:szCs w:val="28"/>
          <w:lang w:val="es-ES"/>
        </w:rPr>
        <w:t>ría, Pereira y Popayán; a la Federación Colombiana de Municipios, a la Federación Nacional de Departamentos, y a las Universidades del Cauca, del Norte, EAFIT, Externado de Colombia e ICESI</w:t>
      </w:r>
      <w:r w:rsidRPr="00527F3E">
        <w:rPr>
          <w:rFonts w:ascii="Times New Roman" w:eastAsia="Times New Roman" w:hAnsi="Times New Roman" w:cs="Times New Roman"/>
          <w:color w:val="000000"/>
          <w:sz w:val="28"/>
          <w:szCs w:val="28"/>
          <w:vertAlign w:val="superscript"/>
          <w:lang w:val="es-ES"/>
        </w:rPr>
        <w:footnoteReference w:id="8"/>
      </w:r>
      <w:r w:rsidRPr="00527F3E">
        <w:rPr>
          <w:rFonts w:ascii="Times New Roman" w:eastAsia="Times New Roman" w:hAnsi="Times New Roman" w:cs="Times New Roman"/>
          <w:color w:val="000000"/>
          <w:sz w:val="28"/>
          <w:szCs w:val="28"/>
          <w:lang w:val="es-ES"/>
        </w:rPr>
        <w:t xml:space="preserve">. </w:t>
      </w:r>
    </w:p>
    <w:p w:rsidR="00B9678A" w:rsidRPr="00527F3E" w:rsidRDefault="00527F3E" w:rsidP="00923437">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923437">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Mediante Auto del 24 de octubre de 2023 la magistrada </w:t>
      </w:r>
      <w:r w:rsidRPr="00527F3E">
        <w:rPr>
          <w:rFonts w:ascii="Times New Roman" w:eastAsia="Times New Roman" w:hAnsi="Times New Roman" w:cs="Times New Roman"/>
          <w:color w:val="000000"/>
          <w:sz w:val="28"/>
          <w:szCs w:val="28"/>
          <w:lang w:val="es-ES"/>
        </w:rPr>
        <w:t xml:space="preserve">sustanciadora requirió a las secretarías del Senado y la Cámara de Representantes el envío de la información faltante sobre el trámite legislativo, luego de lo cual dispuso, por Auto del 9 de noviembre de 2023, dar cierre al período probatorio y continuar </w:t>
      </w:r>
      <w:r w:rsidRPr="00527F3E">
        <w:rPr>
          <w:rFonts w:ascii="Times New Roman" w:eastAsia="Times New Roman" w:hAnsi="Times New Roman" w:cs="Times New Roman"/>
          <w:color w:val="000000"/>
          <w:sz w:val="28"/>
          <w:szCs w:val="28"/>
          <w:lang w:val="es-ES"/>
        </w:rPr>
        <w:t>con el trámite constitucional respectivo</w:t>
      </w:r>
      <w:r w:rsidRPr="00527F3E">
        <w:rPr>
          <w:rFonts w:ascii="Times New Roman" w:eastAsia="Times New Roman" w:hAnsi="Times New Roman" w:cs="Times New Roman"/>
          <w:color w:val="000000"/>
          <w:sz w:val="28"/>
          <w:szCs w:val="28"/>
          <w:vertAlign w:val="superscript"/>
          <w:lang w:val="es-ES"/>
        </w:rPr>
        <w:footnoteReference w:id="9"/>
      </w:r>
      <w:r w:rsidRPr="00527F3E">
        <w:rPr>
          <w:rFonts w:ascii="Times New Roman" w:eastAsia="Times New Roman" w:hAnsi="Times New Roman" w:cs="Times New Roman"/>
          <w:color w:val="000000"/>
          <w:sz w:val="28"/>
          <w:szCs w:val="28"/>
          <w:lang w:val="es-ES"/>
        </w:rPr>
        <w:t xml:space="preserve">. </w:t>
      </w:r>
    </w:p>
    <w:p w:rsidR="00B9678A" w:rsidRPr="00527F3E" w:rsidRDefault="00527F3E" w:rsidP="00923437">
      <w:pPr>
        <w:tabs>
          <w:tab w:val="left" w:pos="426"/>
        </w:tabs>
        <w:autoSpaceDE w:val="0"/>
        <w:autoSpaceDN w:val="0"/>
        <w:spacing w:line="240" w:lineRule="auto"/>
        <w:ind w:right="49"/>
        <w:contextualSpacing/>
        <w:jc w:val="both"/>
        <w:textAlignment w:val="baseline"/>
        <w:rPr>
          <w:rFonts w:ascii="Times New Roman" w:eastAsia="Times New Roman" w:hAnsi="Times New Roman" w:cs="Times New Roman"/>
          <w:color w:val="000000"/>
          <w:sz w:val="28"/>
          <w:szCs w:val="28"/>
          <w:lang w:val="es-ES"/>
        </w:rPr>
      </w:pPr>
    </w:p>
    <w:p w:rsidR="00B9678A" w:rsidRPr="00527F3E" w:rsidRDefault="00527F3E" w:rsidP="00923437">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En cumplimiento de lo dispuesto en los autos del 19 de septiembre y 9 de noviembre, el 14 de noviembre de 2023 la secretaría general de la Corte corrió traslado a la procuradora general de la nación por el térmi</w:t>
      </w:r>
      <w:r w:rsidRPr="00527F3E">
        <w:rPr>
          <w:rFonts w:ascii="Times New Roman" w:eastAsia="Times New Roman" w:hAnsi="Times New Roman" w:cs="Times New Roman"/>
          <w:color w:val="000000"/>
          <w:sz w:val="28"/>
          <w:szCs w:val="28"/>
          <w:lang w:val="es-ES"/>
        </w:rPr>
        <w:t>no de treinta (30) días</w:t>
      </w:r>
      <w:r w:rsidRPr="00527F3E">
        <w:rPr>
          <w:rFonts w:ascii="Times New Roman" w:eastAsia="Times New Roman" w:hAnsi="Times New Roman" w:cs="Times New Roman"/>
          <w:color w:val="000000"/>
          <w:sz w:val="28"/>
          <w:szCs w:val="28"/>
          <w:vertAlign w:val="superscript"/>
          <w:lang w:val="es-ES"/>
        </w:rPr>
        <w:footnoteReference w:id="10"/>
      </w:r>
      <w:r w:rsidRPr="00527F3E">
        <w:rPr>
          <w:rFonts w:ascii="Times New Roman" w:eastAsia="Times New Roman" w:hAnsi="Times New Roman" w:cs="Times New Roman"/>
          <w:color w:val="000000"/>
          <w:sz w:val="28"/>
          <w:szCs w:val="28"/>
          <w:lang w:val="es-ES"/>
        </w:rPr>
        <w:t>. Además, puso el expediente a disposición del secretario jurídico de la Presidencia de la República y del presidente del Congreso de la República,</w:t>
      </w:r>
      <w:r w:rsidRPr="00527F3E">
        <w:rPr>
          <w:rFonts w:ascii="Times New Roman" w:eastAsia="Times New Roman" w:hAnsi="Times New Roman" w:cs="Times New Roman"/>
          <w:color w:val="000000"/>
          <w:sz w:val="28"/>
          <w:szCs w:val="28"/>
          <w:vertAlign w:val="superscript"/>
          <w:lang w:val="es-ES"/>
        </w:rPr>
        <w:footnoteReference w:id="11"/>
      </w:r>
      <w:r w:rsidRPr="00527F3E">
        <w:rPr>
          <w:rFonts w:ascii="Times New Roman" w:eastAsia="Times New Roman" w:hAnsi="Times New Roman" w:cs="Times New Roman"/>
          <w:color w:val="000000"/>
          <w:sz w:val="28"/>
          <w:szCs w:val="28"/>
          <w:lang w:val="es-ES"/>
        </w:rPr>
        <w:t xml:space="preserve"> de los ministerios de Hacienda y Crédito Público y Transporte</w:t>
      </w:r>
      <w:r w:rsidRPr="00527F3E">
        <w:rPr>
          <w:rFonts w:ascii="Times New Roman" w:eastAsia="Times New Roman" w:hAnsi="Times New Roman" w:cs="Times New Roman"/>
          <w:color w:val="000000"/>
          <w:sz w:val="28"/>
          <w:szCs w:val="28"/>
          <w:vertAlign w:val="superscript"/>
          <w:lang w:val="es-ES"/>
        </w:rPr>
        <w:footnoteReference w:id="12"/>
      </w:r>
      <w:r w:rsidRPr="00527F3E">
        <w:rPr>
          <w:rFonts w:ascii="Times New Roman" w:eastAsia="Times New Roman" w:hAnsi="Times New Roman" w:cs="Times New Roman"/>
          <w:color w:val="000000"/>
          <w:sz w:val="28"/>
          <w:szCs w:val="28"/>
          <w:lang w:val="es-ES"/>
        </w:rPr>
        <w:t xml:space="preserve"> y de las entidades m</w:t>
      </w:r>
      <w:r w:rsidRPr="00527F3E">
        <w:rPr>
          <w:rFonts w:ascii="Times New Roman" w:eastAsia="Times New Roman" w:hAnsi="Times New Roman" w:cs="Times New Roman"/>
          <w:color w:val="000000"/>
          <w:sz w:val="28"/>
          <w:szCs w:val="28"/>
          <w:lang w:val="es-ES"/>
        </w:rPr>
        <w:t>encionadas en el §4 de esta providencia</w:t>
      </w:r>
      <w:r w:rsidRPr="00527F3E">
        <w:rPr>
          <w:rFonts w:ascii="Times New Roman" w:eastAsia="Times New Roman" w:hAnsi="Times New Roman" w:cs="Times New Roman"/>
          <w:color w:val="000000"/>
          <w:sz w:val="28"/>
          <w:szCs w:val="28"/>
          <w:vertAlign w:val="superscript"/>
          <w:lang w:val="es-ES"/>
        </w:rPr>
        <w:footnoteReference w:id="13"/>
      </w:r>
      <w:r w:rsidRPr="00527F3E">
        <w:rPr>
          <w:rFonts w:ascii="Times New Roman" w:eastAsia="Times New Roman" w:hAnsi="Times New Roman" w:cs="Times New Roman"/>
          <w:color w:val="000000"/>
          <w:sz w:val="28"/>
          <w:szCs w:val="28"/>
          <w:lang w:val="es-ES"/>
        </w:rPr>
        <w:t>.</w:t>
      </w:r>
    </w:p>
    <w:p w:rsidR="00B9678A" w:rsidRPr="00527F3E" w:rsidRDefault="00527F3E" w:rsidP="00923437">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923437">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Asimismo, en cumplimiento de las providencias antes mencionadas, la secretaría general de la Corte Constitucional fijó en lista el presente proceso en la página web de la Corte Constitucional a partir de las 8:00 </w:t>
      </w:r>
      <w:r w:rsidRPr="00527F3E">
        <w:rPr>
          <w:rFonts w:ascii="Times New Roman" w:eastAsia="Times New Roman" w:hAnsi="Times New Roman" w:cs="Times New Roman"/>
          <w:color w:val="000000"/>
          <w:sz w:val="28"/>
          <w:szCs w:val="28"/>
          <w:lang w:val="es-ES"/>
        </w:rPr>
        <w:t>am del 15 de noviembre de 2023 y por el término de diez (10) días</w:t>
      </w:r>
      <w:r w:rsidRPr="00527F3E">
        <w:rPr>
          <w:rFonts w:ascii="Times New Roman" w:eastAsia="Times New Roman" w:hAnsi="Times New Roman" w:cs="Times New Roman"/>
          <w:color w:val="000000"/>
          <w:sz w:val="28"/>
          <w:szCs w:val="28"/>
          <w:vertAlign w:val="superscript"/>
          <w:lang w:val="es-ES"/>
        </w:rPr>
        <w:footnoteReference w:id="14"/>
      </w:r>
      <w:r w:rsidRPr="00527F3E">
        <w:rPr>
          <w:rFonts w:ascii="Times New Roman" w:eastAsia="Times New Roman" w:hAnsi="Times New Roman" w:cs="Times New Roman"/>
          <w:color w:val="000000"/>
          <w:sz w:val="28"/>
          <w:szCs w:val="28"/>
          <w:lang w:val="es-ES"/>
        </w:rPr>
        <w:t>.</w:t>
      </w:r>
    </w:p>
    <w:p w:rsidR="00B9678A" w:rsidRPr="00527F3E" w:rsidRDefault="00527F3E" w:rsidP="00923437">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923437">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El 15 de enero de 2024, la procuradora general de la nación allegó su concepto</w:t>
      </w:r>
      <w:r w:rsidRPr="00527F3E">
        <w:rPr>
          <w:rFonts w:ascii="Times New Roman" w:eastAsia="Times New Roman" w:hAnsi="Times New Roman" w:cs="Times New Roman"/>
          <w:color w:val="000000"/>
          <w:sz w:val="28"/>
          <w:szCs w:val="28"/>
          <w:vertAlign w:val="superscript"/>
          <w:lang w:val="es-ES"/>
        </w:rPr>
        <w:footnoteReference w:id="15"/>
      </w:r>
      <w:r w:rsidRPr="00527F3E">
        <w:rPr>
          <w:rFonts w:ascii="Times New Roman" w:eastAsia="Times New Roman" w:hAnsi="Times New Roman" w:cs="Times New Roman"/>
          <w:color w:val="000000"/>
          <w:sz w:val="28"/>
          <w:szCs w:val="28"/>
          <w:lang w:val="es-ES"/>
        </w:rPr>
        <w:t xml:space="preserve"> y, al día siguiente, la secretaría general de la Corte remitió el expediente digital al despacho de la magi</w:t>
      </w:r>
      <w:r w:rsidRPr="00527F3E">
        <w:rPr>
          <w:rFonts w:ascii="Times New Roman" w:eastAsia="Times New Roman" w:hAnsi="Times New Roman" w:cs="Times New Roman"/>
          <w:color w:val="000000"/>
          <w:sz w:val="28"/>
          <w:szCs w:val="28"/>
          <w:lang w:val="es-ES"/>
        </w:rPr>
        <w:t>strada sustanciadora e informó sobre los términos para la elaboración y estudio del proyecto de fallo en el presente proceso de constitucionalidad</w:t>
      </w:r>
      <w:r w:rsidRPr="00527F3E">
        <w:rPr>
          <w:rFonts w:ascii="Times New Roman" w:eastAsia="Times New Roman" w:hAnsi="Times New Roman" w:cs="Times New Roman"/>
          <w:color w:val="000000"/>
          <w:sz w:val="28"/>
          <w:szCs w:val="28"/>
          <w:vertAlign w:val="superscript"/>
          <w:lang w:val="es-ES"/>
        </w:rPr>
        <w:footnoteReference w:id="16"/>
      </w:r>
      <w:r w:rsidRPr="00527F3E">
        <w:rPr>
          <w:rFonts w:ascii="Times New Roman" w:eastAsia="Times New Roman" w:hAnsi="Times New Roman" w:cs="Times New Roman"/>
          <w:color w:val="000000"/>
          <w:sz w:val="28"/>
          <w:szCs w:val="28"/>
          <w:lang w:val="es-ES"/>
        </w:rPr>
        <w:t>.</w:t>
      </w:r>
    </w:p>
    <w:p w:rsidR="00B9678A" w:rsidRPr="00527F3E" w:rsidRDefault="00527F3E" w:rsidP="00923437">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923437">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bdr w:val="none" w:sz="0" w:space="0" w:color="auto" w:frame="1"/>
          <w:lang w:eastAsia="es-ES"/>
        </w:rPr>
      </w:pPr>
      <w:r w:rsidRPr="00527F3E">
        <w:rPr>
          <w:rFonts w:ascii="Times New Roman" w:eastAsia="Times New Roman" w:hAnsi="Times New Roman" w:cs="Times New Roman"/>
          <w:color w:val="000000"/>
          <w:sz w:val="28"/>
          <w:szCs w:val="28"/>
          <w:lang w:val="es-ES"/>
        </w:rPr>
        <w:t xml:space="preserve">De esta forma, </w:t>
      </w:r>
      <w:r w:rsidRPr="00527F3E">
        <w:rPr>
          <w:rFonts w:ascii="Times New Roman" w:eastAsia="Times New Roman" w:hAnsi="Times New Roman" w:cs="Times New Roman"/>
          <w:color w:val="000000"/>
          <w:sz w:val="28"/>
          <w:szCs w:val="28"/>
          <w:bdr w:val="none" w:sz="0" w:space="0" w:color="auto" w:frame="1"/>
          <w:lang w:val="es-ES" w:eastAsia="es-ES"/>
        </w:rPr>
        <w:t xml:space="preserve">cumplidos los trámites previstos en el artículo 242 de la Constitución y en el Decreto Ley </w:t>
      </w:r>
      <w:r w:rsidRPr="00527F3E">
        <w:rPr>
          <w:rFonts w:ascii="Times New Roman" w:eastAsia="Times New Roman" w:hAnsi="Times New Roman" w:cs="Times New Roman"/>
          <w:color w:val="000000"/>
          <w:sz w:val="28"/>
          <w:szCs w:val="28"/>
          <w:bdr w:val="none" w:sz="0" w:space="0" w:color="auto" w:frame="1"/>
          <w:lang w:val="es-ES" w:eastAsia="es-ES"/>
        </w:rPr>
        <w:t>2067 de 1991, procede la Corte a resolver sobre la demanda de la referencia.</w:t>
      </w:r>
    </w:p>
    <w:p w:rsidR="00B9678A" w:rsidRPr="00527F3E" w:rsidRDefault="00527F3E" w:rsidP="00923437">
      <w:pPr>
        <w:autoSpaceDE w:val="0"/>
        <w:autoSpaceDN w:val="0"/>
        <w:spacing w:after="0" w:line="240" w:lineRule="auto"/>
        <w:ind w:right="49"/>
        <w:jc w:val="both"/>
        <w:textAlignment w:val="baseline"/>
        <w:rPr>
          <w:rFonts w:ascii="Times New Roman" w:eastAsia="Times New Roman" w:hAnsi="Times New Roman" w:cs="Times New Roman"/>
          <w:color w:val="000000"/>
          <w:sz w:val="28"/>
          <w:szCs w:val="28"/>
          <w:bdr w:val="none" w:sz="0" w:space="0" w:color="auto" w:frame="1"/>
          <w:lang w:val="es-ES" w:eastAsia="es-ES"/>
        </w:rPr>
      </w:pPr>
    </w:p>
    <w:p w:rsidR="00B9678A" w:rsidRPr="00527F3E" w:rsidRDefault="00527F3E" w:rsidP="00B9678A">
      <w:pPr>
        <w:keepNext/>
        <w:spacing w:after="0" w:line="240" w:lineRule="auto"/>
        <w:jc w:val="both"/>
        <w:textAlignment w:val="baseline"/>
        <w:outlineLvl w:val="0"/>
        <w:rPr>
          <w:rFonts w:ascii="Times New Roman" w:eastAsia="Times New Roman" w:hAnsi="Times New Roman" w:cs="Times New Roman"/>
          <w:b/>
          <w:bCs/>
          <w:color w:val="000000"/>
          <w:sz w:val="28"/>
          <w:szCs w:val="28"/>
          <w:bdr w:val="none" w:sz="0" w:space="0" w:color="auto" w:frame="1"/>
          <w:lang w:eastAsia="es-ES"/>
        </w:rPr>
      </w:pPr>
      <w:r w:rsidRPr="00527F3E">
        <w:rPr>
          <w:rFonts w:ascii="Times New Roman" w:eastAsia="Times New Roman" w:hAnsi="Times New Roman" w:cs="Times New Roman"/>
          <w:b/>
          <w:bCs/>
          <w:color w:val="000000"/>
          <w:sz w:val="28"/>
          <w:szCs w:val="28"/>
          <w:bdr w:val="none" w:sz="0" w:space="0" w:color="auto" w:frame="1"/>
          <w:lang w:eastAsia="es-ES"/>
        </w:rPr>
        <w:t>II. NORMA DEMANDADA</w:t>
      </w:r>
    </w:p>
    <w:p w:rsidR="00B9678A" w:rsidRPr="00527F3E" w:rsidRDefault="00527F3E" w:rsidP="00B9678A">
      <w:pPr>
        <w:spacing w:after="0" w:line="240" w:lineRule="auto"/>
        <w:rPr>
          <w:rFonts w:ascii="Times New Roman" w:eastAsia="Times New Roman" w:hAnsi="Times New Roman" w:cs="Times New Roman"/>
          <w:color w:val="000000"/>
          <w:sz w:val="28"/>
          <w:szCs w:val="28"/>
          <w:lang w:eastAsia="es-ES_tradnl"/>
        </w:rPr>
      </w:pPr>
    </w:p>
    <w:p w:rsidR="00B9678A" w:rsidRPr="00527F3E" w:rsidRDefault="00527F3E" w:rsidP="00B9678A">
      <w:pPr>
        <w:numPr>
          <w:ilvl w:val="0"/>
          <w:numId w:val="1"/>
        </w:numPr>
        <w:tabs>
          <w:tab w:val="left" w:pos="426"/>
        </w:tabs>
        <w:autoSpaceDE w:val="0"/>
        <w:autoSpaceDN w:val="0"/>
        <w:spacing w:after="0" w:line="240" w:lineRule="auto"/>
        <w:ind w:right="49"/>
        <w:contextualSpacing/>
        <w:jc w:val="both"/>
        <w:textAlignment w:val="baseline"/>
        <w:rPr>
          <w:rFonts w:ascii="Times New Roman" w:eastAsia="Times New Roman" w:hAnsi="Times New Roman" w:cs="Times New Roman"/>
          <w:color w:val="000000"/>
          <w:sz w:val="28"/>
          <w:szCs w:val="28"/>
          <w:bdr w:val="none" w:sz="0" w:space="0" w:color="auto" w:frame="1"/>
          <w:lang w:eastAsia="es-ES"/>
        </w:rPr>
      </w:pPr>
      <w:r w:rsidRPr="00527F3E">
        <w:rPr>
          <w:rFonts w:ascii="Times New Roman" w:eastAsia="Times New Roman" w:hAnsi="Times New Roman" w:cs="Times New Roman"/>
          <w:color w:val="000000"/>
          <w:sz w:val="28"/>
          <w:szCs w:val="28"/>
        </w:rPr>
        <w:t xml:space="preserve">A continuación, se transcribe la disposición demandada: </w:t>
      </w:r>
      <w:bookmarkStart w:id="1" w:name="_Hlk128660618"/>
    </w:p>
    <w:p w:rsidR="00B9678A" w:rsidRPr="00527F3E" w:rsidRDefault="00527F3E" w:rsidP="00B9678A">
      <w:pPr>
        <w:autoSpaceDE w:val="0"/>
        <w:autoSpaceDN w:val="0"/>
        <w:spacing w:after="0" w:line="240" w:lineRule="auto"/>
        <w:ind w:left="283" w:right="283"/>
        <w:jc w:val="center"/>
        <w:rPr>
          <w:rFonts w:ascii="Times New Roman" w:eastAsia="Times New Roman" w:hAnsi="Times New Roman" w:cs="Times New Roman"/>
          <w:i/>
          <w:color w:val="000000"/>
          <w:sz w:val="28"/>
          <w:szCs w:val="28"/>
          <w:lang w:eastAsia="es-ES"/>
        </w:rPr>
      </w:pPr>
    </w:p>
    <w:p w:rsidR="00B9678A" w:rsidRPr="00527F3E" w:rsidRDefault="00527F3E" w:rsidP="00B9678A">
      <w:pPr>
        <w:spacing w:after="0" w:line="240" w:lineRule="auto"/>
        <w:ind w:left="567" w:right="731"/>
        <w:jc w:val="center"/>
        <w:rPr>
          <w:rFonts w:ascii="Times New Roman" w:eastAsia="Times New Roman" w:hAnsi="Times New Roman" w:cs="Times New Roman"/>
          <w:b/>
          <w:bCs/>
          <w:color w:val="000000"/>
          <w:sz w:val="28"/>
          <w:szCs w:val="28"/>
          <w:lang w:eastAsia="es-ES_tradnl"/>
        </w:rPr>
      </w:pPr>
      <w:r w:rsidRPr="00527F3E">
        <w:rPr>
          <w:rFonts w:ascii="Times New Roman" w:eastAsia="Times New Roman" w:hAnsi="Times New Roman" w:cs="Times New Roman"/>
          <w:color w:val="000000"/>
          <w:sz w:val="28"/>
          <w:szCs w:val="28"/>
          <w:lang w:eastAsia="es-ES_tradnl"/>
        </w:rPr>
        <w:t>“</w:t>
      </w:r>
      <w:r w:rsidRPr="00527F3E">
        <w:rPr>
          <w:rFonts w:ascii="Times New Roman" w:eastAsia="Times New Roman" w:hAnsi="Times New Roman" w:cs="Times New Roman"/>
          <w:b/>
          <w:bCs/>
          <w:color w:val="000000"/>
          <w:sz w:val="28"/>
          <w:szCs w:val="28"/>
          <w:lang w:eastAsia="es-ES_tradnl"/>
        </w:rPr>
        <w:t>LEY 2299 DE 2023</w:t>
      </w:r>
    </w:p>
    <w:p w:rsidR="00B9678A" w:rsidRPr="00527F3E" w:rsidRDefault="00527F3E" w:rsidP="00B9678A">
      <w:pPr>
        <w:spacing w:after="0" w:line="240" w:lineRule="auto"/>
        <w:ind w:left="567" w:right="731"/>
        <w:jc w:val="center"/>
        <w:rPr>
          <w:rFonts w:ascii="Times New Roman" w:eastAsia="Times New Roman" w:hAnsi="Times New Roman" w:cs="Times New Roman"/>
          <w:color w:val="000000"/>
          <w:sz w:val="28"/>
          <w:szCs w:val="28"/>
          <w:lang w:eastAsia="es-ES_tradnl"/>
        </w:rPr>
      </w:pPr>
      <w:r w:rsidRPr="00527F3E">
        <w:rPr>
          <w:rFonts w:ascii="Times New Roman" w:eastAsia="Times New Roman" w:hAnsi="Times New Roman" w:cs="Times New Roman"/>
          <w:color w:val="000000"/>
          <w:sz w:val="28"/>
          <w:szCs w:val="28"/>
          <w:lang w:eastAsia="es-ES_tradnl"/>
        </w:rPr>
        <w:t>(julio 10)</w:t>
      </w:r>
    </w:p>
    <w:p w:rsidR="00B9678A" w:rsidRPr="00527F3E" w:rsidRDefault="00527F3E" w:rsidP="00B9678A">
      <w:pPr>
        <w:spacing w:after="0" w:line="240" w:lineRule="auto"/>
        <w:ind w:left="567" w:right="731"/>
        <w:jc w:val="center"/>
        <w:rPr>
          <w:rFonts w:ascii="Times New Roman" w:eastAsia="Times New Roman" w:hAnsi="Times New Roman" w:cs="Times New Roman"/>
          <w:color w:val="000000"/>
          <w:sz w:val="28"/>
          <w:szCs w:val="28"/>
          <w:lang w:eastAsia="es-ES_tradnl"/>
        </w:rPr>
      </w:pPr>
      <w:r w:rsidRPr="00527F3E">
        <w:rPr>
          <w:rFonts w:ascii="Times New Roman" w:eastAsia="Times New Roman" w:hAnsi="Times New Roman" w:cs="Times New Roman"/>
          <w:color w:val="000000"/>
          <w:sz w:val="28"/>
          <w:szCs w:val="28"/>
          <w:lang w:eastAsia="es-ES_tradnl"/>
        </w:rPr>
        <w:t xml:space="preserve">por la cual se adiciona y efectúan unas modificaciones al Presupuesto </w:t>
      </w:r>
      <w:r w:rsidRPr="00527F3E">
        <w:rPr>
          <w:rFonts w:ascii="Times New Roman" w:eastAsia="Times New Roman" w:hAnsi="Times New Roman" w:cs="Times New Roman"/>
          <w:color w:val="000000"/>
          <w:sz w:val="28"/>
          <w:szCs w:val="28"/>
          <w:lang w:eastAsia="es-ES_tradnl"/>
        </w:rPr>
        <w:t>General de la Nación de la vigencia fiscal de 2023.</w:t>
      </w:r>
    </w:p>
    <w:p w:rsidR="00B9678A" w:rsidRPr="00527F3E" w:rsidRDefault="00527F3E" w:rsidP="00B9678A">
      <w:pPr>
        <w:spacing w:after="0" w:line="240" w:lineRule="auto"/>
        <w:ind w:left="567" w:right="731"/>
        <w:jc w:val="center"/>
        <w:rPr>
          <w:rFonts w:ascii="Times New Roman" w:eastAsia="Times New Roman" w:hAnsi="Times New Roman" w:cs="Times New Roman"/>
          <w:color w:val="000000"/>
          <w:sz w:val="28"/>
          <w:szCs w:val="28"/>
          <w:lang w:eastAsia="es-ES_tradnl"/>
        </w:rPr>
      </w:pPr>
    </w:p>
    <w:p w:rsidR="00B9678A" w:rsidRPr="00527F3E" w:rsidRDefault="00527F3E" w:rsidP="00B9678A">
      <w:pPr>
        <w:spacing w:after="0" w:line="240" w:lineRule="auto"/>
        <w:ind w:left="567" w:right="731"/>
        <w:jc w:val="center"/>
        <w:rPr>
          <w:rFonts w:ascii="Times New Roman" w:eastAsia="Times New Roman" w:hAnsi="Times New Roman" w:cs="Times New Roman"/>
          <w:color w:val="000000"/>
          <w:sz w:val="28"/>
          <w:szCs w:val="28"/>
          <w:lang w:eastAsia="es-ES_tradnl"/>
        </w:rPr>
      </w:pPr>
      <w:bookmarkStart w:id="2" w:name="ver_30307753"/>
      <w:bookmarkEnd w:id="2"/>
      <w:r w:rsidRPr="00527F3E">
        <w:rPr>
          <w:rFonts w:ascii="Times New Roman" w:eastAsia="Times New Roman" w:hAnsi="Times New Roman" w:cs="Times New Roman"/>
          <w:color w:val="000000"/>
          <w:sz w:val="28"/>
          <w:szCs w:val="28"/>
          <w:lang w:eastAsia="es-ES_tradnl"/>
        </w:rPr>
        <w:t>El Congreso de Colombia</w:t>
      </w:r>
    </w:p>
    <w:p w:rsidR="00B9678A" w:rsidRPr="00527F3E" w:rsidRDefault="00527F3E" w:rsidP="00B9678A">
      <w:pPr>
        <w:spacing w:after="0" w:line="240" w:lineRule="auto"/>
        <w:ind w:left="567" w:right="731"/>
        <w:rPr>
          <w:rFonts w:ascii="Times New Roman" w:eastAsia="Times New Roman" w:hAnsi="Times New Roman" w:cs="Times New Roman"/>
          <w:color w:val="000000"/>
          <w:sz w:val="28"/>
          <w:szCs w:val="28"/>
          <w:lang w:eastAsia="es-ES_tradnl"/>
        </w:rPr>
      </w:pPr>
      <w:r w:rsidRPr="00527F3E">
        <w:rPr>
          <w:rFonts w:ascii="Times New Roman" w:eastAsia="Times New Roman" w:hAnsi="Times New Roman" w:cs="Times New Roman"/>
          <w:color w:val="000000"/>
          <w:sz w:val="28"/>
          <w:szCs w:val="28"/>
          <w:lang w:eastAsia="es-ES_tradnl"/>
        </w:rPr>
        <w:t>  </w:t>
      </w:r>
    </w:p>
    <w:p w:rsidR="00B9678A" w:rsidRPr="00527F3E" w:rsidRDefault="00527F3E" w:rsidP="00B9678A">
      <w:pPr>
        <w:spacing w:after="0" w:line="240" w:lineRule="auto"/>
        <w:ind w:left="567" w:right="731"/>
        <w:jc w:val="center"/>
        <w:rPr>
          <w:rFonts w:ascii="Times New Roman" w:eastAsia="Times New Roman" w:hAnsi="Times New Roman" w:cs="Times New Roman"/>
          <w:color w:val="000000"/>
          <w:sz w:val="28"/>
          <w:szCs w:val="28"/>
          <w:lang w:eastAsia="es-ES_tradnl"/>
        </w:rPr>
      </w:pPr>
      <w:r w:rsidRPr="00527F3E">
        <w:rPr>
          <w:rFonts w:ascii="Times New Roman" w:eastAsia="Times New Roman" w:hAnsi="Times New Roman" w:cs="Times New Roman"/>
          <w:b/>
          <w:bCs/>
          <w:color w:val="000000"/>
          <w:sz w:val="28"/>
          <w:szCs w:val="28"/>
          <w:lang w:eastAsia="es-ES_tradnl"/>
        </w:rPr>
        <w:t>DECRETA:</w:t>
      </w:r>
      <w:r w:rsidRPr="00527F3E">
        <w:rPr>
          <w:rFonts w:ascii="Times New Roman" w:eastAsia="Times New Roman" w:hAnsi="Times New Roman" w:cs="Times New Roman"/>
          <w:color w:val="000000"/>
          <w:sz w:val="28"/>
          <w:szCs w:val="28"/>
          <w:lang w:eastAsia="es-ES_tradnl"/>
        </w:rPr>
        <w:t> </w:t>
      </w:r>
    </w:p>
    <w:p w:rsidR="00656A25" w:rsidRPr="00527F3E" w:rsidRDefault="00527F3E" w:rsidP="00B9678A">
      <w:pPr>
        <w:spacing w:after="0" w:line="240" w:lineRule="auto"/>
        <w:ind w:left="567" w:right="731"/>
        <w:rPr>
          <w:rFonts w:ascii="Times New Roman" w:eastAsia="Times New Roman" w:hAnsi="Times New Roman" w:cs="Times New Roman"/>
          <w:color w:val="000000"/>
          <w:sz w:val="28"/>
          <w:szCs w:val="28"/>
          <w:lang w:eastAsia="es-ES_tradnl"/>
        </w:rPr>
      </w:pPr>
    </w:p>
    <w:p w:rsidR="00B9678A" w:rsidRPr="00527F3E" w:rsidRDefault="00527F3E" w:rsidP="00B9678A">
      <w:pPr>
        <w:spacing w:after="0" w:line="240" w:lineRule="auto"/>
        <w:ind w:left="567" w:right="731"/>
        <w:rPr>
          <w:rFonts w:ascii="Times New Roman" w:eastAsia="Times New Roman" w:hAnsi="Times New Roman" w:cs="Times New Roman"/>
          <w:color w:val="000000"/>
          <w:sz w:val="28"/>
          <w:szCs w:val="28"/>
          <w:lang w:eastAsia="es-ES_tradnl"/>
        </w:rPr>
      </w:pPr>
      <w:r w:rsidRPr="00527F3E">
        <w:rPr>
          <w:rFonts w:ascii="Times New Roman" w:eastAsia="Times New Roman" w:hAnsi="Times New Roman" w:cs="Times New Roman"/>
          <w:color w:val="000000"/>
          <w:sz w:val="28"/>
          <w:szCs w:val="28"/>
          <w:lang w:eastAsia="es-ES_tradnl"/>
        </w:rPr>
        <w:t>(...)</w:t>
      </w:r>
    </w:p>
    <w:p w:rsidR="00B9678A" w:rsidRPr="00527F3E" w:rsidRDefault="00527F3E" w:rsidP="00B9678A">
      <w:pPr>
        <w:spacing w:after="0" w:line="240" w:lineRule="auto"/>
        <w:ind w:left="567" w:right="731"/>
        <w:rPr>
          <w:rFonts w:ascii="Times New Roman" w:eastAsia="Times New Roman" w:hAnsi="Times New Roman" w:cs="Times New Roman"/>
          <w:color w:val="000000"/>
          <w:sz w:val="28"/>
          <w:szCs w:val="28"/>
          <w:lang w:eastAsia="es-ES_tradnl"/>
        </w:rPr>
      </w:pPr>
    </w:p>
    <w:p w:rsidR="00B9678A" w:rsidRPr="00527F3E" w:rsidRDefault="00527F3E" w:rsidP="00B9678A">
      <w:pPr>
        <w:spacing w:after="0" w:line="240" w:lineRule="auto"/>
        <w:ind w:left="567" w:right="731"/>
        <w:jc w:val="both"/>
        <w:rPr>
          <w:rFonts w:ascii="Times New Roman" w:eastAsia="Times New Roman" w:hAnsi="Times New Roman" w:cs="Times New Roman"/>
          <w:color w:val="000000"/>
          <w:sz w:val="28"/>
          <w:szCs w:val="28"/>
          <w:lang w:eastAsia="es-ES_tradnl"/>
        </w:rPr>
      </w:pPr>
      <w:r w:rsidRPr="00527F3E">
        <w:rPr>
          <w:rFonts w:ascii="Times New Roman" w:eastAsia="Times New Roman" w:hAnsi="Times New Roman" w:cs="Times New Roman"/>
          <w:b/>
          <w:bCs/>
          <w:color w:val="000000"/>
          <w:sz w:val="28"/>
          <w:szCs w:val="28"/>
          <w:lang w:eastAsia="es-ES_tradnl"/>
        </w:rPr>
        <w:t>Artículo 4°. Modifíquese el artículo 99 de la Ley 2276 de 2022</w:t>
      </w:r>
      <w:r w:rsidRPr="00527F3E">
        <w:rPr>
          <w:rFonts w:ascii="Times New Roman" w:eastAsia="Times New Roman" w:hAnsi="Times New Roman" w:cs="Times New Roman"/>
          <w:color w:val="000000"/>
          <w:sz w:val="28"/>
          <w:szCs w:val="28"/>
          <w:lang w:eastAsia="es-ES_tradnl"/>
        </w:rPr>
        <w:t>, el cual quedará así: </w:t>
      </w:r>
    </w:p>
    <w:p w:rsidR="00B9678A" w:rsidRPr="00527F3E" w:rsidRDefault="00527F3E" w:rsidP="00B9678A">
      <w:pPr>
        <w:spacing w:after="0" w:line="240" w:lineRule="auto"/>
        <w:ind w:left="567" w:right="731"/>
        <w:jc w:val="both"/>
        <w:rPr>
          <w:rFonts w:ascii="Times New Roman" w:eastAsia="Times New Roman" w:hAnsi="Times New Roman" w:cs="Times New Roman"/>
          <w:color w:val="000000"/>
          <w:sz w:val="28"/>
          <w:szCs w:val="28"/>
          <w:lang w:eastAsia="es-ES_tradnl"/>
        </w:rPr>
      </w:pPr>
      <w:r w:rsidRPr="00527F3E">
        <w:rPr>
          <w:rFonts w:ascii="Times New Roman" w:eastAsia="Times New Roman" w:hAnsi="Times New Roman" w:cs="Times New Roman"/>
          <w:color w:val="000000"/>
          <w:sz w:val="28"/>
          <w:szCs w:val="28"/>
          <w:lang w:eastAsia="es-ES_tradnl"/>
        </w:rPr>
        <w:t>  </w:t>
      </w:r>
    </w:p>
    <w:p w:rsidR="00B9678A" w:rsidRPr="00527F3E" w:rsidRDefault="00527F3E" w:rsidP="00B9678A">
      <w:pPr>
        <w:spacing w:after="0" w:line="240" w:lineRule="auto"/>
        <w:ind w:left="567" w:right="731"/>
        <w:jc w:val="both"/>
        <w:rPr>
          <w:rFonts w:ascii="Times New Roman" w:eastAsia="Times New Roman" w:hAnsi="Times New Roman" w:cs="Times New Roman"/>
          <w:color w:val="000000"/>
          <w:sz w:val="28"/>
          <w:szCs w:val="28"/>
          <w:lang w:eastAsia="es-ES_tradnl"/>
        </w:rPr>
      </w:pPr>
      <w:r w:rsidRPr="00527F3E">
        <w:rPr>
          <w:rFonts w:ascii="Times New Roman" w:eastAsia="Times New Roman" w:hAnsi="Times New Roman" w:cs="Times New Roman"/>
          <w:b/>
          <w:bCs/>
          <w:color w:val="000000"/>
          <w:sz w:val="28"/>
          <w:szCs w:val="28"/>
          <w:lang w:eastAsia="es-ES_tradnl"/>
        </w:rPr>
        <w:t>Artículo 99. Apoyo a los Sistemas de Transporte Público Masivo. </w:t>
      </w:r>
      <w:r w:rsidRPr="00527F3E">
        <w:rPr>
          <w:rFonts w:ascii="Times New Roman" w:eastAsia="Times New Roman" w:hAnsi="Times New Roman" w:cs="Times New Roman"/>
          <w:color w:val="000000"/>
          <w:sz w:val="28"/>
          <w:szCs w:val="28"/>
          <w:lang w:eastAsia="es-ES_tradnl"/>
        </w:rPr>
        <w:t xml:space="preserve">La </w:t>
      </w:r>
      <w:r w:rsidRPr="00527F3E">
        <w:rPr>
          <w:rFonts w:ascii="Times New Roman" w:eastAsia="Times New Roman" w:hAnsi="Times New Roman" w:cs="Times New Roman"/>
          <w:color w:val="000000"/>
          <w:sz w:val="28"/>
          <w:szCs w:val="28"/>
          <w:lang w:eastAsia="es-ES_tradnl"/>
        </w:rPr>
        <w:t xml:space="preserve">Nación destinará recursos del presupuesto nacional para la financiación de los déficits operacionales en un monto no inferior a un billón de pesos ($1.000.000.000.000), destinado a cubrir el déficit de los Sistemas Integrados de Transporte Masivo (SITM) y </w:t>
      </w:r>
      <w:r w:rsidRPr="00527F3E">
        <w:rPr>
          <w:rFonts w:ascii="Times New Roman" w:eastAsia="Times New Roman" w:hAnsi="Times New Roman" w:cs="Times New Roman"/>
          <w:color w:val="000000"/>
          <w:sz w:val="28"/>
          <w:szCs w:val="28"/>
          <w:lang w:eastAsia="es-ES_tradnl"/>
        </w:rPr>
        <w:t>los Sistemas Estratégicos de Transporte Público (SETP) del país el cuál será distribuido en partes proporcionales dependiendo del número de primeras validaciones realizadas en 2019, que serán certificadas por los entes gestores y verificado por el Minister</w:t>
      </w:r>
      <w:r w:rsidRPr="00527F3E">
        <w:rPr>
          <w:rFonts w:ascii="Times New Roman" w:eastAsia="Times New Roman" w:hAnsi="Times New Roman" w:cs="Times New Roman"/>
          <w:color w:val="000000"/>
          <w:sz w:val="28"/>
          <w:szCs w:val="28"/>
          <w:lang w:eastAsia="es-ES_tradnl"/>
        </w:rPr>
        <w:t>io de Transporte. </w:t>
      </w:r>
    </w:p>
    <w:p w:rsidR="00B9678A" w:rsidRPr="00527F3E" w:rsidRDefault="00527F3E" w:rsidP="00B9678A">
      <w:pPr>
        <w:spacing w:after="0" w:line="240" w:lineRule="auto"/>
        <w:ind w:left="567" w:right="731"/>
        <w:jc w:val="both"/>
        <w:rPr>
          <w:rFonts w:ascii="Times New Roman" w:eastAsia="Times New Roman" w:hAnsi="Times New Roman" w:cs="Times New Roman"/>
          <w:color w:val="000000"/>
          <w:sz w:val="28"/>
          <w:szCs w:val="28"/>
          <w:lang w:eastAsia="es-ES_tradnl"/>
        </w:rPr>
      </w:pPr>
      <w:r w:rsidRPr="00527F3E">
        <w:rPr>
          <w:rFonts w:ascii="Times New Roman" w:eastAsia="Times New Roman" w:hAnsi="Times New Roman" w:cs="Times New Roman"/>
          <w:color w:val="000000"/>
          <w:sz w:val="28"/>
          <w:szCs w:val="28"/>
          <w:lang w:eastAsia="es-ES_tradnl"/>
        </w:rPr>
        <w:t>  </w:t>
      </w:r>
    </w:p>
    <w:p w:rsidR="00B9678A" w:rsidRPr="00527F3E" w:rsidRDefault="00527F3E" w:rsidP="00B9678A">
      <w:pPr>
        <w:spacing w:after="0" w:line="240" w:lineRule="auto"/>
        <w:ind w:left="567" w:right="731"/>
        <w:jc w:val="both"/>
        <w:rPr>
          <w:rFonts w:ascii="Times New Roman" w:eastAsia="Times New Roman" w:hAnsi="Times New Roman" w:cs="Times New Roman"/>
          <w:color w:val="000000"/>
          <w:sz w:val="28"/>
          <w:szCs w:val="28"/>
          <w:lang w:eastAsia="es-ES_tradnl"/>
        </w:rPr>
      </w:pPr>
      <w:r w:rsidRPr="00527F3E">
        <w:rPr>
          <w:rFonts w:ascii="Times New Roman" w:eastAsia="Times New Roman" w:hAnsi="Times New Roman" w:cs="Times New Roman"/>
          <w:b/>
          <w:bCs/>
          <w:color w:val="000000"/>
          <w:sz w:val="28"/>
          <w:szCs w:val="28"/>
          <w:lang w:eastAsia="es-ES_tradnl"/>
        </w:rPr>
        <w:t>Parágrafo 1°. </w:t>
      </w:r>
      <w:r w:rsidRPr="00527F3E">
        <w:rPr>
          <w:rFonts w:ascii="Times New Roman" w:eastAsia="Times New Roman" w:hAnsi="Times New Roman" w:cs="Times New Roman"/>
          <w:color w:val="000000"/>
          <w:sz w:val="28"/>
          <w:szCs w:val="28"/>
          <w:lang w:eastAsia="es-ES_tradnl"/>
        </w:rPr>
        <w:t xml:space="preserve">Los recursos serán girados por el Ministerio de Hacienda y Crédito Público al ente gestor de cada sistema de transporte masivo con cargo al Presupuesto General de la Nación. En el entendido que el déficit de los SITM </w:t>
      </w:r>
      <w:r w:rsidRPr="00527F3E">
        <w:rPr>
          <w:rFonts w:ascii="Times New Roman" w:eastAsia="Times New Roman" w:hAnsi="Times New Roman" w:cs="Times New Roman"/>
          <w:color w:val="000000"/>
          <w:sz w:val="28"/>
          <w:szCs w:val="28"/>
          <w:lang w:eastAsia="es-ES_tradnl"/>
        </w:rPr>
        <w:t>está afectando a la operación de estos, la Nación realizará las gestiones correspondientes para incorporar en el PAC de esta, el giro de los recursos en un plazo de 2 meses posterior a la sanción de la presente ley.  </w:t>
      </w:r>
    </w:p>
    <w:p w:rsidR="00B9678A" w:rsidRPr="00527F3E" w:rsidRDefault="00527F3E" w:rsidP="00B9678A">
      <w:pPr>
        <w:spacing w:after="0" w:line="240" w:lineRule="auto"/>
        <w:ind w:left="567" w:right="731"/>
        <w:jc w:val="both"/>
        <w:rPr>
          <w:rFonts w:ascii="Times New Roman" w:eastAsia="Times New Roman" w:hAnsi="Times New Roman" w:cs="Times New Roman"/>
          <w:color w:val="000000"/>
          <w:sz w:val="28"/>
          <w:szCs w:val="28"/>
          <w:lang w:eastAsia="es-ES_tradnl"/>
        </w:rPr>
      </w:pPr>
      <w:r w:rsidRPr="00527F3E">
        <w:rPr>
          <w:rFonts w:ascii="Times New Roman" w:eastAsia="Times New Roman" w:hAnsi="Times New Roman" w:cs="Times New Roman"/>
          <w:color w:val="000000"/>
          <w:sz w:val="28"/>
          <w:szCs w:val="28"/>
          <w:lang w:eastAsia="es-ES_tradnl"/>
        </w:rPr>
        <w:t>  </w:t>
      </w:r>
    </w:p>
    <w:p w:rsidR="00B9678A" w:rsidRPr="00527F3E" w:rsidRDefault="00527F3E" w:rsidP="00B9678A">
      <w:pPr>
        <w:spacing w:after="0" w:line="240" w:lineRule="auto"/>
        <w:ind w:left="567" w:right="731"/>
        <w:jc w:val="both"/>
        <w:rPr>
          <w:rFonts w:ascii="Times New Roman" w:eastAsia="Times New Roman" w:hAnsi="Times New Roman" w:cs="Times New Roman"/>
          <w:color w:val="000000"/>
          <w:sz w:val="28"/>
          <w:szCs w:val="28"/>
          <w:u w:val="single"/>
          <w:lang w:eastAsia="es-ES_tradnl"/>
        </w:rPr>
      </w:pPr>
      <w:r w:rsidRPr="00527F3E">
        <w:rPr>
          <w:rFonts w:ascii="Times New Roman" w:eastAsia="Times New Roman" w:hAnsi="Times New Roman" w:cs="Times New Roman"/>
          <w:b/>
          <w:bCs/>
          <w:color w:val="000000"/>
          <w:sz w:val="28"/>
          <w:szCs w:val="28"/>
          <w:lang w:eastAsia="es-ES_tradnl"/>
        </w:rPr>
        <w:t>Parágrafo 2°. </w:t>
      </w:r>
      <w:r w:rsidRPr="00527F3E">
        <w:rPr>
          <w:rFonts w:ascii="Times New Roman" w:eastAsia="Times New Roman" w:hAnsi="Times New Roman" w:cs="Times New Roman"/>
          <w:color w:val="000000"/>
          <w:sz w:val="28"/>
          <w:szCs w:val="28"/>
          <w:u w:val="single"/>
          <w:lang w:eastAsia="es-ES_tradnl"/>
        </w:rPr>
        <w:t>Las autoridades terri</w:t>
      </w:r>
      <w:r w:rsidRPr="00527F3E">
        <w:rPr>
          <w:rFonts w:ascii="Times New Roman" w:eastAsia="Times New Roman" w:hAnsi="Times New Roman" w:cs="Times New Roman"/>
          <w:color w:val="000000"/>
          <w:sz w:val="28"/>
          <w:szCs w:val="28"/>
          <w:u w:val="single"/>
          <w:lang w:eastAsia="es-ES_tradnl"/>
        </w:rPr>
        <w:t>toriales que cuenten con SITM y SETP determinarán los efectos económicos adversos derivados de costos actuales, número de usuarios, riesgos operacionales y los que se generaron por la pandemia por Covid-19, entre otros, que hayan afectado de manera grave e</w:t>
      </w:r>
      <w:r w:rsidRPr="00527F3E">
        <w:rPr>
          <w:rFonts w:ascii="Times New Roman" w:eastAsia="Times New Roman" w:hAnsi="Times New Roman" w:cs="Times New Roman"/>
          <w:color w:val="000000"/>
          <w:sz w:val="28"/>
          <w:szCs w:val="28"/>
          <w:u w:val="single"/>
          <w:lang w:eastAsia="es-ES_tradnl"/>
        </w:rPr>
        <w:t>l equilibrio económico de los contratos de concesión y operación en perjuicio de las entidades territoriales y los usuarios.  </w:t>
      </w:r>
    </w:p>
    <w:p w:rsidR="00B9678A" w:rsidRPr="00527F3E" w:rsidRDefault="00527F3E" w:rsidP="00B9678A">
      <w:pPr>
        <w:spacing w:after="0" w:line="240" w:lineRule="auto"/>
        <w:ind w:left="567" w:right="731"/>
        <w:jc w:val="both"/>
        <w:rPr>
          <w:rFonts w:ascii="Times New Roman" w:eastAsia="Times New Roman" w:hAnsi="Times New Roman" w:cs="Times New Roman"/>
          <w:color w:val="000000"/>
          <w:sz w:val="28"/>
          <w:szCs w:val="28"/>
          <w:u w:val="single"/>
          <w:lang w:eastAsia="es-ES_tradnl"/>
        </w:rPr>
      </w:pPr>
      <w:r w:rsidRPr="00527F3E">
        <w:rPr>
          <w:rFonts w:ascii="Times New Roman" w:eastAsia="Times New Roman" w:hAnsi="Times New Roman" w:cs="Times New Roman"/>
          <w:color w:val="000000"/>
          <w:sz w:val="28"/>
          <w:szCs w:val="28"/>
          <w:u w:val="single"/>
          <w:lang w:eastAsia="es-ES_tradnl"/>
        </w:rPr>
        <w:t>  </w:t>
      </w:r>
    </w:p>
    <w:p w:rsidR="00B9678A" w:rsidRPr="00527F3E" w:rsidRDefault="00527F3E" w:rsidP="00B9678A">
      <w:pPr>
        <w:spacing w:after="0" w:line="240" w:lineRule="auto"/>
        <w:ind w:left="567" w:right="731"/>
        <w:jc w:val="both"/>
        <w:rPr>
          <w:rFonts w:ascii="Times New Roman" w:eastAsia="Times New Roman" w:hAnsi="Times New Roman" w:cs="Times New Roman"/>
          <w:color w:val="000000"/>
          <w:sz w:val="28"/>
          <w:szCs w:val="28"/>
          <w:u w:val="single"/>
          <w:lang w:eastAsia="es-ES_tradnl"/>
        </w:rPr>
      </w:pPr>
      <w:r w:rsidRPr="00527F3E">
        <w:rPr>
          <w:rFonts w:ascii="Times New Roman" w:eastAsia="Times New Roman" w:hAnsi="Times New Roman" w:cs="Times New Roman"/>
          <w:color w:val="000000"/>
          <w:sz w:val="28"/>
          <w:szCs w:val="28"/>
          <w:u w:val="single"/>
          <w:lang w:eastAsia="es-ES_tradnl"/>
        </w:rPr>
        <w:t>Lo anterior, con el fin de adelantar, hasta el 31 de diciembre de 2023, las renegociaciones de las condiciones económicas y de</w:t>
      </w:r>
      <w:r w:rsidRPr="00527F3E">
        <w:rPr>
          <w:rFonts w:ascii="Times New Roman" w:eastAsia="Times New Roman" w:hAnsi="Times New Roman" w:cs="Times New Roman"/>
          <w:color w:val="000000"/>
          <w:sz w:val="28"/>
          <w:szCs w:val="28"/>
          <w:u w:val="single"/>
          <w:lang w:eastAsia="es-ES_tradnl"/>
        </w:rPr>
        <w:t xml:space="preserve"> distribución de riesgos de esos contratos con los operadores y concesionarios privados y de esa manera garantizar la reducción de los costos, y la continua y eficiente prestación del servicio público de transporte.  </w:t>
      </w:r>
    </w:p>
    <w:p w:rsidR="00B9678A" w:rsidRPr="00527F3E" w:rsidRDefault="00527F3E" w:rsidP="00B9678A">
      <w:pPr>
        <w:spacing w:after="0" w:line="240" w:lineRule="auto"/>
        <w:ind w:left="567" w:right="731"/>
        <w:jc w:val="both"/>
        <w:rPr>
          <w:rFonts w:ascii="Times New Roman" w:eastAsia="Times New Roman" w:hAnsi="Times New Roman" w:cs="Times New Roman"/>
          <w:color w:val="000000"/>
          <w:sz w:val="28"/>
          <w:szCs w:val="28"/>
          <w:u w:val="single"/>
          <w:lang w:eastAsia="es-ES_tradnl"/>
        </w:rPr>
      </w:pPr>
      <w:r w:rsidRPr="00527F3E">
        <w:rPr>
          <w:rFonts w:ascii="Times New Roman" w:eastAsia="Times New Roman" w:hAnsi="Times New Roman" w:cs="Times New Roman"/>
          <w:color w:val="000000"/>
          <w:sz w:val="28"/>
          <w:szCs w:val="28"/>
          <w:u w:val="single"/>
          <w:lang w:eastAsia="es-ES_tradnl"/>
        </w:rPr>
        <w:t>  </w:t>
      </w:r>
    </w:p>
    <w:p w:rsidR="00B9678A" w:rsidRPr="00527F3E" w:rsidRDefault="00527F3E" w:rsidP="00B9678A">
      <w:pPr>
        <w:spacing w:after="0" w:line="240" w:lineRule="auto"/>
        <w:ind w:left="567" w:right="731"/>
        <w:jc w:val="both"/>
        <w:rPr>
          <w:rFonts w:ascii="Times New Roman" w:eastAsia="Times New Roman" w:hAnsi="Times New Roman" w:cs="Times New Roman"/>
          <w:color w:val="000000"/>
          <w:sz w:val="28"/>
          <w:szCs w:val="28"/>
          <w:lang w:eastAsia="es-ES_tradnl"/>
        </w:rPr>
      </w:pPr>
      <w:r w:rsidRPr="00527F3E">
        <w:rPr>
          <w:rFonts w:ascii="Times New Roman" w:eastAsia="Times New Roman" w:hAnsi="Times New Roman" w:cs="Times New Roman"/>
          <w:color w:val="000000"/>
          <w:sz w:val="28"/>
          <w:szCs w:val="28"/>
          <w:u w:val="single"/>
          <w:lang w:eastAsia="es-ES_tradnl"/>
        </w:rPr>
        <w:t xml:space="preserve">Las mesas de renegociación con los </w:t>
      </w:r>
      <w:r w:rsidRPr="00527F3E">
        <w:rPr>
          <w:rFonts w:ascii="Times New Roman" w:eastAsia="Times New Roman" w:hAnsi="Times New Roman" w:cs="Times New Roman"/>
          <w:color w:val="000000"/>
          <w:sz w:val="28"/>
          <w:szCs w:val="28"/>
          <w:u w:val="single"/>
          <w:lang w:eastAsia="es-ES_tradnl"/>
        </w:rPr>
        <w:t xml:space="preserve">operadores y concesionarios privados se darán con el Ministerio de Transporte y las autoridades territoriales que cuenten con SITM y SETP, </w:t>
      </w:r>
      <w:bookmarkStart w:id="3" w:name="_Hlk166792009"/>
      <w:r w:rsidRPr="00527F3E">
        <w:rPr>
          <w:rFonts w:ascii="Times New Roman" w:eastAsia="Times New Roman" w:hAnsi="Times New Roman" w:cs="Times New Roman"/>
          <w:color w:val="000000"/>
          <w:sz w:val="28"/>
          <w:szCs w:val="28"/>
          <w:u w:val="single"/>
          <w:lang w:eastAsia="es-ES_tradnl"/>
        </w:rPr>
        <w:t>se llevarán a cabo de manera previa al ejercicio de la facultad prevista en el artículo 17 de la Ley 80 de 1993</w:t>
      </w:r>
      <w:bookmarkEnd w:id="3"/>
      <w:r w:rsidRPr="00527F3E">
        <w:rPr>
          <w:rFonts w:ascii="Times New Roman" w:eastAsia="Times New Roman" w:hAnsi="Times New Roman" w:cs="Times New Roman"/>
          <w:color w:val="000000"/>
          <w:sz w:val="28"/>
          <w:szCs w:val="28"/>
          <w:u w:val="single"/>
          <w:lang w:eastAsia="es-ES_tradnl"/>
        </w:rPr>
        <w:t xml:space="preserve">, y a </w:t>
      </w:r>
      <w:r w:rsidRPr="00527F3E">
        <w:rPr>
          <w:rFonts w:ascii="Times New Roman" w:eastAsia="Times New Roman" w:hAnsi="Times New Roman" w:cs="Times New Roman"/>
          <w:color w:val="000000"/>
          <w:sz w:val="28"/>
          <w:szCs w:val="28"/>
          <w:u w:val="single"/>
          <w:lang w:eastAsia="es-ES_tradnl"/>
        </w:rPr>
        <w:t>ellas podrá asistir la Contraloría General de la República</w:t>
      </w:r>
      <w:r w:rsidRPr="00527F3E">
        <w:rPr>
          <w:rFonts w:ascii="Times New Roman" w:eastAsia="Times New Roman" w:hAnsi="Times New Roman" w:cs="Times New Roman"/>
          <w:color w:val="000000"/>
          <w:sz w:val="28"/>
          <w:szCs w:val="28"/>
          <w:lang w:eastAsia="es-ES_tradnl"/>
        </w:rPr>
        <w:t>”.</w:t>
      </w:r>
    </w:p>
    <w:p w:rsidR="00B9678A" w:rsidRPr="00527F3E" w:rsidRDefault="00527F3E" w:rsidP="00B9678A">
      <w:pPr>
        <w:keepNext/>
        <w:spacing w:after="0" w:line="240" w:lineRule="auto"/>
        <w:jc w:val="both"/>
        <w:textAlignment w:val="baseline"/>
        <w:outlineLvl w:val="0"/>
        <w:rPr>
          <w:rFonts w:ascii="Times New Roman" w:eastAsia="Times New Roman" w:hAnsi="Times New Roman" w:cs="Times New Roman"/>
          <w:b/>
          <w:bCs/>
          <w:color w:val="000000"/>
          <w:sz w:val="28"/>
          <w:szCs w:val="28"/>
          <w:bdr w:val="none" w:sz="0" w:space="0" w:color="auto" w:frame="1"/>
          <w:lang w:eastAsia="es-ES"/>
        </w:rPr>
      </w:pPr>
    </w:p>
    <w:p w:rsidR="00B9678A" w:rsidRPr="00527F3E" w:rsidRDefault="00527F3E" w:rsidP="00B9678A">
      <w:pPr>
        <w:keepNext/>
        <w:spacing w:after="0" w:line="240" w:lineRule="auto"/>
        <w:jc w:val="both"/>
        <w:textAlignment w:val="baseline"/>
        <w:outlineLvl w:val="0"/>
        <w:rPr>
          <w:rFonts w:ascii="Times New Roman" w:eastAsia="Times New Roman" w:hAnsi="Times New Roman" w:cs="Times New Roman"/>
          <w:b/>
          <w:bCs/>
          <w:color w:val="000000"/>
          <w:sz w:val="28"/>
          <w:szCs w:val="28"/>
          <w:bdr w:val="none" w:sz="0" w:space="0" w:color="auto" w:frame="1"/>
          <w:lang w:eastAsia="es-ES"/>
        </w:rPr>
      </w:pPr>
      <w:r w:rsidRPr="00527F3E">
        <w:rPr>
          <w:rFonts w:ascii="Times New Roman" w:eastAsia="Times New Roman" w:hAnsi="Times New Roman" w:cs="Times New Roman"/>
          <w:b/>
          <w:bCs/>
          <w:color w:val="000000"/>
          <w:sz w:val="28"/>
          <w:szCs w:val="28"/>
          <w:bdr w:val="none" w:sz="0" w:space="0" w:color="auto" w:frame="1"/>
          <w:lang w:eastAsia="es-ES"/>
        </w:rPr>
        <w:t>III. LA DEMANDA</w:t>
      </w:r>
      <w:r w:rsidRPr="00527F3E">
        <w:rPr>
          <w:rFonts w:ascii="Times New Roman" w:eastAsia="Times New Roman" w:hAnsi="Times New Roman" w:cs="Times New Roman"/>
          <w:color w:val="000000"/>
          <w:sz w:val="28"/>
          <w:szCs w:val="28"/>
          <w:bdr w:val="none" w:sz="0" w:space="0" w:color="auto" w:frame="1"/>
          <w:vertAlign w:val="superscript"/>
          <w:lang w:eastAsia="es-ES"/>
        </w:rPr>
        <w:footnoteReference w:id="17"/>
      </w:r>
      <w:r w:rsidRPr="00527F3E">
        <w:rPr>
          <w:rFonts w:ascii="Times New Roman" w:eastAsia="Times New Roman" w:hAnsi="Times New Roman" w:cs="Times New Roman"/>
          <w:color w:val="000000"/>
          <w:sz w:val="28"/>
          <w:szCs w:val="28"/>
          <w:bdr w:val="none" w:sz="0" w:space="0" w:color="auto" w:frame="1"/>
          <w:lang w:eastAsia="es-ES"/>
        </w:rPr>
        <w:t xml:space="preserve"> </w:t>
      </w:r>
    </w:p>
    <w:bookmarkEnd w:id="1"/>
    <w:p w:rsidR="00B9678A" w:rsidRPr="00527F3E" w:rsidRDefault="00527F3E" w:rsidP="00B9678A">
      <w:pPr>
        <w:tabs>
          <w:tab w:val="left" w:pos="426"/>
        </w:tabs>
        <w:autoSpaceDE w:val="0"/>
        <w:autoSpaceDN w:val="0"/>
        <w:spacing w:line="240" w:lineRule="auto"/>
        <w:ind w:right="49"/>
        <w:contextualSpacing/>
        <w:jc w:val="both"/>
        <w:textAlignment w:val="baseline"/>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iCs/>
          <w:color w:val="000000"/>
          <w:sz w:val="28"/>
          <w:szCs w:val="28"/>
          <w:lang w:val="es-ES"/>
        </w:rPr>
        <w:t xml:space="preserve">El demandante solicita a la Corte declarar la inexequibilidad del parágrafo 2º del artículo 4º de la Ley 2299 de 2023 por desconocer el principio de unidad de materia </w:t>
      </w:r>
      <w:r w:rsidRPr="00527F3E">
        <w:rPr>
          <w:rFonts w:ascii="Times New Roman" w:eastAsia="Times New Roman" w:hAnsi="Times New Roman" w:cs="Times New Roman"/>
          <w:iCs/>
          <w:color w:val="000000"/>
          <w:sz w:val="28"/>
          <w:szCs w:val="28"/>
          <w:lang w:val="es-ES"/>
        </w:rPr>
        <w:t>consagrado en los artículos 158 y 169 de la Constitución Política. Sostiene que estas normas superiores son vulneradas “puesto que mediante una ley de adición presupuestal se pretende ordenar la modificación de contratos estatales de concesión de operación</w:t>
      </w:r>
      <w:r w:rsidRPr="00527F3E">
        <w:rPr>
          <w:rFonts w:ascii="Times New Roman" w:eastAsia="Times New Roman" w:hAnsi="Times New Roman" w:cs="Times New Roman"/>
          <w:iCs/>
          <w:color w:val="000000"/>
          <w:sz w:val="28"/>
          <w:szCs w:val="28"/>
          <w:lang w:val="es-ES"/>
        </w:rPr>
        <w:t xml:space="preserve"> de Sistemas Integrados de Transporte Público (SITP) y/o Sistemas Estratégicos de Transporte Público (SETP), o su terminación unilateral sin que sea una ley de adición presupuestal el mecanismo legal para hacerlo”.</w:t>
      </w:r>
    </w:p>
    <w:p w:rsidR="00B9678A" w:rsidRPr="00527F3E" w:rsidRDefault="00527F3E" w:rsidP="00656A25">
      <w:pPr>
        <w:tabs>
          <w:tab w:val="left" w:pos="426"/>
        </w:tabs>
        <w:autoSpaceDE w:val="0"/>
        <w:autoSpaceDN w:val="0"/>
        <w:spacing w:line="240" w:lineRule="auto"/>
        <w:ind w:right="49"/>
        <w:contextualSpacing/>
        <w:jc w:val="both"/>
        <w:textAlignment w:val="baseline"/>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Para fundamentar su cargo, el promotor d</w:t>
      </w:r>
      <w:r w:rsidRPr="00527F3E">
        <w:rPr>
          <w:rFonts w:ascii="Times New Roman" w:eastAsia="Times New Roman" w:hAnsi="Times New Roman" w:cs="Times New Roman"/>
          <w:color w:val="000000"/>
          <w:sz w:val="28"/>
          <w:szCs w:val="28"/>
          <w:lang w:val="es-ES"/>
        </w:rPr>
        <w:t xml:space="preserve">e la acción señala que la unidad de materia alude a </w:t>
      </w:r>
      <w:r w:rsidRPr="00527F3E">
        <w:rPr>
          <w:rFonts w:ascii="Times New Roman" w:eastAsia="Times New Roman" w:hAnsi="Times New Roman" w:cs="Times New Roman"/>
          <w:iCs/>
          <w:color w:val="000000"/>
          <w:sz w:val="28"/>
          <w:szCs w:val="28"/>
          <w:lang w:val="es-ES"/>
        </w:rPr>
        <w:t xml:space="preserve">(i) la relación entre el título de la ley y su contenido y (ii) que exista coherencia temática y se logre determinar una relación de conexidad interna a partir de los criterios causal, teleológico, </w:t>
      </w:r>
      <w:r w:rsidRPr="00527F3E">
        <w:rPr>
          <w:rFonts w:ascii="Times New Roman" w:eastAsia="Times New Roman" w:hAnsi="Times New Roman" w:cs="Times New Roman"/>
          <w:iCs/>
          <w:color w:val="000000"/>
          <w:sz w:val="28"/>
          <w:szCs w:val="28"/>
          <w:lang w:val="es-ES"/>
        </w:rPr>
        <w:t>temático, y sistemático.</w:t>
      </w:r>
    </w:p>
    <w:p w:rsidR="00B9678A" w:rsidRPr="00527F3E" w:rsidRDefault="00527F3E" w:rsidP="00656A25">
      <w:pPr>
        <w:tabs>
          <w:tab w:val="left" w:pos="426"/>
        </w:tabs>
        <w:autoSpaceDE w:val="0"/>
        <w:autoSpaceDN w:val="0"/>
        <w:spacing w:after="0" w:line="240" w:lineRule="auto"/>
        <w:ind w:right="49"/>
        <w:contextualSpacing/>
        <w:jc w:val="both"/>
        <w:textAlignment w:val="baseline"/>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El ciudadano considera que no se satisface la primera de las condiciones que, en virtud del artículo 169 superior, impone el principio de unidad de materia. Tras analizar el sentido literal de cada una de las palabras relevantes </w:t>
      </w:r>
      <w:r w:rsidRPr="00527F3E">
        <w:rPr>
          <w:rFonts w:ascii="Times New Roman" w:eastAsia="Times New Roman" w:hAnsi="Times New Roman" w:cs="Times New Roman"/>
          <w:color w:val="000000"/>
          <w:sz w:val="28"/>
          <w:szCs w:val="28"/>
          <w:lang w:val="es-ES"/>
        </w:rPr>
        <w:t>que integran el título de la Ley 2299 de 2023, concluye que dicha ley busca “agregar y hacer cambios en las cantidades de dinero destinados a los rubros que integran el presupuesto general de la nación para el periodo fiscal del año 2023”. Señala que el pa</w:t>
      </w:r>
      <w:r w:rsidRPr="00527F3E">
        <w:rPr>
          <w:rFonts w:ascii="Times New Roman" w:eastAsia="Times New Roman" w:hAnsi="Times New Roman" w:cs="Times New Roman"/>
          <w:color w:val="000000"/>
          <w:sz w:val="28"/>
          <w:szCs w:val="28"/>
          <w:lang w:val="es-ES"/>
        </w:rPr>
        <w:t>rágrafo acusado nada tiene que ver con el objeto definido en el título de la Ley 2299, por cuanto esta “no pretende ser un instrumento de revisión de contratos estatales, ni de determinaciones sobre la configuración o no de desequilibrios económicos, ni un</w:t>
      </w:r>
      <w:r w:rsidRPr="00527F3E">
        <w:rPr>
          <w:rFonts w:ascii="Times New Roman" w:eastAsia="Times New Roman" w:hAnsi="Times New Roman" w:cs="Times New Roman"/>
          <w:color w:val="000000"/>
          <w:sz w:val="28"/>
          <w:szCs w:val="28"/>
          <w:lang w:val="es-ES"/>
        </w:rPr>
        <w:t xml:space="preserve"> instrumento para modificar matrices de riesgos”</w:t>
      </w:r>
      <w:r w:rsidRPr="00527F3E">
        <w:rPr>
          <w:rFonts w:ascii="Times New Roman" w:eastAsia="Times New Roman" w:hAnsi="Times New Roman" w:cs="Times New Roman"/>
          <w:color w:val="000000"/>
          <w:sz w:val="28"/>
          <w:szCs w:val="28"/>
          <w:vertAlign w:val="superscript"/>
          <w:lang w:val="es-ES"/>
        </w:rPr>
        <w:footnoteReference w:id="18"/>
      </w:r>
      <w:r w:rsidRPr="00527F3E">
        <w:rPr>
          <w:rFonts w:ascii="Times New Roman" w:eastAsia="Times New Roman" w:hAnsi="Times New Roman" w:cs="Times New Roman"/>
          <w:color w:val="000000"/>
          <w:sz w:val="28"/>
          <w:szCs w:val="28"/>
          <w:lang w:val="es-ES"/>
        </w:rPr>
        <w:t>.</w:t>
      </w:r>
    </w:p>
    <w:p w:rsidR="00B9678A" w:rsidRPr="00527F3E" w:rsidRDefault="00527F3E" w:rsidP="00656A25">
      <w:pPr>
        <w:tabs>
          <w:tab w:val="left" w:pos="426"/>
        </w:tabs>
        <w:autoSpaceDE w:val="0"/>
        <w:autoSpaceDN w:val="0"/>
        <w:spacing w:line="240" w:lineRule="auto"/>
        <w:ind w:right="49"/>
        <w:contextualSpacing/>
        <w:jc w:val="both"/>
        <w:textAlignment w:val="baseline"/>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Señala que tampoco existe una relación de conexidad interna entre el contenido acusado y la ley en la que se inserta. Al respecto, descarta que exista </w:t>
      </w:r>
      <w:r w:rsidRPr="00527F3E">
        <w:rPr>
          <w:rFonts w:ascii="Times New Roman" w:eastAsia="Times New Roman" w:hAnsi="Times New Roman" w:cs="Times New Roman"/>
          <w:i/>
          <w:color w:val="000000"/>
          <w:sz w:val="28"/>
          <w:szCs w:val="28"/>
          <w:lang w:val="es-ES"/>
        </w:rPr>
        <w:t>conexidad causal</w:t>
      </w:r>
      <w:r w:rsidRPr="00527F3E">
        <w:rPr>
          <w:rFonts w:ascii="Times New Roman" w:eastAsia="Times New Roman" w:hAnsi="Times New Roman" w:cs="Times New Roman"/>
          <w:color w:val="000000"/>
          <w:sz w:val="28"/>
          <w:szCs w:val="28"/>
          <w:lang w:val="es-ES"/>
        </w:rPr>
        <w:t xml:space="preserve"> entre la norma acusada y los motivos</w:t>
      </w:r>
      <w:r w:rsidRPr="00527F3E">
        <w:rPr>
          <w:rFonts w:ascii="Times New Roman" w:eastAsia="Times New Roman" w:hAnsi="Times New Roman" w:cs="Times New Roman"/>
          <w:color w:val="000000"/>
          <w:sz w:val="28"/>
          <w:szCs w:val="28"/>
          <w:lang w:val="es-ES"/>
        </w:rPr>
        <w:t xml:space="preserve"> que llevaron a la expedición de la Ley 2299 de 2023, con la cual se buscaba, según lo plantea la exposición de motivos al proyecto de ley, adicionar presupuesto a diferentes sectores para facilitar su recuperación frente a los riesgos derivados del comple</w:t>
      </w:r>
      <w:r w:rsidRPr="00527F3E">
        <w:rPr>
          <w:rFonts w:ascii="Times New Roman" w:eastAsia="Times New Roman" w:hAnsi="Times New Roman" w:cs="Times New Roman"/>
          <w:color w:val="000000"/>
          <w:sz w:val="28"/>
          <w:szCs w:val="28"/>
          <w:lang w:val="es-ES"/>
        </w:rPr>
        <w:t>jo escenario geopolítico y económico mundial. El demandante considera que “no hay conexidad entre la búsqueda de evitar y prever riesgos haciendo uso de la herramienta legal de adición de presupuesto a los sistemas y la disposición que establece que, de no</w:t>
      </w:r>
      <w:r w:rsidRPr="00527F3E">
        <w:rPr>
          <w:rFonts w:ascii="Times New Roman" w:eastAsia="Times New Roman" w:hAnsi="Times New Roman" w:cs="Times New Roman"/>
          <w:color w:val="000000"/>
          <w:sz w:val="28"/>
          <w:szCs w:val="28"/>
          <w:lang w:val="es-ES"/>
        </w:rPr>
        <w:t xml:space="preserve"> lograr una renegociación y declaración de desequilibrio económico en perjuicio de las entidades territoriales, se da por terminado el contrato”</w:t>
      </w:r>
      <w:r w:rsidRPr="00527F3E">
        <w:rPr>
          <w:rFonts w:ascii="Times New Roman" w:eastAsia="Times New Roman" w:hAnsi="Times New Roman" w:cs="Times New Roman"/>
          <w:color w:val="000000"/>
          <w:sz w:val="28"/>
          <w:szCs w:val="28"/>
          <w:vertAlign w:val="superscript"/>
          <w:lang w:val="es-ES"/>
        </w:rPr>
        <w:footnoteReference w:id="19"/>
      </w:r>
      <w:r w:rsidRPr="00527F3E">
        <w:rPr>
          <w:rFonts w:ascii="Times New Roman" w:eastAsia="Times New Roman" w:hAnsi="Times New Roman" w:cs="Times New Roman"/>
          <w:color w:val="000000"/>
          <w:sz w:val="28"/>
          <w:szCs w:val="28"/>
          <w:lang w:val="es-ES"/>
        </w:rPr>
        <w:t>. Añade que la norma demandada resulta incluso contraria a la motivación del legislador, por cuanto con ella se</w:t>
      </w:r>
      <w:r w:rsidRPr="00527F3E">
        <w:rPr>
          <w:rFonts w:ascii="Times New Roman" w:eastAsia="Times New Roman" w:hAnsi="Times New Roman" w:cs="Times New Roman"/>
          <w:color w:val="000000"/>
          <w:sz w:val="28"/>
          <w:szCs w:val="28"/>
          <w:lang w:val="es-ES"/>
        </w:rPr>
        <w:t xml:space="preserve"> afecta a los concesionarios de operación, quienes han tenido que soportar las variaciones económicas internacionales y nacionales y ajustarse a ellas para continuar prestando el servicio público; además, la facultad de terminar unilateralmente los contrat</w:t>
      </w:r>
      <w:r w:rsidRPr="00527F3E">
        <w:rPr>
          <w:rFonts w:ascii="Times New Roman" w:eastAsia="Times New Roman" w:hAnsi="Times New Roman" w:cs="Times New Roman"/>
          <w:color w:val="000000"/>
          <w:sz w:val="28"/>
          <w:szCs w:val="28"/>
          <w:lang w:val="es-ES"/>
        </w:rPr>
        <w:t>os puede llevar a paralizar la prestación de un servicio público esencial.</w:t>
      </w:r>
    </w:p>
    <w:p w:rsidR="00B9678A" w:rsidRPr="00527F3E" w:rsidRDefault="00527F3E" w:rsidP="00B9678A">
      <w:pPr>
        <w:tabs>
          <w:tab w:val="left" w:pos="426"/>
        </w:tabs>
        <w:autoSpaceDE w:val="0"/>
        <w:autoSpaceDN w:val="0"/>
        <w:spacing w:line="240" w:lineRule="auto"/>
        <w:ind w:right="49"/>
        <w:contextualSpacing/>
        <w:jc w:val="both"/>
        <w:textAlignment w:val="baseline"/>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El promotor de la acción sostiene que no se presenta </w:t>
      </w:r>
      <w:r w:rsidRPr="00527F3E">
        <w:rPr>
          <w:rFonts w:ascii="Times New Roman" w:eastAsia="Times New Roman" w:hAnsi="Times New Roman" w:cs="Times New Roman"/>
          <w:i/>
          <w:color w:val="000000"/>
          <w:sz w:val="28"/>
          <w:szCs w:val="28"/>
          <w:lang w:val="es-ES"/>
        </w:rPr>
        <w:t>conexidad teleológica</w:t>
      </w:r>
      <w:r w:rsidRPr="00527F3E">
        <w:rPr>
          <w:rFonts w:ascii="Times New Roman" w:eastAsia="Times New Roman" w:hAnsi="Times New Roman" w:cs="Times New Roman"/>
          <w:color w:val="000000"/>
          <w:sz w:val="28"/>
          <w:szCs w:val="28"/>
          <w:lang w:val="es-ES"/>
        </w:rPr>
        <w:t>, por cuanto en los objetivos planteados en la exposición de motivos del proyecto de ley de adición presup</w:t>
      </w:r>
      <w:r w:rsidRPr="00527F3E">
        <w:rPr>
          <w:rFonts w:ascii="Times New Roman" w:eastAsia="Times New Roman" w:hAnsi="Times New Roman" w:cs="Times New Roman"/>
          <w:color w:val="000000"/>
          <w:sz w:val="28"/>
          <w:szCs w:val="28"/>
          <w:lang w:val="es-ES"/>
        </w:rPr>
        <w:t>uestal no se incluyó al sector transporte.  Señala que el objetivo de la norma demandada – revisar, renegociar y/o terminar los contratos de los operadores privados del sector de transporte público masivo o estratégico – resulta contrario al objetivo de la</w:t>
      </w:r>
      <w:r w:rsidRPr="00527F3E">
        <w:rPr>
          <w:rFonts w:ascii="Times New Roman" w:eastAsia="Times New Roman" w:hAnsi="Times New Roman" w:cs="Times New Roman"/>
          <w:color w:val="000000"/>
          <w:sz w:val="28"/>
          <w:szCs w:val="28"/>
          <w:lang w:val="es-ES"/>
        </w:rPr>
        <w:t xml:space="preserve"> ley en la que se inserta, con la que se pretende adicionar recursos a los sectores en ella definidos; además, tiene implicaciones que exceden el marco temporal de la adición presupuestal.</w:t>
      </w:r>
    </w:p>
    <w:p w:rsidR="00B9678A" w:rsidRPr="00527F3E" w:rsidRDefault="00527F3E" w:rsidP="00B9678A">
      <w:pPr>
        <w:spacing w:line="240" w:lineRule="auto"/>
        <w:ind w:left="720"/>
        <w:contextualSpacing/>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El demandante niega la </w:t>
      </w:r>
      <w:r w:rsidRPr="00527F3E">
        <w:rPr>
          <w:rFonts w:ascii="Times New Roman" w:eastAsia="Times New Roman" w:hAnsi="Times New Roman" w:cs="Times New Roman"/>
          <w:i/>
          <w:color w:val="000000"/>
          <w:sz w:val="28"/>
          <w:szCs w:val="28"/>
          <w:lang w:val="es-ES"/>
        </w:rPr>
        <w:t>conexidad temática</w:t>
      </w:r>
      <w:r w:rsidRPr="00527F3E">
        <w:rPr>
          <w:rFonts w:ascii="Times New Roman" w:eastAsia="Times New Roman" w:hAnsi="Times New Roman" w:cs="Times New Roman"/>
          <w:color w:val="000000"/>
          <w:sz w:val="28"/>
          <w:szCs w:val="28"/>
          <w:lang w:val="es-ES"/>
        </w:rPr>
        <w:t xml:space="preserve"> entre la materia de la L</w:t>
      </w:r>
      <w:r w:rsidRPr="00527F3E">
        <w:rPr>
          <w:rFonts w:ascii="Times New Roman" w:eastAsia="Times New Roman" w:hAnsi="Times New Roman" w:cs="Times New Roman"/>
          <w:color w:val="000000"/>
          <w:sz w:val="28"/>
          <w:szCs w:val="28"/>
          <w:lang w:val="es-ES"/>
        </w:rPr>
        <w:t>ey 2299 de 2023 y la disposición acusada. Afirma que el sector transporte se incluyó en la adición presupuestal a fin de apoyar la superación del déficit operacional de los sistemas integrales de transporte masivo. Señala que mientras existe “total conexid</w:t>
      </w:r>
      <w:r w:rsidRPr="00527F3E">
        <w:rPr>
          <w:rFonts w:ascii="Times New Roman" w:eastAsia="Times New Roman" w:hAnsi="Times New Roman" w:cs="Times New Roman"/>
          <w:color w:val="000000"/>
          <w:sz w:val="28"/>
          <w:szCs w:val="28"/>
          <w:lang w:val="es-ES"/>
        </w:rPr>
        <w:t>ad” entre dicha temática y la primera parte del artículo 4º, que ordena a la Nación destinar recursos del presupuesto nacional para financiar los déficits operacionales de los Sistemas Integrados de Transporte Masivo (SITM) y los Sistemas Estratégicos de T</w:t>
      </w:r>
      <w:r w:rsidRPr="00527F3E">
        <w:rPr>
          <w:rFonts w:ascii="Times New Roman" w:eastAsia="Times New Roman" w:hAnsi="Times New Roman" w:cs="Times New Roman"/>
          <w:color w:val="000000"/>
          <w:sz w:val="28"/>
          <w:szCs w:val="28"/>
          <w:lang w:val="es-ES"/>
        </w:rPr>
        <w:t>ransporte Público (SETP), no ocurre lo mismo con el parágrafo 2º, con el cual se busca “recortar los costos” y, con ello, agravar el déficit y afectar la prestación del servicio.</w:t>
      </w:r>
      <w:r w:rsidRPr="00527F3E">
        <w:rPr>
          <w:rFonts w:ascii="Times New Roman" w:eastAsia="Times New Roman" w:hAnsi="Times New Roman" w:cs="Times New Roman"/>
          <w:color w:val="000000"/>
          <w:sz w:val="28"/>
          <w:szCs w:val="28"/>
          <w:vertAlign w:val="superscript"/>
          <w:lang w:val="es-ES"/>
        </w:rPr>
        <w:footnoteReference w:id="20"/>
      </w:r>
      <w:r w:rsidRPr="00527F3E">
        <w:rPr>
          <w:rFonts w:ascii="Times New Roman" w:eastAsia="Times New Roman" w:hAnsi="Times New Roman" w:cs="Times New Roman"/>
          <w:color w:val="000000"/>
          <w:sz w:val="28"/>
          <w:szCs w:val="28"/>
          <w:lang w:val="es-ES"/>
        </w:rPr>
        <w:t xml:space="preserve"> Precisa que “el reproche constitucional de esta demanda no se centra en la a</w:t>
      </w:r>
      <w:r w:rsidRPr="00527F3E">
        <w:rPr>
          <w:rFonts w:ascii="Times New Roman" w:eastAsia="Times New Roman" w:hAnsi="Times New Roman" w:cs="Times New Roman"/>
          <w:color w:val="000000"/>
          <w:sz w:val="28"/>
          <w:szCs w:val="28"/>
          <w:lang w:val="es-ES"/>
        </w:rPr>
        <w:t>signación de recursos a los SITM y/o SETP”, sino que “se da porque en el parágrafo segundo se busca una revisión, modificación o potencialmente terminación unilateral de unos contratos de concesión que nada tiene que ver con el objeto de la Ley 2299 de 202</w:t>
      </w:r>
      <w:r w:rsidRPr="00527F3E">
        <w:rPr>
          <w:rFonts w:ascii="Times New Roman" w:eastAsia="Times New Roman" w:hAnsi="Times New Roman" w:cs="Times New Roman"/>
          <w:color w:val="000000"/>
          <w:sz w:val="28"/>
          <w:szCs w:val="28"/>
          <w:lang w:val="es-ES"/>
        </w:rPr>
        <w:t>3”</w:t>
      </w:r>
      <w:r w:rsidRPr="00527F3E">
        <w:rPr>
          <w:rFonts w:ascii="Times New Roman" w:eastAsia="Times New Roman" w:hAnsi="Times New Roman" w:cs="Times New Roman"/>
          <w:color w:val="000000"/>
          <w:sz w:val="28"/>
          <w:szCs w:val="28"/>
          <w:vertAlign w:val="superscript"/>
          <w:lang w:val="es-ES"/>
        </w:rPr>
        <w:footnoteReference w:id="21"/>
      </w:r>
      <w:r w:rsidRPr="00527F3E">
        <w:rPr>
          <w:rFonts w:ascii="Times New Roman" w:eastAsia="Times New Roman" w:hAnsi="Times New Roman" w:cs="Times New Roman"/>
          <w:color w:val="000000"/>
          <w:sz w:val="28"/>
          <w:szCs w:val="28"/>
          <w:lang w:val="es-ES"/>
        </w:rPr>
        <w:t>.</w:t>
      </w:r>
    </w:p>
    <w:p w:rsidR="00B9678A" w:rsidRPr="00527F3E" w:rsidRDefault="00527F3E" w:rsidP="00656A25">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Descarta, además, la </w:t>
      </w:r>
      <w:r w:rsidRPr="00527F3E">
        <w:rPr>
          <w:rFonts w:ascii="Times New Roman" w:eastAsia="Times New Roman" w:hAnsi="Times New Roman" w:cs="Times New Roman"/>
          <w:i/>
          <w:color w:val="000000"/>
          <w:sz w:val="28"/>
          <w:szCs w:val="28"/>
          <w:lang w:val="es-ES"/>
        </w:rPr>
        <w:t>conexidad sistemática</w:t>
      </w:r>
      <w:r w:rsidRPr="00527F3E">
        <w:rPr>
          <w:rFonts w:ascii="Times New Roman" w:eastAsia="Times New Roman" w:hAnsi="Times New Roman" w:cs="Times New Roman"/>
          <w:color w:val="000000"/>
          <w:sz w:val="28"/>
          <w:szCs w:val="28"/>
          <w:lang w:val="es-ES"/>
        </w:rPr>
        <w:t xml:space="preserve"> por cuanto “en la Exposición de Motivos al Proyecto de Ley no se incorpora ni siquiera la idea vaga de renegociar los contratos”, ni se encuentra incluido el artículo 4º dentro del texto que se expone como “</w:t>
      </w:r>
      <w:r w:rsidRPr="00527F3E">
        <w:rPr>
          <w:rFonts w:ascii="Times New Roman" w:eastAsia="Times New Roman" w:hAnsi="Times New Roman" w:cs="Times New Roman"/>
          <w:color w:val="000000"/>
          <w:sz w:val="28"/>
          <w:szCs w:val="28"/>
          <w:lang w:val="es-ES"/>
        </w:rPr>
        <w:t>Proyecto de Ley”. Entretanto, el parágrafo 2º acusado “no tiene relación con la totalidad del articulado de la Ley, saliéndose del orden y consecución que de la lectura puede inferirse, e imponiendo nuevas reglas que se encuentran por fuera de la competenc</w:t>
      </w:r>
      <w:r w:rsidRPr="00527F3E">
        <w:rPr>
          <w:rFonts w:ascii="Times New Roman" w:eastAsia="Times New Roman" w:hAnsi="Times New Roman" w:cs="Times New Roman"/>
          <w:color w:val="000000"/>
          <w:sz w:val="28"/>
          <w:szCs w:val="28"/>
          <w:lang w:val="es-ES"/>
        </w:rPr>
        <w:t>ia de la Ley en mención”</w:t>
      </w:r>
      <w:r w:rsidRPr="00527F3E">
        <w:rPr>
          <w:rFonts w:ascii="Times New Roman" w:eastAsia="Times New Roman" w:hAnsi="Times New Roman" w:cs="Times New Roman"/>
          <w:color w:val="000000"/>
          <w:sz w:val="28"/>
          <w:szCs w:val="28"/>
          <w:vertAlign w:val="superscript"/>
          <w:lang w:val="es-ES"/>
        </w:rPr>
        <w:footnoteReference w:id="22"/>
      </w:r>
      <w:r w:rsidRPr="00527F3E">
        <w:rPr>
          <w:rFonts w:ascii="Times New Roman" w:eastAsia="Times New Roman" w:hAnsi="Times New Roman" w:cs="Times New Roman"/>
          <w:color w:val="000000"/>
          <w:sz w:val="28"/>
          <w:szCs w:val="28"/>
          <w:lang w:val="es-ES"/>
        </w:rPr>
        <w:t>.</w:t>
      </w:r>
    </w:p>
    <w:p w:rsidR="00B9678A" w:rsidRPr="00527F3E" w:rsidRDefault="00527F3E" w:rsidP="00656A25">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Seguidamente, el demandante plantea que el contenido acusado tampoco satisface los criterios adicionales que ha desarrollado la jurisprudencia constitucional, específicamente la </w:t>
      </w:r>
      <w:r w:rsidRPr="00527F3E">
        <w:rPr>
          <w:rFonts w:ascii="Times New Roman" w:eastAsia="Times New Roman" w:hAnsi="Times New Roman" w:cs="Times New Roman"/>
          <w:iCs/>
          <w:color w:val="000000"/>
          <w:sz w:val="28"/>
          <w:szCs w:val="28"/>
          <w:lang w:val="es-ES"/>
        </w:rPr>
        <w:t>Sentencia C-438 de 2019</w:t>
      </w:r>
      <w:r w:rsidRPr="00527F3E">
        <w:rPr>
          <w:rFonts w:ascii="Times New Roman" w:eastAsia="Times New Roman" w:hAnsi="Times New Roman" w:cs="Times New Roman"/>
          <w:iCs/>
          <w:color w:val="000000"/>
          <w:sz w:val="28"/>
          <w:szCs w:val="28"/>
          <w:vertAlign w:val="superscript"/>
          <w:lang w:val="es-ES"/>
        </w:rPr>
        <w:footnoteReference w:id="23"/>
      </w:r>
      <w:r w:rsidRPr="00527F3E">
        <w:rPr>
          <w:rFonts w:ascii="Times New Roman" w:eastAsia="Times New Roman" w:hAnsi="Times New Roman" w:cs="Times New Roman"/>
          <w:iCs/>
          <w:color w:val="000000"/>
          <w:sz w:val="28"/>
          <w:szCs w:val="28"/>
          <w:lang w:val="es-ES"/>
        </w:rPr>
        <w:t xml:space="preserve">, </w:t>
      </w:r>
      <w:r w:rsidRPr="00527F3E">
        <w:rPr>
          <w:rFonts w:ascii="Times New Roman" w:eastAsia="Times New Roman" w:hAnsi="Times New Roman" w:cs="Times New Roman"/>
          <w:color w:val="000000"/>
          <w:sz w:val="28"/>
          <w:szCs w:val="28"/>
          <w:lang w:val="es-ES"/>
        </w:rPr>
        <w:t xml:space="preserve">para examinar el respeto del principio de unidad de materia tratándose de leyes anuales de presupuesto: (i) temporalidad, (ii) tema y (iii) finalidad (presupuestal). </w:t>
      </w:r>
    </w:p>
    <w:p w:rsidR="00B9678A" w:rsidRPr="00527F3E" w:rsidRDefault="00527F3E" w:rsidP="00656A25">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Sostiene que se desconoce el criterio de </w:t>
      </w:r>
      <w:r w:rsidRPr="00527F3E">
        <w:rPr>
          <w:rFonts w:ascii="Times New Roman" w:eastAsia="Times New Roman" w:hAnsi="Times New Roman" w:cs="Times New Roman"/>
          <w:i/>
          <w:iCs/>
          <w:color w:val="000000"/>
          <w:sz w:val="28"/>
          <w:szCs w:val="28"/>
          <w:lang w:val="es-ES"/>
        </w:rPr>
        <w:t>temporalidad</w:t>
      </w:r>
      <w:r w:rsidRPr="00527F3E">
        <w:rPr>
          <w:rFonts w:ascii="Times New Roman" w:eastAsia="Times New Roman" w:hAnsi="Times New Roman" w:cs="Times New Roman"/>
          <w:color w:val="000000"/>
          <w:sz w:val="28"/>
          <w:szCs w:val="28"/>
          <w:lang w:val="es-ES"/>
        </w:rPr>
        <w:t xml:space="preserve">, pues si bien la norma establece </w:t>
      </w:r>
      <w:r w:rsidRPr="00527F3E">
        <w:rPr>
          <w:rFonts w:ascii="Times New Roman" w:eastAsia="Times New Roman" w:hAnsi="Times New Roman" w:cs="Times New Roman"/>
          <w:color w:val="000000"/>
          <w:sz w:val="28"/>
          <w:szCs w:val="28"/>
          <w:lang w:val="es-ES"/>
        </w:rPr>
        <w:t>el 31 de diciembre de 2023 como límite temporal para la renegociación de los contratos, “no es menos cierto que los efectos bien se dé la renegociación que pretende o de la eventual terminación unilateral de los contratos exceden ese límite temporal”</w:t>
      </w:r>
      <w:r w:rsidRPr="00527F3E">
        <w:rPr>
          <w:rFonts w:ascii="Times New Roman" w:eastAsia="Times New Roman" w:hAnsi="Times New Roman" w:cs="Times New Roman"/>
          <w:color w:val="000000"/>
          <w:sz w:val="28"/>
          <w:szCs w:val="28"/>
          <w:vertAlign w:val="superscript"/>
          <w:lang w:val="es-ES"/>
        </w:rPr>
        <w:footnoteReference w:id="24"/>
      </w:r>
      <w:r w:rsidRPr="00527F3E">
        <w:rPr>
          <w:rFonts w:ascii="Times New Roman" w:eastAsia="Times New Roman" w:hAnsi="Times New Roman" w:cs="Times New Roman"/>
          <w:color w:val="000000"/>
          <w:sz w:val="28"/>
          <w:szCs w:val="28"/>
          <w:lang w:val="es-ES"/>
        </w:rPr>
        <w:t>. Pla</w:t>
      </w:r>
      <w:r w:rsidRPr="00527F3E">
        <w:rPr>
          <w:rFonts w:ascii="Times New Roman" w:eastAsia="Times New Roman" w:hAnsi="Times New Roman" w:cs="Times New Roman"/>
          <w:color w:val="000000"/>
          <w:sz w:val="28"/>
          <w:szCs w:val="28"/>
          <w:lang w:val="es-ES"/>
        </w:rPr>
        <w:t xml:space="preserve">ntea que tampoco se cumple el segundo criterio, relacionado con el </w:t>
      </w:r>
      <w:r w:rsidRPr="00527F3E">
        <w:rPr>
          <w:rFonts w:ascii="Times New Roman" w:eastAsia="Times New Roman" w:hAnsi="Times New Roman" w:cs="Times New Roman"/>
          <w:i/>
          <w:iCs/>
          <w:color w:val="000000"/>
          <w:sz w:val="28"/>
          <w:szCs w:val="28"/>
          <w:lang w:val="es-ES"/>
        </w:rPr>
        <w:t>tema</w:t>
      </w:r>
      <w:r w:rsidRPr="00527F3E">
        <w:rPr>
          <w:rFonts w:ascii="Times New Roman" w:eastAsia="Times New Roman" w:hAnsi="Times New Roman" w:cs="Times New Roman"/>
          <w:color w:val="000000"/>
          <w:sz w:val="28"/>
          <w:szCs w:val="28"/>
          <w:lang w:val="es-ES"/>
        </w:rPr>
        <w:t>, por cuanto la Ley 2299 de 2023 “tiene como objetivo ser una adición presupuestal, que no contempla en su exposición de motivos ni pretende ser un instrumento jurídico que regule relac</w:t>
      </w:r>
      <w:r w:rsidRPr="00527F3E">
        <w:rPr>
          <w:rFonts w:ascii="Times New Roman" w:eastAsia="Times New Roman" w:hAnsi="Times New Roman" w:cs="Times New Roman"/>
          <w:color w:val="000000"/>
          <w:sz w:val="28"/>
          <w:szCs w:val="28"/>
          <w:lang w:val="es-ES"/>
        </w:rPr>
        <w:t>iones contractuales”</w:t>
      </w:r>
      <w:r w:rsidRPr="00527F3E">
        <w:rPr>
          <w:rFonts w:ascii="Times New Roman" w:eastAsia="Times New Roman" w:hAnsi="Times New Roman" w:cs="Times New Roman"/>
          <w:color w:val="000000"/>
          <w:sz w:val="28"/>
          <w:szCs w:val="28"/>
          <w:vertAlign w:val="superscript"/>
          <w:lang w:val="es-ES"/>
        </w:rPr>
        <w:footnoteReference w:id="25"/>
      </w:r>
      <w:r w:rsidRPr="00527F3E">
        <w:rPr>
          <w:rFonts w:ascii="Times New Roman" w:eastAsia="Times New Roman" w:hAnsi="Times New Roman" w:cs="Times New Roman"/>
          <w:color w:val="000000"/>
          <w:sz w:val="28"/>
          <w:szCs w:val="28"/>
          <w:lang w:val="es-ES"/>
        </w:rPr>
        <w:t xml:space="preserve">. Por último, tampoco se satisface el criterio de </w:t>
      </w:r>
      <w:r w:rsidRPr="00527F3E">
        <w:rPr>
          <w:rFonts w:ascii="Times New Roman" w:eastAsia="Times New Roman" w:hAnsi="Times New Roman" w:cs="Times New Roman"/>
          <w:i/>
          <w:iCs/>
          <w:color w:val="000000"/>
          <w:sz w:val="28"/>
          <w:szCs w:val="28"/>
          <w:lang w:val="es-ES"/>
        </w:rPr>
        <w:t>finalidad</w:t>
      </w:r>
      <w:r w:rsidRPr="00527F3E">
        <w:rPr>
          <w:rFonts w:ascii="Times New Roman" w:eastAsia="Times New Roman" w:hAnsi="Times New Roman" w:cs="Times New Roman"/>
          <w:color w:val="000000"/>
          <w:sz w:val="28"/>
          <w:szCs w:val="28"/>
          <w:lang w:val="es-ES"/>
        </w:rPr>
        <w:t>, por cuanto el objetivo de la ley es asignar nuevos recursos o modificar los recursos de los rubros asignados en el Presupuesto General de la Nación para el año 2023; no es ni</w:t>
      </w:r>
      <w:r w:rsidRPr="00527F3E">
        <w:rPr>
          <w:rFonts w:ascii="Times New Roman" w:eastAsia="Times New Roman" w:hAnsi="Times New Roman" w:cs="Times New Roman"/>
          <w:color w:val="000000"/>
          <w:sz w:val="28"/>
          <w:szCs w:val="28"/>
          <w:lang w:val="es-ES"/>
        </w:rPr>
        <w:t xml:space="preserve"> pretende ser un instrumento orientado a la modificación o terminación de contratos de concesión de operación de SITM y/o SETP.</w:t>
      </w:r>
    </w:p>
    <w:p w:rsidR="00B9678A" w:rsidRPr="00527F3E" w:rsidRDefault="00527F3E" w:rsidP="00B9678A">
      <w:pPr>
        <w:keepNext/>
        <w:spacing w:after="0" w:line="240" w:lineRule="auto"/>
        <w:jc w:val="both"/>
        <w:textAlignment w:val="baseline"/>
        <w:outlineLvl w:val="0"/>
        <w:rPr>
          <w:rFonts w:ascii="Times New Roman" w:eastAsia="Times New Roman" w:hAnsi="Times New Roman" w:cs="Times New Roman"/>
          <w:b/>
          <w:bCs/>
          <w:color w:val="000000"/>
          <w:sz w:val="28"/>
          <w:szCs w:val="28"/>
          <w:bdr w:val="none" w:sz="0" w:space="0" w:color="auto" w:frame="1"/>
          <w:lang w:eastAsia="es-ES"/>
        </w:rPr>
      </w:pPr>
      <w:r w:rsidRPr="00527F3E">
        <w:rPr>
          <w:rFonts w:ascii="Times New Roman" w:eastAsia="Times New Roman" w:hAnsi="Times New Roman" w:cs="Times New Roman"/>
          <w:b/>
          <w:bCs/>
          <w:color w:val="000000"/>
          <w:sz w:val="28"/>
          <w:szCs w:val="28"/>
          <w:bdr w:val="none" w:sz="0" w:space="0" w:color="auto" w:frame="1"/>
          <w:lang w:eastAsia="es-ES"/>
        </w:rPr>
        <w:t>IV. PRUEBAS</w:t>
      </w:r>
    </w:p>
    <w:p w:rsidR="00B9678A" w:rsidRPr="00527F3E" w:rsidRDefault="00527F3E" w:rsidP="00B9678A">
      <w:pPr>
        <w:spacing w:after="0" w:line="240" w:lineRule="auto"/>
        <w:rPr>
          <w:rFonts w:ascii="Times New Roman" w:eastAsia="Times New Roman" w:hAnsi="Times New Roman" w:cs="Times New Roman"/>
          <w:color w:val="000000"/>
          <w:sz w:val="28"/>
          <w:szCs w:val="28"/>
          <w:lang w:eastAsia="es-ES_tradnl"/>
        </w:rPr>
      </w:pPr>
    </w:p>
    <w:p w:rsidR="00B9678A" w:rsidRPr="00527F3E" w:rsidRDefault="00527F3E" w:rsidP="00656A25">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bdr w:val="none" w:sz="0" w:space="0" w:color="auto" w:frame="1"/>
          <w:lang w:val="es-ES" w:eastAsia="es-ES"/>
        </w:rPr>
      </w:pPr>
      <w:r w:rsidRPr="00527F3E">
        <w:rPr>
          <w:rFonts w:ascii="Times New Roman" w:eastAsia="Times New Roman" w:hAnsi="Times New Roman" w:cs="Times New Roman"/>
          <w:color w:val="000000"/>
          <w:sz w:val="28"/>
          <w:szCs w:val="28"/>
          <w:lang w:val="es-ES"/>
        </w:rPr>
        <w:t>En atención a la discusión planteada por el promotor de la acción, mediante Auto del 19 de septiembre de 2023 la Magistrada sustanciadora decretó pruebas encaminadas a recaudar evidencia del trámite legislativo que llevó a la aprobación del contenido norma</w:t>
      </w:r>
      <w:r w:rsidRPr="00527F3E">
        <w:rPr>
          <w:rFonts w:ascii="Times New Roman" w:eastAsia="Times New Roman" w:hAnsi="Times New Roman" w:cs="Times New Roman"/>
          <w:color w:val="000000"/>
          <w:sz w:val="28"/>
          <w:szCs w:val="28"/>
          <w:lang w:val="es-ES"/>
        </w:rPr>
        <w:t>tivo cuestionado. Para ello dispuso oficiar a los secretarios generales del Senado de la República y de la Cámara de Representantes para que remitieran copia del expediente legislativo, en particular de las gacetas que contienen la exposición de motivos, l</w:t>
      </w:r>
      <w:r w:rsidRPr="00527F3E">
        <w:rPr>
          <w:rFonts w:ascii="Times New Roman" w:eastAsia="Times New Roman" w:hAnsi="Times New Roman" w:cs="Times New Roman"/>
          <w:color w:val="000000"/>
          <w:sz w:val="28"/>
          <w:szCs w:val="28"/>
          <w:lang w:val="es-ES"/>
        </w:rPr>
        <w:t xml:space="preserve">as ponencias y los debates y textos aprobados en las diferentes etapas del proceso de formación de la ley. </w:t>
      </w:r>
    </w:p>
    <w:p w:rsidR="00B9678A" w:rsidRPr="00527F3E" w:rsidRDefault="00527F3E" w:rsidP="00656A25">
      <w:pPr>
        <w:tabs>
          <w:tab w:val="left" w:pos="426"/>
        </w:tabs>
        <w:autoSpaceDE w:val="0"/>
        <w:autoSpaceDN w:val="0"/>
        <w:spacing w:line="240" w:lineRule="auto"/>
        <w:ind w:right="49"/>
        <w:contextualSpacing/>
        <w:jc w:val="both"/>
        <w:textAlignment w:val="baseline"/>
        <w:rPr>
          <w:rFonts w:ascii="Times New Roman" w:eastAsia="Times New Roman" w:hAnsi="Times New Roman" w:cs="Times New Roman"/>
          <w:color w:val="000000"/>
          <w:sz w:val="28"/>
          <w:szCs w:val="28"/>
          <w:bdr w:val="none" w:sz="0" w:space="0" w:color="auto" w:frame="1"/>
          <w:lang w:val="es-ES" w:eastAsia="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bdr w:val="none" w:sz="0" w:space="0" w:color="auto" w:frame="1"/>
          <w:lang w:val="es-ES" w:eastAsia="es-ES"/>
        </w:rPr>
        <w:t>En cumplimiento de esta providencia, en comunicación recibida en la secretaría de la Corte el 9 de octubre de 2023</w:t>
      </w:r>
      <w:r w:rsidRPr="00527F3E">
        <w:rPr>
          <w:rFonts w:ascii="Times New Roman" w:eastAsia="Times New Roman" w:hAnsi="Times New Roman" w:cs="Times New Roman"/>
          <w:color w:val="000000"/>
          <w:sz w:val="28"/>
          <w:szCs w:val="28"/>
          <w:bdr w:val="none" w:sz="0" w:space="0" w:color="auto" w:frame="1"/>
          <w:vertAlign w:val="superscript"/>
          <w:lang w:val="es-ES" w:eastAsia="es-ES"/>
        </w:rPr>
        <w:footnoteReference w:id="26"/>
      </w:r>
      <w:r w:rsidRPr="00527F3E">
        <w:rPr>
          <w:rFonts w:ascii="Times New Roman" w:eastAsia="Times New Roman" w:hAnsi="Times New Roman" w:cs="Times New Roman"/>
          <w:color w:val="000000"/>
          <w:sz w:val="28"/>
          <w:szCs w:val="28"/>
          <w:bdr w:val="none" w:sz="0" w:space="0" w:color="auto" w:frame="1"/>
          <w:lang w:val="es-ES" w:eastAsia="es-ES"/>
        </w:rPr>
        <w:t>, el secretario de la Cámara de Representantes informó que el expediente integral del proyecto de ley n.º 342 de 2023 Cámara - 278 de 2023 Senado, hoy Ley 2299 de 2023, fue enviado a la Presidencia de la República, junto con dos ejemplares del texto ley, p</w:t>
      </w:r>
      <w:r w:rsidRPr="00527F3E">
        <w:rPr>
          <w:rFonts w:ascii="Times New Roman" w:eastAsia="Times New Roman" w:hAnsi="Times New Roman" w:cs="Times New Roman"/>
          <w:color w:val="000000"/>
          <w:sz w:val="28"/>
          <w:szCs w:val="28"/>
          <w:bdr w:val="none" w:sz="0" w:space="0" w:color="auto" w:frame="1"/>
          <w:lang w:val="es-ES" w:eastAsia="es-ES"/>
        </w:rPr>
        <w:t xml:space="preserve">ara su correspondiente sanción presidencial y a la fecha no había sido reintegrado; </w:t>
      </w:r>
      <w:r w:rsidRPr="00527F3E">
        <w:rPr>
          <w:rFonts w:ascii="Times New Roman" w:eastAsia="Times New Roman" w:hAnsi="Times New Roman" w:cs="Times New Roman"/>
          <w:color w:val="000000"/>
          <w:sz w:val="28"/>
          <w:szCs w:val="28"/>
          <w:lang w:val="es-ES"/>
        </w:rPr>
        <w:t>anunció su envío en copia digital tan pronto el expediente fuese retornado.</w:t>
      </w:r>
    </w:p>
    <w:p w:rsidR="00B9678A" w:rsidRPr="00527F3E" w:rsidRDefault="00527F3E" w:rsidP="00656A25">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Con la misma comunicación, el secretario de la Cámara de Representantes allegó copia de las gac</w:t>
      </w:r>
      <w:r w:rsidRPr="00527F3E">
        <w:rPr>
          <w:rFonts w:ascii="Times New Roman" w:eastAsia="Times New Roman" w:hAnsi="Times New Roman" w:cs="Times New Roman"/>
          <w:color w:val="000000"/>
          <w:sz w:val="28"/>
          <w:szCs w:val="28"/>
          <w:lang w:val="es-ES"/>
        </w:rPr>
        <w:t>etas del congreso que contienen: (i) la exposición de motivos del proyecto de ley</w:t>
      </w:r>
      <w:r w:rsidRPr="00527F3E">
        <w:rPr>
          <w:rFonts w:ascii="Times New Roman" w:eastAsia="Times New Roman" w:hAnsi="Times New Roman" w:cs="Times New Roman"/>
          <w:color w:val="000000"/>
          <w:sz w:val="28"/>
          <w:szCs w:val="28"/>
          <w:vertAlign w:val="superscript"/>
          <w:lang w:val="es-ES"/>
        </w:rPr>
        <w:footnoteReference w:id="27"/>
      </w:r>
      <w:r w:rsidRPr="00527F3E">
        <w:rPr>
          <w:rFonts w:ascii="Times New Roman" w:eastAsia="Times New Roman" w:hAnsi="Times New Roman" w:cs="Times New Roman"/>
          <w:color w:val="000000"/>
          <w:sz w:val="28"/>
          <w:szCs w:val="28"/>
          <w:lang w:val="es-ES"/>
        </w:rPr>
        <w:t>, (ii) la publicación de las ponencias (Cámara) para primer debate (mayoritaria y minoritaria)</w:t>
      </w:r>
      <w:r w:rsidRPr="00527F3E">
        <w:rPr>
          <w:rFonts w:ascii="Times New Roman" w:eastAsia="Times New Roman" w:hAnsi="Times New Roman" w:cs="Times New Roman"/>
          <w:color w:val="000000"/>
          <w:sz w:val="28"/>
          <w:szCs w:val="28"/>
          <w:vertAlign w:val="superscript"/>
          <w:lang w:val="es-ES"/>
        </w:rPr>
        <w:footnoteReference w:id="28"/>
      </w:r>
      <w:r w:rsidRPr="00527F3E">
        <w:rPr>
          <w:rFonts w:ascii="Times New Roman" w:eastAsia="Times New Roman" w:hAnsi="Times New Roman" w:cs="Times New Roman"/>
          <w:color w:val="000000"/>
          <w:sz w:val="28"/>
          <w:szCs w:val="28"/>
          <w:lang w:val="es-ES"/>
        </w:rPr>
        <w:t xml:space="preserve">, (iii) la publicación de la ponencia para segundo debate en la plenaria de la </w:t>
      </w:r>
      <w:r w:rsidRPr="00527F3E">
        <w:rPr>
          <w:rFonts w:ascii="Times New Roman" w:eastAsia="Times New Roman" w:hAnsi="Times New Roman" w:cs="Times New Roman"/>
          <w:color w:val="000000"/>
          <w:sz w:val="28"/>
          <w:szCs w:val="28"/>
          <w:lang w:val="es-ES"/>
        </w:rPr>
        <w:t>Cámara de Representantes</w:t>
      </w:r>
      <w:r w:rsidRPr="00527F3E">
        <w:rPr>
          <w:rFonts w:ascii="Times New Roman" w:eastAsia="Times New Roman" w:hAnsi="Times New Roman" w:cs="Times New Roman"/>
          <w:color w:val="000000"/>
          <w:sz w:val="28"/>
          <w:szCs w:val="28"/>
          <w:vertAlign w:val="superscript"/>
          <w:lang w:val="es-ES"/>
        </w:rPr>
        <w:footnoteReference w:id="29"/>
      </w:r>
      <w:r w:rsidRPr="00527F3E">
        <w:rPr>
          <w:rFonts w:ascii="Times New Roman" w:eastAsia="Times New Roman" w:hAnsi="Times New Roman" w:cs="Times New Roman"/>
          <w:color w:val="000000"/>
          <w:sz w:val="28"/>
          <w:szCs w:val="28"/>
          <w:lang w:val="es-ES"/>
        </w:rPr>
        <w:t xml:space="preserve"> y (iv) la gaceta en la que se publicó el texto definitivo de la ley</w:t>
      </w:r>
      <w:r w:rsidRPr="00527F3E">
        <w:rPr>
          <w:rFonts w:ascii="Times New Roman" w:eastAsia="Times New Roman" w:hAnsi="Times New Roman" w:cs="Times New Roman"/>
          <w:color w:val="000000"/>
          <w:sz w:val="28"/>
          <w:szCs w:val="28"/>
          <w:vertAlign w:val="superscript"/>
          <w:lang w:val="es-ES"/>
        </w:rPr>
        <w:footnoteReference w:id="30"/>
      </w:r>
      <w:r w:rsidRPr="00527F3E">
        <w:rPr>
          <w:rFonts w:ascii="Times New Roman" w:eastAsia="Times New Roman" w:hAnsi="Times New Roman" w:cs="Times New Roman"/>
          <w:color w:val="000000"/>
          <w:sz w:val="28"/>
          <w:szCs w:val="28"/>
          <w:lang w:val="es-ES"/>
        </w:rPr>
        <w:t>. También informó que el Acta n.º 72 de junio 23 de 2023, correspondiente a la sesión plenaria extraordinaria de la Cámara de Representantes en la que fue tramita</w:t>
      </w:r>
      <w:r w:rsidRPr="00527F3E">
        <w:rPr>
          <w:rFonts w:ascii="Times New Roman" w:eastAsia="Times New Roman" w:hAnsi="Times New Roman" w:cs="Times New Roman"/>
          <w:color w:val="000000"/>
          <w:sz w:val="28"/>
          <w:szCs w:val="28"/>
          <w:lang w:val="es-ES"/>
        </w:rPr>
        <w:t>da en segundo debate el proyecto de ley aún se encontraba en proceso de elaboración y sería allegada una vez fuera aprobada y publicada en la Gaceta del Congreso correspondiente. Indicó además que trasladó a las comisiones de asuntos económicos de ambas cá</w:t>
      </w:r>
      <w:r w:rsidRPr="00527F3E">
        <w:rPr>
          <w:rFonts w:ascii="Times New Roman" w:eastAsia="Times New Roman" w:hAnsi="Times New Roman" w:cs="Times New Roman"/>
          <w:color w:val="000000"/>
          <w:sz w:val="28"/>
          <w:szCs w:val="28"/>
          <w:lang w:val="es-ES"/>
        </w:rPr>
        <w:t>maras la solicitud de información sobre el trámite en primer debate del proyecto de ley, por ser de su competencia.</w:t>
      </w:r>
    </w:p>
    <w:p w:rsidR="00B9678A" w:rsidRPr="00527F3E" w:rsidRDefault="00527F3E" w:rsidP="00B9678A">
      <w:pPr>
        <w:spacing w:line="240" w:lineRule="auto"/>
        <w:ind w:left="720"/>
        <w:contextualSpacing/>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bdr w:val="none" w:sz="0" w:space="0" w:color="auto" w:frame="1"/>
          <w:lang w:val="es-ES" w:eastAsia="es-ES"/>
        </w:rPr>
        <w:t>Mediante el Auto del 24 de octubre de 2023, el despacho de la magistrada sustanciadora estudio la información allegada por el secretario de</w:t>
      </w:r>
      <w:r w:rsidRPr="00527F3E">
        <w:rPr>
          <w:rFonts w:ascii="Times New Roman" w:eastAsia="Times New Roman" w:hAnsi="Times New Roman" w:cs="Times New Roman"/>
          <w:color w:val="000000"/>
          <w:sz w:val="28"/>
          <w:szCs w:val="28"/>
          <w:bdr w:val="none" w:sz="0" w:space="0" w:color="auto" w:frame="1"/>
          <w:lang w:val="es-ES" w:eastAsia="es-ES"/>
        </w:rPr>
        <w:t xml:space="preserve"> la Cámara de Representantes y requirió nuevamente a dicho funcionario y al secretario del Senado de la República para que remitieran la información faltante, enfatizando la urgencia de contar con dicha evidencia con el objeto de adelantar el examen de con</w:t>
      </w:r>
      <w:r w:rsidRPr="00527F3E">
        <w:rPr>
          <w:rFonts w:ascii="Times New Roman" w:eastAsia="Times New Roman" w:hAnsi="Times New Roman" w:cs="Times New Roman"/>
          <w:color w:val="000000"/>
          <w:sz w:val="28"/>
          <w:szCs w:val="28"/>
          <w:bdr w:val="none" w:sz="0" w:space="0" w:color="auto" w:frame="1"/>
          <w:lang w:val="es-ES" w:eastAsia="es-ES"/>
        </w:rPr>
        <w:t>stitucionalidad de la norma enjuiciada. Se solicitó que, en el evento de no contar aún con las gacetas contentivas de los debates legislativos que condujeron a la aprobación del artículo 4º de la Ley 2299 de 2023, se indicara el link en el que están dispon</w:t>
      </w:r>
      <w:r w:rsidRPr="00527F3E">
        <w:rPr>
          <w:rFonts w:ascii="Times New Roman" w:eastAsia="Times New Roman" w:hAnsi="Times New Roman" w:cs="Times New Roman"/>
          <w:color w:val="000000"/>
          <w:sz w:val="28"/>
          <w:szCs w:val="28"/>
          <w:bdr w:val="none" w:sz="0" w:space="0" w:color="auto" w:frame="1"/>
          <w:lang w:val="es-ES" w:eastAsia="es-ES"/>
        </w:rPr>
        <w:t>ibles los videos de las sesiones respectivas</w:t>
      </w:r>
      <w:r w:rsidRPr="00527F3E">
        <w:rPr>
          <w:rFonts w:ascii="Times New Roman" w:eastAsia="Times New Roman" w:hAnsi="Times New Roman" w:cs="Times New Roman"/>
          <w:color w:val="000000"/>
          <w:sz w:val="28"/>
          <w:szCs w:val="28"/>
          <w:bdr w:val="none" w:sz="0" w:space="0" w:color="auto" w:frame="1"/>
          <w:vertAlign w:val="superscript"/>
          <w:lang w:val="es-ES" w:eastAsia="es-ES"/>
        </w:rPr>
        <w:footnoteReference w:id="31"/>
      </w:r>
      <w:r w:rsidRPr="00527F3E">
        <w:rPr>
          <w:rFonts w:ascii="Times New Roman" w:eastAsia="Times New Roman" w:hAnsi="Times New Roman" w:cs="Times New Roman"/>
          <w:color w:val="000000"/>
          <w:sz w:val="28"/>
          <w:szCs w:val="28"/>
          <w:bdr w:val="none" w:sz="0" w:space="0" w:color="auto" w:frame="1"/>
          <w:lang w:val="es-ES" w:eastAsia="es-ES"/>
        </w:rPr>
        <w:t>.</w:t>
      </w:r>
    </w:p>
    <w:p w:rsidR="00B9678A" w:rsidRPr="00527F3E" w:rsidRDefault="00527F3E" w:rsidP="00B9678A">
      <w:pPr>
        <w:spacing w:line="240" w:lineRule="auto"/>
        <w:ind w:left="720"/>
        <w:contextualSpacing/>
        <w:rPr>
          <w:rFonts w:ascii="Times New Roman" w:eastAsia="Times New Roman" w:hAnsi="Times New Roman" w:cs="Times New Roman"/>
          <w:color w:val="000000"/>
          <w:sz w:val="28"/>
          <w:szCs w:val="28"/>
          <w:bdr w:val="none" w:sz="0" w:space="0" w:color="auto" w:frame="1"/>
          <w:lang w:val="es-ES" w:eastAsia="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bdr w:val="none" w:sz="0" w:space="0" w:color="auto" w:frame="1"/>
          <w:lang w:val="es-ES" w:eastAsia="es-ES"/>
        </w:rPr>
        <w:t>El 24 de octubre de 2023, la secretaría general de la Corte Constitucional remitió al despacho sustanciador la información allegada por la secretaria de la Comisión Cuarta Constitucional Permanente de la Cáma</w:t>
      </w:r>
      <w:r w:rsidRPr="00527F3E">
        <w:rPr>
          <w:rFonts w:ascii="Times New Roman" w:eastAsia="Times New Roman" w:hAnsi="Times New Roman" w:cs="Times New Roman"/>
          <w:color w:val="000000"/>
          <w:sz w:val="28"/>
          <w:szCs w:val="28"/>
          <w:bdr w:val="none" w:sz="0" w:space="0" w:color="auto" w:frame="1"/>
          <w:lang w:val="es-ES" w:eastAsia="es-ES"/>
        </w:rPr>
        <w:t xml:space="preserve">ra de Representantes. Esta incluía copia de las </w:t>
      </w:r>
      <w:r w:rsidRPr="00527F3E">
        <w:rPr>
          <w:rFonts w:ascii="Times New Roman" w:eastAsia="Times New Roman" w:hAnsi="Times New Roman" w:cs="Times New Roman"/>
          <w:color w:val="000000"/>
          <w:sz w:val="28"/>
          <w:szCs w:val="28"/>
          <w:lang w:val="es-ES"/>
        </w:rPr>
        <w:t>gacetas que previamente habían sido enviadas por el secretario general de la Cámara de Representantes, así como la gaceta en la que se publicó el texto definitivo del proyecto de ley aprobado en primer debate</w:t>
      </w:r>
      <w:r w:rsidRPr="00527F3E">
        <w:rPr>
          <w:rFonts w:ascii="Times New Roman" w:eastAsia="Times New Roman" w:hAnsi="Times New Roman" w:cs="Times New Roman"/>
          <w:color w:val="000000"/>
          <w:sz w:val="28"/>
          <w:szCs w:val="28"/>
          <w:vertAlign w:val="superscript"/>
          <w:lang w:val="es-ES"/>
        </w:rPr>
        <w:footnoteReference w:id="32"/>
      </w:r>
      <w:r w:rsidRPr="00527F3E">
        <w:rPr>
          <w:rFonts w:ascii="Times New Roman" w:eastAsia="Times New Roman" w:hAnsi="Times New Roman" w:cs="Times New Roman"/>
          <w:color w:val="000000"/>
          <w:sz w:val="28"/>
          <w:szCs w:val="28"/>
          <w:lang w:val="es-ES"/>
        </w:rPr>
        <w:t>. La secretaria de la Comisión Cuarta de la Cámara informó, además, que las actas de las sesiones conjuntas de las comisiones constitucionales en las que se discutió y aprobó el proyecto en primer debate aún estaban en proceso de elaboración</w:t>
      </w:r>
      <w:r w:rsidRPr="00527F3E">
        <w:rPr>
          <w:rFonts w:ascii="Times New Roman" w:eastAsia="Times New Roman" w:hAnsi="Times New Roman" w:cs="Times New Roman"/>
          <w:color w:val="000000"/>
          <w:sz w:val="28"/>
          <w:szCs w:val="28"/>
          <w:vertAlign w:val="superscript"/>
          <w:lang w:val="es-ES"/>
        </w:rPr>
        <w:footnoteReference w:id="33"/>
      </w:r>
      <w:r w:rsidRPr="00527F3E">
        <w:rPr>
          <w:rFonts w:ascii="Times New Roman" w:eastAsia="Times New Roman" w:hAnsi="Times New Roman" w:cs="Times New Roman"/>
          <w:color w:val="000000"/>
          <w:sz w:val="28"/>
          <w:szCs w:val="28"/>
          <w:lang w:val="es-ES"/>
        </w:rPr>
        <w:t>.</w:t>
      </w:r>
    </w:p>
    <w:p w:rsidR="00B9678A" w:rsidRPr="00527F3E" w:rsidRDefault="00527F3E" w:rsidP="00656A25">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bdr w:val="none" w:sz="0" w:space="0" w:color="auto" w:frame="1"/>
          <w:lang w:val="es-ES" w:eastAsia="es-ES"/>
        </w:rPr>
        <w:t>El 31 de o</w:t>
      </w:r>
      <w:r w:rsidRPr="00527F3E">
        <w:rPr>
          <w:rFonts w:ascii="Times New Roman" w:eastAsia="Times New Roman" w:hAnsi="Times New Roman" w:cs="Times New Roman"/>
          <w:color w:val="000000"/>
          <w:sz w:val="28"/>
          <w:szCs w:val="28"/>
          <w:bdr w:val="none" w:sz="0" w:space="0" w:color="auto" w:frame="1"/>
          <w:lang w:val="es-ES" w:eastAsia="es-ES"/>
        </w:rPr>
        <w:t>ctubre de 2023, la secretaría general de la Corte remitió al despacho las respuestas de los secretarios generales de la Cámara de Representantes y del Senado de la República al requerimiento efectuado en el Auto de 24 de octubre de 2023. El secretario de l</w:t>
      </w:r>
      <w:r w:rsidRPr="00527F3E">
        <w:rPr>
          <w:rFonts w:ascii="Times New Roman" w:eastAsia="Times New Roman" w:hAnsi="Times New Roman" w:cs="Times New Roman"/>
          <w:color w:val="000000"/>
          <w:sz w:val="28"/>
          <w:szCs w:val="28"/>
          <w:bdr w:val="none" w:sz="0" w:space="0" w:color="auto" w:frame="1"/>
          <w:lang w:val="es-ES" w:eastAsia="es-ES"/>
        </w:rPr>
        <w:t xml:space="preserve">a Cámara de Representantes informó que el expediente completo del trámite legislativo aún no había sido devuelto por la Presidencia de la República y que el </w:t>
      </w:r>
      <w:r w:rsidRPr="00527F3E">
        <w:rPr>
          <w:rFonts w:ascii="Times New Roman" w:eastAsia="Times New Roman" w:hAnsi="Times New Roman" w:cs="Times New Roman"/>
          <w:color w:val="000000"/>
          <w:sz w:val="28"/>
          <w:szCs w:val="28"/>
          <w:lang w:val="es-ES"/>
        </w:rPr>
        <w:t>Acta n.º 72 de junio 23 de 2023, correspondiente a la sesión plenaria extraordinaria de la Cámara d</w:t>
      </w:r>
      <w:r w:rsidRPr="00527F3E">
        <w:rPr>
          <w:rFonts w:ascii="Times New Roman" w:eastAsia="Times New Roman" w:hAnsi="Times New Roman" w:cs="Times New Roman"/>
          <w:color w:val="000000"/>
          <w:sz w:val="28"/>
          <w:szCs w:val="28"/>
          <w:lang w:val="es-ES"/>
        </w:rPr>
        <w:t>e Representantes en la que fue tramitada en segundo debate el proyecto de ley, aún estaba en proceso de elaboración</w:t>
      </w:r>
      <w:r w:rsidRPr="00527F3E">
        <w:rPr>
          <w:rFonts w:ascii="Times New Roman" w:eastAsia="Times New Roman" w:hAnsi="Times New Roman" w:cs="Times New Roman"/>
          <w:color w:val="000000"/>
          <w:sz w:val="28"/>
          <w:szCs w:val="28"/>
          <w:vertAlign w:val="superscript"/>
          <w:lang w:val="es-ES"/>
        </w:rPr>
        <w:footnoteReference w:id="34"/>
      </w:r>
      <w:r w:rsidRPr="00527F3E">
        <w:rPr>
          <w:rFonts w:ascii="Times New Roman" w:eastAsia="Times New Roman" w:hAnsi="Times New Roman" w:cs="Times New Roman"/>
          <w:color w:val="000000"/>
          <w:sz w:val="28"/>
          <w:szCs w:val="28"/>
          <w:lang w:val="es-ES"/>
        </w:rPr>
        <w:t>. Entretanto, el secretario del Senado de la República</w:t>
      </w:r>
      <w:r w:rsidRPr="00527F3E">
        <w:rPr>
          <w:rFonts w:ascii="Times New Roman" w:eastAsia="Times New Roman" w:hAnsi="Times New Roman" w:cs="Times New Roman"/>
          <w:color w:val="000000"/>
          <w:sz w:val="28"/>
          <w:szCs w:val="28"/>
          <w:vertAlign w:val="superscript"/>
          <w:lang w:val="es-ES"/>
        </w:rPr>
        <w:footnoteReference w:id="35"/>
      </w:r>
      <w:r w:rsidRPr="00527F3E">
        <w:rPr>
          <w:rFonts w:ascii="Times New Roman" w:eastAsia="Times New Roman" w:hAnsi="Times New Roman" w:cs="Times New Roman"/>
          <w:color w:val="000000"/>
          <w:sz w:val="28"/>
          <w:szCs w:val="28"/>
          <w:lang w:val="es-ES"/>
        </w:rPr>
        <w:t xml:space="preserve"> envió copia de las gacetas del congreso en las que se publicó: (i) la ponencia (Sena</w:t>
      </w:r>
      <w:r w:rsidRPr="00527F3E">
        <w:rPr>
          <w:rFonts w:ascii="Times New Roman" w:eastAsia="Times New Roman" w:hAnsi="Times New Roman" w:cs="Times New Roman"/>
          <w:color w:val="000000"/>
          <w:sz w:val="28"/>
          <w:szCs w:val="28"/>
          <w:lang w:val="es-ES"/>
        </w:rPr>
        <w:t>do) para primer debate en comisiones económicas conjuntas</w:t>
      </w:r>
      <w:r w:rsidRPr="00527F3E">
        <w:rPr>
          <w:rFonts w:ascii="Times New Roman" w:eastAsia="Times New Roman" w:hAnsi="Times New Roman" w:cs="Times New Roman"/>
          <w:color w:val="000000"/>
          <w:sz w:val="28"/>
          <w:szCs w:val="28"/>
          <w:vertAlign w:val="superscript"/>
          <w:lang w:val="es-ES"/>
        </w:rPr>
        <w:footnoteReference w:id="36"/>
      </w:r>
      <w:r w:rsidRPr="00527F3E">
        <w:rPr>
          <w:rFonts w:ascii="Times New Roman" w:eastAsia="Times New Roman" w:hAnsi="Times New Roman" w:cs="Times New Roman"/>
          <w:color w:val="000000"/>
          <w:sz w:val="28"/>
          <w:szCs w:val="28"/>
          <w:lang w:val="es-ES"/>
        </w:rPr>
        <w:t>, (ii) la ponencia para segundo debate en el Senado de la República</w:t>
      </w:r>
      <w:r w:rsidRPr="00527F3E">
        <w:rPr>
          <w:rFonts w:ascii="Times New Roman" w:eastAsia="Times New Roman" w:hAnsi="Times New Roman" w:cs="Times New Roman"/>
          <w:color w:val="000000"/>
          <w:sz w:val="28"/>
          <w:szCs w:val="28"/>
          <w:vertAlign w:val="superscript"/>
          <w:lang w:val="es-ES"/>
        </w:rPr>
        <w:footnoteReference w:id="37"/>
      </w:r>
      <w:r w:rsidRPr="00527F3E">
        <w:rPr>
          <w:rFonts w:ascii="Times New Roman" w:eastAsia="Times New Roman" w:hAnsi="Times New Roman" w:cs="Times New Roman"/>
          <w:color w:val="000000"/>
          <w:sz w:val="28"/>
          <w:szCs w:val="28"/>
          <w:lang w:val="es-ES"/>
        </w:rPr>
        <w:t xml:space="preserve"> y (iii) el texto definitivo aprobado en primer debate en sesiones conjuntas de las comisiones económicas terceras y cuartas del S</w:t>
      </w:r>
      <w:r w:rsidRPr="00527F3E">
        <w:rPr>
          <w:rFonts w:ascii="Times New Roman" w:eastAsia="Times New Roman" w:hAnsi="Times New Roman" w:cs="Times New Roman"/>
          <w:color w:val="000000"/>
          <w:sz w:val="28"/>
          <w:szCs w:val="28"/>
          <w:lang w:val="es-ES"/>
        </w:rPr>
        <w:t>enado de la República y la Cámara de Representantes</w:t>
      </w:r>
      <w:r w:rsidRPr="00527F3E">
        <w:rPr>
          <w:rFonts w:ascii="Times New Roman" w:eastAsia="Times New Roman" w:hAnsi="Times New Roman" w:cs="Times New Roman"/>
          <w:color w:val="000000"/>
          <w:sz w:val="28"/>
          <w:szCs w:val="28"/>
          <w:vertAlign w:val="superscript"/>
          <w:lang w:val="es-ES"/>
        </w:rPr>
        <w:footnoteReference w:id="38"/>
      </w:r>
      <w:r w:rsidRPr="00527F3E">
        <w:rPr>
          <w:rFonts w:ascii="Times New Roman" w:eastAsia="Times New Roman" w:hAnsi="Times New Roman" w:cs="Times New Roman"/>
          <w:color w:val="000000"/>
          <w:sz w:val="28"/>
          <w:szCs w:val="28"/>
          <w:lang w:val="es-ES"/>
        </w:rPr>
        <w:t>.</w:t>
      </w:r>
    </w:p>
    <w:p w:rsidR="00B9678A" w:rsidRPr="00527F3E" w:rsidRDefault="00527F3E" w:rsidP="00656A25">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bdr w:val="none" w:sz="0" w:space="0" w:color="auto" w:frame="1"/>
          <w:lang w:val="es-ES" w:eastAsia="es-ES"/>
        </w:rPr>
      </w:pPr>
      <w:r w:rsidRPr="00527F3E">
        <w:rPr>
          <w:rFonts w:ascii="Times New Roman" w:eastAsia="Times New Roman" w:hAnsi="Times New Roman" w:cs="Times New Roman"/>
          <w:color w:val="000000"/>
          <w:sz w:val="28"/>
          <w:szCs w:val="28"/>
          <w:lang w:val="es-ES"/>
        </w:rPr>
        <w:t xml:space="preserve">El </w:t>
      </w:r>
      <w:r w:rsidRPr="00527F3E">
        <w:rPr>
          <w:rFonts w:ascii="Times New Roman" w:eastAsia="Times New Roman" w:hAnsi="Times New Roman" w:cs="Times New Roman"/>
          <w:color w:val="000000"/>
          <w:sz w:val="28"/>
          <w:szCs w:val="28"/>
          <w:bdr w:val="none" w:sz="0" w:space="0" w:color="auto" w:frame="1"/>
          <w:lang w:val="es-ES" w:eastAsia="es-ES"/>
        </w:rPr>
        <w:t>8 de noviembre de 2023, la secretaría general de la Corte envió al despacho una segunda comunicación remitida por el secretario general del Senado de la República</w:t>
      </w:r>
      <w:r w:rsidRPr="00527F3E">
        <w:rPr>
          <w:rFonts w:ascii="Times New Roman" w:eastAsia="Times New Roman" w:hAnsi="Times New Roman" w:cs="Times New Roman"/>
          <w:color w:val="000000"/>
          <w:sz w:val="28"/>
          <w:szCs w:val="28"/>
          <w:bdr w:val="none" w:sz="0" w:space="0" w:color="auto" w:frame="1"/>
          <w:vertAlign w:val="superscript"/>
          <w:lang w:val="es-ES" w:eastAsia="es-ES"/>
        </w:rPr>
        <w:footnoteReference w:id="39"/>
      </w:r>
      <w:r w:rsidRPr="00527F3E">
        <w:rPr>
          <w:rFonts w:ascii="Times New Roman" w:eastAsia="Times New Roman" w:hAnsi="Times New Roman" w:cs="Times New Roman"/>
          <w:color w:val="000000"/>
          <w:sz w:val="28"/>
          <w:szCs w:val="28"/>
          <w:bdr w:val="none" w:sz="0" w:space="0" w:color="auto" w:frame="1"/>
          <w:lang w:val="es-ES" w:eastAsia="es-ES"/>
        </w:rPr>
        <w:t xml:space="preserve"> en la que allega copia de las gacetas del congreso en las que se publicaron las actas: (i) n.º 62 de la sesión plenaria extraordinaria del Senado de la República del 22 de junio de 2023, en la que se anunció el proyecto de ley número 278 de 2023 Senado - </w:t>
      </w:r>
      <w:r w:rsidRPr="00527F3E">
        <w:rPr>
          <w:rFonts w:ascii="Times New Roman" w:eastAsia="Times New Roman" w:hAnsi="Times New Roman" w:cs="Times New Roman"/>
          <w:color w:val="000000"/>
          <w:sz w:val="28"/>
          <w:szCs w:val="28"/>
          <w:bdr w:val="none" w:sz="0" w:space="0" w:color="auto" w:frame="1"/>
          <w:lang w:val="es-ES" w:eastAsia="es-ES"/>
        </w:rPr>
        <w:t>342 de 2023 Cámara</w:t>
      </w:r>
      <w:r w:rsidRPr="00527F3E">
        <w:rPr>
          <w:rFonts w:ascii="Times New Roman" w:eastAsia="Times New Roman" w:hAnsi="Times New Roman" w:cs="Times New Roman"/>
          <w:color w:val="000000"/>
          <w:sz w:val="28"/>
          <w:szCs w:val="28"/>
          <w:bdr w:val="none" w:sz="0" w:space="0" w:color="auto" w:frame="1"/>
          <w:vertAlign w:val="superscript"/>
          <w:lang w:val="es-ES" w:eastAsia="es-ES"/>
        </w:rPr>
        <w:footnoteReference w:id="40"/>
      </w:r>
      <w:r w:rsidRPr="00527F3E">
        <w:rPr>
          <w:rFonts w:ascii="Times New Roman" w:eastAsia="Times New Roman" w:hAnsi="Times New Roman" w:cs="Times New Roman"/>
          <w:color w:val="000000"/>
          <w:sz w:val="28"/>
          <w:szCs w:val="28"/>
          <w:bdr w:val="none" w:sz="0" w:space="0" w:color="auto" w:frame="1"/>
          <w:lang w:val="es-ES" w:eastAsia="es-ES"/>
        </w:rPr>
        <w:t>; (ii) n.º 63 de la sesión plenaria extraordinaria del Senado de la República del 23 de junio de 2023, en la cual se discutió y aprobó en segundo debate el mencionado proyecto de ley</w:t>
      </w:r>
      <w:r w:rsidRPr="00527F3E">
        <w:rPr>
          <w:rFonts w:ascii="Times New Roman" w:eastAsia="Times New Roman" w:hAnsi="Times New Roman" w:cs="Times New Roman"/>
          <w:color w:val="000000"/>
          <w:sz w:val="28"/>
          <w:szCs w:val="28"/>
          <w:bdr w:val="none" w:sz="0" w:space="0" w:color="auto" w:frame="1"/>
          <w:vertAlign w:val="superscript"/>
          <w:lang w:val="es-ES" w:eastAsia="es-ES"/>
        </w:rPr>
        <w:footnoteReference w:id="41"/>
      </w:r>
      <w:r w:rsidRPr="00527F3E">
        <w:rPr>
          <w:rFonts w:ascii="Times New Roman" w:eastAsia="Times New Roman" w:hAnsi="Times New Roman" w:cs="Times New Roman"/>
          <w:color w:val="000000"/>
          <w:sz w:val="28"/>
          <w:szCs w:val="28"/>
          <w:bdr w:val="none" w:sz="0" w:space="0" w:color="auto" w:frame="1"/>
          <w:lang w:val="es-ES" w:eastAsia="es-ES"/>
        </w:rPr>
        <w:t>.</w:t>
      </w:r>
    </w:p>
    <w:p w:rsidR="00B9678A" w:rsidRPr="00527F3E" w:rsidRDefault="00527F3E" w:rsidP="00B9678A">
      <w:pPr>
        <w:spacing w:line="240" w:lineRule="auto"/>
        <w:ind w:left="720"/>
        <w:contextualSpacing/>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En el Auto del 9 de noviembre de 2023, la </w:t>
      </w:r>
      <w:r w:rsidRPr="00527F3E">
        <w:rPr>
          <w:rFonts w:ascii="Times New Roman" w:eastAsia="Times New Roman" w:hAnsi="Times New Roman" w:cs="Times New Roman"/>
          <w:color w:val="000000"/>
          <w:sz w:val="28"/>
          <w:szCs w:val="28"/>
          <w:lang w:val="es-ES"/>
        </w:rPr>
        <w:t>magistrada sustanciadora constató que aún no se habían remitido las gacetas ni informado los enlaces en los que se pueden encontrar (i) la sesión conjunta de las comisiones terceras y cuartas constitucionales permanentes de la Cámara de Representantes y de</w:t>
      </w:r>
      <w:r w:rsidRPr="00527F3E">
        <w:rPr>
          <w:rFonts w:ascii="Times New Roman" w:eastAsia="Times New Roman" w:hAnsi="Times New Roman" w:cs="Times New Roman"/>
          <w:color w:val="000000"/>
          <w:sz w:val="28"/>
          <w:szCs w:val="28"/>
          <w:lang w:val="es-ES"/>
        </w:rPr>
        <w:t>l Senado de la República, y (ii) la sesión plenaria de la Cámara de Representantes en las que se discutió y aprobó el artículo parcialmente demandado. Sin embargo, a partir de la información disponible era posible inferir que dichas sesiones se habían efec</w:t>
      </w:r>
      <w:r w:rsidRPr="00527F3E">
        <w:rPr>
          <w:rFonts w:ascii="Times New Roman" w:eastAsia="Times New Roman" w:hAnsi="Times New Roman" w:cs="Times New Roman"/>
          <w:color w:val="000000"/>
          <w:sz w:val="28"/>
          <w:szCs w:val="28"/>
          <w:lang w:val="es-ES"/>
        </w:rPr>
        <w:t>tuado el 14 y el 23 de junio de 2023, respectivamente, lo que permitió localizar los enlaces de transmisión de las respectivas sesiones</w:t>
      </w:r>
      <w:r w:rsidRPr="00527F3E">
        <w:rPr>
          <w:rFonts w:ascii="Times New Roman" w:eastAsia="Times New Roman" w:hAnsi="Times New Roman" w:cs="Times New Roman"/>
          <w:color w:val="000000"/>
          <w:sz w:val="28"/>
          <w:szCs w:val="28"/>
          <w:vertAlign w:val="superscript"/>
          <w:lang w:val="es-ES"/>
        </w:rPr>
        <w:footnoteReference w:id="42"/>
      </w:r>
      <w:r w:rsidRPr="00527F3E">
        <w:rPr>
          <w:rFonts w:ascii="Times New Roman" w:eastAsia="Times New Roman" w:hAnsi="Times New Roman" w:cs="Times New Roman"/>
          <w:color w:val="000000"/>
          <w:sz w:val="28"/>
          <w:szCs w:val="28"/>
          <w:lang w:val="es-ES"/>
        </w:rPr>
        <w:t>. Siendo así, ante la necesidad de imprimir celeridad al trámite constitucional, en dicho auto se dispuso tener como pru</w:t>
      </w:r>
      <w:r w:rsidRPr="00527F3E">
        <w:rPr>
          <w:rFonts w:ascii="Times New Roman" w:eastAsia="Times New Roman" w:hAnsi="Times New Roman" w:cs="Times New Roman"/>
          <w:color w:val="000000"/>
          <w:sz w:val="28"/>
          <w:szCs w:val="28"/>
          <w:lang w:val="es-ES"/>
        </w:rPr>
        <w:t>eba la información allegada al proceso por las secretarías generales del Senado de la República, de la Cámara de Representantes y de la Comisión Cuarta Constitucional Permanente de la Cámara de Representantes, así como los enlaces de transmisión de las ses</w:t>
      </w:r>
      <w:r w:rsidRPr="00527F3E">
        <w:rPr>
          <w:rFonts w:ascii="Times New Roman" w:eastAsia="Times New Roman" w:hAnsi="Times New Roman" w:cs="Times New Roman"/>
          <w:color w:val="000000"/>
          <w:sz w:val="28"/>
          <w:szCs w:val="28"/>
          <w:lang w:val="es-ES"/>
        </w:rPr>
        <w:t>iones del 14 y 23 de junio de 2023; asimismo, continuar con el trámite constitucional respectivo</w:t>
      </w:r>
      <w:r w:rsidRPr="00527F3E">
        <w:rPr>
          <w:rFonts w:ascii="Times New Roman" w:eastAsia="Times New Roman" w:hAnsi="Times New Roman" w:cs="Times New Roman"/>
          <w:color w:val="000000"/>
          <w:sz w:val="28"/>
          <w:szCs w:val="28"/>
          <w:vertAlign w:val="superscript"/>
          <w:lang w:val="es-ES"/>
        </w:rPr>
        <w:footnoteReference w:id="43"/>
      </w:r>
      <w:r w:rsidRPr="00527F3E">
        <w:rPr>
          <w:rFonts w:ascii="Times New Roman" w:eastAsia="Times New Roman" w:hAnsi="Times New Roman" w:cs="Times New Roman"/>
          <w:color w:val="000000"/>
          <w:sz w:val="28"/>
          <w:szCs w:val="28"/>
          <w:lang w:val="es-ES"/>
        </w:rPr>
        <w:t>.</w:t>
      </w:r>
    </w:p>
    <w:p w:rsidR="00656A25" w:rsidRPr="00527F3E" w:rsidRDefault="00527F3E" w:rsidP="00B9678A">
      <w:pPr>
        <w:keepNext/>
        <w:spacing w:after="0" w:line="240" w:lineRule="auto"/>
        <w:jc w:val="both"/>
        <w:textAlignment w:val="baseline"/>
        <w:outlineLvl w:val="0"/>
        <w:rPr>
          <w:rFonts w:ascii="Times New Roman" w:eastAsia="Times New Roman" w:hAnsi="Times New Roman" w:cs="Times New Roman"/>
          <w:b/>
          <w:bCs/>
          <w:color w:val="000000"/>
          <w:sz w:val="28"/>
          <w:szCs w:val="28"/>
          <w:bdr w:val="none" w:sz="0" w:space="0" w:color="auto" w:frame="1"/>
          <w:lang w:eastAsia="es-ES"/>
        </w:rPr>
      </w:pPr>
    </w:p>
    <w:p w:rsidR="00B9678A" w:rsidRPr="00527F3E" w:rsidRDefault="00527F3E" w:rsidP="00B9678A">
      <w:pPr>
        <w:keepNext/>
        <w:spacing w:after="0" w:line="240" w:lineRule="auto"/>
        <w:jc w:val="both"/>
        <w:textAlignment w:val="baseline"/>
        <w:outlineLvl w:val="0"/>
        <w:rPr>
          <w:rFonts w:ascii="Times New Roman" w:eastAsia="Times New Roman" w:hAnsi="Times New Roman" w:cs="Times New Roman"/>
          <w:b/>
          <w:bCs/>
          <w:color w:val="000000"/>
          <w:sz w:val="28"/>
          <w:szCs w:val="28"/>
          <w:bdr w:val="none" w:sz="0" w:space="0" w:color="auto" w:frame="1"/>
          <w:lang w:eastAsia="es-ES"/>
        </w:rPr>
      </w:pPr>
      <w:r w:rsidRPr="00527F3E">
        <w:rPr>
          <w:rFonts w:ascii="Times New Roman" w:eastAsia="Times New Roman" w:hAnsi="Times New Roman" w:cs="Times New Roman"/>
          <w:b/>
          <w:bCs/>
          <w:color w:val="000000"/>
          <w:sz w:val="28"/>
          <w:szCs w:val="28"/>
          <w:bdr w:val="none" w:sz="0" w:space="0" w:color="auto" w:frame="1"/>
          <w:lang w:eastAsia="es-ES"/>
        </w:rPr>
        <w:t>V. INTERVENCIONES</w:t>
      </w:r>
    </w:p>
    <w:p w:rsidR="00B9678A" w:rsidRPr="00527F3E" w:rsidRDefault="00527F3E" w:rsidP="00B9678A">
      <w:pPr>
        <w:tabs>
          <w:tab w:val="left" w:pos="426"/>
        </w:tabs>
        <w:autoSpaceDE w:val="0"/>
        <w:autoSpaceDN w:val="0"/>
        <w:spacing w:line="240" w:lineRule="auto"/>
        <w:ind w:right="49"/>
        <w:contextualSpacing/>
        <w:jc w:val="both"/>
        <w:textAlignment w:val="baseline"/>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spacing w:after="0" w:line="240" w:lineRule="auto"/>
        <w:ind w:left="0" w:firstLine="0"/>
        <w:contextualSpacing/>
        <w:jc w:val="both"/>
        <w:rPr>
          <w:rFonts w:ascii="Times New Roman" w:eastAsia="Times New Roman" w:hAnsi="Times New Roman" w:cs="Times New Roman"/>
          <w:bCs/>
          <w:color w:val="000000"/>
          <w:sz w:val="28"/>
          <w:szCs w:val="28"/>
          <w:lang w:val="es-ES"/>
        </w:rPr>
      </w:pPr>
      <w:r w:rsidRPr="00527F3E">
        <w:rPr>
          <w:rFonts w:ascii="Times New Roman" w:eastAsia="Times New Roman" w:hAnsi="Times New Roman" w:cs="Times New Roman"/>
          <w:bCs/>
          <w:color w:val="000000"/>
          <w:sz w:val="28"/>
          <w:szCs w:val="28"/>
          <w:lang w:val="es-ES"/>
        </w:rPr>
        <w:t xml:space="preserve">Durante el trámite de constitucionalidad se recibieron quince intervenciones, ocho de ellas antes de iniciar el término de fijación en </w:t>
      </w:r>
      <w:r w:rsidRPr="00527F3E">
        <w:rPr>
          <w:rFonts w:ascii="Times New Roman" w:eastAsia="Times New Roman" w:hAnsi="Times New Roman" w:cs="Times New Roman"/>
          <w:bCs/>
          <w:color w:val="000000"/>
          <w:sz w:val="28"/>
          <w:szCs w:val="28"/>
          <w:lang w:val="es-ES"/>
        </w:rPr>
        <w:t>lista</w:t>
      </w:r>
      <w:r w:rsidRPr="00527F3E">
        <w:rPr>
          <w:rFonts w:ascii="Times New Roman" w:eastAsia="Times New Roman" w:hAnsi="Times New Roman" w:cs="Times New Roman"/>
          <w:bCs/>
          <w:color w:val="000000"/>
          <w:sz w:val="28"/>
          <w:szCs w:val="28"/>
          <w:vertAlign w:val="superscript"/>
          <w:lang w:val="es-ES"/>
        </w:rPr>
        <w:footnoteReference w:id="44"/>
      </w:r>
      <w:r w:rsidRPr="00527F3E">
        <w:rPr>
          <w:rFonts w:ascii="Times New Roman" w:eastAsia="Times New Roman" w:hAnsi="Times New Roman" w:cs="Times New Roman"/>
          <w:bCs/>
          <w:color w:val="000000"/>
          <w:sz w:val="28"/>
          <w:szCs w:val="28"/>
          <w:lang w:val="es-ES"/>
        </w:rPr>
        <w:t>, seis durante el mismo</w:t>
      </w:r>
      <w:r w:rsidRPr="00527F3E">
        <w:rPr>
          <w:rFonts w:ascii="Times New Roman" w:eastAsia="Times New Roman" w:hAnsi="Times New Roman" w:cs="Times New Roman"/>
          <w:bCs/>
          <w:color w:val="000000"/>
          <w:sz w:val="28"/>
          <w:szCs w:val="28"/>
          <w:vertAlign w:val="superscript"/>
          <w:lang w:val="es-ES"/>
        </w:rPr>
        <w:footnoteReference w:id="45"/>
      </w:r>
      <w:r w:rsidRPr="00527F3E">
        <w:rPr>
          <w:rFonts w:ascii="Times New Roman" w:eastAsia="Times New Roman" w:hAnsi="Times New Roman" w:cs="Times New Roman"/>
          <w:bCs/>
          <w:color w:val="000000"/>
          <w:sz w:val="28"/>
          <w:szCs w:val="28"/>
          <w:lang w:val="es-ES"/>
        </w:rPr>
        <w:t xml:space="preserve"> y una más tras su vencimiento</w:t>
      </w:r>
      <w:r w:rsidRPr="00527F3E">
        <w:rPr>
          <w:rFonts w:ascii="Times New Roman" w:eastAsia="Times New Roman" w:hAnsi="Times New Roman" w:cs="Times New Roman"/>
          <w:color w:val="000000"/>
          <w:sz w:val="28"/>
          <w:szCs w:val="28"/>
          <w:vertAlign w:val="superscript"/>
        </w:rPr>
        <w:footnoteReference w:id="46"/>
      </w:r>
      <w:r w:rsidRPr="00527F3E">
        <w:rPr>
          <w:rFonts w:ascii="Times New Roman" w:eastAsia="Times New Roman" w:hAnsi="Times New Roman" w:cs="Times New Roman"/>
          <w:bCs/>
          <w:color w:val="000000"/>
          <w:sz w:val="28"/>
          <w:szCs w:val="28"/>
          <w:lang w:val="es-ES"/>
        </w:rPr>
        <w:t xml:space="preserve">. Una de las intervenciones pide la inhibición o subsidiariamente la exequibilidad, tres solicitan la exequibilidad de la norma acusada y once coadyuvan la solicitud de inexequibilidad planteada </w:t>
      </w:r>
      <w:r w:rsidRPr="00527F3E">
        <w:rPr>
          <w:rFonts w:ascii="Times New Roman" w:eastAsia="Times New Roman" w:hAnsi="Times New Roman" w:cs="Times New Roman"/>
          <w:bCs/>
          <w:color w:val="000000"/>
          <w:sz w:val="28"/>
          <w:szCs w:val="28"/>
          <w:lang w:val="es-ES"/>
        </w:rPr>
        <w:t>en la demanda. A continuación, se realiza la síntesis de sus peticiones.</w:t>
      </w:r>
    </w:p>
    <w:p w:rsidR="00B9678A" w:rsidRPr="00527F3E" w:rsidRDefault="00527F3E" w:rsidP="00B9678A">
      <w:pPr>
        <w:spacing w:line="240" w:lineRule="auto"/>
        <w:contextualSpacing/>
        <w:jc w:val="both"/>
        <w:rPr>
          <w:rFonts w:ascii="Times New Roman" w:eastAsia="Times New Roman" w:hAnsi="Times New Roman" w:cs="Times New Roman"/>
          <w:bCs/>
          <w:color w:val="000000"/>
          <w:sz w:val="28"/>
          <w:szCs w:val="28"/>
          <w:lang w:val="es-ES"/>
        </w:rPr>
      </w:pPr>
    </w:p>
    <w:tbl>
      <w:tblPr>
        <w:tblStyle w:val="Tablaconcuadrcula"/>
        <w:tblW w:w="0" w:type="auto"/>
        <w:tblInd w:w="279" w:type="dxa"/>
        <w:tblLook w:val="04A0" w:firstRow="1" w:lastRow="0" w:firstColumn="1" w:lastColumn="0" w:noHBand="0" w:noVBand="1"/>
      </w:tblPr>
      <w:tblGrid>
        <w:gridCol w:w="2693"/>
        <w:gridCol w:w="5856"/>
      </w:tblGrid>
      <w:tr w:rsidR="00B9678A" w:rsidRPr="00527F3E" w:rsidTr="00B9678A">
        <w:tc>
          <w:tcPr>
            <w:tcW w:w="2693" w:type="dxa"/>
            <w:shd w:val="clear" w:color="auto" w:fill="DEEAF6"/>
          </w:tcPr>
          <w:p w:rsidR="00B9678A" w:rsidRPr="00527F3E" w:rsidRDefault="00527F3E" w:rsidP="00B9678A">
            <w:pPr>
              <w:tabs>
                <w:tab w:val="left" w:pos="284"/>
              </w:tabs>
              <w:jc w:val="center"/>
              <w:rPr>
                <w:rFonts w:ascii="Times New Roman" w:eastAsia="Times New Roman" w:hAnsi="Times New Roman" w:cs="Times New Roman"/>
                <w:b/>
                <w:iCs/>
                <w:color w:val="000000"/>
                <w:sz w:val="28"/>
                <w:szCs w:val="28"/>
                <w:lang w:eastAsia="es-ES_tradnl"/>
              </w:rPr>
            </w:pPr>
            <w:r w:rsidRPr="00527F3E">
              <w:rPr>
                <w:rFonts w:ascii="Times New Roman" w:eastAsia="Times New Roman" w:hAnsi="Times New Roman" w:cs="Times New Roman"/>
                <w:b/>
                <w:iCs/>
                <w:color w:val="000000"/>
                <w:sz w:val="28"/>
                <w:szCs w:val="28"/>
                <w:lang w:eastAsia="es-ES_tradnl"/>
              </w:rPr>
              <w:t>Solicitud</w:t>
            </w:r>
          </w:p>
        </w:tc>
        <w:tc>
          <w:tcPr>
            <w:tcW w:w="5856" w:type="dxa"/>
            <w:shd w:val="clear" w:color="auto" w:fill="DEEAF6"/>
          </w:tcPr>
          <w:p w:rsidR="00B9678A" w:rsidRPr="00527F3E" w:rsidRDefault="00527F3E" w:rsidP="00B9678A">
            <w:pPr>
              <w:tabs>
                <w:tab w:val="left" w:pos="284"/>
              </w:tabs>
              <w:jc w:val="center"/>
              <w:rPr>
                <w:rFonts w:ascii="Times New Roman" w:eastAsia="Times New Roman" w:hAnsi="Times New Roman" w:cs="Times New Roman"/>
                <w:b/>
                <w:iCs/>
                <w:color w:val="000000"/>
                <w:sz w:val="28"/>
                <w:szCs w:val="28"/>
                <w:lang w:eastAsia="es-ES_tradnl"/>
              </w:rPr>
            </w:pPr>
            <w:r w:rsidRPr="00527F3E">
              <w:rPr>
                <w:rFonts w:ascii="Times New Roman" w:eastAsia="Times New Roman" w:hAnsi="Times New Roman" w:cs="Times New Roman"/>
                <w:b/>
                <w:iCs/>
                <w:color w:val="000000"/>
                <w:sz w:val="28"/>
                <w:szCs w:val="28"/>
                <w:lang w:eastAsia="es-ES_tradnl"/>
              </w:rPr>
              <w:t>Intervinientes</w:t>
            </w:r>
          </w:p>
        </w:tc>
      </w:tr>
      <w:tr w:rsidR="00B9678A" w:rsidRPr="00527F3E" w:rsidTr="00B9678A">
        <w:trPr>
          <w:trHeight w:val="370"/>
        </w:trPr>
        <w:tc>
          <w:tcPr>
            <w:tcW w:w="2693" w:type="dxa"/>
            <w:shd w:val="clear" w:color="auto" w:fill="E7E6E6"/>
            <w:vAlign w:val="center"/>
          </w:tcPr>
          <w:p w:rsidR="00B9678A" w:rsidRPr="00527F3E" w:rsidRDefault="00527F3E" w:rsidP="00B9678A">
            <w:pPr>
              <w:tabs>
                <w:tab w:val="left" w:pos="284"/>
              </w:tabs>
              <w:jc w:val="center"/>
              <w:rPr>
                <w:rFonts w:ascii="Times New Roman" w:eastAsia="Times New Roman" w:hAnsi="Times New Roman" w:cs="Times New Roman"/>
                <w:bCs/>
                <w:color w:val="000000"/>
                <w:sz w:val="28"/>
                <w:szCs w:val="28"/>
                <w:lang w:eastAsia="es-ES_tradnl"/>
              </w:rPr>
            </w:pPr>
            <w:r w:rsidRPr="00527F3E">
              <w:rPr>
                <w:rFonts w:ascii="Times New Roman" w:eastAsia="Times New Roman" w:hAnsi="Times New Roman" w:cs="Times New Roman"/>
                <w:bCs/>
                <w:color w:val="000000"/>
                <w:sz w:val="28"/>
                <w:szCs w:val="28"/>
                <w:lang w:eastAsia="es-ES_tradnl"/>
              </w:rPr>
              <w:t>Inhibición y, en subsidio, exequibilidad</w:t>
            </w:r>
          </w:p>
        </w:tc>
        <w:tc>
          <w:tcPr>
            <w:tcW w:w="5856" w:type="dxa"/>
            <w:vAlign w:val="center"/>
          </w:tcPr>
          <w:p w:rsidR="00B9678A" w:rsidRPr="00527F3E" w:rsidRDefault="00527F3E" w:rsidP="00B9678A">
            <w:pPr>
              <w:tabs>
                <w:tab w:val="left" w:pos="284"/>
              </w:tabs>
              <w:rPr>
                <w:rFonts w:ascii="Times New Roman" w:eastAsia="Times New Roman" w:hAnsi="Times New Roman" w:cs="Times New Roman"/>
                <w:bCs/>
                <w:iCs/>
                <w:color w:val="000000"/>
                <w:sz w:val="28"/>
                <w:szCs w:val="28"/>
                <w:lang w:eastAsia="es-ES_tradnl"/>
              </w:rPr>
            </w:pPr>
            <w:r w:rsidRPr="00527F3E">
              <w:rPr>
                <w:rFonts w:ascii="Times New Roman" w:eastAsia="Times New Roman" w:hAnsi="Times New Roman" w:cs="Times New Roman"/>
                <w:bCs/>
                <w:iCs/>
                <w:color w:val="000000"/>
                <w:sz w:val="28"/>
                <w:szCs w:val="28"/>
                <w:lang w:eastAsia="es-ES_tradnl"/>
              </w:rPr>
              <w:t>Departamento Administrativo de la Presidencia de la República - DAPRE</w:t>
            </w:r>
          </w:p>
        </w:tc>
      </w:tr>
      <w:tr w:rsidR="00B9678A" w:rsidRPr="00527F3E" w:rsidTr="00B9678A">
        <w:trPr>
          <w:trHeight w:val="393"/>
        </w:trPr>
        <w:tc>
          <w:tcPr>
            <w:tcW w:w="2693" w:type="dxa"/>
            <w:shd w:val="clear" w:color="auto" w:fill="E7E6E6"/>
            <w:vAlign w:val="center"/>
          </w:tcPr>
          <w:p w:rsidR="00B9678A" w:rsidRPr="00527F3E" w:rsidRDefault="00527F3E" w:rsidP="00B9678A">
            <w:pPr>
              <w:tabs>
                <w:tab w:val="left" w:pos="284"/>
              </w:tabs>
              <w:jc w:val="center"/>
              <w:rPr>
                <w:rFonts w:ascii="Times New Roman" w:eastAsia="Times New Roman" w:hAnsi="Times New Roman" w:cs="Times New Roman"/>
                <w:bCs/>
                <w:color w:val="000000"/>
                <w:sz w:val="28"/>
                <w:szCs w:val="28"/>
                <w:lang w:eastAsia="es-ES_tradnl"/>
              </w:rPr>
            </w:pPr>
            <w:r w:rsidRPr="00527F3E">
              <w:rPr>
                <w:rFonts w:ascii="Times New Roman" w:eastAsia="Times New Roman" w:hAnsi="Times New Roman" w:cs="Times New Roman"/>
                <w:bCs/>
                <w:color w:val="000000"/>
                <w:sz w:val="28"/>
                <w:szCs w:val="28"/>
                <w:lang w:eastAsia="es-ES_tradnl"/>
              </w:rPr>
              <w:t>Exequibilidad</w:t>
            </w:r>
          </w:p>
        </w:tc>
        <w:tc>
          <w:tcPr>
            <w:tcW w:w="5856" w:type="dxa"/>
            <w:vAlign w:val="center"/>
          </w:tcPr>
          <w:p w:rsidR="00B9678A" w:rsidRPr="00527F3E" w:rsidRDefault="00527F3E" w:rsidP="00B9678A">
            <w:pPr>
              <w:tabs>
                <w:tab w:val="left" w:pos="284"/>
              </w:tabs>
              <w:rPr>
                <w:rFonts w:ascii="Times New Roman" w:eastAsia="Times New Roman" w:hAnsi="Times New Roman" w:cs="Times New Roman"/>
                <w:bCs/>
                <w:iCs/>
                <w:color w:val="000000"/>
                <w:sz w:val="28"/>
                <w:szCs w:val="28"/>
                <w:lang w:eastAsia="es-ES_tradnl"/>
              </w:rPr>
            </w:pPr>
            <w:r w:rsidRPr="00527F3E">
              <w:rPr>
                <w:rFonts w:ascii="Times New Roman" w:eastAsia="Times New Roman" w:hAnsi="Times New Roman" w:cs="Times New Roman"/>
                <w:bCs/>
                <w:iCs/>
                <w:color w:val="000000"/>
                <w:sz w:val="28"/>
                <w:szCs w:val="28"/>
                <w:lang w:eastAsia="es-ES_tradnl"/>
              </w:rPr>
              <w:t>Ministerio de Transporte</w:t>
            </w:r>
          </w:p>
          <w:p w:rsidR="00B9678A" w:rsidRPr="00527F3E" w:rsidRDefault="00527F3E" w:rsidP="00B9678A">
            <w:pPr>
              <w:tabs>
                <w:tab w:val="left" w:pos="284"/>
              </w:tabs>
              <w:rPr>
                <w:rFonts w:ascii="Times New Roman" w:eastAsia="Times New Roman" w:hAnsi="Times New Roman" w:cs="Times New Roman"/>
                <w:bCs/>
                <w:iCs/>
                <w:color w:val="000000"/>
                <w:sz w:val="28"/>
                <w:szCs w:val="28"/>
                <w:lang w:eastAsia="es-ES_tradnl"/>
              </w:rPr>
            </w:pPr>
            <w:r w:rsidRPr="00527F3E">
              <w:rPr>
                <w:rFonts w:ascii="Times New Roman" w:eastAsia="Times New Roman" w:hAnsi="Times New Roman" w:cs="Times New Roman"/>
                <w:bCs/>
                <w:iCs/>
                <w:color w:val="000000"/>
                <w:sz w:val="28"/>
                <w:szCs w:val="28"/>
                <w:lang w:eastAsia="es-ES_tradnl"/>
              </w:rPr>
              <w:t>Federación Colombiana de Municipios</w:t>
            </w:r>
          </w:p>
          <w:p w:rsidR="00B9678A" w:rsidRPr="00527F3E" w:rsidRDefault="00527F3E" w:rsidP="00B9678A">
            <w:pPr>
              <w:tabs>
                <w:tab w:val="left" w:pos="284"/>
              </w:tabs>
              <w:rPr>
                <w:rFonts w:ascii="Times New Roman" w:eastAsia="Times New Roman" w:hAnsi="Times New Roman" w:cs="Times New Roman"/>
                <w:bCs/>
                <w:iCs/>
                <w:color w:val="000000"/>
                <w:sz w:val="28"/>
                <w:szCs w:val="28"/>
                <w:lang w:eastAsia="es-ES_tradnl"/>
              </w:rPr>
            </w:pPr>
            <w:r w:rsidRPr="00527F3E">
              <w:rPr>
                <w:rFonts w:ascii="Times New Roman" w:eastAsia="Times New Roman" w:hAnsi="Times New Roman" w:cs="Times New Roman"/>
                <w:bCs/>
                <w:iCs/>
                <w:color w:val="000000"/>
                <w:sz w:val="28"/>
                <w:szCs w:val="28"/>
                <w:lang w:eastAsia="es-ES_tradnl"/>
              </w:rPr>
              <w:t>Agencia Nacional de Defensa Jurídica del Estado</w:t>
            </w:r>
          </w:p>
        </w:tc>
      </w:tr>
      <w:tr w:rsidR="00B9678A" w:rsidRPr="00527F3E" w:rsidTr="00B9678A">
        <w:trPr>
          <w:trHeight w:val="434"/>
        </w:trPr>
        <w:tc>
          <w:tcPr>
            <w:tcW w:w="2693" w:type="dxa"/>
            <w:shd w:val="clear" w:color="auto" w:fill="E7E6E6"/>
            <w:vAlign w:val="center"/>
          </w:tcPr>
          <w:p w:rsidR="00B9678A" w:rsidRPr="00527F3E" w:rsidRDefault="00527F3E" w:rsidP="00B9678A">
            <w:pPr>
              <w:tabs>
                <w:tab w:val="left" w:pos="284"/>
              </w:tabs>
              <w:jc w:val="center"/>
              <w:rPr>
                <w:rFonts w:ascii="Times New Roman" w:eastAsia="Times New Roman" w:hAnsi="Times New Roman" w:cs="Times New Roman"/>
                <w:bCs/>
                <w:color w:val="000000"/>
                <w:sz w:val="28"/>
                <w:szCs w:val="28"/>
                <w:lang w:eastAsia="es-ES_tradnl"/>
              </w:rPr>
            </w:pPr>
            <w:r w:rsidRPr="00527F3E">
              <w:rPr>
                <w:rFonts w:ascii="Times New Roman" w:eastAsia="Times New Roman" w:hAnsi="Times New Roman" w:cs="Times New Roman"/>
                <w:bCs/>
                <w:color w:val="000000"/>
                <w:sz w:val="28"/>
                <w:szCs w:val="28"/>
                <w:lang w:eastAsia="es-ES_tradnl"/>
              </w:rPr>
              <w:t>Inexequibilidad</w:t>
            </w:r>
          </w:p>
        </w:tc>
        <w:tc>
          <w:tcPr>
            <w:tcW w:w="5856" w:type="dxa"/>
            <w:vAlign w:val="center"/>
          </w:tcPr>
          <w:p w:rsidR="00B9678A" w:rsidRPr="00527F3E" w:rsidRDefault="00527F3E" w:rsidP="00B9678A">
            <w:pPr>
              <w:tabs>
                <w:tab w:val="left" w:pos="284"/>
              </w:tabs>
              <w:rPr>
                <w:rFonts w:ascii="Times New Roman" w:eastAsia="Times New Roman" w:hAnsi="Times New Roman" w:cs="Times New Roman"/>
                <w:bCs/>
                <w:iCs/>
                <w:color w:val="000000"/>
                <w:sz w:val="28"/>
                <w:szCs w:val="28"/>
                <w:lang w:eastAsia="es-ES_tradnl"/>
              </w:rPr>
            </w:pPr>
            <w:r w:rsidRPr="00527F3E">
              <w:rPr>
                <w:rFonts w:ascii="Times New Roman" w:eastAsia="Times New Roman" w:hAnsi="Times New Roman" w:cs="Times New Roman"/>
                <w:bCs/>
                <w:iCs/>
                <w:color w:val="000000"/>
                <w:sz w:val="28"/>
                <w:szCs w:val="28"/>
                <w:lang w:eastAsia="es-ES_tradnl"/>
              </w:rPr>
              <w:t>Nicolás Ospina Suárez</w:t>
            </w:r>
          </w:p>
          <w:p w:rsidR="00B9678A" w:rsidRPr="00527F3E" w:rsidRDefault="00527F3E" w:rsidP="00B9678A">
            <w:pPr>
              <w:tabs>
                <w:tab w:val="left" w:pos="284"/>
              </w:tabs>
              <w:rPr>
                <w:rFonts w:ascii="Times New Roman" w:eastAsia="Times New Roman" w:hAnsi="Times New Roman" w:cs="Times New Roman"/>
                <w:bCs/>
                <w:iCs/>
                <w:color w:val="000000"/>
                <w:sz w:val="28"/>
                <w:szCs w:val="28"/>
                <w:lang w:eastAsia="es-ES_tradnl"/>
              </w:rPr>
            </w:pPr>
            <w:r w:rsidRPr="00527F3E">
              <w:rPr>
                <w:rFonts w:ascii="Times New Roman" w:eastAsia="Times New Roman" w:hAnsi="Times New Roman" w:cs="Times New Roman"/>
                <w:bCs/>
                <w:iCs/>
                <w:color w:val="000000"/>
                <w:sz w:val="28"/>
                <w:szCs w:val="28"/>
                <w:lang w:eastAsia="es-ES_tradnl"/>
              </w:rPr>
              <w:t>Jairo Enrique Angarita Feo</w:t>
            </w:r>
          </w:p>
          <w:p w:rsidR="00B9678A" w:rsidRPr="00527F3E" w:rsidRDefault="00527F3E" w:rsidP="00B9678A">
            <w:pPr>
              <w:tabs>
                <w:tab w:val="left" w:pos="284"/>
              </w:tabs>
              <w:rPr>
                <w:rFonts w:ascii="Times New Roman" w:eastAsia="Times New Roman" w:hAnsi="Times New Roman" w:cs="Times New Roman"/>
                <w:bCs/>
                <w:iCs/>
                <w:color w:val="000000"/>
                <w:sz w:val="28"/>
                <w:szCs w:val="28"/>
                <w:lang w:eastAsia="es-ES_tradnl"/>
              </w:rPr>
            </w:pPr>
            <w:r w:rsidRPr="00527F3E">
              <w:rPr>
                <w:rFonts w:ascii="Times New Roman" w:eastAsia="Times New Roman" w:hAnsi="Times New Roman" w:cs="Times New Roman"/>
                <w:bCs/>
                <w:iCs/>
                <w:color w:val="000000"/>
                <w:sz w:val="28"/>
                <w:szCs w:val="28"/>
                <w:lang w:eastAsia="es-ES_tradnl"/>
              </w:rPr>
              <w:t>Emerson Ricardo Ramos Peñuela</w:t>
            </w:r>
          </w:p>
          <w:p w:rsidR="00B9678A" w:rsidRPr="00527F3E" w:rsidRDefault="00527F3E" w:rsidP="00B9678A">
            <w:pPr>
              <w:tabs>
                <w:tab w:val="left" w:pos="284"/>
              </w:tabs>
              <w:rPr>
                <w:rFonts w:ascii="Times New Roman" w:eastAsia="Times New Roman" w:hAnsi="Times New Roman" w:cs="Times New Roman"/>
                <w:bCs/>
                <w:iCs/>
                <w:color w:val="000000"/>
                <w:sz w:val="28"/>
                <w:szCs w:val="28"/>
                <w:lang w:eastAsia="es-ES_tradnl"/>
              </w:rPr>
            </w:pPr>
            <w:r w:rsidRPr="00527F3E">
              <w:rPr>
                <w:rFonts w:ascii="Times New Roman" w:eastAsia="Times New Roman" w:hAnsi="Times New Roman" w:cs="Times New Roman"/>
                <w:bCs/>
                <w:iCs/>
                <w:color w:val="000000"/>
                <w:sz w:val="28"/>
                <w:szCs w:val="28"/>
                <w:lang w:eastAsia="es-ES_tradnl"/>
              </w:rPr>
              <w:t>Juan Manuel Rojas Cardona</w:t>
            </w:r>
          </w:p>
          <w:p w:rsidR="00B9678A" w:rsidRPr="00527F3E" w:rsidRDefault="00527F3E" w:rsidP="00B9678A">
            <w:pPr>
              <w:tabs>
                <w:tab w:val="left" w:pos="284"/>
              </w:tabs>
              <w:rPr>
                <w:rFonts w:ascii="Times New Roman" w:eastAsia="Times New Roman" w:hAnsi="Times New Roman" w:cs="Times New Roman"/>
                <w:bCs/>
                <w:iCs/>
                <w:color w:val="000000"/>
                <w:sz w:val="28"/>
                <w:szCs w:val="28"/>
                <w:lang w:eastAsia="es-ES_tradnl"/>
              </w:rPr>
            </w:pPr>
            <w:r w:rsidRPr="00527F3E">
              <w:rPr>
                <w:rFonts w:ascii="Times New Roman" w:eastAsia="Times New Roman" w:hAnsi="Times New Roman" w:cs="Times New Roman"/>
                <w:bCs/>
                <w:iCs/>
                <w:color w:val="000000"/>
                <w:sz w:val="28"/>
                <w:szCs w:val="28"/>
                <w:lang w:eastAsia="es-ES_tradnl"/>
              </w:rPr>
              <w:t>Nicolás Buitrago Burbano</w:t>
            </w:r>
          </w:p>
          <w:p w:rsidR="00B9678A" w:rsidRPr="00527F3E" w:rsidRDefault="00527F3E" w:rsidP="00B9678A">
            <w:pPr>
              <w:tabs>
                <w:tab w:val="left" w:pos="284"/>
              </w:tabs>
              <w:rPr>
                <w:rFonts w:ascii="Times New Roman" w:eastAsia="Times New Roman" w:hAnsi="Times New Roman" w:cs="Times New Roman"/>
                <w:bCs/>
                <w:iCs/>
                <w:color w:val="000000"/>
                <w:sz w:val="28"/>
                <w:szCs w:val="28"/>
                <w:lang w:eastAsia="es-ES_tradnl"/>
              </w:rPr>
            </w:pPr>
            <w:r w:rsidRPr="00527F3E">
              <w:rPr>
                <w:rFonts w:ascii="Times New Roman" w:eastAsia="Times New Roman" w:hAnsi="Times New Roman" w:cs="Times New Roman"/>
                <w:bCs/>
                <w:iCs/>
                <w:color w:val="000000"/>
                <w:sz w:val="28"/>
                <w:szCs w:val="28"/>
                <w:lang w:eastAsia="es-ES_tradnl"/>
              </w:rPr>
              <w:t>Miguel Uribe Turbay</w:t>
            </w:r>
          </w:p>
          <w:p w:rsidR="00B9678A" w:rsidRPr="00527F3E" w:rsidRDefault="00527F3E" w:rsidP="00B9678A">
            <w:pPr>
              <w:tabs>
                <w:tab w:val="left" w:pos="284"/>
              </w:tabs>
              <w:rPr>
                <w:rFonts w:ascii="Times New Roman" w:eastAsia="Times New Roman" w:hAnsi="Times New Roman" w:cs="Times New Roman"/>
                <w:bCs/>
                <w:iCs/>
                <w:color w:val="000000"/>
                <w:sz w:val="28"/>
                <w:szCs w:val="28"/>
                <w:lang w:eastAsia="es-ES_tradnl"/>
              </w:rPr>
            </w:pPr>
            <w:r w:rsidRPr="00527F3E">
              <w:rPr>
                <w:rFonts w:ascii="Times New Roman" w:eastAsia="Times New Roman" w:hAnsi="Times New Roman" w:cs="Times New Roman"/>
                <w:bCs/>
                <w:iCs/>
                <w:color w:val="000000"/>
                <w:sz w:val="28"/>
                <w:szCs w:val="28"/>
                <w:lang w:eastAsia="es-ES_tradnl"/>
              </w:rPr>
              <w:t>Daniel Murgueitio Escobar (Concesionaria Este Es Mi Bus S.A.S)</w:t>
            </w:r>
          </w:p>
          <w:p w:rsidR="00B9678A" w:rsidRPr="00527F3E" w:rsidRDefault="00527F3E" w:rsidP="00B9678A">
            <w:pPr>
              <w:tabs>
                <w:tab w:val="left" w:pos="284"/>
              </w:tabs>
              <w:rPr>
                <w:rFonts w:ascii="Times New Roman" w:eastAsia="Times New Roman" w:hAnsi="Times New Roman" w:cs="Times New Roman"/>
                <w:bCs/>
                <w:iCs/>
                <w:color w:val="000000"/>
                <w:sz w:val="28"/>
                <w:szCs w:val="28"/>
                <w:lang w:eastAsia="es-ES_tradnl"/>
              </w:rPr>
            </w:pPr>
            <w:r w:rsidRPr="00527F3E">
              <w:rPr>
                <w:rFonts w:ascii="Times New Roman" w:eastAsia="Times New Roman" w:hAnsi="Times New Roman" w:cs="Times New Roman"/>
                <w:bCs/>
                <w:iCs/>
                <w:color w:val="000000"/>
                <w:sz w:val="28"/>
                <w:szCs w:val="28"/>
                <w:lang w:eastAsia="es-ES_tradnl"/>
              </w:rPr>
              <w:t>Natalia Morales Rodríguez</w:t>
            </w:r>
          </w:p>
          <w:p w:rsidR="00B9678A" w:rsidRPr="00527F3E" w:rsidRDefault="00527F3E" w:rsidP="00B9678A">
            <w:pPr>
              <w:tabs>
                <w:tab w:val="left" w:pos="284"/>
              </w:tabs>
              <w:rPr>
                <w:rFonts w:ascii="Times New Roman" w:eastAsia="Times New Roman" w:hAnsi="Times New Roman" w:cs="Times New Roman"/>
                <w:bCs/>
                <w:iCs/>
                <w:color w:val="000000"/>
                <w:sz w:val="28"/>
                <w:szCs w:val="28"/>
                <w:lang w:eastAsia="es-ES_tradnl"/>
              </w:rPr>
            </w:pPr>
            <w:r w:rsidRPr="00527F3E">
              <w:rPr>
                <w:rFonts w:ascii="Times New Roman" w:eastAsia="Times New Roman" w:hAnsi="Times New Roman" w:cs="Times New Roman"/>
                <w:bCs/>
                <w:iCs/>
                <w:color w:val="000000"/>
                <w:sz w:val="28"/>
                <w:szCs w:val="28"/>
                <w:lang w:eastAsia="es-ES_tradnl"/>
              </w:rPr>
              <w:t>Angie Nicole Zambrano</w:t>
            </w:r>
          </w:p>
          <w:p w:rsidR="00B9678A" w:rsidRPr="00527F3E" w:rsidRDefault="00527F3E" w:rsidP="00B9678A">
            <w:pPr>
              <w:tabs>
                <w:tab w:val="left" w:pos="284"/>
              </w:tabs>
              <w:rPr>
                <w:rFonts w:ascii="Times New Roman" w:eastAsia="Times New Roman" w:hAnsi="Times New Roman" w:cs="Times New Roman"/>
                <w:bCs/>
                <w:iCs/>
                <w:color w:val="000000"/>
                <w:sz w:val="28"/>
                <w:szCs w:val="28"/>
                <w:lang w:eastAsia="es-ES_tradnl"/>
              </w:rPr>
            </w:pPr>
            <w:r w:rsidRPr="00527F3E">
              <w:rPr>
                <w:rFonts w:ascii="Times New Roman" w:eastAsia="Times New Roman" w:hAnsi="Times New Roman" w:cs="Times New Roman"/>
                <w:bCs/>
                <w:iCs/>
                <w:color w:val="000000"/>
                <w:sz w:val="28"/>
                <w:szCs w:val="28"/>
                <w:lang w:eastAsia="es-ES_tradnl"/>
              </w:rPr>
              <w:t>Sandra Milena Troncoso Torres</w:t>
            </w:r>
          </w:p>
          <w:p w:rsidR="00B9678A" w:rsidRPr="00527F3E" w:rsidRDefault="00527F3E" w:rsidP="00B9678A">
            <w:pPr>
              <w:tabs>
                <w:tab w:val="left" w:pos="284"/>
              </w:tabs>
              <w:rPr>
                <w:rFonts w:ascii="Times New Roman" w:eastAsia="Times New Roman" w:hAnsi="Times New Roman" w:cs="Times New Roman"/>
                <w:bCs/>
                <w:iCs/>
                <w:color w:val="000000"/>
                <w:sz w:val="28"/>
                <w:szCs w:val="28"/>
                <w:lang w:eastAsia="es-ES_tradnl"/>
              </w:rPr>
            </w:pPr>
            <w:r w:rsidRPr="00527F3E">
              <w:rPr>
                <w:rFonts w:ascii="Times New Roman" w:eastAsia="Times New Roman" w:hAnsi="Times New Roman" w:cs="Times New Roman"/>
                <w:bCs/>
                <w:iCs/>
                <w:color w:val="000000"/>
                <w:sz w:val="28"/>
                <w:szCs w:val="28"/>
                <w:lang w:eastAsia="es-ES_tradnl"/>
              </w:rPr>
              <w:t>Cristian David Ariza Espinosa</w:t>
            </w:r>
          </w:p>
        </w:tc>
      </w:tr>
    </w:tbl>
    <w:p w:rsidR="00B9678A" w:rsidRPr="00527F3E" w:rsidRDefault="00527F3E" w:rsidP="00B9678A">
      <w:pPr>
        <w:spacing w:line="240" w:lineRule="auto"/>
        <w:contextualSpacing/>
        <w:jc w:val="both"/>
        <w:rPr>
          <w:rFonts w:ascii="Times New Roman" w:eastAsia="Times New Roman" w:hAnsi="Times New Roman" w:cs="Times New Roman"/>
          <w:bCs/>
          <w:color w:val="000000"/>
          <w:sz w:val="28"/>
          <w:szCs w:val="28"/>
          <w:lang w:val="es-ES"/>
        </w:rPr>
      </w:pP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eastAsia="es-ES_tradnl"/>
        </w:rPr>
      </w:pPr>
      <w:r w:rsidRPr="00527F3E">
        <w:rPr>
          <w:rFonts w:ascii="Times New Roman" w:eastAsia="Times New Roman" w:hAnsi="Times New Roman" w:cs="Times New Roman"/>
          <w:bCs/>
          <w:iCs/>
          <w:color w:val="000000"/>
          <w:sz w:val="28"/>
          <w:szCs w:val="28"/>
          <w:lang w:eastAsia="es-ES_tradnl"/>
        </w:rPr>
        <w:t xml:space="preserve">A continuación, se presenta una síntesis de los principales argumentos planteados en las intervenciones, cuyo texto completo puede consultarse en la página </w:t>
      </w:r>
      <w:r w:rsidRPr="00527F3E">
        <w:rPr>
          <w:rFonts w:ascii="Times New Roman" w:eastAsia="Times New Roman" w:hAnsi="Times New Roman" w:cs="Times New Roman"/>
          <w:bCs/>
          <w:i/>
          <w:iCs/>
          <w:color w:val="000000"/>
          <w:sz w:val="28"/>
          <w:szCs w:val="28"/>
          <w:lang w:eastAsia="es-ES_tradnl"/>
        </w:rPr>
        <w:t xml:space="preserve">web </w:t>
      </w:r>
      <w:r w:rsidRPr="00527F3E">
        <w:rPr>
          <w:rFonts w:ascii="Times New Roman" w:eastAsia="Times New Roman" w:hAnsi="Times New Roman" w:cs="Times New Roman"/>
          <w:bCs/>
          <w:iCs/>
          <w:color w:val="000000"/>
          <w:sz w:val="28"/>
          <w:szCs w:val="28"/>
          <w:lang w:eastAsia="es-ES_tradnl"/>
        </w:rPr>
        <w:t>de la Corte Constitucional</w:t>
      </w:r>
      <w:r w:rsidRPr="00527F3E">
        <w:rPr>
          <w:rFonts w:ascii="Times New Roman" w:eastAsia="Times New Roman" w:hAnsi="Times New Roman" w:cs="Times New Roman"/>
          <w:bCs/>
          <w:iCs/>
          <w:color w:val="000000"/>
          <w:sz w:val="28"/>
          <w:szCs w:val="28"/>
          <w:vertAlign w:val="superscript"/>
          <w:lang w:eastAsia="es-ES_tradnl"/>
        </w:rPr>
        <w:footnoteReference w:id="47"/>
      </w:r>
      <w:r w:rsidRPr="00527F3E">
        <w:rPr>
          <w:rFonts w:ascii="Times New Roman" w:eastAsia="Times New Roman" w:hAnsi="Times New Roman" w:cs="Times New Roman"/>
          <w:bCs/>
          <w:iCs/>
          <w:color w:val="000000"/>
          <w:sz w:val="28"/>
          <w:szCs w:val="28"/>
          <w:lang w:eastAsia="es-ES_tradnl"/>
        </w:rPr>
        <w:t>, a continuación se presenta un resumen de sus principales argumentos</w:t>
      </w:r>
      <w:r w:rsidRPr="00527F3E">
        <w:rPr>
          <w:rFonts w:ascii="Times New Roman" w:eastAsia="Times New Roman" w:hAnsi="Times New Roman" w:cs="Times New Roman"/>
          <w:bCs/>
          <w:iCs/>
          <w:color w:val="000000"/>
          <w:sz w:val="28"/>
          <w:szCs w:val="28"/>
          <w:lang w:eastAsia="es-ES_tradnl"/>
        </w:rPr>
        <w:t>.</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rPr>
      </w:pPr>
    </w:p>
    <w:p w:rsidR="00B9678A" w:rsidRPr="00527F3E" w:rsidRDefault="00527F3E" w:rsidP="00B9678A">
      <w:pPr>
        <w:tabs>
          <w:tab w:val="left" w:pos="426"/>
        </w:tabs>
        <w:autoSpaceDE w:val="0"/>
        <w:autoSpaceDN w:val="0"/>
        <w:spacing w:after="0" w:line="240" w:lineRule="auto"/>
        <w:ind w:left="624" w:right="49"/>
        <w:jc w:val="both"/>
        <w:textAlignment w:val="baseline"/>
        <w:rPr>
          <w:rFonts w:ascii="Times New Roman" w:eastAsia="Times New Roman" w:hAnsi="Times New Roman" w:cs="Times New Roman"/>
          <w:bCs/>
          <w:i/>
          <w:color w:val="000000"/>
          <w:sz w:val="28"/>
          <w:szCs w:val="28"/>
          <w:lang w:eastAsia="es-ES_tradnl"/>
        </w:rPr>
      </w:pPr>
      <w:r w:rsidRPr="00527F3E">
        <w:rPr>
          <w:rFonts w:ascii="Times New Roman" w:eastAsia="Times New Roman" w:hAnsi="Times New Roman" w:cs="Times New Roman"/>
          <w:bCs/>
          <w:i/>
          <w:color w:val="000000"/>
          <w:sz w:val="28"/>
          <w:szCs w:val="28"/>
          <w:lang w:eastAsia="es-ES_tradnl"/>
        </w:rPr>
        <w:t>Intervención que solicita la inhibición y, en subsidio, la exequibilidad</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rPr>
      </w:pPr>
    </w:p>
    <w:p w:rsidR="00B9678A" w:rsidRPr="00527F3E" w:rsidRDefault="00527F3E" w:rsidP="00750E7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bCs/>
          <w:color w:val="000000"/>
          <w:sz w:val="28"/>
          <w:szCs w:val="28"/>
        </w:rPr>
      </w:pPr>
      <w:r w:rsidRPr="00527F3E">
        <w:rPr>
          <w:rFonts w:ascii="Times New Roman" w:eastAsia="Times New Roman" w:hAnsi="Times New Roman" w:cs="Times New Roman"/>
          <w:bCs/>
          <w:iCs/>
          <w:color w:val="000000"/>
          <w:sz w:val="28"/>
          <w:szCs w:val="28"/>
        </w:rPr>
        <w:t>El</w:t>
      </w:r>
      <w:r w:rsidRPr="00527F3E">
        <w:rPr>
          <w:rFonts w:ascii="Times New Roman" w:eastAsia="Times New Roman" w:hAnsi="Times New Roman" w:cs="Times New Roman"/>
          <w:b/>
          <w:bCs/>
          <w:iCs/>
          <w:color w:val="000000"/>
          <w:sz w:val="28"/>
          <w:szCs w:val="28"/>
        </w:rPr>
        <w:t xml:space="preserve"> Departamento Administrativo de la Presidencia de la República - DAPRE</w:t>
      </w:r>
      <w:r w:rsidRPr="00527F3E">
        <w:rPr>
          <w:rFonts w:ascii="Times New Roman" w:eastAsia="Times New Roman" w:hAnsi="Times New Roman" w:cs="Times New Roman"/>
          <w:bCs/>
          <w:iCs/>
          <w:color w:val="000000"/>
          <w:sz w:val="28"/>
          <w:szCs w:val="28"/>
          <w:vertAlign w:val="superscript"/>
        </w:rPr>
        <w:footnoteReference w:id="48"/>
      </w:r>
      <w:r w:rsidRPr="00527F3E">
        <w:rPr>
          <w:rFonts w:ascii="Times New Roman" w:eastAsia="Times New Roman" w:hAnsi="Times New Roman" w:cs="Times New Roman"/>
          <w:bCs/>
          <w:iCs/>
          <w:color w:val="000000"/>
          <w:sz w:val="28"/>
          <w:szCs w:val="28"/>
        </w:rPr>
        <w:t xml:space="preserve"> solicita que la Corte se declare inhibida para emitir pronunciamiento de fondo por ineptitud sustantiva de la demanda y, subsidiariamente, que declare la exequibilidad de la norma demandada.</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eastAsia="es-ES_tradnl"/>
        </w:rPr>
      </w:pPr>
    </w:p>
    <w:p w:rsidR="00B9678A" w:rsidRPr="00527F3E" w:rsidRDefault="00527F3E" w:rsidP="00656A25">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rPr>
      </w:pPr>
      <w:r w:rsidRPr="00527F3E">
        <w:rPr>
          <w:rFonts w:ascii="Times New Roman" w:eastAsia="Times New Roman" w:hAnsi="Times New Roman" w:cs="Times New Roman"/>
          <w:color w:val="000000"/>
          <w:sz w:val="28"/>
          <w:szCs w:val="28"/>
          <w:lang w:val="es-ES"/>
        </w:rPr>
        <w:t xml:space="preserve">En respaldo de la primera pretensión, la apoderada del DAPRE argumenta que la demanda no es </w:t>
      </w:r>
      <w:r w:rsidRPr="00527F3E">
        <w:rPr>
          <w:rFonts w:ascii="Times New Roman" w:eastAsia="Times New Roman" w:hAnsi="Times New Roman" w:cs="Times New Roman"/>
          <w:i/>
          <w:color w:val="000000"/>
          <w:sz w:val="28"/>
          <w:szCs w:val="28"/>
          <w:lang w:val="es-ES"/>
        </w:rPr>
        <w:t>clara</w:t>
      </w:r>
      <w:r w:rsidRPr="00527F3E">
        <w:rPr>
          <w:rFonts w:ascii="Times New Roman" w:eastAsia="Times New Roman" w:hAnsi="Times New Roman" w:cs="Times New Roman"/>
          <w:color w:val="000000"/>
          <w:sz w:val="28"/>
          <w:szCs w:val="28"/>
          <w:lang w:val="es-ES"/>
        </w:rPr>
        <w:t>, toda vez que el accionante se limita a citar las normas que estima vulneradas y jurisprudencia relacionada con el principio de unidad de materia, y a analizar el significado literal del título de la Ley 2299 de 2023, sin exponer razones de fondo sobre la</w:t>
      </w:r>
      <w:r w:rsidRPr="00527F3E">
        <w:rPr>
          <w:rFonts w:ascii="Times New Roman" w:eastAsia="Times New Roman" w:hAnsi="Times New Roman" w:cs="Times New Roman"/>
          <w:color w:val="000000"/>
          <w:sz w:val="28"/>
          <w:szCs w:val="28"/>
          <w:lang w:val="es-ES"/>
        </w:rPr>
        <w:t xml:space="preserve"> inconstitucionalidad de la norma. </w:t>
      </w:r>
      <w:r w:rsidRPr="00527F3E">
        <w:rPr>
          <w:rFonts w:ascii="Times New Roman" w:eastAsia="Times New Roman" w:hAnsi="Times New Roman" w:cs="Times New Roman"/>
          <w:color w:val="000000"/>
          <w:sz w:val="28"/>
          <w:szCs w:val="28"/>
        </w:rPr>
        <w:t xml:space="preserve">Tampoco cumple con el requisito de </w:t>
      </w:r>
      <w:r w:rsidRPr="00527F3E">
        <w:rPr>
          <w:rFonts w:ascii="Times New Roman" w:eastAsia="Times New Roman" w:hAnsi="Times New Roman" w:cs="Times New Roman"/>
          <w:i/>
          <w:color w:val="000000"/>
          <w:sz w:val="28"/>
          <w:szCs w:val="28"/>
        </w:rPr>
        <w:t>especificidad</w:t>
      </w:r>
      <w:r w:rsidRPr="00527F3E">
        <w:rPr>
          <w:rFonts w:ascii="Times New Roman" w:eastAsia="Times New Roman" w:hAnsi="Times New Roman" w:cs="Times New Roman"/>
          <w:color w:val="000000"/>
          <w:sz w:val="28"/>
          <w:szCs w:val="28"/>
        </w:rPr>
        <w:t>, pues no concreta de qué manera la norma demandada es inconstitucional, planteando “un somero argumento literario para reprochar el texto de la norma acusada</w:t>
      </w:r>
      <w:r w:rsidRPr="00527F3E">
        <w:rPr>
          <w:rFonts w:ascii="Times New Roman" w:eastAsia="Times New Roman" w:hAnsi="Times New Roman" w:cs="Times New Roman"/>
          <w:color w:val="000000"/>
          <w:sz w:val="28"/>
          <w:szCs w:val="28"/>
          <w:lang w:val="es-ES"/>
        </w:rPr>
        <w:t>”</w:t>
      </w:r>
      <w:r w:rsidRPr="00527F3E">
        <w:rPr>
          <w:rFonts w:ascii="Times New Roman" w:eastAsia="Times New Roman" w:hAnsi="Times New Roman" w:cs="Times New Roman"/>
          <w:color w:val="000000"/>
          <w:sz w:val="28"/>
          <w:szCs w:val="28"/>
        </w:rPr>
        <w:t>. Asimismo, no</w:t>
      </w:r>
      <w:r w:rsidRPr="00527F3E">
        <w:rPr>
          <w:rFonts w:ascii="Times New Roman" w:eastAsia="Times New Roman" w:hAnsi="Times New Roman" w:cs="Times New Roman"/>
          <w:color w:val="000000"/>
          <w:sz w:val="28"/>
          <w:szCs w:val="28"/>
        </w:rPr>
        <w:t xml:space="preserve"> supera el requisito de </w:t>
      </w:r>
      <w:r w:rsidRPr="00527F3E">
        <w:rPr>
          <w:rFonts w:ascii="Times New Roman" w:eastAsia="Times New Roman" w:hAnsi="Times New Roman" w:cs="Times New Roman"/>
          <w:i/>
          <w:color w:val="000000"/>
          <w:sz w:val="28"/>
          <w:szCs w:val="28"/>
        </w:rPr>
        <w:t>certeza</w:t>
      </w:r>
      <w:r w:rsidRPr="00527F3E">
        <w:rPr>
          <w:rFonts w:ascii="Times New Roman" w:eastAsia="Times New Roman" w:hAnsi="Times New Roman" w:cs="Times New Roman"/>
          <w:color w:val="000000"/>
          <w:sz w:val="28"/>
          <w:szCs w:val="28"/>
        </w:rPr>
        <w:t xml:space="preserve">, pues sus argumentos son producto de una valoración subjetiva, desconociendo la relación directa y verificable entre las disposiciones generales de la Ley 2276 de 2022 y lo dispuesto en la norma demandada. </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rPr>
      </w:pPr>
    </w:p>
    <w:p w:rsidR="00B9678A" w:rsidRPr="00527F3E" w:rsidRDefault="00527F3E" w:rsidP="00656A25">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rPr>
        <w:t>Entretanto, para</w:t>
      </w:r>
      <w:r w:rsidRPr="00527F3E">
        <w:rPr>
          <w:rFonts w:ascii="Times New Roman" w:eastAsia="Times New Roman" w:hAnsi="Times New Roman" w:cs="Times New Roman"/>
          <w:color w:val="000000"/>
          <w:sz w:val="28"/>
          <w:szCs w:val="28"/>
        </w:rPr>
        <w:t xml:space="preserve"> fundamentar la solicitud de exequibilidad, procede a establecer el contexto normativo que dio lugar a la expedición de la Ley 2299 de 2023, indicando que con ella se adiciona y modifica lo dispuesto en la Ley 2276 de 2022, por la cual se decretó el presup</w:t>
      </w:r>
      <w:r w:rsidRPr="00527F3E">
        <w:rPr>
          <w:rFonts w:ascii="Times New Roman" w:eastAsia="Times New Roman" w:hAnsi="Times New Roman" w:cs="Times New Roman"/>
          <w:color w:val="000000"/>
          <w:sz w:val="28"/>
          <w:szCs w:val="28"/>
        </w:rPr>
        <w:t>uesto de rentas y recursos de capital y ley de apropiaciones para la vigencia fiscal del 1 de enero al 31 de diciembre de 2023. Explica que el artículo 99 de la Ley 2276 de 2022 estableció que la Nación, en conjunto con las entidades territoriales, estable</w:t>
      </w:r>
      <w:r w:rsidRPr="00527F3E">
        <w:rPr>
          <w:rFonts w:ascii="Times New Roman" w:eastAsia="Times New Roman" w:hAnsi="Times New Roman" w:cs="Times New Roman"/>
          <w:color w:val="000000"/>
          <w:sz w:val="28"/>
          <w:szCs w:val="28"/>
        </w:rPr>
        <w:t xml:space="preserve">cerían esquemas de cofinanciación para atender el déficit de los SITM y SETP. </w:t>
      </w:r>
    </w:p>
    <w:p w:rsidR="00B9678A" w:rsidRPr="00527F3E" w:rsidRDefault="00527F3E" w:rsidP="00656A25">
      <w:pPr>
        <w:spacing w:line="240" w:lineRule="auto"/>
        <w:contextualSpacing/>
        <w:rPr>
          <w:rFonts w:ascii="Times New Roman" w:eastAsia="Times New Roman" w:hAnsi="Times New Roman" w:cs="Times New Roman"/>
          <w:color w:val="000000"/>
          <w:sz w:val="28"/>
          <w:szCs w:val="28"/>
        </w:rPr>
      </w:pPr>
    </w:p>
    <w:p w:rsidR="00B9678A" w:rsidRPr="00527F3E" w:rsidRDefault="00527F3E" w:rsidP="00656A25">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rPr>
        <w:t xml:space="preserve">Sobre esta base, afirma que existe </w:t>
      </w:r>
      <w:r w:rsidRPr="00527F3E">
        <w:rPr>
          <w:rFonts w:ascii="Times New Roman" w:eastAsia="Times New Roman" w:hAnsi="Times New Roman" w:cs="Times New Roman"/>
          <w:i/>
          <w:color w:val="000000"/>
          <w:sz w:val="28"/>
          <w:szCs w:val="28"/>
        </w:rPr>
        <w:t>conexidad temática</w:t>
      </w:r>
      <w:r w:rsidRPr="00527F3E">
        <w:rPr>
          <w:rFonts w:ascii="Times New Roman" w:eastAsia="Times New Roman" w:hAnsi="Times New Roman" w:cs="Times New Roman"/>
          <w:color w:val="000000"/>
          <w:sz w:val="28"/>
          <w:szCs w:val="28"/>
        </w:rPr>
        <w:t xml:space="preserve">, pues la </w:t>
      </w:r>
      <w:r w:rsidRPr="00527F3E">
        <w:rPr>
          <w:rFonts w:ascii="Times New Roman" w:eastAsia="Times New Roman" w:hAnsi="Times New Roman" w:cs="Times New Roman"/>
          <w:color w:val="000000"/>
          <w:sz w:val="28"/>
          <w:szCs w:val="28"/>
          <w:lang w:val="es-ES"/>
        </w:rPr>
        <w:t xml:space="preserve">norma demandada guarda una relación estrecha y verificable con el núcleo temático de la Ley, que busca modificar </w:t>
      </w:r>
      <w:r w:rsidRPr="00527F3E">
        <w:rPr>
          <w:rFonts w:ascii="Times New Roman" w:eastAsia="Times New Roman" w:hAnsi="Times New Roman" w:cs="Times New Roman"/>
          <w:color w:val="000000"/>
          <w:sz w:val="28"/>
          <w:szCs w:val="28"/>
          <w:lang w:val="es-ES"/>
        </w:rPr>
        <w:t xml:space="preserve">el presupuesto de la Nación, en el que se destinó un rubro para apoyar a SITM y SEPT durante la vigencia fiscal. Sobre la </w:t>
      </w:r>
      <w:r w:rsidRPr="00527F3E">
        <w:rPr>
          <w:rFonts w:ascii="Times New Roman" w:eastAsia="Times New Roman" w:hAnsi="Times New Roman" w:cs="Times New Roman"/>
          <w:i/>
          <w:color w:val="000000"/>
          <w:sz w:val="28"/>
          <w:szCs w:val="28"/>
          <w:lang w:val="es-ES"/>
        </w:rPr>
        <w:t>conexidad teleológica</w:t>
      </w:r>
      <w:r w:rsidRPr="00527F3E">
        <w:rPr>
          <w:rFonts w:ascii="Times New Roman" w:eastAsia="Times New Roman" w:hAnsi="Times New Roman" w:cs="Times New Roman"/>
          <w:color w:val="000000"/>
          <w:sz w:val="28"/>
          <w:szCs w:val="28"/>
          <w:lang w:val="es-ES"/>
        </w:rPr>
        <w:t>, la norma demandada es un mecanismo instrumental para cumplir con la finalidad de la Ley 2299 de 2023, que busca</w:t>
      </w:r>
      <w:r w:rsidRPr="00527F3E">
        <w:rPr>
          <w:rFonts w:ascii="Times New Roman" w:eastAsia="Times New Roman" w:hAnsi="Times New Roman" w:cs="Times New Roman"/>
          <w:color w:val="000000"/>
          <w:sz w:val="28"/>
          <w:szCs w:val="28"/>
          <w:lang w:val="es-ES"/>
        </w:rPr>
        <w:t xml:space="preserve"> adicionar y/o modificar el presupuesto general de la Nación, pues la norma debe contemplar el impacto de la inyección de presupuesto para apoyar los SITM y los SETP, lo que se relaciona directamente con la prestación del servicio público de transporte. So</w:t>
      </w:r>
      <w:r w:rsidRPr="00527F3E">
        <w:rPr>
          <w:rFonts w:ascii="Times New Roman" w:eastAsia="Times New Roman" w:hAnsi="Times New Roman" w:cs="Times New Roman"/>
          <w:color w:val="000000"/>
          <w:sz w:val="28"/>
          <w:szCs w:val="28"/>
          <w:lang w:val="es-ES"/>
        </w:rPr>
        <w:t xml:space="preserve">stiene que se verifica la </w:t>
      </w:r>
      <w:r w:rsidRPr="00527F3E">
        <w:rPr>
          <w:rFonts w:ascii="Times New Roman" w:eastAsia="Times New Roman" w:hAnsi="Times New Roman" w:cs="Times New Roman"/>
          <w:i/>
          <w:color w:val="000000"/>
          <w:sz w:val="28"/>
          <w:szCs w:val="28"/>
          <w:lang w:val="es-ES"/>
        </w:rPr>
        <w:t>conexidad causal</w:t>
      </w:r>
      <w:r w:rsidRPr="00527F3E">
        <w:rPr>
          <w:rFonts w:ascii="Times New Roman" w:eastAsia="Times New Roman" w:hAnsi="Times New Roman" w:cs="Times New Roman"/>
          <w:color w:val="000000"/>
          <w:sz w:val="28"/>
          <w:szCs w:val="28"/>
          <w:lang w:val="es-ES"/>
        </w:rPr>
        <w:t xml:space="preserve">, porque existe identidad entre la norma impugnada y los motivos que dieron lugar a la expedición de la misma. Finalmente, explica que para el análisis de la </w:t>
      </w:r>
      <w:r w:rsidRPr="00527F3E">
        <w:rPr>
          <w:rFonts w:ascii="Times New Roman" w:eastAsia="Times New Roman" w:hAnsi="Times New Roman" w:cs="Times New Roman"/>
          <w:i/>
          <w:color w:val="000000"/>
          <w:sz w:val="28"/>
          <w:szCs w:val="28"/>
          <w:lang w:val="es-ES"/>
        </w:rPr>
        <w:t>conexidad sistemática</w:t>
      </w:r>
      <w:r w:rsidRPr="00527F3E">
        <w:rPr>
          <w:rFonts w:ascii="Times New Roman" w:eastAsia="Times New Roman" w:hAnsi="Times New Roman" w:cs="Times New Roman"/>
          <w:color w:val="000000"/>
          <w:sz w:val="28"/>
          <w:szCs w:val="28"/>
          <w:lang w:val="es-ES"/>
        </w:rPr>
        <w:t xml:space="preserve"> debe entenderse la relación entre </w:t>
      </w:r>
      <w:r w:rsidRPr="00527F3E">
        <w:rPr>
          <w:rFonts w:ascii="Times New Roman" w:eastAsia="Times New Roman" w:hAnsi="Times New Roman" w:cs="Times New Roman"/>
          <w:color w:val="000000"/>
          <w:sz w:val="28"/>
          <w:szCs w:val="28"/>
          <w:lang w:val="es-ES"/>
        </w:rPr>
        <w:t>el artículo 99 de la Ley 2276 de 2022 y su modificación por el artículo 4º de la Ley 2299 de 2023, a la que pertenece el contenido acusado. Señala que el objeto transversal de esta regulación es “la financiación SITP y SETP en déficit con cargo al PGN”, ra</w:t>
      </w:r>
      <w:r w:rsidRPr="00527F3E">
        <w:rPr>
          <w:rFonts w:ascii="Times New Roman" w:eastAsia="Times New Roman" w:hAnsi="Times New Roman" w:cs="Times New Roman"/>
          <w:color w:val="000000"/>
          <w:sz w:val="28"/>
          <w:szCs w:val="28"/>
          <w:lang w:val="es-ES"/>
        </w:rPr>
        <w:t>zón por la cual “existe relación, conexidad y coherencia entre la norma acusada y el cuerpo normativo del que procede”, por cuanto el objeto del artículo 4 es la financiación del déficit de SITM y SETP y el parágrafo en cuestión establece los mecanismos pa</w:t>
      </w:r>
      <w:r w:rsidRPr="00527F3E">
        <w:rPr>
          <w:rFonts w:ascii="Times New Roman" w:eastAsia="Times New Roman" w:hAnsi="Times New Roman" w:cs="Times New Roman"/>
          <w:color w:val="000000"/>
          <w:sz w:val="28"/>
          <w:szCs w:val="28"/>
          <w:lang w:val="es-ES"/>
        </w:rPr>
        <w:t>ra determinar esos déficits.</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bCs/>
          <w:iCs/>
          <w:color w:val="000000"/>
          <w:sz w:val="28"/>
          <w:szCs w:val="28"/>
        </w:rPr>
      </w:pPr>
      <w:r w:rsidRPr="00527F3E">
        <w:rPr>
          <w:rFonts w:ascii="Times New Roman" w:eastAsia="Times New Roman" w:hAnsi="Times New Roman" w:cs="Times New Roman"/>
          <w:color w:val="000000"/>
          <w:sz w:val="28"/>
          <w:szCs w:val="28"/>
          <w:lang w:val="es-ES"/>
        </w:rPr>
        <w:t xml:space="preserve">Para concluir, el DAPRE considera que el parágrafo demandado tiene un precedente legislativo que da cuenta de la necesidad y el origen de su expedición; que el contenido de la norma representa un instrumento para la puesta en marcha de los objetivos de la </w:t>
      </w:r>
      <w:r w:rsidRPr="00527F3E">
        <w:rPr>
          <w:rFonts w:ascii="Times New Roman" w:eastAsia="Times New Roman" w:hAnsi="Times New Roman" w:cs="Times New Roman"/>
          <w:color w:val="000000"/>
          <w:sz w:val="28"/>
          <w:szCs w:val="28"/>
          <w:lang w:val="es-ES"/>
        </w:rPr>
        <w:t>Ley del Presupuesto General de la Nación, y que los rubros destinados a solventar el déficit de los SITM y SETP son insignia del plan nacional de desarrollo. Por tanto, la prestación del servicio público de transporte y los agentes que giran en torno al mi</w:t>
      </w:r>
      <w:r w:rsidRPr="00527F3E">
        <w:rPr>
          <w:rFonts w:ascii="Times New Roman" w:eastAsia="Times New Roman" w:hAnsi="Times New Roman" w:cs="Times New Roman"/>
          <w:color w:val="000000"/>
          <w:sz w:val="28"/>
          <w:szCs w:val="28"/>
          <w:lang w:val="es-ES"/>
        </w:rPr>
        <w:t xml:space="preserve">smo guardan una estrecha relación con todo el contenido de la Ley 2299 de 2023. </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bCs/>
          <w:iCs/>
          <w:color w:val="000000"/>
          <w:sz w:val="28"/>
          <w:szCs w:val="28"/>
        </w:rPr>
      </w:pPr>
    </w:p>
    <w:p w:rsidR="00B9678A" w:rsidRPr="00527F3E" w:rsidRDefault="00527F3E" w:rsidP="00656A25">
      <w:pPr>
        <w:tabs>
          <w:tab w:val="left" w:pos="284"/>
        </w:tabs>
        <w:autoSpaceDE w:val="0"/>
        <w:autoSpaceDN w:val="0"/>
        <w:adjustRightInd w:val="0"/>
        <w:spacing w:after="0" w:line="240" w:lineRule="auto"/>
        <w:jc w:val="both"/>
        <w:outlineLvl w:val="1"/>
        <w:rPr>
          <w:rFonts w:ascii="Times New Roman" w:eastAsia="Times New Roman" w:hAnsi="Times New Roman" w:cs="Times New Roman"/>
          <w:i/>
          <w:color w:val="000000"/>
          <w:sz w:val="28"/>
          <w:szCs w:val="28"/>
        </w:rPr>
      </w:pPr>
      <w:r w:rsidRPr="00527F3E">
        <w:rPr>
          <w:rFonts w:ascii="Times New Roman" w:eastAsia="Times New Roman" w:hAnsi="Times New Roman" w:cs="Times New Roman"/>
          <w:b/>
          <w:bCs/>
          <w:color w:val="000000"/>
          <w:sz w:val="28"/>
          <w:szCs w:val="28"/>
        </w:rPr>
        <w:t xml:space="preserve">          </w:t>
      </w:r>
      <w:r w:rsidRPr="00527F3E">
        <w:rPr>
          <w:rFonts w:ascii="Times New Roman" w:eastAsia="Times New Roman" w:hAnsi="Times New Roman" w:cs="Times New Roman"/>
          <w:i/>
          <w:color w:val="000000"/>
          <w:sz w:val="28"/>
          <w:szCs w:val="28"/>
        </w:rPr>
        <w:t xml:space="preserve">Intervenciones que solicitan la exequibilidad </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rPr>
      </w:pPr>
    </w:p>
    <w:p w:rsidR="00B9678A" w:rsidRPr="00527F3E" w:rsidRDefault="00527F3E" w:rsidP="00656A25">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b/>
          <w:color w:val="000000"/>
          <w:sz w:val="28"/>
          <w:szCs w:val="28"/>
        </w:rPr>
        <w:t>Ministerio de Transporte</w:t>
      </w:r>
      <w:r w:rsidRPr="00527F3E">
        <w:rPr>
          <w:rFonts w:ascii="Times New Roman" w:eastAsia="Times New Roman" w:hAnsi="Times New Roman" w:cs="Times New Roman"/>
          <w:color w:val="000000"/>
          <w:sz w:val="28"/>
          <w:szCs w:val="28"/>
          <w:vertAlign w:val="superscript"/>
        </w:rPr>
        <w:footnoteReference w:id="49"/>
      </w:r>
      <w:r w:rsidRPr="00527F3E">
        <w:rPr>
          <w:rFonts w:ascii="Times New Roman" w:eastAsia="Times New Roman" w:hAnsi="Times New Roman" w:cs="Times New Roman"/>
          <w:color w:val="000000"/>
          <w:sz w:val="28"/>
          <w:szCs w:val="28"/>
        </w:rPr>
        <w:t>.</w:t>
      </w:r>
      <w:r w:rsidRPr="00527F3E">
        <w:rPr>
          <w:rFonts w:ascii="Times New Roman" w:eastAsia="Times New Roman" w:hAnsi="Times New Roman" w:cs="Times New Roman"/>
          <w:b/>
          <w:color w:val="000000"/>
          <w:sz w:val="28"/>
          <w:szCs w:val="28"/>
        </w:rPr>
        <w:t xml:space="preserve"> </w:t>
      </w:r>
      <w:r w:rsidRPr="00527F3E">
        <w:rPr>
          <w:rFonts w:ascii="Times New Roman" w:eastAsia="Times New Roman" w:hAnsi="Times New Roman" w:cs="Times New Roman"/>
          <w:color w:val="000000"/>
          <w:sz w:val="28"/>
          <w:szCs w:val="28"/>
        </w:rPr>
        <w:t xml:space="preserve">El ministerio solicitó a la Corte declarar la exequibilidad del parágrafo demandado por cuanto no desconoce el principio de unidad de materia. Esta entidad </w:t>
      </w:r>
      <w:r w:rsidRPr="00527F3E">
        <w:rPr>
          <w:rFonts w:ascii="Times New Roman" w:eastAsia="Times New Roman" w:hAnsi="Times New Roman" w:cs="Times New Roman"/>
          <w:color w:val="000000"/>
          <w:sz w:val="28"/>
          <w:szCs w:val="28"/>
          <w:lang w:val="es-ES"/>
        </w:rPr>
        <w:t xml:space="preserve">llama a tener en cuenta que el artículo 99 de la Ley 2276 de 2022, modificado por el artículo 4º de </w:t>
      </w:r>
      <w:r w:rsidRPr="00527F3E">
        <w:rPr>
          <w:rFonts w:ascii="Times New Roman" w:eastAsia="Times New Roman" w:hAnsi="Times New Roman" w:cs="Times New Roman"/>
          <w:color w:val="000000"/>
          <w:sz w:val="28"/>
          <w:szCs w:val="28"/>
          <w:lang w:val="es-ES"/>
        </w:rPr>
        <w:t xml:space="preserve">la Ley 2299 de 2023, establece que la Nación destinará recursos del presupuesto nacional para la financiación de los déficits operacionales de los SITM y los SETP. En ese orden de ideas, el parágrafo 2º acusado “tiene como objetivo hacer efectivo el apoyo </w:t>
      </w:r>
      <w:r w:rsidRPr="00527F3E">
        <w:rPr>
          <w:rFonts w:ascii="Times New Roman" w:eastAsia="Times New Roman" w:hAnsi="Times New Roman" w:cs="Times New Roman"/>
          <w:color w:val="000000"/>
          <w:sz w:val="28"/>
          <w:szCs w:val="28"/>
          <w:lang w:val="es-ES"/>
        </w:rPr>
        <w:t xml:space="preserve">planteado por el parágrafo 1 del artículo 4 de la Ley 2299 de 2023 a los sistemas de transporte público del país”. </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Añade la entidad que la norma demandada guarda relación directa con el Presupuesto General de la Nación, al permitir que sectores que neces</w:t>
      </w:r>
      <w:r w:rsidRPr="00527F3E">
        <w:rPr>
          <w:rFonts w:ascii="Times New Roman" w:eastAsia="Times New Roman" w:hAnsi="Times New Roman" w:cs="Times New Roman"/>
          <w:color w:val="000000"/>
          <w:sz w:val="28"/>
          <w:szCs w:val="28"/>
          <w:lang w:val="es-ES"/>
        </w:rPr>
        <w:t>itan mayor ingreso y apoyo económico puedan cubrir sus gastos mediante estas adiciones. Señala que el contenido normativo acusado no crea situaciones jurídicas ajenas y diferentes al objeto de la Ley 2299 de 2023, no establece presunciones legales ni plant</w:t>
      </w:r>
      <w:r w:rsidRPr="00527F3E">
        <w:rPr>
          <w:rFonts w:ascii="Times New Roman" w:eastAsia="Times New Roman" w:hAnsi="Times New Roman" w:cs="Times New Roman"/>
          <w:color w:val="000000"/>
          <w:sz w:val="28"/>
          <w:szCs w:val="28"/>
          <w:lang w:val="es-ES"/>
        </w:rPr>
        <w:t>ea modificaciones permanentes a la Ley 80 de 1993, por cuanto está dirigida a apoyar la superación del déficit operacional de los SITM y los SETP, garantizando la cofinanciación de los sistemas de transporte público del país, permitiendo su operación con e</w:t>
      </w:r>
      <w:r w:rsidRPr="00527F3E">
        <w:rPr>
          <w:rFonts w:ascii="Times New Roman" w:eastAsia="Times New Roman" w:hAnsi="Times New Roman" w:cs="Times New Roman"/>
          <w:color w:val="000000"/>
          <w:sz w:val="28"/>
          <w:szCs w:val="28"/>
          <w:lang w:val="es-ES"/>
        </w:rPr>
        <w:t xml:space="preserve">l fin de prestar un servicio esencial eficiente, seguro y efectivo. </w:t>
      </w:r>
    </w:p>
    <w:p w:rsidR="00B9678A" w:rsidRPr="00527F3E" w:rsidRDefault="00527F3E" w:rsidP="00B9678A">
      <w:pPr>
        <w:spacing w:line="240" w:lineRule="auto"/>
        <w:ind w:left="720"/>
        <w:contextualSpacing/>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En alcance enviado el 28 de noviembre de 2023, el ministerio considera que, además de la estimación de ingresos y autorización de gastos, las leyes de presupuesto pueden incluir disposic</w:t>
      </w:r>
      <w:r w:rsidRPr="00527F3E">
        <w:rPr>
          <w:rFonts w:ascii="Times New Roman" w:eastAsia="Times New Roman" w:hAnsi="Times New Roman" w:cs="Times New Roman"/>
          <w:color w:val="000000"/>
          <w:sz w:val="28"/>
          <w:szCs w:val="28"/>
          <w:lang w:val="es-ES"/>
        </w:rPr>
        <w:t>iones instrumentales necesarias para la ejecución del presupuesto aprobado. Señala que el artículo 99 de la Ley 2276 de 2022 dispuso que la Nación, en conjunto con las entidades territoriales, establecerán sistemas de cofinanciación para atender el déficit</w:t>
      </w:r>
      <w:r w:rsidRPr="00527F3E">
        <w:rPr>
          <w:rFonts w:ascii="Times New Roman" w:eastAsia="Times New Roman" w:hAnsi="Times New Roman" w:cs="Times New Roman"/>
          <w:color w:val="000000"/>
          <w:sz w:val="28"/>
          <w:szCs w:val="28"/>
          <w:lang w:val="es-ES"/>
        </w:rPr>
        <w:t xml:space="preserve"> de los sistemas integrados de transporte masivo y sistemas estratégicos de transporte. El parágrafo demandado adiciona la norma presupuestal en lo relativo a la financiación de los déficits económicos de sistemas masivos de transporte. </w:t>
      </w:r>
    </w:p>
    <w:p w:rsidR="00B9678A" w:rsidRPr="00527F3E" w:rsidRDefault="00527F3E" w:rsidP="00B9678A">
      <w:pPr>
        <w:spacing w:line="240" w:lineRule="auto"/>
        <w:ind w:left="720"/>
        <w:contextualSpacing/>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Tras referirse a </w:t>
      </w:r>
      <w:r w:rsidRPr="00527F3E">
        <w:rPr>
          <w:rFonts w:ascii="Times New Roman" w:eastAsia="Times New Roman" w:hAnsi="Times New Roman" w:cs="Times New Roman"/>
          <w:color w:val="000000"/>
          <w:sz w:val="28"/>
          <w:szCs w:val="28"/>
          <w:lang w:val="es-ES"/>
        </w:rPr>
        <w:t xml:space="preserve">los criterios jurisprudenciales para evaluar la observancia del principio de unidad de materia, la apoderada del ministerio examina el trámite legislativo de la norma acusada. Al respecto destaca que ya desde la presentación de la iniciativa por parte del </w:t>
      </w:r>
      <w:r w:rsidRPr="00527F3E">
        <w:rPr>
          <w:rFonts w:ascii="Times New Roman" w:eastAsia="Times New Roman" w:hAnsi="Times New Roman" w:cs="Times New Roman"/>
          <w:color w:val="000000"/>
          <w:sz w:val="28"/>
          <w:szCs w:val="28"/>
          <w:lang w:val="es-ES"/>
        </w:rPr>
        <w:t xml:space="preserve">Gobierno nacional se justificó la necesidad de adicionar el presupuesto a fin de apoyar la superación del déficit operacional de los sistemas integrales de transporte masivo del país, así como en lo previsto en el artículo 174 de la Ley 2294 de 2023 (Plan </w:t>
      </w:r>
      <w:r w:rsidRPr="00527F3E">
        <w:rPr>
          <w:rFonts w:ascii="Times New Roman" w:eastAsia="Times New Roman" w:hAnsi="Times New Roman" w:cs="Times New Roman"/>
          <w:color w:val="000000"/>
          <w:sz w:val="28"/>
          <w:szCs w:val="28"/>
          <w:lang w:val="es-ES"/>
        </w:rPr>
        <w:t xml:space="preserve">Nacional de Desarrollo), que prevé la cofinanciación de los sistemas de transporte. Indica que en el informe de primer debate quedó constancia de que se abordó la problemática derivada de los faltantes para cubrir el déficit operacional de los SITM en las </w:t>
      </w:r>
      <w:r w:rsidRPr="00527F3E">
        <w:rPr>
          <w:rFonts w:ascii="Times New Roman" w:eastAsia="Times New Roman" w:hAnsi="Times New Roman" w:cs="Times New Roman"/>
          <w:color w:val="000000"/>
          <w:sz w:val="28"/>
          <w:szCs w:val="28"/>
          <w:lang w:val="es-ES"/>
        </w:rPr>
        <w:t>ciudades capitales; asimismo se presentaron tres proposiciones (n.º 54, 78 y 103) sobre apoyo a los sistemas integrados de transporte masivo. Entretanto, en el informe para segundo debate se indica que los recursos adicionales incorporados en el proyecto d</w:t>
      </w:r>
      <w:r w:rsidRPr="00527F3E">
        <w:rPr>
          <w:rFonts w:ascii="Times New Roman" w:eastAsia="Times New Roman" w:hAnsi="Times New Roman" w:cs="Times New Roman"/>
          <w:color w:val="000000"/>
          <w:sz w:val="28"/>
          <w:szCs w:val="28"/>
          <w:lang w:val="es-ES"/>
        </w:rPr>
        <w:t>e ley se destinarán, entre otros fines, a cofinanciar el déficit de los sistemas de transporte masivo y de los sistemas estratégicos de transporte. Para ello, entre los cambios propuestos, se plantea la adición de un artículo nuevo (que corresponde al artí</w:t>
      </w:r>
      <w:r w:rsidRPr="00527F3E">
        <w:rPr>
          <w:rFonts w:ascii="Times New Roman" w:eastAsia="Times New Roman" w:hAnsi="Times New Roman" w:cs="Times New Roman"/>
          <w:color w:val="000000"/>
          <w:sz w:val="28"/>
          <w:szCs w:val="28"/>
          <w:lang w:val="es-ES"/>
        </w:rPr>
        <w:t>culo 4º, parcialmente demandado). Señala que, durante la discusión en plenaria, los senadores Miguel Uribe y David Luna presentaron dos proposiciones para eliminar el parágrafo 2º, las cuales fueron votadas negativamente bajo el argumento de que el mismo s</w:t>
      </w:r>
      <w:r w:rsidRPr="00527F3E">
        <w:rPr>
          <w:rFonts w:ascii="Times New Roman" w:eastAsia="Times New Roman" w:hAnsi="Times New Roman" w:cs="Times New Roman"/>
          <w:color w:val="000000"/>
          <w:sz w:val="28"/>
          <w:szCs w:val="28"/>
          <w:lang w:val="es-ES"/>
        </w:rPr>
        <w:t>e requería en razón de la pandemia y la necesidad de financiar los sistemas de transporte. De este modo, la apoderada del Ministerio concluye que la disposición demandada se corresponde con el propósito de atender una de las finalidades del proyecto de adi</w:t>
      </w:r>
      <w:r w:rsidRPr="00527F3E">
        <w:rPr>
          <w:rFonts w:ascii="Times New Roman" w:eastAsia="Times New Roman" w:hAnsi="Times New Roman" w:cs="Times New Roman"/>
          <w:color w:val="000000"/>
          <w:sz w:val="28"/>
          <w:szCs w:val="28"/>
          <w:lang w:val="es-ES"/>
        </w:rPr>
        <w:t xml:space="preserve">ción presupuestal, cual es la de apoyar la superación del déficit operacional de los sistemas integrales de transporte masivo del país. </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Por último, en respuesta a los argumentos de la demanda, el ministerio enfatiza que el fragmento normativo acusado establece mecanismos para determinar los déficits de los SITP y los SETP derivados de los efectos económicos de la pandemia. Para ello es pre</w:t>
      </w:r>
      <w:r w:rsidRPr="00527F3E">
        <w:rPr>
          <w:rFonts w:ascii="Times New Roman" w:eastAsia="Times New Roman" w:hAnsi="Times New Roman" w:cs="Times New Roman"/>
          <w:color w:val="000000"/>
          <w:sz w:val="28"/>
          <w:szCs w:val="28"/>
          <w:lang w:val="es-ES"/>
        </w:rPr>
        <w:t>ciso verificar las variables que han afectado el equilibrio contractual de los contratos de concesión, lo cual no implica que la norma haga modificación alguna al régimen de los contratos estatales. El segundo inciso, que faculta la renegociación de las co</w:t>
      </w:r>
      <w:r w:rsidRPr="00527F3E">
        <w:rPr>
          <w:rFonts w:ascii="Times New Roman" w:eastAsia="Times New Roman" w:hAnsi="Times New Roman" w:cs="Times New Roman"/>
          <w:color w:val="000000"/>
          <w:sz w:val="28"/>
          <w:szCs w:val="28"/>
          <w:lang w:val="es-ES"/>
        </w:rPr>
        <w:t>ndiciones económicas y redistribución del riesgo de los contratos, confiere efecto útil a la norma, pues con ella se busca resolver la situación de desequilibrio económico. En cuanto a las mesas de renegociación previstas en la norma, se trata de “mecanism</w:t>
      </w:r>
      <w:r w:rsidRPr="00527F3E">
        <w:rPr>
          <w:rFonts w:ascii="Times New Roman" w:eastAsia="Times New Roman" w:hAnsi="Times New Roman" w:cs="Times New Roman"/>
          <w:color w:val="000000"/>
          <w:sz w:val="28"/>
          <w:szCs w:val="28"/>
          <w:lang w:val="es-ES"/>
        </w:rPr>
        <w:t>os de mediación” con los cuales se “insta a la superación mancomunada de la crisis financiera de los contratos, previas al ejercicio de la facultad de terminación unilateral de los mismos” en aras de asegurar la prestación del servicio público de transport</w:t>
      </w:r>
      <w:r w:rsidRPr="00527F3E">
        <w:rPr>
          <w:rFonts w:ascii="Times New Roman" w:eastAsia="Times New Roman" w:hAnsi="Times New Roman" w:cs="Times New Roman"/>
          <w:color w:val="000000"/>
          <w:sz w:val="28"/>
          <w:szCs w:val="28"/>
          <w:lang w:val="es-ES"/>
        </w:rPr>
        <w:t xml:space="preserve">e. De este modo, la norma demandada tiene una relación objetiva, causal y coherente con la ley de presupuesto.  </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750E7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b/>
          <w:color w:val="000000"/>
          <w:sz w:val="28"/>
          <w:szCs w:val="28"/>
          <w:lang w:val="es-ES"/>
        </w:rPr>
        <w:t>Federación Colombiana de Municipios</w:t>
      </w:r>
      <w:r w:rsidRPr="00527F3E">
        <w:rPr>
          <w:rFonts w:ascii="Times New Roman" w:eastAsia="Times New Roman" w:hAnsi="Times New Roman" w:cs="Times New Roman"/>
          <w:color w:val="000000"/>
          <w:sz w:val="28"/>
          <w:szCs w:val="28"/>
          <w:vertAlign w:val="superscript"/>
          <w:lang w:val="es-ES"/>
        </w:rPr>
        <w:footnoteReference w:id="50"/>
      </w:r>
      <w:r w:rsidRPr="00527F3E">
        <w:rPr>
          <w:rFonts w:ascii="Times New Roman" w:eastAsia="Times New Roman" w:hAnsi="Times New Roman" w:cs="Times New Roman"/>
          <w:color w:val="000000"/>
          <w:sz w:val="28"/>
          <w:szCs w:val="28"/>
          <w:lang w:val="es-ES"/>
        </w:rPr>
        <w:t>.</w:t>
      </w:r>
      <w:r w:rsidRPr="00527F3E">
        <w:rPr>
          <w:rFonts w:ascii="Times New Roman" w:eastAsia="Times New Roman" w:hAnsi="Times New Roman" w:cs="Times New Roman"/>
          <w:b/>
          <w:color w:val="000000"/>
          <w:sz w:val="28"/>
          <w:szCs w:val="28"/>
          <w:lang w:val="es-ES"/>
        </w:rPr>
        <w:t xml:space="preserve"> </w:t>
      </w:r>
      <w:r w:rsidRPr="00527F3E">
        <w:rPr>
          <w:rFonts w:ascii="Times New Roman" w:eastAsia="Times New Roman" w:hAnsi="Times New Roman" w:cs="Times New Roman"/>
          <w:color w:val="000000"/>
          <w:sz w:val="28"/>
          <w:szCs w:val="28"/>
          <w:lang w:val="es-ES"/>
        </w:rPr>
        <w:t>La Federación encuentra contradictorio que el demandante considere que el primer inciso del artículo cuarto sea respetuoso del principio de unidad temática pero que no lo sea el segundo. Para la Federación, existe conexidad temática en la medida en que, si</w:t>
      </w:r>
      <w:r w:rsidRPr="00527F3E">
        <w:rPr>
          <w:rFonts w:ascii="Times New Roman" w:eastAsia="Times New Roman" w:hAnsi="Times New Roman" w:cs="Times New Roman"/>
          <w:color w:val="000000"/>
          <w:sz w:val="28"/>
          <w:szCs w:val="28"/>
          <w:lang w:val="es-ES"/>
        </w:rPr>
        <w:t xml:space="preserve"> el primer inciso prevé la apropiación de recursos para apoyar sistemas de transporte público masivo, es coherente que se tenga en cuenta la necesidad de clarificación en cuanto a los ingresos y costos de esos sistemas. En ese sentido, la medida se conside</w:t>
      </w:r>
      <w:r w:rsidRPr="00527F3E">
        <w:rPr>
          <w:rFonts w:ascii="Times New Roman" w:eastAsia="Times New Roman" w:hAnsi="Times New Roman" w:cs="Times New Roman"/>
          <w:color w:val="000000"/>
          <w:sz w:val="28"/>
          <w:szCs w:val="28"/>
          <w:lang w:val="es-ES"/>
        </w:rPr>
        <w:t>ra necesaria para determinar la distribución de los recursos que se adicionan en el artículo. Distinto sería si el parágrafo demandado llevara a la conclusión de que existe un desequilibrio en los contratos de concesión y a la renegociación de los términos</w:t>
      </w:r>
      <w:r w:rsidRPr="00527F3E">
        <w:rPr>
          <w:rFonts w:ascii="Times New Roman" w:eastAsia="Times New Roman" w:hAnsi="Times New Roman" w:cs="Times New Roman"/>
          <w:color w:val="000000"/>
          <w:sz w:val="28"/>
          <w:szCs w:val="28"/>
          <w:lang w:val="es-ES"/>
        </w:rPr>
        <w:t xml:space="preserve"> económicos de los contratos de concesión que existan, pues la demanda no formula cargos que cuestionen la constitucionalidad de esas normas fuera de la violación al principio de unidad de materia. </w:t>
      </w:r>
    </w:p>
    <w:p w:rsidR="00B9678A" w:rsidRPr="00527F3E" w:rsidRDefault="00527F3E" w:rsidP="00656A25">
      <w:pPr>
        <w:spacing w:after="0" w:line="240" w:lineRule="auto"/>
        <w:jc w:val="both"/>
        <w:rPr>
          <w:rFonts w:ascii="Times New Roman" w:eastAsia="Times New Roman" w:hAnsi="Times New Roman" w:cs="Times New Roman"/>
          <w:color w:val="000000"/>
          <w:sz w:val="28"/>
          <w:szCs w:val="28"/>
          <w:lang w:eastAsia="es-ES_tradnl"/>
        </w:rPr>
      </w:pPr>
    </w:p>
    <w:p w:rsidR="00B9678A" w:rsidRPr="00527F3E" w:rsidRDefault="00527F3E" w:rsidP="00656A25">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b/>
          <w:color w:val="000000"/>
          <w:sz w:val="28"/>
          <w:szCs w:val="28"/>
          <w:lang w:val="es-ES"/>
        </w:rPr>
      </w:pPr>
      <w:r w:rsidRPr="00527F3E">
        <w:rPr>
          <w:rFonts w:ascii="Times New Roman" w:eastAsia="Times New Roman" w:hAnsi="Times New Roman" w:cs="Times New Roman"/>
          <w:b/>
          <w:color w:val="000000"/>
          <w:sz w:val="28"/>
          <w:szCs w:val="28"/>
          <w:lang w:val="es-ES"/>
        </w:rPr>
        <w:t>La Agencia Nacional de Defensa Jurídica del Estado - AND</w:t>
      </w:r>
      <w:r w:rsidRPr="00527F3E">
        <w:rPr>
          <w:rFonts w:ascii="Times New Roman" w:eastAsia="Times New Roman" w:hAnsi="Times New Roman" w:cs="Times New Roman"/>
          <w:b/>
          <w:color w:val="000000"/>
          <w:sz w:val="28"/>
          <w:szCs w:val="28"/>
          <w:lang w:val="es-ES"/>
        </w:rPr>
        <w:t>JE</w:t>
      </w:r>
      <w:r w:rsidRPr="00527F3E">
        <w:rPr>
          <w:rFonts w:ascii="Times New Roman" w:eastAsia="Times New Roman" w:hAnsi="Times New Roman" w:cs="Times New Roman"/>
          <w:color w:val="000000"/>
          <w:sz w:val="28"/>
          <w:szCs w:val="28"/>
          <w:vertAlign w:val="superscript"/>
          <w:lang w:val="es-ES"/>
        </w:rPr>
        <w:footnoteReference w:id="51"/>
      </w:r>
      <w:r w:rsidRPr="00527F3E">
        <w:rPr>
          <w:rFonts w:ascii="Times New Roman" w:eastAsia="Times New Roman" w:hAnsi="Times New Roman" w:cs="Times New Roman"/>
          <w:color w:val="000000"/>
          <w:sz w:val="28"/>
          <w:szCs w:val="28"/>
          <w:lang w:val="es-ES"/>
        </w:rPr>
        <w:t>. Esta entidad presentó su intervención tras el vencimiento del término de fijación en lista y cuando la Procuradora General de la Nación ya había conceptuado, para lo cual invocó su competencia para actuar en calidad de interviniente, ante cualquier ju</w:t>
      </w:r>
      <w:r w:rsidRPr="00527F3E">
        <w:rPr>
          <w:rFonts w:ascii="Times New Roman" w:eastAsia="Times New Roman" w:hAnsi="Times New Roman" w:cs="Times New Roman"/>
          <w:color w:val="000000"/>
          <w:sz w:val="28"/>
          <w:szCs w:val="28"/>
          <w:lang w:val="es-ES"/>
        </w:rPr>
        <w:t>risdicción, en cualquier estado del proceso, cuando estén involucrados los intereses de la Nación.</w:t>
      </w:r>
      <w:r w:rsidRPr="00527F3E">
        <w:rPr>
          <w:rFonts w:ascii="Times New Roman" w:eastAsia="Times New Roman" w:hAnsi="Times New Roman" w:cs="Times New Roman"/>
          <w:color w:val="000000"/>
          <w:sz w:val="28"/>
          <w:szCs w:val="28"/>
          <w:vertAlign w:val="superscript"/>
          <w:lang w:val="es-ES"/>
        </w:rPr>
        <w:footnoteReference w:id="52"/>
      </w:r>
      <w:r w:rsidRPr="00527F3E">
        <w:rPr>
          <w:rFonts w:ascii="Times New Roman" w:eastAsia="Times New Roman" w:hAnsi="Times New Roman" w:cs="Times New Roman"/>
          <w:color w:val="000000"/>
          <w:sz w:val="28"/>
          <w:szCs w:val="28"/>
          <w:lang w:val="es-ES"/>
        </w:rPr>
        <w:t xml:space="preserve"> Señaló que en este proceso de constitucionalidad está en juego el interés fiscal de la Nación por cuanto se cuestiona la validez de una norma que hace parte</w:t>
      </w:r>
      <w:r w:rsidRPr="00527F3E">
        <w:rPr>
          <w:rFonts w:ascii="Times New Roman" w:eastAsia="Times New Roman" w:hAnsi="Times New Roman" w:cs="Times New Roman"/>
          <w:color w:val="000000"/>
          <w:sz w:val="28"/>
          <w:szCs w:val="28"/>
          <w:lang w:val="es-ES"/>
        </w:rPr>
        <w:t xml:space="preserve"> del presupuesto general de la nación y con la que se busca resolver los problemas de financiación que presenta el sistema de transporte masivo en el país. Con fundamento en estas consideraciones, pidió que su intervención no fuera considerada como extempo</w:t>
      </w:r>
      <w:r w:rsidRPr="00527F3E">
        <w:rPr>
          <w:rFonts w:ascii="Times New Roman" w:eastAsia="Times New Roman" w:hAnsi="Times New Roman" w:cs="Times New Roman"/>
          <w:color w:val="000000"/>
          <w:sz w:val="28"/>
          <w:szCs w:val="28"/>
          <w:lang w:val="es-ES"/>
        </w:rPr>
        <w:t>ránea.</w:t>
      </w:r>
    </w:p>
    <w:p w:rsidR="00B9678A" w:rsidRPr="00527F3E" w:rsidRDefault="00527F3E" w:rsidP="00656A25">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b/>
          <w:color w:val="000000"/>
          <w:sz w:val="28"/>
          <w:szCs w:val="28"/>
          <w:lang w:val="es-ES"/>
        </w:rPr>
      </w:pPr>
      <w:r w:rsidRPr="00527F3E">
        <w:rPr>
          <w:rFonts w:ascii="Times New Roman" w:eastAsia="Times New Roman" w:hAnsi="Times New Roman" w:cs="Times New Roman"/>
          <w:color w:val="000000"/>
          <w:sz w:val="28"/>
          <w:szCs w:val="28"/>
          <w:lang w:val="es-ES"/>
        </w:rPr>
        <w:t xml:space="preserve">La entidad defendió la constitucionalidad de la norma acusada. Sobre el principio de unidad de materia, considera la Agencia que no se puede interpretar en sentido rígido, so pena de convertirse en una camisa de fuerza para el Congreso y terminar anulando </w:t>
      </w:r>
      <w:r w:rsidRPr="00527F3E">
        <w:rPr>
          <w:rFonts w:ascii="Times New Roman" w:eastAsia="Times New Roman" w:hAnsi="Times New Roman" w:cs="Times New Roman"/>
          <w:color w:val="000000"/>
          <w:sz w:val="28"/>
          <w:szCs w:val="28"/>
          <w:lang w:val="es-ES"/>
        </w:rPr>
        <w:t>el principio democrático. Considera que, tratándose de leyes de presupuesto, el análisis del principio de unidad de materia debe efectuarse teniendo en cuenta lo dispuesto en el artículo 346 de la Constitución, que establece que el presupuesto anual debe g</w:t>
      </w:r>
      <w:r w:rsidRPr="00527F3E">
        <w:rPr>
          <w:rFonts w:ascii="Times New Roman" w:eastAsia="Times New Roman" w:hAnsi="Times New Roman" w:cs="Times New Roman"/>
          <w:color w:val="000000"/>
          <w:sz w:val="28"/>
          <w:szCs w:val="28"/>
          <w:lang w:val="es-ES"/>
        </w:rPr>
        <w:t xml:space="preserve">uardar correspondencia con el Plan Nacional de Desarrollo. Destaca que tanto el Plan Nacional de Desarrollo como la ley anual de presupuesto carecen de rigidez pues, como lo establece el artículo 341 de la Constitución, en las leyes anuales de presupuesto </w:t>
      </w:r>
      <w:r w:rsidRPr="00527F3E">
        <w:rPr>
          <w:rFonts w:ascii="Times New Roman" w:eastAsia="Times New Roman" w:hAnsi="Times New Roman" w:cs="Times New Roman"/>
          <w:color w:val="000000"/>
          <w:sz w:val="28"/>
          <w:szCs w:val="28"/>
          <w:lang w:val="es-ES"/>
        </w:rPr>
        <w:t>se pueden aumentar o disminuir partidas y recursos aprobados en la ley del Plan Nacional de Desarrollo. Esto implica que, contrario a lo que afirma el demandante, las leyes de adiciones no sólo han de contener cifras que ajusten el presupuesto, sino que ta</w:t>
      </w:r>
      <w:r w:rsidRPr="00527F3E">
        <w:rPr>
          <w:rFonts w:ascii="Times New Roman" w:eastAsia="Times New Roman" w:hAnsi="Times New Roman" w:cs="Times New Roman"/>
          <w:color w:val="000000"/>
          <w:sz w:val="28"/>
          <w:szCs w:val="28"/>
          <w:lang w:val="es-ES"/>
        </w:rPr>
        <w:t xml:space="preserve">mbién pueden incluir disposiciones de contenido normativo, necesarias para la debida ejecución de lo aprobado. </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b/>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Sobre esta base, la intervención se refiere a los antecedentes de la norma acusada. Señala que el artículo 172 de la Ley 2294 de 2023 (Plan Nac</w:t>
      </w:r>
      <w:r w:rsidRPr="00527F3E">
        <w:rPr>
          <w:rFonts w:ascii="Times New Roman" w:eastAsia="Times New Roman" w:hAnsi="Times New Roman" w:cs="Times New Roman"/>
          <w:color w:val="000000"/>
          <w:sz w:val="28"/>
          <w:szCs w:val="28"/>
          <w:lang w:val="es-ES"/>
        </w:rPr>
        <w:t>ional de Desarrollo) estableció la cofinanciación del sistema de transporte. Seguidamente, el artículo 99 de la Ley 2276 de 2022</w:t>
      </w:r>
      <w:r w:rsidRPr="00527F3E">
        <w:rPr>
          <w:rFonts w:ascii="Times New Roman" w:eastAsia="Times New Roman" w:hAnsi="Times New Roman" w:cs="Times New Roman"/>
          <w:color w:val="000000"/>
          <w:sz w:val="28"/>
          <w:szCs w:val="28"/>
          <w:vertAlign w:val="superscript"/>
          <w:lang w:val="es-ES"/>
        </w:rPr>
        <w:footnoteReference w:id="53"/>
      </w:r>
      <w:r w:rsidRPr="00527F3E">
        <w:rPr>
          <w:rFonts w:ascii="Times New Roman" w:eastAsia="Times New Roman" w:hAnsi="Times New Roman" w:cs="Times New Roman"/>
          <w:color w:val="000000"/>
          <w:sz w:val="28"/>
          <w:szCs w:val="28"/>
          <w:lang w:val="es-ES"/>
        </w:rPr>
        <w:t xml:space="preserve"> determinó inicialmente que, durante la vigencia fiscal del 1 de enero al 31 de diciembre de 2023, las entidades territoriales </w:t>
      </w:r>
      <w:r w:rsidRPr="00527F3E">
        <w:rPr>
          <w:rFonts w:ascii="Times New Roman" w:eastAsia="Times New Roman" w:hAnsi="Times New Roman" w:cs="Times New Roman"/>
          <w:color w:val="000000"/>
          <w:sz w:val="28"/>
          <w:szCs w:val="28"/>
          <w:lang w:val="es-ES"/>
        </w:rPr>
        <w:t>establecerían esquemas de cofinanciación para atender los déficits de los SITM y SETP, se fijó el aporte de la Nación y el porcentaje de los montos a cofinanciar, entre otros.  Finalmente, la Ley 2299 de 2023, de la cual hace parte la norma demandada, adic</w:t>
      </w:r>
      <w:r w:rsidRPr="00527F3E">
        <w:rPr>
          <w:rFonts w:ascii="Times New Roman" w:eastAsia="Times New Roman" w:hAnsi="Times New Roman" w:cs="Times New Roman"/>
          <w:color w:val="000000"/>
          <w:sz w:val="28"/>
          <w:szCs w:val="28"/>
          <w:lang w:val="es-ES"/>
        </w:rPr>
        <w:t xml:space="preserve">ionó el presupuesto anual decretado por medio de la Ley 2276 de 2022, respondiendo a la necesidad de adecuar rubros al escenario de proyecciones macroeconómicas que no se contemplaban al momento de expedir la ley anual de presupuesto. </w:t>
      </w:r>
    </w:p>
    <w:p w:rsidR="00B9678A" w:rsidRPr="00527F3E" w:rsidRDefault="00527F3E" w:rsidP="00656A25">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La Ley 2299 de 2023</w:t>
      </w:r>
      <w:r w:rsidRPr="00527F3E">
        <w:rPr>
          <w:rFonts w:ascii="Times New Roman" w:eastAsia="Times New Roman" w:hAnsi="Times New Roman" w:cs="Times New Roman"/>
          <w:color w:val="000000"/>
          <w:sz w:val="28"/>
          <w:szCs w:val="28"/>
          <w:lang w:val="es-ES"/>
        </w:rPr>
        <w:t xml:space="preserve"> modificó el artículo 99 de la Ley 2276 de 2022, incrementando el aporte de la Nación para la cofinanciación de los sistemas de transporte público a fin de amortiguar los déficits de financiación de los SITM y SEPT. La Agencia destaca que el parágrafo 2º, </w:t>
      </w:r>
      <w:r w:rsidRPr="00527F3E">
        <w:rPr>
          <w:rFonts w:ascii="Times New Roman" w:eastAsia="Times New Roman" w:hAnsi="Times New Roman" w:cs="Times New Roman"/>
          <w:color w:val="000000"/>
          <w:sz w:val="28"/>
          <w:szCs w:val="28"/>
          <w:lang w:val="es-ES"/>
        </w:rPr>
        <w:t>cuya constitucionalidad se debate en este proceso, incluye disposiciones de contenido normativo necesarias para correcta ejecución de la partida presupuestal, puesto que en ellos se estipula la manera en que los déficits serán determinados y resarcidos.</w:t>
      </w:r>
    </w:p>
    <w:p w:rsidR="00B9678A" w:rsidRPr="00527F3E" w:rsidRDefault="00527F3E" w:rsidP="00656A25">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Sobre esta base, la Agencia concluye que existe conexidad </w:t>
      </w:r>
      <w:r w:rsidRPr="00527F3E">
        <w:rPr>
          <w:rFonts w:ascii="Times New Roman" w:eastAsia="Times New Roman" w:hAnsi="Times New Roman" w:cs="Times New Roman"/>
          <w:i/>
          <w:iCs/>
          <w:color w:val="000000"/>
          <w:sz w:val="28"/>
          <w:szCs w:val="28"/>
          <w:lang w:val="es-ES"/>
        </w:rPr>
        <w:t>temática</w:t>
      </w:r>
      <w:r w:rsidRPr="00527F3E">
        <w:rPr>
          <w:rFonts w:ascii="Times New Roman" w:eastAsia="Times New Roman" w:hAnsi="Times New Roman" w:cs="Times New Roman"/>
          <w:color w:val="000000"/>
          <w:sz w:val="28"/>
          <w:szCs w:val="28"/>
          <w:lang w:val="es-ES"/>
        </w:rPr>
        <w:t xml:space="preserve"> entre la ley de presupuesto anual, su adición (artículo 4º modificatorio del artículo 99) y el parágrafo 2º, en tanto es necesaria la determinación de los déficits (efectos económicos adver</w:t>
      </w:r>
      <w:r w:rsidRPr="00527F3E">
        <w:rPr>
          <w:rFonts w:ascii="Times New Roman" w:eastAsia="Times New Roman" w:hAnsi="Times New Roman" w:cs="Times New Roman"/>
          <w:color w:val="000000"/>
          <w:sz w:val="28"/>
          <w:szCs w:val="28"/>
          <w:lang w:val="es-ES"/>
        </w:rPr>
        <w:t xml:space="preserve">sos) para definir la utilización del rubro presupuestal. Existe conexidad </w:t>
      </w:r>
      <w:r w:rsidRPr="00527F3E">
        <w:rPr>
          <w:rFonts w:ascii="Times New Roman" w:eastAsia="Times New Roman" w:hAnsi="Times New Roman" w:cs="Times New Roman"/>
          <w:i/>
          <w:iCs/>
          <w:color w:val="000000"/>
          <w:sz w:val="28"/>
          <w:szCs w:val="28"/>
          <w:lang w:val="es-ES"/>
        </w:rPr>
        <w:t>causal</w:t>
      </w:r>
      <w:r w:rsidRPr="00527F3E">
        <w:rPr>
          <w:rFonts w:ascii="Times New Roman" w:eastAsia="Times New Roman" w:hAnsi="Times New Roman" w:cs="Times New Roman"/>
          <w:color w:val="000000"/>
          <w:sz w:val="28"/>
          <w:szCs w:val="28"/>
          <w:lang w:val="es-ES"/>
        </w:rPr>
        <w:t xml:space="preserve"> y </w:t>
      </w:r>
      <w:r w:rsidRPr="00527F3E">
        <w:rPr>
          <w:rFonts w:ascii="Times New Roman" w:eastAsia="Times New Roman" w:hAnsi="Times New Roman" w:cs="Times New Roman"/>
          <w:i/>
          <w:iCs/>
          <w:color w:val="000000"/>
          <w:sz w:val="28"/>
          <w:szCs w:val="28"/>
          <w:lang w:val="es-ES"/>
        </w:rPr>
        <w:t>teleológica</w:t>
      </w:r>
      <w:r w:rsidRPr="00527F3E">
        <w:rPr>
          <w:rFonts w:ascii="Times New Roman" w:eastAsia="Times New Roman" w:hAnsi="Times New Roman" w:cs="Times New Roman"/>
          <w:color w:val="000000"/>
          <w:sz w:val="28"/>
          <w:szCs w:val="28"/>
          <w:lang w:val="es-ES"/>
        </w:rPr>
        <w:t xml:space="preserve"> entre la ley y la disposición acusada, por cuanto comparten la motivación relativa a la financiación de los sistemas de transporte masivo y superar los déficits </w:t>
      </w:r>
      <w:r w:rsidRPr="00527F3E">
        <w:rPr>
          <w:rFonts w:ascii="Times New Roman" w:eastAsia="Times New Roman" w:hAnsi="Times New Roman" w:cs="Times New Roman"/>
          <w:color w:val="000000"/>
          <w:sz w:val="28"/>
          <w:szCs w:val="28"/>
          <w:lang w:val="es-ES"/>
        </w:rPr>
        <w:t xml:space="preserve">que ponen en riesgo el servicio público esencial de transporte. Finalmente, la conexidad </w:t>
      </w:r>
      <w:r w:rsidRPr="00527F3E">
        <w:rPr>
          <w:rFonts w:ascii="Times New Roman" w:eastAsia="Times New Roman" w:hAnsi="Times New Roman" w:cs="Times New Roman"/>
          <w:i/>
          <w:iCs/>
          <w:color w:val="000000"/>
          <w:sz w:val="28"/>
          <w:szCs w:val="28"/>
          <w:lang w:val="es-ES"/>
        </w:rPr>
        <w:t xml:space="preserve">sistemática </w:t>
      </w:r>
      <w:r w:rsidRPr="00527F3E">
        <w:rPr>
          <w:rFonts w:ascii="Times New Roman" w:eastAsia="Times New Roman" w:hAnsi="Times New Roman" w:cs="Times New Roman"/>
          <w:color w:val="000000"/>
          <w:sz w:val="28"/>
          <w:szCs w:val="28"/>
          <w:lang w:val="es-ES"/>
        </w:rPr>
        <w:t xml:space="preserve">se aprecia de forma más clara cuando se observan los antecedentes de la norma, puesto que el sistema de transporte masivo es uno de los ejes en los que se </w:t>
      </w:r>
      <w:r w:rsidRPr="00527F3E">
        <w:rPr>
          <w:rFonts w:ascii="Times New Roman" w:eastAsia="Times New Roman" w:hAnsi="Times New Roman" w:cs="Times New Roman"/>
          <w:color w:val="000000"/>
          <w:sz w:val="28"/>
          <w:szCs w:val="28"/>
          <w:lang w:val="es-ES"/>
        </w:rPr>
        <w:t xml:space="preserve">soporta la capacidad productiva del país, lo cual es claro tanto en la reforma tributaria como en el Plan Nacional de Desarrollo, al cual la ley de presupuesto y su adición deben corresponder. </w:t>
      </w:r>
    </w:p>
    <w:p w:rsidR="00B9678A" w:rsidRPr="00527F3E" w:rsidRDefault="00527F3E" w:rsidP="00656A25">
      <w:pPr>
        <w:spacing w:after="0" w:line="240" w:lineRule="auto"/>
        <w:rPr>
          <w:rFonts w:ascii="Times New Roman" w:eastAsia="Times New Roman" w:hAnsi="Times New Roman" w:cs="Times New Roman"/>
          <w:color w:val="000000"/>
          <w:sz w:val="28"/>
          <w:szCs w:val="28"/>
          <w:lang w:eastAsia="es-ES_tradnl"/>
        </w:rPr>
      </w:pPr>
    </w:p>
    <w:p w:rsidR="00B9678A" w:rsidRPr="00527F3E" w:rsidRDefault="00527F3E" w:rsidP="00656A25">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b/>
          <w:color w:val="000000"/>
          <w:sz w:val="28"/>
          <w:szCs w:val="28"/>
          <w:lang w:val="es-ES"/>
        </w:rPr>
      </w:pPr>
      <w:r w:rsidRPr="00527F3E">
        <w:rPr>
          <w:rFonts w:ascii="Times New Roman" w:eastAsia="Times New Roman" w:hAnsi="Times New Roman" w:cs="Times New Roman"/>
          <w:color w:val="000000"/>
          <w:sz w:val="28"/>
          <w:szCs w:val="28"/>
          <w:lang w:val="es-ES"/>
        </w:rPr>
        <w:t xml:space="preserve">Finalmente, la Agencia considera que determinar los déficits </w:t>
      </w:r>
      <w:r w:rsidRPr="00527F3E">
        <w:rPr>
          <w:rFonts w:ascii="Times New Roman" w:eastAsia="Times New Roman" w:hAnsi="Times New Roman" w:cs="Times New Roman"/>
          <w:color w:val="000000"/>
          <w:sz w:val="28"/>
          <w:szCs w:val="28"/>
          <w:lang w:val="es-ES"/>
        </w:rPr>
        <w:t>operacionales de los sistemas de transporte requiere verificar las variables que afectan el equilibrio de los contratos de concesión, sin que eso implique que la disposición demandada modifique el régimen de contratos estatales, pues solo se señalan los po</w:t>
      </w:r>
      <w:r w:rsidRPr="00527F3E">
        <w:rPr>
          <w:rFonts w:ascii="Times New Roman" w:eastAsia="Times New Roman" w:hAnsi="Times New Roman" w:cs="Times New Roman"/>
          <w:color w:val="000000"/>
          <w:sz w:val="28"/>
          <w:szCs w:val="28"/>
          <w:lang w:val="es-ES"/>
        </w:rPr>
        <w:t xml:space="preserve">sibles mecanismos de determinación del déficit, lo que facilita la correcta apropiación de la partida presupuestal y asegura la prestación del servicio público de transporte. </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b/>
          <w:color w:val="000000"/>
          <w:sz w:val="28"/>
          <w:szCs w:val="28"/>
          <w:lang w:val="es-ES"/>
        </w:rPr>
      </w:pPr>
    </w:p>
    <w:p w:rsidR="00B9678A" w:rsidRPr="00527F3E" w:rsidRDefault="00527F3E" w:rsidP="00B9678A">
      <w:pPr>
        <w:tabs>
          <w:tab w:val="left" w:pos="426"/>
        </w:tabs>
        <w:autoSpaceDE w:val="0"/>
        <w:autoSpaceDN w:val="0"/>
        <w:spacing w:after="0" w:line="240" w:lineRule="auto"/>
        <w:ind w:left="426" w:right="49"/>
        <w:jc w:val="both"/>
        <w:textAlignment w:val="baseline"/>
        <w:rPr>
          <w:rFonts w:ascii="Times New Roman" w:eastAsia="Times New Roman" w:hAnsi="Times New Roman" w:cs="Times New Roman"/>
          <w:i/>
          <w:color w:val="000000"/>
          <w:sz w:val="28"/>
          <w:szCs w:val="28"/>
          <w:lang w:val="es-ES"/>
        </w:rPr>
      </w:pPr>
      <w:r w:rsidRPr="00527F3E">
        <w:rPr>
          <w:rFonts w:ascii="Times New Roman" w:eastAsia="Times New Roman" w:hAnsi="Times New Roman" w:cs="Times New Roman"/>
          <w:bCs/>
          <w:i/>
          <w:color w:val="000000"/>
          <w:sz w:val="28"/>
          <w:szCs w:val="28"/>
          <w:lang w:val="es-ES"/>
        </w:rPr>
        <w:t>Intervenciones que solicitan la inexequibilidad</w:t>
      </w:r>
    </w:p>
    <w:p w:rsidR="00B9678A" w:rsidRPr="00527F3E" w:rsidRDefault="00527F3E" w:rsidP="00B9678A">
      <w:pPr>
        <w:spacing w:after="0" w:line="240" w:lineRule="auto"/>
        <w:rPr>
          <w:rFonts w:ascii="Times New Roman" w:eastAsia="Times New Roman" w:hAnsi="Times New Roman" w:cs="Times New Roman"/>
          <w:color w:val="000000"/>
          <w:sz w:val="28"/>
          <w:szCs w:val="28"/>
          <w:lang w:eastAsia="es-ES_tradnl"/>
        </w:rPr>
      </w:pPr>
    </w:p>
    <w:p w:rsidR="00B9678A" w:rsidRPr="00527F3E" w:rsidRDefault="00527F3E" w:rsidP="001C310A">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bCs/>
          <w:iCs/>
          <w:color w:val="000000"/>
          <w:sz w:val="28"/>
          <w:szCs w:val="28"/>
          <w:lang w:val="es-ES"/>
        </w:rPr>
      </w:pPr>
      <w:r w:rsidRPr="00527F3E">
        <w:rPr>
          <w:rFonts w:ascii="Times New Roman" w:eastAsia="Times New Roman" w:hAnsi="Times New Roman" w:cs="Times New Roman"/>
          <w:color w:val="000000"/>
          <w:sz w:val="28"/>
          <w:szCs w:val="28"/>
          <w:lang w:val="es-ES"/>
        </w:rPr>
        <w:t xml:space="preserve">Las intervenciones ciudadanas presentadas por </w:t>
      </w:r>
      <w:r w:rsidRPr="00527F3E">
        <w:rPr>
          <w:rFonts w:ascii="Times New Roman" w:eastAsia="Times New Roman" w:hAnsi="Times New Roman" w:cs="Times New Roman"/>
          <w:b/>
          <w:color w:val="000000"/>
          <w:sz w:val="28"/>
          <w:szCs w:val="28"/>
          <w:lang w:val="es-ES"/>
        </w:rPr>
        <w:t xml:space="preserve">Nicolás Ospina Suárez, </w:t>
      </w:r>
      <w:r w:rsidRPr="00527F3E">
        <w:rPr>
          <w:rFonts w:ascii="Times New Roman" w:eastAsia="Times New Roman" w:hAnsi="Times New Roman" w:cs="Times New Roman"/>
          <w:b/>
          <w:bCs/>
          <w:iCs/>
          <w:color w:val="000000"/>
          <w:sz w:val="28"/>
          <w:szCs w:val="28"/>
          <w:lang w:val="es-ES"/>
        </w:rPr>
        <w:t>Jairo Enrique Angarita Feo, Emerson Ricardo Ramos Peñuela, Juan Manuel Rojas Cardona, Nicolás Buitrago Burbano, Natalia Morales Rodríguez, Angie Nicole Zambrano, Sandra Milena Troncoso To</w:t>
      </w:r>
      <w:r w:rsidRPr="00527F3E">
        <w:rPr>
          <w:rFonts w:ascii="Times New Roman" w:eastAsia="Times New Roman" w:hAnsi="Times New Roman" w:cs="Times New Roman"/>
          <w:b/>
          <w:bCs/>
          <w:iCs/>
          <w:color w:val="000000"/>
          <w:sz w:val="28"/>
          <w:szCs w:val="28"/>
          <w:lang w:val="es-ES"/>
        </w:rPr>
        <w:t xml:space="preserve">rres </w:t>
      </w:r>
      <w:r w:rsidRPr="00527F3E">
        <w:rPr>
          <w:rFonts w:ascii="Times New Roman" w:eastAsia="Times New Roman" w:hAnsi="Times New Roman" w:cs="Times New Roman"/>
          <w:bCs/>
          <w:iCs/>
          <w:color w:val="000000"/>
          <w:sz w:val="28"/>
          <w:szCs w:val="28"/>
          <w:lang w:val="es-ES"/>
        </w:rPr>
        <w:t>y</w:t>
      </w:r>
      <w:r w:rsidRPr="00527F3E">
        <w:rPr>
          <w:rFonts w:ascii="Times New Roman" w:eastAsia="Times New Roman" w:hAnsi="Times New Roman" w:cs="Times New Roman"/>
          <w:b/>
          <w:bCs/>
          <w:iCs/>
          <w:color w:val="000000"/>
          <w:sz w:val="28"/>
          <w:szCs w:val="28"/>
          <w:lang w:val="es-ES"/>
        </w:rPr>
        <w:t xml:space="preserve"> Cristian David Ariza Espinosa </w:t>
      </w:r>
      <w:r w:rsidRPr="00527F3E">
        <w:rPr>
          <w:rFonts w:ascii="Times New Roman" w:eastAsia="Times New Roman" w:hAnsi="Times New Roman" w:cs="Times New Roman"/>
          <w:bCs/>
          <w:iCs/>
          <w:color w:val="000000"/>
          <w:sz w:val="28"/>
          <w:szCs w:val="28"/>
          <w:lang w:val="es-ES"/>
        </w:rPr>
        <w:t xml:space="preserve">coadyuvan la demanda y, en tal sentido, piden a la Corte declarar la inexequibilidad de parágrafo acusado. </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bCs/>
          <w:iCs/>
          <w:color w:val="000000"/>
          <w:sz w:val="28"/>
          <w:szCs w:val="28"/>
          <w:lang w:val="es-ES"/>
        </w:rPr>
      </w:pPr>
    </w:p>
    <w:p w:rsidR="00B9678A" w:rsidRPr="00527F3E" w:rsidRDefault="00527F3E" w:rsidP="001C310A">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bCs/>
          <w:iCs/>
          <w:color w:val="000000"/>
          <w:sz w:val="28"/>
          <w:szCs w:val="28"/>
          <w:lang w:val="es-ES"/>
        </w:rPr>
        <w:t>Aunque algunos de estos escritos plantean argumentos adicionales para sustentar la inconstitucionalidad de la norma, en lo relativo a la infracción del principio de unidad de materia, cargo al que se circunscribe el análisis de la Sala, estas intervencione</w:t>
      </w:r>
      <w:r w:rsidRPr="00527F3E">
        <w:rPr>
          <w:rFonts w:ascii="Times New Roman" w:eastAsia="Times New Roman" w:hAnsi="Times New Roman" w:cs="Times New Roman"/>
          <w:bCs/>
          <w:iCs/>
          <w:color w:val="000000"/>
          <w:sz w:val="28"/>
          <w:szCs w:val="28"/>
          <w:lang w:val="es-ES"/>
        </w:rPr>
        <w:t xml:space="preserve">s plantean una línea argumentativa similar. Señalan que el </w:t>
      </w:r>
      <w:r w:rsidRPr="00527F3E">
        <w:rPr>
          <w:rFonts w:ascii="Times New Roman" w:eastAsia="Times New Roman" w:hAnsi="Times New Roman" w:cs="Times New Roman"/>
          <w:color w:val="000000"/>
          <w:sz w:val="28"/>
          <w:szCs w:val="28"/>
          <w:lang w:val="es-ES"/>
        </w:rPr>
        <w:t xml:space="preserve">parágrafo demandado no cumple con la </w:t>
      </w:r>
      <w:r w:rsidRPr="00527F3E">
        <w:rPr>
          <w:rFonts w:ascii="Times New Roman" w:eastAsia="Times New Roman" w:hAnsi="Times New Roman" w:cs="Times New Roman"/>
          <w:i/>
          <w:iCs/>
          <w:color w:val="000000"/>
          <w:sz w:val="28"/>
          <w:szCs w:val="28"/>
          <w:lang w:val="es-ES"/>
        </w:rPr>
        <w:t>conexidad causal,</w:t>
      </w:r>
      <w:r w:rsidRPr="00527F3E">
        <w:rPr>
          <w:rFonts w:ascii="Times New Roman" w:eastAsia="Times New Roman" w:hAnsi="Times New Roman" w:cs="Times New Roman"/>
          <w:color w:val="000000"/>
          <w:sz w:val="28"/>
          <w:szCs w:val="28"/>
          <w:lang w:val="es-ES"/>
        </w:rPr>
        <w:t xml:space="preserve"> pues la exposición de motivos de la norma se refiere a la necesidad de aumentar el presupuesto para atender diferentes sectores. Dicha causa n</w:t>
      </w:r>
      <w:r w:rsidRPr="00527F3E">
        <w:rPr>
          <w:rFonts w:ascii="Times New Roman" w:eastAsia="Times New Roman" w:hAnsi="Times New Roman" w:cs="Times New Roman"/>
          <w:color w:val="000000"/>
          <w:sz w:val="28"/>
          <w:szCs w:val="28"/>
          <w:lang w:val="es-ES"/>
        </w:rPr>
        <w:t xml:space="preserve">o se relaciona con la renegociación de contratos, la redistribución de riesgos ni con el uso de cláusulas exorbitantes. No se cumple tampoco con la </w:t>
      </w:r>
      <w:r w:rsidRPr="00527F3E">
        <w:rPr>
          <w:rFonts w:ascii="Times New Roman" w:eastAsia="Times New Roman" w:hAnsi="Times New Roman" w:cs="Times New Roman"/>
          <w:i/>
          <w:iCs/>
          <w:color w:val="000000"/>
          <w:sz w:val="28"/>
          <w:szCs w:val="28"/>
          <w:lang w:val="es-ES"/>
        </w:rPr>
        <w:t xml:space="preserve">conexidad teleológica, </w:t>
      </w:r>
      <w:r w:rsidRPr="00527F3E">
        <w:rPr>
          <w:rFonts w:ascii="Times New Roman" w:eastAsia="Times New Roman" w:hAnsi="Times New Roman" w:cs="Times New Roman"/>
          <w:color w:val="000000"/>
          <w:sz w:val="28"/>
          <w:szCs w:val="28"/>
          <w:lang w:val="es-ES"/>
        </w:rPr>
        <w:t>pues el parágrafo demandado establece que la renegociación se da de manera previa a l</w:t>
      </w:r>
      <w:r w:rsidRPr="00527F3E">
        <w:rPr>
          <w:rFonts w:ascii="Times New Roman" w:eastAsia="Times New Roman" w:hAnsi="Times New Roman" w:cs="Times New Roman"/>
          <w:color w:val="000000"/>
          <w:sz w:val="28"/>
          <w:szCs w:val="28"/>
          <w:lang w:val="es-ES"/>
        </w:rPr>
        <w:t xml:space="preserve">a terminación unilateral del contrato, lo que tendría como consecuencia la no prestación del servicio de transporte masivo, situación contraria a la finalidad que se persigue con la norma. Tampoco existe </w:t>
      </w:r>
      <w:r w:rsidRPr="00527F3E">
        <w:rPr>
          <w:rFonts w:ascii="Times New Roman" w:eastAsia="Times New Roman" w:hAnsi="Times New Roman" w:cs="Times New Roman"/>
          <w:i/>
          <w:iCs/>
          <w:color w:val="000000"/>
          <w:sz w:val="28"/>
          <w:szCs w:val="28"/>
          <w:lang w:val="es-ES"/>
        </w:rPr>
        <w:t>conexidad temática,</w:t>
      </w:r>
      <w:r w:rsidRPr="00527F3E">
        <w:rPr>
          <w:rFonts w:ascii="Times New Roman" w:eastAsia="Times New Roman" w:hAnsi="Times New Roman" w:cs="Times New Roman"/>
          <w:b/>
          <w:bCs/>
          <w:color w:val="000000"/>
          <w:sz w:val="28"/>
          <w:szCs w:val="28"/>
          <w:lang w:val="es-ES"/>
        </w:rPr>
        <w:t xml:space="preserve"> </w:t>
      </w:r>
      <w:r w:rsidRPr="00527F3E">
        <w:rPr>
          <w:rFonts w:ascii="Times New Roman" w:eastAsia="Times New Roman" w:hAnsi="Times New Roman" w:cs="Times New Roman"/>
          <w:color w:val="000000"/>
          <w:sz w:val="28"/>
          <w:szCs w:val="28"/>
          <w:lang w:val="es-ES"/>
        </w:rPr>
        <w:t>por cuanto la especialidad de la</w:t>
      </w:r>
      <w:r w:rsidRPr="00527F3E">
        <w:rPr>
          <w:rFonts w:ascii="Times New Roman" w:eastAsia="Times New Roman" w:hAnsi="Times New Roman" w:cs="Times New Roman"/>
          <w:color w:val="000000"/>
          <w:sz w:val="28"/>
          <w:szCs w:val="28"/>
          <w:lang w:val="es-ES"/>
        </w:rPr>
        <w:t xml:space="preserve"> ley –relacionada con temas presupuestales– no permite impulsar actividades contractuales como el análisis del equilibrio económico del contrato, la distribución de riesgos, la renegociación de contrato o su terminación unilateral. No se cumple con la </w:t>
      </w:r>
      <w:r w:rsidRPr="00527F3E">
        <w:rPr>
          <w:rFonts w:ascii="Times New Roman" w:eastAsia="Times New Roman" w:hAnsi="Times New Roman" w:cs="Times New Roman"/>
          <w:i/>
          <w:iCs/>
          <w:color w:val="000000"/>
          <w:sz w:val="28"/>
          <w:szCs w:val="28"/>
          <w:lang w:val="es-ES"/>
        </w:rPr>
        <w:t>cone</w:t>
      </w:r>
      <w:r w:rsidRPr="00527F3E">
        <w:rPr>
          <w:rFonts w:ascii="Times New Roman" w:eastAsia="Times New Roman" w:hAnsi="Times New Roman" w:cs="Times New Roman"/>
          <w:i/>
          <w:iCs/>
          <w:color w:val="000000"/>
          <w:sz w:val="28"/>
          <w:szCs w:val="28"/>
          <w:lang w:val="es-ES"/>
        </w:rPr>
        <w:t>xidad sistemática</w:t>
      </w:r>
      <w:r w:rsidRPr="00527F3E">
        <w:rPr>
          <w:rFonts w:ascii="Times New Roman" w:eastAsia="Times New Roman" w:hAnsi="Times New Roman" w:cs="Times New Roman"/>
          <w:color w:val="000000"/>
          <w:sz w:val="28"/>
          <w:szCs w:val="28"/>
          <w:lang w:val="es-ES"/>
        </w:rPr>
        <w:t xml:space="preserve"> por cuanto, al modificar la remuneración de contratos de concesión, se estaría modificando una renta existente, en contravía del artículo 357 superior. El parágrafo no adelanta un análisis sobre cómo esa modificación afecta en las siguien</w:t>
      </w:r>
      <w:r w:rsidRPr="00527F3E">
        <w:rPr>
          <w:rFonts w:ascii="Times New Roman" w:eastAsia="Times New Roman" w:hAnsi="Times New Roman" w:cs="Times New Roman"/>
          <w:color w:val="000000"/>
          <w:sz w:val="28"/>
          <w:szCs w:val="28"/>
          <w:lang w:val="es-ES"/>
        </w:rPr>
        <w:t xml:space="preserve">tes vigencias los contratos, transgrediendo el principio de unidad de material al fijar impactos sustantivos con vocación de permanencia. </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9835C3">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De acuerdo con los intervinientes, la norma demandada busca terminar unilateralmente los contratos de sistemas de transporte masivo sin dar cuenta de lo que ocurriría a los usuarios ni cómo se mitigaría esa afectación. La norma entonces generaría una afect</w:t>
      </w:r>
      <w:r w:rsidRPr="00527F3E">
        <w:rPr>
          <w:rFonts w:ascii="Times New Roman" w:eastAsia="Times New Roman" w:hAnsi="Times New Roman" w:cs="Times New Roman"/>
          <w:color w:val="000000"/>
          <w:sz w:val="28"/>
          <w:szCs w:val="28"/>
          <w:lang w:val="es-ES"/>
        </w:rPr>
        <w:t>ación al derecho fundamental de las personas a movilizarse, violando el principio de unidad de materia, pues una ley de apropiaciones no puede tratar temas que tengan impacto directo sobre derechos fundamentales. Finalmente, afirman que se vulnera el princ</w:t>
      </w:r>
      <w:r w:rsidRPr="00527F3E">
        <w:rPr>
          <w:rFonts w:ascii="Times New Roman" w:eastAsia="Times New Roman" w:hAnsi="Times New Roman" w:cs="Times New Roman"/>
          <w:color w:val="000000"/>
          <w:sz w:val="28"/>
          <w:szCs w:val="28"/>
          <w:lang w:val="es-ES"/>
        </w:rPr>
        <w:t xml:space="preserve">ipio de unidad de materia por cuanto la norma hace partícipe al Ministerio de Transporte en la renegociación de contratos de los que no es parte y, en ese sentido, estaría proponiendo partes contractuales por vía de ley de apropiaciones. </w:t>
      </w:r>
    </w:p>
    <w:p w:rsidR="00B9678A" w:rsidRPr="00527F3E" w:rsidRDefault="00527F3E" w:rsidP="009835C3">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9835C3">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rPr>
      </w:pPr>
      <w:r w:rsidRPr="00527F3E">
        <w:rPr>
          <w:rFonts w:ascii="Times New Roman" w:eastAsia="Times New Roman" w:hAnsi="Times New Roman" w:cs="Times New Roman"/>
          <w:color w:val="000000"/>
          <w:sz w:val="28"/>
          <w:szCs w:val="28"/>
          <w:lang w:val="es-ES"/>
        </w:rPr>
        <w:t xml:space="preserve">El senador </w:t>
      </w:r>
      <w:r w:rsidRPr="00527F3E">
        <w:rPr>
          <w:rFonts w:ascii="Times New Roman" w:eastAsia="Times New Roman" w:hAnsi="Times New Roman" w:cs="Times New Roman"/>
          <w:b/>
          <w:color w:val="000000"/>
          <w:sz w:val="28"/>
          <w:szCs w:val="28"/>
          <w:lang w:val="es-ES"/>
        </w:rPr>
        <w:t>Migue</w:t>
      </w:r>
      <w:r w:rsidRPr="00527F3E">
        <w:rPr>
          <w:rFonts w:ascii="Times New Roman" w:eastAsia="Times New Roman" w:hAnsi="Times New Roman" w:cs="Times New Roman"/>
          <w:b/>
          <w:color w:val="000000"/>
          <w:sz w:val="28"/>
          <w:szCs w:val="28"/>
          <w:lang w:val="es-ES"/>
        </w:rPr>
        <w:t>l Uribe Turbay</w:t>
      </w:r>
      <w:r w:rsidRPr="00527F3E">
        <w:rPr>
          <w:rFonts w:ascii="Times New Roman" w:eastAsia="Times New Roman" w:hAnsi="Times New Roman" w:cs="Times New Roman"/>
          <w:b/>
          <w:bCs/>
          <w:color w:val="000000"/>
          <w:sz w:val="28"/>
          <w:szCs w:val="28"/>
          <w:lang w:val="es-ES"/>
        </w:rPr>
        <w:t xml:space="preserve"> </w:t>
      </w:r>
      <w:r w:rsidRPr="00527F3E">
        <w:rPr>
          <w:rFonts w:ascii="Times New Roman" w:eastAsia="Times New Roman" w:hAnsi="Times New Roman" w:cs="Times New Roman"/>
          <w:bCs/>
          <w:color w:val="000000"/>
          <w:sz w:val="28"/>
          <w:szCs w:val="28"/>
          <w:lang w:val="es-ES"/>
        </w:rPr>
        <w:t xml:space="preserve">pide se declare la inexequibilidad de la norma. </w:t>
      </w:r>
      <w:r w:rsidRPr="00527F3E">
        <w:rPr>
          <w:rFonts w:ascii="Times New Roman" w:eastAsia="Times New Roman" w:hAnsi="Times New Roman" w:cs="Times New Roman"/>
          <w:color w:val="000000"/>
          <w:sz w:val="28"/>
          <w:szCs w:val="28"/>
          <w:lang w:val="es-ES"/>
        </w:rPr>
        <w:t xml:space="preserve">No encuentra </w:t>
      </w:r>
      <w:r w:rsidRPr="00527F3E">
        <w:rPr>
          <w:rFonts w:ascii="Times New Roman" w:eastAsia="Times New Roman" w:hAnsi="Times New Roman" w:cs="Times New Roman"/>
          <w:i/>
          <w:iCs/>
          <w:color w:val="000000"/>
          <w:sz w:val="28"/>
          <w:szCs w:val="28"/>
          <w:lang w:val="es-ES"/>
        </w:rPr>
        <w:t>conexidad temática</w:t>
      </w:r>
      <w:r w:rsidRPr="00527F3E">
        <w:rPr>
          <w:rFonts w:ascii="Times New Roman" w:eastAsia="Times New Roman" w:hAnsi="Times New Roman" w:cs="Times New Roman"/>
          <w:color w:val="000000"/>
          <w:sz w:val="28"/>
          <w:szCs w:val="28"/>
          <w:lang w:val="es-ES"/>
        </w:rPr>
        <w:t>,</w:t>
      </w:r>
      <w:r w:rsidRPr="00527F3E">
        <w:rPr>
          <w:rFonts w:ascii="Times New Roman" w:eastAsia="Times New Roman" w:hAnsi="Times New Roman" w:cs="Times New Roman"/>
          <w:b/>
          <w:bCs/>
          <w:color w:val="000000"/>
          <w:sz w:val="28"/>
          <w:szCs w:val="28"/>
          <w:lang w:val="es-ES"/>
        </w:rPr>
        <w:t xml:space="preserve"> </w:t>
      </w:r>
      <w:r w:rsidRPr="00527F3E">
        <w:rPr>
          <w:rFonts w:ascii="Times New Roman" w:eastAsia="Times New Roman" w:hAnsi="Times New Roman" w:cs="Times New Roman"/>
          <w:color w:val="000000"/>
          <w:sz w:val="28"/>
          <w:szCs w:val="28"/>
          <w:lang w:val="es-ES"/>
        </w:rPr>
        <w:t>por cuanto la disposición demandada se relaciona con actividades contractuales, lo que es ajeno a la adición presupuestal a la que se refiere la norma. No encue</w:t>
      </w:r>
      <w:r w:rsidRPr="00527F3E">
        <w:rPr>
          <w:rFonts w:ascii="Times New Roman" w:eastAsia="Times New Roman" w:hAnsi="Times New Roman" w:cs="Times New Roman"/>
          <w:color w:val="000000"/>
          <w:sz w:val="28"/>
          <w:szCs w:val="28"/>
          <w:lang w:val="es-ES"/>
        </w:rPr>
        <w:t xml:space="preserve">ntra tampoco </w:t>
      </w:r>
      <w:r w:rsidRPr="00527F3E">
        <w:rPr>
          <w:rFonts w:ascii="Times New Roman" w:eastAsia="Times New Roman" w:hAnsi="Times New Roman" w:cs="Times New Roman"/>
          <w:i/>
          <w:iCs/>
          <w:color w:val="000000"/>
          <w:sz w:val="28"/>
          <w:szCs w:val="28"/>
          <w:lang w:val="es-ES"/>
        </w:rPr>
        <w:t>conexidad teleológica</w:t>
      </w:r>
      <w:r w:rsidRPr="00527F3E">
        <w:rPr>
          <w:rFonts w:ascii="Times New Roman" w:eastAsia="Times New Roman" w:hAnsi="Times New Roman" w:cs="Times New Roman"/>
          <w:b/>
          <w:bCs/>
          <w:color w:val="000000"/>
          <w:sz w:val="28"/>
          <w:szCs w:val="28"/>
          <w:lang w:val="es-ES"/>
        </w:rPr>
        <w:t xml:space="preserve"> </w:t>
      </w:r>
      <w:r w:rsidRPr="00527F3E">
        <w:rPr>
          <w:rFonts w:ascii="Times New Roman" w:eastAsia="Times New Roman" w:hAnsi="Times New Roman" w:cs="Times New Roman"/>
          <w:color w:val="000000"/>
          <w:sz w:val="28"/>
          <w:szCs w:val="28"/>
          <w:lang w:val="es-ES"/>
        </w:rPr>
        <w:t xml:space="preserve">debido a que el parágrafo demandado no guarda relación con el fin de asignar recursos a los SITPM y SETP para cubrir parte de su déficit operacional. </w:t>
      </w:r>
      <w:r w:rsidRPr="00527F3E">
        <w:rPr>
          <w:rFonts w:ascii="Times New Roman" w:eastAsia="Times New Roman" w:hAnsi="Times New Roman" w:cs="Times New Roman"/>
          <w:color w:val="000000"/>
          <w:sz w:val="28"/>
          <w:szCs w:val="28"/>
        </w:rPr>
        <w:t>Al ordenar la renegociación y eventual terminación unilateral de contra</w:t>
      </w:r>
      <w:r w:rsidRPr="00527F3E">
        <w:rPr>
          <w:rFonts w:ascii="Times New Roman" w:eastAsia="Times New Roman" w:hAnsi="Times New Roman" w:cs="Times New Roman"/>
          <w:color w:val="000000"/>
          <w:sz w:val="28"/>
          <w:szCs w:val="28"/>
        </w:rPr>
        <w:t>tos de concesión no se garantiza la continuidad de la prestación eficiente del servicio de transporte masivo de pasajeros y, por el contrario, se afecta la confianza legítima de los concesionarios que optaron por participar de los procesos de selección baj</w:t>
      </w:r>
      <w:r w:rsidRPr="00527F3E">
        <w:rPr>
          <w:rFonts w:ascii="Times New Roman" w:eastAsia="Times New Roman" w:hAnsi="Times New Roman" w:cs="Times New Roman"/>
          <w:color w:val="000000"/>
          <w:sz w:val="28"/>
          <w:szCs w:val="28"/>
        </w:rPr>
        <w:t>o las condiciones señaladas. Asimismo, la norma indica que el objetivo de la renegociación es mitigar los efectos del Covid-19 en el déficit operacional, pero esta no tiene en cuenta que algunos de los contratos que la norma abarca entraron en operación de</w:t>
      </w:r>
      <w:r w:rsidRPr="00527F3E">
        <w:rPr>
          <w:rFonts w:ascii="Times New Roman" w:eastAsia="Times New Roman" w:hAnsi="Times New Roman" w:cs="Times New Roman"/>
          <w:color w:val="000000"/>
          <w:sz w:val="28"/>
          <w:szCs w:val="28"/>
        </w:rPr>
        <w:t>spués de la pandemia o fueron adjudicados durante esta, por lo que no se encuentra sustentada la motivación del legislador para imponer una obligación a las autoridades territoriales. Por otra parte, la renegociación de los contratos con el objetivo de red</w:t>
      </w:r>
      <w:r w:rsidRPr="00527F3E">
        <w:rPr>
          <w:rFonts w:ascii="Times New Roman" w:eastAsia="Times New Roman" w:hAnsi="Times New Roman" w:cs="Times New Roman"/>
          <w:color w:val="000000"/>
          <w:sz w:val="28"/>
          <w:szCs w:val="28"/>
        </w:rPr>
        <w:t>ucir costos traslada al contratista el presunto desequilibrio económico que alega la parte contratante.  Asimismo, el efecto negativo que puede causar dicha norma de cara a la eficiente prestación del servicio puede generar un ambiente de incertidumbre que</w:t>
      </w:r>
      <w:r w:rsidRPr="00527F3E">
        <w:rPr>
          <w:rFonts w:ascii="Times New Roman" w:eastAsia="Times New Roman" w:hAnsi="Times New Roman" w:cs="Times New Roman"/>
          <w:color w:val="000000"/>
          <w:sz w:val="28"/>
          <w:szCs w:val="28"/>
        </w:rPr>
        <w:t xml:space="preserve"> puede afectar a la ciudadanía y a los financiadores del sistema. Dicha cláusula también castiga a quien no negocie con la terminación unilateral del contrato, lo que desnaturaliza el sustento de las facultades extraordinarias. En resumen, la disposición e</w:t>
      </w:r>
      <w:r w:rsidRPr="00527F3E">
        <w:rPr>
          <w:rFonts w:ascii="Times New Roman" w:eastAsia="Times New Roman" w:hAnsi="Times New Roman" w:cs="Times New Roman"/>
          <w:color w:val="000000"/>
          <w:sz w:val="28"/>
          <w:szCs w:val="28"/>
        </w:rPr>
        <w:t xml:space="preserve">n cuestión no persigue los mismos fines que la ley y podría obstaculizar la prestación adecuada del servicio del transporte masivo de pasajeros. </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rPr>
      </w:pPr>
    </w:p>
    <w:p w:rsidR="00B9678A" w:rsidRPr="00527F3E" w:rsidRDefault="00527F3E" w:rsidP="009835C3">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rPr>
      </w:pPr>
      <w:r w:rsidRPr="00527F3E">
        <w:rPr>
          <w:rFonts w:ascii="Times New Roman" w:eastAsia="Times New Roman" w:hAnsi="Times New Roman" w:cs="Times New Roman"/>
          <w:color w:val="000000"/>
          <w:sz w:val="28"/>
          <w:szCs w:val="28"/>
        </w:rPr>
        <w:t xml:space="preserve">En criterio del interviniente, la norma demandada tampoco cumple con la </w:t>
      </w:r>
      <w:r w:rsidRPr="00527F3E">
        <w:rPr>
          <w:rFonts w:ascii="Times New Roman" w:eastAsia="Times New Roman" w:hAnsi="Times New Roman" w:cs="Times New Roman"/>
          <w:i/>
          <w:iCs/>
          <w:color w:val="000000"/>
          <w:sz w:val="28"/>
          <w:szCs w:val="28"/>
        </w:rPr>
        <w:t>conexidad causal</w:t>
      </w:r>
      <w:r w:rsidRPr="00527F3E">
        <w:rPr>
          <w:rFonts w:ascii="Times New Roman" w:eastAsia="Times New Roman" w:hAnsi="Times New Roman" w:cs="Times New Roman"/>
          <w:color w:val="000000"/>
          <w:sz w:val="28"/>
          <w:szCs w:val="28"/>
        </w:rPr>
        <w:t>, pues no guarda relación con los motivos por los que se expidió la Ley 2299 de 2023, que consistía en aumentar el presupuesto para atender las necesidades de diferentes sectores y dar cumplimiento al Plan Nacional de Desarrollo.  Finalmente, no cumple con</w:t>
      </w:r>
      <w:r w:rsidRPr="00527F3E">
        <w:rPr>
          <w:rFonts w:ascii="Times New Roman" w:eastAsia="Times New Roman" w:hAnsi="Times New Roman" w:cs="Times New Roman"/>
          <w:color w:val="000000"/>
          <w:sz w:val="28"/>
          <w:szCs w:val="28"/>
        </w:rPr>
        <w:t xml:space="preserve"> la </w:t>
      </w:r>
      <w:r w:rsidRPr="00527F3E">
        <w:rPr>
          <w:rFonts w:ascii="Times New Roman" w:eastAsia="Times New Roman" w:hAnsi="Times New Roman" w:cs="Times New Roman"/>
          <w:i/>
          <w:iCs/>
          <w:color w:val="000000"/>
          <w:sz w:val="28"/>
          <w:szCs w:val="28"/>
        </w:rPr>
        <w:t>conexidad sistemática,</w:t>
      </w:r>
      <w:r w:rsidRPr="00527F3E">
        <w:rPr>
          <w:rFonts w:ascii="Times New Roman" w:eastAsia="Times New Roman" w:hAnsi="Times New Roman" w:cs="Times New Roman"/>
          <w:color w:val="000000"/>
          <w:sz w:val="28"/>
          <w:szCs w:val="28"/>
        </w:rPr>
        <w:t xml:space="preserve"> pues las disposiciones de la Ley son de carácter apropiativo, mientras que la norma acusada establece la orden de renegociación contractual y posterior terminación unilateral de contratos estatales, por lo que ambas carecen de ne</w:t>
      </w:r>
      <w:r w:rsidRPr="00527F3E">
        <w:rPr>
          <w:rFonts w:ascii="Times New Roman" w:eastAsia="Times New Roman" w:hAnsi="Times New Roman" w:cs="Times New Roman"/>
          <w:color w:val="000000"/>
          <w:sz w:val="28"/>
          <w:szCs w:val="28"/>
        </w:rPr>
        <w:t>xo causal.</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rPr>
      </w:pPr>
    </w:p>
    <w:p w:rsidR="00B9678A" w:rsidRPr="00527F3E" w:rsidRDefault="00527F3E" w:rsidP="009835C3">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rPr>
      </w:pPr>
      <w:r w:rsidRPr="00527F3E">
        <w:rPr>
          <w:rFonts w:ascii="Times New Roman" w:eastAsia="Times New Roman" w:hAnsi="Times New Roman" w:cs="Times New Roman"/>
          <w:color w:val="000000"/>
          <w:sz w:val="28"/>
          <w:szCs w:val="28"/>
          <w:lang w:val="es-ES"/>
        </w:rPr>
        <w:t>Por último, la disposición acusada, además de carecer de cualquier vínculo con la ejecución del presupuesto, establece que la renegociación debe darse a más tardar el 31 de diciembre de 2023. Sin embargo, no prevé el tiempo en el que debe ejerc</w:t>
      </w:r>
      <w:r w:rsidRPr="00527F3E">
        <w:rPr>
          <w:rFonts w:ascii="Times New Roman" w:eastAsia="Times New Roman" w:hAnsi="Times New Roman" w:cs="Times New Roman"/>
          <w:color w:val="000000"/>
          <w:sz w:val="28"/>
          <w:szCs w:val="28"/>
          <w:lang w:val="es-ES"/>
        </w:rPr>
        <w:t xml:space="preserve">erse la facultad de terminación unilateral, ni el tiempo para adoptar acuerdos alcanzados en la renegociación. Ese tiempo podría superar la vigencia fiscal, por lo que la disposición acusada transgrede el principio constitucional de unidad de materia. </w:t>
      </w:r>
    </w:p>
    <w:p w:rsidR="00B9678A" w:rsidRPr="00527F3E" w:rsidRDefault="00527F3E" w:rsidP="009835C3">
      <w:pPr>
        <w:spacing w:line="240" w:lineRule="auto"/>
        <w:contextualSpacing/>
        <w:rPr>
          <w:rFonts w:ascii="Times New Roman" w:eastAsia="Times New Roman" w:hAnsi="Times New Roman" w:cs="Times New Roman"/>
          <w:color w:val="000000"/>
          <w:sz w:val="28"/>
          <w:szCs w:val="28"/>
        </w:rPr>
      </w:pPr>
    </w:p>
    <w:p w:rsidR="00B9678A" w:rsidRPr="00527F3E" w:rsidRDefault="00527F3E" w:rsidP="009835C3">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rPr>
        <w:t>El</w:t>
      </w:r>
      <w:r w:rsidRPr="00527F3E">
        <w:rPr>
          <w:rFonts w:ascii="Times New Roman" w:eastAsia="Times New Roman" w:hAnsi="Times New Roman" w:cs="Times New Roman"/>
          <w:color w:val="000000"/>
          <w:sz w:val="28"/>
          <w:szCs w:val="28"/>
        </w:rPr>
        <w:t xml:space="preserve"> ciudadano </w:t>
      </w:r>
      <w:r w:rsidRPr="00527F3E">
        <w:rPr>
          <w:rFonts w:ascii="Times New Roman" w:eastAsia="Times New Roman" w:hAnsi="Times New Roman" w:cs="Times New Roman"/>
          <w:b/>
          <w:color w:val="000000"/>
          <w:sz w:val="28"/>
          <w:szCs w:val="28"/>
          <w:lang w:eastAsia="es-MX"/>
        </w:rPr>
        <w:t>Daniel Murgueitio Escobar</w:t>
      </w:r>
      <w:r w:rsidRPr="00527F3E">
        <w:rPr>
          <w:rFonts w:ascii="Times New Roman" w:eastAsia="Times New Roman" w:hAnsi="Times New Roman" w:cs="Times New Roman"/>
          <w:color w:val="000000"/>
          <w:sz w:val="28"/>
          <w:szCs w:val="28"/>
          <w:lang w:eastAsia="es-MX"/>
        </w:rPr>
        <w:t>, invocando su calidad de ciudadano y representante legal de la concesionaria Este Es Mi Bus S.A.S, pide a la Corte declarar la inexequibilidad de la norma. Tras explicar cómo opera el sistema integrado de transporte púb</w:t>
      </w:r>
      <w:r w:rsidRPr="00527F3E">
        <w:rPr>
          <w:rFonts w:ascii="Times New Roman" w:eastAsia="Times New Roman" w:hAnsi="Times New Roman" w:cs="Times New Roman"/>
          <w:color w:val="000000"/>
          <w:sz w:val="28"/>
          <w:szCs w:val="28"/>
          <w:lang w:eastAsia="es-MX"/>
        </w:rPr>
        <w:t xml:space="preserve">lico de Bogotá y la naturaleza jurídica de las entidades que lo conforman, el interviniente plantea dos reproches de inconstitucionalidad. En primer lugar, sostiene que la </w:t>
      </w:r>
      <w:r w:rsidRPr="00527F3E">
        <w:rPr>
          <w:rFonts w:ascii="Times New Roman" w:eastAsia="Times New Roman" w:hAnsi="Times New Roman" w:cs="Times New Roman"/>
          <w:color w:val="000000"/>
          <w:sz w:val="28"/>
          <w:szCs w:val="28"/>
          <w:lang w:val="es-ES"/>
        </w:rPr>
        <w:t>disposición acusada vulnera el principio constitucional de descentralización y auton</w:t>
      </w:r>
      <w:r w:rsidRPr="00527F3E">
        <w:rPr>
          <w:rFonts w:ascii="Times New Roman" w:eastAsia="Times New Roman" w:hAnsi="Times New Roman" w:cs="Times New Roman"/>
          <w:color w:val="000000"/>
          <w:sz w:val="28"/>
          <w:szCs w:val="28"/>
          <w:lang w:val="es-ES"/>
        </w:rPr>
        <w:t>omía de las entidades territoriales contenido en el artículo 1 de la Constitución, por cuanto esta dicta una orden directa a las entidades territoriales y a los entes gestores que tienen a su cargo la administración y operación del servicio de transporte m</w:t>
      </w:r>
      <w:r w:rsidRPr="00527F3E">
        <w:rPr>
          <w:rFonts w:ascii="Times New Roman" w:eastAsia="Times New Roman" w:hAnsi="Times New Roman" w:cs="Times New Roman"/>
          <w:color w:val="000000"/>
          <w:sz w:val="28"/>
          <w:szCs w:val="28"/>
          <w:lang w:val="es-ES"/>
        </w:rPr>
        <w:t>asivo de pasajeros. Explica que la orden de renegociar los contratos como paso previo a la terminación unilateral desconoce la autonomía y competencias con las que cuentan las autoridades territoriales para gestionar los sistemas de transporte masivo de pa</w:t>
      </w:r>
      <w:r w:rsidRPr="00527F3E">
        <w:rPr>
          <w:rFonts w:ascii="Times New Roman" w:eastAsia="Times New Roman" w:hAnsi="Times New Roman" w:cs="Times New Roman"/>
          <w:color w:val="000000"/>
          <w:sz w:val="28"/>
          <w:szCs w:val="28"/>
          <w:lang w:val="es-ES"/>
        </w:rPr>
        <w:t xml:space="preserve">sajeros que se encuentran a su cargo y desconoce también contratos válidamente celebrados. </w:t>
      </w:r>
    </w:p>
    <w:p w:rsidR="00B9678A" w:rsidRPr="00527F3E" w:rsidRDefault="00527F3E" w:rsidP="009835C3">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9835C3">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En segundo lugar, sostiene que la norma vulnera el principio de unidad de materia por cuanto el sistema de transporte tiene el carácter de servicio público esencia</w:t>
      </w:r>
      <w:r w:rsidRPr="00527F3E">
        <w:rPr>
          <w:rFonts w:ascii="Times New Roman" w:eastAsia="Times New Roman" w:hAnsi="Times New Roman" w:cs="Times New Roman"/>
          <w:color w:val="000000"/>
          <w:sz w:val="28"/>
          <w:szCs w:val="28"/>
          <w:lang w:val="es-ES"/>
        </w:rPr>
        <w:t>l, y no resulta congruente que el Congreso supedite la asignación de recursos para estos sistemas a la renegociación de contratos, toda vez que esa renegociación no guarda relación con el presupuesto general de la Nación. Explica que la disposición acusada</w:t>
      </w:r>
      <w:r w:rsidRPr="00527F3E">
        <w:rPr>
          <w:rFonts w:ascii="Times New Roman" w:eastAsia="Times New Roman" w:hAnsi="Times New Roman" w:cs="Times New Roman"/>
          <w:color w:val="000000"/>
          <w:sz w:val="28"/>
          <w:szCs w:val="28"/>
          <w:lang w:val="es-ES"/>
        </w:rPr>
        <w:t xml:space="preserve"> acarrea consecuencias muy diferentes al propósito inherente a la ley de presupuesto, ya que si bien asigna recursos necesarios para el sistema de transporte, lo hace creando condicionamientos y situaciones jurídicas extrañas, como la revisión y renegociac</w:t>
      </w:r>
      <w:r w:rsidRPr="00527F3E">
        <w:rPr>
          <w:rFonts w:ascii="Times New Roman" w:eastAsia="Times New Roman" w:hAnsi="Times New Roman" w:cs="Times New Roman"/>
          <w:color w:val="000000"/>
          <w:sz w:val="28"/>
          <w:szCs w:val="28"/>
          <w:lang w:val="es-ES"/>
        </w:rPr>
        <w:t xml:space="preserve">ión de los contratos de transporte público masivo de pasajeros, materia que evidentemente escapa a la órbita de la ley. </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Señala que la norma acusada también vulnera el criterio temporal, pues aunque establece como fecha máxima para la renegociación el 31 de diciembre de 2023, no existe claridad sobre si la implementación de las negociaciones debe quedar en firme para esa fec</w:t>
      </w:r>
      <w:r w:rsidRPr="00527F3E">
        <w:rPr>
          <w:rFonts w:ascii="Times New Roman" w:eastAsia="Times New Roman" w:hAnsi="Times New Roman" w:cs="Times New Roman"/>
          <w:color w:val="000000"/>
          <w:sz w:val="28"/>
          <w:szCs w:val="28"/>
          <w:lang w:val="es-ES"/>
        </w:rPr>
        <w:t>ha, generando una incertidumbre que pone en riesgo la prestación del servicio. Asimismo, si la administración resuelve ejercer la facultad excepcional de terminación unilateral, sólo puede hacerlo con posterioridad al 31 de diciembre de 2023, con lo cual n</w:t>
      </w:r>
      <w:r w:rsidRPr="00527F3E">
        <w:rPr>
          <w:rFonts w:ascii="Times New Roman" w:eastAsia="Times New Roman" w:hAnsi="Times New Roman" w:cs="Times New Roman"/>
          <w:color w:val="000000"/>
          <w:sz w:val="28"/>
          <w:szCs w:val="28"/>
          <w:lang w:val="es-ES"/>
        </w:rPr>
        <w:t xml:space="preserve">o resulta ser claro en la norma el criterio temporal. </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B9678A">
      <w:pPr>
        <w:keepNext/>
        <w:spacing w:after="0" w:line="240" w:lineRule="auto"/>
        <w:jc w:val="both"/>
        <w:textAlignment w:val="baseline"/>
        <w:outlineLvl w:val="0"/>
        <w:rPr>
          <w:rFonts w:ascii="Times New Roman" w:eastAsia="Times New Roman" w:hAnsi="Times New Roman" w:cs="Times New Roman"/>
          <w:b/>
          <w:bCs/>
          <w:color w:val="000000"/>
          <w:sz w:val="28"/>
          <w:szCs w:val="28"/>
          <w:bdr w:val="none" w:sz="0" w:space="0" w:color="auto" w:frame="1"/>
          <w:lang w:eastAsia="es-ES"/>
        </w:rPr>
      </w:pPr>
      <w:r w:rsidRPr="00527F3E">
        <w:rPr>
          <w:rFonts w:ascii="Times New Roman" w:eastAsia="Times New Roman" w:hAnsi="Times New Roman" w:cs="Times New Roman"/>
          <w:b/>
          <w:bCs/>
          <w:color w:val="000000"/>
          <w:sz w:val="28"/>
          <w:szCs w:val="28"/>
          <w:bdr w:val="none" w:sz="0" w:space="0" w:color="auto" w:frame="1"/>
          <w:lang w:eastAsia="es-ES"/>
        </w:rPr>
        <w:t>VI. CONCEPTO DE LA PROCURADORA GENERAL DE LA NACIÓN</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rPr>
      </w:pPr>
      <w:bookmarkStart w:id="4" w:name="_Hlk128663747"/>
    </w:p>
    <w:p w:rsidR="00B9678A" w:rsidRPr="00527F3E" w:rsidRDefault="00527F3E" w:rsidP="00656A25">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bdr w:val="none" w:sz="0" w:space="0" w:color="auto" w:frame="1"/>
          <w:lang w:eastAsia="es-ES"/>
        </w:rPr>
      </w:pPr>
      <w:r w:rsidRPr="00527F3E">
        <w:rPr>
          <w:rFonts w:ascii="Times New Roman" w:eastAsia="Times New Roman" w:hAnsi="Times New Roman" w:cs="Times New Roman"/>
          <w:color w:val="000000"/>
          <w:sz w:val="28"/>
          <w:szCs w:val="28"/>
        </w:rPr>
        <w:t>La procuradora general de la nación solicita a la Corte proferir un fallo inhibitorio porque el proceso de la referencia carece de objeto ante el agotamiento del contenido cuestionado del parágrafo 2º del artículo 4º de la Ley 2299 de 2023. Sostiene que la</w:t>
      </w:r>
      <w:r w:rsidRPr="00527F3E">
        <w:rPr>
          <w:rFonts w:ascii="Times New Roman" w:eastAsia="Times New Roman" w:hAnsi="Times New Roman" w:cs="Times New Roman"/>
          <w:color w:val="000000"/>
          <w:sz w:val="28"/>
          <w:szCs w:val="28"/>
        </w:rPr>
        <w:t xml:space="preserve"> autorización que la norma demandada establecía en favor de las entidades territoriales para examinar el equilibrio económico y, eventualmente, renegociar o terminar los contratos de concesión y operación de los Sistemas Integrados de Transporte Masivo (SI</w:t>
      </w:r>
      <w:r w:rsidRPr="00527F3E">
        <w:rPr>
          <w:rFonts w:ascii="Times New Roman" w:eastAsia="Times New Roman" w:hAnsi="Times New Roman" w:cs="Times New Roman"/>
          <w:color w:val="000000"/>
          <w:sz w:val="28"/>
          <w:szCs w:val="28"/>
        </w:rPr>
        <w:t xml:space="preserve">TM) y de los Sistemas Estratégicos de Transporte Público (SETP) expiró el 31 de diciembre de 2023. </w:t>
      </w:r>
      <w:bookmarkEnd w:id="4"/>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bdr w:val="none" w:sz="0" w:space="0" w:color="auto" w:frame="1"/>
          <w:lang w:eastAsia="es-ES"/>
        </w:rPr>
      </w:pPr>
    </w:p>
    <w:p w:rsidR="00B9678A" w:rsidRPr="00527F3E" w:rsidRDefault="00527F3E" w:rsidP="00B9678A">
      <w:pPr>
        <w:keepNext/>
        <w:spacing w:after="0" w:line="240" w:lineRule="auto"/>
        <w:jc w:val="both"/>
        <w:textAlignment w:val="baseline"/>
        <w:outlineLvl w:val="0"/>
        <w:rPr>
          <w:rFonts w:ascii="Times New Roman" w:eastAsia="Times New Roman" w:hAnsi="Times New Roman" w:cs="Times New Roman"/>
          <w:b/>
          <w:bCs/>
          <w:color w:val="000000"/>
          <w:sz w:val="28"/>
          <w:szCs w:val="28"/>
          <w:bdr w:val="none" w:sz="0" w:space="0" w:color="auto" w:frame="1"/>
          <w:lang w:eastAsia="es-ES"/>
        </w:rPr>
      </w:pPr>
      <w:r w:rsidRPr="00527F3E">
        <w:rPr>
          <w:rFonts w:ascii="Times New Roman" w:eastAsia="Times New Roman" w:hAnsi="Times New Roman" w:cs="Times New Roman"/>
          <w:b/>
          <w:bCs/>
          <w:color w:val="000000"/>
          <w:spacing w:val="4"/>
          <w:sz w:val="28"/>
          <w:szCs w:val="28"/>
          <w:bdr w:val="none" w:sz="0" w:space="0" w:color="auto" w:frame="1"/>
          <w:lang w:eastAsia="es-ES"/>
        </w:rPr>
        <w:t xml:space="preserve">VII. </w:t>
      </w:r>
      <w:r w:rsidRPr="00527F3E">
        <w:rPr>
          <w:rFonts w:ascii="Times New Roman" w:eastAsia="Times New Roman" w:hAnsi="Times New Roman" w:cs="Times New Roman"/>
          <w:b/>
          <w:bCs/>
          <w:color w:val="000000"/>
          <w:sz w:val="28"/>
          <w:szCs w:val="28"/>
          <w:bdr w:val="none" w:sz="0" w:space="0" w:color="auto" w:frame="1"/>
          <w:lang w:eastAsia="es-ES"/>
        </w:rPr>
        <w:t>CONSIDERACIONES DE LA CORTE CONSTITUCIONAL</w:t>
      </w:r>
    </w:p>
    <w:p w:rsidR="00B9678A" w:rsidRPr="00527F3E" w:rsidRDefault="00527F3E" w:rsidP="00B9678A">
      <w:pPr>
        <w:spacing w:after="0" w:line="240" w:lineRule="auto"/>
        <w:jc w:val="both"/>
        <w:textAlignment w:val="baseline"/>
        <w:rPr>
          <w:rFonts w:ascii="Times New Roman" w:eastAsia="Times New Roman" w:hAnsi="Times New Roman" w:cs="Times New Roman"/>
          <w:color w:val="000000"/>
          <w:sz w:val="28"/>
          <w:szCs w:val="28"/>
          <w:lang w:eastAsia="es-ES"/>
        </w:rPr>
      </w:pPr>
      <w:r w:rsidRPr="00527F3E">
        <w:rPr>
          <w:rFonts w:ascii="Times New Roman" w:eastAsia="Times New Roman" w:hAnsi="Times New Roman" w:cs="Times New Roman"/>
          <w:b/>
          <w:bCs/>
          <w:color w:val="000000"/>
          <w:sz w:val="28"/>
          <w:szCs w:val="28"/>
          <w:bdr w:val="none" w:sz="0" w:space="0" w:color="auto" w:frame="1"/>
          <w:lang w:eastAsia="es-ES"/>
        </w:rPr>
        <w:t> </w:t>
      </w:r>
    </w:p>
    <w:p w:rsidR="00B9678A" w:rsidRPr="00527F3E" w:rsidRDefault="00527F3E" w:rsidP="00B9678A">
      <w:pPr>
        <w:tabs>
          <w:tab w:val="left" w:pos="284"/>
        </w:tabs>
        <w:autoSpaceDE w:val="0"/>
        <w:autoSpaceDN w:val="0"/>
        <w:adjustRightInd w:val="0"/>
        <w:spacing w:after="0" w:line="240" w:lineRule="auto"/>
        <w:jc w:val="both"/>
        <w:outlineLvl w:val="1"/>
        <w:rPr>
          <w:rFonts w:ascii="Times New Roman" w:eastAsia="Times New Roman" w:hAnsi="Times New Roman" w:cs="Times New Roman"/>
          <w:i/>
          <w:iCs/>
          <w:color w:val="000000"/>
          <w:sz w:val="28"/>
          <w:szCs w:val="28"/>
          <w:bdr w:val="none" w:sz="0" w:space="0" w:color="auto" w:frame="1"/>
        </w:rPr>
      </w:pPr>
      <w:r w:rsidRPr="00527F3E">
        <w:rPr>
          <w:rFonts w:ascii="Times New Roman" w:eastAsia="Times New Roman" w:hAnsi="Times New Roman" w:cs="Times New Roman"/>
          <w:b/>
          <w:bCs/>
          <w:color w:val="000000"/>
          <w:sz w:val="28"/>
          <w:szCs w:val="28"/>
          <w:bdr w:val="none" w:sz="0" w:space="0" w:color="auto" w:frame="1"/>
        </w:rPr>
        <w:tab/>
      </w:r>
      <w:r w:rsidRPr="00527F3E">
        <w:rPr>
          <w:rFonts w:ascii="Times New Roman" w:eastAsia="Times New Roman" w:hAnsi="Times New Roman" w:cs="Times New Roman"/>
          <w:i/>
          <w:iCs/>
          <w:color w:val="000000"/>
          <w:sz w:val="28"/>
          <w:szCs w:val="28"/>
          <w:bdr w:val="none" w:sz="0" w:space="0" w:color="auto" w:frame="1"/>
        </w:rPr>
        <w:t>Competencia de la Corte</w:t>
      </w:r>
    </w:p>
    <w:p w:rsidR="00B9678A" w:rsidRPr="00527F3E" w:rsidRDefault="00527F3E" w:rsidP="00B9678A">
      <w:pPr>
        <w:spacing w:line="240" w:lineRule="auto"/>
        <w:ind w:left="720"/>
        <w:contextualSpacing/>
        <w:rPr>
          <w:rFonts w:ascii="Times New Roman" w:eastAsia="Times New Roman" w:hAnsi="Times New Roman" w:cs="Times New Roman"/>
          <w:color w:val="000000"/>
          <w:sz w:val="28"/>
          <w:szCs w:val="28"/>
          <w:bdr w:val="none" w:sz="0" w:space="0" w:color="auto" w:frame="1"/>
          <w:lang w:eastAsia="es-ES"/>
        </w:rPr>
      </w:pPr>
    </w:p>
    <w:p w:rsidR="00B9678A" w:rsidRPr="00527F3E" w:rsidRDefault="00527F3E" w:rsidP="009835C3">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bdr w:val="none" w:sz="0" w:space="0" w:color="auto" w:frame="1"/>
          <w:lang w:eastAsia="es-ES"/>
        </w:rPr>
      </w:pPr>
      <w:r w:rsidRPr="00527F3E">
        <w:rPr>
          <w:rFonts w:ascii="Times New Roman" w:eastAsia="Times New Roman" w:hAnsi="Times New Roman" w:cs="Times New Roman"/>
          <w:color w:val="000000"/>
          <w:sz w:val="28"/>
          <w:szCs w:val="28"/>
          <w:bdr w:val="none" w:sz="0" w:space="0" w:color="auto" w:frame="1"/>
          <w:lang w:eastAsia="es-ES"/>
        </w:rPr>
        <w:t xml:space="preserve">De acuerdo con lo dispuesto en el artículo 241 numeral 4° de la Constitución </w:t>
      </w:r>
      <w:r w:rsidRPr="00527F3E">
        <w:rPr>
          <w:rFonts w:ascii="Times New Roman" w:eastAsia="Times New Roman" w:hAnsi="Times New Roman" w:cs="Times New Roman"/>
          <w:color w:val="000000"/>
          <w:sz w:val="28"/>
          <w:szCs w:val="28"/>
          <w:bdr w:val="none" w:sz="0" w:space="0" w:color="auto" w:frame="1"/>
          <w:lang w:eastAsia="es-ES"/>
        </w:rPr>
        <w:t>Política, la Corte Constitucional es competente para pronunciarse sobre la demanda de inconstitucionalidad, pues la disposición acusada está contenida en una ley de la República.</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bdr w:val="none" w:sz="0" w:space="0" w:color="auto" w:frame="1"/>
          <w:lang w:eastAsia="es-ES"/>
        </w:rPr>
      </w:pPr>
    </w:p>
    <w:p w:rsidR="00B9678A" w:rsidRPr="00527F3E" w:rsidRDefault="00527F3E" w:rsidP="009835C3">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bdr w:val="none" w:sz="0" w:space="0" w:color="auto" w:frame="1"/>
          <w:lang w:eastAsia="es-ES"/>
        </w:rPr>
      </w:pPr>
      <w:r w:rsidRPr="00527F3E">
        <w:rPr>
          <w:rFonts w:ascii="Times New Roman" w:eastAsia="Times New Roman" w:hAnsi="Times New Roman" w:cs="Times New Roman"/>
          <w:color w:val="000000"/>
          <w:sz w:val="28"/>
          <w:szCs w:val="28"/>
          <w:bdr w:val="none" w:sz="0" w:space="0" w:color="auto" w:frame="1"/>
          <w:lang w:eastAsia="es-ES"/>
        </w:rPr>
        <w:t xml:space="preserve">En el presente asunto </w:t>
      </w:r>
      <w:r w:rsidRPr="00527F3E">
        <w:rPr>
          <w:rFonts w:ascii="Times New Roman" w:eastAsia="Times New Roman" w:hAnsi="Times New Roman" w:cs="Times New Roman"/>
          <w:color w:val="000000"/>
          <w:sz w:val="28"/>
          <w:szCs w:val="28"/>
          <w:lang w:val="es-ES"/>
        </w:rPr>
        <w:t>la procuradora general de la Nación pidió proferir un fallo inhibitorio por cuanto la norma demandada tenía una vigencia temporal que expiró el 31 de diciembre de 2023, razón por la cual la Corte Constitucional carece de competencia para pronunciarse de fo</w:t>
      </w:r>
      <w:r w:rsidRPr="00527F3E">
        <w:rPr>
          <w:rFonts w:ascii="Times New Roman" w:eastAsia="Times New Roman" w:hAnsi="Times New Roman" w:cs="Times New Roman"/>
          <w:color w:val="000000"/>
          <w:sz w:val="28"/>
          <w:szCs w:val="28"/>
          <w:lang w:val="es-ES"/>
        </w:rPr>
        <w:t xml:space="preserve">ndo. Entretanto, </w:t>
      </w:r>
      <w:r w:rsidRPr="00527F3E">
        <w:rPr>
          <w:rFonts w:ascii="Times New Roman" w:eastAsia="Times New Roman" w:hAnsi="Times New Roman" w:cs="Times New Roman"/>
          <w:sz w:val="28"/>
          <w:szCs w:val="28"/>
          <w:lang w:val="es-ES"/>
        </w:rPr>
        <w:t>el 17 de enero de 2024 el demandante solicitó a la Corte adoptar una decisión de fondo debido a la necesidad de “establecer un precedente constitucional en materia de seguridad jurídica no solo para el Transporte Público del país pero para</w:t>
      </w:r>
      <w:r w:rsidRPr="00527F3E">
        <w:rPr>
          <w:rFonts w:ascii="Times New Roman" w:eastAsia="Times New Roman" w:hAnsi="Times New Roman" w:cs="Times New Roman"/>
          <w:sz w:val="28"/>
          <w:szCs w:val="28"/>
          <w:lang w:val="es-ES"/>
        </w:rPr>
        <w:t xml:space="preserve"> todos los contratos públicos a nivel nacional”</w:t>
      </w:r>
      <w:r w:rsidRPr="00527F3E">
        <w:rPr>
          <w:rFonts w:ascii="Times New Roman" w:eastAsia="Times New Roman" w:hAnsi="Times New Roman" w:cs="Times New Roman"/>
          <w:sz w:val="28"/>
          <w:szCs w:val="28"/>
          <w:vertAlign w:val="superscript"/>
          <w:lang w:val="es-ES"/>
        </w:rPr>
        <w:footnoteReference w:id="54"/>
      </w:r>
      <w:r w:rsidRPr="00527F3E">
        <w:rPr>
          <w:rFonts w:ascii="Times New Roman" w:eastAsia="Times New Roman" w:hAnsi="Times New Roman" w:cs="Times New Roman"/>
          <w:sz w:val="28"/>
          <w:szCs w:val="28"/>
          <w:lang w:val="es-ES"/>
        </w:rPr>
        <w:t>.</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bdr w:val="none" w:sz="0" w:space="0" w:color="auto" w:frame="1"/>
          <w:lang w:eastAsia="es-ES"/>
        </w:rPr>
      </w:pPr>
    </w:p>
    <w:p w:rsidR="00B9678A" w:rsidRPr="00527F3E" w:rsidRDefault="00527F3E" w:rsidP="009835C3">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bdr w:val="none" w:sz="0" w:space="0" w:color="auto" w:frame="1"/>
          <w:lang w:eastAsia="es-ES"/>
        </w:rPr>
      </w:pPr>
      <w:r w:rsidRPr="00527F3E">
        <w:rPr>
          <w:rFonts w:ascii="Times New Roman" w:eastAsia="Times New Roman" w:hAnsi="Times New Roman" w:cs="Times New Roman"/>
          <w:color w:val="000000"/>
          <w:sz w:val="28"/>
          <w:szCs w:val="28"/>
          <w:bdr w:val="none" w:sz="0" w:space="0" w:color="auto" w:frame="1"/>
          <w:lang w:val="es-ES" w:eastAsia="es-ES"/>
        </w:rPr>
        <w:t>Es preciso, por tanto, establecer si, pese a la pérdida de vigencia de la norma demandada, la Corte mantiene competencia para decidir sobre su constitucionalidad. Tal cuestión, en general, no es nueva en l</w:t>
      </w:r>
      <w:r w:rsidRPr="00527F3E">
        <w:rPr>
          <w:rFonts w:ascii="Times New Roman" w:eastAsia="Times New Roman" w:hAnsi="Times New Roman" w:cs="Times New Roman"/>
          <w:color w:val="000000"/>
          <w:sz w:val="28"/>
          <w:szCs w:val="28"/>
          <w:bdr w:val="none" w:sz="0" w:space="0" w:color="auto" w:frame="1"/>
          <w:lang w:val="es-ES" w:eastAsia="es-ES"/>
        </w:rPr>
        <w:t>a jurisprudencia constitucional. Esta corporación ha indicado que para que se lleve a cabo un control de constitucionalidad efectivo, las normas objeto de revisión deben estar vigentes o continuar generando efectos jurídicos. Esto se debe a que una declara</w:t>
      </w:r>
      <w:r w:rsidRPr="00527F3E">
        <w:rPr>
          <w:rFonts w:ascii="Times New Roman" w:eastAsia="Times New Roman" w:hAnsi="Times New Roman" w:cs="Times New Roman"/>
          <w:color w:val="000000"/>
          <w:sz w:val="28"/>
          <w:szCs w:val="28"/>
          <w:bdr w:val="none" w:sz="0" w:space="0" w:color="auto" w:frame="1"/>
          <w:lang w:val="es-ES" w:eastAsia="es-ES"/>
        </w:rPr>
        <w:t>ción de inexequibilidad por parte de la Corte implica la expulsión de la norma del orden jurídico colombiano. Por ello, confirmar que la norma demandada sigue vigente o produciendo efectos es un paso necesario y preliminar en el proceso de control de const</w:t>
      </w:r>
      <w:r w:rsidRPr="00527F3E">
        <w:rPr>
          <w:rFonts w:ascii="Times New Roman" w:eastAsia="Times New Roman" w:hAnsi="Times New Roman" w:cs="Times New Roman"/>
          <w:color w:val="000000"/>
          <w:sz w:val="28"/>
          <w:szCs w:val="28"/>
          <w:bdr w:val="none" w:sz="0" w:space="0" w:color="auto" w:frame="1"/>
          <w:lang w:val="es-ES" w:eastAsia="es-ES"/>
        </w:rPr>
        <w:t>itucionalidad, particularmente cuando hay dudas razonables al respecto; so pena de que el pronunciamiento de la Corte corresponda a su inhibición por carencia de objeto o sustracción de materia</w:t>
      </w:r>
      <w:r w:rsidRPr="00527F3E">
        <w:rPr>
          <w:rFonts w:ascii="Times New Roman" w:eastAsia="Times New Roman" w:hAnsi="Times New Roman" w:cs="Times New Roman"/>
          <w:color w:val="000000"/>
          <w:sz w:val="28"/>
          <w:szCs w:val="28"/>
          <w:bdr w:val="none" w:sz="0" w:space="0" w:color="auto" w:frame="1"/>
          <w:vertAlign w:val="superscript"/>
          <w:lang w:val="es-ES" w:eastAsia="es-ES"/>
        </w:rPr>
        <w:footnoteReference w:id="55"/>
      </w:r>
      <w:r w:rsidRPr="00527F3E">
        <w:rPr>
          <w:rFonts w:ascii="Times New Roman" w:eastAsia="Times New Roman" w:hAnsi="Times New Roman" w:cs="Times New Roman"/>
          <w:color w:val="000000"/>
          <w:sz w:val="28"/>
          <w:szCs w:val="28"/>
          <w:bdr w:val="none" w:sz="0" w:space="0" w:color="auto" w:frame="1"/>
          <w:lang w:val="es-ES" w:eastAsia="es-ES"/>
        </w:rPr>
        <w:t>.</w:t>
      </w:r>
    </w:p>
    <w:p w:rsidR="00B9678A" w:rsidRPr="00527F3E" w:rsidRDefault="00527F3E" w:rsidP="009835C3">
      <w:pPr>
        <w:spacing w:line="240" w:lineRule="auto"/>
        <w:contextualSpacing/>
        <w:rPr>
          <w:rFonts w:ascii="Times New Roman" w:eastAsia="Times New Roman" w:hAnsi="Times New Roman" w:cs="Times New Roman"/>
          <w:color w:val="000000"/>
          <w:sz w:val="28"/>
          <w:szCs w:val="28"/>
          <w:bdr w:val="none" w:sz="0" w:space="0" w:color="auto" w:frame="1"/>
          <w:lang w:val="es-ES" w:eastAsia="es-ES"/>
        </w:rPr>
      </w:pPr>
    </w:p>
    <w:p w:rsidR="00B9678A" w:rsidRPr="00527F3E" w:rsidRDefault="00527F3E" w:rsidP="009835C3">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bdr w:val="none" w:sz="0" w:space="0" w:color="auto" w:frame="1"/>
          <w:lang w:eastAsia="es-ES"/>
        </w:rPr>
      </w:pPr>
      <w:r w:rsidRPr="00527F3E">
        <w:rPr>
          <w:rFonts w:ascii="Times New Roman" w:eastAsia="Times New Roman" w:hAnsi="Times New Roman" w:cs="Times New Roman"/>
          <w:color w:val="000000"/>
          <w:sz w:val="28"/>
          <w:szCs w:val="28"/>
          <w:bdr w:val="none" w:sz="0" w:space="0" w:color="auto" w:frame="1"/>
          <w:lang w:val="es-ES" w:eastAsia="es-ES"/>
        </w:rPr>
        <w:t>Sin embargo, como se reiteró recientemente en la Sentencia C-268 de 2022, el respeto al principio de efectividad de los contenidos de la Constitución Política y su supremacía hace que la regla general de inhibición no sea inflexible. Por ello, jurisprudenc</w:t>
      </w:r>
      <w:r w:rsidRPr="00527F3E">
        <w:rPr>
          <w:rFonts w:ascii="Times New Roman" w:eastAsia="Times New Roman" w:hAnsi="Times New Roman" w:cs="Times New Roman"/>
          <w:color w:val="000000"/>
          <w:sz w:val="28"/>
          <w:szCs w:val="28"/>
          <w:bdr w:val="none" w:sz="0" w:space="0" w:color="auto" w:frame="1"/>
          <w:lang w:val="es-ES" w:eastAsia="es-ES"/>
        </w:rPr>
        <w:t>ialmente se han identificado al menos tres escenarios específicos - y distintos entre sí - en los cuales resultaría pertinente emitir un fallo de fondo sobre normas que han perdido vigencia: (i) cuando las disposiciones cuestionadas estaban en vigor al mom</w:t>
      </w:r>
      <w:r w:rsidRPr="00527F3E">
        <w:rPr>
          <w:rFonts w:ascii="Times New Roman" w:eastAsia="Times New Roman" w:hAnsi="Times New Roman" w:cs="Times New Roman"/>
          <w:color w:val="000000"/>
          <w:sz w:val="28"/>
          <w:szCs w:val="28"/>
          <w:bdr w:val="none" w:sz="0" w:space="0" w:color="auto" w:frame="1"/>
          <w:lang w:val="es-ES" w:eastAsia="es-ES"/>
        </w:rPr>
        <w:t xml:space="preserve">ento de admitir la demanda pero perdieron vigencia durante el proceso de revisión, en aplicación del principio de </w:t>
      </w:r>
      <w:r w:rsidRPr="00527F3E">
        <w:rPr>
          <w:rFonts w:ascii="Times New Roman" w:eastAsia="Times New Roman" w:hAnsi="Times New Roman" w:cs="Times New Roman"/>
          <w:i/>
          <w:iCs/>
          <w:color w:val="000000"/>
          <w:sz w:val="28"/>
          <w:szCs w:val="28"/>
          <w:bdr w:val="none" w:sz="0" w:space="0" w:color="auto" w:frame="1"/>
          <w:lang w:val="es-ES" w:eastAsia="es-ES"/>
        </w:rPr>
        <w:t>perpetuatio jurisdictionis</w:t>
      </w:r>
      <w:r w:rsidRPr="00527F3E">
        <w:rPr>
          <w:rFonts w:ascii="Times New Roman" w:eastAsia="Times New Roman" w:hAnsi="Times New Roman" w:cs="Times New Roman"/>
          <w:color w:val="000000"/>
          <w:sz w:val="28"/>
          <w:szCs w:val="28"/>
          <w:bdr w:val="none" w:sz="0" w:space="0" w:color="auto" w:frame="1"/>
          <w:lang w:val="es-ES" w:eastAsia="es-ES"/>
        </w:rPr>
        <w:t>, según el cual la pérdida de vigencia no impide que el juez constitucional pueda decidir sobre el fondo; (ii) en ca</w:t>
      </w:r>
      <w:r w:rsidRPr="00527F3E">
        <w:rPr>
          <w:rFonts w:ascii="Times New Roman" w:eastAsia="Times New Roman" w:hAnsi="Times New Roman" w:cs="Times New Roman"/>
          <w:color w:val="000000"/>
          <w:sz w:val="28"/>
          <w:szCs w:val="28"/>
          <w:bdr w:val="none" w:sz="0" w:space="0" w:color="auto" w:frame="1"/>
          <w:lang w:val="es-ES" w:eastAsia="es-ES"/>
        </w:rPr>
        <w:t>sos excepcionales donde una norma derogada todavía continúa teniendo efectos jurídicos dentro del ordenamiento; y (iii) cuando existe la posibilidad de que la norma tenga efectos en el futuro</w:t>
      </w:r>
      <w:r w:rsidRPr="00527F3E">
        <w:rPr>
          <w:rFonts w:ascii="Times New Roman" w:eastAsia="Times New Roman" w:hAnsi="Times New Roman" w:cs="Times New Roman"/>
          <w:color w:val="000000"/>
          <w:sz w:val="28"/>
          <w:szCs w:val="28"/>
          <w:bdr w:val="none" w:sz="0" w:space="0" w:color="auto" w:frame="1"/>
          <w:vertAlign w:val="superscript"/>
          <w:lang w:val="es-ES" w:eastAsia="es-ES"/>
        </w:rPr>
        <w:footnoteReference w:id="56"/>
      </w:r>
      <w:r w:rsidRPr="00527F3E">
        <w:rPr>
          <w:rFonts w:ascii="Times New Roman" w:eastAsia="Times New Roman" w:hAnsi="Times New Roman" w:cs="Times New Roman"/>
          <w:color w:val="000000"/>
          <w:sz w:val="28"/>
          <w:szCs w:val="28"/>
          <w:bdr w:val="none" w:sz="0" w:space="0" w:color="auto" w:frame="1"/>
          <w:lang w:val="es-ES" w:eastAsia="es-ES"/>
        </w:rPr>
        <w:t>. En tales circunstancias, la Corte ha dicho que está justificad</w:t>
      </w:r>
      <w:r w:rsidRPr="00527F3E">
        <w:rPr>
          <w:rFonts w:ascii="Times New Roman" w:eastAsia="Times New Roman" w:hAnsi="Times New Roman" w:cs="Times New Roman"/>
          <w:color w:val="000000"/>
          <w:sz w:val="28"/>
          <w:szCs w:val="28"/>
          <w:bdr w:val="none" w:sz="0" w:space="0" w:color="auto" w:frame="1"/>
          <w:lang w:val="es-ES" w:eastAsia="es-ES"/>
        </w:rPr>
        <w:t>o pronunciarse sobre la validez jurídica de disposiciones no vigentes</w:t>
      </w:r>
      <w:r w:rsidRPr="00527F3E">
        <w:rPr>
          <w:rFonts w:ascii="Times New Roman" w:eastAsia="Times New Roman" w:hAnsi="Times New Roman" w:cs="Times New Roman"/>
          <w:color w:val="000000"/>
          <w:sz w:val="28"/>
          <w:szCs w:val="28"/>
          <w:bdr w:val="none" w:sz="0" w:space="0" w:color="auto" w:frame="1"/>
          <w:vertAlign w:val="superscript"/>
          <w:lang w:val="es-ES" w:eastAsia="es-ES"/>
        </w:rPr>
        <w:footnoteReference w:id="57"/>
      </w:r>
      <w:r w:rsidRPr="00527F3E">
        <w:rPr>
          <w:rFonts w:ascii="Times New Roman" w:eastAsia="Times New Roman" w:hAnsi="Times New Roman" w:cs="Times New Roman"/>
          <w:color w:val="000000"/>
          <w:sz w:val="28"/>
          <w:szCs w:val="28"/>
          <w:bdr w:val="none" w:sz="0" w:space="0" w:color="auto" w:frame="1"/>
          <w:lang w:val="es-ES" w:eastAsia="es-ES"/>
        </w:rPr>
        <w:t>.</w:t>
      </w:r>
    </w:p>
    <w:p w:rsidR="00B9678A" w:rsidRPr="00527F3E" w:rsidRDefault="00527F3E" w:rsidP="009835C3">
      <w:pPr>
        <w:spacing w:line="240" w:lineRule="auto"/>
        <w:contextualSpacing/>
        <w:rPr>
          <w:rFonts w:ascii="Times New Roman" w:eastAsia="Times New Roman" w:hAnsi="Times New Roman" w:cs="Times New Roman"/>
          <w:color w:val="000000"/>
          <w:sz w:val="28"/>
          <w:szCs w:val="28"/>
          <w:bdr w:val="none" w:sz="0" w:space="0" w:color="auto" w:frame="1"/>
          <w:lang w:eastAsia="es-ES"/>
        </w:rPr>
      </w:pPr>
    </w:p>
    <w:p w:rsidR="00B9678A" w:rsidRPr="00527F3E" w:rsidRDefault="00527F3E" w:rsidP="009835C3">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bdr w:val="none" w:sz="0" w:space="0" w:color="auto" w:frame="1"/>
          <w:lang w:eastAsia="es-ES"/>
        </w:rPr>
      </w:pPr>
      <w:r w:rsidRPr="00527F3E">
        <w:rPr>
          <w:rFonts w:ascii="Times New Roman" w:eastAsia="Times New Roman" w:hAnsi="Times New Roman" w:cs="Times New Roman"/>
          <w:color w:val="000000"/>
          <w:sz w:val="28"/>
          <w:szCs w:val="28"/>
          <w:bdr w:val="none" w:sz="0" w:space="0" w:color="auto" w:frame="1"/>
          <w:lang w:eastAsia="es-ES"/>
        </w:rPr>
        <w:t>El primero de estos escenarios resulta de especial relevancia, por ser en el que se circunscribe específicamente el caso objeto de revisión</w:t>
      </w:r>
      <w:r w:rsidRPr="00527F3E">
        <w:rPr>
          <w:rFonts w:ascii="Times New Roman" w:eastAsia="Times New Roman" w:hAnsi="Times New Roman" w:cs="Times New Roman"/>
          <w:color w:val="000000"/>
          <w:sz w:val="28"/>
          <w:szCs w:val="28"/>
          <w:bdr w:val="none" w:sz="0" w:space="0" w:color="auto" w:frame="1"/>
          <w:vertAlign w:val="superscript"/>
          <w:lang w:eastAsia="es-ES"/>
        </w:rPr>
        <w:footnoteReference w:id="58"/>
      </w:r>
      <w:r w:rsidRPr="00527F3E">
        <w:rPr>
          <w:rFonts w:ascii="Times New Roman" w:eastAsia="Times New Roman" w:hAnsi="Times New Roman" w:cs="Times New Roman"/>
          <w:color w:val="000000"/>
          <w:sz w:val="28"/>
          <w:szCs w:val="28"/>
          <w:bdr w:val="none" w:sz="0" w:space="0" w:color="auto" w:frame="1"/>
          <w:lang w:eastAsia="es-ES"/>
        </w:rPr>
        <w:t>. En efecto, en distintas oportunidades esta Corporación se ha referido a la activación de su competencia para evaluar normas que, aunque vigentes al momento de la presentación de la demanda de inconstitucionalidad, perdieron vigencia antes de que se emiti</w:t>
      </w:r>
      <w:r w:rsidRPr="00527F3E">
        <w:rPr>
          <w:rFonts w:ascii="Times New Roman" w:eastAsia="Times New Roman" w:hAnsi="Times New Roman" w:cs="Times New Roman"/>
          <w:color w:val="000000"/>
          <w:sz w:val="28"/>
          <w:szCs w:val="28"/>
          <w:bdr w:val="none" w:sz="0" w:space="0" w:color="auto" w:frame="1"/>
          <w:lang w:eastAsia="es-ES"/>
        </w:rPr>
        <w:t xml:space="preserve">era una decisión. Así, la jurisprudencia constitucional ha explicado que en estos casos opera el principio de inmodificabilidad de la competencia judicial o preservación de la misma (usualmente conocido como </w:t>
      </w:r>
      <w:r w:rsidRPr="00527F3E">
        <w:rPr>
          <w:rFonts w:ascii="Times New Roman" w:eastAsia="Times New Roman" w:hAnsi="Times New Roman" w:cs="Times New Roman"/>
          <w:i/>
          <w:iCs/>
          <w:color w:val="000000"/>
          <w:sz w:val="28"/>
          <w:szCs w:val="28"/>
          <w:bdr w:val="none" w:sz="0" w:space="0" w:color="auto" w:frame="1"/>
          <w:lang w:eastAsia="es-ES"/>
        </w:rPr>
        <w:t>perpetuatio jurisdictionis</w:t>
      </w:r>
      <w:r w:rsidRPr="00527F3E">
        <w:rPr>
          <w:rFonts w:ascii="Times New Roman" w:eastAsia="Times New Roman" w:hAnsi="Times New Roman" w:cs="Times New Roman"/>
          <w:color w:val="000000"/>
          <w:sz w:val="28"/>
          <w:szCs w:val="28"/>
          <w:bdr w:val="none" w:sz="0" w:space="0" w:color="auto" w:frame="1"/>
          <w:lang w:eastAsia="es-ES"/>
        </w:rPr>
        <w:t xml:space="preserve">), en virtud del cual </w:t>
      </w:r>
      <w:r w:rsidRPr="00527F3E">
        <w:rPr>
          <w:rFonts w:ascii="Times New Roman" w:eastAsia="Times New Roman" w:hAnsi="Times New Roman" w:cs="Times New Roman"/>
          <w:color w:val="000000"/>
          <w:sz w:val="28"/>
          <w:szCs w:val="28"/>
          <w:bdr w:val="none" w:sz="0" w:space="0" w:color="auto" w:frame="1"/>
          <w:lang w:eastAsia="es-ES"/>
        </w:rPr>
        <w:t>la Corte “goza de plena competencia para adoptar fallos de fondo en casos de acciones públicas de inconstitucionalidad incoadas contra normas de carácter transitorio, bien sea por vicios materiales o de forma, cuando las demandas sean presentadas durante l</w:t>
      </w:r>
      <w:r w:rsidRPr="00527F3E">
        <w:rPr>
          <w:rFonts w:ascii="Times New Roman" w:eastAsia="Times New Roman" w:hAnsi="Times New Roman" w:cs="Times New Roman"/>
          <w:color w:val="000000"/>
          <w:sz w:val="28"/>
          <w:szCs w:val="28"/>
          <w:bdr w:val="none" w:sz="0" w:space="0" w:color="auto" w:frame="1"/>
          <w:lang w:eastAsia="es-ES"/>
        </w:rPr>
        <w:t>a vigencia de las mismas, así los efectos jurídicos desplegados por aquéllas dejen de producirse en el curso del proceso que surte el juez constitucional”</w:t>
      </w:r>
      <w:r w:rsidRPr="00527F3E">
        <w:rPr>
          <w:rFonts w:ascii="Times New Roman" w:eastAsia="Times New Roman" w:hAnsi="Times New Roman" w:cs="Times New Roman"/>
          <w:color w:val="000000"/>
          <w:sz w:val="28"/>
          <w:szCs w:val="28"/>
          <w:bdr w:val="none" w:sz="0" w:space="0" w:color="auto" w:frame="1"/>
          <w:vertAlign w:val="superscript"/>
          <w:lang w:eastAsia="es-ES"/>
        </w:rPr>
        <w:footnoteReference w:id="59"/>
      </w:r>
      <w:r w:rsidRPr="00527F3E">
        <w:rPr>
          <w:rFonts w:ascii="Times New Roman" w:eastAsia="Times New Roman" w:hAnsi="Times New Roman" w:cs="Times New Roman"/>
          <w:color w:val="000000"/>
          <w:sz w:val="28"/>
          <w:szCs w:val="28"/>
          <w:bdr w:val="none" w:sz="0" w:space="0" w:color="auto" w:frame="1"/>
          <w:lang w:eastAsia="es-ES"/>
        </w:rPr>
        <w:t>.</w:t>
      </w:r>
    </w:p>
    <w:p w:rsidR="00B9678A" w:rsidRPr="00527F3E" w:rsidRDefault="00527F3E" w:rsidP="009835C3">
      <w:pPr>
        <w:spacing w:line="240" w:lineRule="auto"/>
        <w:contextualSpacing/>
        <w:rPr>
          <w:rFonts w:ascii="Times New Roman" w:eastAsia="Times New Roman" w:hAnsi="Times New Roman" w:cs="Times New Roman"/>
          <w:color w:val="000000"/>
          <w:sz w:val="28"/>
          <w:szCs w:val="28"/>
          <w:bdr w:val="none" w:sz="0" w:space="0" w:color="auto" w:frame="1"/>
          <w:lang w:eastAsia="es-ES"/>
        </w:rPr>
      </w:pPr>
    </w:p>
    <w:p w:rsidR="00B9678A" w:rsidRPr="00527F3E" w:rsidRDefault="00527F3E" w:rsidP="009835C3">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bdr w:val="none" w:sz="0" w:space="0" w:color="auto" w:frame="1"/>
          <w:lang w:eastAsia="es-ES"/>
        </w:rPr>
      </w:pPr>
      <w:r w:rsidRPr="00527F3E">
        <w:rPr>
          <w:rFonts w:ascii="Times New Roman" w:eastAsia="Times New Roman" w:hAnsi="Times New Roman" w:cs="Times New Roman"/>
          <w:color w:val="000000"/>
          <w:sz w:val="28"/>
          <w:szCs w:val="28"/>
          <w:bdr w:val="none" w:sz="0" w:space="0" w:color="auto" w:frame="1"/>
          <w:lang w:eastAsia="es-ES"/>
        </w:rPr>
        <w:t>La Sala Plena ha reconocido, entonces, que en los casos en los que una demanda de inconstitucional</w:t>
      </w:r>
      <w:r w:rsidRPr="00527F3E">
        <w:rPr>
          <w:rFonts w:ascii="Times New Roman" w:eastAsia="Times New Roman" w:hAnsi="Times New Roman" w:cs="Times New Roman"/>
          <w:color w:val="000000"/>
          <w:sz w:val="28"/>
          <w:szCs w:val="28"/>
          <w:bdr w:val="none" w:sz="0" w:space="0" w:color="auto" w:frame="1"/>
          <w:lang w:eastAsia="es-ES"/>
        </w:rPr>
        <w:t xml:space="preserve">idad se presenta mientras la disposición acusada aún está en vigor, la Corte está llamada a seguir adelante con el proceso y resolver sobre el mérito de la acción, por virtud del principio de </w:t>
      </w:r>
      <w:r w:rsidRPr="00527F3E">
        <w:rPr>
          <w:rFonts w:ascii="Times New Roman" w:eastAsia="Times New Roman" w:hAnsi="Times New Roman" w:cs="Times New Roman"/>
          <w:i/>
          <w:iCs/>
          <w:color w:val="000000"/>
          <w:sz w:val="28"/>
          <w:szCs w:val="28"/>
          <w:bdr w:val="none" w:sz="0" w:space="0" w:color="auto" w:frame="1"/>
          <w:lang w:eastAsia="es-ES"/>
        </w:rPr>
        <w:t>perpetuatio jurisdictionis.</w:t>
      </w:r>
      <w:r w:rsidRPr="00527F3E">
        <w:rPr>
          <w:rFonts w:ascii="Times New Roman" w:eastAsia="Times New Roman" w:hAnsi="Times New Roman" w:cs="Times New Roman"/>
          <w:color w:val="000000"/>
          <w:sz w:val="28"/>
          <w:szCs w:val="28"/>
          <w:bdr w:val="none" w:sz="0" w:space="0" w:color="auto" w:frame="1"/>
          <w:lang w:eastAsia="es-ES"/>
        </w:rPr>
        <w:t xml:space="preserve"> Fórmula que opera si se constata que</w:t>
      </w:r>
      <w:r w:rsidRPr="00527F3E">
        <w:rPr>
          <w:rFonts w:ascii="Times New Roman" w:eastAsia="Times New Roman" w:hAnsi="Times New Roman" w:cs="Times New Roman"/>
          <w:color w:val="000000"/>
          <w:sz w:val="28"/>
          <w:szCs w:val="28"/>
          <w:bdr w:val="none" w:sz="0" w:space="0" w:color="auto" w:frame="1"/>
          <w:lang w:eastAsia="es-ES"/>
        </w:rPr>
        <w:t xml:space="preserve"> la norma ha perdido vigencia e incluso no produce efectos al momento de proferirse la sentencia que corresponda. Bajo estas circunstancias, dicho principio actúa como una clara excepción a la regla general que usualmente llevaría a la Corte a inhibirse. </w:t>
      </w:r>
    </w:p>
    <w:p w:rsidR="00B9678A" w:rsidRPr="00527F3E" w:rsidRDefault="00527F3E" w:rsidP="009835C3">
      <w:pPr>
        <w:spacing w:line="240" w:lineRule="auto"/>
        <w:contextualSpacing/>
        <w:rPr>
          <w:rFonts w:ascii="Times New Roman" w:eastAsia="Times New Roman" w:hAnsi="Times New Roman" w:cs="Times New Roman"/>
          <w:color w:val="000000"/>
          <w:sz w:val="28"/>
          <w:szCs w:val="28"/>
          <w:bdr w:val="none" w:sz="0" w:space="0" w:color="auto" w:frame="1"/>
          <w:lang w:eastAsia="es-ES"/>
        </w:rPr>
      </w:pPr>
    </w:p>
    <w:p w:rsidR="00B9678A" w:rsidRPr="00527F3E" w:rsidRDefault="00527F3E" w:rsidP="009835C3">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bdr w:val="none" w:sz="0" w:space="0" w:color="auto" w:frame="1"/>
          <w:lang w:eastAsia="es-ES"/>
        </w:rPr>
      </w:pPr>
      <w:r w:rsidRPr="00527F3E">
        <w:rPr>
          <w:rFonts w:ascii="Times New Roman" w:eastAsia="Times New Roman" w:hAnsi="Times New Roman" w:cs="Times New Roman"/>
          <w:color w:val="000000"/>
          <w:sz w:val="28"/>
          <w:szCs w:val="28"/>
          <w:bdr w:val="none" w:sz="0" w:space="0" w:color="auto" w:frame="1"/>
          <w:lang w:eastAsia="es-ES"/>
        </w:rPr>
        <w:t>Esta subregla jurisprudencial ha sido aplicada, por ejemplo, en la Sentencia C-257 de 2022</w:t>
      </w:r>
      <w:r w:rsidRPr="00527F3E">
        <w:rPr>
          <w:rFonts w:ascii="Times New Roman" w:eastAsia="Times New Roman" w:hAnsi="Times New Roman" w:cs="Times New Roman"/>
          <w:color w:val="000000"/>
          <w:sz w:val="28"/>
          <w:szCs w:val="28"/>
          <w:bdr w:val="none" w:sz="0" w:space="0" w:color="auto" w:frame="1"/>
          <w:vertAlign w:val="superscript"/>
          <w:lang w:eastAsia="es-ES"/>
        </w:rPr>
        <w:footnoteReference w:id="60"/>
      </w:r>
      <w:r w:rsidRPr="00527F3E">
        <w:rPr>
          <w:rFonts w:ascii="Times New Roman" w:eastAsia="Times New Roman" w:hAnsi="Times New Roman" w:cs="Times New Roman"/>
          <w:color w:val="000000"/>
          <w:sz w:val="28"/>
          <w:szCs w:val="28"/>
          <w:bdr w:val="none" w:sz="0" w:space="0" w:color="auto" w:frame="1"/>
          <w:lang w:eastAsia="es-ES"/>
        </w:rPr>
        <w:t xml:space="preserve">, en la que la Corte asumió su competencia para pronunciarse sobre una </w:t>
      </w:r>
      <w:r w:rsidRPr="00527F3E">
        <w:rPr>
          <w:rFonts w:ascii="Times New Roman" w:eastAsia="Times New Roman" w:hAnsi="Times New Roman" w:cs="Times New Roman"/>
          <w:color w:val="000000"/>
          <w:sz w:val="28"/>
          <w:szCs w:val="28"/>
          <w:bdr w:val="none" w:sz="0" w:space="0" w:color="auto" w:frame="1"/>
          <w:lang w:val="es-ES" w:eastAsia="es-ES"/>
        </w:rPr>
        <w:t>demanda de inconstitucionalidad promovida en contra del artículo 45 de la Ley 2010 de 2019</w:t>
      </w:r>
      <w:r w:rsidRPr="00527F3E">
        <w:rPr>
          <w:rFonts w:ascii="Times New Roman" w:eastAsia="Times New Roman" w:hAnsi="Times New Roman" w:cs="Times New Roman"/>
          <w:color w:val="000000"/>
          <w:sz w:val="28"/>
          <w:szCs w:val="28"/>
          <w:bdr w:val="none" w:sz="0" w:space="0" w:color="auto" w:frame="1"/>
          <w:vertAlign w:val="superscript"/>
          <w:lang w:val="es-ES" w:eastAsia="es-ES"/>
        </w:rPr>
        <w:footnoteReference w:id="61"/>
      </w:r>
      <w:r w:rsidRPr="00527F3E">
        <w:rPr>
          <w:rFonts w:ascii="Times New Roman" w:eastAsia="Times New Roman" w:hAnsi="Times New Roman" w:cs="Times New Roman"/>
          <w:color w:val="000000"/>
          <w:sz w:val="28"/>
          <w:szCs w:val="28"/>
          <w:bdr w:val="none" w:sz="0" w:space="0" w:color="auto" w:frame="1"/>
          <w:lang w:val="es-ES" w:eastAsia="es-ES"/>
        </w:rPr>
        <w:t xml:space="preserve">. En ese caso, la Sala estableció que aunque la norma acusada había perdido sus efectos durante el curso de la revisión constitucional, debía continuar con el trámite de la demanda, por mandato de la </w:t>
      </w:r>
      <w:r w:rsidRPr="00527F3E">
        <w:rPr>
          <w:rFonts w:ascii="Times New Roman" w:eastAsia="Times New Roman" w:hAnsi="Times New Roman" w:cs="Times New Roman"/>
          <w:i/>
          <w:iCs/>
          <w:color w:val="000000"/>
          <w:sz w:val="28"/>
          <w:szCs w:val="28"/>
          <w:bdr w:val="none" w:sz="0" w:space="0" w:color="auto" w:frame="1"/>
          <w:lang w:val="es-ES" w:eastAsia="es-ES"/>
        </w:rPr>
        <w:t>perpetuatio jurisdictionis</w:t>
      </w:r>
      <w:r w:rsidRPr="00527F3E">
        <w:rPr>
          <w:rFonts w:ascii="Times New Roman" w:eastAsia="Times New Roman" w:hAnsi="Times New Roman" w:cs="Times New Roman"/>
          <w:color w:val="000000"/>
          <w:sz w:val="28"/>
          <w:szCs w:val="28"/>
          <w:bdr w:val="none" w:sz="0" w:space="0" w:color="auto" w:frame="1"/>
          <w:lang w:val="es-ES" w:eastAsia="es-ES"/>
        </w:rPr>
        <w:t>. Como sustento constitucional</w:t>
      </w:r>
      <w:r w:rsidRPr="00527F3E">
        <w:rPr>
          <w:rFonts w:ascii="Times New Roman" w:eastAsia="Times New Roman" w:hAnsi="Times New Roman" w:cs="Times New Roman"/>
          <w:color w:val="000000"/>
          <w:sz w:val="28"/>
          <w:szCs w:val="28"/>
          <w:bdr w:val="none" w:sz="0" w:space="0" w:color="auto" w:frame="1"/>
          <w:lang w:val="es-ES" w:eastAsia="es-ES"/>
        </w:rPr>
        <w:t xml:space="preserve"> de esa decisión, reiteró los fundamentos jurídicos de la Sentencia C-303 de 2010</w:t>
      </w:r>
      <w:r w:rsidRPr="00527F3E">
        <w:rPr>
          <w:rFonts w:ascii="Times New Roman" w:eastAsia="Times New Roman" w:hAnsi="Times New Roman" w:cs="Times New Roman"/>
          <w:color w:val="000000"/>
          <w:sz w:val="28"/>
          <w:szCs w:val="28"/>
          <w:bdr w:val="none" w:sz="0" w:space="0" w:color="auto" w:frame="1"/>
          <w:vertAlign w:val="superscript"/>
          <w:lang w:val="es-ES" w:eastAsia="es-ES"/>
        </w:rPr>
        <w:footnoteReference w:id="62"/>
      </w:r>
      <w:r w:rsidRPr="00527F3E">
        <w:rPr>
          <w:rFonts w:ascii="Times New Roman" w:eastAsia="Times New Roman" w:hAnsi="Times New Roman" w:cs="Times New Roman"/>
          <w:color w:val="000000"/>
          <w:sz w:val="28"/>
          <w:szCs w:val="28"/>
          <w:bdr w:val="none" w:sz="0" w:space="0" w:color="auto" w:frame="1"/>
          <w:lang w:val="es-ES" w:eastAsia="es-ES"/>
        </w:rPr>
        <w:t xml:space="preserve"> sobre esta materia, en la que se dijo lo siguiente: </w:t>
      </w:r>
      <w:r w:rsidRPr="00527F3E">
        <w:rPr>
          <w:rFonts w:ascii="Times New Roman" w:eastAsia="Times New Roman" w:hAnsi="Times New Roman" w:cs="Times New Roman"/>
          <w:color w:val="000000"/>
          <w:sz w:val="28"/>
          <w:szCs w:val="28"/>
          <w:bdr w:val="none" w:sz="0" w:space="0" w:color="auto" w:frame="1"/>
          <w:lang w:eastAsia="es-ES"/>
        </w:rPr>
        <w:t xml:space="preserve"> </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bdr w:val="none" w:sz="0" w:space="0" w:color="auto" w:frame="1"/>
          <w:lang w:val="es-ES" w:eastAsia="es-ES"/>
        </w:rPr>
      </w:pPr>
    </w:p>
    <w:p w:rsidR="00B9678A" w:rsidRPr="00527F3E" w:rsidRDefault="00527F3E" w:rsidP="00656A25">
      <w:pPr>
        <w:tabs>
          <w:tab w:val="left" w:pos="426"/>
        </w:tabs>
        <w:autoSpaceDE w:val="0"/>
        <w:autoSpaceDN w:val="0"/>
        <w:spacing w:after="0" w:line="240" w:lineRule="auto"/>
        <w:ind w:right="333"/>
        <w:jc w:val="both"/>
        <w:textAlignment w:val="baseline"/>
        <w:rPr>
          <w:rFonts w:ascii="Times New Roman" w:eastAsia="Times New Roman" w:hAnsi="Times New Roman" w:cs="Times New Roman"/>
          <w:color w:val="000000"/>
          <w:sz w:val="28"/>
          <w:szCs w:val="28"/>
          <w:bdr w:val="none" w:sz="0" w:space="0" w:color="auto" w:frame="1"/>
          <w:lang w:eastAsia="es-ES"/>
        </w:rPr>
      </w:pPr>
      <w:r w:rsidRPr="00527F3E">
        <w:rPr>
          <w:rFonts w:ascii="Times New Roman" w:eastAsia="Times New Roman" w:hAnsi="Times New Roman" w:cs="Times New Roman"/>
          <w:color w:val="000000"/>
          <w:sz w:val="28"/>
          <w:szCs w:val="28"/>
          <w:bdr w:val="none" w:sz="0" w:space="0" w:color="auto" w:frame="1"/>
          <w:lang w:val="es-ES" w:eastAsia="es-ES"/>
        </w:rPr>
        <w:t>“En primer término, la necesidad de proteger el derecho de acceso a la administración de justicia del demandante, quie</w:t>
      </w:r>
      <w:r w:rsidRPr="00527F3E">
        <w:rPr>
          <w:rFonts w:ascii="Times New Roman" w:eastAsia="Times New Roman" w:hAnsi="Times New Roman" w:cs="Times New Roman"/>
          <w:color w:val="000000"/>
          <w:sz w:val="28"/>
          <w:szCs w:val="28"/>
          <w:bdr w:val="none" w:sz="0" w:space="0" w:color="auto" w:frame="1"/>
          <w:lang w:val="es-ES" w:eastAsia="es-ES"/>
        </w:rPr>
        <w:t>n acusa la disposición transitoria cuando esta producía efectos, lo que implica que no pueda imponérsele la carga de asumir las consecuencias del paso del tiempo durante el trámite ante la Corte cuando su acusación fue oportuna.  En segundo lugar, el estud</w:t>
      </w:r>
      <w:r w:rsidRPr="00527F3E">
        <w:rPr>
          <w:rFonts w:ascii="Times New Roman" w:eastAsia="Times New Roman" w:hAnsi="Times New Roman" w:cs="Times New Roman"/>
          <w:color w:val="000000"/>
          <w:sz w:val="28"/>
          <w:szCs w:val="28"/>
          <w:bdr w:val="none" w:sz="0" w:space="0" w:color="auto" w:frame="1"/>
          <w:lang w:val="es-ES" w:eastAsia="es-ES"/>
        </w:rPr>
        <w:t>io de fondo de normas de esta naturaleza permite que este Tribunal ejerza de forma cierta su función de guarda de la supremacía de la Constitución, potestad que se vería alterada si se aceptara la posibilidad de la existencia de normas jurídicas que, por s</w:t>
      </w:r>
      <w:r w:rsidRPr="00527F3E">
        <w:rPr>
          <w:rFonts w:ascii="Times New Roman" w:eastAsia="Times New Roman" w:hAnsi="Times New Roman" w:cs="Times New Roman"/>
          <w:color w:val="000000"/>
          <w:sz w:val="28"/>
          <w:szCs w:val="28"/>
          <w:bdr w:val="none" w:sz="0" w:space="0" w:color="auto" w:frame="1"/>
          <w:lang w:val="es-ES" w:eastAsia="es-ES"/>
        </w:rPr>
        <w:t xml:space="preserve">us particulares condiciones de vigencia, quedaran materialmente excluidas del control de constitucionalidad.  Sobre este último respecto, la jurisprudencia ha planteado que ‘si no se entendiera que la Corte mantiene su competencia cuando las disposiciones </w:t>
      </w:r>
      <w:r w:rsidRPr="00527F3E">
        <w:rPr>
          <w:rFonts w:ascii="Times New Roman" w:eastAsia="Times New Roman" w:hAnsi="Times New Roman" w:cs="Times New Roman"/>
          <w:color w:val="000000"/>
          <w:sz w:val="28"/>
          <w:szCs w:val="28"/>
          <w:bdr w:val="none" w:sz="0" w:space="0" w:color="auto" w:frame="1"/>
          <w:lang w:val="es-ES" w:eastAsia="es-ES"/>
        </w:rPr>
        <w:t>transitorias han sido demandadas antes de la expiración de su término, de ordinario una serie de leyes y normas quedarían por fuera del control constitucional, pues todas aquellas cuya vigencia fuera menor al tiempo que dura el trámite del proceso en la Co</w:t>
      </w:r>
      <w:r w:rsidRPr="00527F3E">
        <w:rPr>
          <w:rFonts w:ascii="Times New Roman" w:eastAsia="Times New Roman" w:hAnsi="Times New Roman" w:cs="Times New Roman"/>
          <w:color w:val="000000"/>
          <w:sz w:val="28"/>
          <w:szCs w:val="28"/>
          <w:bdr w:val="none" w:sz="0" w:space="0" w:color="auto" w:frame="1"/>
          <w:lang w:val="es-ES" w:eastAsia="es-ES"/>
        </w:rPr>
        <w:t>rte Constitucional, resultarían ajenas a revisión por tal razón. Posibilidad que repugna a la intención del constituyente y a la noción misma de Estado de Derecho que acoge nuestra Carta Fundamental’”.</w:t>
      </w:r>
    </w:p>
    <w:p w:rsidR="00B9678A" w:rsidRPr="00527F3E" w:rsidRDefault="00527F3E" w:rsidP="00656A25">
      <w:pPr>
        <w:spacing w:line="240" w:lineRule="auto"/>
        <w:contextualSpacing/>
        <w:rPr>
          <w:rFonts w:ascii="Times New Roman" w:eastAsia="Times New Roman" w:hAnsi="Times New Roman" w:cs="Times New Roman"/>
          <w:sz w:val="28"/>
          <w:szCs w:val="28"/>
          <w:lang w:val="es-ES"/>
        </w:rPr>
      </w:pPr>
    </w:p>
    <w:p w:rsidR="00B9678A" w:rsidRPr="00527F3E" w:rsidRDefault="00527F3E" w:rsidP="009835C3">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i/>
          <w:iCs/>
          <w:color w:val="000000"/>
          <w:sz w:val="28"/>
          <w:szCs w:val="28"/>
          <w:bdr w:val="none" w:sz="0" w:space="0" w:color="auto" w:frame="1"/>
          <w:lang w:eastAsia="es-ES"/>
        </w:rPr>
      </w:pPr>
      <w:r w:rsidRPr="00527F3E">
        <w:rPr>
          <w:rFonts w:ascii="Times New Roman" w:eastAsia="Times New Roman" w:hAnsi="Times New Roman" w:cs="Times New Roman"/>
          <w:sz w:val="28"/>
          <w:szCs w:val="28"/>
          <w:lang w:val="es-ES"/>
        </w:rPr>
        <w:t xml:space="preserve">Todo lo anterior lleva a que la Corte mantenga su competencia para pronunciarse sobre la acción pública ejercida por el ciudadano </w:t>
      </w:r>
      <w:r w:rsidRPr="00527F3E">
        <w:rPr>
          <w:rFonts w:ascii="Times New Roman" w:eastAsia="Times New Roman" w:hAnsi="Times New Roman" w:cs="Times New Roman"/>
          <w:color w:val="000000"/>
          <w:sz w:val="28"/>
          <w:szCs w:val="28"/>
          <w:lang w:val="es-ES"/>
        </w:rPr>
        <w:t>Carlos Abraham Jiménez López. En esta ocasión</w:t>
      </w:r>
      <w:r w:rsidRPr="00527F3E">
        <w:rPr>
          <w:rFonts w:ascii="Times New Roman" w:eastAsia="Times New Roman" w:hAnsi="Times New Roman" w:cs="Times New Roman"/>
          <w:sz w:val="28"/>
          <w:szCs w:val="28"/>
          <w:lang w:val="es-ES"/>
        </w:rPr>
        <w:t xml:space="preserve"> se constata que, por un lado, la demanda de inconstitucionalidad fue formalmente</w:t>
      </w:r>
      <w:r w:rsidRPr="00527F3E">
        <w:rPr>
          <w:rFonts w:ascii="Times New Roman" w:eastAsia="Times New Roman" w:hAnsi="Times New Roman" w:cs="Times New Roman"/>
          <w:sz w:val="28"/>
          <w:szCs w:val="28"/>
          <w:lang w:val="es-ES"/>
        </w:rPr>
        <w:t xml:space="preserve"> presentada ante la Secretaría General de la Corte el 17 de julio de 2023. Por otro lado, la medida cuestionada por el actor, contenida en el </w:t>
      </w:r>
      <w:r w:rsidRPr="00527F3E">
        <w:rPr>
          <w:rFonts w:ascii="Times New Roman" w:eastAsia="Times New Roman" w:hAnsi="Times New Roman" w:cs="Times New Roman"/>
          <w:color w:val="000000"/>
          <w:sz w:val="28"/>
          <w:szCs w:val="28"/>
          <w:lang w:val="es-ES"/>
        </w:rPr>
        <w:t>parágrafo 2º del artículo 4º de la Ley 2299 de 2023, tuvo vigencia hasta el 31 de diciembre de 2023, por mandato e</w:t>
      </w:r>
      <w:r w:rsidRPr="00527F3E">
        <w:rPr>
          <w:rFonts w:ascii="Times New Roman" w:eastAsia="Times New Roman" w:hAnsi="Times New Roman" w:cs="Times New Roman"/>
          <w:color w:val="000000"/>
          <w:sz w:val="28"/>
          <w:szCs w:val="28"/>
          <w:lang w:val="es-ES"/>
        </w:rPr>
        <w:t xml:space="preserve">xpreso de la misma norma. En ese sentido, es claro que la demanda se interpuso cuando la disposición acusada se encontraba plenamente vigente, razón por la cual, a partir de las subreglas jurisprudenciales antes reseñadas y en aplicación del principio de </w:t>
      </w:r>
      <w:r w:rsidRPr="00527F3E">
        <w:rPr>
          <w:rFonts w:ascii="Times New Roman" w:eastAsia="Times New Roman" w:hAnsi="Times New Roman" w:cs="Times New Roman"/>
          <w:i/>
          <w:iCs/>
          <w:color w:val="000000"/>
          <w:sz w:val="28"/>
          <w:szCs w:val="28"/>
          <w:lang w:val="es-ES"/>
        </w:rPr>
        <w:t>p</w:t>
      </w:r>
      <w:r w:rsidRPr="00527F3E">
        <w:rPr>
          <w:rFonts w:ascii="Times New Roman" w:eastAsia="Times New Roman" w:hAnsi="Times New Roman" w:cs="Times New Roman"/>
          <w:i/>
          <w:iCs/>
          <w:color w:val="000000"/>
          <w:sz w:val="28"/>
          <w:szCs w:val="28"/>
          <w:lang w:val="es-ES"/>
        </w:rPr>
        <w:t>erpetuatio jurisdictionis</w:t>
      </w:r>
      <w:r w:rsidRPr="00527F3E">
        <w:rPr>
          <w:rFonts w:ascii="Times New Roman" w:eastAsia="Times New Roman" w:hAnsi="Times New Roman" w:cs="Times New Roman"/>
          <w:color w:val="000000"/>
          <w:sz w:val="28"/>
          <w:szCs w:val="28"/>
          <w:lang w:val="es-ES"/>
        </w:rPr>
        <w:t>, es necesario preservar la competencia de la Corte Constitucional para pronunciarse sobre la acción pública de la referencia.</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i/>
          <w:iCs/>
          <w:color w:val="000000"/>
          <w:sz w:val="28"/>
          <w:szCs w:val="28"/>
          <w:bdr w:val="none" w:sz="0" w:space="0" w:color="auto" w:frame="1"/>
          <w:lang w:eastAsia="es-ES"/>
        </w:rPr>
      </w:pP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i/>
          <w:iCs/>
          <w:color w:val="000000"/>
          <w:sz w:val="28"/>
          <w:szCs w:val="28"/>
          <w:bdr w:val="none" w:sz="0" w:space="0" w:color="auto" w:frame="1"/>
          <w:lang w:eastAsia="es-ES"/>
        </w:rPr>
      </w:pPr>
      <w:r w:rsidRPr="00527F3E">
        <w:rPr>
          <w:rFonts w:ascii="Times New Roman" w:eastAsia="Times New Roman" w:hAnsi="Times New Roman" w:cs="Times New Roman"/>
          <w:i/>
          <w:iCs/>
          <w:color w:val="000000"/>
          <w:sz w:val="28"/>
          <w:szCs w:val="28"/>
          <w:bdr w:val="none" w:sz="0" w:space="0" w:color="auto" w:frame="1"/>
          <w:lang w:eastAsia="es-ES"/>
        </w:rPr>
        <w:tab/>
        <w:t>Cuestión previa. Aptitud de la demanda</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i/>
          <w:iCs/>
          <w:color w:val="000000"/>
          <w:sz w:val="28"/>
          <w:szCs w:val="28"/>
          <w:bdr w:val="none" w:sz="0" w:space="0" w:color="auto" w:frame="1"/>
          <w:lang w:eastAsia="es-ES"/>
        </w:rPr>
      </w:pPr>
    </w:p>
    <w:p w:rsidR="00B9678A" w:rsidRPr="00527F3E" w:rsidRDefault="00527F3E" w:rsidP="00656A25">
      <w:pPr>
        <w:numPr>
          <w:ilvl w:val="0"/>
          <w:numId w:val="1"/>
        </w:numPr>
        <w:spacing w:after="0" w:line="240" w:lineRule="auto"/>
        <w:ind w:left="0" w:firstLine="0"/>
        <w:contextualSpacing/>
        <w:jc w:val="both"/>
        <w:rPr>
          <w:rFonts w:ascii="Times New Roman" w:eastAsia="Times New Roman" w:hAnsi="Times New Roman" w:cs="Times New Roman"/>
          <w:color w:val="000000"/>
          <w:sz w:val="28"/>
          <w:szCs w:val="28"/>
          <w:bdr w:val="none" w:sz="0" w:space="0" w:color="auto" w:frame="1"/>
          <w:lang w:eastAsia="es-ES"/>
        </w:rPr>
      </w:pPr>
      <w:r w:rsidRPr="00527F3E">
        <w:rPr>
          <w:rFonts w:ascii="Times New Roman" w:eastAsia="Times New Roman" w:hAnsi="Times New Roman" w:cs="Times New Roman"/>
          <w:color w:val="000000"/>
          <w:sz w:val="28"/>
          <w:szCs w:val="28"/>
          <w:bdr w:val="none" w:sz="0" w:space="0" w:color="auto" w:frame="1"/>
          <w:lang w:eastAsia="es-ES"/>
        </w:rPr>
        <w:t xml:space="preserve">El </w:t>
      </w:r>
      <w:r w:rsidRPr="00527F3E">
        <w:rPr>
          <w:rFonts w:ascii="Times New Roman" w:eastAsia="Times New Roman" w:hAnsi="Times New Roman" w:cs="Times New Roman"/>
          <w:iCs/>
          <w:color w:val="000000"/>
          <w:sz w:val="28"/>
          <w:szCs w:val="28"/>
        </w:rPr>
        <w:t xml:space="preserve">Departamento Administrativo de la Presidencia de la República - DAPRE </w:t>
      </w:r>
      <w:r w:rsidRPr="00527F3E">
        <w:rPr>
          <w:rFonts w:ascii="Times New Roman" w:eastAsia="Times New Roman" w:hAnsi="Times New Roman" w:cs="Times New Roman"/>
          <w:color w:val="000000"/>
          <w:sz w:val="28"/>
          <w:szCs w:val="28"/>
          <w:lang w:val="es-ES"/>
        </w:rPr>
        <w:t>solicitó a la Corte declararse inhibida para decidir de fondo por ineptitud sustantiva de la demanda. En concreto, para la entidad el escrito del actor incumple los requisitos de clarida</w:t>
      </w:r>
      <w:r w:rsidRPr="00527F3E">
        <w:rPr>
          <w:rFonts w:ascii="Times New Roman" w:eastAsia="Times New Roman" w:hAnsi="Times New Roman" w:cs="Times New Roman"/>
          <w:color w:val="000000"/>
          <w:sz w:val="28"/>
          <w:szCs w:val="28"/>
          <w:lang w:val="es-ES"/>
        </w:rPr>
        <w:t xml:space="preserve">d, especificidad y certeza. Antes de pronunciarse sobre este planteamiento, resulta pertinente recordar que tales postulados se inscriben en el deber del demandante de </w:t>
      </w:r>
      <w:r w:rsidRPr="00527F3E">
        <w:rPr>
          <w:rFonts w:ascii="Times New Roman" w:eastAsia="Times New Roman" w:hAnsi="Times New Roman" w:cs="Times New Roman"/>
          <w:iCs/>
          <w:color w:val="000000"/>
          <w:sz w:val="28"/>
          <w:szCs w:val="28"/>
        </w:rPr>
        <w:t xml:space="preserve">exponer las razones o motivos por los cuales la norma acusada viola la Constitución, lo </w:t>
      </w:r>
      <w:r w:rsidRPr="00527F3E">
        <w:rPr>
          <w:rFonts w:ascii="Times New Roman" w:eastAsia="Times New Roman" w:hAnsi="Times New Roman" w:cs="Times New Roman"/>
          <w:iCs/>
          <w:color w:val="000000"/>
          <w:sz w:val="28"/>
          <w:szCs w:val="28"/>
        </w:rPr>
        <w:t>que se traduce, a su vez, en la formulación de por lo menos un cargo concreto de inconstitucionalidad</w:t>
      </w:r>
      <w:r w:rsidRPr="00527F3E">
        <w:rPr>
          <w:rFonts w:ascii="Times New Roman" w:eastAsia="Times New Roman" w:hAnsi="Times New Roman" w:cs="Times New Roman"/>
          <w:iCs/>
          <w:color w:val="000000"/>
          <w:sz w:val="28"/>
          <w:szCs w:val="28"/>
          <w:vertAlign w:val="superscript"/>
        </w:rPr>
        <w:footnoteReference w:id="63"/>
      </w:r>
      <w:r w:rsidRPr="00527F3E">
        <w:rPr>
          <w:rFonts w:ascii="Times New Roman" w:eastAsia="Times New Roman" w:hAnsi="Times New Roman" w:cs="Times New Roman"/>
          <w:iCs/>
          <w:color w:val="000000"/>
          <w:sz w:val="28"/>
          <w:szCs w:val="28"/>
        </w:rPr>
        <w:t>.</w:t>
      </w:r>
    </w:p>
    <w:p w:rsidR="00B9678A" w:rsidRPr="00527F3E" w:rsidRDefault="00527F3E" w:rsidP="00656A25">
      <w:pPr>
        <w:spacing w:line="240" w:lineRule="auto"/>
        <w:contextualSpacing/>
        <w:jc w:val="both"/>
        <w:rPr>
          <w:rFonts w:ascii="Times New Roman" w:eastAsia="Times New Roman" w:hAnsi="Times New Roman" w:cs="Times New Roman"/>
          <w:color w:val="000000"/>
          <w:sz w:val="28"/>
          <w:szCs w:val="28"/>
          <w:bdr w:val="none" w:sz="0" w:space="0" w:color="auto" w:frame="1"/>
          <w:lang w:eastAsia="es-ES"/>
        </w:rPr>
      </w:pPr>
    </w:p>
    <w:p w:rsidR="00B9678A" w:rsidRPr="00527F3E" w:rsidRDefault="00527F3E" w:rsidP="00656A25">
      <w:pPr>
        <w:numPr>
          <w:ilvl w:val="0"/>
          <w:numId w:val="1"/>
        </w:numPr>
        <w:spacing w:after="0" w:line="240" w:lineRule="auto"/>
        <w:ind w:left="0" w:firstLine="0"/>
        <w:contextualSpacing/>
        <w:jc w:val="both"/>
        <w:rPr>
          <w:rFonts w:ascii="Times New Roman" w:eastAsia="Times New Roman" w:hAnsi="Times New Roman" w:cs="Times New Roman"/>
          <w:i/>
          <w:iCs/>
          <w:color w:val="000000"/>
          <w:sz w:val="28"/>
          <w:szCs w:val="28"/>
          <w:bdr w:val="none" w:sz="0" w:space="0" w:color="auto" w:frame="1"/>
          <w:lang w:val="es-ES_tradnl" w:eastAsia="es-ES"/>
        </w:rPr>
      </w:pPr>
      <w:r w:rsidRPr="00527F3E">
        <w:rPr>
          <w:rFonts w:ascii="Times New Roman" w:eastAsia="Times New Roman" w:hAnsi="Times New Roman" w:cs="Times New Roman"/>
          <w:color w:val="000000"/>
          <w:sz w:val="28"/>
          <w:szCs w:val="28"/>
          <w:bdr w:val="none" w:sz="0" w:space="0" w:color="auto" w:frame="1"/>
          <w:lang w:eastAsia="es-ES"/>
        </w:rPr>
        <w:t xml:space="preserve">En ese sentido, la jurisprudencia constitucional reiteradamente ha señalado que esta carga de argumentación </w:t>
      </w:r>
      <w:r w:rsidRPr="00527F3E">
        <w:rPr>
          <w:rFonts w:ascii="Times New Roman" w:eastAsia="Times New Roman" w:hAnsi="Times New Roman" w:cs="Times New Roman"/>
          <w:color w:val="000000"/>
          <w:sz w:val="28"/>
          <w:szCs w:val="28"/>
          <w:bdr w:val="none" w:sz="0" w:space="0" w:color="auto" w:frame="1"/>
          <w:lang w:val="es-ES" w:eastAsia="es-ES"/>
        </w:rPr>
        <w:t xml:space="preserve">exige que la acusación presentada se apoye </w:t>
      </w:r>
      <w:r w:rsidRPr="00527F3E">
        <w:rPr>
          <w:rFonts w:ascii="Times New Roman" w:eastAsia="Times New Roman" w:hAnsi="Times New Roman" w:cs="Times New Roman"/>
          <w:color w:val="000000"/>
          <w:sz w:val="28"/>
          <w:szCs w:val="28"/>
          <w:bdr w:val="none" w:sz="0" w:space="0" w:color="auto" w:frame="1"/>
          <w:lang w:val="es-ES" w:eastAsia="es-ES"/>
        </w:rPr>
        <w:t>en razones (i)</w:t>
      </w:r>
      <w:r w:rsidRPr="00527F3E">
        <w:rPr>
          <w:rFonts w:ascii="Times New Roman" w:eastAsia="Times New Roman" w:hAnsi="Times New Roman" w:cs="Times New Roman"/>
          <w:bCs/>
          <w:iCs/>
          <w:color w:val="000000"/>
          <w:sz w:val="28"/>
          <w:szCs w:val="28"/>
          <w:bdr w:val="none" w:sz="0" w:space="0" w:color="auto" w:frame="1"/>
          <w:lang w:val="es-ES" w:eastAsia="es-ES"/>
        </w:rPr>
        <w:t xml:space="preserve"> </w:t>
      </w:r>
      <w:r w:rsidRPr="00527F3E">
        <w:rPr>
          <w:rFonts w:ascii="Times New Roman" w:eastAsia="Times New Roman" w:hAnsi="Times New Roman" w:cs="Times New Roman"/>
          <w:bCs/>
          <w:i/>
          <w:color w:val="000000"/>
          <w:sz w:val="28"/>
          <w:szCs w:val="28"/>
          <w:bdr w:val="none" w:sz="0" w:space="0" w:color="auto" w:frame="1"/>
          <w:lang w:val="es-ES" w:eastAsia="es-ES"/>
        </w:rPr>
        <w:t>claras</w:t>
      </w:r>
      <w:r w:rsidRPr="00527F3E">
        <w:rPr>
          <w:rFonts w:ascii="Times New Roman" w:eastAsia="Times New Roman" w:hAnsi="Times New Roman" w:cs="Times New Roman"/>
          <w:bCs/>
          <w:color w:val="000000"/>
          <w:sz w:val="28"/>
          <w:szCs w:val="28"/>
          <w:bdr w:val="none" w:sz="0" w:space="0" w:color="auto" w:frame="1"/>
          <w:lang w:val="es-ES" w:eastAsia="es-ES"/>
        </w:rPr>
        <w:t xml:space="preserve">, </w:t>
      </w:r>
      <w:r w:rsidRPr="00527F3E">
        <w:rPr>
          <w:rFonts w:ascii="Times New Roman" w:eastAsia="Times New Roman" w:hAnsi="Times New Roman" w:cs="Times New Roman"/>
          <w:color w:val="000000"/>
          <w:sz w:val="28"/>
          <w:szCs w:val="28"/>
          <w:bdr w:val="none" w:sz="0" w:space="0" w:color="auto" w:frame="1"/>
          <w:lang w:val="es-ES" w:eastAsia="es-ES"/>
        </w:rPr>
        <w:t>esto es, cuando la acusación formulada es comprensible y de fácil entendimiento; (ii)</w:t>
      </w:r>
      <w:r w:rsidRPr="00527F3E">
        <w:rPr>
          <w:rFonts w:ascii="Times New Roman" w:eastAsia="Times New Roman" w:hAnsi="Times New Roman" w:cs="Times New Roman"/>
          <w:bCs/>
          <w:i/>
          <w:iCs/>
          <w:color w:val="000000"/>
          <w:sz w:val="28"/>
          <w:szCs w:val="28"/>
          <w:bdr w:val="none" w:sz="0" w:space="0" w:color="auto" w:frame="1"/>
          <w:lang w:val="es-ES" w:eastAsia="es-ES"/>
        </w:rPr>
        <w:t xml:space="preserve"> </w:t>
      </w:r>
      <w:r w:rsidRPr="00527F3E">
        <w:rPr>
          <w:rFonts w:ascii="Times New Roman" w:eastAsia="Times New Roman" w:hAnsi="Times New Roman" w:cs="Times New Roman"/>
          <w:bCs/>
          <w:i/>
          <w:color w:val="000000"/>
          <w:sz w:val="28"/>
          <w:szCs w:val="28"/>
          <w:bdr w:val="none" w:sz="0" w:space="0" w:color="auto" w:frame="1"/>
          <w:lang w:val="es-ES" w:eastAsia="es-ES"/>
        </w:rPr>
        <w:t>ciertas</w:t>
      </w:r>
      <w:r w:rsidRPr="00527F3E">
        <w:rPr>
          <w:rFonts w:ascii="Times New Roman" w:eastAsia="Times New Roman" w:hAnsi="Times New Roman" w:cs="Times New Roman"/>
          <w:bCs/>
          <w:color w:val="000000"/>
          <w:sz w:val="28"/>
          <w:szCs w:val="28"/>
          <w:bdr w:val="none" w:sz="0" w:space="0" w:color="auto" w:frame="1"/>
          <w:lang w:val="es-ES" w:eastAsia="es-ES"/>
        </w:rPr>
        <w:t>,</w:t>
      </w:r>
      <w:r w:rsidRPr="00527F3E">
        <w:rPr>
          <w:rFonts w:ascii="Times New Roman" w:eastAsia="Times New Roman" w:hAnsi="Times New Roman" w:cs="Times New Roman"/>
          <w:color w:val="000000"/>
          <w:sz w:val="28"/>
          <w:szCs w:val="28"/>
          <w:bdr w:val="none" w:sz="0" w:space="0" w:color="auto" w:frame="1"/>
          <w:lang w:val="es-ES" w:eastAsia="es-ES"/>
        </w:rPr>
        <w:t xml:space="preserve"> cuando la acusación recae directamente sobre el contenido de la disposición demandada y no sobre una proposición jurídica inferida o deducida por el actor e incluso sobre otras normas vigentes que, en todo caso, no son el objeto concreto de la demanda; (i</w:t>
      </w:r>
      <w:r w:rsidRPr="00527F3E">
        <w:rPr>
          <w:rFonts w:ascii="Times New Roman" w:eastAsia="Times New Roman" w:hAnsi="Times New Roman" w:cs="Times New Roman"/>
          <w:color w:val="000000"/>
          <w:sz w:val="28"/>
          <w:szCs w:val="28"/>
          <w:bdr w:val="none" w:sz="0" w:space="0" w:color="auto" w:frame="1"/>
          <w:lang w:val="es-ES" w:eastAsia="es-ES"/>
        </w:rPr>
        <w:t>ii)</w:t>
      </w:r>
      <w:r w:rsidRPr="00527F3E">
        <w:rPr>
          <w:rFonts w:ascii="Times New Roman" w:eastAsia="Times New Roman" w:hAnsi="Times New Roman" w:cs="Times New Roman"/>
          <w:b/>
          <w:bCs/>
          <w:i/>
          <w:iCs/>
          <w:color w:val="000000"/>
          <w:sz w:val="28"/>
          <w:szCs w:val="28"/>
          <w:bdr w:val="none" w:sz="0" w:space="0" w:color="auto" w:frame="1"/>
          <w:lang w:val="es-ES" w:eastAsia="es-ES"/>
        </w:rPr>
        <w:t xml:space="preserve"> </w:t>
      </w:r>
      <w:r w:rsidRPr="00527F3E">
        <w:rPr>
          <w:rFonts w:ascii="Times New Roman" w:eastAsia="Times New Roman" w:hAnsi="Times New Roman" w:cs="Times New Roman"/>
          <w:bCs/>
          <w:i/>
          <w:color w:val="000000"/>
          <w:sz w:val="28"/>
          <w:szCs w:val="28"/>
          <w:bdr w:val="none" w:sz="0" w:space="0" w:color="auto" w:frame="1"/>
          <w:lang w:val="es-ES" w:eastAsia="es-ES"/>
        </w:rPr>
        <w:t>específicas</w:t>
      </w:r>
      <w:r w:rsidRPr="00527F3E">
        <w:rPr>
          <w:rFonts w:ascii="Times New Roman" w:eastAsia="Times New Roman" w:hAnsi="Times New Roman" w:cs="Times New Roman"/>
          <w:bCs/>
          <w:color w:val="000000"/>
          <w:sz w:val="28"/>
          <w:szCs w:val="28"/>
          <w:bdr w:val="none" w:sz="0" w:space="0" w:color="auto" w:frame="1"/>
          <w:lang w:val="es-ES" w:eastAsia="es-ES"/>
        </w:rPr>
        <w:t>,</w:t>
      </w:r>
      <w:r w:rsidRPr="00527F3E">
        <w:rPr>
          <w:rFonts w:ascii="Times New Roman" w:eastAsia="Times New Roman" w:hAnsi="Times New Roman" w:cs="Times New Roman"/>
          <w:color w:val="000000"/>
          <w:sz w:val="28"/>
          <w:szCs w:val="28"/>
          <w:bdr w:val="none" w:sz="0" w:space="0" w:color="auto" w:frame="1"/>
          <w:lang w:val="es-ES" w:eastAsia="es-ES"/>
        </w:rPr>
        <w:t xml:space="preserve"> en cuanto se defina o se muestre en forma diáfana la manera como la norma vulnera la Constitución; (iv)</w:t>
      </w:r>
      <w:r w:rsidRPr="00527F3E">
        <w:rPr>
          <w:rFonts w:ascii="Times New Roman" w:eastAsia="Times New Roman" w:hAnsi="Times New Roman" w:cs="Times New Roman"/>
          <w:b/>
          <w:bCs/>
          <w:i/>
          <w:iCs/>
          <w:color w:val="000000"/>
          <w:sz w:val="28"/>
          <w:szCs w:val="28"/>
          <w:bdr w:val="none" w:sz="0" w:space="0" w:color="auto" w:frame="1"/>
          <w:lang w:val="es-ES" w:eastAsia="es-ES"/>
        </w:rPr>
        <w:t xml:space="preserve"> </w:t>
      </w:r>
      <w:r w:rsidRPr="00527F3E">
        <w:rPr>
          <w:rFonts w:ascii="Times New Roman" w:eastAsia="Times New Roman" w:hAnsi="Times New Roman" w:cs="Times New Roman"/>
          <w:bCs/>
          <w:i/>
          <w:color w:val="000000"/>
          <w:sz w:val="28"/>
          <w:szCs w:val="28"/>
          <w:bdr w:val="none" w:sz="0" w:space="0" w:color="auto" w:frame="1"/>
          <w:lang w:val="es-ES" w:eastAsia="es-ES"/>
        </w:rPr>
        <w:t>pertinentes</w:t>
      </w:r>
      <w:r w:rsidRPr="00527F3E">
        <w:rPr>
          <w:rFonts w:ascii="Times New Roman" w:eastAsia="Times New Roman" w:hAnsi="Times New Roman" w:cs="Times New Roman"/>
          <w:bCs/>
          <w:color w:val="000000"/>
          <w:sz w:val="28"/>
          <w:szCs w:val="28"/>
          <w:bdr w:val="none" w:sz="0" w:space="0" w:color="auto" w:frame="1"/>
          <w:lang w:val="es-ES" w:eastAsia="es-ES"/>
        </w:rPr>
        <w:t>,</w:t>
      </w:r>
      <w:r w:rsidRPr="00527F3E">
        <w:rPr>
          <w:rFonts w:ascii="Times New Roman" w:eastAsia="Times New Roman" w:hAnsi="Times New Roman" w:cs="Times New Roman"/>
          <w:color w:val="000000"/>
          <w:sz w:val="28"/>
          <w:szCs w:val="28"/>
          <w:bdr w:val="none" w:sz="0" w:space="0" w:color="auto" w:frame="1"/>
          <w:lang w:val="es-ES" w:eastAsia="es-ES"/>
        </w:rPr>
        <w:t xml:space="preserve"> cuando se utilizan argumentos de naturaleza estrictamente constitucional y no razones de orden legal, personal, doctrinal o de simple conveniencia, y (v)</w:t>
      </w:r>
      <w:r w:rsidRPr="00527F3E">
        <w:rPr>
          <w:rFonts w:ascii="Times New Roman" w:eastAsia="Times New Roman" w:hAnsi="Times New Roman" w:cs="Times New Roman"/>
          <w:b/>
          <w:bCs/>
          <w:i/>
          <w:iCs/>
          <w:color w:val="000000"/>
          <w:sz w:val="28"/>
          <w:szCs w:val="28"/>
          <w:bdr w:val="none" w:sz="0" w:space="0" w:color="auto" w:frame="1"/>
          <w:lang w:val="es-ES" w:eastAsia="es-ES"/>
        </w:rPr>
        <w:t xml:space="preserve"> </w:t>
      </w:r>
      <w:r w:rsidRPr="00527F3E">
        <w:rPr>
          <w:rFonts w:ascii="Times New Roman" w:eastAsia="Times New Roman" w:hAnsi="Times New Roman" w:cs="Times New Roman"/>
          <w:bCs/>
          <w:i/>
          <w:color w:val="000000"/>
          <w:sz w:val="28"/>
          <w:szCs w:val="28"/>
          <w:bdr w:val="none" w:sz="0" w:space="0" w:color="auto" w:frame="1"/>
          <w:lang w:val="es-ES" w:eastAsia="es-ES"/>
        </w:rPr>
        <w:t>suficientes</w:t>
      </w:r>
      <w:r w:rsidRPr="00527F3E">
        <w:rPr>
          <w:rFonts w:ascii="Times New Roman" w:eastAsia="Times New Roman" w:hAnsi="Times New Roman" w:cs="Times New Roman"/>
          <w:bCs/>
          <w:color w:val="000000"/>
          <w:sz w:val="28"/>
          <w:szCs w:val="28"/>
          <w:bdr w:val="none" w:sz="0" w:space="0" w:color="auto" w:frame="1"/>
          <w:lang w:val="es-ES" w:eastAsia="es-ES"/>
        </w:rPr>
        <w:t>,</w:t>
      </w:r>
      <w:r w:rsidRPr="00527F3E">
        <w:rPr>
          <w:rFonts w:ascii="Times New Roman" w:eastAsia="Times New Roman" w:hAnsi="Times New Roman" w:cs="Times New Roman"/>
          <w:color w:val="000000"/>
          <w:sz w:val="28"/>
          <w:szCs w:val="28"/>
          <w:bdr w:val="none" w:sz="0" w:space="0" w:color="auto" w:frame="1"/>
          <w:lang w:val="es-ES" w:eastAsia="es-ES"/>
        </w:rPr>
        <w:t xml:space="preserve"> en la medida en que la acusación contenga todos los elementos fácticos y probatorios que</w:t>
      </w:r>
      <w:r w:rsidRPr="00527F3E">
        <w:rPr>
          <w:rFonts w:ascii="Times New Roman" w:eastAsia="Times New Roman" w:hAnsi="Times New Roman" w:cs="Times New Roman"/>
          <w:color w:val="000000"/>
          <w:sz w:val="28"/>
          <w:szCs w:val="28"/>
          <w:bdr w:val="none" w:sz="0" w:space="0" w:color="auto" w:frame="1"/>
          <w:lang w:val="es-ES" w:eastAsia="es-ES"/>
        </w:rPr>
        <w:t xml:space="preserve"> devienen necesarios para adelantar el juicio de inconstitucionalidad, de forma que suscite por lo menos una sospecha o duda mínima sobre la constitucionalidad del precepto impugnado</w:t>
      </w:r>
      <w:r w:rsidRPr="00527F3E">
        <w:rPr>
          <w:rFonts w:ascii="Times New Roman" w:eastAsia="Times New Roman" w:hAnsi="Times New Roman" w:cs="Times New Roman"/>
          <w:color w:val="000000"/>
          <w:sz w:val="28"/>
          <w:szCs w:val="28"/>
          <w:bdr w:val="none" w:sz="0" w:space="0" w:color="auto" w:frame="1"/>
          <w:vertAlign w:val="superscript"/>
          <w:lang w:val="es-ES" w:eastAsia="es-ES"/>
        </w:rPr>
        <w:footnoteReference w:id="64"/>
      </w:r>
      <w:r w:rsidRPr="00527F3E">
        <w:rPr>
          <w:rFonts w:ascii="Times New Roman" w:eastAsia="Times New Roman" w:hAnsi="Times New Roman" w:cs="Times New Roman"/>
          <w:color w:val="000000"/>
          <w:sz w:val="28"/>
          <w:szCs w:val="28"/>
          <w:bdr w:val="none" w:sz="0" w:space="0" w:color="auto" w:frame="1"/>
          <w:lang w:val="es-ES" w:eastAsia="es-ES"/>
        </w:rPr>
        <w:t>.</w:t>
      </w:r>
    </w:p>
    <w:p w:rsidR="00B9678A" w:rsidRPr="00527F3E" w:rsidRDefault="00527F3E" w:rsidP="00656A25">
      <w:pPr>
        <w:spacing w:line="240" w:lineRule="auto"/>
        <w:contextualSpacing/>
        <w:jc w:val="both"/>
        <w:rPr>
          <w:rFonts w:ascii="Times New Roman" w:eastAsia="Times New Roman" w:hAnsi="Times New Roman" w:cs="Times New Roman"/>
          <w:i/>
          <w:iCs/>
          <w:color w:val="000000"/>
          <w:sz w:val="28"/>
          <w:szCs w:val="28"/>
          <w:bdr w:val="none" w:sz="0" w:space="0" w:color="auto" w:frame="1"/>
          <w:lang w:val="es-ES_tradnl" w:eastAsia="es-ES"/>
        </w:rPr>
      </w:pPr>
    </w:p>
    <w:p w:rsidR="00B9678A" w:rsidRPr="00527F3E" w:rsidRDefault="00527F3E" w:rsidP="00656A25">
      <w:pPr>
        <w:numPr>
          <w:ilvl w:val="0"/>
          <w:numId w:val="1"/>
        </w:numPr>
        <w:spacing w:after="0" w:line="240" w:lineRule="auto"/>
        <w:ind w:left="0" w:firstLine="0"/>
        <w:contextualSpacing/>
        <w:jc w:val="both"/>
        <w:rPr>
          <w:rFonts w:ascii="Times New Roman" w:eastAsia="Times New Roman" w:hAnsi="Times New Roman" w:cs="Times New Roman"/>
          <w:color w:val="000000"/>
          <w:sz w:val="28"/>
          <w:szCs w:val="28"/>
          <w:bdr w:val="none" w:sz="0" w:space="0" w:color="auto" w:frame="1"/>
          <w:lang w:eastAsia="es-ES"/>
        </w:rPr>
      </w:pPr>
      <w:r w:rsidRPr="00527F3E">
        <w:rPr>
          <w:rFonts w:ascii="Times New Roman" w:eastAsia="Times New Roman" w:hAnsi="Times New Roman" w:cs="Times New Roman"/>
          <w:color w:val="000000"/>
          <w:sz w:val="28"/>
          <w:szCs w:val="28"/>
          <w:bdr w:val="none" w:sz="0" w:space="0" w:color="auto" w:frame="1"/>
          <w:lang w:eastAsia="es-ES"/>
        </w:rPr>
        <w:t xml:space="preserve">Contrario a lo manifestado por el DAPRE, la Sala Plena comparte las </w:t>
      </w:r>
      <w:r w:rsidRPr="00527F3E">
        <w:rPr>
          <w:rFonts w:ascii="Times New Roman" w:eastAsia="Times New Roman" w:hAnsi="Times New Roman" w:cs="Times New Roman"/>
          <w:color w:val="000000"/>
          <w:sz w:val="28"/>
          <w:szCs w:val="28"/>
          <w:bdr w:val="none" w:sz="0" w:space="0" w:color="auto" w:frame="1"/>
          <w:lang w:eastAsia="es-ES"/>
        </w:rPr>
        <w:t>razones de aptitud de la demanda de inconstitucionalidad</w:t>
      </w:r>
      <w:r w:rsidRPr="00527F3E">
        <w:rPr>
          <w:rFonts w:ascii="Times New Roman" w:eastAsia="Times New Roman" w:hAnsi="Times New Roman" w:cs="Times New Roman"/>
          <w:color w:val="000000"/>
          <w:sz w:val="28"/>
          <w:szCs w:val="28"/>
          <w:lang w:val="es-ES"/>
        </w:rPr>
        <w:t>, en los términos en los que fue analizada en la fase de admisibilidad. Específicamente sobre los reparos formulados por la entidad, la Corte encuentra que, por un lado, la demanda cumple el requisito</w:t>
      </w:r>
      <w:r w:rsidRPr="00527F3E">
        <w:rPr>
          <w:rFonts w:ascii="Times New Roman" w:eastAsia="Times New Roman" w:hAnsi="Times New Roman" w:cs="Times New Roman"/>
          <w:color w:val="000000"/>
          <w:sz w:val="28"/>
          <w:szCs w:val="28"/>
          <w:lang w:val="es-ES"/>
        </w:rPr>
        <w:t xml:space="preserve"> de </w:t>
      </w:r>
      <w:r w:rsidRPr="00527F3E">
        <w:rPr>
          <w:rFonts w:ascii="Times New Roman" w:eastAsia="Times New Roman" w:hAnsi="Times New Roman" w:cs="Times New Roman"/>
          <w:i/>
          <w:iCs/>
          <w:color w:val="000000"/>
          <w:sz w:val="28"/>
          <w:szCs w:val="28"/>
          <w:lang w:val="es-ES"/>
        </w:rPr>
        <w:t>claridad</w:t>
      </w:r>
      <w:r w:rsidRPr="00527F3E">
        <w:rPr>
          <w:rFonts w:ascii="Times New Roman" w:eastAsia="Times New Roman" w:hAnsi="Times New Roman" w:cs="Times New Roman"/>
          <w:color w:val="000000"/>
          <w:sz w:val="28"/>
          <w:szCs w:val="28"/>
          <w:lang w:val="es-ES"/>
        </w:rPr>
        <w:t>, pues a través del escrito de corrección el actor logró estructurar el cargo de inconstitucionalidad de una manera precisa y manteniendo un hilo conductor que hace que el reproche sea comprensible para la Corte. En esa medida, esta Corporación</w:t>
      </w:r>
      <w:r w:rsidRPr="00527F3E">
        <w:rPr>
          <w:rFonts w:ascii="Times New Roman" w:eastAsia="Times New Roman" w:hAnsi="Times New Roman" w:cs="Times New Roman"/>
          <w:color w:val="000000"/>
          <w:sz w:val="28"/>
          <w:szCs w:val="28"/>
          <w:lang w:val="es-ES"/>
        </w:rPr>
        <w:t xml:space="preserve"> no comparte las manifestaciones de la entidad interviniente, según las cuales el accionante se limitó a citar normas presuntamente vulneradas y a citar extractos jurisprudenciales sin concretar razones de inconstitucionalidad. Por el contrario, la Sala ob</w:t>
      </w:r>
      <w:r w:rsidRPr="00527F3E">
        <w:rPr>
          <w:rFonts w:ascii="Times New Roman" w:eastAsia="Times New Roman" w:hAnsi="Times New Roman" w:cs="Times New Roman"/>
          <w:color w:val="000000"/>
          <w:sz w:val="28"/>
          <w:szCs w:val="28"/>
          <w:lang w:val="es-ES"/>
        </w:rPr>
        <w:t xml:space="preserve">serva que el actor fue claro en indicar que el parágrafo acusado, en su criterio, viola el principio de unidad de materia por no presentar conexidad con el resto de contenido, objeto y título de la Ley 2299 de 2023. De este modo, se ocupó de plantear que, </w:t>
      </w:r>
      <w:r w:rsidRPr="00527F3E">
        <w:rPr>
          <w:rFonts w:ascii="Times New Roman" w:eastAsia="Times New Roman" w:hAnsi="Times New Roman" w:cs="Times New Roman"/>
          <w:color w:val="000000"/>
          <w:sz w:val="28"/>
          <w:szCs w:val="28"/>
          <w:lang w:val="es-ES"/>
        </w:rPr>
        <w:t>en su concepto, la norma carecía de conexidad causal, teleológica, temática y sistemática; y desarrolló las razones por las que, desde su perspectiva, la disposición no satisfaría los presupuestos de temporalidad, tema y finalidad presupuestal de la Ley, s</w:t>
      </w:r>
      <w:r w:rsidRPr="00527F3E">
        <w:rPr>
          <w:rFonts w:ascii="Times New Roman" w:eastAsia="Times New Roman" w:hAnsi="Times New Roman" w:cs="Times New Roman"/>
          <w:color w:val="000000"/>
          <w:sz w:val="28"/>
          <w:szCs w:val="28"/>
          <w:lang w:val="es-ES"/>
        </w:rPr>
        <w:t xml:space="preserve">iendo estos los postulados jurisprudenciales que ha exigido esta Corporación en la formulación del cargo de inconstitucionalidad por unidad de materia. </w:t>
      </w:r>
    </w:p>
    <w:p w:rsidR="00B9678A" w:rsidRPr="00527F3E" w:rsidRDefault="00527F3E" w:rsidP="00656A25">
      <w:pPr>
        <w:spacing w:line="240" w:lineRule="auto"/>
        <w:contextualSpacing/>
        <w:jc w:val="both"/>
        <w:rPr>
          <w:rFonts w:ascii="Times New Roman" w:eastAsia="Times New Roman" w:hAnsi="Times New Roman" w:cs="Times New Roman"/>
          <w:color w:val="000000"/>
          <w:sz w:val="28"/>
          <w:szCs w:val="28"/>
          <w:bdr w:val="none" w:sz="0" w:space="0" w:color="auto" w:frame="1"/>
          <w:lang w:eastAsia="es-ES"/>
        </w:rPr>
      </w:pPr>
    </w:p>
    <w:p w:rsidR="00B9678A" w:rsidRPr="00527F3E" w:rsidRDefault="00527F3E" w:rsidP="00656A25">
      <w:pPr>
        <w:numPr>
          <w:ilvl w:val="0"/>
          <w:numId w:val="1"/>
        </w:numPr>
        <w:spacing w:after="0" w:line="240" w:lineRule="auto"/>
        <w:ind w:left="0" w:firstLine="0"/>
        <w:contextualSpacing/>
        <w:jc w:val="both"/>
        <w:rPr>
          <w:rFonts w:ascii="Times New Roman" w:eastAsia="Times New Roman" w:hAnsi="Times New Roman" w:cs="Times New Roman"/>
          <w:color w:val="000000"/>
          <w:sz w:val="28"/>
          <w:szCs w:val="28"/>
          <w:bdr w:val="none" w:sz="0" w:space="0" w:color="auto" w:frame="1"/>
          <w:lang w:eastAsia="es-ES"/>
        </w:rPr>
      </w:pPr>
      <w:r w:rsidRPr="00527F3E">
        <w:rPr>
          <w:rFonts w:ascii="Times New Roman" w:eastAsia="Times New Roman" w:hAnsi="Times New Roman" w:cs="Times New Roman"/>
          <w:color w:val="000000"/>
          <w:sz w:val="28"/>
          <w:szCs w:val="28"/>
          <w:bdr w:val="none" w:sz="0" w:space="0" w:color="auto" w:frame="1"/>
          <w:lang w:eastAsia="es-ES"/>
        </w:rPr>
        <w:t xml:space="preserve">Asimismo, la demanda no carece de </w:t>
      </w:r>
      <w:r w:rsidRPr="00527F3E">
        <w:rPr>
          <w:rFonts w:ascii="Times New Roman" w:eastAsia="Times New Roman" w:hAnsi="Times New Roman" w:cs="Times New Roman"/>
          <w:i/>
          <w:iCs/>
          <w:color w:val="000000"/>
          <w:sz w:val="28"/>
          <w:szCs w:val="28"/>
          <w:bdr w:val="none" w:sz="0" w:space="0" w:color="auto" w:frame="1"/>
          <w:lang w:eastAsia="es-ES"/>
        </w:rPr>
        <w:t xml:space="preserve">certeza </w:t>
      </w:r>
      <w:r w:rsidRPr="00527F3E">
        <w:rPr>
          <w:rFonts w:ascii="Times New Roman" w:eastAsia="Times New Roman" w:hAnsi="Times New Roman" w:cs="Times New Roman"/>
          <w:color w:val="000000"/>
          <w:sz w:val="28"/>
          <w:szCs w:val="28"/>
          <w:bdr w:val="none" w:sz="0" w:space="0" w:color="auto" w:frame="1"/>
          <w:lang w:eastAsia="es-ES"/>
        </w:rPr>
        <w:t xml:space="preserve">y </w:t>
      </w:r>
      <w:r w:rsidRPr="00527F3E">
        <w:rPr>
          <w:rFonts w:ascii="Times New Roman" w:eastAsia="Times New Roman" w:hAnsi="Times New Roman" w:cs="Times New Roman"/>
          <w:i/>
          <w:iCs/>
          <w:color w:val="000000"/>
          <w:sz w:val="28"/>
          <w:szCs w:val="28"/>
          <w:bdr w:val="none" w:sz="0" w:space="0" w:color="auto" w:frame="1"/>
          <w:lang w:eastAsia="es-ES"/>
        </w:rPr>
        <w:t>especificidad.</w:t>
      </w:r>
      <w:r w:rsidRPr="00527F3E">
        <w:rPr>
          <w:rFonts w:ascii="Times New Roman" w:eastAsia="Times New Roman" w:hAnsi="Times New Roman" w:cs="Times New Roman"/>
          <w:color w:val="000000"/>
          <w:sz w:val="28"/>
          <w:szCs w:val="28"/>
          <w:bdr w:val="none" w:sz="0" w:space="0" w:color="auto" w:frame="1"/>
          <w:lang w:eastAsia="es-ES"/>
        </w:rPr>
        <w:t xml:space="preserve"> Según el DAPRE, el demandante se limitó a p</w:t>
      </w:r>
      <w:r w:rsidRPr="00527F3E">
        <w:rPr>
          <w:rFonts w:ascii="Times New Roman" w:eastAsia="Times New Roman" w:hAnsi="Times New Roman" w:cs="Times New Roman"/>
          <w:color w:val="000000"/>
          <w:sz w:val="28"/>
          <w:szCs w:val="28"/>
          <w:bdr w:val="none" w:sz="0" w:space="0" w:color="auto" w:frame="1"/>
          <w:lang w:eastAsia="es-ES"/>
        </w:rPr>
        <w:t>lantear un simple argumento literario y a presentar reparos subjetivos en contra de la disposición. Para la Corte, tales apreciaciones no atenden el contenido integral de la demanda. En este caso, el accionante fue preciso en indicar que, en su criterio, a</w:t>
      </w:r>
      <w:r w:rsidRPr="00527F3E">
        <w:rPr>
          <w:rFonts w:ascii="Times New Roman" w:eastAsia="Times New Roman" w:hAnsi="Times New Roman" w:cs="Times New Roman"/>
          <w:color w:val="000000"/>
          <w:sz w:val="28"/>
          <w:szCs w:val="28"/>
          <w:bdr w:val="none" w:sz="0" w:space="0" w:color="auto" w:frame="1"/>
          <w:lang w:eastAsia="es-ES"/>
        </w:rPr>
        <w:t xml:space="preserve"> la luz del principio de unidad de materia, no existía ninguna relación entre el parágrafo demandado y el contenido y título de la ley en la que está contenido. Para ello, se ocupó de defender, a partir de la literalidad del título de la ley, que el objeto</w:t>
      </w:r>
      <w:r w:rsidRPr="00527F3E">
        <w:rPr>
          <w:rFonts w:ascii="Times New Roman" w:eastAsia="Times New Roman" w:hAnsi="Times New Roman" w:cs="Times New Roman"/>
          <w:color w:val="000000"/>
          <w:sz w:val="28"/>
          <w:szCs w:val="28"/>
          <w:bdr w:val="none" w:sz="0" w:space="0" w:color="auto" w:frame="1"/>
          <w:lang w:eastAsia="es-ES"/>
        </w:rPr>
        <w:t xml:space="preserve"> de la misma era la adición y modificación del presupuesto general de la Nación para la vigencia fiscal de 2023. Asimismo, desde una lectura literal del parágrafo acusado, expuso que con este se establecen reglas para la revisión de contratos de concesión </w:t>
      </w:r>
      <w:r w:rsidRPr="00527F3E">
        <w:rPr>
          <w:rFonts w:ascii="Times New Roman" w:eastAsia="Times New Roman" w:hAnsi="Times New Roman" w:cs="Times New Roman"/>
          <w:color w:val="000000"/>
          <w:sz w:val="28"/>
          <w:szCs w:val="28"/>
          <w:bdr w:val="none" w:sz="0" w:space="0" w:color="auto" w:frame="1"/>
          <w:lang w:eastAsia="es-ES"/>
        </w:rPr>
        <w:t xml:space="preserve">y operación de Sistemas Integrados de Transporte Público (SITP) y/o Sistemas Estratégicos de Transporte Público (SETP) lo que, en su criterio, “no se trata de ninguna manera de modificaciones a los rubros presupuestales de la Nación para el año 2023”, por </w:t>
      </w:r>
      <w:r w:rsidRPr="00527F3E">
        <w:rPr>
          <w:rFonts w:ascii="Times New Roman" w:eastAsia="Times New Roman" w:hAnsi="Times New Roman" w:cs="Times New Roman"/>
          <w:color w:val="000000"/>
          <w:sz w:val="28"/>
          <w:szCs w:val="28"/>
          <w:bdr w:val="none" w:sz="0" w:space="0" w:color="auto" w:frame="1"/>
          <w:lang w:eastAsia="es-ES"/>
        </w:rPr>
        <w:t>lo que no guardaría ninguna conexión con la Ley en la que se inserta.</w:t>
      </w:r>
    </w:p>
    <w:p w:rsidR="00B9678A" w:rsidRPr="00527F3E" w:rsidRDefault="00527F3E" w:rsidP="00656A25">
      <w:pPr>
        <w:spacing w:line="240" w:lineRule="auto"/>
        <w:contextualSpacing/>
        <w:jc w:val="both"/>
        <w:rPr>
          <w:rFonts w:ascii="Times New Roman" w:eastAsia="Times New Roman" w:hAnsi="Times New Roman" w:cs="Times New Roman"/>
          <w:color w:val="000000"/>
          <w:sz w:val="28"/>
          <w:szCs w:val="28"/>
          <w:bdr w:val="none" w:sz="0" w:space="0" w:color="auto" w:frame="1"/>
          <w:lang w:eastAsia="es-ES"/>
        </w:rPr>
      </w:pPr>
    </w:p>
    <w:p w:rsidR="00B9678A" w:rsidRPr="00527F3E" w:rsidRDefault="00527F3E" w:rsidP="00656A25">
      <w:pPr>
        <w:numPr>
          <w:ilvl w:val="0"/>
          <w:numId w:val="1"/>
        </w:numPr>
        <w:spacing w:after="0" w:line="240" w:lineRule="auto"/>
        <w:ind w:left="0" w:firstLine="0"/>
        <w:contextualSpacing/>
        <w:jc w:val="both"/>
        <w:rPr>
          <w:rFonts w:ascii="Times New Roman" w:eastAsia="Times New Roman" w:hAnsi="Times New Roman" w:cs="Times New Roman"/>
          <w:color w:val="000000"/>
          <w:sz w:val="28"/>
          <w:szCs w:val="28"/>
          <w:bdr w:val="none" w:sz="0" w:space="0" w:color="auto" w:frame="1"/>
          <w:lang w:eastAsia="es-ES"/>
        </w:rPr>
      </w:pPr>
      <w:r w:rsidRPr="00527F3E">
        <w:rPr>
          <w:rFonts w:ascii="Times New Roman" w:eastAsia="Times New Roman" w:hAnsi="Times New Roman" w:cs="Times New Roman"/>
          <w:color w:val="000000"/>
          <w:sz w:val="28"/>
          <w:szCs w:val="28"/>
          <w:bdr w:val="none" w:sz="0" w:space="0" w:color="auto" w:frame="1"/>
          <w:lang w:eastAsia="es-ES"/>
        </w:rPr>
        <w:t xml:space="preserve">Desde el punto de vista formal, sin que ello comprometa el juicio de constitucionalidad de la medida, para la Corte los planteamientos del actor no se fundan, al menos </w:t>
      </w:r>
      <w:r w:rsidRPr="00527F3E">
        <w:rPr>
          <w:rFonts w:ascii="Times New Roman" w:eastAsia="Times New Roman" w:hAnsi="Times New Roman" w:cs="Times New Roman"/>
          <w:i/>
          <w:iCs/>
          <w:color w:val="000000"/>
          <w:sz w:val="28"/>
          <w:szCs w:val="28"/>
          <w:bdr w:val="none" w:sz="0" w:space="0" w:color="auto" w:frame="1"/>
          <w:lang w:eastAsia="es-ES"/>
        </w:rPr>
        <w:t>prima facie</w:t>
      </w:r>
      <w:r w:rsidRPr="00527F3E">
        <w:rPr>
          <w:rFonts w:ascii="Times New Roman" w:eastAsia="Times New Roman" w:hAnsi="Times New Roman" w:cs="Times New Roman"/>
          <w:color w:val="000000"/>
          <w:sz w:val="28"/>
          <w:szCs w:val="28"/>
          <w:bdr w:val="none" w:sz="0" w:space="0" w:color="auto" w:frame="1"/>
          <w:lang w:eastAsia="es-ES"/>
        </w:rPr>
        <w:t>, en u</w:t>
      </w:r>
      <w:r w:rsidRPr="00527F3E">
        <w:rPr>
          <w:rFonts w:ascii="Times New Roman" w:eastAsia="Times New Roman" w:hAnsi="Times New Roman" w:cs="Times New Roman"/>
          <w:color w:val="000000"/>
          <w:sz w:val="28"/>
          <w:szCs w:val="28"/>
          <w:bdr w:val="none" w:sz="0" w:space="0" w:color="auto" w:frame="1"/>
          <w:lang w:eastAsia="es-ES"/>
        </w:rPr>
        <w:t>na interpretación estrictamente subjetiva de estos contenidos normativos, que impida dar por cumplido el requisito de certeza. Por el contrario, al margen de la posición jurídica del actor sobre la norma y del análisis de fondo que finalmente aquella merez</w:t>
      </w:r>
      <w:r w:rsidRPr="00527F3E">
        <w:rPr>
          <w:rFonts w:ascii="Times New Roman" w:eastAsia="Times New Roman" w:hAnsi="Times New Roman" w:cs="Times New Roman"/>
          <w:color w:val="000000"/>
          <w:sz w:val="28"/>
          <w:szCs w:val="28"/>
          <w:bdr w:val="none" w:sz="0" w:space="0" w:color="auto" w:frame="1"/>
          <w:lang w:eastAsia="es-ES"/>
        </w:rPr>
        <w:t xml:space="preserve">ca, el contenido normativo expresado por el demandante es posible derivarlo razonablemente de la disposición. Por ende, la Sala no comparte este reproche de ineptitud alegado por el DAPRE. </w:t>
      </w:r>
    </w:p>
    <w:p w:rsidR="00B9678A" w:rsidRPr="00527F3E" w:rsidRDefault="00527F3E" w:rsidP="00656A25">
      <w:pPr>
        <w:spacing w:line="240" w:lineRule="auto"/>
        <w:contextualSpacing/>
        <w:rPr>
          <w:rFonts w:ascii="Times New Roman" w:eastAsia="Times New Roman" w:hAnsi="Times New Roman" w:cs="Times New Roman"/>
          <w:color w:val="000000"/>
          <w:sz w:val="28"/>
          <w:szCs w:val="28"/>
          <w:bdr w:val="none" w:sz="0" w:space="0" w:color="auto" w:frame="1"/>
          <w:lang w:eastAsia="es-ES"/>
        </w:rPr>
      </w:pPr>
    </w:p>
    <w:p w:rsidR="00B9678A" w:rsidRPr="00527F3E" w:rsidRDefault="00527F3E" w:rsidP="00656A25">
      <w:pPr>
        <w:numPr>
          <w:ilvl w:val="0"/>
          <w:numId w:val="1"/>
        </w:numPr>
        <w:spacing w:after="0" w:line="240" w:lineRule="auto"/>
        <w:ind w:left="0" w:firstLine="0"/>
        <w:contextualSpacing/>
        <w:jc w:val="both"/>
        <w:rPr>
          <w:rFonts w:ascii="Times New Roman" w:eastAsia="Times New Roman" w:hAnsi="Times New Roman" w:cs="Times New Roman"/>
          <w:color w:val="000000"/>
          <w:sz w:val="28"/>
          <w:szCs w:val="28"/>
          <w:bdr w:val="none" w:sz="0" w:space="0" w:color="auto" w:frame="1"/>
          <w:lang w:eastAsia="es-ES"/>
        </w:rPr>
      </w:pPr>
      <w:r w:rsidRPr="00527F3E">
        <w:rPr>
          <w:rFonts w:ascii="Times New Roman" w:eastAsia="Times New Roman" w:hAnsi="Times New Roman" w:cs="Times New Roman"/>
          <w:color w:val="000000"/>
          <w:sz w:val="28"/>
          <w:szCs w:val="28"/>
          <w:bdr w:val="none" w:sz="0" w:space="0" w:color="auto" w:frame="1"/>
          <w:lang w:eastAsia="es-ES"/>
        </w:rPr>
        <w:t xml:space="preserve">Finalmente, sobre el requisito de </w:t>
      </w:r>
      <w:r w:rsidRPr="00527F3E">
        <w:rPr>
          <w:rFonts w:ascii="Times New Roman" w:eastAsia="Times New Roman" w:hAnsi="Times New Roman" w:cs="Times New Roman"/>
          <w:i/>
          <w:iCs/>
          <w:color w:val="000000"/>
          <w:sz w:val="28"/>
          <w:szCs w:val="28"/>
          <w:bdr w:val="none" w:sz="0" w:space="0" w:color="auto" w:frame="1"/>
          <w:lang w:eastAsia="es-ES"/>
        </w:rPr>
        <w:t>especificidad</w:t>
      </w:r>
      <w:r w:rsidRPr="00527F3E">
        <w:rPr>
          <w:rFonts w:ascii="Times New Roman" w:eastAsia="Times New Roman" w:hAnsi="Times New Roman" w:cs="Times New Roman"/>
          <w:color w:val="000000"/>
          <w:sz w:val="28"/>
          <w:szCs w:val="28"/>
          <w:bdr w:val="none" w:sz="0" w:space="0" w:color="auto" w:frame="1"/>
          <w:lang w:eastAsia="es-ES"/>
        </w:rPr>
        <w:t>, debe recordarse que el actor, en esencia, sustentó la supuesta violación del principio de unidad de materia y la consecuente trasgresión de los artículos 158 y 169 superiores en lo siguiente: (i) ausencia de conexidad causal, porque los motivos de expedi</w:t>
      </w:r>
      <w:r w:rsidRPr="00527F3E">
        <w:rPr>
          <w:rFonts w:ascii="Times New Roman" w:eastAsia="Times New Roman" w:hAnsi="Times New Roman" w:cs="Times New Roman"/>
          <w:color w:val="000000"/>
          <w:sz w:val="28"/>
          <w:szCs w:val="28"/>
          <w:bdr w:val="none" w:sz="0" w:space="0" w:color="auto" w:frame="1"/>
          <w:lang w:eastAsia="es-ES"/>
        </w:rPr>
        <w:t>ción de la Ley 2299 de 2023 no tendrían relación con la incorporación del parágrafo 2 demandado; (ii) falta de conexidad teleológica, porque para el actor la norma no se circunscribe a los objetivos contemplados en la exposición de motivos de la Ley; (iii)</w:t>
      </w:r>
      <w:r w:rsidRPr="00527F3E">
        <w:rPr>
          <w:rFonts w:ascii="Times New Roman" w:eastAsia="Times New Roman" w:hAnsi="Times New Roman" w:cs="Times New Roman"/>
          <w:color w:val="000000"/>
          <w:sz w:val="28"/>
          <w:szCs w:val="28"/>
          <w:bdr w:val="none" w:sz="0" w:space="0" w:color="auto" w:frame="1"/>
          <w:lang w:eastAsia="es-ES"/>
        </w:rPr>
        <w:t xml:space="preserve"> carencia de conexidad temática, al considerar que dentro del objeto contemplado en el título de la Ley no tendría relación con la medida dirigida a modificar, revisar o terminar contratos de concesión en el sector transporte; y (iv) ausencia conexidad sis</w:t>
      </w:r>
      <w:r w:rsidRPr="00527F3E">
        <w:rPr>
          <w:rFonts w:ascii="Times New Roman" w:eastAsia="Times New Roman" w:hAnsi="Times New Roman" w:cs="Times New Roman"/>
          <w:color w:val="000000"/>
          <w:sz w:val="28"/>
          <w:szCs w:val="28"/>
          <w:bdr w:val="none" w:sz="0" w:space="0" w:color="auto" w:frame="1"/>
          <w:lang w:eastAsia="es-ES"/>
        </w:rPr>
        <w:t xml:space="preserve">temática, pues para el demandante la norma acusada -sobre renegociación contractual- no se vincula con el resto de articulado de la ley. Sobre este último punto indicó que el parágrafo demandado, primero, no cumplía con el criterio de temporalidad porque, </w:t>
      </w:r>
      <w:r w:rsidRPr="00527F3E">
        <w:rPr>
          <w:rFonts w:ascii="Times New Roman" w:eastAsia="Times New Roman" w:hAnsi="Times New Roman" w:cs="Times New Roman"/>
          <w:color w:val="000000"/>
          <w:sz w:val="28"/>
          <w:szCs w:val="28"/>
          <w:bdr w:val="none" w:sz="0" w:space="0" w:color="auto" w:frame="1"/>
          <w:lang w:eastAsia="es-ES"/>
        </w:rPr>
        <w:t>en su criterio, los efectos de la medida irían más allá del 31 de diciembre de 2023, como límite expresamente consagrado en la misma disposición; y segundo, no satisfacía el presupuesto de finalidad, en perspectiva del objetivo transversal de la ley.  El d</w:t>
      </w:r>
      <w:r w:rsidRPr="00527F3E">
        <w:rPr>
          <w:rFonts w:ascii="Times New Roman" w:eastAsia="Times New Roman" w:hAnsi="Times New Roman" w:cs="Times New Roman"/>
          <w:color w:val="000000"/>
          <w:sz w:val="28"/>
          <w:szCs w:val="28"/>
          <w:bdr w:val="none" w:sz="0" w:space="0" w:color="auto" w:frame="1"/>
          <w:lang w:eastAsia="es-ES"/>
        </w:rPr>
        <w:t>emandante, entonces, concretó el cargo de inconstitucionalidad en razones que, desde el punto de vista de la aptitud de la demanda, no sólo son de contenido constitucional sino que se ciñen a los postulados formales exigidos por la Corte, razón por la cual</w:t>
      </w:r>
      <w:r w:rsidRPr="00527F3E">
        <w:rPr>
          <w:rFonts w:ascii="Times New Roman" w:eastAsia="Times New Roman" w:hAnsi="Times New Roman" w:cs="Times New Roman"/>
          <w:color w:val="000000"/>
          <w:sz w:val="28"/>
          <w:szCs w:val="28"/>
          <w:bdr w:val="none" w:sz="0" w:space="0" w:color="auto" w:frame="1"/>
          <w:lang w:eastAsia="es-ES"/>
        </w:rPr>
        <w:t xml:space="preserve"> se debe dar por acreditado el requisito de </w:t>
      </w:r>
      <w:r w:rsidRPr="00527F3E">
        <w:rPr>
          <w:rFonts w:ascii="Times New Roman" w:eastAsia="Times New Roman" w:hAnsi="Times New Roman" w:cs="Times New Roman"/>
          <w:i/>
          <w:iCs/>
          <w:color w:val="000000"/>
          <w:sz w:val="28"/>
          <w:szCs w:val="28"/>
          <w:bdr w:val="none" w:sz="0" w:space="0" w:color="auto" w:frame="1"/>
          <w:lang w:eastAsia="es-ES"/>
        </w:rPr>
        <w:t>especificidad</w:t>
      </w:r>
      <w:r w:rsidRPr="00527F3E">
        <w:rPr>
          <w:rFonts w:ascii="Times New Roman" w:eastAsia="Times New Roman" w:hAnsi="Times New Roman" w:cs="Times New Roman"/>
          <w:color w:val="000000"/>
          <w:sz w:val="28"/>
          <w:szCs w:val="28"/>
          <w:bdr w:val="none" w:sz="0" w:space="0" w:color="auto" w:frame="1"/>
          <w:lang w:eastAsia="es-ES"/>
        </w:rPr>
        <w:t xml:space="preserve">. </w:t>
      </w:r>
    </w:p>
    <w:p w:rsidR="00B9678A" w:rsidRPr="00527F3E" w:rsidRDefault="00527F3E" w:rsidP="00B9678A">
      <w:pPr>
        <w:spacing w:line="240" w:lineRule="auto"/>
        <w:contextualSpacing/>
        <w:jc w:val="both"/>
        <w:rPr>
          <w:rFonts w:ascii="Times New Roman" w:eastAsia="Times New Roman" w:hAnsi="Times New Roman" w:cs="Times New Roman"/>
          <w:color w:val="000000"/>
          <w:sz w:val="28"/>
          <w:szCs w:val="28"/>
          <w:bdr w:val="none" w:sz="0" w:space="0" w:color="auto" w:frame="1"/>
          <w:lang w:eastAsia="es-ES"/>
        </w:rPr>
      </w:pPr>
    </w:p>
    <w:p w:rsidR="00B9678A" w:rsidRPr="00527F3E" w:rsidRDefault="00527F3E" w:rsidP="00B9678A">
      <w:pPr>
        <w:tabs>
          <w:tab w:val="left" w:pos="426"/>
        </w:tabs>
        <w:autoSpaceDE w:val="0"/>
        <w:autoSpaceDN w:val="0"/>
        <w:spacing w:after="0" w:line="240" w:lineRule="auto"/>
        <w:ind w:right="49" w:firstLine="426"/>
        <w:jc w:val="both"/>
        <w:textAlignment w:val="baseline"/>
        <w:rPr>
          <w:rFonts w:ascii="Times New Roman" w:eastAsia="Times New Roman" w:hAnsi="Times New Roman" w:cs="Times New Roman"/>
          <w:i/>
          <w:iCs/>
          <w:color w:val="000000"/>
          <w:sz w:val="28"/>
          <w:szCs w:val="28"/>
          <w:bdr w:val="none" w:sz="0" w:space="0" w:color="auto" w:frame="1"/>
          <w:lang w:eastAsia="es-ES"/>
        </w:rPr>
      </w:pPr>
      <w:r w:rsidRPr="00527F3E">
        <w:rPr>
          <w:rFonts w:ascii="Times New Roman" w:eastAsia="Times New Roman" w:hAnsi="Times New Roman" w:cs="Times New Roman"/>
          <w:i/>
          <w:iCs/>
          <w:color w:val="000000"/>
          <w:sz w:val="28"/>
          <w:szCs w:val="28"/>
          <w:bdr w:val="none" w:sz="0" w:space="0" w:color="auto" w:frame="1"/>
          <w:lang w:eastAsia="es-ES"/>
        </w:rPr>
        <w:t>Presentación del caso, problema jurídico y metodología de la decisión</w:t>
      </w:r>
    </w:p>
    <w:p w:rsidR="00B9678A" w:rsidRPr="00527F3E" w:rsidRDefault="00527F3E" w:rsidP="00B9678A">
      <w:pPr>
        <w:spacing w:after="0" w:line="240" w:lineRule="auto"/>
        <w:rPr>
          <w:rFonts w:ascii="Times New Roman" w:eastAsia="Times New Roman" w:hAnsi="Times New Roman" w:cs="Times New Roman"/>
          <w:color w:val="000000"/>
          <w:sz w:val="28"/>
          <w:szCs w:val="28"/>
          <w:lang w:eastAsia="es-ES_tradnl"/>
        </w:rPr>
      </w:pPr>
    </w:p>
    <w:p w:rsidR="00B9678A" w:rsidRPr="00527F3E" w:rsidRDefault="00527F3E" w:rsidP="000806D7">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iCs/>
          <w:color w:val="000000"/>
          <w:sz w:val="28"/>
          <w:szCs w:val="28"/>
          <w:lang w:val="es-ES"/>
        </w:rPr>
        <w:t xml:space="preserve">El demandante acusa al parágrafo 2º, artículo 4º, de la Ley 2299 de 2023 de infringir el principio de unidad de materia consagrado en los artículos 158 y 169 de la Constitución. Sostiene que estas normas superiores son vulneradas por el parágrafo acusado, </w:t>
      </w:r>
      <w:r w:rsidRPr="00527F3E">
        <w:rPr>
          <w:rFonts w:ascii="Times New Roman" w:eastAsia="Times New Roman" w:hAnsi="Times New Roman" w:cs="Times New Roman"/>
          <w:iCs/>
          <w:color w:val="000000"/>
          <w:sz w:val="28"/>
          <w:szCs w:val="28"/>
          <w:lang w:val="es-ES"/>
        </w:rPr>
        <w:t xml:space="preserve">por cuanto este introduce en una ley de adición presupuestal, cuyo objeto se circunscribe a agregar y hacer cambios en los rubros del Presupuesto General de la Nación para la vigencia fiscal de 2023, disposiciones con las que se pretende ordenar </w:t>
      </w:r>
      <w:r w:rsidRPr="00527F3E">
        <w:rPr>
          <w:rFonts w:ascii="Times New Roman" w:eastAsia="Times New Roman" w:hAnsi="Times New Roman" w:cs="Times New Roman"/>
          <w:color w:val="000000"/>
          <w:sz w:val="28"/>
          <w:szCs w:val="28"/>
          <w:lang w:val="es-ES"/>
        </w:rPr>
        <w:t>la modificación de contratos de concesión de operación de Sistemas Integrados de Transporte Público (SITP) y/o Sistemas Estratégicos de Transporte Público (SETP), o su terminación unilateral. En su criterio, además de no existir relación alguna entre el tí</w:t>
      </w:r>
      <w:r w:rsidRPr="00527F3E">
        <w:rPr>
          <w:rFonts w:ascii="Times New Roman" w:eastAsia="Times New Roman" w:hAnsi="Times New Roman" w:cs="Times New Roman"/>
          <w:color w:val="000000"/>
          <w:sz w:val="28"/>
          <w:szCs w:val="28"/>
          <w:lang w:val="es-ES"/>
        </w:rPr>
        <w:t>tulo de la Ley 2299 de 2023 y el contenido de la norma acusada, esta no satisface los criterios de conexidad causal, teleológica, temática y sistemática, desarrollados por la jurisprudencia para analizar el respeto al principio de unidad de materia, como t</w:t>
      </w:r>
      <w:r w:rsidRPr="00527F3E">
        <w:rPr>
          <w:rFonts w:ascii="Times New Roman" w:eastAsia="Times New Roman" w:hAnsi="Times New Roman" w:cs="Times New Roman"/>
          <w:color w:val="000000"/>
          <w:sz w:val="28"/>
          <w:szCs w:val="28"/>
          <w:lang w:val="es-ES"/>
        </w:rPr>
        <w:t>ampoco los criterios adicionales de temporalidad, tema y finalidad que se examinan tratándose de leyes anuales de presupuesto. Por tanto, pide a la Corte que declare la inexequibilidad de referido parágrafo. Esta posición es respaldada por las intervencion</w:t>
      </w:r>
      <w:r w:rsidRPr="00527F3E">
        <w:rPr>
          <w:rFonts w:ascii="Times New Roman" w:eastAsia="Times New Roman" w:hAnsi="Times New Roman" w:cs="Times New Roman"/>
          <w:color w:val="000000"/>
          <w:sz w:val="28"/>
          <w:szCs w:val="28"/>
          <w:lang w:val="es-ES"/>
        </w:rPr>
        <w:t xml:space="preserve">es ciudadanas de Miguel Uribe Turbay, Daniel Murgueitio Escobar, Nicolás Ospina Suárez, </w:t>
      </w:r>
      <w:r w:rsidRPr="00527F3E">
        <w:rPr>
          <w:rFonts w:ascii="Times New Roman" w:eastAsia="Times New Roman" w:hAnsi="Times New Roman" w:cs="Times New Roman"/>
          <w:iCs/>
          <w:color w:val="000000"/>
          <w:sz w:val="28"/>
          <w:szCs w:val="28"/>
          <w:lang w:val="es-ES"/>
        </w:rPr>
        <w:t>Jairo Enrique Angarita Feo, Emerson Ricardo Ramos Peñuela, Juan Manuel Rojas Cardona, Nicolás Buitrago Burbano, Natalia Morales Rodríguez, Angie Nicole Zambrano, Sandra</w:t>
      </w:r>
      <w:r w:rsidRPr="00527F3E">
        <w:rPr>
          <w:rFonts w:ascii="Times New Roman" w:eastAsia="Times New Roman" w:hAnsi="Times New Roman" w:cs="Times New Roman"/>
          <w:iCs/>
          <w:color w:val="000000"/>
          <w:sz w:val="28"/>
          <w:szCs w:val="28"/>
          <w:lang w:val="es-ES"/>
        </w:rPr>
        <w:t xml:space="preserve"> Milena Troncoso Torres y Cristian David Ariza Espinosa. </w:t>
      </w:r>
    </w:p>
    <w:p w:rsidR="00B9678A" w:rsidRPr="00527F3E" w:rsidRDefault="00527F3E" w:rsidP="000806D7">
      <w:pPr>
        <w:spacing w:line="240" w:lineRule="auto"/>
        <w:contextualSpacing/>
        <w:rPr>
          <w:rFonts w:ascii="Times New Roman" w:eastAsia="Times New Roman" w:hAnsi="Times New Roman" w:cs="Times New Roman"/>
          <w:iCs/>
          <w:color w:val="000000"/>
          <w:sz w:val="28"/>
          <w:szCs w:val="28"/>
          <w:lang w:val="es-ES"/>
        </w:rPr>
      </w:pPr>
    </w:p>
    <w:p w:rsidR="00B9678A" w:rsidRPr="00527F3E" w:rsidRDefault="00527F3E" w:rsidP="000806D7">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iCs/>
          <w:color w:val="000000"/>
          <w:sz w:val="28"/>
          <w:szCs w:val="28"/>
          <w:lang w:val="es-ES"/>
        </w:rPr>
      </w:pPr>
      <w:r w:rsidRPr="00527F3E">
        <w:rPr>
          <w:rFonts w:ascii="Times New Roman" w:eastAsia="Times New Roman" w:hAnsi="Times New Roman" w:cs="Times New Roman"/>
          <w:iCs/>
          <w:color w:val="000000"/>
          <w:sz w:val="28"/>
          <w:szCs w:val="28"/>
          <w:lang w:val="es-ES"/>
        </w:rPr>
        <w:t xml:space="preserve">Entretanto, el Departamento Administrativo de la Presidencia de la República - DAPRE, el Ministerio del Transporte, la Federación Colombiana de Municipios y la Agencia Nacional de Defensa Jurídica </w:t>
      </w:r>
      <w:r w:rsidRPr="00527F3E">
        <w:rPr>
          <w:rFonts w:ascii="Times New Roman" w:eastAsia="Times New Roman" w:hAnsi="Times New Roman" w:cs="Times New Roman"/>
          <w:iCs/>
          <w:color w:val="000000"/>
          <w:sz w:val="28"/>
          <w:szCs w:val="28"/>
          <w:lang w:val="es-ES"/>
        </w:rPr>
        <w:t>del Estado - ANDJE defendieron la constitucionalidad de la norma. Estas entidades coinciden en señalar que el análisis de la observancia del principio de unidad de materia debe tener en cuenta el contexto más amplio en el que se inserta el parágrafo acusad</w:t>
      </w:r>
      <w:r w:rsidRPr="00527F3E">
        <w:rPr>
          <w:rFonts w:ascii="Times New Roman" w:eastAsia="Times New Roman" w:hAnsi="Times New Roman" w:cs="Times New Roman"/>
          <w:iCs/>
          <w:color w:val="000000"/>
          <w:sz w:val="28"/>
          <w:szCs w:val="28"/>
          <w:lang w:val="es-ES"/>
        </w:rPr>
        <w:t xml:space="preserve">o, ya que además del artículo 4º y demás disposiciones de la Ley 2299 de 2023, es preciso tener en cuenta el artículo 99 de la Ley 2276 de 2022, esto es, la norma de la Ley Anual de Presupuesto que fue modificada por la disposición en la que se inserta el </w:t>
      </w:r>
      <w:r w:rsidRPr="00527F3E">
        <w:rPr>
          <w:rFonts w:ascii="Times New Roman" w:eastAsia="Times New Roman" w:hAnsi="Times New Roman" w:cs="Times New Roman"/>
          <w:iCs/>
          <w:color w:val="000000"/>
          <w:sz w:val="28"/>
          <w:szCs w:val="28"/>
          <w:lang w:val="es-ES"/>
        </w:rPr>
        <w:t xml:space="preserve">parágrafo demandado, así como el artículo 174 de la Ley 2294 de 2023 (Plan Nacional de Desarrollo), relativo a la cofinanciación de los sistemas de transporte. Sostienen que la norma demandada respeta el principio de unidad de materia, por cuanto contiene </w:t>
      </w:r>
      <w:r w:rsidRPr="00527F3E">
        <w:rPr>
          <w:rFonts w:ascii="Times New Roman" w:eastAsia="Times New Roman" w:hAnsi="Times New Roman" w:cs="Times New Roman"/>
          <w:iCs/>
          <w:color w:val="000000"/>
          <w:sz w:val="28"/>
          <w:szCs w:val="28"/>
          <w:lang w:val="es-ES"/>
        </w:rPr>
        <w:t xml:space="preserve">herramientas orientadas a superar el déficit operacional de los sistemas integrales de transporte masivo del país, finalidad que estuvo presente tanto en la elaboración de la Ley Anual de Presupuesto para la vigencia fiscal de 2023 (Ley 2276 de 2022) como </w:t>
      </w:r>
      <w:r w:rsidRPr="00527F3E">
        <w:rPr>
          <w:rFonts w:ascii="Times New Roman" w:eastAsia="Times New Roman" w:hAnsi="Times New Roman" w:cs="Times New Roman"/>
          <w:iCs/>
          <w:color w:val="000000"/>
          <w:sz w:val="28"/>
          <w:szCs w:val="28"/>
          <w:lang w:val="es-ES"/>
        </w:rPr>
        <w:t>en la adición presupuestal efectuada por la Ley 2299 de 2023. Sobre esta base, coinciden en señalar que el parágrafo acusado satisface los criterios de conexidad temática, teleológica, causal y sistemática y, por tanto, no contraviene el principio constitu</w:t>
      </w:r>
      <w:r w:rsidRPr="00527F3E">
        <w:rPr>
          <w:rFonts w:ascii="Times New Roman" w:eastAsia="Times New Roman" w:hAnsi="Times New Roman" w:cs="Times New Roman"/>
          <w:iCs/>
          <w:color w:val="000000"/>
          <w:sz w:val="28"/>
          <w:szCs w:val="28"/>
          <w:lang w:val="es-ES"/>
        </w:rPr>
        <w:t xml:space="preserve">cional de unidad de materia, por lo que debe ser declarado exequible. </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iCs/>
          <w:color w:val="000000"/>
          <w:sz w:val="28"/>
          <w:szCs w:val="28"/>
          <w:lang w:val="es-ES"/>
        </w:rPr>
      </w:pPr>
    </w:p>
    <w:p w:rsidR="00B9678A" w:rsidRPr="00527F3E" w:rsidRDefault="00527F3E" w:rsidP="000806D7">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iCs/>
          <w:color w:val="000000"/>
          <w:sz w:val="28"/>
          <w:szCs w:val="28"/>
          <w:lang w:val="es-ES"/>
        </w:rPr>
        <w:t>Adicionalmente, uno de los intervinientes sostiene que el parágrafo acusado, en tanto ordena a las entidades territoriales renegociar los contratos como paso previo a su terminación un</w:t>
      </w:r>
      <w:r w:rsidRPr="00527F3E">
        <w:rPr>
          <w:rFonts w:ascii="Times New Roman" w:eastAsia="Times New Roman" w:hAnsi="Times New Roman" w:cs="Times New Roman"/>
          <w:iCs/>
          <w:color w:val="000000"/>
          <w:sz w:val="28"/>
          <w:szCs w:val="28"/>
          <w:lang w:val="es-ES"/>
        </w:rPr>
        <w:t xml:space="preserve">ilateral, vulnera </w:t>
      </w:r>
      <w:r w:rsidRPr="00527F3E">
        <w:rPr>
          <w:rFonts w:ascii="Times New Roman" w:eastAsia="Times New Roman" w:hAnsi="Times New Roman" w:cs="Times New Roman"/>
          <w:color w:val="000000"/>
          <w:sz w:val="28"/>
          <w:szCs w:val="28"/>
          <w:lang w:val="es-ES"/>
        </w:rPr>
        <w:t>el principio constitucional de descentralización y la autonomía de las entidades territoriales, por cuanto desconoce la competencia que ostentan estas últimas para gestionar los sistemas de transporte masivo de pasajeros que se encuentran</w:t>
      </w:r>
      <w:r w:rsidRPr="00527F3E">
        <w:rPr>
          <w:rFonts w:ascii="Times New Roman" w:eastAsia="Times New Roman" w:hAnsi="Times New Roman" w:cs="Times New Roman"/>
          <w:color w:val="000000"/>
          <w:sz w:val="28"/>
          <w:szCs w:val="28"/>
          <w:lang w:val="es-ES"/>
        </w:rPr>
        <w:t xml:space="preserve"> a su cargo y desconoce también contratos válidamente celebrados. En tanto este cuestionamiento excede el cargo por infracción del principio de unidad de materia planteado en la demanda, la Sala no se pronunciará sobre el mismo, </w:t>
      </w:r>
      <w:r w:rsidRPr="00527F3E">
        <w:rPr>
          <w:rFonts w:ascii="Times New Roman" w:eastAsia="Times New Roman" w:hAnsi="Times New Roman" w:cs="Times New Roman"/>
          <w:sz w:val="28"/>
          <w:szCs w:val="28"/>
          <w:lang w:val="es-ES"/>
        </w:rPr>
        <w:t>en aplicación del precedent</w:t>
      </w:r>
      <w:r w:rsidRPr="00527F3E">
        <w:rPr>
          <w:rFonts w:ascii="Times New Roman" w:eastAsia="Times New Roman" w:hAnsi="Times New Roman" w:cs="Times New Roman"/>
          <w:sz w:val="28"/>
          <w:szCs w:val="28"/>
          <w:lang w:val="es-ES"/>
        </w:rPr>
        <w:t>e fijado, entre otras, en las sentencias C-194 de 2013</w:t>
      </w:r>
      <w:r w:rsidRPr="00527F3E">
        <w:rPr>
          <w:rFonts w:ascii="Times New Roman" w:eastAsia="Times New Roman" w:hAnsi="Times New Roman" w:cs="Times New Roman"/>
          <w:sz w:val="28"/>
          <w:szCs w:val="28"/>
          <w:vertAlign w:val="superscript"/>
          <w:lang w:val="es-ES"/>
        </w:rPr>
        <w:footnoteReference w:id="65"/>
      </w:r>
      <w:r w:rsidRPr="00527F3E">
        <w:rPr>
          <w:rFonts w:ascii="Times New Roman" w:eastAsia="Times New Roman" w:hAnsi="Times New Roman" w:cs="Times New Roman"/>
          <w:sz w:val="28"/>
          <w:szCs w:val="28"/>
          <w:lang w:val="es-ES"/>
        </w:rPr>
        <w:t>, C-052 de 2016</w:t>
      </w:r>
      <w:r w:rsidRPr="00527F3E">
        <w:rPr>
          <w:rFonts w:ascii="Times New Roman" w:eastAsia="Times New Roman" w:hAnsi="Times New Roman" w:cs="Times New Roman"/>
          <w:sz w:val="28"/>
          <w:szCs w:val="28"/>
          <w:vertAlign w:val="superscript"/>
          <w:lang w:val="es-ES"/>
        </w:rPr>
        <w:footnoteReference w:id="66"/>
      </w:r>
      <w:r w:rsidRPr="00527F3E">
        <w:rPr>
          <w:rFonts w:ascii="Times New Roman" w:eastAsia="Times New Roman" w:hAnsi="Times New Roman" w:cs="Times New Roman"/>
          <w:sz w:val="28"/>
          <w:szCs w:val="28"/>
          <w:lang w:val="es-ES"/>
        </w:rPr>
        <w:t>, C-088 de 2020</w:t>
      </w:r>
      <w:r w:rsidRPr="00527F3E">
        <w:rPr>
          <w:rFonts w:ascii="Times New Roman" w:eastAsia="Times New Roman" w:hAnsi="Times New Roman" w:cs="Times New Roman"/>
          <w:sz w:val="28"/>
          <w:szCs w:val="28"/>
          <w:vertAlign w:val="superscript"/>
          <w:lang w:val="es-ES"/>
        </w:rPr>
        <w:footnoteReference w:id="67"/>
      </w:r>
      <w:r w:rsidRPr="00527F3E">
        <w:rPr>
          <w:rFonts w:ascii="Times New Roman" w:eastAsia="Times New Roman" w:hAnsi="Times New Roman" w:cs="Times New Roman"/>
          <w:sz w:val="28"/>
          <w:szCs w:val="28"/>
          <w:lang w:val="es-ES"/>
        </w:rPr>
        <w:t>, C-383 de 2022</w:t>
      </w:r>
      <w:r w:rsidRPr="00527F3E">
        <w:rPr>
          <w:rFonts w:ascii="Times New Roman" w:eastAsia="Times New Roman" w:hAnsi="Times New Roman" w:cs="Times New Roman"/>
          <w:sz w:val="28"/>
          <w:szCs w:val="28"/>
          <w:vertAlign w:val="superscript"/>
          <w:lang w:val="es-ES"/>
        </w:rPr>
        <w:footnoteReference w:id="68"/>
      </w:r>
      <w:r w:rsidRPr="00527F3E">
        <w:rPr>
          <w:rFonts w:ascii="Times New Roman" w:eastAsia="Times New Roman" w:hAnsi="Times New Roman" w:cs="Times New Roman"/>
          <w:sz w:val="28"/>
          <w:szCs w:val="28"/>
          <w:lang w:val="es-ES"/>
        </w:rPr>
        <w:t>, C-405 de 2023</w:t>
      </w:r>
      <w:r w:rsidRPr="00527F3E">
        <w:rPr>
          <w:rFonts w:ascii="Times New Roman" w:eastAsia="Times New Roman" w:hAnsi="Times New Roman" w:cs="Times New Roman"/>
          <w:sz w:val="28"/>
          <w:szCs w:val="28"/>
          <w:vertAlign w:val="superscript"/>
          <w:lang w:val="es-ES"/>
        </w:rPr>
        <w:footnoteReference w:id="69"/>
      </w:r>
      <w:r w:rsidRPr="00527F3E">
        <w:rPr>
          <w:rFonts w:ascii="Times New Roman" w:eastAsia="Times New Roman" w:hAnsi="Times New Roman" w:cs="Times New Roman"/>
          <w:sz w:val="28"/>
          <w:szCs w:val="28"/>
          <w:lang w:val="es-ES"/>
        </w:rPr>
        <w:t>. En estos pronunciamientos, este Tribunal ha señalado que el análisis de constitucionalidad de las leyes implica un debate participativo</w:t>
      </w:r>
      <w:r w:rsidRPr="00527F3E">
        <w:rPr>
          <w:rFonts w:ascii="Times New Roman" w:eastAsia="Times New Roman" w:hAnsi="Times New Roman" w:cs="Times New Roman"/>
          <w:sz w:val="28"/>
          <w:szCs w:val="28"/>
          <w:lang w:val="es-ES"/>
        </w:rPr>
        <w:t xml:space="preserve"> con carácter democrático; su punto de partida son los argumentos contenidos en la demanda y, con base en aquellos, los demás participantes presentan su propia postura; en ese sentido, los razonamientos expuestos en la demanda son el eje que articula la di</w:t>
      </w:r>
      <w:r w:rsidRPr="00527F3E">
        <w:rPr>
          <w:rFonts w:ascii="Times New Roman" w:eastAsia="Times New Roman" w:hAnsi="Times New Roman" w:cs="Times New Roman"/>
          <w:sz w:val="28"/>
          <w:szCs w:val="28"/>
          <w:lang w:val="es-ES"/>
        </w:rPr>
        <w:t>scusión, en función de un problema jurídico específico, del que ellos dan cuenta. De ahí que la Corte tenga la facultad y el deber de contraer sus pronunciamientos al control de los cargos aptos presentados por los accionantes, y así lo hará en este caso.</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0806D7">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iCs/>
          <w:color w:val="000000"/>
          <w:sz w:val="28"/>
          <w:szCs w:val="28"/>
          <w:lang w:val="es-ES"/>
        </w:rPr>
      </w:pPr>
      <w:r w:rsidRPr="00527F3E">
        <w:rPr>
          <w:rFonts w:ascii="Times New Roman" w:eastAsia="Times New Roman" w:hAnsi="Times New Roman" w:cs="Times New Roman"/>
          <w:iCs/>
          <w:color w:val="000000"/>
          <w:sz w:val="28"/>
          <w:szCs w:val="28"/>
          <w:lang w:val="es-ES"/>
        </w:rPr>
        <w:t>Planteada la controversia en estos términos, corresponde a la Sala Plena determinar si el parágrafo 2º del artículo 4º de la Ley 2299 de 2023 desconoce el principio de unidad de materia previsto en los artículos 158 y 169 de la Constitución Política al in</w:t>
      </w:r>
      <w:r w:rsidRPr="00527F3E">
        <w:rPr>
          <w:rFonts w:ascii="Times New Roman" w:eastAsia="Times New Roman" w:hAnsi="Times New Roman" w:cs="Times New Roman"/>
          <w:iCs/>
          <w:color w:val="000000"/>
          <w:sz w:val="28"/>
          <w:szCs w:val="28"/>
          <w:lang w:val="es-ES"/>
        </w:rPr>
        <w:t xml:space="preserve">corporar, dentro de una ley de adición presupuestal, disposiciones que ordenan a las autoridades territoriales </w:t>
      </w:r>
      <w:r w:rsidRPr="00527F3E">
        <w:rPr>
          <w:rFonts w:ascii="Times New Roman" w:eastAsia="Times New Roman" w:hAnsi="Times New Roman" w:cs="Times New Roman"/>
          <w:i/>
          <w:color w:val="000000"/>
          <w:sz w:val="28"/>
          <w:szCs w:val="28"/>
          <w:lang w:val="es-ES"/>
        </w:rPr>
        <w:t>(i)</w:t>
      </w:r>
      <w:r w:rsidRPr="00527F3E">
        <w:rPr>
          <w:rFonts w:ascii="Times New Roman" w:eastAsia="Times New Roman" w:hAnsi="Times New Roman" w:cs="Times New Roman"/>
          <w:iCs/>
          <w:color w:val="000000"/>
          <w:sz w:val="28"/>
          <w:szCs w:val="28"/>
          <w:lang w:val="es-ES"/>
        </w:rPr>
        <w:t xml:space="preserve"> determinar los efectos económicos adversos que hayan afectado de manera grave el equilibrio económico de los contratos de concesión y operaci</w:t>
      </w:r>
      <w:r w:rsidRPr="00527F3E">
        <w:rPr>
          <w:rFonts w:ascii="Times New Roman" w:eastAsia="Times New Roman" w:hAnsi="Times New Roman" w:cs="Times New Roman"/>
          <w:iCs/>
          <w:color w:val="000000"/>
          <w:sz w:val="28"/>
          <w:szCs w:val="28"/>
          <w:lang w:val="es-ES"/>
        </w:rPr>
        <w:t xml:space="preserve">ón de los </w:t>
      </w:r>
      <w:r w:rsidRPr="00527F3E">
        <w:rPr>
          <w:rFonts w:ascii="Times New Roman" w:eastAsia="Times New Roman" w:hAnsi="Times New Roman" w:cs="Times New Roman"/>
          <w:color w:val="000000"/>
          <w:sz w:val="28"/>
          <w:szCs w:val="28"/>
          <w:lang w:val="es-ES"/>
        </w:rPr>
        <w:t xml:space="preserve">sistemas integrados de transporte masivo (SITM) y sistemas estratégicos de transporte público (SETP); </w:t>
      </w:r>
      <w:r w:rsidRPr="00527F3E">
        <w:rPr>
          <w:rFonts w:ascii="Times New Roman" w:eastAsia="Times New Roman" w:hAnsi="Times New Roman" w:cs="Times New Roman"/>
          <w:i/>
          <w:iCs/>
          <w:color w:val="000000"/>
          <w:sz w:val="28"/>
          <w:szCs w:val="28"/>
          <w:lang w:val="es-ES"/>
        </w:rPr>
        <w:t>(ii)</w:t>
      </w:r>
      <w:r w:rsidRPr="00527F3E">
        <w:rPr>
          <w:rFonts w:ascii="Times New Roman" w:eastAsia="Times New Roman" w:hAnsi="Times New Roman" w:cs="Times New Roman"/>
          <w:color w:val="000000"/>
          <w:sz w:val="28"/>
          <w:szCs w:val="28"/>
          <w:lang w:val="es-ES"/>
        </w:rPr>
        <w:t xml:space="preserve"> adelantar, hasta el 31 de diciembre de 2023, las renegociaciones de las condiciones económicas y de distribución de riesgos de esos contratos, a través de mesas en las que, además de los operadores y concesionarios privados y las autoridades territoriales</w:t>
      </w:r>
      <w:r w:rsidRPr="00527F3E">
        <w:rPr>
          <w:rFonts w:ascii="Times New Roman" w:eastAsia="Times New Roman" w:hAnsi="Times New Roman" w:cs="Times New Roman"/>
          <w:color w:val="000000"/>
          <w:sz w:val="28"/>
          <w:szCs w:val="28"/>
          <w:lang w:val="es-ES"/>
        </w:rPr>
        <w:t xml:space="preserve"> que sean parte en dichos contratos, intervendrán el Ministerio de Transporte y, eventualmente, la Contraloría General de la República; y, </w:t>
      </w:r>
      <w:r w:rsidRPr="00527F3E">
        <w:rPr>
          <w:rFonts w:ascii="Times New Roman" w:eastAsia="Times New Roman" w:hAnsi="Times New Roman" w:cs="Times New Roman"/>
          <w:i/>
          <w:iCs/>
          <w:color w:val="000000"/>
          <w:sz w:val="28"/>
          <w:szCs w:val="28"/>
          <w:lang w:val="es-ES"/>
        </w:rPr>
        <w:t>(iii)</w:t>
      </w:r>
      <w:r w:rsidRPr="00527F3E">
        <w:rPr>
          <w:rFonts w:ascii="Times New Roman" w:eastAsia="Times New Roman" w:hAnsi="Times New Roman" w:cs="Times New Roman"/>
          <w:color w:val="000000"/>
          <w:sz w:val="28"/>
          <w:szCs w:val="28"/>
          <w:lang w:val="es-ES"/>
        </w:rPr>
        <w:t xml:space="preserve"> adelantar las mesas de renegociación de manera previa al ejercicio de la facultad prevista en el artículo 17 de</w:t>
      </w:r>
      <w:r w:rsidRPr="00527F3E">
        <w:rPr>
          <w:rFonts w:ascii="Times New Roman" w:eastAsia="Times New Roman" w:hAnsi="Times New Roman" w:cs="Times New Roman"/>
          <w:color w:val="000000"/>
          <w:sz w:val="28"/>
          <w:szCs w:val="28"/>
          <w:lang w:val="es-ES"/>
        </w:rPr>
        <w:t xml:space="preserve"> la Ley 80 de 1993 (terminación unilateral de los contratos).</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0806D7">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i/>
          <w:iCs/>
          <w:color w:val="000000"/>
          <w:sz w:val="28"/>
          <w:szCs w:val="28"/>
        </w:rPr>
        <w:t>Metodología de decisión.</w:t>
      </w:r>
      <w:r w:rsidRPr="00527F3E">
        <w:rPr>
          <w:rFonts w:ascii="Times New Roman" w:eastAsia="Times New Roman" w:hAnsi="Times New Roman" w:cs="Times New Roman"/>
          <w:color w:val="000000"/>
          <w:sz w:val="28"/>
          <w:szCs w:val="28"/>
        </w:rPr>
        <w:t xml:space="preserve"> Para </w:t>
      </w:r>
      <w:r w:rsidRPr="00527F3E">
        <w:rPr>
          <w:rFonts w:ascii="Times New Roman" w:eastAsia="Times New Roman" w:hAnsi="Times New Roman" w:cs="Times New Roman"/>
          <w:color w:val="000000"/>
          <w:sz w:val="28"/>
          <w:szCs w:val="28"/>
          <w:lang w:val="es-ES"/>
        </w:rPr>
        <w:t>responder a esta cuestión</w:t>
      </w:r>
      <w:r w:rsidRPr="00527F3E">
        <w:rPr>
          <w:rFonts w:ascii="Times New Roman" w:eastAsia="Times New Roman" w:hAnsi="Times New Roman" w:cs="Times New Roman"/>
          <w:color w:val="000000"/>
          <w:sz w:val="28"/>
          <w:szCs w:val="28"/>
        </w:rPr>
        <w:t xml:space="preserve">, la Sala: </w:t>
      </w:r>
      <w:r w:rsidRPr="00527F3E">
        <w:rPr>
          <w:rFonts w:ascii="Times New Roman" w:eastAsia="Times New Roman" w:hAnsi="Times New Roman" w:cs="Times New Roman"/>
          <w:i/>
          <w:iCs/>
          <w:color w:val="000000"/>
          <w:sz w:val="28"/>
          <w:szCs w:val="28"/>
          <w:lang w:val="es-MX"/>
        </w:rPr>
        <w:t>(i)</w:t>
      </w:r>
      <w:r w:rsidRPr="00527F3E">
        <w:rPr>
          <w:rFonts w:ascii="Times New Roman" w:eastAsia="Times New Roman" w:hAnsi="Times New Roman" w:cs="Times New Roman"/>
          <w:color w:val="000000"/>
          <w:sz w:val="28"/>
          <w:szCs w:val="28"/>
          <w:lang w:val="es-MX"/>
        </w:rPr>
        <w:t xml:space="preserve"> reiterará el precedente constitucional relativo al principio de unidad de materia, aplicado en particular a las leyes anual</w:t>
      </w:r>
      <w:r w:rsidRPr="00527F3E">
        <w:rPr>
          <w:rFonts w:ascii="Times New Roman" w:eastAsia="Times New Roman" w:hAnsi="Times New Roman" w:cs="Times New Roman"/>
          <w:color w:val="000000"/>
          <w:sz w:val="28"/>
          <w:szCs w:val="28"/>
          <w:lang w:val="es-MX"/>
        </w:rPr>
        <w:t xml:space="preserve">es de presupuesto y las que la adicionan; y </w:t>
      </w:r>
      <w:r w:rsidRPr="00527F3E">
        <w:rPr>
          <w:rFonts w:ascii="Times New Roman" w:eastAsia="Times New Roman" w:hAnsi="Times New Roman" w:cs="Times New Roman"/>
          <w:i/>
          <w:iCs/>
          <w:color w:val="000000"/>
          <w:sz w:val="28"/>
          <w:szCs w:val="28"/>
          <w:lang w:val="es-MX"/>
        </w:rPr>
        <w:t xml:space="preserve">(ii) </w:t>
      </w:r>
      <w:r w:rsidRPr="00527F3E">
        <w:rPr>
          <w:rFonts w:ascii="Times New Roman" w:eastAsia="Times New Roman" w:hAnsi="Times New Roman" w:cs="Times New Roman"/>
          <w:color w:val="000000"/>
          <w:sz w:val="28"/>
          <w:szCs w:val="28"/>
          <w:lang w:val="es-MX"/>
        </w:rPr>
        <w:t xml:space="preserve">examinará los antecedentes, contenido y alcance de la disposición demandada; para luego </w:t>
      </w:r>
      <w:r w:rsidRPr="00527F3E">
        <w:rPr>
          <w:rFonts w:ascii="Times New Roman" w:eastAsia="Times New Roman" w:hAnsi="Times New Roman" w:cs="Times New Roman"/>
          <w:i/>
          <w:iCs/>
          <w:color w:val="000000"/>
          <w:sz w:val="28"/>
          <w:szCs w:val="28"/>
          <w:lang w:val="es-MX"/>
        </w:rPr>
        <w:t xml:space="preserve">(iii) </w:t>
      </w:r>
      <w:r w:rsidRPr="00527F3E">
        <w:rPr>
          <w:rFonts w:ascii="Times New Roman" w:eastAsia="Times New Roman" w:hAnsi="Times New Roman" w:cs="Times New Roman"/>
          <w:color w:val="000000"/>
          <w:sz w:val="28"/>
          <w:szCs w:val="28"/>
          <w:lang w:val="es-MX"/>
        </w:rPr>
        <w:t>responder al problema jurídico.</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b/>
          <w:bCs/>
          <w:color w:val="000000"/>
          <w:sz w:val="28"/>
          <w:szCs w:val="28"/>
          <w:lang w:eastAsia="es-ES_tradnl"/>
        </w:rPr>
      </w:pP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b/>
          <w:bCs/>
          <w:color w:val="000000"/>
          <w:sz w:val="28"/>
          <w:szCs w:val="28"/>
          <w:lang w:eastAsia="es-ES_tradnl"/>
        </w:rPr>
      </w:pPr>
      <w:r w:rsidRPr="00527F3E">
        <w:rPr>
          <w:rFonts w:ascii="Times New Roman" w:eastAsia="Times New Roman" w:hAnsi="Times New Roman" w:cs="Times New Roman"/>
          <w:i/>
          <w:iCs/>
          <w:color w:val="000000"/>
          <w:sz w:val="28"/>
          <w:szCs w:val="28"/>
          <w:lang w:eastAsia="es-ES_tradnl"/>
        </w:rPr>
        <w:t xml:space="preserve">Principio de unidad de materia y sus exigencias específicas frente a las leyes </w:t>
      </w:r>
      <w:r w:rsidRPr="00527F3E">
        <w:rPr>
          <w:rFonts w:ascii="Times New Roman" w:eastAsia="Times New Roman" w:hAnsi="Times New Roman" w:cs="Times New Roman"/>
          <w:i/>
          <w:iCs/>
          <w:color w:val="000000"/>
          <w:sz w:val="28"/>
          <w:szCs w:val="28"/>
          <w:lang w:eastAsia="es-ES_tradnl"/>
        </w:rPr>
        <w:t>anuales de presupuesto y de adición de presupuesto. Reiteración de jurisprudencia</w:t>
      </w:r>
    </w:p>
    <w:p w:rsidR="00B9678A" w:rsidRPr="00527F3E" w:rsidRDefault="00527F3E" w:rsidP="00656A25">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rPr>
      </w:pPr>
    </w:p>
    <w:p w:rsidR="00B9678A" w:rsidRPr="00527F3E" w:rsidRDefault="00527F3E" w:rsidP="00656A25">
      <w:pPr>
        <w:numPr>
          <w:ilvl w:val="0"/>
          <w:numId w:val="1"/>
        </w:numPr>
        <w:spacing w:after="0" w:line="240" w:lineRule="auto"/>
        <w:ind w:left="0" w:firstLine="0"/>
        <w:contextualSpacing/>
        <w:jc w:val="both"/>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El principio de unidad de materia se encuentra consagrado en los artículos 158 y 159 de la Constitución Política. En el primero de ellos se dispone que “todo proyecto de ley</w:t>
      </w:r>
      <w:r w:rsidRPr="00527F3E">
        <w:rPr>
          <w:rFonts w:ascii="Times New Roman" w:eastAsia="Times New Roman" w:hAnsi="Times New Roman" w:cs="Times New Roman"/>
          <w:color w:val="000000"/>
          <w:sz w:val="28"/>
          <w:szCs w:val="28"/>
          <w:lang w:val="es-ES"/>
        </w:rPr>
        <w:t xml:space="preserve"> debe referirse a una misma materia y serán inadmisibles las disposiciones o modificaciones que no se relacionen con ella”, mientras que el segundo, por su parte, establece que “el título de las leyes deberá corresponder precisamente a su contenido”. </w:t>
      </w:r>
    </w:p>
    <w:p w:rsidR="00B9678A" w:rsidRPr="00527F3E" w:rsidRDefault="00527F3E" w:rsidP="00656A25">
      <w:pPr>
        <w:spacing w:line="240" w:lineRule="auto"/>
        <w:contextualSpacing/>
        <w:jc w:val="both"/>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spacing w:after="0" w:line="240" w:lineRule="auto"/>
        <w:ind w:left="0" w:firstLine="0"/>
        <w:contextualSpacing/>
        <w:jc w:val="both"/>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De </w:t>
      </w:r>
      <w:r w:rsidRPr="00527F3E">
        <w:rPr>
          <w:rFonts w:ascii="Times New Roman" w:eastAsia="Times New Roman" w:hAnsi="Times New Roman" w:cs="Times New Roman"/>
          <w:color w:val="000000"/>
          <w:sz w:val="28"/>
          <w:szCs w:val="28"/>
          <w:lang w:val="es-ES"/>
        </w:rPr>
        <w:t>acuerdo con la jurisprudencia constitucional, este principio incorpora un instrumento de racionalización y tecnificación de la actividad legislativa, que se concreta en la pretensión de que los artículos que conforman la ley estén directamente relacionados</w:t>
      </w:r>
      <w:r w:rsidRPr="00527F3E">
        <w:rPr>
          <w:rFonts w:ascii="Times New Roman" w:eastAsia="Times New Roman" w:hAnsi="Times New Roman" w:cs="Times New Roman"/>
          <w:color w:val="000000"/>
          <w:sz w:val="28"/>
          <w:szCs w:val="28"/>
          <w:lang w:val="es-ES"/>
        </w:rPr>
        <w:t xml:space="preserve"> con el tema general que les concede cohesión; con el objeto de garantizar una deliberación democrática coherente, informada y transparente</w:t>
      </w:r>
      <w:r w:rsidRPr="00527F3E">
        <w:rPr>
          <w:rFonts w:ascii="Times New Roman" w:eastAsia="Times New Roman" w:hAnsi="Times New Roman" w:cs="Times New Roman"/>
          <w:color w:val="000000"/>
          <w:sz w:val="28"/>
          <w:szCs w:val="28"/>
          <w:vertAlign w:val="superscript"/>
          <w:lang w:val="es-ES"/>
        </w:rPr>
        <w:footnoteReference w:id="70"/>
      </w:r>
      <w:r w:rsidRPr="00527F3E">
        <w:rPr>
          <w:rFonts w:ascii="Times New Roman" w:eastAsia="Times New Roman" w:hAnsi="Times New Roman" w:cs="Times New Roman"/>
          <w:color w:val="000000"/>
          <w:sz w:val="28"/>
          <w:szCs w:val="28"/>
          <w:lang w:val="es-ES"/>
        </w:rPr>
        <w:t xml:space="preserve">, que repercuta en la seguridad jurídica y en la mejor y adecuada eficacia de las normas, al evitar su dispersión. </w:t>
      </w:r>
      <w:r w:rsidRPr="00527F3E">
        <w:rPr>
          <w:rFonts w:ascii="Times New Roman" w:eastAsia="Times New Roman" w:hAnsi="Times New Roman" w:cs="Times New Roman"/>
          <w:color w:val="000000"/>
          <w:sz w:val="28"/>
          <w:szCs w:val="28"/>
          <w:lang w:val="es-ES"/>
        </w:rPr>
        <w:t>Sin embargo, se ha precisado que su aplicación no puede ser tan estricta que desconozca el principio democrático, dado que no es sinónimo de simplicidad temática ni puede convertirse en una camisa de fuerza que obstaculice la actividad legislativa hasta el</w:t>
      </w:r>
      <w:r w:rsidRPr="00527F3E">
        <w:rPr>
          <w:rFonts w:ascii="Times New Roman" w:eastAsia="Times New Roman" w:hAnsi="Times New Roman" w:cs="Times New Roman"/>
          <w:color w:val="000000"/>
          <w:sz w:val="28"/>
          <w:szCs w:val="28"/>
          <w:lang w:val="es-ES"/>
        </w:rPr>
        <w:t xml:space="preserve"> punto de hacerla nugatoria</w:t>
      </w:r>
      <w:r w:rsidRPr="00527F3E">
        <w:rPr>
          <w:rFonts w:ascii="Times New Roman" w:eastAsia="Times New Roman" w:hAnsi="Times New Roman" w:cs="Times New Roman"/>
          <w:color w:val="000000"/>
          <w:sz w:val="28"/>
          <w:szCs w:val="28"/>
          <w:vertAlign w:val="superscript"/>
          <w:lang w:val="es-ES"/>
        </w:rPr>
        <w:footnoteReference w:id="71"/>
      </w:r>
      <w:r w:rsidRPr="00527F3E">
        <w:rPr>
          <w:rFonts w:ascii="Times New Roman" w:eastAsia="Times New Roman" w:hAnsi="Times New Roman" w:cs="Times New Roman"/>
          <w:color w:val="000000"/>
          <w:sz w:val="28"/>
          <w:szCs w:val="28"/>
          <w:lang w:val="es-ES"/>
        </w:rPr>
        <w:t xml:space="preserve">. Sobre la necesidad de lograr un adecuado balance entre las exigencias de racionalidad legislativa que incorpora el principio de unidad de materia y el respeto a principio democrático, la Corte ha señalado que: </w:t>
      </w:r>
    </w:p>
    <w:p w:rsidR="00B9678A" w:rsidRPr="00527F3E" w:rsidRDefault="00527F3E" w:rsidP="00B9678A">
      <w:pPr>
        <w:spacing w:line="240" w:lineRule="auto"/>
        <w:ind w:left="720"/>
        <w:contextualSpacing/>
        <w:rPr>
          <w:rFonts w:ascii="Times New Roman" w:eastAsia="Times New Roman" w:hAnsi="Times New Roman" w:cs="Times New Roman"/>
          <w:color w:val="000000"/>
          <w:sz w:val="28"/>
          <w:szCs w:val="28"/>
          <w:lang w:val="es-ES"/>
        </w:rPr>
      </w:pPr>
    </w:p>
    <w:p w:rsidR="00B9678A" w:rsidRPr="00527F3E" w:rsidRDefault="00527F3E" w:rsidP="005F6E58">
      <w:pPr>
        <w:spacing w:line="240" w:lineRule="auto"/>
        <w:ind w:right="49"/>
        <w:contextualSpacing/>
        <w:jc w:val="both"/>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 xml:space="preserve"> “[…] sin desa</w:t>
      </w:r>
      <w:r w:rsidRPr="00527F3E">
        <w:rPr>
          <w:rFonts w:ascii="Times New Roman" w:eastAsia="Times New Roman" w:hAnsi="Times New Roman" w:cs="Times New Roman"/>
          <w:sz w:val="28"/>
          <w:szCs w:val="28"/>
          <w:lang w:val="es-ES"/>
        </w:rPr>
        <w:t xml:space="preserve">tender el propósito perseguido por el principio de unidad de materia -evitar las incongruencias normativas en las leyes-, la hermenéutica constitucional ha dejado sentado que el mismo no puede interpretarse en sentido estricto, rígido o absoluto, al punto </w:t>
      </w:r>
      <w:r w:rsidRPr="00527F3E">
        <w:rPr>
          <w:rFonts w:ascii="Times New Roman" w:eastAsia="Times New Roman" w:hAnsi="Times New Roman" w:cs="Times New Roman"/>
          <w:sz w:val="28"/>
          <w:szCs w:val="28"/>
          <w:lang w:val="es-ES"/>
        </w:rPr>
        <w:t>que se desconozcan o ignoren las relaciones sustanciales entre las diferentes normas que surgen en virtud de las finalidades que persiguen y que, por lo mismo, razonablemente se integran o resultan ser complementarias para lograr el diseño de la cuestión d</w:t>
      </w:r>
      <w:r w:rsidRPr="00527F3E">
        <w:rPr>
          <w:rFonts w:ascii="Times New Roman" w:eastAsia="Times New Roman" w:hAnsi="Times New Roman" w:cs="Times New Roman"/>
          <w:sz w:val="28"/>
          <w:szCs w:val="28"/>
          <w:lang w:val="es-ES"/>
        </w:rPr>
        <w:t xml:space="preserve">e fondo del proyecto legal. Según esta Corporación, </w:t>
      </w:r>
      <w:r w:rsidRPr="00527F3E">
        <w:rPr>
          <w:rFonts w:ascii="Times New Roman" w:eastAsia="Times New Roman" w:hAnsi="Times New Roman" w:cs="Times New Roman"/>
          <w:sz w:val="28"/>
          <w:szCs w:val="28"/>
          <w:u w:val="single"/>
          <w:lang w:val="es-ES"/>
        </w:rPr>
        <w:t>una interpretación restrictiva del citado principio implicaría desbordar su verdadera finalidad, produciendo un efecto contrario al pretendido, en cuanto terminaría por anular el principio democrático, co</w:t>
      </w:r>
      <w:r w:rsidRPr="00527F3E">
        <w:rPr>
          <w:rFonts w:ascii="Times New Roman" w:eastAsia="Times New Roman" w:hAnsi="Times New Roman" w:cs="Times New Roman"/>
          <w:sz w:val="28"/>
          <w:szCs w:val="28"/>
          <w:u w:val="single"/>
          <w:lang w:val="es-ES"/>
        </w:rPr>
        <w:t>nvirtiéndose en una camisa de fuerza para el Congreso que obstaculiza la actividad legislativa hasta el punto de hacerla caótica e incluso nugatoria.</w:t>
      </w:r>
      <w:r w:rsidRPr="00527F3E">
        <w:rPr>
          <w:rFonts w:ascii="Times New Roman" w:eastAsia="Times New Roman" w:hAnsi="Times New Roman" w:cs="Times New Roman"/>
          <w:sz w:val="28"/>
          <w:szCs w:val="28"/>
          <w:lang w:val="es-ES"/>
        </w:rPr>
        <w:t xml:space="preserve"> // Bajo ese entendido, frente al contenido del principio de unidad de materia, lo que cabe es una interpre</w:t>
      </w:r>
      <w:r w:rsidRPr="00527F3E">
        <w:rPr>
          <w:rFonts w:ascii="Times New Roman" w:eastAsia="Times New Roman" w:hAnsi="Times New Roman" w:cs="Times New Roman"/>
          <w:sz w:val="28"/>
          <w:szCs w:val="28"/>
          <w:lang w:val="es-ES"/>
        </w:rPr>
        <w:t>tación razonable y proporcional que permita establecer con claridad si entre las normas y la ley existe conexidad causal, teleológica, temática o sistémica, pues lo que de aquél se predica es que exista un núcleo rector de los distintos contenidos de una L</w:t>
      </w:r>
      <w:r w:rsidRPr="00527F3E">
        <w:rPr>
          <w:rFonts w:ascii="Times New Roman" w:eastAsia="Times New Roman" w:hAnsi="Times New Roman" w:cs="Times New Roman"/>
          <w:sz w:val="28"/>
          <w:szCs w:val="28"/>
          <w:lang w:val="es-ES"/>
        </w:rPr>
        <w:t>ey y que entre ese núcleo temático y los otros diversos contenidos se presente una relación de conexidad determinada con un criterio objetivo y razonable”</w:t>
      </w:r>
      <w:r w:rsidRPr="00527F3E">
        <w:rPr>
          <w:rFonts w:ascii="Times New Roman" w:eastAsia="Times New Roman" w:hAnsi="Times New Roman" w:cs="Times New Roman"/>
          <w:sz w:val="28"/>
          <w:szCs w:val="28"/>
          <w:vertAlign w:val="superscript"/>
          <w:lang w:val="es-ES"/>
        </w:rPr>
        <w:footnoteReference w:id="72"/>
      </w:r>
      <w:r w:rsidRPr="00527F3E">
        <w:rPr>
          <w:rFonts w:ascii="Times New Roman" w:eastAsia="Times New Roman" w:hAnsi="Times New Roman" w:cs="Times New Roman"/>
          <w:sz w:val="28"/>
          <w:szCs w:val="28"/>
          <w:lang w:val="es-ES"/>
        </w:rPr>
        <w:t xml:space="preserve">. </w:t>
      </w:r>
    </w:p>
    <w:p w:rsidR="00B9678A" w:rsidRPr="00527F3E" w:rsidRDefault="00527F3E" w:rsidP="00B9678A">
      <w:pPr>
        <w:spacing w:after="0" w:line="240" w:lineRule="auto"/>
        <w:jc w:val="both"/>
        <w:rPr>
          <w:rFonts w:ascii="Times New Roman" w:eastAsia="Times New Roman" w:hAnsi="Times New Roman" w:cs="Times New Roman"/>
          <w:color w:val="000000"/>
          <w:sz w:val="28"/>
          <w:szCs w:val="28"/>
          <w:lang w:eastAsia="es-ES_tradnl"/>
        </w:rPr>
      </w:pPr>
    </w:p>
    <w:p w:rsidR="00B9678A" w:rsidRPr="00527F3E" w:rsidRDefault="00527F3E" w:rsidP="00656A25">
      <w:pPr>
        <w:numPr>
          <w:ilvl w:val="0"/>
          <w:numId w:val="1"/>
        </w:numPr>
        <w:spacing w:after="0" w:line="240" w:lineRule="auto"/>
        <w:ind w:left="0" w:firstLine="0"/>
        <w:contextualSpacing/>
        <w:jc w:val="both"/>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Por tanto, para definir el alcance del principio de unidad de materia, la jurisprudencia ha señal</w:t>
      </w:r>
      <w:r w:rsidRPr="00527F3E">
        <w:rPr>
          <w:rFonts w:ascii="Times New Roman" w:eastAsia="Times New Roman" w:hAnsi="Times New Roman" w:cs="Times New Roman"/>
          <w:color w:val="000000"/>
          <w:sz w:val="28"/>
          <w:szCs w:val="28"/>
          <w:lang w:val="es-ES"/>
        </w:rPr>
        <w:t xml:space="preserve">ado que la norma examinada bajo este parámetro debe resistir criterios de razonabilidad y objetividad, a partir de la valoración de elementos de conexidad (i) </w:t>
      </w:r>
      <w:r w:rsidRPr="00527F3E">
        <w:rPr>
          <w:rFonts w:ascii="Times New Roman" w:eastAsia="Times New Roman" w:hAnsi="Times New Roman" w:cs="Times New Roman"/>
          <w:i/>
          <w:iCs/>
          <w:color w:val="000000"/>
          <w:sz w:val="28"/>
          <w:szCs w:val="28"/>
          <w:lang w:val="es-ES"/>
        </w:rPr>
        <w:t>temática</w:t>
      </w:r>
      <w:r w:rsidRPr="00527F3E">
        <w:rPr>
          <w:rFonts w:ascii="Times New Roman" w:eastAsia="Times New Roman" w:hAnsi="Times New Roman" w:cs="Times New Roman"/>
          <w:color w:val="000000"/>
          <w:sz w:val="28"/>
          <w:szCs w:val="28"/>
          <w:lang w:val="es-ES"/>
        </w:rPr>
        <w:t xml:space="preserve">, que se refiere al núcleo temático de la norma y que puede ser determinado en el análisis de los antecedentes legislativos o el título de la ley; (ii) </w:t>
      </w:r>
      <w:r w:rsidRPr="00527F3E">
        <w:rPr>
          <w:rFonts w:ascii="Times New Roman" w:eastAsia="Times New Roman" w:hAnsi="Times New Roman" w:cs="Times New Roman"/>
          <w:i/>
          <w:iCs/>
          <w:color w:val="000000"/>
          <w:sz w:val="28"/>
          <w:szCs w:val="28"/>
          <w:lang w:val="es-ES"/>
        </w:rPr>
        <w:t>causal</w:t>
      </w:r>
      <w:r w:rsidRPr="00527F3E">
        <w:rPr>
          <w:rFonts w:ascii="Times New Roman" w:eastAsia="Times New Roman" w:hAnsi="Times New Roman" w:cs="Times New Roman"/>
          <w:color w:val="000000"/>
          <w:sz w:val="28"/>
          <w:szCs w:val="28"/>
          <w:lang w:val="es-ES"/>
        </w:rPr>
        <w:t>, que requiere que exista identidad entre la disposición y los motivos que dieron lugar a la exped</w:t>
      </w:r>
      <w:r w:rsidRPr="00527F3E">
        <w:rPr>
          <w:rFonts w:ascii="Times New Roman" w:eastAsia="Times New Roman" w:hAnsi="Times New Roman" w:cs="Times New Roman"/>
          <w:color w:val="000000"/>
          <w:sz w:val="28"/>
          <w:szCs w:val="28"/>
          <w:lang w:val="es-ES"/>
        </w:rPr>
        <w:t xml:space="preserve">ición de la ley; (iii) </w:t>
      </w:r>
      <w:r w:rsidRPr="00527F3E">
        <w:rPr>
          <w:rFonts w:ascii="Times New Roman" w:eastAsia="Times New Roman" w:hAnsi="Times New Roman" w:cs="Times New Roman"/>
          <w:i/>
          <w:iCs/>
          <w:color w:val="000000"/>
          <w:sz w:val="28"/>
          <w:szCs w:val="28"/>
          <w:lang w:val="es-ES"/>
        </w:rPr>
        <w:t>teleológica</w:t>
      </w:r>
      <w:r w:rsidRPr="00527F3E">
        <w:rPr>
          <w:rFonts w:ascii="Times New Roman" w:eastAsia="Times New Roman" w:hAnsi="Times New Roman" w:cs="Times New Roman"/>
          <w:color w:val="000000"/>
          <w:sz w:val="28"/>
          <w:szCs w:val="28"/>
          <w:lang w:val="es-ES"/>
        </w:rPr>
        <w:t>, que se refiere a la identidad en los fines que persigue la ley tanto en su conjunto como en cada una de sus disposiciones, por lo que la ley en general y en cada una de sus disposiciones particulares debe dirigirse a alc</w:t>
      </w:r>
      <w:r w:rsidRPr="00527F3E">
        <w:rPr>
          <w:rFonts w:ascii="Times New Roman" w:eastAsia="Times New Roman" w:hAnsi="Times New Roman" w:cs="Times New Roman"/>
          <w:color w:val="000000"/>
          <w:sz w:val="28"/>
          <w:szCs w:val="28"/>
          <w:lang w:val="es-ES"/>
        </w:rPr>
        <w:t xml:space="preserve">anzar un mismo fin dentro de su complejidad temática; y (iv) </w:t>
      </w:r>
      <w:r w:rsidRPr="00527F3E">
        <w:rPr>
          <w:rFonts w:ascii="Times New Roman" w:eastAsia="Times New Roman" w:hAnsi="Times New Roman" w:cs="Times New Roman"/>
          <w:i/>
          <w:iCs/>
          <w:color w:val="000000"/>
          <w:sz w:val="28"/>
          <w:szCs w:val="28"/>
          <w:lang w:val="es-ES"/>
        </w:rPr>
        <w:t>sistemática</w:t>
      </w:r>
      <w:r w:rsidRPr="00527F3E">
        <w:rPr>
          <w:rFonts w:ascii="Times New Roman" w:eastAsia="Times New Roman" w:hAnsi="Times New Roman" w:cs="Times New Roman"/>
          <w:color w:val="000000"/>
          <w:sz w:val="28"/>
          <w:szCs w:val="28"/>
          <w:lang w:val="es-ES"/>
        </w:rPr>
        <w:t>, que atiende a la relación de racionalidad interna con las demás normas que integran la regulación</w:t>
      </w:r>
      <w:r w:rsidRPr="00527F3E">
        <w:rPr>
          <w:rFonts w:ascii="Times New Roman" w:eastAsia="Times New Roman" w:hAnsi="Times New Roman" w:cs="Times New Roman"/>
          <w:color w:val="000000"/>
          <w:sz w:val="28"/>
          <w:szCs w:val="28"/>
          <w:vertAlign w:val="superscript"/>
          <w:lang w:val="es-ES"/>
        </w:rPr>
        <w:footnoteReference w:id="73"/>
      </w:r>
      <w:r w:rsidRPr="00527F3E">
        <w:rPr>
          <w:rFonts w:ascii="Times New Roman" w:eastAsia="Times New Roman" w:hAnsi="Times New Roman" w:cs="Times New Roman"/>
          <w:color w:val="000000"/>
          <w:sz w:val="28"/>
          <w:szCs w:val="28"/>
          <w:lang w:val="es-ES"/>
        </w:rPr>
        <w:t>.</w:t>
      </w:r>
    </w:p>
    <w:p w:rsidR="00B9678A" w:rsidRPr="00527F3E" w:rsidRDefault="00527F3E" w:rsidP="00656A25">
      <w:pPr>
        <w:spacing w:line="240" w:lineRule="auto"/>
        <w:contextualSpacing/>
        <w:jc w:val="both"/>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spacing w:after="0" w:line="240" w:lineRule="auto"/>
        <w:ind w:left="0" w:firstLine="0"/>
        <w:contextualSpacing/>
        <w:jc w:val="both"/>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El desconocimiento del principio de unidad de materia ha sido considerado como un</w:t>
      </w:r>
      <w:r w:rsidRPr="00527F3E">
        <w:rPr>
          <w:rFonts w:ascii="Times New Roman" w:eastAsia="Times New Roman" w:hAnsi="Times New Roman" w:cs="Times New Roman"/>
          <w:color w:val="000000"/>
          <w:sz w:val="28"/>
          <w:szCs w:val="28"/>
          <w:lang w:val="es-ES"/>
        </w:rPr>
        <w:t xml:space="preserve"> vicio que, si bien se configura en el transcurso del procedimiento legislativo, es de índole material y, por tanto, no se somete a la regla de caducidad prevista en el artículo 242 numeral 3º de la Constitución.</w:t>
      </w:r>
      <w:r w:rsidRPr="00527F3E">
        <w:rPr>
          <w:rFonts w:ascii="Times New Roman" w:eastAsia="Times New Roman" w:hAnsi="Times New Roman" w:cs="Times New Roman"/>
          <w:color w:val="000000"/>
          <w:sz w:val="28"/>
          <w:szCs w:val="28"/>
          <w:bdr w:val="none" w:sz="0" w:space="0" w:color="auto" w:frame="1"/>
          <w:vertAlign w:val="superscript"/>
          <w:lang w:val="es-ES"/>
        </w:rPr>
        <w:t xml:space="preserve"> </w:t>
      </w:r>
      <w:r w:rsidRPr="00527F3E">
        <w:rPr>
          <w:rFonts w:ascii="Times New Roman" w:eastAsia="Times New Roman" w:hAnsi="Times New Roman" w:cs="Times New Roman"/>
          <w:color w:val="000000"/>
          <w:sz w:val="28"/>
          <w:szCs w:val="28"/>
          <w:lang w:val="es-ES"/>
        </w:rPr>
        <w:t>Lo anterior por cuanto lo que se analiza no</w:t>
      </w:r>
      <w:r w:rsidRPr="00527F3E">
        <w:rPr>
          <w:rFonts w:ascii="Times New Roman" w:eastAsia="Times New Roman" w:hAnsi="Times New Roman" w:cs="Times New Roman"/>
          <w:color w:val="000000"/>
          <w:sz w:val="28"/>
          <w:szCs w:val="28"/>
          <w:lang w:val="es-ES"/>
        </w:rPr>
        <w:t xml:space="preserve"> es el cumplimiento de las reglas procedimentales de formación sino el contenido normativo de la disposición acusada y del resto del articulado con el objetivo de determinar su conexidad a partir de los parámetros mencionados</w:t>
      </w:r>
      <w:r w:rsidRPr="00527F3E">
        <w:rPr>
          <w:rFonts w:ascii="Times New Roman" w:eastAsia="Times New Roman" w:hAnsi="Times New Roman" w:cs="Times New Roman"/>
          <w:color w:val="000000"/>
          <w:sz w:val="28"/>
          <w:szCs w:val="28"/>
          <w:vertAlign w:val="superscript"/>
          <w:lang w:val="es-ES"/>
        </w:rPr>
        <w:footnoteReference w:id="74"/>
      </w:r>
      <w:r w:rsidRPr="00527F3E">
        <w:rPr>
          <w:rFonts w:ascii="Times New Roman" w:eastAsia="Times New Roman" w:hAnsi="Times New Roman" w:cs="Times New Roman"/>
          <w:color w:val="000000"/>
          <w:sz w:val="28"/>
          <w:szCs w:val="28"/>
          <w:lang w:val="es-ES"/>
        </w:rPr>
        <w:t>.</w:t>
      </w:r>
    </w:p>
    <w:p w:rsidR="00B9678A" w:rsidRPr="00527F3E" w:rsidRDefault="00527F3E" w:rsidP="00656A25">
      <w:pPr>
        <w:spacing w:after="0" w:line="240" w:lineRule="auto"/>
        <w:contextualSpacing/>
        <w:jc w:val="both"/>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spacing w:after="0" w:line="240" w:lineRule="auto"/>
        <w:ind w:left="0" w:firstLine="0"/>
        <w:contextualSpacing/>
        <w:jc w:val="both"/>
        <w:rPr>
          <w:rFonts w:ascii="Times New Roman" w:eastAsia="Times New Roman" w:hAnsi="Times New Roman" w:cs="Times New Roman"/>
          <w:color w:val="000000"/>
          <w:sz w:val="28"/>
          <w:szCs w:val="28"/>
          <w:bdr w:val="none" w:sz="0" w:space="0" w:color="auto" w:frame="1"/>
          <w:lang w:val="es-ES"/>
        </w:rPr>
      </w:pPr>
      <w:r w:rsidRPr="00527F3E">
        <w:rPr>
          <w:rFonts w:ascii="Times New Roman" w:eastAsia="Times New Roman" w:hAnsi="Times New Roman" w:cs="Times New Roman"/>
          <w:color w:val="000000"/>
          <w:sz w:val="28"/>
          <w:szCs w:val="28"/>
          <w:lang w:val="es-ES"/>
        </w:rPr>
        <w:t>El control constitucional p</w:t>
      </w:r>
      <w:r w:rsidRPr="00527F3E">
        <w:rPr>
          <w:rFonts w:ascii="Times New Roman" w:eastAsia="Times New Roman" w:hAnsi="Times New Roman" w:cs="Times New Roman"/>
          <w:color w:val="000000"/>
          <w:sz w:val="28"/>
          <w:szCs w:val="28"/>
          <w:lang w:val="es-ES"/>
        </w:rPr>
        <w:t>ara determinar el cumplimiento del principio de unidad de materia se cualifica cuando se aplica a leyes cuyo contenido ha sido prefijado por la Constitución Política, como ocurre, entre otras, con las leyes anuales de presupuesto</w:t>
      </w:r>
      <w:r w:rsidRPr="00527F3E">
        <w:rPr>
          <w:rFonts w:ascii="Times New Roman" w:eastAsia="Times New Roman" w:hAnsi="Times New Roman" w:cs="Times New Roman"/>
          <w:color w:val="000000"/>
          <w:sz w:val="28"/>
          <w:szCs w:val="28"/>
          <w:vertAlign w:val="superscript"/>
          <w:lang w:val="es-ES"/>
        </w:rPr>
        <w:footnoteReference w:id="75"/>
      </w:r>
      <w:r w:rsidRPr="00527F3E">
        <w:rPr>
          <w:rFonts w:ascii="Times New Roman" w:eastAsia="Times New Roman" w:hAnsi="Times New Roman" w:cs="Times New Roman"/>
          <w:color w:val="000000"/>
          <w:sz w:val="28"/>
          <w:szCs w:val="28"/>
          <w:lang w:val="es-ES"/>
        </w:rPr>
        <w:t>. El contenido de este tip</w:t>
      </w:r>
      <w:r w:rsidRPr="00527F3E">
        <w:rPr>
          <w:rFonts w:ascii="Times New Roman" w:eastAsia="Times New Roman" w:hAnsi="Times New Roman" w:cs="Times New Roman"/>
          <w:color w:val="000000"/>
          <w:sz w:val="28"/>
          <w:szCs w:val="28"/>
          <w:lang w:val="es-ES"/>
        </w:rPr>
        <w:t>o de regulación se encuentra expresa, clara y principalmente definido en los artículos 346 a 351 de la Constitución y en la ley orgánica de que trata el artículo 151 superior</w:t>
      </w:r>
      <w:r w:rsidRPr="00527F3E">
        <w:rPr>
          <w:rFonts w:ascii="Times New Roman" w:eastAsia="Times New Roman" w:hAnsi="Times New Roman" w:cs="Times New Roman"/>
          <w:color w:val="000000"/>
          <w:sz w:val="28"/>
          <w:szCs w:val="28"/>
          <w:vertAlign w:val="superscript"/>
          <w:lang w:val="es-ES"/>
        </w:rPr>
        <w:footnoteReference w:id="76"/>
      </w:r>
      <w:r w:rsidRPr="00527F3E">
        <w:rPr>
          <w:rFonts w:ascii="Times New Roman" w:eastAsia="Times New Roman" w:hAnsi="Times New Roman" w:cs="Times New Roman"/>
          <w:color w:val="000000"/>
          <w:sz w:val="28"/>
          <w:szCs w:val="28"/>
          <w:lang w:val="es-ES"/>
        </w:rPr>
        <w:t>. Conforme a estas disposiciones y, de manera específica, al artículo 11 del Decr</w:t>
      </w:r>
      <w:r w:rsidRPr="00527F3E">
        <w:rPr>
          <w:rFonts w:ascii="Times New Roman" w:eastAsia="Times New Roman" w:hAnsi="Times New Roman" w:cs="Times New Roman"/>
          <w:color w:val="000000"/>
          <w:sz w:val="28"/>
          <w:szCs w:val="28"/>
          <w:lang w:val="es-ES"/>
        </w:rPr>
        <w:t xml:space="preserve">eto 111 de 1996, la ley anual de presupuesto está integrada por tres componentes estructurales: </w:t>
      </w:r>
      <w:r w:rsidRPr="00527F3E">
        <w:rPr>
          <w:rFonts w:ascii="Times New Roman" w:eastAsia="Times New Roman" w:hAnsi="Times New Roman" w:cs="Times New Roman"/>
          <w:i/>
          <w:iCs/>
          <w:color w:val="000000"/>
          <w:sz w:val="28"/>
          <w:szCs w:val="28"/>
          <w:lang w:val="es-ES"/>
        </w:rPr>
        <w:t>(i)</w:t>
      </w:r>
      <w:r w:rsidRPr="00527F3E">
        <w:rPr>
          <w:rFonts w:ascii="Times New Roman" w:eastAsia="Times New Roman" w:hAnsi="Times New Roman" w:cs="Times New Roman"/>
          <w:color w:val="000000"/>
          <w:sz w:val="28"/>
          <w:szCs w:val="28"/>
          <w:lang w:val="es-ES"/>
        </w:rPr>
        <w:t xml:space="preserve"> presupuesto de rentas</w:t>
      </w:r>
      <w:r w:rsidRPr="00527F3E">
        <w:rPr>
          <w:rFonts w:ascii="Times New Roman" w:eastAsia="Times New Roman" w:hAnsi="Times New Roman" w:cs="Times New Roman"/>
          <w:color w:val="000000"/>
          <w:sz w:val="28"/>
          <w:szCs w:val="28"/>
          <w:vertAlign w:val="superscript"/>
          <w:lang w:val="es-ES"/>
        </w:rPr>
        <w:footnoteReference w:id="77"/>
      </w:r>
      <w:r w:rsidRPr="00527F3E">
        <w:rPr>
          <w:rFonts w:ascii="Times New Roman" w:eastAsia="Times New Roman" w:hAnsi="Times New Roman" w:cs="Times New Roman"/>
          <w:color w:val="000000"/>
          <w:sz w:val="28"/>
          <w:szCs w:val="28"/>
          <w:lang w:val="es-ES"/>
        </w:rPr>
        <w:t xml:space="preserve">, </w:t>
      </w:r>
      <w:r w:rsidRPr="00527F3E">
        <w:rPr>
          <w:rFonts w:ascii="Times New Roman" w:eastAsia="Times New Roman" w:hAnsi="Times New Roman" w:cs="Times New Roman"/>
          <w:i/>
          <w:iCs/>
          <w:color w:val="000000"/>
          <w:sz w:val="28"/>
          <w:szCs w:val="28"/>
          <w:lang w:val="es-ES"/>
        </w:rPr>
        <w:t>(ii)</w:t>
      </w:r>
      <w:r w:rsidRPr="00527F3E">
        <w:rPr>
          <w:rFonts w:ascii="Times New Roman" w:eastAsia="Times New Roman" w:hAnsi="Times New Roman" w:cs="Times New Roman"/>
          <w:color w:val="000000"/>
          <w:sz w:val="28"/>
          <w:szCs w:val="28"/>
          <w:lang w:val="es-ES"/>
        </w:rPr>
        <w:t xml:space="preserve"> el presupuesto de gastos o ley de apropiaciones</w:t>
      </w:r>
      <w:r w:rsidRPr="00527F3E">
        <w:rPr>
          <w:rFonts w:ascii="Times New Roman" w:eastAsia="Times New Roman" w:hAnsi="Times New Roman" w:cs="Times New Roman"/>
          <w:color w:val="000000"/>
          <w:sz w:val="28"/>
          <w:szCs w:val="28"/>
          <w:vertAlign w:val="superscript"/>
          <w:lang w:val="es-ES"/>
        </w:rPr>
        <w:footnoteReference w:id="78"/>
      </w:r>
      <w:r w:rsidRPr="00527F3E">
        <w:rPr>
          <w:rFonts w:ascii="Times New Roman" w:eastAsia="Times New Roman" w:hAnsi="Times New Roman" w:cs="Times New Roman"/>
          <w:color w:val="000000"/>
          <w:sz w:val="28"/>
          <w:szCs w:val="28"/>
          <w:lang w:val="es-ES"/>
        </w:rPr>
        <w:t xml:space="preserve">, y </w:t>
      </w:r>
      <w:r w:rsidRPr="00527F3E">
        <w:rPr>
          <w:rFonts w:ascii="Times New Roman" w:eastAsia="Times New Roman" w:hAnsi="Times New Roman" w:cs="Times New Roman"/>
          <w:i/>
          <w:iCs/>
          <w:color w:val="000000"/>
          <w:sz w:val="28"/>
          <w:szCs w:val="28"/>
          <w:lang w:val="es-ES"/>
        </w:rPr>
        <w:t>(iii)</w:t>
      </w:r>
      <w:r w:rsidRPr="00527F3E">
        <w:rPr>
          <w:rFonts w:ascii="Times New Roman" w:eastAsia="Times New Roman" w:hAnsi="Times New Roman" w:cs="Times New Roman"/>
          <w:color w:val="000000"/>
          <w:sz w:val="28"/>
          <w:szCs w:val="28"/>
          <w:lang w:val="es-ES"/>
        </w:rPr>
        <w:t xml:space="preserve"> las disposiciones generales.</w:t>
      </w:r>
    </w:p>
    <w:p w:rsidR="00B9678A" w:rsidRPr="00527F3E" w:rsidRDefault="00527F3E" w:rsidP="00656A25">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spacing w:after="0" w:line="240" w:lineRule="auto"/>
        <w:ind w:left="0" w:firstLine="0"/>
        <w:contextualSpacing/>
        <w:jc w:val="both"/>
        <w:rPr>
          <w:rFonts w:ascii="Times New Roman" w:eastAsia="Times New Roman" w:hAnsi="Times New Roman" w:cs="Times New Roman"/>
          <w:color w:val="000000"/>
          <w:sz w:val="28"/>
          <w:szCs w:val="28"/>
          <w:bdr w:val="none" w:sz="0" w:space="0" w:color="auto" w:frame="1"/>
          <w:lang w:val="es-ES"/>
        </w:rPr>
      </w:pPr>
      <w:r w:rsidRPr="00527F3E">
        <w:rPr>
          <w:rFonts w:ascii="Times New Roman" w:eastAsia="Times New Roman" w:hAnsi="Times New Roman" w:cs="Times New Roman"/>
          <w:color w:val="000000"/>
          <w:sz w:val="28"/>
          <w:szCs w:val="28"/>
          <w:lang w:val="es-ES"/>
        </w:rPr>
        <w:t xml:space="preserve">Una de las preguntas que mayor atención ha suscitado gira alrededor de aquello que es permitido incluir -o no- dentro de las llamadas “disposiciones generales”, las cuales, de acuerdo con el citado artículo 11 del Decreto 111 de 1996, tienen por objeto </w:t>
      </w:r>
      <w:r w:rsidRPr="00527F3E">
        <w:rPr>
          <w:rFonts w:ascii="Times New Roman" w:eastAsia="Times New Roman" w:hAnsi="Times New Roman" w:cs="Times New Roman"/>
          <w:iCs/>
          <w:sz w:val="28"/>
          <w:szCs w:val="28"/>
          <w:lang w:val="es-ES"/>
        </w:rPr>
        <w:t>“as</w:t>
      </w:r>
      <w:r w:rsidRPr="00527F3E">
        <w:rPr>
          <w:rFonts w:ascii="Times New Roman" w:eastAsia="Times New Roman" w:hAnsi="Times New Roman" w:cs="Times New Roman"/>
          <w:iCs/>
          <w:sz w:val="28"/>
          <w:szCs w:val="28"/>
          <w:lang w:val="es-ES"/>
        </w:rPr>
        <w:t xml:space="preserve">egurar la correcta ejecución del presupuesto general de la Nación” y </w:t>
      </w:r>
      <w:r w:rsidRPr="00527F3E">
        <w:rPr>
          <w:rFonts w:ascii="Times New Roman" w:eastAsia="Times New Roman" w:hAnsi="Times New Roman" w:cs="Times New Roman"/>
          <w:sz w:val="28"/>
          <w:szCs w:val="28"/>
          <w:lang w:val="es-ES"/>
        </w:rPr>
        <w:t xml:space="preserve">rigen únicamente durante el año fiscal para el cual se expiden. Estos dos elementos determinan, por un lado, el carácter puramente instrumental de estas disposiciones, cuyo </w:t>
      </w:r>
      <w:r w:rsidRPr="00527F3E">
        <w:rPr>
          <w:rFonts w:ascii="Times New Roman" w:eastAsia="Times New Roman" w:hAnsi="Times New Roman" w:cs="Times New Roman"/>
          <w:iCs/>
          <w:sz w:val="28"/>
          <w:szCs w:val="28"/>
          <w:lang w:val="es-ES"/>
        </w:rPr>
        <w:t>contenido norm</w:t>
      </w:r>
      <w:r w:rsidRPr="00527F3E">
        <w:rPr>
          <w:rFonts w:ascii="Times New Roman" w:eastAsia="Times New Roman" w:hAnsi="Times New Roman" w:cs="Times New Roman"/>
          <w:iCs/>
          <w:sz w:val="28"/>
          <w:szCs w:val="28"/>
          <w:lang w:val="es-ES"/>
        </w:rPr>
        <w:t>ativo ha de estar encaminado al logro de la finalidad antes mencionada, y su vinculación estricta al principio de anualidad que orienta el sistema presupuestal</w:t>
      </w:r>
      <w:r w:rsidRPr="00527F3E">
        <w:rPr>
          <w:rFonts w:ascii="Times New Roman" w:eastAsia="Times New Roman" w:hAnsi="Times New Roman" w:cs="Times New Roman"/>
          <w:sz w:val="28"/>
          <w:szCs w:val="28"/>
          <w:vertAlign w:val="superscript"/>
          <w:lang w:val="es-ES"/>
        </w:rPr>
        <w:t xml:space="preserve"> </w:t>
      </w:r>
      <w:r w:rsidRPr="00527F3E">
        <w:rPr>
          <w:rFonts w:ascii="Times New Roman" w:eastAsia="Times New Roman" w:hAnsi="Times New Roman" w:cs="Times New Roman"/>
          <w:sz w:val="28"/>
          <w:szCs w:val="28"/>
          <w:vertAlign w:val="superscript"/>
          <w:lang w:val="es-ES"/>
        </w:rPr>
        <w:footnoteReference w:id="79"/>
      </w:r>
      <w:r w:rsidRPr="00527F3E">
        <w:rPr>
          <w:rFonts w:ascii="Times New Roman" w:eastAsia="Times New Roman" w:hAnsi="Times New Roman" w:cs="Times New Roman"/>
          <w:sz w:val="28"/>
          <w:szCs w:val="28"/>
          <w:lang w:val="es-ES"/>
        </w:rPr>
        <w:t xml:space="preserve">. </w:t>
      </w:r>
    </w:p>
    <w:p w:rsidR="00B9678A" w:rsidRPr="00527F3E" w:rsidRDefault="00527F3E" w:rsidP="00656A25">
      <w:pPr>
        <w:spacing w:line="240" w:lineRule="auto"/>
        <w:contextualSpacing/>
        <w:rPr>
          <w:rFonts w:ascii="Times New Roman" w:eastAsia="Times New Roman" w:hAnsi="Times New Roman" w:cs="Times New Roman"/>
          <w:color w:val="000000"/>
          <w:sz w:val="28"/>
          <w:szCs w:val="28"/>
          <w:bdr w:val="none" w:sz="0" w:space="0" w:color="auto" w:frame="1"/>
          <w:lang w:val="es-ES"/>
        </w:rPr>
      </w:pPr>
    </w:p>
    <w:p w:rsidR="00B9678A" w:rsidRPr="00527F3E" w:rsidRDefault="00527F3E" w:rsidP="00656A25">
      <w:pPr>
        <w:numPr>
          <w:ilvl w:val="0"/>
          <w:numId w:val="1"/>
        </w:numPr>
        <w:spacing w:after="0" w:line="240" w:lineRule="auto"/>
        <w:ind w:left="0" w:firstLine="0"/>
        <w:contextualSpacing/>
        <w:jc w:val="both"/>
        <w:rPr>
          <w:rFonts w:ascii="Times New Roman" w:eastAsia="Times New Roman" w:hAnsi="Times New Roman" w:cs="Times New Roman"/>
          <w:color w:val="000000"/>
          <w:sz w:val="28"/>
          <w:szCs w:val="28"/>
          <w:bdr w:val="none" w:sz="0" w:space="0" w:color="auto" w:frame="1"/>
          <w:lang w:val="es-ES"/>
        </w:rPr>
      </w:pPr>
      <w:r w:rsidRPr="00527F3E">
        <w:rPr>
          <w:rFonts w:ascii="Times New Roman" w:eastAsia="Times New Roman" w:hAnsi="Times New Roman" w:cs="Times New Roman"/>
          <w:color w:val="000000"/>
          <w:sz w:val="28"/>
          <w:szCs w:val="28"/>
          <w:bdr w:val="none" w:sz="0" w:space="0" w:color="auto" w:frame="1"/>
          <w:lang w:val="es-ES"/>
        </w:rPr>
        <w:t xml:space="preserve">La discusión sobre el contenido que pueden albergar las disposiciones generales de la ley anual del presupuesto ha estado vinculada a otra más amplia en torno a la naturaleza de la ley de presupuesto. </w:t>
      </w:r>
      <w:r w:rsidRPr="00527F3E">
        <w:rPr>
          <w:rFonts w:ascii="Times New Roman" w:eastAsia="Times New Roman" w:hAnsi="Times New Roman" w:cs="Times New Roman"/>
          <w:color w:val="000000"/>
          <w:sz w:val="28"/>
          <w:szCs w:val="28"/>
          <w:lang w:val="es-ES"/>
        </w:rPr>
        <w:t>Sobre la naturaleza de la ley anual de presupuesto es p</w:t>
      </w:r>
      <w:r w:rsidRPr="00527F3E">
        <w:rPr>
          <w:rFonts w:ascii="Times New Roman" w:eastAsia="Times New Roman" w:hAnsi="Times New Roman" w:cs="Times New Roman"/>
          <w:color w:val="000000"/>
          <w:sz w:val="28"/>
          <w:szCs w:val="28"/>
          <w:lang w:val="es-ES"/>
        </w:rPr>
        <w:t>osible identificar dos etapas en la jurisprudencia constitucional. Durante la primera, la Corte consideró que la ley anual de presupuesto era, ante todo, un ejercicio técnico contable de definición sobre los ingresos y las apropiaciones del Estado en la vi</w:t>
      </w:r>
      <w:r w:rsidRPr="00527F3E">
        <w:rPr>
          <w:rFonts w:ascii="Times New Roman" w:eastAsia="Times New Roman" w:hAnsi="Times New Roman" w:cs="Times New Roman"/>
          <w:color w:val="000000"/>
          <w:sz w:val="28"/>
          <w:szCs w:val="28"/>
          <w:lang w:val="es-ES"/>
        </w:rPr>
        <w:t>gencia fiscal correspondiente; de allí que no tuviera un carácter normativo sino eminentemente técnico</w:t>
      </w:r>
      <w:r w:rsidRPr="00527F3E">
        <w:rPr>
          <w:rFonts w:ascii="Times New Roman" w:eastAsia="Times New Roman" w:hAnsi="Times New Roman" w:cs="Times New Roman"/>
          <w:color w:val="000000"/>
          <w:sz w:val="28"/>
          <w:szCs w:val="28"/>
          <w:vertAlign w:val="superscript"/>
          <w:lang w:val="es-ES"/>
        </w:rPr>
        <w:footnoteReference w:id="80"/>
      </w:r>
      <w:r w:rsidRPr="00527F3E">
        <w:rPr>
          <w:rFonts w:ascii="Times New Roman" w:eastAsia="Times New Roman" w:hAnsi="Times New Roman" w:cs="Times New Roman"/>
          <w:color w:val="000000"/>
          <w:sz w:val="28"/>
          <w:szCs w:val="28"/>
          <w:lang w:val="es-ES"/>
        </w:rPr>
        <w:t>. Esta visión fue, sin embargo, reevaluada y de tiempo atrás se ha consolidado la tesis que reconoce que las disposiciones de la ley anual de presupuesto</w:t>
      </w:r>
      <w:r w:rsidRPr="00527F3E">
        <w:rPr>
          <w:rFonts w:ascii="Times New Roman" w:eastAsia="Times New Roman" w:hAnsi="Times New Roman" w:cs="Times New Roman"/>
          <w:color w:val="000000"/>
          <w:sz w:val="28"/>
          <w:szCs w:val="28"/>
          <w:lang w:val="es-ES"/>
        </w:rPr>
        <w:t xml:space="preserve"> tienen un contenido normativo o material en tanto se trata de un instrumento con importantes finalidades políticas y económicas</w:t>
      </w:r>
      <w:r w:rsidRPr="00527F3E">
        <w:rPr>
          <w:rFonts w:ascii="Times New Roman" w:eastAsia="Times New Roman" w:hAnsi="Times New Roman" w:cs="Times New Roman"/>
          <w:color w:val="000000"/>
          <w:sz w:val="28"/>
          <w:szCs w:val="28"/>
          <w:vertAlign w:val="superscript"/>
          <w:lang w:val="es-ES"/>
        </w:rPr>
        <w:footnoteReference w:id="81"/>
      </w:r>
      <w:r w:rsidRPr="00527F3E">
        <w:rPr>
          <w:rFonts w:ascii="Times New Roman" w:eastAsia="Times New Roman" w:hAnsi="Times New Roman" w:cs="Times New Roman"/>
          <w:color w:val="000000"/>
          <w:sz w:val="28"/>
          <w:szCs w:val="28"/>
          <w:lang w:val="es-ES"/>
        </w:rPr>
        <w:t xml:space="preserve"> y porque constituye una norma que permite y prohíbe determinados cursos de acción a las autoridades, al establecer autorizacio</w:t>
      </w:r>
      <w:r w:rsidRPr="00527F3E">
        <w:rPr>
          <w:rFonts w:ascii="Times New Roman" w:eastAsia="Times New Roman" w:hAnsi="Times New Roman" w:cs="Times New Roman"/>
          <w:color w:val="000000"/>
          <w:sz w:val="28"/>
          <w:szCs w:val="28"/>
          <w:lang w:val="es-ES"/>
        </w:rPr>
        <w:t>nes, límites y condiciones para la ejecución del presupuesto</w:t>
      </w:r>
      <w:r w:rsidRPr="00527F3E">
        <w:rPr>
          <w:rFonts w:ascii="Times New Roman" w:eastAsia="Times New Roman" w:hAnsi="Times New Roman" w:cs="Times New Roman"/>
          <w:color w:val="000000"/>
          <w:sz w:val="28"/>
          <w:szCs w:val="28"/>
          <w:vertAlign w:val="superscript"/>
          <w:lang w:val="es-ES"/>
        </w:rPr>
        <w:footnoteReference w:id="82"/>
      </w:r>
      <w:r w:rsidRPr="00527F3E">
        <w:rPr>
          <w:rFonts w:ascii="Times New Roman" w:eastAsia="Times New Roman" w:hAnsi="Times New Roman" w:cs="Times New Roman"/>
          <w:color w:val="000000"/>
          <w:sz w:val="28"/>
          <w:szCs w:val="28"/>
          <w:lang w:val="es-ES"/>
        </w:rPr>
        <w:t xml:space="preserve">. </w:t>
      </w:r>
    </w:p>
    <w:p w:rsidR="00B9678A" w:rsidRPr="00527F3E" w:rsidRDefault="00527F3E" w:rsidP="00656A25">
      <w:pPr>
        <w:numPr>
          <w:ilvl w:val="0"/>
          <w:numId w:val="1"/>
        </w:numPr>
        <w:spacing w:after="0" w:line="240" w:lineRule="auto"/>
        <w:ind w:left="0" w:firstLine="0"/>
        <w:contextualSpacing/>
        <w:jc w:val="both"/>
        <w:rPr>
          <w:rFonts w:ascii="Times New Roman" w:eastAsia="Times New Roman" w:hAnsi="Times New Roman" w:cs="Times New Roman"/>
          <w:color w:val="000000"/>
          <w:sz w:val="28"/>
          <w:szCs w:val="28"/>
          <w:bdr w:val="none" w:sz="0" w:space="0" w:color="auto" w:frame="1"/>
          <w:lang w:val="es-ES"/>
        </w:rPr>
      </w:pPr>
      <w:r w:rsidRPr="00527F3E">
        <w:rPr>
          <w:rFonts w:ascii="Times New Roman" w:eastAsia="Times New Roman" w:hAnsi="Times New Roman" w:cs="Times New Roman"/>
          <w:color w:val="000000"/>
          <w:sz w:val="28"/>
          <w:szCs w:val="28"/>
          <w:lang w:val="es-ES"/>
        </w:rPr>
        <w:t>El debate sobre la naturaleza de las leyes de presupuesto ha impactado, a su vez, la manera de entender el alcance del principio de unidad de materia en relación con ellas. Tal y como se sinte</w:t>
      </w:r>
      <w:r w:rsidRPr="00527F3E">
        <w:rPr>
          <w:rFonts w:ascii="Times New Roman" w:eastAsia="Times New Roman" w:hAnsi="Times New Roman" w:cs="Times New Roman"/>
          <w:color w:val="000000"/>
          <w:sz w:val="28"/>
          <w:szCs w:val="28"/>
          <w:lang w:val="es-ES"/>
        </w:rPr>
        <w:t>tizó en la Sentencia C-006 de 2012</w:t>
      </w:r>
      <w:r w:rsidRPr="00527F3E">
        <w:rPr>
          <w:rFonts w:ascii="Times New Roman" w:eastAsia="Times New Roman" w:hAnsi="Times New Roman" w:cs="Times New Roman"/>
          <w:color w:val="000000"/>
          <w:sz w:val="28"/>
          <w:szCs w:val="28"/>
          <w:vertAlign w:val="superscript"/>
          <w:lang w:val="es-ES"/>
        </w:rPr>
        <w:footnoteReference w:id="83"/>
      </w:r>
      <w:r w:rsidRPr="00527F3E">
        <w:rPr>
          <w:rFonts w:ascii="Times New Roman" w:eastAsia="Times New Roman" w:hAnsi="Times New Roman" w:cs="Times New Roman"/>
          <w:color w:val="000000"/>
          <w:sz w:val="28"/>
          <w:szCs w:val="28"/>
          <w:lang w:val="es-ES"/>
        </w:rPr>
        <w:t xml:space="preserve">, el estudio de constitucionalidad por la presunta lesión del principio de unidad de materia en la ley de presupuesto fue abordado de una manera </w:t>
      </w:r>
      <w:r w:rsidRPr="00527F3E">
        <w:rPr>
          <w:rFonts w:ascii="Times New Roman" w:eastAsia="Times New Roman" w:hAnsi="Times New Roman" w:cs="Times New Roman"/>
          <w:i/>
          <w:iCs/>
          <w:color w:val="000000"/>
          <w:sz w:val="28"/>
          <w:szCs w:val="28"/>
          <w:lang w:val="es-ES"/>
        </w:rPr>
        <w:t xml:space="preserve">restringida </w:t>
      </w:r>
      <w:r w:rsidRPr="00527F3E">
        <w:rPr>
          <w:rFonts w:ascii="Times New Roman" w:eastAsia="Times New Roman" w:hAnsi="Times New Roman" w:cs="Times New Roman"/>
          <w:color w:val="000000"/>
          <w:sz w:val="28"/>
          <w:szCs w:val="28"/>
          <w:lang w:val="es-ES"/>
        </w:rPr>
        <w:t xml:space="preserve">al inicio de la jurisprudencia de la Corte, exigiendo una vinculación estricta y eminentemente presupuestal; posición que fue matizándose a una línea más </w:t>
      </w:r>
      <w:r w:rsidRPr="00527F3E">
        <w:rPr>
          <w:rFonts w:ascii="Times New Roman" w:eastAsia="Times New Roman" w:hAnsi="Times New Roman" w:cs="Times New Roman"/>
          <w:i/>
          <w:iCs/>
          <w:color w:val="000000"/>
          <w:sz w:val="28"/>
          <w:szCs w:val="28"/>
          <w:lang w:val="es-ES"/>
        </w:rPr>
        <w:t>ponderada</w:t>
      </w:r>
      <w:r w:rsidRPr="00527F3E">
        <w:rPr>
          <w:rFonts w:ascii="Times New Roman" w:eastAsia="Times New Roman" w:hAnsi="Times New Roman" w:cs="Times New Roman"/>
          <w:color w:val="000000"/>
          <w:sz w:val="28"/>
          <w:szCs w:val="28"/>
          <w:vertAlign w:val="superscript"/>
          <w:lang w:val="es-ES"/>
        </w:rPr>
        <w:footnoteReference w:id="84"/>
      </w:r>
      <w:r w:rsidRPr="00527F3E">
        <w:rPr>
          <w:rFonts w:ascii="Times New Roman" w:eastAsia="Times New Roman" w:hAnsi="Times New Roman" w:cs="Times New Roman"/>
          <w:color w:val="000000"/>
          <w:sz w:val="28"/>
          <w:szCs w:val="28"/>
          <w:lang w:val="es-ES"/>
        </w:rPr>
        <w:t>, a partir de la cual se configura una lesión de la Constitución por desconocimiento de este</w:t>
      </w:r>
      <w:r w:rsidRPr="00527F3E">
        <w:rPr>
          <w:rFonts w:ascii="Times New Roman" w:eastAsia="Times New Roman" w:hAnsi="Times New Roman" w:cs="Times New Roman"/>
          <w:color w:val="000000"/>
          <w:sz w:val="28"/>
          <w:szCs w:val="28"/>
          <w:lang w:val="es-ES"/>
        </w:rPr>
        <w:t xml:space="preserve"> principio cuando se incluya “una norma cuyo objeto no tenga ninguna conexión con la materia presupuestaria (mínima conexión temática), no busque lograr una cabal ejecución del presupuesto (mínima conexión teleológica) y que supere la (sic) limitaciones de</w:t>
      </w:r>
      <w:r w:rsidRPr="00527F3E">
        <w:rPr>
          <w:rFonts w:ascii="Times New Roman" w:eastAsia="Times New Roman" w:hAnsi="Times New Roman" w:cs="Times New Roman"/>
          <w:color w:val="000000"/>
          <w:sz w:val="28"/>
          <w:szCs w:val="28"/>
          <w:lang w:val="es-ES"/>
        </w:rPr>
        <w:t xml:space="preserve"> tiempo de tales normas (mínima conexión temporal)”</w:t>
      </w:r>
      <w:r w:rsidRPr="00527F3E">
        <w:rPr>
          <w:rFonts w:ascii="Times New Roman" w:eastAsia="Times New Roman" w:hAnsi="Times New Roman" w:cs="Times New Roman"/>
          <w:color w:val="000000"/>
          <w:sz w:val="28"/>
          <w:szCs w:val="28"/>
          <w:vertAlign w:val="superscript"/>
          <w:lang w:val="es-ES"/>
        </w:rPr>
        <w:footnoteReference w:id="85"/>
      </w:r>
      <w:r w:rsidRPr="00527F3E">
        <w:rPr>
          <w:rFonts w:ascii="Times New Roman" w:eastAsia="Times New Roman" w:hAnsi="Times New Roman" w:cs="Times New Roman"/>
          <w:color w:val="000000"/>
          <w:sz w:val="28"/>
          <w:szCs w:val="28"/>
          <w:lang w:val="es-ES"/>
        </w:rPr>
        <w:t>.</w:t>
      </w:r>
    </w:p>
    <w:p w:rsidR="00B9678A" w:rsidRPr="00527F3E" w:rsidRDefault="00527F3E" w:rsidP="00656A25">
      <w:pPr>
        <w:spacing w:line="240" w:lineRule="auto"/>
        <w:contextualSpacing/>
        <w:rPr>
          <w:rFonts w:ascii="Times New Roman" w:eastAsia="Times New Roman" w:hAnsi="Times New Roman" w:cs="Times New Roman"/>
          <w:sz w:val="28"/>
          <w:szCs w:val="28"/>
          <w:lang w:val="es-ES"/>
        </w:rPr>
      </w:pPr>
    </w:p>
    <w:p w:rsidR="00B9678A" w:rsidRPr="00527F3E" w:rsidRDefault="00527F3E" w:rsidP="00656A25">
      <w:pPr>
        <w:numPr>
          <w:ilvl w:val="0"/>
          <w:numId w:val="1"/>
        </w:numPr>
        <w:spacing w:after="0" w:line="240" w:lineRule="auto"/>
        <w:ind w:left="0" w:firstLine="0"/>
        <w:contextualSpacing/>
        <w:jc w:val="both"/>
        <w:rPr>
          <w:rFonts w:ascii="Times New Roman" w:eastAsia="Times New Roman" w:hAnsi="Times New Roman" w:cs="Times New Roman"/>
          <w:color w:val="000000"/>
          <w:sz w:val="28"/>
          <w:szCs w:val="28"/>
          <w:bdr w:val="none" w:sz="0" w:space="0" w:color="auto" w:frame="1"/>
          <w:lang w:val="es-ES"/>
        </w:rPr>
      </w:pPr>
      <w:r w:rsidRPr="00527F3E">
        <w:rPr>
          <w:rFonts w:ascii="Times New Roman" w:eastAsia="Times New Roman" w:hAnsi="Times New Roman" w:cs="Times New Roman"/>
          <w:color w:val="000000"/>
          <w:sz w:val="28"/>
          <w:szCs w:val="28"/>
          <w:lang w:val="es-ES"/>
        </w:rPr>
        <w:t xml:space="preserve">En el caso de las disposiciones generales, la Corte ha ponderado en su jurisprudencia la necesidad de que, por un lado, estos preceptos tengan un vínculo verificable con la materia presupuestal, y por </w:t>
      </w:r>
      <w:r w:rsidRPr="00527F3E">
        <w:rPr>
          <w:rFonts w:ascii="Times New Roman" w:eastAsia="Times New Roman" w:hAnsi="Times New Roman" w:cs="Times New Roman"/>
          <w:color w:val="000000"/>
          <w:sz w:val="28"/>
          <w:szCs w:val="28"/>
          <w:lang w:val="es-ES"/>
        </w:rPr>
        <w:t>el otro, que se preserve la cláusula general de competencia legislativa del Congreso, que se traduce en que pueda incluir otros asuntos que, conservando la conexidad, vayan más allá de prescripciones eminentemente contables. En ese sentido, el límite que i</w:t>
      </w:r>
      <w:r w:rsidRPr="00527F3E">
        <w:rPr>
          <w:rFonts w:ascii="Times New Roman" w:eastAsia="Times New Roman" w:hAnsi="Times New Roman" w:cs="Times New Roman"/>
          <w:color w:val="000000"/>
          <w:sz w:val="28"/>
          <w:szCs w:val="28"/>
          <w:lang w:val="es-ES"/>
        </w:rPr>
        <w:t>mpone el principio de unidad de materia a la ley anual de presupuesto, y en particular a las disposiciones generales, es que las normas que integran dicha ley deben tener un “</w:t>
      </w:r>
      <w:r w:rsidRPr="00527F3E">
        <w:rPr>
          <w:rFonts w:ascii="Times New Roman" w:eastAsia="Times New Roman" w:hAnsi="Times New Roman" w:cs="Times New Roman"/>
          <w:i/>
          <w:iCs/>
          <w:color w:val="000000"/>
          <w:sz w:val="28"/>
          <w:szCs w:val="28"/>
          <w:lang w:val="es-ES"/>
        </w:rPr>
        <w:t>vínculo presupuestario</w:t>
      </w:r>
      <w:r w:rsidRPr="00527F3E">
        <w:rPr>
          <w:rFonts w:ascii="Times New Roman" w:eastAsia="Times New Roman" w:hAnsi="Times New Roman" w:cs="Times New Roman"/>
          <w:color w:val="000000"/>
          <w:sz w:val="28"/>
          <w:szCs w:val="28"/>
          <w:lang w:val="es-ES"/>
        </w:rPr>
        <w:t>”, es decir, deben considerarse como instrumentos para la c</w:t>
      </w:r>
      <w:r w:rsidRPr="00527F3E">
        <w:rPr>
          <w:rFonts w:ascii="Times New Roman" w:eastAsia="Times New Roman" w:hAnsi="Times New Roman" w:cs="Times New Roman"/>
          <w:color w:val="000000"/>
          <w:sz w:val="28"/>
          <w:szCs w:val="28"/>
          <w:lang w:val="es-ES"/>
        </w:rPr>
        <w:t>orrecta ejecución del presupuesto</w:t>
      </w:r>
      <w:r w:rsidRPr="00527F3E">
        <w:rPr>
          <w:rFonts w:ascii="Times New Roman" w:eastAsia="Times New Roman" w:hAnsi="Times New Roman" w:cs="Times New Roman"/>
          <w:color w:val="000000"/>
          <w:sz w:val="28"/>
          <w:szCs w:val="28"/>
          <w:vertAlign w:val="superscript"/>
          <w:lang w:val="es-ES"/>
        </w:rPr>
        <w:footnoteReference w:id="86"/>
      </w:r>
      <w:r w:rsidRPr="00527F3E">
        <w:rPr>
          <w:rFonts w:ascii="Times New Roman" w:eastAsia="Times New Roman" w:hAnsi="Times New Roman" w:cs="Times New Roman"/>
          <w:color w:val="000000"/>
          <w:sz w:val="28"/>
          <w:szCs w:val="28"/>
          <w:lang w:val="es-ES"/>
        </w:rPr>
        <w:t xml:space="preserve">. </w:t>
      </w:r>
    </w:p>
    <w:p w:rsidR="00B9678A" w:rsidRPr="00527F3E" w:rsidRDefault="00527F3E" w:rsidP="00656A25">
      <w:pPr>
        <w:spacing w:line="240" w:lineRule="auto"/>
        <w:contextualSpacing/>
        <w:jc w:val="both"/>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spacing w:after="0" w:line="240" w:lineRule="auto"/>
        <w:ind w:left="0" w:firstLine="0"/>
        <w:contextualSpacing/>
        <w:jc w:val="both"/>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Asimismo, un segundo límite que impone el principio de unidad de materia a la ley anual de presupuesto es el obligatorio </w:t>
      </w:r>
      <w:r w:rsidRPr="00527F3E">
        <w:rPr>
          <w:rFonts w:ascii="Times New Roman" w:eastAsia="Times New Roman" w:hAnsi="Times New Roman" w:cs="Times New Roman"/>
          <w:i/>
          <w:iCs/>
          <w:color w:val="000000"/>
          <w:sz w:val="28"/>
          <w:szCs w:val="28"/>
          <w:lang w:val="es-ES"/>
        </w:rPr>
        <w:t>carácter temporal</w:t>
      </w:r>
      <w:r w:rsidRPr="00527F3E">
        <w:rPr>
          <w:rFonts w:ascii="Times New Roman" w:eastAsia="Times New Roman" w:hAnsi="Times New Roman" w:cs="Times New Roman"/>
          <w:color w:val="000000"/>
          <w:sz w:val="28"/>
          <w:szCs w:val="28"/>
          <w:lang w:val="es-ES"/>
        </w:rPr>
        <w:t xml:space="preserve"> de sus previsiones. El estatuto orgánico señala, para el caso de las normas que integran las disposiciones generales, que dichas disposiciones regirán exclusivamente durante la vigencia fiscal sobre la que verse la ley anual de presupuesto. Dicha limitaci</w:t>
      </w:r>
      <w:r w:rsidRPr="00527F3E">
        <w:rPr>
          <w:rFonts w:ascii="Times New Roman" w:eastAsia="Times New Roman" w:hAnsi="Times New Roman" w:cs="Times New Roman"/>
          <w:color w:val="000000"/>
          <w:sz w:val="28"/>
          <w:szCs w:val="28"/>
          <w:lang w:val="es-ES"/>
        </w:rPr>
        <w:t>ón justifica a su vez que la jurisprudencia constitucional haya concluido que en la ley anual de presupuesto no puedan incluirse modificaciones a normas sustantivas, pues las mismas tendrían vocación de permanencia, contrariando la naturaleza temporal expu</w:t>
      </w:r>
      <w:r w:rsidRPr="00527F3E">
        <w:rPr>
          <w:rFonts w:ascii="Times New Roman" w:eastAsia="Times New Roman" w:hAnsi="Times New Roman" w:cs="Times New Roman"/>
          <w:color w:val="000000"/>
          <w:sz w:val="28"/>
          <w:szCs w:val="28"/>
          <w:lang w:val="es-ES"/>
        </w:rPr>
        <w:t>esta.</w:t>
      </w:r>
    </w:p>
    <w:p w:rsidR="00B9678A" w:rsidRPr="00527F3E" w:rsidRDefault="00527F3E" w:rsidP="00656A25">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spacing w:after="0" w:line="240" w:lineRule="auto"/>
        <w:ind w:left="0" w:firstLine="0"/>
        <w:contextualSpacing/>
        <w:jc w:val="both"/>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En síntesis, al examinar las implicaciones del principio de unidad de materia frente a las leyes anuales de presupuesto y las que la adicionan o modifican, el precedente constitucional es pacífico al señalar que:</w:t>
      </w:r>
    </w:p>
    <w:p w:rsidR="00B9678A" w:rsidRPr="00527F3E" w:rsidRDefault="00527F3E" w:rsidP="00656A25">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5F6E58">
      <w:pPr>
        <w:spacing w:line="240" w:lineRule="auto"/>
        <w:ind w:right="49"/>
        <w:contextualSpacing/>
        <w:jc w:val="both"/>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w:t>
      </w:r>
      <w:r w:rsidRPr="00527F3E">
        <w:rPr>
          <w:rFonts w:ascii="Times New Roman" w:eastAsia="Times New Roman" w:hAnsi="Times New Roman" w:cs="Times New Roman"/>
          <w:color w:val="000000"/>
          <w:sz w:val="28"/>
          <w:szCs w:val="28"/>
          <w:lang w:val="es-419"/>
        </w:rPr>
        <w:t>[U]</w:t>
      </w:r>
      <w:r w:rsidRPr="00527F3E">
        <w:rPr>
          <w:rFonts w:ascii="Times New Roman" w:eastAsia="Times New Roman" w:hAnsi="Times New Roman" w:cs="Times New Roman"/>
          <w:color w:val="000000"/>
          <w:sz w:val="28"/>
          <w:szCs w:val="28"/>
          <w:lang w:val="es-ES"/>
        </w:rPr>
        <w:t xml:space="preserve">na norma incluida dentro de la </w:t>
      </w:r>
      <w:r w:rsidRPr="00527F3E">
        <w:rPr>
          <w:rFonts w:ascii="Times New Roman" w:eastAsia="Times New Roman" w:hAnsi="Times New Roman" w:cs="Times New Roman"/>
          <w:color w:val="000000"/>
          <w:sz w:val="28"/>
          <w:szCs w:val="28"/>
          <w:lang w:val="es-ES"/>
        </w:rPr>
        <w:t>ley anual de presupuesto puede guardar una relación de conexidad (i) causal, (ii) teleológica, (iii) temática o (iv) sistémica con la materia general del cuerpo normativo en el que se inserta. En el caso de las leyes anuales de presupuesto se suman tres cr</w:t>
      </w:r>
      <w:r w:rsidRPr="00527F3E">
        <w:rPr>
          <w:rFonts w:ascii="Times New Roman" w:eastAsia="Times New Roman" w:hAnsi="Times New Roman" w:cs="Times New Roman"/>
          <w:color w:val="000000"/>
          <w:sz w:val="28"/>
          <w:szCs w:val="28"/>
          <w:lang w:val="es-ES"/>
        </w:rPr>
        <w:t>iterios adicionales, (a) temporalidad (anual), (b) tema y (c) finalidad (presupuestal).  Por tanto, por ejemplo, las disposiciones generales de la ley anual del presupuesto no pueden tener vocación de permanencia, no pueden modificar reglas generales, incl</w:t>
      </w:r>
      <w:r w:rsidRPr="00527F3E">
        <w:rPr>
          <w:rFonts w:ascii="Times New Roman" w:eastAsia="Times New Roman" w:hAnsi="Times New Roman" w:cs="Times New Roman"/>
          <w:color w:val="000000"/>
          <w:sz w:val="28"/>
          <w:szCs w:val="28"/>
          <w:lang w:val="es-ES"/>
        </w:rPr>
        <w:t>uidas en leyes permanentes”</w:t>
      </w:r>
      <w:r w:rsidRPr="00527F3E">
        <w:rPr>
          <w:rFonts w:ascii="Times New Roman" w:eastAsia="Times New Roman" w:hAnsi="Times New Roman" w:cs="Times New Roman"/>
          <w:color w:val="000000"/>
          <w:sz w:val="28"/>
          <w:szCs w:val="28"/>
          <w:vertAlign w:val="superscript"/>
          <w:lang w:val="es-ES"/>
        </w:rPr>
        <w:footnoteReference w:id="87"/>
      </w:r>
      <w:r w:rsidRPr="00527F3E">
        <w:rPr>
          <w:rFonts w:ascii="Times New Roman" w:eastAsia="Times New Roman" w:hAnsi="Times New Roman" w:cs="Times New Roman"/>
          <w:color w:val="000000"/>
          <w:sz w:val="28"/>
          <w:szCs w:val="28"/>
          <w:lang w:val="es-ES"/>
        </w:rPr>
        <w:t>. Dicho de otro modo, para que se tenga por cumplido el principio de unidad de materia en las leyes anuales de presupuesto “deben acreditarse tres parámetros específicos: el vínculo con la materia presupuestal, la prohibición de</w:t>
      </w:r>
      <w:r w:rsidRPr="00527F3E">
        <w:rPr>
          <w:rFonts w:ascii="Times New Roman" w:eastAsia="Times New Roman" w:hAnsi="Times New Roman" w:cs="Times New Roman"/>
          <w:color w:val="000000"/>
          <w:sz w:val="28"/>
          <w:szCs w:val="28"/>
          <w:lang w:val="es-ES"/>
        </w:rPr>
        <w:t xml:space="preserve"> modificar materias sustantivas y el cumplimiento del requisito de temporalidad”</w:t>
      </w:r>
      <w:r w:rsidRPr="00527F3E">
        <w:rPr>
          <w:rFonts w:ascii="Times New Roman" w:eastAsia="Times New Roman" w:hAnsi="Times New Roman" w:cs="Times New Roman"/>
          <w:color w:val="000000"/>
          <w:sz w:val="28"/>
          <w:szCs w:val="28"/>
          <w:vertAlign w:val="superscript"/>
          <w:lang w:val="es-ES"/>
        </w:rPr>
        <w:footnoteReference w:id="88"/>
      </w:r>
      <w:r w:rsidRPr="00527F3E">
        <w:rPr>
          <w:rFonts w:ascii="Times New Roman" w:eastAsia="Times New Roman" w:hAnsi="Times New Roman" w:cs="Times New Roman"/>
          <w:color w:val="000000"/>
          <w:sz w:val="28"/>
          <w:szCs w:val="28"/>
          <w:lang w:val="es-ES"/>
        </w:rPr>
        <w:t xml:space="preserve">. </w:t>
      </w:r>
    </w:p>
    <w:p w:rsidR="00B9678A" w:rsidRPr="00527F3E" w:rsidRDefault="00527F3E" w:rsidP="00656A25">
      <w:pPr>
        <w:spacing w:line="240" w:lineRule="auto"/>
        <w:contextualSpacing/>
        <w:jc w:val="both"/>
        <w:rPr>
          <w:rFonts w:ascii="Times New Roman" w:eastAsia="Times New Roman" w:hAnsi="Times New Roman" w:cs="Times New Roman"/>
          <w:color w:val="000000"/>
          <w:sz w:val="28"/>
          <w:szCs w:val="28"/>
          <w:lang w:val="es-ES"/>
        </w:rPr>
      </w:pPr>
    </w:p>
    <w:p w:rsidR="00B9678A" w:rsidRPr="00527F3E" w:rsidRDefault="00527F3E" w:rsidP="00656A25">
      <w:pPr>
        <w:numPr>
          <w:ilvl w:val="0"/>
          <w:numId w:val="1"/>
        </w:numPr>
        <w:spacing w:after="0" w:line="240" w:lineRule="auto"/>
        <w:ind w:left="0" w:firstLine="0"/>
        <w:contextualSpacing/>
        <w:jc w:val="both"/>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La jurisprudencia constitucional ha considerado incumplidas estas exigencias, entre otros eventos, cuando la ley anual de presupuesto o las leyes que la adicionan</w:t>
      </w:r>
      <w:r w:rsidRPr="00527F3E">
        <w:rPr>
          <w:rFonts w:ascii="Times New Roman" w:eastAsia="Times New Roman" w:hAnsi="Times New Roman" w:cs="Times New Roman"/>
          <w:color w:val="000000"/>
          <w:sz w:val="28"/>
          <w:szCs w:val="28"/>
          <w:vertAlign w:val="superscript"/>
          <w:lang w:val="es-ES"/>
        </w:rPr>
        <w:footnoteReference w:id="89"/>
      </w:r>
      <w:r w:rsidRPr="00527F3E">
        <w:rPr>
          <w:rFonts w:ascii="Times New Roman" w:eastAsia="Times New Roman" w:hAnsi="Times New Roman" w:cs="Times New Roman"/>
          <w:color w:val="000000"/>
          <w:sz w:val="28"/>
          <w:szCs w:val="28"/>
          <w:lang w:val="es-ES"/>
        </w:rPr>
        <w:t>:</w:t>
      </w:r>
    </w:p>
    <w:p w:rsidR="00B9678A" w:rsidRPr="00527F3E" w:rsidRDefault="00527F3E" w:rsidP="00656A25">
      <w:pPr>
        <w:spacing w:line="240" w:lineRule="auto"/>
        <w:contextualSpacing/>
        <w:jc w:val="both"/>
        <w:rPr>
          <w:rFonts w:ascii="Times New Roman" w:eastAsia="Times New Roman" w:hAnsi="Times New Roman" w:cs="Times New Roman"/>
          <w:color w:val="000000"/>
          <w:sz w:val="28"/>
          <w:szCs w:val="28"/>
          <w:lang w:val="es-ES"/>
        </w:rPr>
      </w:pPr>
    </w:p>
    <w:p w:rsidR="00B9678A" w:rsidRPr="00527F3E" w:rsidRDefault="00527F3E" w:rsidP="00656A25">
      <w:pPr>
        <w:numPr>
          <w:ilvl w:val="0"/>
          <w:numId w:val="2"/>
        </w:numPr>
        <w:spacing w:after="0" w:line="240" w:lineRule="auto"/>
        <w:ind w:left="0" w:firstLine="0"/>
        <w:contextualSpacing/>
        <w:jc w:val="both"/>
        <w:rPr>
          <w:rFonts w:ascii="Times New Roman" w:eastAsia="Times New Roman" w:hAnsi="Times New Roman" w:cs="Times New Roman"/>
          <w:color w:val="000000"/>
          <w:sz w:val="28"/>
          <w:szCs w:val="28"/>
          <w:lang w:val="es-ES"/>
        </w:rPr>
      </w:pPr>
      <w:bookmarkStart w:id="5" w:name="_Hlk164244526"/>
      <w:r w:rsidRPr="00527F3E">
        <w:rPr>
          <w:rFonts w:ascii="Times New Roman" w:eastAsia="Times New Roman" w:hAnsi="Times New Roman" w:cs="Times New Roman"/>
          <w:color w:val="000000"/>
          <w:sz w:val="28"/>
          <w:szCs w:val="28"/>
          <w:lang w:val="es-ES"/>
        </w:rPr>
        <w:t>Intro</w:t>
      </w:r>
      <w:r w:rsidRPr="00527F3E">
        <w:rPr>
          <w:rFonts w:ascii="Times New Roman" w:eastAsia="Times New Roman" w:hAnsi="Times New Roman" w:cs="Times New Roman"/>
          <w:color w:val="000000"/>
          <w:sz w:val="28"/>
          <w:szCs w:val="28"/>
          <w:lang w:val="es-ES"/>
        </w:rPr>
        <w:t xml:space="preserve">ducen normas que rebasan los límites temporales, al modificar otras reglas que hacen parte de leyes de carácter permanente, estén o no relacionadas con la materia </w:t>
      </w:r>
      <w:r w:rsidRPr="00527F3E">
        <w:rPr>
          <w:rFonts w:ascii="Times New Roman" w:eastAsia="Times New Roman" w:hAnsi="Times New Roman" w:cs="Times New Roman"/>
          <w:sz w:val="28"/>
          <w:szCs w:val="28"/>
          <w:lang w:val="es-MX"/>
        </w:rPr>
        <w:t>propia de la ley anual de presupuesto (C-039 de 1994</w:t>
      </w:r>
      <w:r w:rsidRPr="00527F3E">
        <w:rPr>
          <w:rFonts w:ascii="Times New Roman" w:eastAsia="Times New Roman" w:hAnsi="Times New Roman" w:cs="Times New Roman"/>
          <w:sz w:val="28"/>
          <w:szCs w:val="28"/>
          <w:vertAlign w:val="superscript"/>
          <w:lang w:val="es-MX"/>
        </w:rPr>
        <w:footnoteReference w:id="90"/>
      </w:r>
      <w:r w:rsidRPr="00527F3E">
        <w:rPr>
          <w:rFonts w:ascii="Times New Roman" w:eastAsia="Times New Roman" w:hAnsi="Times New Roman" w:cs="Times New Roman"/>
          <w:sz w:val="28"/>
          <w:szCs w:val="28"/>
          <w:lang w:val="es-MX"/>
        </w:rPr>
        <w:t>, C-177 de 2002</w:t>
      </w:r>
      <w:r w:rsidRPr="00527F3E">
        <w:rPr>
          <w:rFonts w:ascii="Times New Roman" w:eastAsia="Times New Roman" w:hAnsi="Times New Roman" w:cs="Times New Roman"/>
          <w:sz w:val="28"/>
          <w:szCs w:val="28"/>
          <w:vertAlign w:val="superscript"/>
          <w:lang w:val="es-MX"/>
        </w:rPr>
        <w:footnoteReference w:id="91"/>
      </w:r>
      <w:r w:rsidRPr="00527F3E">
        <w:rPr>
          <w:rFonts w:ascii="Times New Roman" w:eastAsia="Times New Roman" w:hAnsi="Times New Roman" w:cs="Times New Roman"/>
          <w:sz w:val="28"/>
          <w:szCs w:val="28"/>
          <w:lang w:val="es-MX"/>
        </w:rPr>
        <w:t>, C-704 de 2015</w:t>
      </w:r>
      <w:r w:rsidRPr="00527F3E">
        <w:rPr>
          <w:rFonts w:ascii="Times New Roman" w:eastAsia="Times New Roman" w:hAnsi="Times New Roman" w:cs="Times New Roman"/>
          <w:sz w:val="28"/>
          <w:szCs w:val="28"/>
          <w:vertAlign w:val="superscript"/>
          <w:lang w:val="es-MX"/>
        </w:rPr>
        <w:footnoteReference w:id="92"/>
      </w:r>
      <w:r w:rsidRPr="00527F3E">
        <w:rPr>
          <w:rFonts w:ascii="Times New Roman" w:eastAsia="Times New Roman" w:hAnsi="Times New Roman" w:cs="Times New Roman"/>
          <w:sz w:val="28"/>
          <w:szCs w:val="28"/>
          <w:lang w:val="es-MX"/>
        </w:rPr>
        <w:t xml:space="preserve">, C-438 </w:t>
      </w:r>
      <w:r w:rsidRPr="00527F3E">
        <w:rPr>
          <w:rFonts w:ascii="Times New Roman" w:eastAsia="Times New Roman" w:hAnsi="Times New Roman" w:cs="Times New Roman"/>
          <w:sz w:val="28"/>
          <w:szCs w:val="28"/>
          <w:lang w:val="es-MX"/>
        </w:rPr>
        <w:t>de 2019</w:t>
      </w:r>
      <w:r w:rsidRPr="00527F3E">
        <w:rPr>
          <w:rFonts w:ascii="Times New Roman" w:eastAsia="Times New Roman" w:hAnsi="Times New Roman" w:cs="Times New Roman"/>
          <w:sz w:val="28"/>
          <w:szCs w:val="28"/>
          <w:vertAlign w:val="superscript"/>
          <w:lang w:val="es-MX"/>
        </w:rPr>
        <w:footnoteReference w:id="93"/>
      </w:r>
      <w:r w:rsidRPr="00527F3E">
        <w:rPr>
          <w:rFonts w:ascii="Times New Roman" w:eastAsia="Times New Roman" w:hAnsi="Times New Roman" w:cs="Times New Roman"/>
          <w:sz w:val="28"/>
          <w:szCs w:val="28"/>
          <w:lang w:val="es-MX"/>
        </w:rPr>
        <w:t xml:space="preserve"> y C-178 de 2021</w:t>
      </w:r>
      <w:r w:rsidRPr="00527F3E">
        <w:rPr>
          <w:rFonts w:ascii="Times New Roman" w:eastAsia="Times New Roman" w:hAnsi="Times New Roman" w:cs="Times New Roman"/>
          <w:sz w:val="28"/>
          <w:szCs w:val="28"/>
          <w:vertAlign w:val="superscript"/>
          <w:lang w:val="es-MX"/>
        </w:rPr>
        <w:footnoteReference w:id="94"/>
      </w:r>
      <w:r w:rsidRPr="00527F3E">
        <w:rPr>
          <w:rFonts w:ascii="Times New Roman" w:eastAsia="Times New Roman" w:hAnsi="Times New Roman" w:cs="Times New Roman"/>
          <w:sz w:val="28"/>
          <w:szCs w:val="28"/>
          <w:lang w:val="es-MX"/>
        </w:rPr>
        <w:t>, entre otras).</w:t>
      </w:r>
    </w:p>
    <w:p w:rsidR="00B9678A" w:rsidRPr="00527F3E" w:rsidRDefault="00527F3E" w:rsidP="00656A25">
      <w:pPr>
        <w:spacing w:after="0" w:line="240" w:lineRule="auto"/>
        <w:contextualSpacing/>
        <w:jc w:val="both"/>
        <w:rPr>
          <w:rFonts w:ascii="Times New Roman" w:eastAsia="Times New Roman" w:hAnsi="Times New Roman" w:cs="Times New Roman"/>
          <w:color w:val="000000"/>
          <w:sz w:val="28"/>
          <w:szCs w:val="28"/>
          <w:lang w:val="es-ES"/>
        </w:rPr>
      </w:pPr>
    </w:p>
    <w:p w:rsidR="00B9678A" w:rsidRPr="00527F3E" w:rsidRDefault="00527F3E" w:rsidP="00656A25">
      <w:pPr>
        <w:numPr>
          <w:ilvl w:val="0"/>
          <w:numId w:val="2"/>
        </w:numPr>
        <w:spacing w:after="0" w:line="240" w:lineRule="auto"/>
        <w:ind w:left="0" w:firstLine="0"/>
        <w:contextualSpacing/>
        <w:jc w:val="both"/>
        <w:rPr>
          <w:rFonts w:ascii="Times New Roman" w:eastAsia="Times New Roman" w:hAnsi="Times New Roman" w:cs="Times New Roman"/>
          <w:sz w:val="28"/>
          <w:szCs w:val="28"/>
          <w:lang w:val="es-MX"/>
        </w:rPr>
      </w:pPr>
      <w:r w:rsidRPr="00527F3E">
        <w:rPr>
          <w:rFonts w:ascii="Times New Roman" w:eastAsia="Times New Roman" w:hAnsi="Times New Roman" w:cs="Times New Roman"/>
          <w:sz w:val="28"/>
          <w:szCs w:val="28"/>
          <w:lang w:val="es-MX"/>
        </w:rPr>
        <w:t>Incluyen normas que regula competencias permanentes a instituciones en materia de control, incluso si se trata de un tipo de control estrechamente vinculado con el presupuesto (C-803 de 2003</w:t>
      </w:r>
      <w:r w:rsidRPr="00527F3E">
        <w:rPr>
          <w:rFonts w:ascii="Times New Roman" w:eastAsia="Times New Roman" w:hAnsi="Times New Roman" w:cs="Times New Roman"/>
          <w:sz w:val="28"/>
          <w:szCs w:val="28"/>
          <w:vertAlign w:val="superscript"/>
          <w:lang w:val="es-ES"/>
        </w:rPr>
        <w:footnoteReference w:id="95"/>
      </w:r>
      <w:r w:rsidRPr="00527F3E">
        <w:rPr>
          <w:rFonts w:ascii="Times New Roman" w:eastAsia="Times New Roman" w:hAnsi="Times New Roman" w:cs="Times New Roman"/>
          <w:sz w:val="28"/>
          <w:szCs w:val="28"/>
          <w:lang w:val="es-MX"/>
        </w:rPr>
        <w:t xml:space="preserve">), o establecen formas </w:t>
      </w:r>
      <w:r w:rsidRPr="00527F3E">
        <w:rPr>
          <w:rFonts w:ascii="Times New Roman" w:eastAsia="Times New Roman" w:hAnsi="Times New Roman" w:cs="Times New Roman"/>
          <w:sz w:val="28"/>
          <w:szCs w:val="28"/>
          <w:lang w:val="es-MX"/>
        </w:rPr>
        <w:t>de responsabilidad patrimonial fiscal contra funcionarios judiciales que decreten embargos sobre los recursos presupuestales (C-402 de 1997</w:t>
      </w:r>
      <w:r w:rsidRPr="00527F3E">
        <w:rPr>
          <w:rFonts w:ascii="Times New Roman" w:eastAsia="Times New Roman" w:hAnsi="Times New Roman" w:cs="Times New Roman"/>
          <w:sz w:val="28"/>
          <w:szCs w:val="28"/>
          <w:vertAlign w:val="superscript"/>
          <w:lang w:val="es-MX"/>
        </w:rPr>
        <w:footnoteReference w:id="96"/>
      </w:r>
      <w:r w:rsidRPr="00527F3E">
        <w:rPr>
          <w:rFonts w:ascii="Times New Roman" w:eastAsia="Times New Roman" w:hAnsi="Times New Roman" w:cs="Times New Roman"/>
          <w:sz w:val="28"/>
          <w:szCs w:val="28"/>
          <w:lang w:val="es-MX"/>
        </w:rPr>
        <w:t>).</w:t>
      </w:r>
    </w:p>
    <w:p w:rsidR="00B9678A" w:rsidRPr="00527F3E" w:rsidRDefault="00527F3E" w:rsidP="00B9678A">
      <w:pPr>
        <w:spacing w:line="240" w:lineRule="auto"/>
        <w:ind w:left="720"/>
        <w:contextualSpacing/>
        <w:jc w:val="both"/>
        <w:rPr>
          <w:rFonts w:ascii="Times New Roman" w:eastAsia="Times New Roman" w:hAnsi="Times New Roman" w:cs="Times New Roman"/>
          <w:sz w:val="28"/>
          <w:szCs w:val="28"/>
          <w:lang w:val="es-MX"/>
        </w:rPr>
      </w:pPr>
    </w:p>
    <w:p w:rsidR="00B9678A" w:rsidRPr="00527F3E" w:rsidRDefault="00527F3E" w:rsidP="00923437">
      <w:pPr>
        <w:numPr>
          <w:ilvl w:val="0"/>
          <w:numId w:val="2"/>
        </w:numPr>
        <w:spacing w:after="0" w:line="240" w:lineRule="auto"/>
        <w:ind w:left="0" w:firstLine="0"/>
        <w:contextualSpacing/>
        <w:jc w:val="both"/>
        <w:rPr>
          <w:rFonts w:ascii="Times New Roman" w:eastAsia="Times New Roman" w:hAnsi="Times New Roman" w:cs="Times New Roman"/>
          <w:sz w:val="28"/>
          <w:szCs w:val="28"/>
          <w:lang w:val="es-MX"/>
        </w:rPr>
      </w:pPr>
      <w:r w:rsidRPr="00527F3E">
        <w:rPr>
          <w:rFonts w:ascii="Times New Roman" w:eastAsia="Times New Roman" w:hAnsi="Times New Roman" w:cs="Times New Roman"/>
          <w:sz w:val="28"/>
          <w:szCs w:val="28"/>
          <w:lang w:val="es-MX"/>
        </w:rPr>
        <w:t>Prorrogan la vigencia de normas “cuya naturaleza es extraña a la ley anual de presupuesto”, incluidas en una ley</w:t>
      </w:r>
      <w:r w:rsidRPr="00527F3E">
        <w:rPr>
          <w:rFonts w:ascii="Times New Roman" w:eastAsia="Times New Roman" w:hAnsi="Times New Roman" w:cs="Times New Roman"/>
          <w:sz w:val="28"/>
          <w:szCs w:val="28"/>
          <w:lang w:val="es-MX"/>
        </w:rPr>
        <w:t xml:space="preserve"> autónoma e independiente, que ya habían sido prorrogadas a su vez mediante otra ley (C-457 de 2006</w:t>
      </w:r>
      <w:r w:rsidRPr="00527F3E">
        <w:rPr>
          <w:rFonts w:ascii="Times New Roman" w:eastAsia="Times New Roman" w:hAnsi="Times New Roman" w:cs="Times New Roman"/>
          <w:sz w:val="28"/>
          <w:szCs w:val="28"/>
          <w:vertAlign w:val="superscript"/>
          <w:lang w:val="es-ES"/>
        </w:rPr>
        <w:footnoteReference w:id="97"/>
      </w:r>
      <w:r w:rsidRPr="00527F3E">
        <w:rPr>
          <w:rFonts w:ascii="Times New Roman" w:eastAsia="Times New Roman" w:hAnsi="Times New Roman" w:cs="Times New Roman"/>
          <w:sz w:val="28"/>
          <w:szCs w:val="28"/>
          <w:lang w:val="es-MX"/>
        </w:rPr>
        <w:t xml:space="preserve">).  </w:t>
      </w:r>
    </w:p>
    <w:p w:rsidR="00B9678A" w:rsidRPr="00527F3E" w:rsidRDefault="00527F3E" w:rsidP="005F6E58">
      <w:pPr>
        <w:spacing w:line="240" w:lineRule="auto"/>
        <w:contextualSpacing/>
        <w:jc w:val="both"/>
        <w:rPr>
          <w:rFonts w:ascii="Times New Roman" w:eastAsia="Times New Roman" w:hAnsi="Times New Roman" w:cs="Times New Roman"/>
          <w:sz w:val="28"/>
          <w:szCs w:val="28"/>
          <w:lang w:val="es-MX"/>
        </w:rPr>
      </w:pPr>
    </w:p>
    <w:p w:rsidR="00B9678A" w:rsidRPr="00527F3E" w:rsidRDefault="00527F3E" w:rsidP="005F6E58">
      <w:pPr>
        <w:numPr>
          <w:ilvl w:val="0"/>
          <w:numId w:val="2"/>
        </w:numPr>
        <w:spacing w:after="0" w:line="240" w:lineRule="auto"/>
        <w:ind w:left="0" w:firstLine="0"/>
        <w:contextualSpacing/>
        <w:jc w:val="both"/>
        <w:rPr>
          <w:rFonts w:ascii="Times New Roman" w:eastAsia="Times New Roman" w:hAnsi="Times New Roman" w:cs="Times New Roman"/>
          <w:sz w:val="28"/>
          <w:szCs w:val="28"/>
          <w:lang w:val="es-MX"/>
        </w:rPr>
      </w:pPr>
      <w:r w:rsidRPr="00527F3E">
        <w:rPr>
          <w:rFonts w:ascii="Times New Roman" w:eastAsia="Times New Roman" w:hAnsi="Times New Roman" w:cs="Times New Roman"/>
          <w:sz w:val="28"/>
          <w:szCs w:val="28"/>
          <w:lang w:val="es-MX"/>
        </w:rPr>
        <w:t>Fijan derechos y garantías de carácter sustantivo con vocación de permanencia – por ejemplo, en el ámbito de la seguridad social – mediante normas que</w:t>
      </w:r>
      <w:r w:rsidRPr="00527F3E">
        <w:rPr>
          <w:rFonts w:ascii="Times New Roman" w:eastAsia="Times New Roman" w:hAnsi="Times New Roman" w:cs="Times New Roman"/>
          <w:sz w:val="28"/>
          <w:szCs w:val="28"/>
          <w:lang w:val="es-MX"/>
        </w:rPr>
        <w:t xml:space="preserve"> no son presupuestarias ni tampoco constituyen herramientas orientadas a asegurar o facilitar la ejecución del presupuesto nacional (C-039 de 1994, C-668 de 2006</w:t>
      </w:r>
      <w:r w:rsidRPr="00527F3E">
        <w:rPr>
          <w:rFonts w:ascii="Times New Roman" w:eastAsia="Times New Roman" w:hAnsi="Times New Roman" w:cs="Times New Roman"/>
          <w:sz w:val="28"/>
          <w:szCs w:val="28"/>
          <w:vertAlign w:val="superscript"/>
          <w:lang w:val="es-ES"/>
        </w:rPr>
        <w:footnoteReference w:id="98"/>
      </w:r>
      <w:r w:rsidRPr="00527F3E">
        <w:rPr>
          <w:rFonts w:ascii="Times New Roman" w:eastAsia="Times New Roman" w:hAnsi="Times New Roman" w:cs="Times New Roman"/>
          <w:sz w:val="28"/>
          <w:szCs w:val="28"/>
          <w:lang w:val="es-MX"/>
        </w:rPr>
        <w:t>), o a través de las cuales se disponen recursos presupuestales para la creación de un Fondo d</w:t>
      </w:r>
      <w:r w:rsidRPr="00527F3E">
        <w:rPr>
          <w:rFonts w:ascii="Times New Roman" w:eastAsia="Times New Roman" w:hAnsi="Times New Roman" w:cs="Times New Roman"/>
          <w:sz w:val="28"/>
          <w:szCs w:val="28"/>
          <w:lang w:val="es-MX"/>
        </w:rPr>
        <w:t>e Seguridad del Congreso de la República durante una vigencia fiscal determinada (</w:t>
      </w:r>
      <w:r w:rsidRPr="00527F3E">
        <w:rPr>
          <w:rFonts w:ascii="Times New Roman" w:eastAsia="Times New Roman" w:hAnsi="Times New Roman" w:cs="Times New Roman"/>
          <w:color w:val="000000"/>
          <w:sz w:val="28"/>
          <w:szCs w:val="28"/>
          <w:lang w:val="es-ES"/>
        </w:rPr>
        <w:t>C-562 de 1998</w:t>
      </w:r>
      <w:r w:rsidRPr="00527F3E">
        <w:rPr>
          <w:rFonts w:ascii="Times New Roman" w:eastAsia="Times New Roman" w:hAnsi="Times New Roman" w:cs="Times New Roman"/>
          <w:color w:val="000000"/>
          <w:sz w:val="28"/>
          <w:szCs w:val="28"/>
          <w:vertAlign w:val="superscript"/>
          <w:lang w:val="es-ES"/>
        </w:rPr>
        <w:footnoteReference w:id="99"/>
      </w:r>
      <w:r w:rsidRPr="00527F3E">
        <w:rPr>
          <w:rFonts w:ascii="Times New Roman" w:eastAsia="Times New Roman" w:hAnsi="Times New Roman" w:cs="Times New Roman"/>
          <w:color w:val="000000"/>
          <w:sz w:val="28"/>
          <w:szCs w:val="28"/>
          <w:lang w:val="es-ES"/>
        </w:rPr>
        <w:t>)</w:t>
      </w:r>
      <w:r w:rsidRPr="00527F3E">
        <w:rPr>
          <w:rFonts w:ascii="Times New Roman" w:eastAsia="Times New Roman" w:hAnsi="Times New Roman" w:cs="Times New Roman"/>
          <w:sz w:val="28"/>
          <w:szCs w:val="28"/>
          <w:lang w:val="es-MX"/>
        </w:rPr>
        <w:t>.</w:t>
      </w:r>
    </w:p>
    <w:p w:rsidR="00B9678A" w:rsidRPr="00527F3E" w:rsidRDefault="00527F3E" w:rsidP="005F6E58">
      <w:pPr>
        <w:spacing w:line="240" w:lineRule="auto"/>
        <w:contextualSpacing/>
        <w:jc w:val="both"/>
        <w:rPr>
          <w:rFonts w:ascii="Times New Roman" w:eastAsia="Times New Roman" w:hAnsi="Times New Roman" w:cs="Times New Roman"/>
          <w:sz w:val="28"/>
          <w:szCs w:val="28"/>
          <w:lang w:val="es-MX"/>
        </w:rPr>
      </w:pPr>
    </w:p>
    <w:p w:rsidR="00B9678A" w:rsidRPr="00527F3E" w:rsidRDefault="00527F3E" w:rsidP="005F6E58">
      <w:pPr>
        <w:numPr>
          <w:ilvl w:val="0"/>
          <w:numId w:val="2"/>
        </w:numPr>
        <w:spacing w:after="0" w:line="240" w:lineRule="auto"/>
        <w:ind w:left="0" w:firstLine="0"/>
        <w:contextualSpacing/>
        <w:jc w:val="both"/>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sz w:val="28"/>
          <w:szCs w:val="28"/>
          <w:lang w:val="es-MX"/>
        </w:rPr>
        <w:t>Regulan materias propias de una ley estatutaria, como los asuntos relacionados con la financiación de las campañas políticas (C-515 de 2004</w:t>
      </w:r>
      <w:r w:rsidRPr="00527F3E">
        <w:rPr>
          <w:rFonts w:ascii="Times New Roman" w:eastAsia="Times New Roman" w:hAnsi="Times New Roman" w:cs="Times New Roman"/>
          <w:sz w:val="28"/>
          <w:szCs w:val="28"/>
          <w:vertAlign w:val="superscript"/>
          <w:lang w:val="es-ES"/>
        </w:rPr>
        <w:footnoteReference w:id="100"/>
      </w:r>
      <w:r w:rsidRPr="00527F3E">
        <w:rPr>
          <w:rFonts w:ascii="Times New Roman" w:eastAsia="Times New Roman" w:hAnsi="Times New Roman" w:cs="Times New Roman"/>
          <w:sz w:val="28"/>
          <w:szCs w:val="28"/>
          <w:lang w:val="es-MX"/>
        </w:rPr>
        <w:t>) o las restricc</w:t>
      </w:r>
      <w:r w:rsidRPr="00527F3E">
        <w:rPr>
          <w:rFonts w:ascii="Times New Roman" w:eastAsia="Times New Roman" w:hAnsi="Times New Roman" w:cs="Times New Roman"/>
          <w:sz w:val="28"/>
          <w:szCs w:val="28"/>
          <w:lang w:val="es-MX"/>
        </w:rPr>
        <w:t>iones a la contratación pública en épocas preelectorales (C-153 de 2022</w:t>
      </w:r>
      <w:r w:rsidRPr="00527F3E">
        <w:rPr>
          <w:rFonts w:ascii="Times New Roman" w:eastAsia="Times New Roman" w:hAnsi="Times New Roman" w:cs="Times New Roman"/>
          <w:sz w:val="28"/>
          <w:szCs w:val="28"/>
          <w:vertAlign w:val="superscript"/>
          <w:lang w:val="es-MX"/>
        </w:rPr>
        <w:footnoteReference w:id="101"/>
      </w:r>
      <w:r w:rsidRPr="00527F3E">
        <w:rPr>
          <w:rFonts w:ascii="Times New Roman" w:eastAsia="Times New Roman" w:hAnsi="Times New Roman" w:cs="Times New Roman"/>
          <w:sz w:val="28"/>
          <w:szCs w:val="28"/>
          <w:lang w:val="es-MX"/>
        </w:rPr>
        <w:t xml:space="preserve">). </w:t>
      </w:r>
    </w:p>
    <w:p w:rsidR="00B9678A" w:rsidRPr="00527F3E" w:rsidRDefault="00527F3E" w:rsidP="00923437">
      <w:pPr>
        <w:spacing w:after="0" w:line="240" w:lineRule="auto"/>
        <w:jc w:val="both"/>
        <w:rPr>
          <w:rFonts w:ascii="Times New Roman" w:eastAsia="Times New Roman" w:hAnsi="Times New Roman" w:cs="Times New Roman"/>
          <w:color w:val="000000"/>
          <w:sz w:val="28"/>
          <w:szCs w:val="28"/>
          <w:lang w:eastAsia="es-ES_tradnl"/>
        </w:rPr>
      </w:pPr>
    </w:p>
    <w:p w:rsidR="00B9678A" w:rsidRPr="00527F3E" w:rsidRDefault="00527F3E" w:rsidP="005C4836">
      <w:pPr>
        <w:numPr>
          <w:ilvl w:val="0"/>
          <w:numId w:val="2"/>
        </w:numPr>
        <w:spacing w:after="0" w:line="240" w:lineRule="auto"/>
        <w:ind w:left="0" w:firstLine="0"/>
        <w:contextualSpacing/>
        <w:jc w:val="both"/>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sz w:val="28"/>
          <w:szCs w:val="28"/>
          <w:lang w:val="es-ES"/>
        </w:rPr>
        <w:t xml:space="preserve">Modifican normas orgánicas del presupuesto al establecer un </w:t>
      </w:r>
      <w:r w:rsidRPr="00527F3E">
        <w:rPr>
          <w:rFonts w:ascii="Times New Roman" w:eastAsia="Times New Roman" w:hAnsi="Times New Roman" w:cs="Times New Roman"/>
          <w:color w:val="000000"/>
          <w:sz w:val="28"/>
          <w:szCs w:val="28"/>
          <w:lang w:val="es-ES"/>
        </w:rPr>
        <w:t>procedimiento especial de control de las contribuciones parafiscales (C-052 de 2015</w:t>
      </w:r>
      <w:r w:rsidRPr="00527F3E">
        <w:rPr>
          <w:rFonts w:ascii="Times New Roman" w:eastAsia="Times New Roman" w:hAnsi="Times New Roman" w:cs="Times New Roman"/>
          <w:color w:val="000000"/>
          <w:sz w:val="28"/>
          <w:szCs w:val="28"/>
          <w:vertAlign w:val="superscript"/>
          <w:lang w:val="es-ES"/>
        </w:rPr>
        <w:footnoteReference w:id="102"/>
      </w:r>
      <w:r w:rsidRPr="00527F3E">
        <w:rPr>
          <w:rFonts w:ascii="Times New Roman" w:eastAsia="Times New Roman" w:hAnsi="Times New Roman" w:cs="Times New Roman"/>
          <w:color w:val="000000"/>
          <w:sz w:val="28"/>
          <w:szCs w:val="28"/>
          <w:lang w:val="es-ES"/>
        </w:rPr>
        <w:t xml:space="preserve">) o fijar reglas a futuro para la </w:t>
      </w:r>
      <w:r w:rsidRPr="00527F3E">
        <w:rPr>
          <w:rFonts w:ascii="Times New Roman" w:eastAsia="Times New Roman" w:hAnsi="Times New Roman" w:cs="Times New Roman"/>
          <w:color w:val="000000"/>
          <w:sz w:val="28"/>
          <w:szCs w:val="28"/>
          <w:lang w:val="es-ES"/>
        </w:rPr>
        <w:t>preparación, aprobación y ejecución del presupuesto de rentas de las siguientes vigencias fiscales (C-142 de 2015</w:t>
      </w:r>
      <w:r w:rsidRPr="00527F3E">
        <w:rPr>
          <w:rFonts w:ascii="Times New Roman" w:eastAsia="Times New Roman" w:hAnsi="Times New Roman" w:cs="Times New Roman"/>
          <w:color w:val="000000"/>
          <w:sz w:val="28"/>
          <w:szCs w:val="28"/>
          <w:vertAlign w:val="superscript"/>
          <w:lang w:val="es-ES"/>
        </w:rPr>
        <w:footnoteReference w:id="103"/>
      </w:r>
      <w:r w:rsidRPr="00527F3E">
        <w:rPr>
          <w:rFonts w:ascii="Times New Roman" w:eastAsia="Times New Roman" w:hAnsi="Times New Roman" w:cs="Times New Roman"/>
          <w:color w:val="000000"/>
          <w:sz w:val="28"/>
          <w:szCs w:val="28"/>
          <w:lang w:val="es-ES"/>
        </w:rPr>
        <w:t>).</w:t>
      </w:r>
    </w:p>
    <w:p w:rsidR="00B9678A" w:rsidRPr="00527F3E" w:rsidRDefault="00527F3E" w:rsidP="005F6E58">
      <w:pPr>
        <w:spacing w:line="240" w:lineRule="auto"/>
        <w:contextualSpacing/>
        <w:jc w:val="both"/>
        <w:rPr>
          <w:rFonts w:ascii="Times New Roman" w:eastAsia="Times New Roman" w:hAnsi="Times New Roman" w:cs="Times New Roman"/>
          <w:color w:val="000000"/>
          <w:sz w:val="28"/>
          <w:szCs w:val="28"/>
          <w:lang w:val="es-ES"/>
        </w:rPr>
      </w:pPr>
    </w:p>
    <w:p w:rsidR="00B9678A" w:rsidRPr="00527F3E" w:rsidRDefault="00527F3E" w:rsidP="005C4836">
      <w:pPr>
        <w:numPr>
          <w:ilvl w:val="0"/>
          <w:numId w:val="2"/>
        </w:numPr>
        <w:spacing w:after="0" w:line="240" w:lineRule="auto"/>
        <w:ind w:left="0" w:firstLine="0"/>
        <w:contextualSpacing/>
        <w:jc w:val="both"/>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Modifican normas relativas al plazo y el interés de mora por incumplimiento en el pago de cesantías de los docentes del magisterio (C-486 </w:t>
      </w:r>
      <w:r w:rsidRPr="00527F3E">
        <w:rPr>
          <w:rFonts w:ascii="Times New Roman" w:eastAsia="Times New Roman" w:hAnsi="Times New Roman" w:cs="Times New Roman"/>
          <w:color w:val="000000"/>
          <w:sz w:val="28"/>
          <w:szCs w:val="28"/>
          <w:lang w:val="es-ES"/>
        </w:rPr>
        <w:t>de 2016</w:t>
      </w:r>
      <w:r w:rsidRPr="00527F3E">
        <w:rPr>
          <w:rFonts w:ascii="Times New Roman" w:eastAsia="Times New Roman" w:hAnsi="Times New Roman" w:cs="Times New Roman"/>
          <w:color w:val="000000"/>
          <w:sz w:val="28"/>
          <w:szCs w:val="28"/>
          <w:vertAlign w:val="superscript"/>
          <w:lang w:val="es-ES"/>
        </w:rPr>
        <w:footnoteReference w:id="104"/>
      </w:r>
      <w:r w:rsidRPr="00527F3E">
        <w:rPr>
          <w:rFonts w:ascii="Times New Roman" w:eastAsia="Times New Roman" w:hAnsi="Times New Roman" w:cs="Times New Roman"/>
          <w:color w:val="000000"/>
          <w:sz w:val="28"/>
          <w:szCs w:val="28"/>
          <w:lang w:val="es-ES"/>
        </w:rPr>
        <w:t>) o al plazo para hacer exigible el pago de condenas por el reconocimiento de prestaciones de la seguridad social (C-167 de 2021</w:t>
      </w:r>
      <w:r w:rsidRPr="00527F3E">
        <w:rPr>
          <w:rFonts w:ascii="Times New Roman" w:eastAsia="Times New Roman" w:hAnsi="Times New Roman" w:cs="Times New Roman"/>
          <w:color w:val="000000"/>
          <w:sz w:val="28"/>
          <w:szCs w:val="28"/>
          <w:vertAlign w:val="superscript"/>
          <w:lang w:val="es-ES"/>
        </w:rPr>
        <w:footnoteReference w:id="105"/>
      </w:r>
      <w:r w:rsidRPr="00527F3E">
        <w:rPr>
          <w:rFonts w:ascii="Times New Roman" w:eastAsia="Times New Roman" w:hAnsi="Times New Roman" w:cs="Times New Roman"/>
          <w:color w:val="000000"/>
          <w:sz w:val="28"/>
          <w:szCs w:val="28"/>
          <w:lang w:val="es-ES"/>
        </w:rPr>
        <w:t>).</w:t>
      </w:r>
    </w:p>
    <w:p w:rsidR="00B9678A" w:rsidRPr="00527F3E" w:rsidRDefault="00527F3E" w:rsidP="005C4836">
      <w:pPr>
        <w:spacing w:line="240" w:lineRule="auto"/>
        <w:contextualSpacing/>
        <w:jc w:val="both"/>
        <w:rPr>
          <w:rFonts w:ascii="Times New Roman" w:eastAsia="Times New Roman" w:hAnsi="Times New Roman" w:cs="Times New Roman"/>
          <w:color w:val="000000"/>
          <w:sz w:val="28"/>
          <w:szCs w:val="28"/>
          <w:lang w:val="es-ES"/>
        </w:rPr>
      </w:pPr>
    </w:p>
    <w:p w:rsidR="00B9678A" w:rsidRPr="00527F3E" w:rsidRDefault="00527F3E" w:rsidP="005C4836">
      <w:pPr>
        <w:numPr>
          <w:ilvl w:val="0"/>
          <w:numId w:val="2"/>
        </w:numPr>
        <w:spacing w:after="0" w:line="240" w:lineRule="auto"/>
        <w:ind w:left="0" w:firstLine="0"/>
        <w:contextualSpacing/>
        <w:jc w:val="both"/>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Flexibilizan los requisitos para el reconocimiento de personerías jurídicas a cajas de compensación familiar (</w:t>
      </w:r>
      <w:r w:rsidRPr="00527F3E">
        <w:rPr>
          <w:rFonts w:ascii="Times New Roman" w:eastAsia="Times New Roman" w:hAnsi="Times New Roman" w:cs="Times New Roman"/>
          <w:sz w:val="28"/>
          <w:szCs w:val="28"/>
          <w:lang w:val="es-MX"/>
        </w:rPr>
        <w:t>C-306</w:t>
      </w:r>
      <w:r w:rsidRPr="00527F3E">
        <w:rPr>
          <w:rFonts w:ascii="Times New Roman" w:eastAsia="Times New Roman" w:hAnsi="Times New Roman" w:cs="Times New Roman"/>
          <w:sz w:val="28"/>
          <w:szCs w:val="28"/>
          <w:lang w:val="es-MX"/>
        </w:rPr>
        <w:t xml:space="preserve"> de 2022</w:t>
      </w:r>
      <w:r w:rsidRPr="00527F3E">
        <w:rPr>
          <w:rFonts w:ascii="Times New Roman" w:eastAsia="Times New Roman" w:hAnsi="Times New Roman" w:cs="Times New Roman"/>
          <w:sz w:val="28"/>
          <w:szCs w:val="28"/>
          <w:vertAlign w:val="superscript"/>
          <w:lang w:val="es-MX"/>
        </w:rPr>
        <w:footnoteReference w:id="106"/>
      </w:r>
      <w:r w:rsidRPr="00527F3E">
        <w:rPr>
          <w:rFonts w:ascii="Times New Roman" w:eastAsia="Times New Roman" w:hAnsi="Times New Roman" w:cs="Times New Roman"/>
          <w:sz w:val="28"/>
          <w:szCs w:val="28"/>
          <w:lang w:val="es-MX"/>
        </w:rPr>
        <w:t>).</w:t>
      </w:r>
    </w:p>
    <w:bookmarkEnd w:id="5"/>
    <w:p w:rsidR="00B9678A" w:rsidRPr="00527F3E" w:rsidRDefault="00527F3E" w:rsidP="00B9678A">
      <w:pPr>
        <w:spacing w:line="240" w:lineRule="auto"/>
        <w:ind w:left="720"/>
        <w:contextualSpacing/>
        <w:rPr>
          <w:rFonts w:ascii="Times New Roman" w:eastAsia="Times New Roman" w:hAnsi="Times New Roman" w:cs="Times New Roman"/>
          <w:color w:val="000000"/>
          <w:sz w:val="28"/>
          <w:szCs w:val="28"/>
          <w:lang w:val="es-ES"/>
        </w:rPr>
      </w:pPr>
    </w:p>
    <w:p w:rsidR="00B9678A" w:rsidRPr="00527F3E" w:rsidRDefault="00527F3E" w:rsidP="005F6E58">
      <w:pPr>
        <w:numPr>
          <w:ilvl w:val="0"/>
          <w:numId w:val="1"/>
        </w:numPr>
        <w:spacing w:after="0" w:line="240" w:lineRule="auto"/>
        <w:ind w:left="-142" w:firstLine="142"/>
        <w:contextualSpacing/>
        <w:jc w:val="both"/>
        <w:rPr>
          <w:rFonts w:ascii="Times New Roman" w:eastAsia="Times New Roman" w:hAnsi="Times New Roman" w:cs="Times New Roman"/>
          <w:sz w:val="28"/>
          <w:szCs w:val="28"/>
          <w:lang w:val="es-MX"/>
        </w:rPr>
      </w:pPr>
      <w:r w:rsidRPr="00527F3E">
        <w:rPr>
          <w:rFonts w:ascii="Times New Roman" w:eastAsia="Times New Roman" w:hAnsi="Times New Roman" w:cs="Times New Roman"/>
          <w:sz w:val="28"/>
          <w:szCs w:val="28"/>
          <w:lang w:val="es-MX"/>
        </w:rPr>
        <w:t xml:space="preserve">Entretanto, la jurisprudencia ha estimado que no existe infracción del principio de unidad de materia en el contexto de una ley anual de presupuesto en eventos en los cuales la norma acusada: </w:t>
      </w:r>
    </w:p>
    <w:p w:rsidR="00B9678A" w:rsidRPr="00527F3E" w:rsidRDefault="00527F3E" w:rsidP="009F689D">
      <w:pPr>
        <w:spacing w:line="240" w:lineRule="auto"/>
        <w:contextualSpacing/>
        <w:jc w:val="both"/>
        <w:rPr>
          <w:rFonts w:ascii="Times New Roman" w:eastAsia="Times New Roman" w:hAnsi="Times New Roman" w:cs="Times New Roman"/>
          <w:sz w:val="28"/>
          <w:szCs w:val="28"/>
          <w:lang w:val="es-MX"/>
        </w:rPr>
      </w:pPr>
    </w:p>
    <w:p w:rsidR="00B9678A" w:rsidRPr="00527F3E" w:rsidRDefault="00527F3E" w:rsidP="009F689D">
      <w:pPr>
        <w:numPr>
          <w:ilvl w:val="0"/>
          <w:numId w:val="3"/>
        </w:numPr>
        <w:spacing w:after="0" w:line="240" w:lineRule="auto"/>
        <w:ind w:left="0" w:firstLine="0"/>
        <w:contextualSpacing/>
        <w:jc w:val="both"/>
        <w:rPr>
          <w:rFonts w:ascii="Times New Roman" w:eastAsia="Times New Roman" w:hAnsi="Times New Roman" w:cs="Times New Roman"/>
          <w:sz w:val="28"/>
          <w:szCs w:val="28"/>
          <w:lang w:val="es-ES_tradnl"/>
        </w:rPr>
      </w:pPr>
      <w:r w:rsidRPr="00527F3E">
        <w:rPr>
          <w:rFonts w:ascii="Times New Roman" w:eastAsia="Times New Roman" w:hAnsi="Times New Roman" w:cs="Times New Roman"/>
          <w:sz w:val="28"/>
          <w:szCs w:val="28"/>
          <w:lang w:val="es-MX"/>
        </w:rPr>
        <w:t xml:space="preserve">Ordena </w:t>
      </w:r>
      <w:r w:rsidRPr="00527F3E">
        <w:rPr>
          <w:rFonts w:ascii="Times New Roman" w:eastAsia="Times New Roman" w:hAnsi="Times New Roman" w:cs="Times New Roman"/>
          <w:sz w:val="28"/>
          <w:szCs w:val="28"/>
          <w:lang w:val="es-ES_tradnl"/>
        </w:rPr>
        <w:t xml:space="preserve">un trámite a los funcionarios que reciban </w:t>
      </w:r>
      <w:r w:rsidRPr="00527F3E">
        <w:rPr>
          <w:rFonts w:ascii="Times New Roman" w:eastAsia="Times New Roman" w:hAnsi="Times New Roman" w:cs="Times New Roman"/>
          <w:sz w:val="28"/>
          <w:szCs w:val="28"/>
          <w:lang w:val="es-ES_tradnl"/>
        </w:rPr>
        <w:t>una orden de embargo de recursos presupuestales (C-402 de 1997</w:t>
      </w:r>
      <w:r w:rsidRPr="00527F3E">
        <w:rPr>
          <w:rFonts w:ascii="Times New Roman" w:eastAsia="Times New Roman" w:hAnsi="Times New Roman" w:cs="Times New Roman"/>
          <w:sz w:val="28"/>
          <w:szCs w:val="28"/>
          <w:vertAlign w:val="superscript"/>
          <w:lang w:val="es-ES"/>
        </w:rPr>
        <w:footnoteReference w:id="107"/>
      </w:r>
      <w:r w:rsidRPr="00527F3E">
        <w:rPr>
          <w:rFonts w:ascii="Times New Roman" w:eastAsia="Times New Roman" w:hAnsi="Times New Roman" w:cs="Times New Roman"/>
          <w:sz w:val="28"/>
          <w:szCs w:val="28"/>
          <w:lang w:val="es-ES_tradnl"/>
        </w:rPr>
        <w:t>).</w:t>
      </w:r>
    </w:p>
    <w:p w:rsidR="00B9678A" w:rsidRPr="00527F3E" w:rsidRDefault="00527F3E" w:rsidP="009F689D">
      <w:pPr>
        <w:spacing w:line="240" w:lineRule="auto"/>
        <w:contextualSpacing/>
        <w:jc w:val="both"/>
        <w:rPr>
          <w:rFonts w:ascii="Times New Roman" w:eastAsia="Times New Roman" w:hAnsi="Times New Roman" w:cs="Times New Roman"/>
          <w:sz w:val="28"/>
          <w:szCs w:val="28"/>
          <w:lang w:val="es-ES_tradnl"/>
        </w:rPr>
      </w:pPr>
    </w:p>
    <w:p w:rsidR="00B9678A" w:rsidRPr="00527F3E" w:rsidRDefault="00527F3E" w:rsidP="009F689D">
      <w:pPr>
        <w:numPr>
          <w:ilvl w:val="0"/>
          <w:numId w:val="3"/>
        </w:numPr>
        <w:spacing w:after="0" w:line="240" w:lineRule="auto"/>
        <w:ind w:left="0" w:firstLine="0"/>
        <w:contextualSpacing/>
        <w:jc w:val="both"/>
        <w:rPr>
          <w:rFonts w:ascii="Times New Roman" w:eastAsia="Times New Roman" w:hAnsi="Times New Roman" w:cs="Times New Roman"/>
          <w:sz w:val="28"/>
          <w:szCs w:val="28"/>
          <w:lang w:val="es-ES_tradnl"/>
        </w:rPr>
      </w:pPr>
      <w:r w:rsidRPr="00527F3E">
        <w:rPr>
          <w:rFonts w:ascii="Times New Roman" w:eastAsia="Times New Roman" w:hAnsi="Times New Roman" w:cs="Times New Roman"/>
          <w:sz w:val="28"/>
          <w:szCs w:val="28"/>
          <w:lang w:val="es-MX"/>
        </w:rPr>
        <w:t>E</w:t>
      </w:r>
      <w:r w:rsidRPr="00527F3E">
        <w:rPr>
          <w:rFonts w:ascii="Times New Roman" w:eastAsia="Times New Roman" w:hAnsi="Times New Roman" w:cs="Times New Roman"/>
          <w:color w:val="000000"/>
          <w:sz w:val="28"/>
          <w:szCs w:val="28"/>
          <w:lang w:val="es-ES"/>
        </w:rPr>
        <w:t>stablece restricciones a órganos de dirección de entes universitarios y entidades descentralizadas por servicios para incrementar salarios y aumentar costos de plantas de personal</w:t>
      </w:r>
      <w:r w:rsidRPr="00527F3E">
        <w:rPr>
          <w:rFonts w:ascii="Times New Roman" w:eastAsia="Times New Roman" w:hAnsi="Times New Roman" w:cs="Times New Roman"/>
          <w:sz w:val="28"/>
          <w:szCs w:val="28"/>
          <w:lang w:val="es-MX"/>
        </w:rPr>
        <w:t xml:space="preserve"> (C-053 d</w:t>
      </w:r>
      <w:r w:rsidRPr="00527F3E">
        <w:rPr>
          <w:rFonts w:ascii="Times New Roman" w:eastAsia="Times New Roman" w:hAnsi="Times New Roman" w:cs="Times New Roman"/>
          <w:sz w:val="28"/>
          <w:szCs w:val="28"/>
          <w:lang w:val="es-MX"/>
        </w:rPr>
        <w:t>e 1998</w:t>
      </w:r>
      <w:r w:rsidRPr="00527F3E">
        <w:rPr>
          <w:rFonts w:ascii="Times New Roman" w:eastAsia="Times New Roman" w:hAnsi="Times New Roman" w:cs="Times New Roman"/>
          <w:sz w:val="28"/>
          <w:szCs w:val="28"/>
          <w:vertAlign w:val="superscript"/>
          <w:lang w:val="es-MX"/>
        </w:rPr>
        <w:footnoteReference w:id="108"/>
      </w:r>
      <w:r w:rsidRPr="00527F3E">
        <w:rPr>
          <w:rFonts w:ascii="Times New Roman" w:eastAsia="Times New Roman" w:hAnsi="Times New Roman" w:cs="Times New Roman"/>
          <w:sz w:val="28"/>
          <w:szCs w:val="28"/>
          <w:lang w:val="es-MX"/>
        </w:rPr>
        <w:t>).</w:t>
      </w:r>
    </w:p>
    <w:p w:rsidR="00B9678A" w:rsidRPr="00527F3E" w:rsidRDefault="00527F3E" w:rsidP="009F689D">
      <w:pPr>
        <w:spacing w:line="240" w:lineRule="auto"/>
        <w:contextualSpacing/>
        <w:jc w:val="both"/>
        <w:rPr>
          <w:rFonts w:ascii="Times New Roman" w:eastAsia="Times New Roman" w:hAnsi="Times New Roman" w:cs="Times New Roman"/>
          <w:sz w:val="28"/>
          <w:szCs w:val="28"/>
          <w:lang w:val="es-ES_tradnl"/>
        </w:rPr>
      </w:pPr>
    </w:p>
    <w:p w:rsidR="00B9678A" w:rsidRPr="00527F3E" w:rsidRDefault="00527F3E" w:rsidP="009F689D">
      <w:pPr>
        <w:numPr>
          <w:ilvl w:val="0"/>
          <w:numId w:val="3"/>
        </w:numPr>
        <w:spacing w:after="0" w:line="240" w:lineRule="auto"/>
        <w:ind w:left="0" w:firstLine="0"/>
        <w:contextualSpacing/>
        <w:jc w:val="both"/>
        <w:rPr>
          <w:rFonts w:ascii="Times New Roman" w:eastAsia="Times New Roman" w:hAnsi="Times New Roman" w:cs="Times New Roman"/>
          <w:sz w:val="28"/>
          <w:szCs w:val="28"/>
          <w:lang w:val="es-ES_tradnl"/>
        </w:rPr>
      </w:pPr>
      <w:r w:rsidRPr="00527F3E">
        <w:rPr>
          <w:rFonts w:ascii="Times New Roman" w:eastAsia="Times New Roman" w:hAnsi="Times New Roman" w:cs="Times New Roman"/>
          <w:sz w:val="28"/>
          <w:szCs w:val="28"/>
          <w:lang w:val="es-ES_tradnl"/>
        </w:rPr>
        <w:t>Dispone</w:t>
      </w:r>
      <w:r w:rsidRPr="00527F3E">
        <w:rPr>
          <w:rFonts w:ascii="Times New Roman" w:eastAsia="Times New Roman" w:hAnsi="Times New Roman" w:cs="Times New Roman"/>
          <w:sz w:val="28"/>
          <w:szCs w:val="28"/>
          <w:lang w:val="es-MX"/>
        </w:rPr>
        <w:t xml:space="preserve"> que el </w:t>
      </w:r>
      <w:r w:rsidRPr="00527F3E">
        <w:rPr>
          <w:rFonts w:ascii="Times New Roman" w:eastAsia="Times New Roman" w:hAnsi="Times New Roman" w:cs="Times New Roman"/>
          <w:sz w:val="28"/>
          <w:szCs w:val="28"/>
          <w:lang w:val="es-ES_tradnl"/>
        </w:rPr>
        <w:t>presupuesto de funcionamiento de una entidad autónoma (en esa oportunidad, la Comisión Nacional de Televisión) no supere su presupuesto de inversión (C-560 de 2001</w:t>
      </w:r>
      <w:r w:rsidRPr="00527F3E">
        <w:rPr>
          <w:rFonts w:ascii="Times New Roman" w:eastAsia="Times New Roman" w:hAnsi="Times New Roman" w:cs="Times New Roman"/>
          <w:sz w:val="28"/>
          <w:szCs w:val="28"/>
          <w:vertAlign w:val="superscript"/>
          <w:lang w:val="es-ES"/>
        </w:rPr>
        <w:footnoteReference w:id="109"/>
      </w:r>
      <w:r w:rsidRPr="00527F3E">
        <w:rPr>
          <w:rFonts w:ascii="Times New Roman" w:eastAsia="Times New Roman" w:hAnsi="Times New Roman" w:cs="Times New Roman"/>
          <w:sz w:val="28"/>
          <w:szCs w:val="28"/>
          <w:lang w:val="es-ES_tradnl"/>
        </w:rPr>
        <w:t>).</w:t>
      </w:r>
    </w:p>
    <w:p w:rsidR="00B9678A" w:rsidRPr="00527F3E" w:rsidRDefault="00527F3E" w:rsidP="00923437">
      <w:pPr>
        <w:spacing w:line="240" w:lineRule="auto"/>
        <w:contextualSpacing/>
        <w:jc w:val="both"/>
        <w:rPr>
          <w:rFonts w:ascii="Times New Roman" w:eastAsia="Times New Roman" w:hAnsi="Times New Roman" w:cs="Times New Roman"/>
          <w:sz w:val="28"/>
          <w:szCs w:val="28"/>
          <w:lang w:val="es-ES_tradnl"/>
        </w:rPr>
      </w:pPr>
    </w:p>
    <w:p w:rsidR="00B9678A" w:rsidRPr="00527F3E" w:rsidRDefault="00527F3E" w:rsidP="00F80D2C">
      <w:pPr>
        <w:numPr>
          <w:ilvl w:val="0"/>
          <w:numId w:val="3"/>
        </w:numPr>
        <w:spacing w:after="0" w:line="240" w:lineRule="auto"/>
        <w:ind w:left="0" w:firstLine="0"/>
        <w:contextualSpacing/>
        <w:jc w:val="both"/>
        <w:rPr>
          <w:rFonts w:ascii="Times New Roman" w:eastAsia="Times New Roman" w:hAnsi="Times New Roman" w:cs="Times New Roman"/>
          <w:sz w:val="28"/>
          <w:szCs w:val="28"/>
          <w:lang w:val="es-ES_tradnl"/>
        </w:rPr>
      </w:pPr>
      <w:r w:rsidRPr="00527F3E">
        <w:rPr>
          <w:rFonts w:ascii="Times New Roman" w:eastAsia="Times New Roman" w:hAnsi="Times New Roman" w:cs="Times New Roman"/>
          <w:color w:val="000000"/>
          <w:sz w:val="28"/>
          <w:szCs w:val="28"/>
          <w:lang w:val="es-ES"/>
        </w:rPr>
        <w:t xml:space="preserve">Excepciona de cualquier tasa, gravamen o contribución para la </w:t>
      </w:r>
      <w:r w:rsidRPr="00527F3E">
        <w:rPr>
          <w:rFonts w:ascii="Times New Roman" w:eastAsia="Times New Roman" w:hAnsi="Times New Roman" w:cs="Times New Roman"/>
          <w:color w:val="000000"/>
          <w:sz w:val="28"/>
          <w:szCs w:val="28"/>
          <w:lang w:val="es-ES"/>
        </w:rPr>
        <w:t>vigilancia fiscal a la Auditoría General de la Nación (C-803 de 2003</w:t>
      </w:r>
      <w:r w:rsidRPr="00527F3E">
        <w:rPr>
          <w:rFonts w:ascii="Times New Roman" w:eastAsia="Times New Roman" w:hAnsi="Times New Roman" w:cs="Times New Roman"/>
          <w:color w:val="000000"/>
          <w:sz w:val="28"/>
          <w:szCs w:val="28"/>
          <w:vertAlign w:val="superscript"/>
          <w:lang w:val="es-ES"/>
        </w:rPr>
        <w:footnoteReference w:id="110"/>
      </w:r>
      <w:r w:rsidRPr="00527F3E">
        <w:rPr>
          <w:rFonts w:ascii="Times New Roman" w:eastAsia="Times New Roman" w:hAnsi="Times New Roman" w:cs="Times New Roman"/>
          <w:color w:val="000000"/>
          <w:sz w:val="28"/>
          <w:szCs w:val="28"/>
          <w:lang w:val="es-ES"/>
        </w:rPr>
        <w:t>).</w:t>
      </w:r>
    </w:p>
    <w:p w:rsidR="00B9678A" w:rsidRPr="00527F3E" w:rsidRDefault="00527F3E" w:rsidP="009F689D">
      <w:pPr>
        <w:spacing w:after="0" w:line="240" w:lineRule="auto"/>
        <w:jc w:val="both"/>
        <w:rPr>
          <w:rFonts w:ascii="Times New Roman" w:eastAsia="Times New Roman" w:hAnsi="Times New Roman" w:cs="Times New Roman"/>
          <w:sz w:val="28"/>
          <w:szCs w:val="28"/>
          <w:lang w:val="es-ES_tradnl" w:eastAsia="es-ES_tradnl"/>
        </w:rPr>
      </w:pPr>
    </w:p>
    <w:p w:rsidR="00B9678A" w:rsidRPr="00527F3E" w:rsidRDefault="00527F3E" w:rsidP="009F689D">
      <w:pPr>
        <w:numPr>
          <w:ilvl w:val="0"/>
          <w:numId w:val="3"/>
        </w:numPr>
        <w:spacing w:after="0" w:line="240" w:lineRule="auto"/>
        <w:ind w:left="0" w:firstLine="0"/>
        <w:contextualSpacing/>
        <w:jc w:val="both"/>
        <w:rPr>
          <w:rFonts w:ascii="Times New Roman" w:eastAsia="Times New Roman" w:hAnsi="Times New Roman" w:cs="Times New Roman"/>
          <w:sz w:val="28"/>
          <w:szCs w:val="28"/>
          <w:lang w:val="es-ES_tradnl"/>
        </w:rPr>
      </w:pPr>
      <w:r w:rsidRPr="00527F3E">
        <w:rPr>
          <w:rFonts w:ascii="Times New Roman" w:eastAsia="Times New Roman" w:hAnsi="Times New Roman" w:cs="Times New Roman"/>
          <w:sz w:val="28"/>
          <w:szCs w:val="28"/>
          <w:lang w:val="es-ES_tradnl"/>
        </w:rPr>
        <w:t xml:space="preserve">Introduce la evaluación fiscal previa de las modificaciones a contratos de </w:t>
      </w:r>
      <w:r w:rsidRPr="00527F3E">
        <w:rPr>
          <w:rFonts w:ascii="Times New Roman" w:eastAsia="Times New Roman" w:hAnsi="Times New Roman" w:cs="Times New Roman"/>
          <w:sz w:val="28"/>
          <w:szCs w:val="28"/>
          <w:lang w:val="es-419"/>
        </w:rPr>
        <w:t xml:space="preserve">concesión que implicaran mayores aportes estatales y/o mayores ingresos esperados y/o ampliación del plazo </w:t>
      </w:r>
      <w:r w:rsidRPr="00527F3E">
        <w:rPr>
          <w:rFonts w:ascii="Times New Roman" w:eastAsia="Times New Roman" w:hAnsi="Times New Roman" w:cs="Times New Roman"/>
          <w:sz w:val="28"/>
          <w:szCs w:val="28"/>
          <w:lang w:val="es-419"/>
        </w:rPr>
        <w:t>inicialmente pactado (</w:t>
      </w:r>
      <w:r w:rsidRPr="00527F3E">
        <w:rPr>
          <w:rFonts w:ascii="Times New Roman" w:eastAsia="Times New Roman" w:hAnsi="Times New Roman" w:cs="Times New Roman"/>
          <w:sz w:val="28"/>
          <w:szCs w:val="28"/>
          <w:lang w:val="es-ES_tradnl"/>
        </w:rPr>
        <w:t>C-1124 de 2008</w:t>
      </w:r>
      <w:r w:rsidRPr="00527F3E">
        <w:rPr>
          <w:rFonts w:ascii="Times New Roman" w:eastAsia="Times New Roman" w:hAnsi="Times New Roman" w:cs="Times New Roman"/>
          <w:sz w:val="28"/>
          <w:szCs w:val="28"/>
          <w:vertAlign w:val="superscript"/>
          <w:lang w:val="es-ES_tradnl"/>
        </w:rPr>
        <w:footnoteReference w:id="111"/>
      </w:r>
      <w:r w:rsidRPr="00527F3E">
        <w:rPr>
          <w:rFonts w:ascii="Times New Roman" w:eastAsia="Times New Roman" w:hAnsi="Times New Roman" w:cs="Times New Roman"/>
          <w:sz w:val="28"/>
          <w:szCs w:val="28"/>
          <w:lang w:val="es-ES_tradnl"/>
        </w:rPr>
        <w:t>).</w:t>
      </w:r>
    </w:p>
    <w:p w:rsidR="00B9678A" w:rsidRPr="00527F3E" w:rsidRDefault="00527F3E" w:rsidP="009F689D">
      <w:pPr>
        <w:spacing w:after="0" w:line="240" w:lineRule="auto"/>
        <w:jc w:val="both"/>
        <w:rPr>
          <w:rFonts w:ascii="Times New Roman" w:eastAsia="Times New Roman" w:hAnsi="Times New Roman" w:cs="Times New Roman"/>
          <w:sz w:val="28"/>
          <w:szCs w:val="28"/>
          <w:lang w:val="es-ES_tradnl" w:eastAsia="es-ES_tradnl"/>
        </w:rPr>
      </w:pPr>
    </w:p>
    <w:p w:rsidR="00B9678A" w:rsidRPr="00527F3E" w:rsidRDefault="00527F3E" w:rsidP="009F689D">
      <w:pPr>
        <w:numPr>
          <w:ilvl w:val="0"/>
          <w:numId w:val="3"/>
        </w:numPr>
        <w:spacing w:after="0" w:line="240" w:lineRule="auto"/>
        <w:ind w:left="0" w:firstLine="0"/>
        <w:contextualSpacing/>
        <w:jc w:val="both"/>
        <w:rPr>
          <w:rFonts w:ascii="Times New Roman" w:eastAsia="Times New Roman" w:hAnsi="Times New Roman" w:cs="Times New Roman"/>
          <w:sz w:val="28"/>
          <w:szCs w:val="28"/>
          <w:lang w:val="es-ES_tradnl"/>
        </w:rPr>
      </w:pPr>
      <w:r w:rsidRPr="00527F3E">
        <w:rPr>
          <w:rFonts w:ascii="Times New Roman" w:eastAsia="Times New Roman" w:hAnsi="Times New Roman" w:cs="Times New Roman"/>
          <w:color w:val="000000"/>
          <w:sz w:val="28"/>
          <w:szCs w:val="28"/>
          <w:lang w:val="es-ES"/>
        </w:rPr>
        <w:t>Dispone que cierto tipo de movimientos de los recursos de capital del Estado efectuados por el Gobierno – las sustituciones en los portafolios de inversión de entidades descentralizadas – se realicen “sin hacer oper</w:t>
      </w:r>
      <w:r w:rsidRPr="00527F3E">
        <w:rPr>
          <w:rFonts w:ascii="Times New Roman" w:eastAsia="Times New Roman" w:hAnsi="Times New Roman" w:cs="Times New Roman"/>
          <w:color w:val="000000"/>
          <w:sz w:val="28"/>
          <w:szCs w:val="28"/>
          <w:lang w:val="es-ES"/>
        </w:rPr>
        <w:t>ación presupuestal alguna” y autoriza al Instituto de Planificación y Promoción de Soluciones Energéticas - IPSE para adelantar operaciones de canje de activos fijos de su propiedad (C-006 de 2012</w:t>
      </w:r>
      <w:r w:rsidRPr="00527F3E">
        <w:rPr>
          <w:rFonts w:ascii="Times New Roman" w:eastAsia="Times New Roman" w:hAnsi="Times New Roman" w:cs="Times New Roman"/>
          <w:color w:val="000000"/>
          <w:sz w:val="28"/>
          <w:szCs w:val="28"/>
          <w:vertAlign w:val="superscript"/>
          <w:lang w:val="es-ES"/>
        </w:rPr>
        <w:footnoteReference w:id="112"/>
      </w:r>
      <w:r w:rsidRPr="00527F3E">
        <w:rPr>
          <w:rFonts w:ascii="Times New Roman" w:eastAsia="Times New Roman" w:hAnsi="Times New Roman" w:cs="Times New Roman"/>
          <w:color w:val="000000"/>
          <w:sz w:val="28"/>
          <w:szCs w:val="28"/>
          <w:lang w:val="es-ES"/>
        </w:rPr>
        <w:t>).</w:t>
      </w:r>
    </w:p>
    <w:p w:rsidR="00B9678A" w:rsidRPr="00527F3E" w:rsidRDefault="00527F3E" w:rsidP="009F689D">
      <w:pPr>
        <w:spacing w:line="240" w:lineRule="auto"/>
        <w:contextualSpacing/>
        <w:jc w:val="both"/>
        <w:rPr>
          <w:rFonts w:ascii="Times New Roman" w:eastAsia="Times New Roman" w:hAnsi="Times New Roman" w:cs="Times New Roman"/>
          <w:sz w:val="28"/>
          <w:szCs w:val="28"/>
          <w:lang w:val="es-ES_tradnl"/>
        </w:rPr>
      </w:pPr>
    </w:p>
    <w:p w:rsidR="00B9678A" w:rsidRPr="00527F3E" w:rsidRDefault="00527F3E" w:rsidP="009F689D">
      <w:pPr>
        <w:numPr>
          <w:ilvl w:val="0"/>
          <w:numId w:val="3"/>
        </w:numPr>
        <w:spacing w:after="0" w:line="240" w:lineRule="auto"/>
        <w:ind w:left="0" w:firstLine="0"/>
        <w:contextualSpacing/>
        <w:jc w:val="both"/>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Canaliza recursos para la financiación del sistema de s</w:t>
      </w:r>
      <w:r w:rsidRPr="00527F3E">
        <w:rPr>
          <w:rFonts w:ascii="Times New Roman" w:eastAsia="Times New Roman" w:hAnsi="Times New Roman" w:cs="Times New Roman"/>
          <w:color w:val="000000"/>
          <w:sz w:val="28"/>
          <w:szCs w:val="28"/>
          <w:lang w:val="es-ES"/>
        </w:rPr>
        <w:t>alud al ordenar a las cajas de compensación girar al FOSYGA los recursos que no hubieren sido utilizados o transferidos para la financiación del régimen subsidiado (C-665 de 2016</w:t>
      </w:r>
      <w:r w:rsidRPr="00527F3E">
        <w:rPr>
          <w:rFonts w:ascii="Times New Roman" w:eastAsia="Times New Roman" w:hAnsi="Times New Roman" w:cs="Times New Roman"/>
          <w:color w:val="000000"/>
          <w:sz w:val="28"/>
          <w:szCs w:val="28"/>
          <w:vertAlign w:val="superscript"/>
          <w:lang w:val="es-ES"/>
        </w:rPr>
        <w:footnoteReference w:id="113"/>
      </w:r>
      <w:r w:rsidRPr="00527F3E">
        <w:rPr>
          <w:rFonts w:ascii="Times New Roman" w:eastAsia="Times New Roman" w:hAnsi="Times New Roman" w:cs="Times New Roman"/>
          <w:color w:val="000000"/>
          <w:sz w:val="28"/>
          <w:szCs w:val="28"/>
          <w:lang w:val="es-ES"/>
        </w:rPr>
        <w:t>).</w:t>
      </w:r>
    </w:p>
    <w:p w:rsidR="00B9678A" w:rsidRPr="00527F3E" w:rsidRDefault="00527F3E" w:rsidP="00F80D2C">
      <w:pPr>
        <w:spacing w:line="240" w:lineRule="auto"/>
        <w:contextualSpacing/>
        <w:jc w:val="both"/>
        <w:rPr>
          <w:rFonts w:ascii="Times New Roman" w:eastAsia="Times New Roman" w:hAnsi="Times New Roman" w:cs="Times New Roman"/>
          <w:color w:val="000000"/>
          <w:sz w:val="28"/>
          <w:szCs w:val="28"/>
          <w:lang w:val="es-ES"/>
        </w:rPr>
      </w:pPr>
    </w:p>
    <w:p w:rsidR="00B9678A" w:rsidRPr="00527F3E" w:rsidRDefault="00527F3E" w:rsidP="00F80D2C">
      <w:pPr>
        <w:numPr>
          <w:ilvl w:val="0"/>
          <w:numId w:val="3"/>
        </w:numPr>
        <w:spacing w:after="0" w:line="240" w:lineRule="auto"/>
        <w:ind w:left="0" w:firstLine="0"/>
        <w:contextualSpacing/>
        <w:jc w:val="both"/>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Ordena que los recursos de regalías causados y no recaudados por las </w:t>
      </w:r>
      <w:r w:rsidRPr="00527F3E">
        <w:rPr>
          <w:rFonts w:ascii="Times New Roman" w:eastAsia="Times New Roman" w:hAnsi="Times New Roman" w:cs="Times New Roman"/>
          <w:color w:val="000000"/>
          <w:sz w:val="28"/>
          <w:szCs w:val="28"/>
          <w:lang w:val="es-ES"/>
        </w:rPr>
        <w:t>entidades beneficiarias durante la vigencia fiscal 2011 se consignaran en la Dirección General de Crédito Público y Tesoro Nacional del Ministerio de Hacienda para destinarse al pago de compromisos adquiridos a 31 de diciembre de 2011 (C-438 de 2019</w:t>
      </w:r>
      <w:r w:rsidRPr="00527F3E">
        <w:rPr>
          <w:rFonts w:ascii="Times New Roman" w:eastAsia="Times New Roman" w:hAnsi="Times New Roman" w:cs="Times New Roman"/>
          <w:color w:val="000000"/>
          <w:sz w:val="28"/>
          <w:szCs w:val="28"/>
          <w:vertAlign w:val="superscript"/>
          <w:lang w:val="es-ES"/>
        </w:rPr>
        <w:footnoteReference w:id="114"/>
      </w:r>
      <w:r w:rsidRPr="00527F3E">
        <w:rPr>
          <w:rFonts w:ascii="Times New Roman" w:eastAsia="Times New Roman" w:hAnsi="Times New Roman" w:cs="Times New Roman"/>
          <w:color w:val="000000"/>
          <w:sz w:val="28"/>
          <w:szCs w:val="28"/>
          <w:lang w:val="es-ES"/>
        </w:rPr>
        <w:t>).</w:t>
      </w:r>
    </w:p>
    <w:p w:rsidR="00B9678A" w:rsidRPr="00527F3E" w:rsidRDefault="00527F3E" w:rsidP="00F80D2C">
      <w:pPr>
        <w:tabs>
          <w:tab w:val="left" w:pos="0"/>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F80D2C">
      <w:pPr>
        <w:numPr>
          <w:ilvl w:val="0"/>
          <w:numId w:val="1"/>
        </w:numPr>
        <w:tabs>
          <w:tab w:val="left" w:pos="0"/>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En</w:t>
      </w:r>
      <w:r w:rsidRPr="00527F3E">
        <w:rPr>
          <w:rFonts w:ascii="Times New Roman" w:eastAsia="Times New Roman" w:hAnsi="Times New Roman" w:cs="Times New Roman"/>
          <w:color w:val="000000"/>
          <w:sz w:val="28"/>
          <w:szCs w:val="28"/>
          <w:lang w:val="es-ES"/>
        </w:rPr>
        <w:t xml:space="preserve"> estos casos se consideró que las normas examinadas no desconocían las exigencias que impone el principio de unidad de materia en materia de leyes anuales de presupuesto y las que las modifican o adicionan, por cuanto se trataba de disposiciones meramente </w:t>
      </w:r>
      <w:r w:rsidRPr="00527F3E">
        <w:rPr>
          <w:rFonts w:ascii="Times New Roman" w:eastAsia="Times New Roman" w:hAnsi="Times New Roman" w:cs="Times New Roman"/>
          <w:color w:val="000000"/>
          <w:sz w:val="28"/>
          <w:szCs w:val="28"/>
          <w:lang w:val="es-ES"/>
        </w:rPr>
        <w:t xml:space="preserve">instrumentales orientadas a la adecuada ejecución del presupuesto nacional, algunas de las cuales introducían medidas que buscaban la racionalización del gasto público, y, en general, respetaban el principio de anualidad presupuestal. </w:t>
      </w:r>
    </w:p>
    <w:p w:rsidR="00B9678A" w:rsidRPr="00527F3E" w:rsidRDefault="00527F3E" w:rsidP="00F80D2C">
      <w:pPr>
        <w:tabs>
          <w:tab w:val="left" w:pos="0"/>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F80D2C">
      <w:pPr>
        <w:numPr>
          <w:ilvl w:val="0"/>
          <w:numId w:val="1"/>
        </w:numPr>
        <w:tabs>
          <w:tab w:val="left" w:pos="0"/>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419"/>
        </w:rPr>
      </w:pPr>
      <w:r w:rsidRPr="00527F3E">
        <w:rPr>
          <w:rFonts w:ascii="Times New Roman" w:eastAsia="Times New Roman" w:hAnsi="Times New Roman" w:cs="Times New Roman"/>
          <w:color w:val="000000"/>
          <w:sz w:val="28"/>
          <w:szCs w:val="28"/>
          <w:lang w:val="es-ES"/>
        </w:rPr>
        <w:t>Entre el amplio cue</w:t>
      </w:r>
      <w:r w:rsidRPr="00527F3E">
        <w:rPr>
          <w:rFonts w:ascii="Times New Roman" w:eastAsia="Times New Roman" w:hAnsi="Times New Roman" w:cs="Times New Roman"/>
          <w:color w:val="000000"/>
          <w:sz w:val="28"/>
          <w:szCs w:val="28"/>
          <w:lang w:val="es-ES"/>
        </w:rPr>
        <w:t>rpo jurisprudencial que ha dado alcance al principio de unidad de materia en relación con leyes anuales de presupuesto, sólo la Sentencia C-1124 de 2008</w:t>
      </w:r>
      <w:r w:rsidRPr="00527F3E">
        <w:rPr>
          <w:rFonts w:ascii="Times New Roman" w:eastAsia="Times New Roman" w:hAnsi="Times New Roman" w:cs="Times New Roman"/>
          <w:color w:val="000000"/>
          <w:sz w:val="28"/>
          <w:szCs w:val="28"/>
          <w:vertAlign w:val="superscript"/>
          <w:lang w:val="es-ES"/>
        </w:rPr>
        <w:footnoteReference w:id="115"/>
      </w:r>
      <w:r w:rsidRPr="00527F3E">
        <w:rPr>
          <w:rFonts w:ascii="Times New Roman" w:eastAsia="Times New Roman" w:hAnsi="Times New Roman" w:cs="Times New Roman"/>
          <w:color w:val="000000"/>
          <w:sz w:val="28"/>
          <w:szCs w:val="28"/>
          <w:lang w:val="es-ES"/>
        </w:rPr>
        <w:t xml:space="preserve"> se refiere a normas atinentes a contratos de concesión incluidas en leyes de este tipo. En aquella oca</w:t>
      </w:r>
      <w:r w:rsidRPr="00527F3E">
        <w:rPr>
          <w:rFonts w:ascii="Times New Roman" w:eastAsia="Times New Roman" w:hAnsi="Times New Roman" w:cs="Times New Roman"/>
          <w:color w:val="000000"/>
          <w:sz w:val="28"/>
          <w:szCs w:val="28"/>
          <w:lang w:val="es-ES"/>
        </w:rPr>
        <w:t xml:space="preserve">sión, la Corte </w:t>
      </w:r>
      <w:r w:rsidRPr="00527F3E">
        <w:rPr>
          <w:rFonts w:ascii="Times New Roman" w:eastAsia="Times New Roman" w:hAnsi="Times New Roman" w:cs="Times New Roman"/>
          <w:sz w:val="28"/>
          <w:szCs w:val="28"/>
          <w:lang w:val="es-419"/>
        </w:rPr>
        <w:t>declaró exequible, por el cargo de infracción del principio de unidad de materia el artículo 61 de la Ley 1169 de 2007, por la que se decretó el presupuesto de rentas y ley de apropiaciones para la vigencia fiscal de 2008. La norma cuestiona</w:t>
      </w:r>
      <w:r w:rsidRPr="00527F3E">
        <w:rPr>
          <w:rFonts w:ascii="Times New Roman" w:eastAsia="Times New Roman" w:hAnsi="Times New Roman" w:cs="Times New Roman"/>
          <w:sz w:val="28"/>
          <w:szCs w:val="28"/>
          <w:lang w:val="es-419"/>
        </w:rPr>
        <w:t>da disponía que las modificaciones a los contratos de concesión que implicaran mayores aportes estatales y/o mayores ingresos esperados y/o ampliación del plazo pactado contractualmente, requerirían una evaluación fiscal previa por parte del Consejo Superi</w:t>
      </w:r>
      <w:r w:rsidRPr="00527F3E">
        <w:rPr>
          <w:rFonts w:ascii="Times New Roman" w:eastAsia="Times New Roman" w:hAnsi="Times New Roman" w:cs="Times New Roman"/>
          <w:sz w:val="28"/>
          <w:szCs w:val="28"/>
          <w:lang w:val="es-419"/>
        </w:rPr>
        <w:t>or de Política Fiscal (CONFIS).</w:t>
      </w:r>
    </w:p>
    <w:p w:rsidR="00B9678A" w:rsidRPr="00527F3E" w:rsidRDefault="00527F3E" w:rsidP="00B9678A">
      <w:pPr>
        <w:spacing w:line="240" w:lineRule="auto"/>
        <w:ind w:left="720"/>
        <w:contextualSpacing/>
        <w:rPr>
          <w:rFonts w:ascii="Times New Roman" w:eastAsia="Times New Roman" w:hAnsi="Times New Roman" w:cs="Times New Roman"/>
          <w:sz w:val="28"/>
          <w:szCs w:val="28"/>
          <w:lang w:val="es-419"/>
        </w:rPr>
      </w:pPr>
    </w:p>
    <w:p w:rsidR="00B9678A" w:rsidRPr="00527F3E" w:rsidRDefault="00527F3E" w:rsidP="00F80D2C">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sz w:val="28"/>
          <w:szCs w:val="28"/>
          <w:lang w:val="es-419"/>
        </w:rPr>
        <w:t>Para responder al problema jurídico que planteaba el caso</w:t>
      </w:r>
      <w:r w:rsidRPr="00527F3E">
        <w:rPr>
          <w:rFonts w:ascii="Times New Roman" w:eastAsia="Times New Roman" w:hAnsi="Times New Roman" w:cs="Times New Roman"/>
          <w:sz w:val="28"/>
          <w:szCs w:val="28"/>
          <w:vertAlign w:val="superscript"/>
          <w:lang w:val="es-419"/>
        </w:rPr>
        <w:footnoteReference w:id="116"/>
      </w:r>
      <w:r w:rsidRPr="00527F3E">
        <w:rPr>
          <w:rFonts w:ascii="Times New Roman" w:eastAsia="Times New Roman" w:hAnsi="Times New Roman" w:cs="Times New Roman"/>
          <w:sz w:val="28"/>
          <w:szCs w:val="28"/>
          <w:lang w:val="es-ES"/>
        </w:rPr>
        <w:t xml:space="preserve"> la Sala enfatizó el carácter normativo, y no meramente contable, de la ley de presupuesto y las implicaciones de tal concepción para el análisis de la unidad de mat</w:t>
      </w:r>
      <w:r w:rsidRPr="00527F3E">
        <w:rPr>
          <w:rFonts w:ascii="Times New Roman" w:eastAsia="Times New Roman" w:hAnsi="Times New Roman" w:cs="Times New Roman"/>
          <w:sz w:val="28"/>
          <w:szCs w:val="28"/>
          <w:lang w:val="es-ES"/>
        </w:rPr>
        <w:t>eria.  Precisó que la norma demanda formaba parte de las llamadas “disposiciones generales”, cuya finalidad es asegurar la correcta ejecución del presupuesto y, sobre esta base examinó el vínculo entre el tema de la norma (requisitos para la modificación d</w:t>
      </w:r>
      <w:r w:rsidRPr="00527F3E">
        <w:rPr>
          <w:rFonts w:ascii="Times New Roman" w:eastAsia="Times New Roman" w:hAnsi="Times New Roman" w:cs="Times New Roman"/>
          <w:sz w:val="28"/>
          <w:szCs w:val="28"/>
          <w:lang w:val="es-ES"/>
        </w:rPr>
        <w:t>e los contratos de concesión) y el tema presupuestal. Al respecto señaló que “</w:t>
      </w:r>
      <w:r w:rsidRPr="00527F3E">
        <w:rPr>
          <w:rFonts w:ascii="Times New Roman" w:eastAsia="Times New Roman" w:hAnsi="Times New Roman" w:cs="Times New Roman"/>
          <w:sz w:val="28"/>
          <w:szCs w:val="28"/>
          <w:lang w:val="es-ES_tradnl"/>
        </w:rPr>
        <w:t>si en el presupuesto se apropian sumas para funcionamiento o inversión, la ejecución presupuestal de por sí implica un vínculo con la contratación pública”. Enfatizó la incidenci</w:t>
      </w:r>
      <w:r w:rsidRPr="00527F3E">
        <w:rPr>
          <w:rFonts w:ascii="Times New Roman" w:eastAsia="Times New Roman" w:hAnsi="Times New Roman" w:cs="Times New Roman"/>
          <w:sz w:val="28"/>
          <w:szCs w:val="28"/>
          <w:lang w:val="es-ES_tradnl"/>
        </w:rPr>
        <w:t>a social del contrato de concesión para “la consecución de los objetivos esenciales del Estado Social de Derecho</w:t>
      </w:r>
      <w:r w:rsidRPr="00527F3E">
        <w:rPr>
          <w:rFonts w:ascii="Times New Roman" w:eastAsia="Times New Roman" w:hAnsi="Times New Roman" w:cs="Times New Roman"/>
          <w:iCs/>
          <w:sz w:val="28"/>
          <w:szCs w:val="28"/>
          <w:lang w:val="es-ES"/>
        </w:rPr>
        <w:t>, pues  es un hecho notorio que la satisfacción de las necesidades colectivas, así como la prestación eficiente de los servicios públicos esenciales, demanda una constante actividad contractual que, las más de las veces, se concreta en la realización de im</w:t>
      </w:r>
      <w:r w:rsidRPr="00527F3E">
        <w:rPr>
          <w:rFonts w:ascii="Times New Roman" w:eastAsia="Times New Roman" w:hAnsi="Times New Roman" w:cs="Times New Roman"/>
          <w:iCs/>
          <w:sz w:val="28"/>
          <w:szCs w:val="28"/>
          <w:lang w:val="es-ES"/>
        </w:rPr>
        <w:t xml:space="preserve">portantes proyectos o macroproyectos de infraestructura que son sufragados con cuantiosas sumas de dinero provenientes del tesoro público”. </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F80D2C">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iCs/>
          <w:sz w:val="28"/>
          <w:szCs w:val="28"/>
          <w:lang w:val="es-ES"/>
        </w:rPr>
        <w:t xml:space="preserve">Con fundamento en estas consideraciones, la Corte afirmó la existencia de un vínculo temático entre la regulación </w:t>
      </w:r>
      <w:r w:rsidRPr="00527F3E">
        <w:rPr>
          <w:rFonts w:ascii="Times New Roman" w:eastAsia="Times New Roman" w:hAnsi="Times New Roman" w:cs="Times New Roman"/>
          <w:iCs/>
          <w:sz w:val="28"/>
          <w:szCs w:val="28"/>
          <w:lang w:val="es-ES"/>
        </w:rPr>
        <w:t>del contrato de concesión establecida en la norma demandada y la materia presupuestal, en tanto “la correcta ejecución del presupuesto eventualmente podría requerir una disposición referente a las vicisitudes de los contratos de concesión”; además, sostuvo</w:t>
      </w:r>
      <w:r w:rsidRPr="00527F3E">
        <w:rPr>
          <w:rFonts w:ascii="Times New Roman" w:eastAsia="Times New Roman" w:hAnsi="Times New Roman" w:cs="Times New Roman"/>
          <w:iCs/>
          <w:sz w:val="28"/>
          <w:szCs w:val="28"/>
          <w:lang w:val="es-ES"/>
        </w:rPr>
        <w:t xml:space="preserve"> que la evaluación fiscal encomendada al CONFIS se inscribía dentro de las funciones que, de acuerdo con el Estatuto Orgánico del Presupuesto, las leyes anuales de presupuesto podían asignar a este organismo. Descartó la vocación de permanencia de la norma</w:t>
      </w:r>
      <w:r w:rsidRPr="00527F3E">
        <w:rPr>
          <w:rFonts w:ascii="Times New Roman" w:eastAsia="Times New Roman" w:hAnsi="Times New Roman" w:cs="Times New Roman"/>
          <w:iCs/>
          <w:sz w:val="28"/>
          <w:szCs w:val="28"/>
          <w:lang w:val="es-ES"/>
        </w:rPr>
        <w:t xml:space="preserve"> acusada, señalando que, en tanto esta abordaba “la modificación de los aportes, de los ingresos esperados y la ampliación del plazo tratándose de los contratos de concesión”, era claro que “</w:t>
      </w:r>
      <w:r w:rsidRPr="00527F3E">
        <w:rPr>
          <w:rFonts w:ascii="Times New Roman" w:eastAsia="Times New Roman" w:hAnsi="Times New Roman" w:cs="Times New Roman"/>
          <w:sz w:val="28"/>
          <w:szCs w:val="28"/>
          <w:lang w:val="es-ES"/>
        </w:rPr>
        <w:t>su incorporación como disposición general no tiene propósito dist</w:t>
      </w:r>
      <w:r w:rsidRPr="00527F3E">
        <w:rPr>
          <w:rFonts w:ascii="Times New Roman" w:eastAsia="Times New Roman" w:hAnsi="Times New Roman" w:cs="Times New Roman"/>
          <w:sz w:val="28"/>
          <w:szCs w:val="28"/>
          <w:lang w:val="es-ES"/>
        </w:rPr>
        <w:t>into a asegurar la correcta ejecución del presupuesto en lo referente a las modificaciones de los contratos de concesión que puedan tener lugar durante la vigencia fiscal de 2008”. En el mismo sentido, descartó que la norma modificara, derogara o adicionar</w:t>
      </w:r>
      <w:r w:rsidRPr="00527F3E">
        <w:rPr>
          <w:rFonts w:ascii="Times New Roman" w:eastAsia="Times New Roman" w:hAnsi="Times New Roman" w:cs="Times New Roman"/>
          <w:sz w:val="28"/>
          <w:szCs w:val="28"/>
          <w:lang w:val="es-ES"/>
        </w:rPr>
        <w:t>a normas vigentes al momento en que entró a regir la ley anual de presupuesto, en particular, las contenidas en la ley de contratación</w:t>
      </w:r>
      <w:r w:rsidRPr="00527F3E">
        <w:rPr>
          <w:rFonts w:ascii="Times New Roman" w:eastAsia="Times New Roman" w:hAnsi="Times New Roman" w:cs="Times New Roman"/>
          <w:sz w:val="28"/>
          <w:szCs w:val="28"/>
          <w:vertAlign w:val="superscript"/>
          <w:lang w:val="es-ES"/>
        </w:rPr>
        <w:footnoteReference w:id="117"/>
      </w:r>
      <w:r w:rsidRPr="00527F3E">
        <w:rPr>
          <w:rFonts w:ascii="Times New Roman" w:eastAsia="Times New Roman" w:hAnsi="Times New Roman" w:cs="Times New Roman"/>
          <w:sz w:val="28"/>
          <w:szCs w:val="28"/>
          <w:lang w:val="es-ES"/>
        </w:rPr>
        <w:t>.</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F80D2C">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En síntesis, este examen jurisprudencial permite a la Sala concluir que, (i) el principio de unidad de materia consagr</w:t>
      </w:r>
      <w:r w:rsidRPr="00527F3E">
        <w:rPr>
          <w:rFonts w:ascii="Times New Roman" w:eastAsia="Times New Roman" w:hAnsi="Times New Roman" w:cs="Times New Roman"/>
          <w:sz w:val="28"/>
          <w:szCs w:val="28"/>
          <w:lang w:val="es-ES"/>
        </w:rPr>
        <w:t>ado en los artículos 158 y 169 responde a exigencias de coherencia y racionalidad legislativa, pero su interpretación no debe ser tan estricta que anule el principio democrático y haga nugatoria la actividad legislativa. (ii) La aplicación del principio de</w:t>
      </w:r>
      <w:r w:rsidRPr="00527F3E">
        <w:rPr>
          <w:rFonts w:ascii="Times New Roman" w:eastAsia="Times New Roman" w:hAnsi="Times New Roman" w:cs="Times New Roman"/>
          <w:sz w:val="28"/>
          <w:szCs w:val="28"/>
          <w:lang w:val="es-ES"/>
        </w:rPr>
        <w:t xml:space="preserve"> unidad de materia se cualifica frente a leyes cuyo contenido se encuentra prefijado en la Constitución, como ocurre con las leyes anuales de presupuesto, respecto de las cuales el debate constitucional ha girado en torno a aquello que es permitido incluir</w:t>
      </w:r>
      <w:r w:rsidRPr="00527F3E">
        <w:rPr>
          <w:rFonts w:ascii="Times New Roman" w:eastAsia="Times New Roman" w:hAnsi="Times New Roman" w:cs="Times New Roman"/>
          <w:sz w:val="28"/>
          <w:szCs w:val="28"/>
          <w:lang w:val="es-ES"/>
        </w:rPr>
        <w:t xml:space="preserve"> - o no - dentro de sus llamadas “disposiciones generales”. (iii) La respuesta que la Corte ha dado a esta cuestión ha estado vinculada a la discusión sobre la naturaleza de la ley anual de presupuesto; al respecto la jurisprudencia constitucional transitó</w:t>
      </w:r>
      <w:r w:rsidRPr="00527F3E">
        <w:rPr>
          <w:rFonts w:ascii="Times New Roman" w:eastAsia="Times New Roman" w:hAnsi="Times New Roman" w:cs="Times New Roman"/>
          <w:sz w:val="28"/>
          <w:szCs w:val="28"/>
          <w:lang w:val="es-ES"/>
        </w:rPr>
        <w:t xml:space="preserve"> de una visión puramente técnica (un ejercicio contable de definición de ingresos y gastos) al reconocimiento del carácter normativo o material de las disposiciones incluidas en la ley anual de presupuesto. (iv) Tal reconocimiento llevó a matizar la concep</w:t>
      </w:r>
      <w:r w:rsidRPr="00527F3E">
        <w:rPr>
          <w:rFonts w:ascii="Times New Roman" w:eastAsia="Times New Roman" w:hAnsi="Times New Roman" w:cs="Times New Roman"/>
          <w:sz w:val="28"/>
          <w:szCs w:val="28"/>
          <w:lang w:val="es-ES"/>
        </w:rPr>
        <w:t>ción estricta, sostenida inicialmente, en favor de una línea más ponderada que reclama que las disposiciones generales de la ley de presupuesto tengan un vínculo verificable e instrumental con la materia presupuestal, respeten el límite temporal que el pri</w:t>
      </w:r>
      <w:r w:rsidRPr="00527F3E">
        <w:rPr>
          <w:rFonts w:ascii="Times New Roman" w:eastAsia="Times New Roman" w:hAnsi="Times New Roman" w:cs="Times New Roman"/>
          <w:sz w:val="28"/>
          <w:szCs w:val="28"/>
          <w:lang w:val="es-ES"/>
        </w:rPr>
        <w:t>ncipio de anualidad impone a las leyes de presupuesto y, por ende, no incluyan modificaciones a normas sustantivas. (v) En decisiones anteriores (C-1124 de 2008), la jurisprudencia constitucional ha reconocido un vínculo de conexidad entre la regulación de</w:t>
      </w:r>
      <w:r w:rsidRPr="00527F3E">
        <w:rPr>
          <w:rFonts w:ascii="Times New Roman" w:eastAsia="Times New Roman" w:hAnsi="Times New Roman" w:cs="Times New Roman"/>
          <w:sz w:val="28"/>
          <w:szCs w:val="28"/>
          <w:lang w:val="es-ES"/>
        </w:rPr>
        <w:t xml:space="preserve"> contratos de concesión y la materia propia de las leyes anuales de presupuesto. Sin embargo, para afirmar la observancia del principio de unidad de materia, es preciso acreditar que la norma en cuestión satisface tanto los criterios generales de conexidad</w:t>
      </w:r>
      <w:r w:rsidRPr="00527F3E">
        <w:rPr>
          <w:rFonts w:ascii="Times New Roman" w:eastAsia="Times New Roman" w:hAnsi="Times New Roman" w:cs="Times New Roman"/>
          <w:sz w:val="28"/>
          <w:szCs w:val="28"/>
          <w:lang w:val="es-ES"/>
        </w:rPr>
        <w:t xml:space="preserve"> – causal, teleológica, temática o sistémica –como los tres parámetros específicos– vínculo con la materia presupuestal, prohibición de modificar materias sustantivas y temporalidad– que se exigen respecto de las leyes anuales de presupuesto y las que las </w:t>
      </w:r>
      <w:r w:rsidRPr="00527F3E">
        <w:rPr>
          <w:rFonts w:ascii="Times New Roman" w:eastAsia="Times New Roman" w:hAnsi="Times New Roman" w:cs="Times New Roman"/>
          <w:sz w:val="28"/>
          <w:szCs w:val="28"/>
          <w:lang w:val="es-ES"/>
        </w:rPr>
        <w:t xml:space="preserve">modifican o adicionan. </w:t>
      </w:r>
    </w:p>
    <w:p w:rsidR="00B9678A" w:rsidRPr="00527F3E" w:rsidRDefault="00527F3E" w:rsidP="00F80D2C">
      <w:pPr>
        <w:spacing w:line="240" w:lineRule="auto"/>
        <w:contextualSpacing/>
        <w:rPr>
          <w:rFonts w:ascii="Times New Roman" w:eastAsia="Times New Roman" w:hAnsi="Times New Roman" w:cs="Times New Roman"/>
          <w:sz w:val="28"/>
          <w:szCs w:val="28"/>
          <w:lang w:val="es-ES"/>
        </w:rPr>
      </w:pPr>
    </w:p>
    <w:p w:rsidR="00B9678A" w:rsidRPr="00527F3E" w:rsidRDefault="00527F3E" w:rsidP="00F80D2C">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i/>
          <w:iCs/>
          <w:color w:val="000000"/>
          <w:sz w:val="28"/>
          <w:szCs w:val="28"/>
          <w:lang w:val="es-MX"/>
        </w:rPr>
        <w:t>Antecedentes, contenido y alcance de la disposición demandada</w:t>
      </w:r>
    </w:p>
    <w:p w:rsidR="00B9678A" w:rsidRPr="00527F3E" w:rsidRDefault="00527F3E" w:rsidP="00F80D2C">
      <w:pPr>
        <w:spacing w:after="0" w:line="240" w:lineRule="auto"/>
        <w:rPr>
          <w:rFonts w:ascii="Times New Roman" w:eastAsia="Times New Roman" w:hAnsi="Times New Roman" w:cs="Times New Roman"/>
          <w:color w:val="000000"/>
          <w:sz w:val="28"/>
          <w:szCs w:val="28"/>
          <w:lang w:eastAsia="es-ES_tradnl"/>
        </w:rPr>
      </w:pPr>
    </w:p>
    <w:p w:rsidR="00B9678A" w:rsidRPr="00527F3E" w:rsidRDefault="00527F3E" w:rsidP="00F80D2C">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El contenido normativo acusado se encuentra incluido dentro del artículo 4º de la Ley 2299 de 2023, a través del cual se modificó el artículo 99 de la Ley 2276 de 2022 </w:t>
      </w:r>
      <w:r w:rsidRPr="00527F3E">
        <w:rPr>
          <w:rFonts w:ascii="Times New Roman" w:eastAsia="Times New Roman" w:hAnsi="Times New Roman" w:cs="Times New Roman"/>
          <w:color w:val="000000"/>
          <w:sz w:val="28"/>
          <w:szCs w:val="28"/>
          <w:lang w:val="es-ES"/>
        </w:rPr>
        <w:t xml:space="preserve">(ley anual de presupuesto para la vigencia fiscal de 2023). </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F80D2C">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Este último artículo pertenece a las disposiciones generales de la Ley 2276 de 2023 y, antes de su modificación por la norma objeto de análisis, disponía lo siguiente: </w:t>
      </w:r>
    </w:p>
    <w:p w:rsidR="00B9678A" w:rsidRPr="00527F3E" w:rsidRDefault="00527F3E" w:rsidP="00F80D2C">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F80D2C">
      <w:pPr>
        <w:tabs>
          <w:tab w:val="left" w:pos="426"/>
        </w:tabs>
        <w:autoSpaceDE w:val="0"/>
        <w:autoSpaceDN w:val="0"/>
        <w:spacing w:after="0" w:line="240" w:lineRule="auto"/>
        <w:ind w:right="49"/>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“ARTÍCULO 99.  Durante </w:t>
      </w:r>
      <w:r w:rsidRPr="00527F3E">
        <w:rPr>
          <w:rFonts w:ascii="Times New Roman" w:eastAsia="Times New Roman" w:hAnsi="Times New Roman" w:cs="Times New Roman"/>
          <w:color w:val="000000"/>
          <w:sz w:val="28"/>
          <w:szCs w:val="28"/>
          <w:lang w:val="es-ES"/>
        </w:rPr>
        <w:t>el año 2023 la nación en conjunto con las entidades territoriales, establecerán esquemas de cofinanciación para atender el déficit de los sistemas integrados de transporte masivo y sistemas estratégicos de transporte. El aporte total de la nación será hast</w:t>
      </w:r>
      <w:r w:rsidRPr="00527F3E">
        <w:rPr>
          <w:rFonts w:ascii="Times New Roman" w:eastAsia="Times New Roman" w:hAnsi="Times New Roman" w:cs="Times New Roman"/>
          <w:color w:val="000000"/>
          <w:sz w:val="28"/>
          <w:szCs w:val="28"/>
          <w:lang w:val="es-ES"/>
        </w:rPr>
        <w:t>a por $300.000 millones.</w:t>
      </w:r>
    </w:p>
    <w:p w:rsidR="00B9678A" w:rsidRPr="00527F3E" w:rsidRDefault="00527F3E" w:rsidP="00F80D2C">
      <w:pPr>
        <w:tabs>
          <w:tab w:val="left" w:pos="426"/>
        </w:tabs>
        <w:autoSpaceDE w:val="0"/>
        <w:autoSpaceDN w:val="0"/>
        <w:spacing w:after="0" w:line="240" w:lineRule="auto"/>
        <w:ind w:right="49"/>
        <w:contextualSpacing/>
        <w:jc w:val="both"/>
        <w:textAlignment w:val="baseline"/>
        <w:rPr>
          <w:rFonts w:ascii="Times New Roman" w:eastAsia="Times New Roman" w:hAnsi="Times New Roman" w:cs="Times New Roman"/>
          <w:color w:val="000000"/>
          <w:sz w:val="28"/>
          <w:szCs w:val="28"/>
          <w:lang w:val="es-ES"/>
        </w:rPr>
      </w:pPr>
    </w:p>
    <w:p w:rsidR="00B9678A" w:rsidRPr="00527F3E" w:rsidRDefault="00527F3E" w:rsidP="00C94CCC">
      <w:pPr>
        <w:tabs>
          <w:tab w:val="left" w:pos="426"/>
        </w:tabs>
        <w:autoSpaceDE w:val="0"/>
        <w:autoSpaceDN w:val="0"/>
        <w:spacing w:after="0" w:line="240" w:lineRule="auto"/>
        <w:contextualSpacing/>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El monto máximo a cofinanciar por parte del Gobierno nacional será del cincuenta por ciento (50%) del déficit de cada sistema para la vigencia 2022, en partes iguales con la entidad territorial. Este monto deberá ser certificado </w:t>
      </w:r>
      <w:r w:rsidRPr="00527F3E">
        <w:rPr>
          <w:rFonts w:ascii="Times New Roman" w:eastAsia="Times New Roman" w:hAnsi="Times New Roman" w:cs="Times New Roman"/>
          <w:color w:val="000000"/>
          <w:sz w:val="28"/>
          <w:szCs w:val="28"/>
          <w:lang w:val="es-ES"/>
        </w:rPr>
        <w:t>por cada ente gestor de los sistemas de transporte masivo, ser aprobado por la entidad territorial y verificado por el Ministerio de Transporte. Los recursos serán girados por el Ministerio de Hacienda y Crédito Público al ente gestor de cada sistema de tr</w:t>
      </w:r>
      <w:r w:rsidRPr="00527F3E">
        <w:rPr>
          <w:rFonts w:ascii="Times New Roman" w:eastAsia="Times New Roman" w:hAnsi="Times New Roman" w:cs="Times New Roman"/>
          <w:color w:val="000000"/>
          <w:sz w:val="28"/>
          <w:szCs w:val="28"/>
          <w:lang w:val="es-ES"/>
        </w:rPr>
        <w:t>ansporte masivo con cargo al Presupuesto General de la Nación.</w:t>
      </w:r>
      <w:r w:rsidRPr="00527F3E">
        <w:rPr>
          <w:rFonts w:ascii="Times New Roman" w:eastAsia="Times New Roman" w:hAnsi="Times New Roman" w:cs="Times New Roman"/>
          <w:color w:val="000000"/>
          <w:sz w:val="28"/>
          <w:szCs w:val="28"/>
          <w:lang w:val="es-ES"/>
        </w:rPr>
        <w:t xml:space="preserve"> </w:t>
      </w:r>
      <w:r w:rsidRPr="00527F3E">
        <w:rPr>
          <w:rFonts w:ascii="Times New Roman" w:eastAsia="Times New Roman" w:hAnsi="Times New Roman" w:cs="Times New Roman"/>
          <w:color w:val="000000"/>
          <w:sz w:val="28"/>
          <w:szCs w:val="28"/>
          <w:lang w:val="es-ES"/>
        </w:rPr>
        <w:t>En todo caso, el déficit y la distribución de los recursos deberá ser calculado de acuerdo con la metodología que determine el Ministerio de Transporte y el Ministerio de Hacienda y Crédito Púb</w:t>
      </w:r>
      <w:r w:rsidRPr="00527F3E">
        <w:rPr>
          <w:rFonts w:ascii="Times New Roman" w:eastAsia="Times New Roman" w:hAnsi="Times New Roman" w:cs="Times New Roman"/>
          <w:color w:val="000000"/>
          <w:sz w:val="28"/>
          <w:szCs w:val="28"/>
          <w:lang w:val="es-ES"/>
        </w:rPr>
        <w:t>lico para este propósito. Para el cálculo del déficit no se tendrán en cuenta los aportes o transferencias ya realizados por las entidades territoriales, ni las fuentes de ingresos producto de desembolsos obtenidos por la contratación de créditos con el fi</w:t>
      </w:r>
      <w:r w:rsidRPr="00527F3E">
        <w:rPr>
          <w:rFonts w:ascii="Times New Roman" w:eastAsia="Times New Roman" w:hAnsi="Times New Roman" w:cs="Times New Roman"/>
          <w:color w:val="000000"/>
          <w:sz w:val="28"/>
          <w:szCs w:val="28"/>
          <w:lang w:val="es-ES"/>
        </w:rPr>
        <w:t>n de aliviar la caja y lograr la continuidad en la prestación del servicio”.</w:t>
      </w:r>
    </w:p>
    <w:p w:rsidR="00B9678A" w:rsidRPr="00527F3E" w:rsidRDefault="00527F3E" w:rsidP="00C94CCC">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C94CCC">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La modificación efectuada por el artículo 4 de la Ley 2299 de 2023 consistió básicamente en: </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C94CCC">
      <w:pPr>
        <w:numPr>
          <w:ilvl w:val="0"/>
          <w:numId w:val="4"/>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Incrementar el monto destinado por la Nación a financiar el déficit de los SITM y l</w:t>
      </w:r>
      <w:r w:rsidRPr="00527F3E">
        <w:rPr>
          <w:rFonts w:ascii="Times New Roman" w:eastAsia="Times New Roman" w:hAnsi="Times New Roman" w:cs="Times New Roman"/>
          <w:color w:val="000000"/>
          <w:sz w:val="28"/>
          <w:szCs w:val="28"/>
          <w:lang w:val="es-ES"/>
        </w:rPr>
        <w:t>os SETP, que pasó de un máximo de 300.000 millones a un monto no inferior a un billón de pesos (1.000.000.000.000).</w:t>
      </w:r>
    </w:p>
    <w:p w:rsidR="00B9678A" w:rsidRPr="00527F3E" w:rsidRDefault="00527F3E" w:rsidP="00C94CCC">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C94CCC">
      <w:pPr>
        <w:numPr>
          <w:ilvl w:val="0"/>
          <w:numId w:val="4"/>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Modificar la forma de distribución de dichos recursos, pues en lugar de definir que el monto máximo a cofinanciar sería del cincuenta por c</w:t>
      </w:r>
      <w:r w:rsidRPr="00527F3E">
        <w:rPr>
          <w:rFonts w:ascii="Times New Roman" w:eastAsia="Times New Roman" w:hAnsi="Times New Roman" w:cs="Times New Roman"/>
          <w:color w:val="000000"/>
          <w:sz w:val="28"/>
          <w:szCs w:val="28"/>
          <w:lang w:val="es-ES"/>
        </w:rPr>
        <w:t>iento (50%) del déficit de cada sistema para la vigencia 2022, ahora se dispone que los aportes de la Nación serán distribuidos en partes proporcionales dependiendo del número de primeras validaciones realizadas en 2019, certificadas por los entes gestores</w:t>
      </w:r>
      <w:r w:rsidRPr="00527F3E">
        <w:rPr>
          <w:rFonts w:ascii="Times New Roman" w:eastAsia="Times New Roman" w:hAnsi="Times New Roman" w:cs="Times New Roman"/>
          <w:color w:val="000000"/>
          <w:sz w:val="28"/>
          <w:szCs w:val="28"/>
          <w:lang w:val="es-ES"/>
        </w:rPr>
        <w:t xml:space="preserve"> y verificadas por el Ministerio de Transporte.</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eastAsia="es-ES_tradnl"/>
        </w:rPr>
      </w:pPr>
    </w:p>
    <w:p w:rsidR="00B9678A" w:rsidRPr="00527F3E" w:rsidRDefault="00527F3E" w:rsidP="00C94CCC">
      <w:pPr>
        <w:numPr>
          <w:ilvl w:val="0"/>
          <w:numId w:val="4"/>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 </w:t>
      </w:r>
      <w:r w:rsidRPr="00527F3E">
        <w:rPr>
          <w:rFonts w:ascii="Times New Roman" w:eastAsia="Times New Roman" w:hAnsi="Times New Roman" w:cs="Times New Roman"/>
          <w:color w:val="000000"/>
          <w:sz w:val="28"/>
          <w:szCs w:val="28"/>
          <w:lang w:val="es-ES"/>
        </w:rPr>
        <w:t>En el parágrafo 1º del artículo reformado se mantiene la previsión de que los recursos serán girados por el Ministerio de Hacienda y Crédito Público al ente gestor de cada sistema de transporte con cargo al</w:t>
      </w:r>
      <w:r w:rsidRPr="00527F3E">
        <w:rPr>
          <w:rFonts w:ascii="Times New Roman" w:eastAsia="Times New Roman" w:hAnsi="Times New Roman" w:cs="Times New Roman"/>
          <w:color w:val="000000"/>
          <w:sz w:val="28"/>
          <w:szCs w:val="28"/>
          <w:lang w:val="es-ES"/>
        </w:rPr>
        <w:t xml:space="preserve"> Presupuesto General de la Nación, pero ahora se acompaña de una previsión que agiliza el giro de estos recursos pues, en el entendido que el déficit de los SITM está afectando su operación, se dispone que la Nación incorporará en su programación anual de </w:t>
      </w:r>
      <w:r w:rsidRPr="00527F3E">
        <w:rPr>
          <w:rFonts w:ascii="Times New Roman" w:eastAsia="Times New Roman" w:hAnsi="Times New Roman" w:cs="Times New Roman"/>
          <w:color w:val="000000"/>
          <w:sz w:val="28"/>
          <w:szCs w:val="28"/>
          <w:lang w:val="es-ES"/>
        </w:rPr>
        <w:t>caja (PAC) el giro de los recursos dentro de los dos meses siguientes a la sanción de la Ley 2299.</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eastAsia="es-ES_tradnl"/>
        </w:rPr>
      </w:pPr>
    </w:p>
    <w:p w:rsidR="00B9678A" w:rsidRPr="00527F3E" w:rsidRDefault="00527F3E" w:rsidP="001B1B92">
      <w:pPr>
        <w:numPr>
          <w:ilvl w:val="0"/>
          <w:numId w:val="4"/>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 </w:t>
      </w:r>
      <w:r w:rsidRPr="00527F3E">
        <w:rPr>
          <w:rFonts w:ascii="Times New Roman" w:eastAsia="Times New Roman" w:hAnsi="Times New Roman" w:cs="Times New Roman"/>
          <w:color w:val="000000"/>
          <w:sz w:val="28"/>
          <w:szCs w:val="28"/>
          <w:lang w:val="es-ES"/>
        </w:rPr>
        <w:t xml:space="preserve">En lugar de establecer que el déficit y la distribución de los recursos sería calculado de acuerdo con la metodología que los ministerios de Transporte y </w:t>
      </w:r>
      <w:r w:rsidRPr="00527F3E">
        <w:rPr>
          <w:rFonts w:ascii="Times New Roman" w:eastAsia="Times New Roman" w:hAnsi="Times New Roman" w:cs="Times New Roman"/>
          <w:color w:val="000000"/>
          <w:sz w:val="28"/>
          <w:szCs w:val="28"/>
          <w:lang w:val="es-ES"/>
        </w:rPr>
        <w:t>Hacienda determinaran para el efecto, el artículo reformado incorpora, en el parágrafo 2º, un mecanismo encaminado a: 1) determinar los efectos económicos adversos que hayan afectado de manera grave el equilibrio económico de los contratos de concesión y o</w:t>
      </w:r>
      <w:r w:rsidRPr="00527F3E">
        <w:rPr>
          <w:rFonts w:ascii="Times New Roman" w:eastAsia="Times New Roman" w:hAnsi="Times New Roman" w:cs="Times New Roman"/>
          <w:color w:val="000000"/>
          <w:sz w:val="28"/>
          <w:szCs w:val="28"/>
          <w:lang w:val="es-ES"/>
        </w:rPr>
        <w:t>peración de los SITM y SETP; lo anterior para efectos de 2) adelantar, hasta el 31 de diciembre de 2023, la renegociación de esos contratos en unas mesas que contarán con la participación de las partes contratantes (operadores y concesionarios privados y e</w:t>
      </w:r>
      <w:r w:rsidRPr="00527F3E">
        <w:rPr>
          <w:rFonts w:ascii="Times New Roman" w:eastAsia="Times New Roman" w:hAnsi="Times New Roman" w:cs="Times New Roman"/>
          <w:color w:val="000000"/>
          <w:sz w:val="28"/>
          <w:szCs w:val="28"/>
          <w:lang w:val="es-ES"/>
        </w:rPr>
        <w:t>ntidades territoriales) y el Ministerio de Transporte, y a las que podrá asistir la Contraloría General de la República; 3) dichas mesas de renegociación se llevarán a cabo de manera previa al ejercicio de la facultad prevista en el artículo 17 de la Ley 8</w:t>
      </w:r>
      <w:r w:rsidRPr="00527F3E">
        <w:rPr>
          <w:rFonts w:ascii="Times New Roman" w:eastAsia="Times New Roman" w:hAnsi="Times New Roman" w:cs="Times New Roman"/>
          <w:color w:val="000000"/>
          <w:sz w:val="28"/>
          <w:szCs w:val="28"/>
          <w:lang w:val="es-ES"/>
        </w:rPr>
        <w:t>0 de 1993 (terminación unilateral del contrato).</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Es precisamente el mecanismo que introdujo el parágrafo 2º del artículo reformado el que se acusa de infringir el principio de unidad de materia. A fin de verificar la observancia de los criterios de conexi</w:t>
      </w:r>
      <w:r w:rsidRPr="00527F3E">
        <w:rPr>
          <w:rFonts w:ascii="Times New Roman" w:eastAsia="Times New Roman" w:hAnsi="Times New Roman" w:cs="Times New Roman"/>
          <w:color w:val="000000"/>
          <w:sz w:val="28"/>
          <w:szCs w:val="28"/>
          <w:lang w:val="es-ES"/>
        </w:rPr>
        <w:t>dad que involucra el examen de este cargo, es preciso examinar el contenido de la ley en la que se inserta y el trámite que condujo a su aprobación.</w:t>
      </w:r>
      <w:r w:rsidRPr="00527F3E">
        <w:rPr>
          <w:rFonts w:ascii="Times New Roman" w:eastAsia="Times New Roman" w:hAnsi="Times New Roman" w:cs="Times New Roman"/>
          <w:color w:val="000000"/>
          <w:sz w:val="28"/>
          <w:szCs w:val="28"/>
          <w:lang w:val="es-ES"/>
        </w:rPr>
        <w:t xml:space="preserve"> </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A partir de las pruebas recaudadas, la Corte constata que el proyecto de ley original que se convirtió en</w:t>
      </w:r>
      <w:r w:rsidRPr="00527F3E">
        <w:rPr>
          <w:rFonts w:ascii="Times New Roman" w:eastAsia="Times New Roman" w:hAnsi="Times New Roman" w:cs="Times New Roman"/>
          <w:sz w:val="28"/>
          <w:szCs w:val="28"/>
          <w:lang w:val="es-ES"/>
        </w:rPr>
        <w:t xml:space="preserve"> la Ley 2299 de 2023 no incluía disposición alguna relativa al contenido normativo que ahora es objeto de control. El Proyecto de ley 342 de 2023 Cámara - 278 de 2023 Senado, publicado en la Gaceta del Congreso n.º 84 del 23 de febrero de 2023, incluía cua</w:t>
      </w:r>
      <w:r w:rsidRPr="00527F3E">
        <w:rPr>
          <w:rFonts w:ascii="Times New Roman" w:eastAsia="Times New Roman" w:hAnsi="Times New Roman" w:cs="Times New Roman"/>
          <w:sz w:val="28"/>
          <w:szCs w:val="28"/>
          <w:lang w:val="es-ES"/>
        </w:rPr>
        <w:t>tro artículos</w:t>
      </w:r>
      <w:r w:rsidRPr="00527F3E">
        <w:rPr>
          <w:rFonts w:ascii="Times New Roman" w:eastAsia="Times New Roman" w:hAnsi="Times New Roman" w:cs="Times New Roman"/>
          <w:sz w:val="28"/>
          <w:szCs w:val="28"/>
          <w:vertAlign w:val="superscript"/>
          <w:lang w:val="es-ES"/>
        </w:rPr>
        <w:footnoteReference w:id="118"/>
      </w:r>
      <w:r w:rsidRPr="00527F3E">
        <w:rPr>
          <w:rFonts w:ascii="Times New Roman" w:eastAsia="Times New Roman" w:hAnsi="Times New Roman" w:cs="Times New Roman"/>
          <w:sz w:val="28"/>
          <w:szCs w:val="28"/>
          <w:lang w:val="es-ES"/>
        </w:rPr>
        <w:t>.</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Los artículos 1º, 2º y 3º del proyecto de ley coincidían con aquellos contenidos en la Ley 2299 de 2023; como se detalla a continuación, las diferencias están en los montos presupuestales que el Gobierno puso a consideración del Congreso y</w:t>
      </w:r>
      <w:r w:rsidRPr="00527F3E">
        <w:rPr>
          <w:rFonts w:ascii="Times New Roman" w:eastAsia="Times New Roman" w:hAnsi="Times New Roman" w:cs="Times New Roman"/>
          <w:sz w:val="28"/>
          <w:szCs w:val="28"/>
          <w:lang w:val="es-ES"/>
        </w:rPr>
        <w:t xml:space="preserve"> que este último finalmente aprobó</w:t>
      </w:r>
      <w:r w:rsidRPr="00527F3E">
        <w:rPr>
          <w:rFonts w:ascii="Times New Roman" w:eastAsia="Times New Roman" w:hAnsi="Times New Roman" w:cs="Times New Roman"/>
          <w:sz w:val="28"/>
          <w:szCs w:val="28"/>
          <w:vertAlign w:val="superscript"/>
          <w:lang w:val="es-ES"/>
        </w:rPr>
        <w:footnoteReference w:id="119"/>
      </w:r>
      <w:r w:rsidRPr="00527F3E">
        <w:rPr>
          <w:rFonts w:ascii="Times New Roman" w:eastAsia="Times New Roman" w:hAnsi="Times New Roman" w:cs="Times New Roman"/>
          <w:sz w:val="28"/>
          <w:szCs w:val="28"/>
          <w:lang w:val="es-ES"/>
        </w:rPr>
        <w:t>. El artículo 1º efectuaba una serie de modificaciones al Presupuesto de Rentas y Recursos de Capital del Presupuesto General de la Nación de la vigencia fiscal de 2023. Su redacción era similar a la del artículo 1º de la</w:t>
      </w:r>
      <w:r w:rsidRPr="00527F3E">
        <w:rPr>
          <w:rFonts w:ascii="Times New Roman" w:eastAsia="Times New Roman" w:hAnsi="Times New Roman" w:cs="Times New Roman"/>
          <w:sz w:val="28"/>
          <w:szCs w:val="28"/>
          <w:lang w:val="es-ES"/>
        </w:rPr>
        <w:t xml:space="preserve"> Ley 2299 de 2023 que fue finalmente aprobada; los cambios entre una y otra formulación, realizados durante el trámite legislativo, corresponden al monto total de las adiciones finalmente aprobadas y a los detalles de las rentas respectivas. El artículo 2º</w:t>
      </w:r>
      <w:r w:rsidRPr="00527F3E">
        <w:rPr>
          <w:rFonts w:ascii="Times New Roman" w:eastAsia="Times New Roman" w:hAnsi="Times New Roman" w:cs="Times New Roman"/>
          <w:sz w:val="28"/>
          <w:szCs w:val="28"/>
          <w:lang w:val="es-ES"/>
        </w:rPr>
        <w:t>, también en la misma línea de aquel de la ley promulgada, establecía las adiciones al presupuesto de gastos o ley de apropiaciones. El cambio entre esa redacción inicial del proyecto y el de la norma promulgada está, de nuevo, en los montos y los detalles</w:t>
      </w:r>
      <w:r w:rsidRPr="00527F3E">
        <w:rPr>
          <w:rFonts w:ascii="Times New Roman" w:eastAsia="Times New Roman" w:hAnsi="Times New Roman" w:cs="Times New Roman"/>
          <w:sz w:val="28"/>
          <w:szCs w:val="28"/>
          <w:lang w:val="es-ES"/>
        </w:rPr>
        <w:t xml:space="preserve"> aprobados por el Congreso después de surtido el trámite legislativo. La situación del artículo 3º es la misma. También en su versión inicial preveía las reducciones al presupuesto; las diferencias radican en los montos presentados inicialmente por el Gobi</w:t>
      </w:r>
      <w:r w:rsidRPr="00527F3E">
        <w:rPr>
          <w:rFonts w:ascii="Times New Roman" w:eastAsia="Times New Roman" w:hAnsi="Times New Roman" w:cs="Times New Roman"/>
          <w:sz w:val="28"/>
          <w:szCs w:val="28"/>
          <w:lang w:val="es-ES"/>
        </w:rPr>
        <w:t xml:space="preserve">erno nacional y los que el legislativo finalmente aprobó. Finalmente, el artículo 4º del proyecto de ley establecía la entrada en vigencia de la ley. </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En la exposición de motivos del proyecto de ley queda constancia de que, a pesar de no existir una norma</w:t>
      </w:r>
      <w:r w:rsidRPr="00527F3E">
        <w:rPr>
          <w:rFonts w:ascii="Times New Roman" w:eastAsia="Times New Roman" w:hAnsi="Times New Roman" w:cs="Times New Roman"/>
          <w:sz w:val="28"/>
          <w:szCs w:val="28"/>
          <w:lang w:val="es-ES"/>
        </w:rPr>
        <w:t xml:space="preserve"> específica al respecto en la propuesta, el Gobierno nacional tenía una preocupación sobre la operación de los SITM desde el momento de radicación del proyecto. El texto mencionado incluye una referencia a los SITM como uno de los múltiples campos en los q</w:t>
      </w:r>
      <w:r w:rsidRPr="00527F3E">
        <w:rPr>
          <w:rFonts w:ascii="Times New Roman" w:eastAsia="Times New Roman" w:hAnsi="Times New Roman" w:cs="Times New Roman"/>
          <w:sz w:val="28"/>
          <w:szCs w:val="28"/>
          <w:lang w:val="es-ES"/>
        </w:rPr>
        <w:t>ue se preveían ajustes presupuestales. Al explicar las destinaciones de los $23,2 billones adicionales de gasto que se proponían en el proyecto inicial, el Gobierno mencionaba la finalidad de “apoyar la superación del déficit operacional de los Sistemas In</w:t>
      </w:r>
      <w:r w:rsidRPr="00527F3E">
        <w:rPr>
          <w:rFonts w:ascii="Times New Roman" w:eastAsia="Times New Roman" w:hAnsi="Times New Roman" w:cs="Times New Roman"/>
          <w:sz w:val="28"/>
          <w:szCs w:val="28"/>
          <w:lang w:val="es-ES"/>
        </w:rPr>
        <w:t>tegrales de Transporte Masivo”</w:t>
      </w:r>
      <w:r w:rsidRPr="00527F3E">
        <w:rPr>
          <w:rFonts w:ascii="Times New Roman" w:eastAsia="Times New Roman" w:hAnsi="Times New Roman" w:cs="Times New Roman"/>
          <w:sz w:val="28"/>
          <w:szCs w:val="28"/>
          <w:vertAlign w:val="superscript"/>
          <w:lang w:val="es-ES"/>
        </w:rPr>
        <w:footnoteReference w:id="120"/>
      </w:r>
      <w:r w:rsidRPr="00527F3E">
        <w:rPr>
          <w:rFonts w:ascii="Times New Roman" w:eastAsia="Times New Roman" w:hAnsi="Times New Roman" w:cs="Times New Roman"/>
          <w:sz w:val="28"/>
          <w:szCs w:val="28"/>
          <w:lang w:val="es-ES"/>
        </w:rPr>
        <w:t>. Igualmente, al detallar los ajustes presupuestales del sector Hacienda, el Gobierno proponía adicionar $1,78 billones para, entre otros múltiples objetivos, “apoyar la operación de los SITM”</w:t>
      </w:r>
      <w:r w:rsidRPr="00527F3E">
        <w:rPr>
          <w:rFonts w:ascii="Times New Roman" w:eastAsia="Times New Roman" w:hAnsi="Times New Roman" w:cs="Times New Roman"/>
          <w:sz w:val="28"/>
          <w:szCs w:val="28"/>
          <w:vertAlign w:val="superscript"/>
          <w:lang w:val="es-ES"/>
        </w:rPr>
        <w:footnoteReference w:id="121"/>
      </w:r>
      <w:r w:rsidRPr="00527F3E">
        <w:rPr>
          <w:rFonts w:ascii="Times New Roman" w:eastAsia="Times New Roman" w:hAnsi="Times New Roman" w:cs="Times New Roman"/>
          <w:sz w:val="28"/>
          <w:szCs w:val="28"/>
          <w:lang w:val="es-ES"/>
        </w:rPr>
        <w:t>.</w:t>
      </w:r>
    </w:p>
    <w:p w:rsidR="00B9678A" w:rsidRPr="00527F3E" w:rsidRDefault="00527F3E" w:rsidP="001B1B92">
      <w:pPr>
        <w:spacing w:line="240" w:lineRule="auto"/>
        <w:contextualSpacing/>
        <w:rPr>
          <w:rFonts w:ascii="Times New Roman" w:eastAsia="Times New Roman" w:hAnsi="Times New Roman" w:cs="Times New Roman"/>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En la ponencia mayoritaria pa</w:t>
      </w:r>
      <w:r w:rsidRPr="00527F3E">
        <w:rPr>
          <w:rFonts w:ascii="Times New Roman" w:eastAsia="Times New Roman" w:hAnsi="Times New Roman" w:cs="Times New Roman"/>
          <w:sz w:val="28"/>
          <w:szCs w:val="28"/>
          <w:lang w:val="es-ES"/>
        </w:rPr>
        <w:t>ra primer debate en comisiones económicas conjuntas aparecen tres proposiciones (identificadas con los números 54, 78 y 103) que apuntaban a incorporar un nuevo artículo en el proyecto que se discutía</w:t>
      </w:r>
      <w:r w:rsidRPr="00527F3E">
        <w:rPr>
          <w:rFonts w:ascii="Times New Roman" w:eastAsia="Times New Roman" w:hAnsi="Times New Roman" w:cs="Times New Roman"/>
          <w:sz w:val="28"/>
          <w:szCs w:val="28"/>
          <w:vertAlign w:val="superscript"/>
          <w:lang w:val="es-ES"/>
        </w:rPr>
        <w:footnoteReference w:id="122"/>
      </w:r>
      <w:r w:rsidRPr="00527F3E">
        <w:rPr>
          <w:rFonts w:ascii="Times New Roman" w:eastAsia="Times New Roman" w:hAnsi="Times New Roman" w:cs="Times New Roman"/>
          <w:sz w:val="28"/>
          <w:szCs w:val="28"/>
          <w:lang w:val="es-ES"/>
        </w:rPr>
        <w:t>. Las proposiciones fueron formuladas por los congresis</w:t>
      </w:r>
      <w:r w:rsidRPr="00527F3E">
        <w:rPr>
          <w:rFonts w:ascii="Times New Roman" w:eastAsia="Times New Roman" w:hAnsi="Times New Roman" w:cs="Times New Roman"/>
          <w:sz w:val="28"/>
          <w:szCs w:val="28"/>
          <w:lang w:val="es-ES"/>
        </w:rPr>
        <w:t>tas Duvalier Sánchez Arango, Aida Yolanda Avella Esquivel y Elkin Rodolfo Ospina (este último junto con otras firmas), respectivamente. En la proposición número 54 el representante Sánchez Arango planteó incorporar un nuevo artículo, con un solo inciso, cu</w:t>
      </w:r>
      <w:r w:rsidRPr="00527F3E">
        <w:rPr>
          <w:rFonts w:ascii="Times New Roman" w:eastAsia="Times New Roman" w:hAnsi="Times New Roman" w:cs="Times New Roman"/>
          <w:sz w:val="28"/>
          <w:szCs w:val="28"/>
          <w:lang w:val="es-ES"/>
        </w:rPr>
        <w:t>ya redacción incluye, salvo cambios mínimos, el texto tanto del primer inciso como del parágrafo 1º del artículo 4º de la Ley 2299 de 2023, tal y como fue promulgada</w:t>
      </w:r>
      <w:r w:rsidRPr="00527F3E">
        <w:rPr>
          <w:rFonts w:ascii="Times New Roman" w:eastAsia="Times New Roman" w:hAnsi="Times New Roman" w:cs="Times New Roman"/>
          <w:sz w:val="28"/>
          <w:szCs w:val="28"/>
          <w:vertAlign w:val="superscript"/>
          <w:lang w:val="es-ES"/>
        </w:rPr>
        <w:footnoteReference w:id="123"/>
      </w:r>
      <w:r w:rsidRPr="00527F3E">
        <w:rPr>
          <w:rFonts w:ascii="Times New Roman" w:eastAsia="Times New Roman" w:hAnsi="Times New Roman" w:cs="Times New Roman"/>
          <w:sz w:val="28"/>
          <w:szCs w:val="28"/>
          <w:lang w:val="es-ES"/>
        </w:rPr>
        <w:t>. Las diferencias con respecto a la versión finalmente promulgada son, en esencia, que est</w:t>
      </w:r>
      <w:r w:rsidRPr="00527F3E">
        <w:rPr>
          <w:rFonts w:ascii="Times New Roman" w:eastAsia="Times New Roman" w:hAnsi="Times New Roman" w:cs="Times New Roman"/>
          <w:sz w:val="28"/>
          <w:szCs w:val="28"/>
          <w:lang w:val="es-ES"/>
        </w:rPr>
        <w:t xml:space="preserve">a versión inicial no incluía mención alguna a los sistemas estratégicos de transporte público (SETP) y que el plazo que preveía para que la Nación incorporara el giro de los recursos en el PAC era de tres meses y no de dos. No obstante, el parágrafo 2º no </w:t>
      </w:r>
      <w:r w:rsidRPr="00527F3E">
        <w:rPr>
          <w:rFonts w:ascii="Times New Roman" w:eastAsia="Times New Roman" w:hAnsi="Times New Roman" w:cs="Times New Roman"/>
          <w:sz w:val="28"/>
          <w:szCs w:val="28"/>
          <w:lang w:val="es-ES"/>
        </w:rPr>
        <w:t>existía en esta proposición del representante Sánchez Arango</w:t>
      </w:r>
      <w:r w:rsidRPr="00527F3E">
        <w:rPr>
          <w:rFonts w:ascii="Times New Roman" w:eastAsia="Times New Roman" w:hAnsi="Times New Roman" w:cs="Times New Roman"/>
          <w:sz w:val="28"/>
          <w:szCs w:val="28"/>
          <w:vertAlign w:val="superscript"/>
          <w:lang w:val="es-ES"/>
        </w:rPr>
        <w:footnoteReference w:id="124"/>
      </w:r>
      <w:r w:rsidRPr="00527F3E">
        <w:rPr>
          <w:rFonts w:ascii="Times New Roman" w:eastAsia="Times New Roman" w:hAnsi="Times New Roman" w:cs="Times New Roman"/>
          <w:sz w:val="28"/>
          <w:szCs w:val="28"/>
          <w:lang w:val="es-ES"/>
        </w:rPr>
        <w:t>. Los congresistas Avella Esquivel y Ospina (este último junto con otras firmas) presentaron proposiciones en el mismo sentido (proposiciones núm. 78 y 103), aunque los montos propuestos eran sup</w:t>
      </w:r>
      <w:r w:rsidRPr="00527F3E">
        <w:rPr>
          <w:rFonts w:ascii="Times New Roman" w:eastAsia="Times New Roman" w:hAnsi="Times New Roman" w:cs="Times New Roman"/>
          <w:sz w:val="28"/>
          <w:szCs w:val="28"/>
          <w:lang w:val="es-ES"/>
        </w:rPr>
        <w:t>eriores</w:t>
      </w:r>
      <w:r w:rsidRPr="00527F3E">
        <w:rPr>
          <w:rFonts w:ascii="Times New Roman" w:eastAsia="Times New Roman" w:hAnsi="Times New Roman" w:cs="Times New Roman"/>
          <w:sz w:val="28"/>
          <w:szCs w:val="28"/>
          <w:vertAlign w:val="superscript"/>
          <w:lang w:val="es-ES"/>
        </w:rPr>
        <w:footnoteReference w:id="125"/>
      </w:r>
      <w:r w:rsidRPr="00527F3E">
        <w:rPr>
          <w:rFonts w:ascii="Times New Roman" w:eastAsia="Times New Roman" w:hAnsi="Times New Roman" w:cs="Times New Roman"/>
          <w:sz w:val="28"/>
          <w:szCs w:val="28"/>
          <w:lang w:val="es-ES"/>
        </w:rPr>
        <w:t>. No obstante, el texto propuesto en este informe de ponencia para el primer debate en las sesiones conjuntas de las comisiones terceras y cuartas no incluyó ningún artículo al respecto</w:t>
      </w:r>
      <w:r w:rsidRPr="00527F3E">
        <w:rPr>
          <w:rFonts w:ascii="Times New Roman" w:eastAsia="Times New Roman" w:hAnsi="Times New Roman" w:cs="Times New Roman"/>
          <w:sz w:val="28"/>
          <w:szCs w:val="28"/>
          <w:vertAlign w:val="superscript"/>
          <w:lang w:val="es-ES"/>
        </w:rPr>
        <w:footnoteReference w:id="126"/>
      </w:r>
      <w:r w:rsidRPr="00527F3E">
        <w:rPr>
          <w:rFonts w:ascii="Times New Roman" w:eastAsia="Times New Roman" w:hAnsi="Times New Roman" w:cs="Times New Roman"/>
          <w:sz w:val="28"/>
          <w:szCs w:val="28"/>
          <w:lang w:val="es-ES"/>
        </w:rPr>
        <w:t xml:space="preserve">. </w:t>
      </w:r>
    </w:p>
    <w:p w:rsidR="00B9678A" w:rsidRPr="00527F3E" w:rsidRDefault="00527F3E" w:rsidP="001B1B92">
      <w:pPr>
        <w:spacing w:line="240" w:lineRule="auto"/>
        <w:contextualSpacing/>
        <w:rPr>
          <w:rFonts w:ascii="Times New Roman" w:eastAsia="Times New Roman" w:hAnsi="Times New Roman" w:cs="Times New Roman"/>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Existió también un informe de ponencia alternativa para pr</w:t>
      </w:r>
      <w:r w:rsidRPr="00527F3E">
        <w:rPr>
          <w:rFonts w:ascii="Times New Roman" w:eastAsia="Times New Roman" w:hAnsi="Times New Roman" w:cs="Times New Roman"/>
          <w:sz w:val="28"/>
          <w:szCs w:val="28"/>
          <w:lang w:val="es-ES"/>
        </w:rPr>
        <w:t>imer debate que presentó una minoría conformada por los senadores Miguel Uribe Turbay, Carlos Manuel Meisel Vergara y Enrique Cabrales, y el representante Carlos Edward Osorio Aguiar</w:t>
      </w:r>
      <w:r w:rsidRPr="00527F3E">
        <w:rPr>
          <w:rFonts w:ascii="Times New Roman" w:eastAsia="Times New Roman" w:hAnsi="Times New Roman" w:cs="Times New Roman"/>
          <w:sz w:val="28"/>
          <w:szCs w:val="28"/>
          <w:vertAlign w:val="superscript"/>
          <w:lang w:val="es-ES"/>
        </w:rPr>
        <w:footnoteReference w:id="127"/>
      </w:r>
      <w:r w:rsidRPr="00527F3E">
        <w:rPr>
          <w:rFonts w:ascii="Times New Roman" w:eastAsia="Times New Roman" w:hAnsi="Times New Roman" w:cs="Times New Roman"/>
          <w:sz w:val="28"/>
          <w:szCs w:val="28"/>
          <w:lang w:val="es-ES"/>
        </w:rPr>
        <w:t>. En este informe también se plasmó la preocupación sobre los SITM. Los c</w:t>
      </w:r>
      <w:r w:rsidRPr="00527F3E">
        <w:rPr>
          <w:rFonts w:ascii="Times New Roman" w:eastAsia="Times New Roman" w:hAnsi="Times New Roman" w:cs="Times New Roman"/>
          <w:sz w:val="28"/>
          <w:szCs w:val="28"/>
          <w:lang w:val="es-ES"/>
        </w:rPr>
        <w:t>ongresistas que firmaron el informe plantearon que aunque el proyecto de adición presupuestal “contempla una bolsa de 1,9 billones de pesos para el sector Hacienda, en donde se apoyará la operación de los Sistemas Integrados de Transporte Masivo (SITM)”, l</w:t>
      </w:r>
      <w:r w:rsidRPr="00527F3E">
        <w:rPr>
          <w:rFonts w:ascii="Times New Roman" w:eastAsia="Times New Roman" w:hAnsi="Times New Roman" w:cs="Times New Roman"/>
          <w:sz w:val="28"/>
          <w:szCs w:val="28"/>
          <w:lang w:val="es-ES"/>
        </w:rPr>
        <w:t>a iniciativa dejaba “en duda la cuantía de los recursos específicos para apoyar el déficit de los SITM, que según Asocapitales estaría alrededor de 3,6 billones en 2023”</w:t>
      </w:r>
      <w:r w:rsidRPr="00527F3E">
        <w:rPr>
          <w:rFonts w:ascii="Times New Roman" w:eastAsia="Times New Roman" w:hAnsi="Times New Roman" w:cs="Times New Roman"/>
          <w:sz w:val="28"/>
          <w:szCs w:val="28"/>
          <w:vertAlign w:val="superscript"/>
          <w:lang w:val="es-ES"/>
        </w:rPr>
        <w:footnoteReference w:id="128"/>
      </w:r>
      <w:r w:rsidRPr="00527F3E">
        <w:rPr>
          <w:rFonts w:ascii="Times New Roman" w:eastAsia="Times New Roman" w:hAnsi="Times New Roman" w:cs="Times New Roman"/>
          <w:sz w:val="28"/>
          <w:szCs w:val="28"/>
          <w:lang w:val="es-ES"/>
        </w:rPr>
        <w:t>. El informe, por lo tanto, pidió una asignación específica, más allá de la referencia</w:t>
      </w:r>
      <w:r w:rsidRPr="00527F3E">
        <w:rPr>
          <w:rFonts w:ascii="Times New Roman" w:eastAsia="Times New Roman" w:hAnsi="Times New Roman" w:cs="Times New Roman"/>
          <w:sz w:val="28"/>
          <w:szCs w:val="28"/>
          <w:lang w:val="es-ES"/>
        </w:rPr>
        <w:t xml:space="preserve"> general que la exposición de motivos hacía dentro de los ajustes presupuestales para el sector Hacienda, tal y como se sintetizó arriba en la presente providencia. En concreto, el informe solicitó que se destinaran $1,3 billones a cubrir el déficit mencio</w:t>
      </w:r>
      <w:r w:rsidRPr="00527F3E">
        <w:rPr>
          <w:rFonts w:ascii="Times New Roman" w:eastAsia="Times New Roman" w:hAnsi="Times New Roman" w:cs="Times New Roman"/>
          <w:sz w:val="28"/>
          <w:szCs w:val="28"/>
          <w:lang w:val="es-ES"/>
        </w:rPr>
        <w:t>nado</w:t>
      </w:r>
      <w:r w:rsidRPr="00527F3E">
        <w:rPr>
          <w:rFonts w:ascii="Times New Roman" w:eastAsia="Times New Roman" w:hAnsi="Times New Roman" w:cs="Times New Roman"/>
          <w:sz w:val="28"/>
          <w:szCs w:val="28"/>
          <w:vertAlign w:val="superscript"/>
          <w:lang w:val="es-ES"/>
        </w:rPr>
        <w:footnoteReference w:id="129"/>
      </w:r>
      <w:r w:rsidRPr="00527F3E">
        <w:rPr>
          <w:rFonts w:ascii="Times New Roman" w:eastAsia="Times New Roman" w:hAnsi="Times New Roman" w:cs="Times New Roman"/>
          <w:sz w:val="28"/>
          <w:szCs w:val="28"/>
          <w:lang w:val="es-ES"/>
        </w:rPr>
        <w:t>. Igualmente, propuso la adición de un artículo nuevo con la misma redacción del contenido en las proposiciones ya mencionadas del informe de ponencia mayoritaria</w:t>
      </w:r>
      <w:r w:rsidRPr="00527F3E">
        <w:rPr>
          <w:rFonts w:ascii="Times New Roman" w:eastAsia="Times New Roman" w:hAnsi="Times New Roman" w:cs="Times New Roman"/>
          <w:sz w:val="28"/>
          <w:szCs w:val="28"/>
          <w:vertAlign w:val="superscript"/>
          <w:lang w:val="es-ES"/>
        </w:rPr>
        <w:footnoteReference w:id="130"/>
      </w:r>
      <w:r w:rsidRPr="00527F3E">
        <w:rPr>
          <w:rFonts w:ascii="Times New Roman" w:eastAsia="Times New Roman" w:hAnsi="Times New Roman" w:cs="Times New Roman"/>
          <w:sz w:val="28"/>
          <w:szCs w:val="28"/>
          <w:lang w:val="es-ES"/>
        </w:rPr>
        <w:t>. En este caso, el artículo quedó incluido en el texto propuesto para debate. Sin embarg</w:t>
      </w:r>
      <w:r w:rsidRPr="00527F3E">
        <w:rPr>
          <w:rFonts w:ascii="Times New Roman" w:eastAsia="Times New Roman" w:hAnsi="Times New Roman" w:cs="Times New Roman"/>
          <w:sz w:val="28"/>
          <w:szCs w:val="28"/>
          <w:lang w:val="es-ES"/>
        </w:rPr>
        <w:t>o, esta propuesta tampoco contenía el parágrafo 2º</w:t>
      </w:r>
      <w:r w:rsidRPr="00527F3E">
        <w:rPr>
          <w:rFonts w:ascii="Times New Roman" w:eastAsia="Times New Roman" w:hAnsi="Times New Roman" w:cs="Times New Roman"/>
          <w:sz w:val="28"/>
          <w:szCs w:val="28"/>
          <w:vertAlign w:val="superscript"/>
          <w:lang w:val="es-ES"/>
        </w:rPr>
        <w:footnoteReference w:id="131"/>
      </w:r>
      <w:r w:rsidRPr="00527F3E">
        <w:rPr>
          <w:rFonts w:ascii="Times New Roman" w:eastAsia="Times New Roman" w:hAnsi="Times New Roman" w:cs="Times New Roman"/>
          <w:sz w:val="28"/>
          <w:szCs w:val="28"/>
          <w:lang w:val="es-ES"/>
        </w:rPr>
        <w:t>.</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9F689D">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 xml:space="preserve">A pesar de estas propuestas de las ponencias, el texto aprobado en primer debate, en sesiones conjuntas de las comisiones terceras y cuartas del Senado y la Cámara de Representantes, no incluyó texto </w:t>
      </w:r>
      <w:r w:rsidRPr="00527F3E">
        <w:rPr>
          <w:rFonts w:ascii="Times New Roman" w:eastAsia="Times New Roman" w:hAnsi="Times New Roman" w:cs="Times New Roman"/>
          <w:sz w:val="28"/>
          <w:szCs w:val="28"/>
          <w:lang w:val="es-ES"/>
        </w:rPr>
        <w:t>alguno con el contenido normativo del artículo 4º de la ley que fue finalmente promulgada</w:t>
      </w:r>
      <w:r w:rsidRPr="00527F3E">
        <w:rPr>
          <w:rFonts w:ascii="Times New Roman" w:eastAsia="Times New Roman" w:hAnsi="Times New Roman" w:cs="Times New Roman"/>
          <w:sz w:val="28"/>
          <w:szCs w:val="28"/>
          <w:vertAlign w:val="superscript"/>
          <w:lang w:val="es-ES"/>
        </w:rPr>
        <w:footnoteReference w:id="132"/>
      </w:r>
      <w:r w:rsidRPr="00527F3E">
        <w:rPr>
          <w:rFonts w:ascii="Times New Roman" w:eastAsia="Times New Roman" w:hAnsi="Times New Roman" w:cs="Times New Roman"/>
          <w:sz w:val="28"/>
          <w:szCs w:val="28"/>
          <w:lang w:val="es-ES"/>
        </w:rPr>
        <w:t>.</w:t>
      </w:r>
    </w:p>
    <w:p w:rsidR="00B9678A" w:rsidRPr="00527F3E" w:rsidRDefault="00527F3E" w:rsidP="001B1B92">
      <w:pPr>
        <w:spacing w:line="240" w:lineRule="auto"/>
        <w:contextualSpacing/>
        <w:rPr>
          <w:rFonts w:ascii="Times New Roman" w:eastAsia="Times New Roman" w:hAnsi="Times New Roman" w:cs="Times New Roman"/>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El nuevo artículo, tal y como fue aprobado en la Ley 2299 de 2023, incluido su parágrafo 2º, apareció por primera vez en el trámite legislativo en el informe de po</w:t>
      </w:r>
      <w:r w:rsidRPr="00527F3E">
        <w:rPr>
          <w:rFonts w:ascii="Times New Roman" w:eastAsia="Times New Roman" w:hAnsi="Times New Roman" w:cs="Times New Roman"/>
          <w:sz w:val="28"/>
          <w:szCs w:val="28"/>
          <w:lang w:val="es-ES"/>
        </w:rPr>
        <w:t>nencia para segundo debate en las plenarias del Senado de la República</w:t>
      </w:r>
      <w:r w:rsidRPr="00527F3E">
        <w:rPr>
          <w:rFonts w:ascii="Times New Roman" w:eastAsia="Times New Roman" w:hAnsi="Times New Roman" w:cs="Times New Roman"/>
          <w:sz w:val="28"/>
          <w:szCs w:val="28"/>
          <w:vertAlign w:val="superscript"/>
          <w:lang w:val="es-ES"/>
        </w:rPr>
        <w:footnoteReference w:id="133"/>
      </w:r>
      <w:r w:rsidRPr="00527F3E">
        <w:rPr>
          <w:rFonts w:ascii="Times New Roman" w:eastAsia="Times New Roman" w:hAnsi="Times New Roman" w:cs="Times New Roman"/>
          <w:sz w:val="28"/>
          <w:szCs w:val="28"/>
          <w:lang w:val="es-ES"/>
        </w:rPr>
        <w:t xml:space="preserve"> y de la Cámara de Representantes</w:t>
      </w:r>
      <w:r w:rsidRPr="00527F3E">
        <w:rPr>
          <w:rFonts w:ascii="Times New Roman" w:eastAsia="Times New Roman" w:hAnsi="Times New Roman" w:cs="Times New Roman"/>
          <w:sz w:val="28"/>
          <w:szCs w:val="28"/>
          <w:vertAlign w:val="superscript"/>
          <w:lang w:val="es-ES"/>
        </w:rPr>
        <w:footnoteReference w:id="134"/>
      </w:r>
      <w:r w:rsidRPr="00527F3E">
        <w:rPr>
          <w:rFonts w:ascii="Times New Roman" w:eastAsia="Times New Roman" w:hAnsi="Times New Roman" w:cs="Times New Roman"/>
          <w:sz w:val="28"/>
          <w:szCs w:val="28"/>
          <w:lang w:val="es-ES"/>
        </w:rPr>
        <w:t xml:space="preserve">. En los textos propuestos para segundo debate en Senado y Cámara figura como el artículo 4 modificatorio del artículo 99 de la Ley 2276 de 2022 y con </w:t>
      </w:r>
      <w:r w:rsidRPr="00527F3E">
        <w:rPr>
          <w:rFonts w:ascii="Times New Roman" w:eastAsia="Times New Roman" w:hAnsi="Times New Roman" w:cs="Times New Roman"/>
          <w:sz w:val="28"/>
          <w:szCs w:val="28"/>
          <w:lang w:val="es-ES"/>
        </w:rPr>
        <w:t>el texto finalmente aprobado en la Ley 2299 de 2023</w:t>
      </w:r>
      <w:r w:rsidRPr="00527F3E">
        <w:rPr>
          <w:rFonts w:ascii="Times New Roman" w:eastAsia="Times New Roman" w:hAnsi="Times New Roman" w:cs="Times New Roman"/>
          <w:sz w:val="28"/>
          <w:szCs w:val="28"/>
          <w:vertAlign w:val="superscript"/>
          <w:lang w:val="es-ES"/>
        </w:rPr>
        <w:footnoteReference w:id="135"/>
      </w:r>
      <w:r w:rsidRPr="00527F3E">
        <w:rPr>
          <w:rFonts w:ascii="Times New Roman" w:eastAsia="Times New Roman" w:hAnsi="Times New Roman" w:cs="Times New Roman"/>
          <w:sz w:val="28"/>
          <w:szCs w:val="28"/>
          <w:lang w:val="es-ES"/>
        </w:rPr>
        <w:t>. No obstante, los informes no ofrecieron mayor justificación con respecto a la adición del parágrafo 2º. Para soportar la adición del artículo, los informes argumentaron que “</w:t>
      </w:r>
      <w:r w:rsidRPr="00527F3E">
        <w:rPr>
          <w:rFonts w:ascii="Times New Roman" w:eastAsia="Times New Roman" w:hAnsi="Times New Roman" w:cs="Times New Roman"/>
          <w:sz w:val="28"/>
          <w:szCs w:val="28"/>
          <w:lang w:val="es-419"/>
        </w:rPr>
        <w:t xml:space="preserve">[r]especto al artículo sobre los SITM y los SETP, </w:t>
      </w:r>
      <w:r w:rsidRPr="00527F3E">
        <w:rPr>
          <w:rFonts w:ascii="Times New Roman" w:eastAsia="Times New Roman" w:hAnsi="Times New Roman" w:cs="Times New Roman"/>
          <w:sz w:val="28"/>
          <w:szCs w:val="28"/>
          <w:lang w:val="es-ES"/>
        </w:rPr>
        <w:t>se consideró que el comportamiento de la ejecución presupuestal del PGN permite realizar traslados presupuestales al interior del sector hacienda [sic] para cofinanciar los déficits operacionales de estos s</w:t>
      </w:r>
      <w:r w:rsidRPr="00527F3E">
        <w:rPr>
          <w:rFonts w:ascii="Times New Roman" w:eastAsia="Times New Roman" w:hAnsi="Times New Roman" w:cs="Times New Roman"/>
          <w:sz w:val="28"/>
          <w:szCs w:val="28"/>
          <w:lang w:val="es-ES"/>
        </w:rPr>
        <w:t>istemas de transporte, en una suma no inferior a un billón de pesos, sin afectar el monto de la adición prevista en este proyecto de ley”</w:t>
      </w:r>
      <w:r w:rsidRPr="00527F3E">
        <w:rPr>
          <w:rFonts w:ascii="Times New Roman" w:eastAsia="Times New Roman" w:hAnsi="Times New Roman" w:cs="Times New Roman"/>
          <w:sz w:val="28"/>
          <w:szCs w:val="28"/>
          <w:vertAlign w:val="superscript"/>
          <w:lang w:val="es-ES"/>
        </w:rPr>
        <w:footnoteReference w:id="136"/>
      </w:r>
      <w:r w:rsidRPr="00527F3E">
        <w:rPr>
          <w:rFonts w:ascii="Times New Roman" w:eastAsia="Times New Roman" w:hAnsi="Times New Roman" w:cs="Times New Roman"/>
          <w:sz w:val="28"/>
          <w:szCs w:val="28"/>
          <w:lang w:val="es-ES"/>
        </w:rPr>
        <w:t xml:space="preserve">. </w:t>
      </w:r>
    </w:p>
    <w:p w:rsidR="00B9678A" w:rsidRPr="00527F3E" w:rsidRDefault="00527F3E" w:rsidP="001B1B92">
      <w:pPr>
        <w:spacing w:line="240" w:lineRule="auto"/>
        <w:contextualSpacing/>
        <w:rPr>
          <w:rFonts w:ascii="Times New Roman" w:eastAsia="Times New Roman" w:hAnsi="Times New Roman" w:cs="Times New Roman"/>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Los dos informes para segundo debate en las plenarias recogieron las proposiciones presentadas hasta ese punto del</w:t>
      </w:r>
      <w:r w:rsidRPr="00527F3E">
        <w:rPr>
          <w:rFonts w:ascii="Times New Roman" w:eastAsia="Times New Roman" w:hAnsi="Times New Roman" w:cs="Times New Roman"/>
          <w:sz w:val="28"/>
          <w:szCs w:val="28"/>
          <w:lang w:val="es-ES"/>
        </w:rPr>
        <w:t xml:space="preserve"> trámite legislativo, dentro de las cuales existieron varias que plantearon adicionar el artículo en mención, tal y como se describió antes en esta Sentencia. Al estudiarlas, se constata que el parágrafo 2º que ahora estudia esta Corporación aparece en la </w:t>
      </w:r>
      <w:r w:rsidRPr="00527F3E">
        <w:rPr>
          <w:rFonts w:ascii="Times New Roman" w:eastAsia="Times New Roman" w:hAnsi="Times New Roman" w:cs="Times New Roman"/>
          <w:sz w:val="28"/>
          <w:szCs w:val="28"/>
          <w:lang w:val="es-ES"/>
        </w:rPr>
        <w:t>proposición número 55 suscrita por el representante Hernando Guida Ponce “y otras firmas”</w:t>
      </w:r>
      <w:r w:rsidRPr="00527F3E">
        <w:rPr>
          <w:rFonts w:ascii="Times New Roman" w:eastAsia="Times New Roman" w:hAnsi="Times New Roman" w:cs="Times New Roman"/>
          <w:sz w:val="28"/>
          <w:szCs w:val="28"/>
          <w:vertAlign w:val="superscript"/>
          <w:lang w:val="es-ES"/>
        </w:rPr>
        <w:footnoteReference w:id="137"/>
      </w:r>
      <w:r w:rsidRPr="00527F3E">
        <w:rPr>
          <w:rFonts w:ascii="Times New Roman" w:eastAsia="Times New Roman" w:hAnsi="Times New Roman" w:cs="Times New Roman"/>
          <w:sz w:val="28"/>
          <w:szCs w:val="28"/>
          <w:lang w:val="es-ES"/>
        </w:rPr>
        <w:t xml:space="preserve">. </w:t>
      </w:r>
    </w:p>
    <w:p w:rsidR="00B9678A" w:rsidRPr="00527F3E" w:rsidRDefault="00527F3E" w:rsidP="001B1B92">
      <w:pPr>
        <w:spacing w:line="240" w:lineRule="auto"/>
        <w:contextualSpacing/>
        <w:rPr>
          <w:rFonts w:ascii="Times New Roman" w:eastAsia="Times New Roman" w:hAnsi="Times New Roman" w:cs="Times New Roman"/>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El debate en la plenaria de la Cámara de Representantes tuvo lugar en la sesión extraordinaria del 23 de junio de 2023</w:t>
      </w:r>
      <w:r w:rsidRPr="00527F3E">
        <w:rPr>
          <w:rFonts w:ascii="Times New Roman" w:eastAsia="Times New Roman" w:hAnsi="Times New Roman" w:cs="Times New Roman"/>
          <w:sz w:val="28"/>
          <w:szCs w:val="28"/>
          <w:vertAlign w:val="superscript"/>
          <w:lang w:val="es-ES"/>
        </w:rPr>
        <w:footnoteReference w:id="138"/>
      </w:r>
      <w:r w:rsidRPr="00527F3E">
        <w:rPr>
          <w:rFonts w:ascii="Times New Roman" w:eastAsia="Times New Roman" w:hAnsi="Times New Roman" w:cs="Times New Roman"/>
          <w:sz w:val="28"/>
          <w:szCs w:val="28"/>
          <w:lang w:val="es-ES"/>
        </w:rPr>
        <w:t>. A continuación, se resumen algunas de las</w:t>
      </w:r>
      <w:r w:rsidRPr="00527F3E">
        <w:rPr>
          <w:rFonts w:ascii="Times New Roman" w:eastAsia="Times New Roman" w:hAnsi="Times New Roman" w:cs="Times New Roman"/>
          <w:sz w:val="28"/>
          <w:szCs w:val="28"/>
          <w:lang w:val="es-ES"/>
        </w:rPr>
        <w:t xml:space="preserve"> intervenciones sobre el asunto objeto de análisis. Durante el debate correspondiente, se votó una proposición del representante Julián David López Tenorio para eliminar el parágrafo 2º del artículo 4º del proyecto de ley. El representante López Tenorio se</w:t>
      </w:r>
      <w:r w:rsidRPr="00527F3E">
        <w:rPr>
          <w:rFonts w:ascii="Times New Roman" w:eastAsia="Times New Roman" w:hAnsi="Times New Roman" w:cs="Times New Roman"/>
          <w:sz w:val="28"/>
          <w:szCs w:val="28"/>
          <w:lang w:val="es-ES"/>
        </w:rPr>
        <w:t>ñaló que la disposición</w:t>
      </w:r>
    </w:p>
    <w:p w:rsidR="00B9678A" w:rsidRPr="00527F3E" w:rsidRDefault="00527F3E" w:rsidP="00B9678A">
      <w:pPr>
        <w:spacing w:line="240" w:lineRule="auto"/>
        <w:ind w:left="720"/>
        <w:contextualSpacing/>
        <w:rPr>
          <w:rFonts w:ascii="Times New Roman" w:eastAsia="Times New Roman" w:hAnsi="Times New Roman" w:cs="Times New Roman"/>
          <w:sz w:val="28"/>
          <w:szCs w:val="28"/>
          <w:lang w:val="es-ES"/>
        </w:rPr>
      </w:pPr>
    </w:p>
    <w:p w:rsidR="00B9678A" w:rsidRPr="00527F3E" w:rsidRDefault="00527F3E" w:rsidP="001B1B92">
      <w:pPr>
        <w:tabs>
          <w:tab w:val="left" w:pos="0"/>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 xml:space="preserve">“les da la posibilidad a las entidades territoriales (…) de que puedan de manera sospechosa, casi que a dedo, organizar el desequilibrio económico de un contrato. </w:t>
      </w:r>
    </w:p>
    <w:p w:rsidR="00B9678A" w:rsidRPr="00527F3E" w:rsidRDefault="00527F3E" w:rsidP="001B1B92">
      <w:pPr>
        <w:tabs>
          <w:tab w:val="left" w:pos="0"/>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tabs>
          <w:tab w:val="left" w:pos="0"/>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 xml:space="preserve">(…) </w:t>
      </w:r>
    </w:p>
    <w:p w:rsidR="00B9678A" w:rsidRPr="00527F3E" w:rsidRDefault="00527F3E" w:rsidP="001B1B92">
      <w:pPr>
        <w:tabs>
          <w:tab w:val="left" w:pos="0"/>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tabs>
          <w:tab w:val="left" w:pos="0"/>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Lo segundo es que le dan seis meses (…) los alcaldes (…) sol</w:t>
      </w:r>
      <w:r w:rsidRPr="00527F3E">
        <w:rPr>
          <w:rFonts w:ascii="Times New Roman" w:eastAsia="Times New Roman" w:hAnsi="Times New Roman" w:cs="Times New Roman"/>
          <w:sz w:val="28"/>
          <w:szCs w:val="28"/>
          <w:lang w:val="es-ES"/>
        </w:rPr>
        <w:t>amente tienen seis meses para que prueben el desequilibrio económico; eso no ocurre en ningún lado, además de todo, y lo más grave (…) es que ustedes quieren con este parágrafo modificar la Ley 80 del 93, (…) ahora resulta que de manera obligatoria van a s</w:t>
      </w:r>
      <w:r w:rsidRPr="00527F3E">
        <w:rPr>
          <w:rFonts w:ascii="Times New Roman" w:eastAsia="Times New Roman" w:hAnsi="Times New Roman" w:cs="Times New Roman"/>
          <w:sz w:val="28"/>
          <w:szCs w:val="28"/>
          <w:lang w:val="es-ES"/>
        </w:rPr>
        <w:t>entar a los concesionarios y les tiene que obligar, vía este parágrafo, bajar los costos, tienen que bajar los costos cuando aquí todo se ha incrementado”</w:t>
      </w:r>
      <w:r w:rsidRPr="00527F3E">
        <w:rPr>
          <w:rFonts w:ascii="Times New Roman" w:eastAsia="Times New Roman" w:hAnsi="Times New Roman" w:cs="Times New Roman"/>
          <w:sz w:val="28"/>
          <w:szCs w:val="28"/>
          <w:vertAlign w:val="superscript"/>
          <w:lang w:val="es-ES"/>
        </w:rPr>
        <w:footnoteReference w:id="139"/>
      </w:r>
      <w:r w:rsidRPr="00527F3E">
        <w:rPr>
          <w:rFonts w:ascii="Times New Roman" w:eastAsia="Times New Roman" w:hAnsi="Times New Roman" w:cs="Times New Roman"/>
          <w:sz w:val="28"/>
          <w:szCs w:val="28"/>
          <w:lang w:val="es-ES"/>
        </w:rPr>
        <w:t xml:space="preserve">. </w:t>
      </w:r>
    </w:p>
    <w:p w:rsidR="00B9678A" w:rsidRPr="00527F3E" w:rsidRDefault="00527F3E" w:rsidP="00B9678A">
      <w:pPr>
        <w:tabs>
          <w:tab w:val="left" w:pos="426"/>
        </w:tabs>
        <w:autoSpaceDE w:val="0"/>
        <w:autoSpaceDN w:val="0"/>
        <w:spacing w:after="0" w:line="240" w:lineRule="auto"/>
        <w:ind w:left="567" w:right="567"/>
        <w:jc w:val="both"/>
        <w:textAlignment w:val="baseline"/>
        <w:rPr>
          <w:rFonts w:ascii="Times New Roman" w:eastAsia="Times New Roman" w:hAnsi="Times New Roman" w:cs="Times New Roman"/>
          <w:sz w:val="28"/>
          <w:szCs w:val="28"/>
          <w:lang w:val="es-ES"/>
        </w:rPr>
      </w:pPr>
    </w:p>
    <w:p w:rsidR="00B9678A" w:rsidRPr="00527F3E" w:rsidRDefault="00527F3E" w:rsidP="009F689D">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 xml:space="preserve">El representante Óscar Darío Pérez Pineda defendió la disposición. Señaló que “la génesis de ese </w:t>
      </w:r>
      <w:r w:rsidRPr="00527F3E">
        <w:rPr>
          <w:rFonts w:ascii="Times New Roman" w:eastAsia="Times New Roman" w:hAnsi="Times New Roman" w:cs="Times New Roman"/>
          <w:sz w:val="28"/>
          <w:szCs w:val="28"/>
          <w:lang w:val="es-ES"/>
        </w:rPr>
        <w:t xml:space="preserve">parágrafo la tiene el Ministerio de Hacienda”. Explicó que “con la pandemia, todos los sistemas de transporte masivo en Colombia, todos perdieron un 15% de los usuarios que tenían antes de la pandemia”. Esto, sostuvo, “ha hecho que esos sistemas tengan un </w:t>
      </w:r>
      <w:r w:rsidRPr="00527F3E">
        <w:rPr>
          <w:rFonts w:ascii="Times New Roman" w:eastAsia="Times New Roman" w:hAnsi="Times New Roman" w:cs="Times New Roman"/>
          <w:sz w:val="28"/>
          <w:szCs w:val="28"/>
          <w:lang w:val="es-ES"/>
        </w:rPr>
        <w:t>desequilibrio financiero enorme”. Por eso, según el representante Pérez Pineda, el aporte de un billón de pesos, que no es nuevo porque ya se había aprobado en los dos años anteriores, resulta necesario para que los sistemas puedan seguir funcionando, “por</w:t>
      </w:r>
      <w:r w:rsidRPr="00527F3E">
        <w:rPr>
          <w:rFonts w:ascii="Times New Roman" w:eastAsia="Times New Roman" w:hAnsi="Times New Roman" w:cs="Times New Roman"/>
          <w:sz w:val="28"/>
          <w:szCs w:val="28"/>
          <w:lang w:val="es-ES"/>
        </w:rPr>
        <w:t>que los sistemas de transporte masivo hoy no tienen capacidad de operar, sino hasta el mes de agosto”</w:t>
      </w:r>
      <w:r w:rsidRPr="00527F3E">
        <w:rPr>
          <w:rFonts w:ascii="Times New Roman" w:eastAsia="Times New Roman" w:hAnsi="Times New Roman" w:cs="Times New Roman"/>
          <w:sz w:val="28"/>
          <w:szCs w:val="28"/>
          <w:vertAlign w:val="superscript"/>
          <w:lang w:val="es-ES"/>
        </w:rPr>
        <w:t xml:space="preserve"> </w:t>
      </w:r>
      <w:r w:rsidRPr="00527F3E">
        <w:rPr>
          <w:rFonts w:ascii="Times New Roman" w:eastAsia="Times New Roman" w:hAnsi="Times New Roman" w:cs="Times New Roman"/>
          <w:sz w:val="28"/>
          <w:szCs w:val="28"/>
          <w:vertAlign w:val="superscript"/>
          <w:lang w:val="es-ES"/>
        </w:rPr>
        <w:footnoteReference w:id="140"/>
      </w:r>
      <w:r w:rsidRPr="00527F3E">
        <w:rPr>
          <w:rFonts w:ascii="Times New Roman" w:eastAsia="Times New Roman" w:hAnsi="Times New Roman" w:cs="Times New Roman"/>
          <w:sz w:val="28"/>
          <w:szCs w:val="28"/>
          <w:lang w:val="es-ES"/>
        </w:rPr>
        <w:t>.</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 xml:space="preserve"> </w:t>
      </w:r>
    </w:p>
    <w:p w:rsidR="00B9678A" w:rsidRPr="00527F3E" w:rsidRDefault="00527F3E" w:rsidP="009F689D">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En relación con el mecanismo de renegociación previsto en el parágrafo 2º, el representante Pérez Pineda agregó que las entidades territoriales no es</w:t>
      </w:r>
      <w:r w:rsidRPr="00527F3E">
        <w:rPr>
          <w:rFonts w:ascii="Times New Roman" w:eastAsia="Times New Roman" w:hAnsi="Times New Roman" w:cs="Times New Roman"/>
          <w:sz w:val="28"/>
          <w:szCs w:val="28"/>
          <w:lang w:val="es-ES"/>
        </w:rPr>
        <w:t>taban obligadas por la norma a renegociar los contratos y que los derechos de los contratistas no serían desconocidos. Destacó el carácter temporal de la norma, el respeto a la seguridad jurídica y las razones que hacen necesario buscar esa aproximación co</w:t>
      </w:r>
      <w:r w:rsidRPr="00527F3E">
        <w:rPr>
          <w:rFonts w:ascii="Times New Roman" w:eastAsia="Times New Roman" w:hAnsi="Times New Roman" w:cs="Times New Roman"/>
          <w:sz w:val="28"/>
          <w:szCs w:val="28"/>
          <w:lang w:val="es-ES"/>
        </w:rPr>
        <w:t>n los operadores privados para revisar el equilibrio financiero de los contratos:</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 xml:space="preserve">“El Ministro Bonilla nos dijo que cuando él era Secretario de Hacienda renegoció con los operadores privados (…) renegoció esos tipos de contratos, estandarizó costos, hizo </w:t>
      </w:r>
      <w:r w:rsidRPr="00527F3E">
        <w:rPr>
          <w:rFonts w:ascii="Times New Roman" w:eastAsia="Times New Roman" w:hAnsi="Times New Roman" w:cs="Times New Roman"/>
          <w:sz w:val="28"/>
          <w:szCs w:val="28"/>
          <w:lang w:val="es-ES"/>
        </w:rPr>
        <w:t>más eficiente la operación. Yo creo que eso no es un pecado que lo intenten hacer las entidades territoriales con esos operadores privados.</w:t>
      </w: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w:t>
      </w:r>
    </w:p>
    <w:p w:rsidR="00B9678A" w:rsidRPr="00527F3E" w:rsidRDefault="00527F3E" w:rsidP="00B9678A">
      <w:pPr>
        <w:tabs>
          <w:tab w:val="left" w:pos="426"/>
        </w:tabs>
        <w:autoSpaceDE w:val="0"/>
        <w:autoSpaceDN w:val="0"/>
        <w:spacing w:after="0" w:line="240" w:lineRule="auto"/>
        <w:ind w:left="567" w:right="567"/>
        <w:jc w:val="both"/>
        <w:textAlignment w:val="baseline"/>
        <w:rPr>
          <w:rFonts w:ascii="Times New Roman" w:eastAsia="Times New Roman" w:hAnsi="Times New Roman" w:cs="Times New Roman"/>
          <w:sz w:val="28"/>
          <w:szCs w:val="28"/>
          <w:lang w:val="es-ES"/>
        </w:rPr>
      </w:pP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Que se ganaron esos contratos en licitaciones legítimas, ajustadas a la Ley 80, nadie les va a desconocer esos</w:t>
      </w:r>
      <w:r w:rsidRPr="00527F3E">
        <w:rPr>
          <w:rFonts w:ascii="Times New Roman" w:eastAsia="Times New Roman" w:hAnsi="Times New Roman" w:cs="Times New Roman"/>
          <w:sz w:val="28"/>
          <w:szCs w:val="28"/>
          <w:lang w:val="es-ES"/>
        </w:rPr>
        <w:t xml:space="preserve"> derechos, además, eso está revestido de la seguridad jurídica, eso es un proyecto, una ley que va a durar seis meses que si no se ponen de acuerdo, pues yo creo que nada pasará. </w:t>
      </w: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Yo quiero, Ministro, respalde esto, porque esto no puede quedar aquí con al</w:t>
      </w:r>
      <w:r w:rsidRPr="00527F3E">
        <w:rPr>
          <w:rFonts w:ascii="Times New Roman" w:eastAsia="Times New Roman" w:hAnsi="Times New Roman" w:cs="Times New Roman"/>
          <w:sz w:val="28"/>
          <w:szCs w:val="28"/>
          <w:lang w:val="es-ES"/>
        </w:rPr>
        <w:t>guna sombra de que fue el Congreso el que sacó de la manga esta posible intervención, este posible acuerdo componedor de buena voluntad. Porque aquí también hay que decirlo con claridad, porque siempre es el Estado, así sea en el nivel territorial el que p</w:t>
      </w:r>
      <w:r w:rsidRPr="00527F3E">
        <w:rPr>
          <w:rFonts w:ascii="Times New Roman" w:eastAsia="Times New Roman" w:hAnsi="Times New Roman" w:cs="Times New Roman"/>
          <w:sz w:val="28"/>
          <w:szCs w:val="28"/>
          <w:lang w:val="es-ES"/>
        </w:rPr>
        <w:t xml:space="preserve">ierda y el particular el operador esté siempre asegurado y anclado y sus utilidades siempre tendrán que ser las mismas o crecientes, cuando las circunstancias del negocio varían. </w:t>
      </w: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 xml:space="preserve">Yo también creo que en las adjudicaciones aparecen los hechos fortuitos, súbitos, que también desequilibren el contrato desde el punto de vista financiero. </w:t>
      </w: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Es que el desequilibrio, no solamente hay que mirarlo para allá, también hay que mirarlo para acá.</w:t>
      </w:r>
      <w:r w:rsidRPr="00527F3E">
        <w:rPr>
          <w:rFonts w:ascii="Times New Roman" w:eastAsia="Times New Roman" w:hAnsi="Times New Roman" w:cs="Times New Roman"/>
          <w:sz w:val="28"/>
          <w:szCs w:val="28"/>
          <w:lang w:val="es-ES"/>
        </w:rPr>
        <w:t xml:space="preserve"> (…)</w:t>
      </w: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Yo personalmente no tengo dudas, que ahí no hay ninguna acción indebida ni irregular, buscar esa aproximación con los operadores privados”</w:t>
      </w:r>
      <w:r w:rsidRPr="00527F3E">
        <w:rPr>
          <w:rFonts w:ascii="Times New Roman" w:eastAsia="Times New Roman" w:hAnsi="Times New Roman" w:cs="Times New Roman"/>
          <w:sz w:val="28"/>
          <w:szCs w:val="28"/>
          <w:vertAlign w:val="superscript"/>
          <w:lang w:val="es-ES"/>
        </w:rPr>
        <w:footnoteReference w:id="141"/>
      </w:r>
      <w:r w:rsidRPr="00527F3E">
        <w:rPr>
          <w:rFonts w:ascii="Times New Roman" w:eastAsia="Times New Roman" w:hAnsi="Times New Roman" w:cs="Times New Roman"/>
          <w:sz w:val="28"/>
          <w:szCs w:val="28"/>
          <w:lang w:val="es-ES"/>
        </w:rPr>
        <w:t>.</w:t>
      </w:r>
    </w:p>
    <w:p w:rsidR="00B9678A" w:rsidRPr="00527F3E" w:rsidRDefault="00527F3E" w:rsidP="00B9678A">
      <w:pPr>
        <w:spacing w:after="0" w:line="240" w:lineRule="auto"/>
        <w:ind w:left="567" w:right="567"/>
        <w:rPr>
          <w:rFonts w:ascii="Times New Roman" w:eastAsia="Times New Roman" w:hAnsi="Times New Roman" w:cs="Times New Roman"/>
          <w:sz w:val="28"/>
          <w:szCs w:val="28"/>
          <w:lang w:eastAsia="es-ES_tradnl"/>
        </w:rPr>
      </w:pPr>
    </w:p>
    <w:p w:rsidR="00B9678A" w:rsidRPr="00527F3E" w:rsidRDefault="00527F3E" w:rsidP="009F689D">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 xml:space="preserve">La representante Olga Lucía Velásquez Nieto y el representante José Eliécer Salazar López defendieron el </w:t>
      </w:r>
      <w:r w:rsidRPr="00527F3E">
        <w:rPr>
          <w:rFonts w:ascii="Times New Roman" w:eastAsia="Times New Roman" w:hAnsi="Times New Roman" w:cs="Times New Roman"/>
          <w:sz w:val="28"/>
          <w:szCs w:val="28"/>
          <w:lang w:val="es-ES"/>
        </w:rPr>
        <w:t>proyecto y llamaron la atención sobre el hecho de que en los años anteriores ya se habían aprobado giros por un billón de pesos dirigidos a los sistemas de transporte público del país. La representante Velásquez Nieto señaló:</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tabs>
          <w:tab w:val="left" w:pos="0"/>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“Entre un 14 y un 16% de dism</w:t>
      </w:r>
      <w:r w:rsidRPr="00527F3E">
        <w:rPr>
          <w:rFonts w:ascii="Times New Roman" w:eastAsia="Times New Roman" w:hAnsi="Times New Roman" w:cs="Times New Roman"/>
          <w:sz w:val="28"/>
          <w:szCs w:val="28"/>
          <w:lang w:val="es-ES"/>
        </w:rPr>
        <w:t>inución y entonces (…) ¿quién tiene que correr con ese, con ese desequilibrio? ¿El Estado únicamente? Aquí lo que propuso el Ministro de Hacienda, porque sí quiero dejar claro que se acogió a una propuesta del Ministro de Hacienda es, hay una posibilidad d</w:t>
      </w:r>
      <w:r w:rsidRPr="00527F3E">
        <w:rPr>
          <w:rFonts w:ascii="Times New Roman" w:eastAsia="Times New Roman" w:hAnsi="Times New Roman" w:cs="Times New Roman"/>
          <w:sz w:val="28"/>
          <w:szCs w:val="28"/>
          <w:lang w:val="es-ES"/>
        </w:rPr>
        <w:t>e renegociar, ¿Qué renegociar? Es abrir la puerta, sentar a los operadores y establecer estructuras de costos, hoy hay estructuras de costos estandarizadas en el transporte público y, entonces, aquí lo que se está abriendo es una posibilidad de hacer una p</w:t>
      </w:r>
      <w:r w:rsidRPr="00527F3E">
        <w:rPr>
          <w:rFonts w:ascii="Times New Roman" w:eastAsia="Times New Roman" w:hAnsi="Times New Roman" w:cs="Times New Roman"/>
          <w:sz w:val="28"/>
          <w:szCs w:val="28"/>
          <w:lang w:val="es-ES"/>
        </w:rPr>
        <w:t>olítica pública de transporte, que lo necesitamos”</w:t>
      </w:r>
      <w:r w:rsidRPr="00527F3E">
        <w:rPr>
          <w:rFonts w:ascii="Times New Roman" w:eastAsia="Times New Roman" w:hAnsi="Times New Roman" w:cs="Times New Roman"/>
          <w:sz w:val="28"/>
          <w:szCs w:val="28"/>
          <w:vertAlign w:val="superscript"/>
          <w:lang w:val="es-ES"/>
        </w:rPr>
        <w:footnoteReference w:id="142"/>
      </w:r>
      <w:r w:rsidRPr="00527F3E">
        <w:rPr>
          <w:rFonts w:ascii="Times New Roman" w:eastAsia="Times New Roman" w:hAnsi="Times New Roman" w:cs="Times New Roman"/>
          <w:sz w:val="28"/>
          <w:szCs w:val="28"/>
          <w:lang w:val="es-ES"/>
        </w:rPr>
        <w:t>.</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numPr>
          <w:ilvl w:val="0"/>
          <w:numId w:val="1"/>
        </w:numPr>
        <w:tabs>
          <w:tab w:val="left" w:pos="0"/>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 xml:space="preserve">La proposición para eliminar el parágrafo 2º del artículo 4º fue negada; obtuvo 5 votos positivos y 136 votos negativos. El presidente de la Cámara de Representantes, entonces, sometió a votación los </w:t>
      </w:r>
      <w:r w:rsidRPr="00527F3E">
        <w:rPr>
          <w:rFonts w:ascii="Times New Roman" w:eastAsia="Times New Roman" w:hAnsi="Times New Roman" w:cs="Times New Roman"/>
          <w:sz w:val="28"/>
          <w:szCs w:val="28"/>
          <w:lang w:val="es-ES"/>
        </w:rPr>
        <w:t xml:space="preserve">artículos 1º, 3º, 4º, 6º y 7º del texto propuesto en la ponencia para segundo debate; es decir, el artículo 4º tal como fue finalmente incorporado en la ley aprobada. Los artículos mencionados fueron aprobados con 139 votos a favor y 4 votos en contra. Al </w:t>
      </w:r>
      <w:r w:rsidRPr="00527F3E">
        <w:rPr>
          <w:rFonts w:ascii="Times New Roman" w:eastAsia="Times New Roman" w:hAnsi="Times New Roman" w:cs="Times New Roman"/>
          <w:sz w:val="28"/>
          <w:szCs w:val="28"/>
          <w:lang w:val="es-ES"/>
        </w:rPr>
        <w:t>final de la sesión, el presidente sometió a votación el título del proyecto y la siguiente cuestión: “Se le pregunta a la Plenaria si quiere que este proyecto siga su trámite”. El proyecto fue entonces aprobado con 109 votos a favor y 4 votos en contra. El</w:t>
      </w:r>
      <w:r w:rsidRPr="00527F3E">
        <w:rPr>
          <w:rFonts w:ascii="Times New Roman" w:eastAsia="Times New Roman" w:hAnsi="Times New Roman" w:cs="Times New Roman"/>
          <w:sz w:val="28"/>
          <w:szCs w:val="28"/>
          <w:lang w:val="es-ES"/>
        </w:rPr>
        <w:t xml:space="preserve"> texto definitivo del artículo 4º, incluido el parágrafo 2º, aprobado en plenaria de la Cámara de Representantes coincide exactamente con el texto que finalmente fue promulgado como ley de la República</w:t>
      </w:r>
      <w:r w:rsidRPr="00527F3E">
        <w:rPr>
          <w:rFonts w:ascii="Times New Roman" w:eastAsia="Times New Roman" w:hAnsi="Times New Roman" w:cs="Times New Roman"/>
          <w:sz w:val="28"/>
          <w:szCs w:val="28"/>
          <w:vertAlign w:val="superscript"/>
          <w:lang w:val="es-ES"/>
        </w:rPr>
        <w:footnoteReference w:id="143"/>
      </w:r>
      <w:r w:rsidRPr="00527F3E">
        <w:rPr>
          <w:rFonts w:ascii="Times New Roman" w:eastAsia="Times New Roman" w:hAnsi="Times New Roman" w:cs="Times New Roman"/>
          <w:sz w:val="28"/>
          <w:szCs w:val="28"/>
          <w:lang w:val="es-ES"/>
        </w:rPr>
        <w:t xml:space="preserve">. </w:t>
      </w:r>
    </w:p>
    <w:p w:rsidR="00B9678A" w:rsidRPr="00527F3E" w:rsidRDefault="00527F3E" w:rsidP="001B1B92">
      <w:pPr>
        <w:tabs>
          <w:tab w:val="left" w:pos="0"/>
        </w:tabs>
        <w:autoSpaceDE w:val="0"/>
        <w:autoSpaceDN w:val="0"/>
        <w:spacing w:after="0" w:line="240" w:lineRule="auto"/>
        <w:ind w:right="49"/>
        <w:jc w:val="both"/>
        <w:textAlignment w:val="baseline"/>
        <w:rPr>
          <w:rFonts w:ascii="Times New Roman" w:eastAsia="Times New Roman" w:hAnsi="Times New Roman" w:cs="Times New Roman"/>
          <w:sz w:val="28"/>
          <w:szCs w:val="28"/>
          <w:lang w:eastAsia="es-ES_tradnl"/>
        </w:rPr>
      </w:pPr>
    </w:p>
    <w:p w:rsidR="00B9678A" w:rsidRPr="00527F3E" w:rsidRDefault="00527F3E" w:rsidP="001B1B92">
      <w:pPr>
        <w:numPr>
          <w:ilvl w:val="0"/>
          <w:numId w:val="1"/>
        </w:numPr>
        <w:tabs>
          <w:tab w:val="left" w:pos="0"/>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El debate en la plenaria del Senado de la Repúblic</w:t>
      </w:r>
      <w:r w:rsidRPr="00527F3E">
        <w:rPr>
          <w:rFonts w:ascii="Times New Roman" w:eastAsia="Times New Roman" w:hAnsi="Times New Roman" w:cs="Times New Roman"/>
          <w:sz w:val="28"/>
          <w:szCs w:val="28"/>
          <w:lang w:val="es-ES"/>
        </w:rPr>
        <w:t>a tuvo lugar en la sesión extraordinaria del 23 de junio de 2023</w:t>
      </w:r>
      <w:r w:rsidRPr="00527F3E">
        <w:rPr>
          <w:rFonts w:ascii="Times New Roman" w:eastAsia="Times New Roman" w:hAnsi="Times New Roman" w:cs="Times New Roman"/>
          <w:sz w:val="28"/>
          <w:szCs w:val="28"/>
          <w:vertAlign w:val="superscript"/>
          <w:lang w:val="es-ES"/>
        </w:rPr>
        <w:footnoteReference w:id="144"/>
      </w:r>
      <w:r w:rsidRPr="00527F3E">
        <w:rPr>
          <w:rFonts w:ascii="Times New Roman" w:eastAsia="Times New Roman" w:hAnsi="Times New Roman" w:cs="Times New Roman"/>
          <w:sz w:val="28"/>
          <w:szCs w:val="28"/>
          <w:lang w:val="es-ES"/>
        </w:rPr>
        <w:t>. Al igual que ocurrió en la plenaria de la Cámara, también en el Senado el parágrafo 2º del hoy artículo 4º de la Ley 2299 de 2023 tuvo defensores y detractores. El senador Miguel Uribe Turb</w:t>
      </w:r>
      <w:r w:rsidRPr="00527F3E">
        <w:rPr>
          <w:rFonts w:ascii="Times New Roman" w:eastAsia="Times New Roman" w:hAnsi="Times New Roman" w:cs="Times New Roman"/>
          <w:sz w:val="28"/>
          <w:szCs w:val="28"/>
          <w:lang w:val="es-ES"/>
        </w:rPr>
        <w:t>ay cuestionó la incorporación del parágrafo 2º al sostener que “estipula que, [sic] las autoridades territoriales tendrán la necesidad, es decir, exige, obliga, a que renegocien los contratos con los operadores, no es una posibilidad, es una obligación”</w:t>
      </w:r>
      <w:r w:rsidRPr="00527F3E">
        <w:rPr>
          <w:rFonts w:ascii="Times New Roman" w:eastAsia="Times New Roman" w:hAnsi="Times New Roman" w:cs="Times New Roman"/>
          <w:sz w:val="28"/>
          <w:szCs w:val="28"/>
          <w:vertAlign w:val="superscript"/>
          <w:lang w:val="es-ES"/>
        </w:rPr>
        <w:footnoteReference w:id="145"/>
      </w:r>
      <w:r w:rsidRPr="00527F3E">
        <w:rPr>
          <w:rFonts w:ascii="Times New Roman" w:eastAsia="Times New Roman" w:hAnsi="Times New Roman" w:cs="Times New Roman"/>
          <w:sz w:val="28"/>
          <w:szCs w:val="28"/>
          <w:lang w:val="es-ES"/>
        </w:rPr>
        <w:t xml:space="preserve">. </w:t>
      </w:r>
      <w:r w:rsidRPr="00527F3E">
        <w:rPr>
          <w:rFonts w:ascii="Times New Roman" w:eastAsia="Times New Roman" w:hAnsi="Times New Roman" w:cs="Times New Roman"/>
          <w:sz w:val="28"/>
          <w:szCs w:val="28"/>
          <w:lang w:val="es-ES"/>
        </w:rPr>
        <w:t xml:space="preserve">Señaló que, de acuerdo con el Consejo de Estado, </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tabs>
          <w:tab w:val="left" w:pos="0"/>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“el rompimiento del equilibrio económico de los contratos, solo se puede hacer si se prueba, no se puede presumir (…) nosotros en el Congreso estamos presumiendo que ya hay un desequilibrio económico, y qu</w:t>
      </w:r>
      <w:r w:rsidRPr="00527F3E">
        <w:rPr>
          <w:rFonts w:ascii="Times New Roman" w:eastAsia="Times New Roman" w:hAnsi="Times New Roman" w:cs="Times New Roman"/>
          <w:sz w:val="28"/>
          <w:szCs w:val="28"/>
          <w:lang w:val="es-ES"/>
        </w:rPr>
        <w:t>e es a favor siempre del Estado (…), pero resulta que el Estado de Derecho hay que cuidarlo y resulta que si tenemos contrato de concepción [sic], pues, hay que cumplir la norma, no solo lo que dice la Ley 80, sino lo que el Consejo de Estado ha dicho en s</w:t>
      </w:r>
      <w:r w:rsidRPr="00527F3E">
        <w:rPr>
          <w:rFonts w:ascii="Times New Roman" w:eastAsia="Times New Roman" w:hAnsi="Times New Roman" w:cs="Times New Roman"/>
          <w:sz w:val="28"/>
          <w:szCs w:val="28"/>
          <w:lang w:val="es-ES"/>
        </w:rPr>
        <w:t>u jurisprudencia.</w:t>
      </w:r>
    </w:p>
    <w:p w:rsidR="00B9678A" w:rsidRPr="00527F3E" w:rsidRDefault="00527F3E" w:rsidP="001B1B92">
      <w:pPr>
        <w:tabs>
          <w:tab w:val="left" w:pos="0"/>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tabs>
          <w:tab w:val="left" w:pos="0"/>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 eso es ponerles una pistola a los operadores, es decirle [sic], o me renegocia o le hago terminación unilateral del contrato, cómo es posible, no eso no es posible, no se puede hacer así, el Estado no puede funcionar así”</w:t>
      </w:r>
      <w:r w:rsidRPr="00527F3E">
        <w:rPr>
          <w:rFonts w:ascii="Times New Roman" w:eastAsia="Times New Roman" w:hAnsi="Times New Roman" w:cs="Times New Roman"/>
          <w:sz w:val="28"/>
          <w:szCs w:val="28"/>
          <w:vertAlign w:val="superscript"/>
          <w:lang w:val="es-ES"/>
        </w:rPr>
        <w:footnoteReference w:id="146"/>
      </w:r>
      <w:r w:rsidRPr="00527F3E">
        <w:rPr>
          <w:rFonts w:ascii="Times New Roman" w:eastAsia="Times New Roman" w:hAnsi="Times New Roman" w:cs="Times New Roman"/>
          <w:sz w:val="28"/>
          <w:szCs w:val="28"/>
          <w:lang w:val="es-ES"/>
        </w:rPr>
        <w:t>.</w:t>
      </w:r>
    </w:p>
    <w:p w:rsidR="00B9678A" w:rsidRPr="00527F3E" w:rsidRDefault="00527F3E" w:rsidP="00B9678A">
      <w:pPr>
        <w:tabs>
          <w:tab w:val="left" w:pos="426"/>
        </w:tabs>
        <w:autoSpaceDE w:val="0"/>
        <w:autoSpaceDN w:val="0"/>
        <w:spacing w:after="0" w:line="240" w:lineRule="auto"/>
        <w:ind w:right="1440"/>
        <w:jc w:val="both"/>
        <w:textAlignment w:val="baseline"/>
        <w:rPr>
          <w:rFonts w:ascii="Times New Roman" w:eastAsia="Times New Roman" w:hAnsi="Times New Roman" w:cs="Times New Roman"/>
          <w:sz w:val="28"/>
          <w:szCs w:val="28"/>
          <w:lang w:eastAsia="es-ES_tradnl"/>
        </w:rPr>
      </w:pPr>
    </w:p>
    <w:p w:rsidR="00B9678A" w:rsidRPr="00527F3E" w:rsidRDefault="00527F3E" w:rsidP="009F689D">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El senad</w:t>
      </w:r>
      <w:r w:rsidRPr="00527F3E">
        <w:rPr>
          <w:rFonts w:ascii="Times New Roman" w:eastAsia="Times New Roman" w:hAnsi="Times New Roman" w:cs="Times New Roman"/>
          <w:sz w:val="28"/>
          <w:szCs w:val="28"/>
          <w:lang w:val="es-ES"/>
        </w:rPr>
        <w:t xml:space="preserve">or Juan Felipe Lemos Uribe contraargumentó que “el Consejo de Estado ha expresado de manera reiterada, que cuando se configura un hecho del príncipe que es, lo que se pudiera configurar en este caso, siempre habrá que reconocer el equilibrio económico del </w:t>
      </w:r>
      <w:r w:rsidRPr="00527F3E">
        <w:rPr>
          <w:rFonts w:ascii="Times New Roman" w:eastAsia="Times New Roman" w:hAnsi="Times New Roman" w:cs="Times New Roman"/>
          <w:sz w:val="28"/>
          <w:szCs w:val="28"/>
          <w:lang w:val="es-ES"/>
        </w:rPr>
        <w:t>contratista, nunca, nunca del Estado”</w:t>
      </w:r>
      <w:r w:rsidRPr="00527F3E">
        <w:rPr>
          <w:rFonts w:ascii="Times New Roman" w:eastAsia="Times New Roman" w:hAnsi="Times New Roman" w:cs="Times New Roman"/>
          <w:sz w:val="28"/>
          <w:szCs w:val="28"/>
          <w:vertAlign w:val="superscript"/>
          <w:lang w:val="es-ES"/>
        </w:rPr>
        <w:footnoteReference w:id="147"/>
      </w:r>
      <w:r w:rsidRPr="00527F3E">
        <w:rPr>
          <w:rFonts w:ascii="Times New Roman" w:eastAsia="Times New Roman" w:hAnsi="Times New Roman" w:cs="Times New Roman"/>
          <w:sz w:val="28"/>
          <w:szCs w:val="28"/>
          <w:lang w:val="es-ES"/>
        </w:rPr>
        <w:t>. Agregó que el parágrafo 2º:</w:t>
      </w: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 xml:space="preserve">“no establece una obligación, ese parágrafo no puede romper lo que se denomina el principio de autonomía o de voluntad de las partes, ha dicho el Consejo de Estado de manera reiterada, </w:t>
      </w:r>
      <w:r w:rsidRPr="00527F3E">
        <w:rPr>
          <w:rFonts w:ascii="Times New Roman" w:eastAsia="Times New Roman" w:hAnsi="Times New Roman" w:cs="Times New Roman"/>
          <w:sz w:val="28"/>
          <w:szCs w:val="28"/>
          <w:lang w:val="es-ES"/>
        </w:rPr>
        <w:t>que lo que las partes pactan en el contrato, es la ley para ellos [sic], ni siquiera una ley de la República como esta, puede (…) romper ese pacto (…).</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 xml:space="preserve"> </w:t>
      </w:r>
    </w:p>
    <w:p w:rsidR="00B9678A" w:rsidRPr="00527F3E" w:rsidRDefault="00527F3E" w:rsidP="009F689D">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En relación con la referencia que se hace en el parágrafo 2º a la terminación unilateral del contrato,</w:t>
      </w:r>
      <w:r w:rsidRPr="00527F3E">
        <w:rPr>
          <w:rFonts w:ascii="Times New Roman" w:eastAsia="Times New Roman" w:hAnsi="Times New Roman" w:cs="Times New Roman"/>
          <w:sz w:val="28"/>
          <w:szCs w:val="28"/>
          <w:lang w:val="es-ES"/>
        </w:rPr>
        <w:t xml:space="preserve"> el senador Lemus Uribe señaló:</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“y dice que podrá el Estado, Gobierno terminar de manera unilateral esos contratos; por favor, léase el artículo 17 de la Ley 80, para que verifique, si efectivamente este artículo podría permitir una terminación unilateral</w:t>
      </w:r>
      <w:r w:rsidRPr="00527F3E">
        <w:rPr>
          <w:rFonts w:ascii="Times New Roman" w:eastAsia="Times New Roman" w:hAnsi="Times New Roman" w:cs="Times New Roman"/>
          <w:sz w:val="28"/>
          <w:szCs w:val="28"/>
          <w:lang w:val="es-ES"/>
        </w:rPr>
        <w:t>, por parte de las entidades territoriales de esos contratos de concesión. A mi juicio no, y a mi juicio, si ese llegar [sic] a ser el caso, que las entidades mal utilicen ese artículo para los efectos que usted plantea, ahí se configura un hecho del prínc</w:t>
      </w:r>
      <w:r w:rsidRPr="00527F3E">
        <w:rPr>
          <w:rFonts w:ascii="Times New Roman" w:eastAsia="Times New Roman" w:hAnsi="Times New Roman" w:cs="Times New Roman"/>
          <w:sz w:val="28"/>
          <w:szCs w:val="28"/>
          <w:lang w:val="es-ES"/>
        </w:rPr>
        <w:t>ipe, y ha sido reiterativo el Consejo de Estado (…) que cuando se configura un hecho del príncipe, que no es responsabilidad del contratista, el Estado no puede permitir, que se desequilibre económicamente ese contrato que se celebró, bajo unas condiciones</w:t>
      </w:r>
      <w:r w:rsidRPr="00527F3E">
        <w:rPr>
          <w:rFonts w:ascii="Times New Roman" w:eastAsia="Times New Roman" w:hAnsi="Times New Roman" w:cs="Times New Roman"/>
          <w:sz w:val="28"/>
          <w:szCs w:val="28"/>
          <w:lang w:val="es-ES"/>
        </w:rPr>
        <w:t xml:space="preserve"> previas iniciales”</w:t>
      </w:r>
      <w:r w:rsidRPr="00527F3E">
        <w:rPr>
          <w:rFonts w:ascii="Times New Roman" w:eastAsia="Times New Roman" w:hAnsi="Times New Roman" w:cs="Times New Roman"/>
          <w:sz w:val="28"/>
          <w:szCs w:val="28"/>
          <w:vertAlign w:val="superscript"/>
          <w:lang w:val="es-ES"/>
        </w:rPr>
        <w:footnoteReference w:id="148"/>
      </w:r>
      <w:r w:rsidRPr="00527F3E">
        <w:rPr>
          <w:rFonts w:ascii="Times New Roman" w:eastAsia="Times New Roman" w:hAnsi="Times New Roman" w:cs="Times New Roman"/>
          <w:sz w:val="28"/>
          <w:szCs w:val="28"/>
          <w:lang w:val="es-ES"/>
        </w:rPr>
        <w:t>.</w:t>
      </w:r>
    </w:p>
    <w:p w:rsidR="00B9678A" w:rsidRPr="00527F3E" w:rsidRDefault="00527F3E" w:rsidP="00B9678A">
      <w:pPr>
        <w:spacing w:line="240" w:lineRule="auto"/>
        <w:ind w:left="720"/>
        <w:contextualSpacing/>
        <w:rPr>
          <w:rFonts w:ascii="Times New Roman" w:eastAsia="Times New Roman" w:hAnsi="Times New Roman" w:cs="Times New Roman"/>
          <w:sz w:val="28"/>
          <w:szCs w:val="28"/>
          <w:lang w:val="es-ES"/>
        </w:rPr>
      </w:pPr>
    </w:p>
    <w:p w:rsidR="00B9678A" w:rsidRPr="00527F3E" w:rsidRDefault="00527F3E" w:rsidP="009F689D">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 xml:space="preserve">En el marco de dicha discusión, el senador John Jairo Roldán Avendaño hizo una defensa de la norma en los siguientes términos: </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 el artículo de sistema de transporte, un artículo que se debatió durante 4 horas (…) ¿qué quiere es</w:t>
      </w:r>
      <w:r w:rsidRPr="00527F3E">
        <w:rPr>
          <w:rFonts w:ascii="Times New Roman" w:eastAsia="Times New Roman" w:hAnsi="Times New Roman" w:cs="Times New Roman"/>
          <w:sz w:val="28"/>
          <w:szCs w:val="28"/>
          <w:lang w:val="es-ES"/>
        </w:rPr>
        <w:t>te artículo? el Gobierno manda un mensaje muy claro, durante tres años ayudé y no ayudó [sic] más, y siéntese con los operadores, a renegociar los riesgos y a renegociar la operación, porque el privado no está poniendo nada, es el Estado el que está ponien</w:t>
      </w:r>
      <w:r w:rsidRPr="00527F3E">
        <w:rPr>
          <w:rFonts w:ascii="Times New Roman" w:eastAsia="Times New Roman" w:hAnsi="Times New Roman" w:cs="Times New Roman"/>
          <w:sz w:val="28"/>
          <w:szCs w:val="28"/>
          <w:lang w:val="es-ES"/>
        </w:rPr>
        <w:t>do y no es cierto, ahora algunos compañeros me decían, es que mire, se nombra el artículo 17 de la Ley 80 de 1993, que tiene un título que asusta, claro asusta, liquidación unilateral de contratos y solo aplica en cuatro escenarios, que ninguno de los cuat</w:t>
      </w:r>
      <w:r w:rsidRPr="00527F3E">
        <w:rPr>
          <w:rFonts w:ascii="Times New Roman" w:eastAsia="Times New Roman" w:hAnsi="Times New Roman" w:cs="Times New Roman"/>
          <w:sz w:val="28"/>
          <w:szCs w:val="28"/>
          <w:lang w:val="es-ES"/>
        </w:rPr>
        <w:t>ro, están en los sistemas de transporte masivo, ninguno de los cuatro, quiebra, muerte, incapacidad en los operadores, porque la Ley 80 qué hizo, frenó a que los nuevos alcaldes, o los alcaldes que les falta como este caso seis meses, llegarán [sic] al lib</w:t>
      </w:r>
      <w:r w:rsidRPr="00527F3E">
        <w:rPr>
          <w:rFonts w:ascii="Times New Roman" w:eastAsia="Times New Roman" w:hAnsi="Times New Roman" w:cs="Times New Roman"/>
          <w:sz w:val="28"/>
          <w:szCs w:val="28"/>
          <w:lang w:val="es-ES"/>
        </w:rPr>
        <w:t>re albedrío a liquidar los contratos, solo un contrato en Colombia, no a través de un parágrafo en la Ley de Adición Presupuestal, solo un contrato en Colombia se puede liquidar en esos cuatro escenarios, qué hace el artículo, invita, invita a los entes te</w:t>
      </w:r>
      <w:r w:rsidRPr="00527F3E">
        <w:rPr>
          <w:rFonts w:ascii="Times New Roman" w:eastAsia="Times New Roman" w:hAnsi="Times New Roman" w:cs="Times New Roman"/>
          <w:sz w:val="28"/>
          <w:szCs w:val="28"/>
          <w:lang w:val="es-ES"/>
        </w:rPr>
        <w:t>rritoriales y a los operadores, a que se sienten y, ¿por qué hasta el 31 de diciembre?, porque es que esta Ley de Adición Presupuestal vence el 31 de diciembre, no puede una ley que vence el 31 de diciembre, decir que establece un artículo por tres o cuatr</w:t>
      </w:r>
      <w:r w:rsidRPr="00527F3E">
        <w:rPr>
          <w:rFonts w:ascii="Times New Roman" w:eastAsia="Times New Roman" w:hAnsi="Times New Roman" w:cs="Times New Roman"/>
          <w:sz w:val="28"/>
          <w:szCs w:val="28"/>
          <w:lang w:val="es-ES"/>
        </w:rPr>
        <w:t>o años, pero adicional para que usted lo sepan, si un operador decide, no sentarse porque la renegociación es bilateral, no es unilateral, es un acuerdo entre las partes, si el operador decide no sentarse, está su contrato vigente, y no le va a pasar absol</w:t>
      </w:r>
      <w:r w:rsidRPr="00527F3E">
        <w:rPr>
          <w:rFonts w:ascii="Times New Roman" w:eastAsia="Times New Roman" w:hAnsi="Times New Roman" w:cs="Times New Roman"/>
          <w:sz w:val="28"/>
          <w:szCs w:val="28"/>
          <w:lang w:val="es-ES"/>
        </w:rPr>
        <w:t>utamente nada.</w:t>
      </w: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w:t>
      </w: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 xml:space="preserve">Entonces, el mensaje que está mandando el Gobierno nacional es muy claro, ustedes que tienen problemas con su operación, les ayude 2021, 2022, 2023 con la bobadita  de 3 billones, no fue menuda ni nada, 3 billones, a partir de 2024 le </w:t>
      </w:r>
      <w:r w:rsidRPr="00527F3E">
        <w:rPr>
          <w:rFonts w:ascii="Times New Roman" w:eastAsia="Times New Roman" w:hAnsi="Times New Roman" w:cs="Times New Roman"/>
          <w:sz w:val="28"/>
          <w:szCs w:val="28"/>
          <w:lang w:val="es-ES"/>
        </w:rPr>
        <w:t>sugiero que se sienten a renegociar, es más, el artículo no dice que el que no se siente que le pasa, nada, el que no el que no se sienta no le pasa nada ahora como estos contratos están a tan largo plazo, pues me imagino que a un operador le interese, sen</w:t>
      </w:r>
      <w:r w:rsidRPr="00527F3E">
        <w:rPr>
          <w:rFonts w:ascii="Times New Roman" w:eastAsia="Times New Roman" w:hAnsi="Times New Roman" w:cs="Times New Roman"/>
          <w:sz w:val="28"/>
          <w:szCs w:val="28"/>
          <w:lang w:val="es-ES"/>
        </w:rPr>
        <w:t>tarse con su jefe directo que es el alcalde del municipio, del distrito (…)”</w:t>
      </w:r>
      <w:r w:rsidRPr="00527F3E">
        <w:rPr>
          <w:rFonts w:ascii="Times New Roman" w:eastAsia="Times New Roman" w:hAnsi="Times New Roman" w:cs="Times New Roman"/>
          <w:sz w:val="28"/>
          <w:szCs w:val="28"/>
          <w:vertAlign w:val="superscript"/>
          <w:lang w:val="es-ES"/>
        </w:rPr>
        <w:footnoteReference w:id="149"/>
      </w:r>
      <w:r w:rsidRPr="00527F3E">
        <w:rPr>
          <w:rFonts w:ascii="Times New Roman" w:eastAsia="Times New Roman" w:hAnsi="Times New Roman" w:cs="Times New Roman"/>
          <w:sz w:val="28"/>
          <w:szCs w:val="28"/>
          <w:lang w:val="es-ES"/>
        </w:rPr>
        <w:t>.</w:t>
      </w:r>
    </w:p>
    <w:p w:rsidR="00B9678A" w:rsidRPr="00527F3E" w:rsidRDefault="00527F3E" w:rsidP="00B9678A">
      <w:pPr>
        <w:tabs>
          <w:tab w:val="left" w:pos="426"/>
        </w:tabs>
        <w:autoSpaceDE w:val="0"/>
        <w:autoSpaceDN w:val="0"/>
        <w:spacing w:after="0" w:line="240" w:lineRule="auto"/>
        <w:ind w:left="567" w:right="567"/>
        <w:jc w:val="both"/>
        <w:textAlignment w:val="baseline"/>
        <w:rPr>
          <w:rFonts w:ascii="Times New Roman" w:eastAsia="Times New Roman" w:hAnsi="Times New Roman" w:cs="Times New Roman"/>
          <w:sz w:val="28"/>
          <w:szCs w:val="28"/>
          <w:lang w:eastAsia="es-ES_tradnl"/>
        </w:rPr>
      </w:pPr>
    </w:p>
    <w:p w:rsidR="00B9678A" w:rsidRPr="00527F3E" w:rsidRDefault="00527F3E" w:rsidP="009F689D">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 xml:space="preserve">El senador Miguel Uribe Turbay insistió en que la renegociación de los contratos es una obligación de las entidades territoriales en los términos del parágrafo 2º. De acuerdo con su concepto, </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1B1B92">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“[e]l hecho del príncipe es exclusivamente para el contratista</w:t>
      </w:r>
      <w:r w:rsidRPr="00527F3E">
        <w:rPr>
          <w:rFonts w:ascii="Times New Roman" w:eastAsia="Times New Roman" w:hAnsi="Times New Roman" w:cs="Times New Roman"/>
          <w:sz w:val="28"/>
          <w:szCs w:val="28"/>
          <w:lang w:val="es-ES"/>
        </w:rPr>
        <w:t xml:space="preserve"> no para el Estado y es cuando la entidad contratante, como usted bien sabe, modifica las condiciones del contrato en el cumplimiento de las funciones legales (…) [el parágrafo 2º del artículo 4º] le está diciendo a las entidades territoriales tiene que ir</w:t>
      </w:r>
      <w:r w:rsidRPr="00527F3E">
        <w:rPr>
          <w:rFonts w:ascii="Times New Roman" w:eastAsia="Times New Roman" w:hAnsi="Times New Roman" w:cs="Times New Roman"/>
          <w:sz w:val="28"/>
          <w:szCs w:val="28"/>
          <w:lang w:val="es-ES"/>
        </w:rPr>
        <w:t xml:space="preserve"> a renegociar si [sic] o si [sic], evalúen ustedes el costo y tiene que ser solo para favorecer a la entidad territorial, dice parágrafo dos. Y dicen [sic] parágrafo tres, si esto no pasa se llevarán [sic] a cabo de manera previa el ejercicio de la faculta</w:t>
      </w:r>
      <w:r w:rsidRPr="00527F3E">
        <w:rPr>
          <w:rFonts w:ascii="Times New Roman" w:eastAsia="Times New Roman" w:hAnsi="Times New Roman" w:cs="Times New Roman"/>
          <w:sz w:val="28"/>
          <w:szCs w:val="28"/>
          <w:lang w:val="es-ES"/>
        </w:rPr>
        <w:t>d prevista en el artículo 17”</w:t>
      </w:r>
      <w:r w:rsidRPr="00527F3E">
        <w:rPr>
          <w:rFonts w:ascii="Times New Roman" w:eastAsia="Times New Roman" w:hAnsi="Times New Roman" w:cs="Times New Roman"/>
          <w:sz w:val="28"/>
          <w:szCs w:val="28"/>
          <w:vertAlign w:val="superscript"/>
          <w:lang w:val="es-ES"/>
        </w:rPr>
        <w:footnoteReference w:id="150"/>
      </w:r>
      <w:r w:rsidRPr="00527F3E">
        <w:rPr>
          <w:rFonts w:ascii="Times New Roman" w:eastAsia="Times New Roman" w:hAnsi="Times New Roman" w:cs="Times New Roman"/>
          <w:sz w:val="28"/>
          <w:szCs w:val="28"/>
          <w:lang w:val="es-ES"/>
        </w:rPr>
        <w:t xml:space="preserve">. </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9F689D">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Una vez aprobada la proposición para someter a segundo debate el proyecto de ley, el senador Carlos Abraham Jiménez López, demandante en el presente proceso de constitucionalidad, intervino y señaló que “ese artículo no es</w:t>
      </w:r>
      <w:r w:rsidRPr="00527F3E">
        <w:rPr>
          <w:rFonts w:ascii="Times New Roman" w:eastAsia="Times New Roman" w:hAnsi="Times New Roman" w:cs="Times New Roman"/>
          <w:sz w:val="28"/>
          <w:szCs w:val="28"/>
          <w:lang w:val="es-ES"/>
        </w:rPr>
        <w:t xml:space="preserve"> de gasto es [sic] un artículo de contratación que tiene un vicio de inconstitucionalidad”</w:t>
      </w:r>
      <w:r w:rsidRPr="00527F3E">
        <w:rPr>
          <w:rFonts w:ascii="Times New Roman" w:eastAsia="Times New Roman" w:hAnsi="Times New Roman" w:cs="Times New Roman"/>
          <w:sz w:val="28"/>
          <w:szCs w:val="28"/>
          <w:vertAlign w:val="superscript"/>
          <w:lang w:val="es-ES"/>
        </w:rPr>
        <w:footnoteReference w:id="151"/>
      </w:r>
      <w:r w:rsidRPr="00527F3E">
        <w:rPr>
          <w:rFonts w:ascii="Times New Roman" w:eastAsia="Times New Roman" w:hAnsi="Times New Roman" w:cs="Times New Roman"/>
          <w:sz w:val="28"/>
          <w:szCs w:val="28"/>
          <w:lang w:val="es-ES"/>
        </w:rPr>
        <w:t xml:space="preserve">. En una constancia que luego introdujo como proposición de eliminación, el senador Jiménez López sostuvo que el parágrafo 2º “plantea una presunción legal sobre la </w:t>
      </w:r>
      <w:r w:rsidRPr="00527F3E">
        <w:rPr>
          <w:rFonts w:ascii="Times New Roman" w:eastAsia="Times New Roman" w:hAnsi="Times New Roman" w:cs="Times New Roman"/>
          <w:sz w:val="28"/>
          <w:szCs w:val="28"/>
          <w:lang w:val="es-ES"/>
        </w:rPr>
        <w:t>existencia de ‘efectos económicos adversos derivados’ de una causa que no ha sido estudiada con suficiencia como lo fue el Covid-19 y que vale la pena recordar es constituyente de fuerza mayor para las partes”</w:t>
      </w:r>
      <w:r w:rsidRPr="00527F3E">
        <w:rPr>
          <w:rFonts w:ascii="Times New Roman" w:eastAsia="Times New Roman" w:hAnsi="Times New Roman" w:cs="Times New Roman"/>
          <w:sz w:val="28"/>
          <w:szCs w:val="28"/>
          <w:vertAlign w:val="superscript"/>
          <w:lang w:val="es-ES"/>
        </w:rPr>
        <w:footnoteReference w:id="152"/>
      </w:r>
      <w:r w:rsidRPr="00527F3E">
        <w:rPr>
          <w:rFonts w:ascii="Times New Roman" w:eastAsia="Times New Roman" w:hAnsi="Times New Roman" w:cs="Times New Roman"/>
          <w:sz w:val="28"/>
          <w:szCs w:val="28"/>
          <w:lang w:val="es-ES"/>
        </w:rPr>
        <w:t>. Con respecto al plazo establecido para la re</w:t>
      </w:r>
      <w:r w:rsidRPr="00527F3E">
        <w:rPr>
          <w:rFonts w:ascii="Times New Roman" w:eastAsia="Times New Roman" w:hAnsi="Times New Roman" w:cs="Times New Roman"/>
          <w:sz w:val="28"/>
          <w:szCs w:val="28"/>
          <w:lang w:val="es-ES"/>
        </w:rPr>
        <w:t>negociación de los contratos, el senador argumentó que “seis (6) meses no son suficientes para evaluar y examinar cada una de las situaciones contractuales y determinar si existió o no un desequilibrio económico”</w:t>
      </w:r>
      <w:r w:rsidRPr="00527F3E">
        <w:rPr>
          <w:rFonts w:ascii="Times New Roman" w:eastAsia="Times New Roman" w:hAnsi="Times New Roman" w:cs="Times New Roman"/>
          <w:sz w:val="28"/>
          <w:szCs w:val="28"/>
          <w:vertAlign w:val="superscript"/>
          <w:lang w:val="es-ES"/>
        </w:rPr>
        <w:footnoteReference w:id="153"/>
      </w:r>
      <w:r w:rsidRPr="00527F3E">
        <w:rPr>
          <w:rFonts w:ascii="Times New Roman" w:eastAsia="Times New Roman" w:hAnsi="Times New Roman" w:cs="Times New Roman"/>
          <w:sz w:val="28"/>
          <w:szCs w:val="28"/>
          <w:lang w:val="es-ES"/>
        </w:rPr>
        <w:t xml:space="preserve">. Finalmente, sostuvo que el contenido normativo relativo a la “voluntad de revisar los contratos y ponerle [sic] fin a los mismos (…) podría considerarse abiertamente inconstitucional” por violar el principio de unidad de materia. </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sz w:val="28"/>
          <w:szCs w:val="28"/>
          <w:lang w:val="es-ES"/>
        </w:rPr>
      </w:pPr>
    </w:p>
    <w:p w:rsidR="00B9678A" w:rsidRPr="00527F3E" w:rsidRDefault="00527F3E" w:rsidP="009F689D">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 xml:space="preserve">Como parte del debate </w:t>
      </w:r>
      <w:r w:rsidRPr="00527F3E">
        <w:rPr>
          <w:rFonts w:ascii="Times New Roman" w:eastAsia="Times New Roman" w:hAnsi="Times New Roman" w:cs="Times New Roman"/>
          <w:sz w:val="28"/>
          <w:szCs w:val="28"/>
          <w:lang w:val="es-ES"/>
        </w:rPr>
        <w:t>en plenaria del Senado, se sometieron a votación las proposiciones de los senadores David Andrés Luna Sánchez y Miguel Uribe Turbay, tendientes a eliminar el parágrafo 2º del artículo 4º. Las proposiciones fueron negadas; recibieron 17 votos positivos y 61</w:t>
      </w:r>
      <w:r w:rsidRPr="00527F3E">
        <w:rPr>
          <w:rFonts w:ascii="Times New Roman" w:eastAsia="Times New Roman" w:hAnsi="Times New Roman" w:cs="Times New Roman"/>
          <w:sz w:val="28"/>
          <w:szCs w:val="28"/>
          <w:lang w:val="es-ES"/>
        </w:rPr>
        <w:t xml:space="preserve"> votos negativos</w:t>
      </w:r>
      <w:r w:rsidRPr="00527F3E">
        <w:rPr>
          <w:rFonts w:ascii="Times New Roman" w:eastAsia="Times New Roman" w:hAnsi="Times New Roman" w:cs="Times New Roman"/>
          <w:sz w:val="28"/>
          <w:szCs w:val="28"/>
          <w:vertAlign w:val="superscript"/>
          <w:lang w:val="es-ES"/>
        </w:rPr>
        <w:footnoteReference w:id="154"/>
      </w:r>
      <w:r w:rsidRPr="00527F3E">
        <w:rPr>
          <w:rFonts w:ascii="Times New Roman" w:eastAsia="Times New Roman" w:hAnsi="Times New Roman" w:cs="Times New Roman"/>
          <w:sz w:val="28"/>
          <w:szCs w:val="28"/>
          <w:lang w:val="es-ES"/>
        </w:rPr>
        <w:t>. Tras haberse negado estas proposiciones de eliminación, el artículo entero fue sometido a votación en la plenaria del Senado, tal y como fue incluido en la ponencia mayoritaria, es decir, con la redacción final que resultó en la ley apro</w:t>
      </w:r>
      <w:r w:rsidRPr="00527F3E">
        <w:rPr>
          <w:rFonts w:ascii="Times New Roman" w:eastAsia="Times New Roman" w:hAnsi="Times New Roman" w:cs="Times New Roman"/>
          <w:sz w:val="28"/>
          <w:szCs w:val="28"/>
          <w:lang w:val="es-ES"/>
        </w:rPr>
        <w:t>bada. El artículo fue aprobado con 56 votos a favor y 13 votos en contra</w:t>
      </w:r>
      <w:r w:rsidRPr="00527F3E">
        <w:rPr>
          <w:rFonts w:ascii="Times New Roman" w:eastAsia="Times New Roman" w:hAnsi="Times New Roman" w:cs="Times New Roman"/>
          <w:sz w:val="28"/>
          <w:szCs w:val="28"/>
          <w:vertAlign w:val="superscript"/>
          <w:lang w:val="es-ES"/>
        </w:rPr>
        <w:footnoteReference w:id="155"/>
      </w:r>
      <w:r w:rsidRPr="00527F3E">
        <w:rPr>
          <w:rFonts w:ascii="Times New Roman" w:eastAsia="Times New Roman" w:hAnsi="Times New Roman" w:cs="Times New Roman"/>
          <w:sz w:val="28"/>
          <w:szCs w:val="28"/>
          <w:lang w:val="es-ES"/>
        </w:rPr>
        <w:t>. Finalmente, la presidencia del Senado abrió votación para omitir la lectura del articulado, el bloque del articulado, el título y convertir el proyecto de ley en ley de la República</w:t>
      </w:r>
      <w:r w:rsidRPr="00527F3E">
        <w:rPr>
          <w:rFonts w:ascii="Times New Roman" w:eastAsia="Times New Roman" w:hAnsi="Times New Roman" w:cs="Times New Roman"/>
          <w:sz w:val="28"/>
          <w:szCs w:val="28"/>
          <w:lang w:val="es-ES"/>
        </w:rPr>
        <w:t xml:space="preserve">. El proyecto fue aprobado en segundo debate en la plenaria del Senado de la República con 60 votos por el sí y 12 votos por el no. </w:t>
      </w:r>
    </w:p>
    <w:p w:rsidR="00B9678A" w:rsidRPr="00527F3E" w:rsidRDefault="00527F3E" w:rsidP="00B9678A">
      <w:pPr>
        <w:tabs>
          <w:tab w:val="left" w:pos="426"/>
        </w:tabs>
        <w:autoSpaceDE w:val="0"/>
        <w:autoSpaceDN w:val="0"/>
        <w:spacing w:after="0" w:line="240" w:lineRule="auto"/>
        <w:ind w:right="1440"/>
        <w:jc w:val="both"/>
        <w:textAlignment w:val="baseline"/>
        <w:rPr>
          <w:rFonts w:ascii="Times New Roman" w:eastAsia="Times New Roman" w:hAnsi="Times New Roman" w:cs="Times New Roman"/>
          <w:sz w:val="28"/>
          <w:szCs w:val="28"/>
          <w:lang w:eastAsia="es-ES_tradnl"/>
        </w:rPr>
      </w:pPr>
    </w:p>
    <w:p w:rsidR="00B9678A" w:rsidRPr="00527F3E" w:rsidRDefault="00527F3E" w:rsidP="00B9678A">
      <w:pPr>
        <w:tabs>
          <w:tab w:val="left" w:pos="426"/>
        </w:tabs>
        <w:autoSpaceDE w:val="0"/>
        <w:autoSpaceDN w:val="0"/>
        <w:spacing w:after="0" w:line="240" w:lineRule="auto"/>
        <w:ind w:left="426" w:right="49"/>
        <w:jc w:val="both"/>
        <w:textAlignment w:val="baseline"/>
        <w:rPr>
          <w:rFonts w:ascii="Times New Roman" w:eastAsia="Times New Roman" w:hAnsi="Times New Roman" w:cs="Times New Roman"/>
          <w:i/>
          <w:iCs/>
          <w:color w:val="000000"/>
          <w:sz w:val="28"/>
          <w:szCs w:val="28"/>
          <w:lang w:val="es-ES"/>
        </w:rPr>
      </w:pPr>
      <w:r w:rsidRPr="00527F3E">
        <w:rPr>
          <w:rFonts w:ascii="Times New Roman" w:eastAsia="Times New Roman" w:hAnsi="Times New Roman" w:cs="Times New Roman"/>
          <w:i/>
          <w:iCs/>
          <w:color w:val="000000"/>
          <w:sz w:val="28"/>
          <w:szCs w:val="28"/>
          <w:lang w:val="es-ES"/>
        </w:rPr>
        <w:t>Respuesta al problema jurídico</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iCs/>
          <w:color w:val="000000"/>
          <w:sz w:val="28"/>
          <w:szCs w:val="28"/>
          <w:lang w:val="es-ES"/>
        </w:rPr>
      </w:pPr>
      <w:r w:rsidRPr="00527F3E">
        <w:rPr>
          <w:rFonts w:ascii="Times New Roman" w:eastAsia="Times New Roman" w:hAnsi="Times New Roman" w:cs="Times New Roman"/>
          <w:color w:val="000000"/>
          <w:sz w:val="28"/>
          <w:szCs w:val="28"/>
          <w:lang w:val="es-ES"/>
        </w:rPr>
        <w:t xml:space="preserve">En el presente asunto </w:t>
      </w:r>
      <w:r w:rsidRPr="00527F3E">
        <w:rPr>
          <w:rFonts w:ascii="Times New Roman" w:eastAsia="Times New Roman" w:hAnsi="Times New Roman" w:cs="Times New Roman"/>
          <w:iCs/>
          <w:color w:val="000000"/>
          <w:sz w:val="28"/>
          <w:szCs w:val="28"/>
          <w:lang w:val="es-ES"/>
        </w:rPr>
        <w:t>corresponde a la Corte determinar si el parágrafo 2º del artículo 4º de la Ley 2299 de 2023 desconoce el principio de unidad de materia previsto en los artículos 158 y 169 de la Constitución Política al incorporar, dentro de una ley de adición presupuestal</w:t>
      </w:r>
      <w:r w:rsidRPr="00527F3E">
        <w:rPr>
          <w:rFonts w:ascii="Times New Roman" w:eastAsia="Times New Roman" w:hAnsi="Times New Roman" w:cs="Times New Roman"/>
          <w:iCs/>
          <w:color w:val="000000"/>
          <w:sz w:val="28"/>
          <w:szCs w:val="28"/>
          <w:lang w:val="es-ES"/>
        </w:rPr>
        <w:t xml:space="preserve">, disposiciones que ordenan a las autoridades territoriales </w:t>
      </w:r>
      <w:r w:rsidRPr="00527F3E">
        <w:rPr>
          <w:rFonts w:ascii="Times New Roman" w:eastAsia="Times New Roman" w:hAnsi="Times New Roman" w:cs="Times New Roman"/>
          <w:i/>
          <w:color w:val="000000"/>
          <w:sz w:val="28"/>
          <w:szCs w:val="28"/>
          <w:lang w:val="es-ES"/>
        </w:rPr>
        <w:t>(i)</w:t>
      </w:r>
      <w:r w:rsidRPr="00527F3E">
        <w:rPr>
          <w:rFonts w:ascii="Times New Roman" w:eastAsia="Times New Roman" w:hAnsi="Times New Roman" w:cs="Times New Roman"/>
          <w:iCs/>
          <w:color w:val="000000"/>
          <w:sz w:val="28"/>
          <w:szCs w:val="28"/>
          <w:lang w:val="es-ES"/>
        </w:rPr>
        <w:t xml:space="preserve"> determinar los efectos económicos adversos que hayan afectado de manera grave el equilibrio económico de los contratos de concesión y operación de los </w:t>
      </w:r>
      <w:r w:rsidRPr="00527F3E">
        <w:rPr>
          <w:rFonts w:ascii="Times New Roman" w:eastAsia="Times New Roman" w:hAnsi="Times New Roman" w:cs="Times New Roman"/>
          <w:color w:val="000000"/>
          <w:sz w:val="28"/>
          <w:szCs w:val="28"/>
          <w:lang w:val="es-ES"/>
        </w:rPr>
        <w:t xml:space="preserve">sistemas integrados de transporte masivo </w:t>
      </w:r>
      <w:r w:rsidRPr="00527F3E">
        <w:rPr>
          <w:rFonts w:ascii="Times New Roman" w:eastAsia="Times New Roman" w:hAnsi="Times New Roman" w:cs="Times New Roman"/>
          <w:color w:val="000000"/>
          <w:sz w:val="28"/>
          <w:szCs w:val="28"/>
          <w:lang w:val="es-ES"/>
        </w:rPr>
        <w:t xml:space="preserve">(SITM) y sistemas estratégicos de transporte público (SETP); </w:t>
      </w:r>
      <w:r w:rsidRPr="00527F3E">
        <w:rPr>
          <w:rFonts w:ascii="Times New Roman" w:eastAsia="Times New Roman" w:hAnsi="Times New Roman" w:cs="Times New Roman"/>
          <w:i/>
          <w:iCs/>
          <w:color w:val="000000"/>
          <w:sz w:val="28"/>
          <w:szCs w:val="28"/>
          <w:lang w:val="es-ES"/>
        </w:rPr>
        <w:t>(ii)</w:t>
      </w:r>
      <w:r w:rsidRPr="00527F3E">
        <w:rPr>
          <w:rFonts w:ascii="Times New Roman" w:eastAsia="Times New Roman" w:hAnsi="Times New Roman" w:cs="Times New Roman"/>
          <w:color w:val="000000"/>
          <w:sz w:val="28"/>
          <w:szCs w:val="28"/>
          <w:lang w:val="es-ES"/>
        </w:rPr>
        <w:t xml:space="preserve"> adelantar, hasta el 31 de diciembre de 2023, las renegociaciones de las condiciones económicas y de distribución de riesgos de esos contratos, a través de mesas en las que, además de los ope</w:t>
      </w:r>
      <w:r w:rsidRPr="00527F3E">
        <w:rPr>
          <w:rFonts w:ascii="Times New Roman" w:eastAsia="Times New Roman" w:hAnsi="Times New Roman" w:cs="Times New Roman"/>
          <w:color w:val="000000"/>
          <w:sz w:val="28"/>
          <w:szCs w:val="28"/>
          <w:lang w:val="es-ES"/>
        </w:rPr>
        <w:t xml:space="preserve">radores y concesionarios privados y las autoridades territoriales que sean parte en dichos contratos, intervendrán el Ministerio de Transporte y, eventualmente, la Contraloría General de la República; y, </w:t>
      </w:r>
      <w:r w:rsidRPr="00527F3E">
        <w:rPr>
          <w:rFonts w:ascii="Times New Roman" w:eastAsia="Times New Roman" w:hAnsi="Times New Roman" w:cs="Times New Roman"/>
          <w:i/>
          <w:iCs/>
          <w:color w:val="000000"/>
          <w:sz w:val="28"/>
          <w:szCs w:val="28"/>
          <w:lang w:val="es-ES"/>
        </w:rPr>
        <w:t>(iii)</w:t>
      </w:r>
      <w:r w:rsidRPr="00527F3E">
        <w:rPr>
          <w:rFonts w:ascii="Times New Roman" w:eastAsia="Times New Roman" w:hAnsi="Times New Roman" w:cs="Times New Roman"/>
          <w:color w:val="000000"/>
          <w:sz w:val="28"/>
          <w:szCs w:val="28"/>
          <w:lang w:val="es-ES"/>
        </w:rPr>
        <w:t xml:space="preserve"> adelantar las mesas de renegociación de manera</w:t>
      </w:r>
      <w:r w:rsidRPr="00527F3E">
        <w:rPr>
          <w:rFonts w:ascii="Times New Roman" w:eastAsia="Times New Roman" w:hAnsi="Times New Roman" w:cs="Times New Roman"/>
          <w:color w:val="000000"/>
          <w:sz w:val="28"/>
          <w:szCs w:val="28"/>
          <w:lang w:val="es-ES"/>
        </w:rPr>
        <w:t xml:space="preserve"> previa al ejercicio de la facultad prevista en el artículo 17 de la Ley 80 de 1993 (terminación unilateral de los contratos).</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 xml:space="preserve">La respuesta de la Sala a esta cuestión es negativa, en tanto ninguno de los contenidos normativos incluidos en el parágrafo 2º </w:t>
      </w:r>
      <w:r w:rsidRPr="00527F3E">
        <w:rPr>
          <w:rFonts w:ascii="Times New Roman" w:eastAsia="Times New Roman" w:hAnsi="Times New Roman" w:cs="Times New Roman"/>
          <w:color w:val="000000"/>
          <w:sz w:val="28"/>
          <w:szCs w:val="28"/>
          <w:lang w:val="es-ES"/>
        </w:rPr>
        <w:t xml:space="preserve">del artículo 4 de la Ley 2299 de 2003 desconoce el principio de unidad de materia </w:t>
      </w:r>
      <w:r w:rsidRPr="00527F3E">
        <w:rPr>
          <w:rFonts w:ascii="Times New Roman" w:eastAsia="Times New Roman" w:hAnsi="Times New Roman" w:cs="Times New Roman"/>
          <w:iCs/>
          <w:color w:val="000000"/>
          <w:sz w:val="28"/>
          <w:szCs w:val="28"/>
          <w:lang w:val="es-ES"/>
        </w:rPr>
        <w:t xml:space="preserve">(arts. 158 y 169, C.P.). Esta conclusión se soporta en las siguientes premisas: </w:t>
      </w:r>
      <w:r w:rsidRPr="00527F3E">
        <w:rPr>
          <w:rFonts w:ascii="Times New Roman" w:eastAsia="Times New Roman" w:hAnsi="Times New Roman" w:cs="Times New Roman"/>
          <w:i/>
          <w:color w:val="000000"/>
          <w:sz w:val="28"/>
          <w:szCs w:val="28"/>
          <w:lang w:val="es-ES"/>
        </w:rPr>
        <w:t>Primera</w:t>
      </w:r>
      <w:r w:rsidRPr="00527F3E">
        <w:rPr>
          <w:rFonts w:ascii="Times New Roman" w:eastAsia="Times New Roman" w:hAnsi="Times New Roman" w:cs="Times New Roman"/>
          <w:iCs/>
          <w:color w:val="000000"/>
          <w:sz w:val="28"/>
          <w:szCs w:val="28"/>
          <w:lang w:val="es-ES"/>
        </w:rPr>
        <w:t>, los tres contenidos normativos incluidos en el parágrafo acusado guardan un vínculo i</w:t>
      </w:r>
      <w:r w:rsidRPr="00527F3E">
        <w:rPr>
          <w:rFonts w:ascii="Times New Roman" w:eastAsia="Times New Roman" w:hAnsi="Times New Roman" w:cs="Times New Roman"/>
          <w:iCs/>
          <w:color w:val="000000"/>
          <w:sz w:val="28"/>
          <w:szCs w:val="28"/>
          <w:lang w:val="es-ES"/>
        </w:rPr>
        <w:t xml:space="preserve">nstrumental con el tema presupuestal, en tanto están orientados a garantizar la adecuada ejecución del presupuesto general de la Nación, específicamente del rubro destinado a financiar el déficit de los SITM y los SETP. </w:t>
      </w:r>
      <w:r w:rsidRPr="00527F3E">
        <w:rPr>
          <w:rFonts w:ascii="Times New Roman" w:eastAsia="Times New Roman" w:hAnsi="Times New Roman" w:cs="Times New Roman"/>
          <w:i/>
          <w:color w:val="000000"/>
          <w:sz w:val="28"/>
          <w:szCs w:val="28"/>
          <w:lang w:val="es-ES"/>
        </w:rPr>
        <w:t>Segunda</w:t>
      </w:r>
      <w:r w:rsidRPr="00527F3E">
        <w:rPr>
          <w:rFonts w:ascii="Times New Roman" w:eastAsia="Times New Roman" w:hAnsi="Times New Roman" w:cs="Times New Roman"/>
          <w:iCs/>
          <w:color w:val="000000"/>
          <w:sz w:val="28"/>
          <w:szCs w:val="28"/>
          <w:lang w:val="es-ES"/>
        </w:rPr>
        <w:t>, el parágrafo acusado no mod</w:t>
      </w:r>
      <w:r w:rsidRPr="00527F3E">
        <w:rPr>
          <w:rFonts w:ascii="Times New Roman" w:eastAsia="Times New Roman" w:hAnsi="Times New Roman" w:cs="Times New Roman"/>
          <w:iCs/>
          <w:color w:val="000000"/>
          <w:sz w:val="28"/>
          <w:szCs w:val="28"/>
          <w:lang w:val="es-ES"/>
        </w:rPr>
        <w:t>ifica normas sustantivas, pues su alcance consiste en ordenar a las entidades territoriales aplicar los instrumentos normativos previstos en la ley de contratación estatal para revisar el equilibrio económico de los contratos y restablecerlo cuando se haya</w:t>
      </w:r>
      <w:r w:rsidRPr="00527F3E">
        <w:rPr>
          <w:rFonts w:ascii="Times New Roman" w:eastAsia="Times New Roman" w:hAnsi="Times New Roman" w:cs="Times New Roman"/>
          <w:iCs/>
          <w:color w:val="000000"/>
          <w:sz w:val="28"/>
          <w:szCs w:val="28"/>
          <w:lang w:val="es-ES"/>
        </w:rPr>
        <w:t xml:space="preserve"> afectado de manera grave en perjuicio de las entidades territoriales y los usuarios; ni de la literalidad del parágrafo 2º acusado, ni de los antecedentes legislativos, se infiere el propósito de modificar la normatividad general en materia de contratació</w:t>
      </w:r>
      <w:r w:rsidRPr="00527F3E">
        <w:rPr>
          <w:rFonts w:ascii="Times New Roman" w:eastAsia="Times New Roman" w:hAnsi="Times New Roman" w:cs="Times New Roman"/>
          <w:iCs/>
          <w:color w:val="000000"/>
          <w:sz w:val="28"/>
          <w:szCs w:val="28"/>
          <w:lang w:val="es-ES"/>
        </w:rPr>
        <w:t xml:space="preserve">n sino, más bien, el de darle cumplimiento. </w:t>
      </w:r>
      <w:r w:rsidRPr="00527F3E">
        <w:rPr>
          <w:rFonts w:ascii="Times New Roman" w:eastAsia="Times New Roman" w:hAnsi="Times New Roman" w:cs="Times New Roman"/>
          <w:i/>
          <w:color w:val="000000"/>
          <w:sz w:val="28"/>
          <w:szCs w:val="28"/>
          <w:lang w:val="es-ES"/>
        </w:rPr>
        <w:t>Tercera</w:t>
      </w:r>
      <w:r w:rsidRPr="00527F3E">
        <w:rPr>
          <w:rFonts w:ascii="Times New Roman" w:eastAsia="Times New Roman" w:hAnsi="Times New Roman" w:cs="Times New Roman"/>
          <w:iCs/>
          <w:color w:val="000000"/>
          <w:sz w:val="28"/>
          <w:szCs w:val="28"/>
          <w:lang w:val="es-ES"/>
        </w:rPr>
        <w:t>, la norma acusada no tiene vocación de permanencia, por cuanto expresamente fijó su vigencia hasta el 31 de diciembre de 2023 y no mantuvo sus efectos luego de esta fecha, con lo cual respeta el principio</w:t>
      </w:r>
      <w:r w:rsidRPr="00527F3E">
        <w:rPr>
          <w:rFonts w:ascii="Times New Roman" w:eastAsia="Times New Roman" w:hAnsi="Times New Roman" w:cs="Times New Roman"/>
          <w:iCs/>
          <w:color w:val="000000"/>
          <w:sz w:val="28"/>
          <w:szCs w:val="28"/>
          <w:lang w:val="es-ES"/>
        </w:rPr>
        <w:t xml:space="preserve"> de anualidad que rige en materia de leyes de presupuesto. A continuación, se desarrollan cada una de estas premisas.</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iCs/>
          <w:sz w:val="28"/>
          <w:szCs w:val="28"/>
          <w:lang w:val="es-ES"/>
        </w:rPr>
      </w:pPr>
      <w:r w:rsidRPr="00527F3E">
        <w:rPr>
          <w:rFonts w:ascii="Times New Roman" w:eastAsia="Times New Roman" w:hAnsi="Times New Roman" w:cs="Times New Roman"/>
          <w:i/>
          <w:iCs/>
          <w:color w:val="000000"/>
          <w:sz w:val="28"/>
          <w:szCs w:val="28"/>
          <w:lang w:val="es-ES"/>
        </w:rPr>
        <w:t xml:space="preserve">Vínculo presupuestario. </w:t>
      </w:r>
      <w:r w:rsidRPr="00527F3E">
        <w:rPr>
          <w:rFonts w:ascii="Times New Roman" w:eastAsia="Times New Roman" w:hAnsi="Times New Roman" w:cs="Times New Roman"/>
          <w:color w:val="000000"/>
          <w:sz w:val="28"/>
          <w:szCs w:val="28"/>
          <w:lang w:val="es-ES"/>
        </w:rPr>
        <w:t>Como quedo expuesto al analizar la Sentencia C-1124 de 2008</w:t>
      </w:r>
      <w:r w:rsidRPr="00527F3E">
        <w:rPr>
          <w:rFonts w:ascii="Times New Roman" w:eastAsia="Times New Roman" w:hAnsi="Times New Roman" w:cs="Times New Roman"/>
          <w:color w:val="000000"/>
          <w:sz w:val="28"/>
          <w:szCs w:val="28"/>
          <w:vertAlign w:val="superscript"/>
          <w:lang w:val="es-ES"/>
        </w:rPr>
        <w:footnoteReference w:id="156"/>
      </w:r>
      <w:r w:rsidRPr="00527F3E">
        <w:rPr>
          <w:rFonts w:ascii="Times New Roman" w:eastAsia="Times New Roman" w:hAnsi="Times New Roman" w:cs="Times New Roman"/>
          <w:color w:val="000000"/>
          <w:sz w:val="28"/>
          <w:szCs w:val="28"/>
          <w:lang w:val="es-ES"/>
        </w:rPr>
        <w:t xml:space="preserve">, los asuntos contractuales y, de manera específica, los referidos al contrato de concesión, no resultan necesariamente ajenos al tema presupuestal. En aquella oportunidad la Corte consideró que, </w:t>
      </w:r>
      <w:r w:rsidRPr="00527F3E">
        <w:rPr>
          <w:rFonts w:ascii="Times New Roman" w:eastAsia="Times New Roman" w:hAnsi="Times New Roman" w:cs="Times New Roman"/>
          <w:sz w:val="28"/>
          <w:szCs w:val="28"/>
          <w:lang w:val="es-419"/>
        </w:rPr>
        <w:t>dada la incidencia del contrato de concesión como herramient</w:t>
      </w:r>
      <w:r w:rsidRPr="00527F3E">
        <w:rPr>
          <w:rFonts w:ascii="Times New Roman" w:eastAsia="Times New Roman" w:hAnsi="Times New Roman" w:cs="Times New Roman"/>
          <w:sz w:val="28"/>
          <w:szCs w:val="28"/>
          <w:lang w:val="es-419"/>
        </w:rPr>
        <w:t xml:space="preserve">a a través de la cual se canalizan recursos del tesoro público para la prestación de servicios públicos esenciales y otras finalidades sociales del Estado, </w:t>
      </w:r>
      <w:r w:rsidRPr="00527F3E">
        <w:rPr>
          <w:rFonts w:ascii="Times New Roman" w:eastAsia="Times New Roman" w:hAnsi="Times New Roman" w:cs="Times New Roman"/>
          <w:iCs/>
          <w:sz w:val="28"/>
          <w:szCs w:val="28"/>
          <w:lang w:val="es-ES"/>
        </w:rPr>
        <w:t>“la correcta ejecución del presupuesto eventualmente podría requerir una disposición referente a las</w:t>
      </w:r>
      <w:r w:rsidRPr="00527F3E">
        <w:rPr>
          <w:rFonts w:ascii="Times New Roman" w:eastAsia="Times New Roman" w:hAnsi="Times New Roman" w:cs="Times New Roman"/>
          <w:iCs/>
          <w:sz w:val="28"/>
          <w:szCs w:val="28"/>
          <w:lang w:val="es-ES"/>
        </w:rPr>
        <w:t xml:space="preserve"> vicisitudes de los contratos de concesión”. Sobre esa base, concluyó que </w:t>
      </w:r>
      <w:r w:rsidRPr="00527F3E">
        <w:rPr>
          <w:rFonts w:ascii="Times New Roman" w:eastAsia="Times New Roman" w:hAnsi="Times New Roman" w:cs="Times New Roman"/>
          <w:color w:val="000000"/>
          <w:sz w:val="28"/>
          <w:szCs w:val="28"/>
          <w:lang w:val="es-ES"/>
        </w:rPr>
        <w:t xml:space="preserve">la inclusión en la ley anual de presupuesto de una norma que sometía las modificaciones de contratos de concesión </w:t>
      </w:r>
      <w:r w:rsidRPr="00527F3E">
        <w:rPr>
          <w:rFonts w:ascii="Times New Roman" w:eastAsia="Times New Roman" w:hAnsi="Times New Roman" w:cs="Times New Roman"/>
          <w:sz w:val="28"/>
          <w:szCs w:val="28"/>
          <w:lang w:val="es-419"/>
        </w:rPr>
        <w:t>que implicaran mayores aportes estatales y/o mayores ingresos espera</w:t>
      </w:r>
      <w:r w:rsidRPr="00527F3E">
        <w:rPr>
          <w:rFonts w:ascii="Times New Roman" w:eastAsia="Times New Roman" w:hAnsi="Times New Roman" w:cs="Times New Roman"/>
          <w:sz w:val="28"/>
          <w:szCs w:val="28"/>
          <w:lang w:val="es-419"/>
        </w:rPr>
        <w:t>dos y/o ampliación del plazo pactado contractualmente</w:t>
      </w:r>
      <w:r w:rsidRPr="00527F3E">
        <w:rPr>
          <w:rFonts w:ascii="Times New Roman" w:eastAsia="Times New Roman" w:hAnsi="Times New Roman" w:cs="Times New Roman"/>
          <w:color w:val="000000"/>
          <w:sz w:val="28"/>
          <w:szCs w:val="28"/>
          <w:lang w:val="es-ES"/>
        </w:rPr>
        <w:t xml:space="preserve"> a evaluación fiscal previa por parte del </w:t>
      </w:r>
      <w:r w:rsidRPr="00527F3E">
        <w:rPr>
          <w:rFonts w:ascii="Times New Roman" w:eastAsia="Times New Roman" w:hAnsi="Times New Roman" w:cs="Times New Roman"/>
          <w:sz w:val="28"/>
          <w:szCs w:val="28"/>
          <w:lang w:val="es-419"/>
        </w:rPr>
        <w:t xml:space="preserve">Consejo Superior de Política Fiscal (CONFIS) guardaba un vínculo instrumental con la correcta ejecución del presupuesto. </w:t>
      </w:r>
    </w:p>
    <w:p w:rsidR="00B9678A" w:rsidRPr="00527F3E" w:rsidRDefault="00527F3E" w:rsidP="001B1B92">
      <w:pPr>
        <w:spacing w:line="240" w:lineRule="auto"/>
        <w:contextualSpacing/>
        <w:rPr>
          <w:rFonts w:ascii="Times New Roman" w:eastAsia="Times New Roman" w:hAnsi="Times New Roman" w:cs="Times New Roman"/>
          <w:sz w:val="28"/>
          <w:szCs w:val="28"/>
          <w:lang w:val="es-419"/>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iCs/>
          <w:sz w:val="28"/>
          <w:szCs w:val="28"/>
          <w:lang w:val="es-ES"/>
        </w:rPr>
      </w:pPr>
      <w:r w:rsidRPr="00527F3E">
        <w:rPr>
          <w:rFonts w:ascii="Times New Roman" w:eastAsia="Times New Roman" w:hAnsi="Times New Roman" w:cs="Times New Roman"/>
          <w:sz w:val="28"/>
          <w:szCs w:val="28"/>
          <w:lang w:val="es-419"/>
        </w:rPr>
        <w:t>Sin embargo, el que en el pasado la ju</w:t>
      </w:r>
      <w:r w:rsidRPr="00527F3E">
        <w:rPr>
          <w:rFonts w:ascii="Times New Roman" w:eastAsia="Times New Roman" w:hAnsi="Times New Roman" w:cs="Times New Roman"/>
          <w:sz w:val="28"/>
          <w:szCs w:val="28"/>
          <w:lang w:val="es-419"/>
        </w:rPr>
        <w:t xml:space="preserve">risprudencia constitucional haya verificado un nexo entre la regulación del contrato de concesión y la correcta ejecución del presupuesto no significa que, </w:t>
      </w:r>
      <w:r w:rsidRPr="00527F3E">
        <w:rPr>
          <w:rFonts w:ascii="Times New Roman" w:eastAsia="Times New Roman" w:hAnsi="Times New Roman" w:cs="Times New Roman"/>
          <w:i/>
          <w:iCs/>
          <w:sz w:val="28"/>
          <w:szCs w:val="28"/>
          <w:lang w:val="es-419"/>
        </w:rPr>
        <w:t>a priori</w:t>
      </w:r>
      <w:r w:rsidRPr="00527F3E">
        <w:rPr>
          <w:rFonts w:ascii="Times New Roman" w:eastAsia="Times New Roman" w:hAnsi="Times New Roman" w:cs="Times New Roman"/>
          <w:sz w:val="28"/>
          <w:szCs w:val="28"/>
          <w:lang w:val="es-419"/>
        </w:rPr>
        <w:t>, la inclusión en una ley de presupuesto cualquier disposición referida a este tipo de contr</w:t>
      </w:r>
      <w:r w:rsidRPr="00527F3E">
        <w:rPr>
          <w:rFonts w:ascii="Times New Roman" w:eastAsia="Times New Roman" w:hAnsi="Times New Roman" w:cs="Times New Roman"/>
          <w:sz w:val="28"/>
          <w:szCs w:val="28"/>
          <w:lang w:val="es-419"/>
        </w:rPr>
        <w:t>atos satisface el requisito del vínculo instrumental con el tema presupuestario exigido por el principio de unidad de materia. Dicho vínculo debe verificarse en cada caso, a partir de los criterios de conexidad – temática, causal, teleológica y sistemática</w:t>
      </w:r>
      <w:r w:rsidRPr="00527F3E">
        <w:rPr>
          <w:rFonts w:ascii="Times New Roman" w:eastAsia="Times New Roman" w:hAnsi="Times New Roman" w:cs="Times New Roman"/>
          <w:sz w:val="28"/>
          <w:szCs w:val="28"/>
          <w:lang w:val="es-419"/>
        </w:rPr>
        <w:t xml:space="preserve"> – establecidos por la jurisprudencia.</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eastAsia="es-ES_tradnl"/>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iCs/>
          <w:color w:val="000000"/>
          <w:sz w:val="28"/>
          <w:szCs w:val="28"/>
          <w:lang w:val="es-ES"/>
        </w:rPr>
      </w:pPr>
      <w:r w:rsidRPr="00527F3E">
        <w:rPr>
          <w:rFonts w:ascii="Times New Roman" w:eastAsia="Times New Roman" w:hAnsi="Times New Roman" w:cs="Times New Roman"/>
          <w:iCs/>
          <w:sz w:val="28"/>
          <w:szCs w:val="28"/>
          <w:lang w:val="es-ES"/>
        </w:rPr>
        <w:t xml:space="preserve">Examinar la existencia de tal vínculo en el presente caso requiere discernir los tres contenidos normativos que acoge el parágrafo acusado en los tres incisos que lo componen. En ellos se ordena a las </w:t>
      </w:r>
      <w:r w:rsidRPr="00527F3E">
        <w:rPr>
          <w:rFonts w:ascii="Times New Roman" w:eastAsia="Times New Roman" w:hAnsi="Times New Roman" w:cs="Times New Roman"/>
          <w:iCs/>
          <w:color w:val="000000"/>
          <w:sz w:val="28"/>
          <w:szCs w:val="28"/>
          <w:lang w:val="es-ES"/>
        </w:rPr>
        <w:t xml:space="preserve">autoridades territoriales que cuenten con </w:t>
      </w:r>
      <w:r w:rsidRPr="00527F3E">
        <w:rPr>
          <w:rFonts w:ascii="Times New Roman" w:eastAsia="Times New Roman" w:hAnsi="Times New Roman" w:cs="Times New Roman"/>
          <w:color w:val="000000"/>
          <w:sz w:val="28"/>
          <w:szCs w:val="28"/>
          <w:lang w:val="es-ES"/>
        </w:rPr>
        <w:t>sistemas integrados de transporte masivo (SITM) y sistemas estratégicos de transporte público (SETP)</w:t>
      </w:r>
      <w:r w:rsidRPr="00527F3E">
        <w:rPr>
          <w:rFonts w:ascii="Times New Roman" w:eastAsia="Times New Roman" w:hAnsi="Times New Roman" w:cs="Times New Roman"/>
          <w:iCs/>
          <w:color w:val="000000"/>
          <w:sz w:val="28"/>
          <w:szCs w:val="28"/>
          <w:lang w:val="es-ES"/>
        </w:rPr>
        <w:t xml:space="preserve"> a </w:t>
      </w:r>
      <w:r w:rsidRPr="00527F3E">
        <w:rPr>
          <w:rFonts w:ascii="Times New Roman" w:eastAsia="Times New Roman" w:hAnsi="Times New Roman" w:cs="Times New Roman"/>
          <w:i/>
          <w:color w:val="000000"/>
          <w:sz w:val="28"/>
          <w:szCs w:val="28"/>
          <w:lang w:val="es-ES"/>
        </w:rPr>
        <w:t>(i)</w:t>
      </w:r>
      <w:r w:rsidRPr="00527F3E">
        <w:rPr>
          <w:rFonts w:ascii="Times New Roman" w:eastAsia="Times New Roman" w:hAnsi="Times New Roman" w:cs="Times New Roman"/>
          <w:iCs/>
          <w:color w:val="000000"/>
          <w:sz w:val="28"/>
          <w:szCs w:val="28"/>
          <w:lang w:val="es-ES"/>
        </w:rPr>
        <w:t xml:space="preserve"> determinar los efectos económicos adversos que hayan afectado de manera grave el equilibrio económico de lo</w:t>
      </w:r>
      <w:r w:rsidRPr="00527F3E">
        <w:rPr>
          <w:rFonts w:ascii="Times New Roman" w:eastAsia="Times New Roman" w:hAnsi="Times New Roman" w:cs="Times New Roman"/>
          <w:iCs/>
          <w:color w:val="000000"/>
          <w:sz w:val="28"/>
          <w:szCs w:val="28"/>
          <w:lang w:val="es-ES"/>
        </w:rPr>
        <w:t xml:space="preserve">s contratos de concesión y operación de los </w:t>
      </w:r>
      <w:r w:rsidRPr="00527F3E">
        <w:rPr>
          <w:rFonts w:ascii="Times New Roman" w:eastAsia="Times New Roman" w:hAnsi="Times New Roman" w:cs="Times New Roman"/>
          <w:color w:val="000000"/>
          <w:sz w:val="28"/>
          <w:szCs w:val="28"/>
          <w:lang w:val="es-ES"/>
        </w:rPr>
        <w:t xml:space="preserve">SITM y los SETP; lo anterior, a fin de </w:t>
      </w:r>
      <w:r w:rsidRPr="00527F3E">
        <w:rPr>
          <w:rFonts w:ascii="Times New Roman" w:eastAsia="Times New Roman" w:hAnsi="Times New Roman" w:cs="Times New Roman"/>
          <w:i/>
          <w:iCs/>
          <w:color w:val="000000"/>
          <w:sz w:val="28"/>
          <w:szCs w:val="28"/>
          <w:lang w:val="es-ES"/>
        </w:rPr>
        <w:t>(ii)</w:t>
      </w:r>
      <w:r w:rsidRPr="00527F3E">
        <w:rPr>
          <w:rFonts w:ascii="Times New Roman" w:eastAsia="Times New Roman" w:hAnsi="Times New Roman" w:cs="Times New Roman"/>
          <w:color w:val="000000"/>
          <w:sz w:val="28"/>
          <w:szCs w:val="28"/>
          <w:lang w:val="es-ES"/>
        </w:rPr>
        <w:t xml:space="preserve"> adelantar, hasta el 31 de diciembre de 2023, las renegociaciones de las condiciones económicas y de distribución de riesgos de esos contratos, a través de mesas en las </w:t>
      </w:r>
      <w:r w:rsidRPr="00527F3E">
        <w:rPr>
          <w:rFonts w:ascii="Times New Roman" w:eastAsia="Times New Roman" w:hAnsi="Times New Roman" w:cs="Times New Roman"/>
          <w:color w:val="000000"/>
          <w:sz w:val="28"/>
          <w:szCs w:val="28"/>
          <w:lang w:val="es-ES"/>
        </w:rPr>
        <w:t xml:space="preserve">que, además de los operadores y concesionarios privados y las autoridades territoriales que sean parte en dichos contratos, intervendrá el Ministerio de Transporte y a las que podrá asistir la Contraloría General de la República; y, </w:t>
      </w:r>
      <w:r w:rsidRPr="00527F3E">
        <w:rPr>
          <w:rFonts w:ascii="Times New Roman" w:eastAsia="Times New Roman" w:hAnsi="Times New Roman" w:cs="Times New Roman"/>
          <w:i/>
          <w:iCs/>
          <w:color w:val="000000"/>
          <w:sz w:val="28"/>
          <w:szCs w:val="28"/>
          <w:lang w:val="es-ES"/>
        </w:rPr>
        <w:t>(iii)</w:t>
      </w:r>
      <w:r w:rsidRPr="00527F3E">
        <w:rPr>
          <w:rFonts w:ascii="Times New Roman" w:eastAsia="Times New Roman" w:hAnsi="Times New Roman" w:cs="Times New Roman"/>
          <w:color w:val="000000"/>
          <w:sz w:val="28"/>
          <w:szCs w:val="28"/>
          <w:lang w:val="es-ES"/>
        </w:rPr>
        <w:t xml:space="preserve"> adelantar las mes</w:t>
      </w:r>
      <w:r w:rsidRPr="00527F3E">
        <w:rPr>
          <w:rFonts w:ascii="Times New Roman" w:eastAsia="Times New Roman" w:hAnsi="Times New Roman" w:cs="Times New Roman"/>
          <w:color w:val="000000"/>
          <w:sz w:val="28"/>
          <w:szCs w:val="28"/>
          <w:lang w:val="es-ES"/>
        </w:rPr>
        <w:t>as de renegociación de manera previa al ejercicio de la facultad prevista en el artículo 17 de la Ley 80 de 1993 (terminación unilateral de los contratos).</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iCs/>
          <w:color w:val="000000"/>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iCs/>
          <w:color w:val="000000"/>
          <w:sz w:val="28"/>
          <w:szCs w:val="28"/>
          <w:lang w:val="es-ES"/>
        </w:rPr>
      </w:pPr>
      <w:r w:rsidRPr="00527F3E">
        <w:rPr>
          <w:rFonts w:ascii="Times New Roman" w:eastAsia="Times New Roman" w:hAnsi="Times New Roman" w:cs="Times New Roman"/>
          <w:iCs/>
          <w:color w:val="000000"/>
          <w:sz w:val="28"/>
          <w:szCs w:val="28"/>
          <w:lang w:val="es-ES"/>
        </w:rPr>
        <w:t>La Sala encuentra acreditado el vínculo instrumental con la correcta ejecución del presupuesto en r</w:t>
      </w:r>
      <w:r w:rsidRPr="00527F3E">
        <w:rPr>
          <w:rFonts w:ascii="Times New Roman" w:eastAsia="Times New Roman" w:hAnsi="Times New Roman" w:cs="Times New Roman"/>
          <w:iCs/>
          <w:color w:val="000000"/>
          <w:sz w:val="28"/>
          <w:szCs w:val="28"/>
          <w:lang w:val="es-ES"/>
        </w:rPr>
        <w:t xml:space="preserve">elación con cada uno de estos contenidos normativos, por las razones que se exponen a continuación. </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iCs/>
          <w:color w:val="000000"/>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iCs/>
          <w:color w:val="000000"/>
          <w:sz w:val="28"/>
          <w:szCs w:val="28"/>
          <w:lang w:val="es-ES"/>
        </w:rPr>
      </w:pPr>
      <w:r w:rsidRPr="00527F3E">
        <w:rPr>
          <w:rFonts w:ascii="Times New Roman" w:eastAsia="Times New Roman" w:hAnsi="Times New Roman" w:cs="Times New Roman"/>
          <w:iCs/>
          <w:color w:val="000000"/>
          <w:sz w:val="28"/>
          <w:szCs w:val="28"/>
          <w:lang w:val="es-ES"/>
        </w:rPr>
        <w:t>Del examen de los antecedentes legislativos queda claro que la inclusión del artículo 4º del proyecto de adición presupuestal que se convirtió en la Ley 2299 de 2023 implicó una significativa modificación de la cuantía inicialmente destinada a financiar el</w:t>
      </w:r>
      <w:r w:rsidRPr="00527F3E">
        <w:rPr>
          <w:rFonts w:ascii="Times New Roman" w:eastAsia="Times New Roman" w:hAnsi="Times New Roman" w:cs="Times New Roman"/>
          <w:iCs/>
          <w:color w:val="000000"/>
          <w:sz w:val="28"/>
          <w:szCs w:val="28"/>
          <w:lang w:val="es-ES"/>
        </w:rPr>
        <w:t xml:space="preserve"> déficit de los sistemas integrados de transporte masivo y sistemas estratégicos de transporte. De la cifra máxima de $300.000 millones de pesos inicialmente prevista en el artículo 99 de la Ley 2276 de 2022, el aporte de la Nación ascendió a un monto no i</w:t>
      </w:r>
      <w:r w:rsidRPr="00527F3E">
        <w:rPr>
          <w:rFonts w:ascii="Times New Roman" w:eastAsia="Times New Roman" w:hAnsi="Times New Roman" w:cs="Times New Roman"/>
          <w:iCs/>
          <w:color w:val="000000"/>
          <w:sz w:val="28"/>
          <w:szCs w:val="28"/>
          <w:lang w:val="es-ES"/>
        </w:rPr>
        <w:t xml:space="preserve">nferior a un billón de pesos </w:t>
      </w:r>
      <w:r w:rsidRPr="00527F3E">
        <w:rPr>
          <w:rFonts w:ascii="Times New Roman" w:eastAsia="Times New Roman" w:hAnsi="Times New Roman" w:cs="Times New Roman"/>
          <w:color w:val="000000"/>
          <w:sz w:val="28"/>
          <w:szCs w:val="28"/>
          <w:lang w:val="es-ES"/>
        </w:rPr>
        <w:t>(1.000.000.000.000)</w:t>
      </w:r>
      <w:r w:rsidRPr="00527F3E">
        <w:rPr>
          <w:rFonts w:ascii="Times New Roman" w:eastAsia="Times New Roman" w:hAnsi="Times New Roman" w:cs="Times New Roman"/>
          <w:iCs/>
          <w:color w:val="000000"/>
          <w:sz w:val="28"/>
          <w:szCs w:val="28"/>
          <w:lang w:val="es-ES"/>
        </w:rPr>
        <w:t>. Este sustancial incremento de aportes vino acompañado de una previsión encaminada a agilizar el giro de estos recursos, al disponer su inclusión en la programación anual de caja (PAC) de la Nación, dentro d</w:t>
      </w:r>
      <w:r w:rsidRPr="00527F3E">
        <w:rPr>
          <w:rFonts w:ascii="Times New Roman" w:eastAsia="Times New Roman" w:hAnsi="Times New Roman" w:cs="Times New Roman"/>
          <w:iCs/>
          <w:color w:val="000000"/>
          <w:sz w:val="28"/>
          <w:szCs w:val="28"/>
          <w:lang w:val="es-ES"/>
        </w:rPr>
        <w:t xml:space="preserve">e los dos meses siguientes a la sanción de la Ley 2299, sobre la base de entender urgente la inyección de esos recursos en tanto el déficit presupuestal venía afectando la operación de estos sistemas de transporte. Asimismo, tras la reforma, se eliminó el </w:t>
      </w:r>
      <w:r w:rsidRPr="00527F3E">
        <w:rPr>
          <w:rFonts w:ascii="Times New Roman" w:eastAsia="Times New Roman" w:hAnsi="Times New Roman" w:cs="Times New Roman"/>
          <w:iCs/>
          <w:color w:val="000000"/>
          <w:sz w:val="28"/>
          <w:szCs w:val="28"/>
          <w:lang w:val="es-ES"/>
        </w:rPr>
        <w:t>mecanismo inicialmente previsto en el artículo 99 para calcular el déficit y la distribución de los recursos, consistente en delegar a los ministerios de Transporte y Hacienda la determinación de una metodología para el efecto; en su lugar, se acogió el me</w:t>
      </w:r>
      <w:r w:rsidRPr="00527F3E">
        <w:rPr>
          <w:rFonts w:ascii="Times New Roman" w:eastAsia="Times New Roman" w:hAnsi="Times New Roman" w:cs="Times New Roman"/>
          <w:iCs/>
          <w:color w:val="000000"/>
          <w:sz w:val="28"/>
          <w:szCs w:val="28"/>
          <w:lang w:val="es-ES"/>
        </w:rPr>
        <w:t xml:space="preserve">canismo previsto en el parágrafo acusado. </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iCs/>
          <w:color w:val="000000"/>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iCs/>
          <w:color w:val="000000"/>
          <w:sz w:val="28"/>
          <w:szCs w:val="28"/>
          <w:lang w:val="es-ES"/>
        </w:rPr>
      </w:pPr>
      <w:r w:rsidRPr="00527F3E">
        <w:rPr>
          <w:rFonts w:ascii="Times New Roman" w:eastAsia="Times New Roman" w:hAnsi="Times New Roman" w:cs="Times New Roman"/>
          <w:iCs/>
          <w:color w:val="000000"/>
          <w:sz w:val="28"/>
          <w:szCs w:val="28"/>
          <w:lang w:val="es-ES"/>
        </w:rPr>
        <w:t>Este último no puede interpretarse de manera insular, como lo propone el demandante, como un extraño apéndice referido a los contratos de concesión de los SITM y los SETP que nada tiene que hacer en una ley de ad</w:t>
      </w:r>
      <w:r w:rsidRPr="00527F3E">
        <w:rPr>
          <w:rFonts w:ascii="Times New Roman" w:eastAsia="Times New Roman" w:hAnsi="Times New Roman" w:cs="Times New Roman"/>
          <w:iCs/>
          <w:color w:val="000000"/>
          <w:sz w:val="28"/>
          <w:szCs w:val="28"/>
          <w:lang w:val="es-ES"/>
        </w:rPr>
        <w:t>ición presupuestal, sino que debe leerse en el contexto normativo en el que se inserta. Leído en contexto, el parágrafo acusado guarda una relación de racionalidad interna con la considerable adición presupuestal para financiar el déficit de los sistemas i</w:t>
      </w:r>
      <w:r w:rsidRPr="00527F3E">
        <w:rPr>
          <w:rFonts w:ascii="Times New Roman" w:eastAsia="Times New Roman" w:hAnsi="Times New Roman" w:cs="Times New Roman"/>
          <w:iCs/>
          <w:color w:val="000000"/>
          <w:sz w:val="28"/>
          <w:szCs w:val="28"/>
          <w:lang w:val="es-ES"/>
        </w:rPr>
        <w:t xml:space="preserve">ntegrales de transporte masivo y los sistemas estratégicos de transporte público dispuesta en el inciso primero y el parágrafo 1º del artículo 4 de la Ley 2299 de 2023. Siendo así, satisface el criterio de conexidad </w:t>
      </w:r>
      <w:r w:rsidRPr="00527F3E">
        <w:rPr>
          <w:rFonts w:ascii="Times New Roman" w:eastAsia="Times New Roman" w:hAnsi="Times New Roman" w:cs="Times New Roman"/>
          <w:i/>
          <w:color w:val="000000"/>
          <w:sz w:val="28"/>
          <w:szCs w:val="28"/>
          <w:lang w:val="es-ES"/>
        </w:rPr>
        <w:t>sistemática</w:t>
      </w:r>
      <w:r w:rsidRPr="00527F3E">
        <w:rPr>
          <w:rFonts w:ascii="Times New Roman" w:eastAsia="Times New Roman" w:hAnsi="Times New Roman" w:cs="Times New Roman"/>
          <w:iCs/>
          <w:color w:val="000000"/>
          <w:sz w:val="28"/>
          <w:szCs w:val="28"/>
          <w:lang w:val="es-ES"/>
        </w:rPr>
        <w:t>.</w:t>
      </w:r>
    </w:p>
    <w:p w:rsidR="00B9678A" w:rsidRPr="00527F3E" w:rsidRDefault="00527F3E" w:rsidP="001B1B92">
      <w:pPr>
        <w:spacing w:line="256" w:lineRule="auto"/>
        <w:contextualSpacing/>
        <w:rPr>
          <w:rFonts w:ascii="Times New Roman" w:eastAsia="Times New Roman" w:hAnsi="Times New Roman" w:cs="Times New Roman"/>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sz w:val="28"/>
          <w:szCs w:val="28"/>
          <w:lang w:val="es-ES"/>
        </w:rPr>
        <w:t xml:space="preserve">En efecto, la norma acusada se encamina al logro de los objetivos que dan lugar a la apropiación destinada a la financiación de los SITM y los STEP, que no es otra que superar el déficit que presentan los sistemas de transporte masivo. Esto por cuanto las </w:t>
      </w:r>
      <w:r w:rsidRPr="00527F3E">
        <w:rPr>
          <w:rFonts w:ascii="Times New Roman" w:eastAsia="Times New Roman" w:hAnsi="Times New Roman" w:cs="Times New Roman"/>
          <w:iCs/>
          <w:sz w:val="28"/>
          <w:szCs w:val="28"/>
          <w:lang w:val="es-ES"/>
        </w:rPr>
        <w:t>renegociaciones pueden generar condiciones más favorables para la ejecución de los contratos, reasignar recursos hacia áreas prioritarias y obtener mayor flexibilidad financiera, todo lo cual puede contribuir a solucionar las causas del desequilibrio finan</w:t>
      </w:r>
      <w:r w:rsidRPr="00527F3E">
        <w:rPr>
          <w:rFonts w:ascii="Times New Roman" w:eastAsia="Times New Roman" w:hAnsi="Times New Roman" w:cs="Times New Roman"/>
          <w:iCs/>
          <w:sz w:val="28"/>
          <w:szCs w:val="28"/>
          <w:lang w:val="es-ES"/>
        </w:rPr>
        <w:t xml:space="preserve">ciero y mejorar la eficiencia en la prestación del servicio de transporte. </w:t>
      </w:r>
      <w:r w:rsidRPr="00527F3E">
        <w:rPr>
          <w:rFonts w:ascii="Times New Roman" w:eastAsia="Times New Roman" w:hAnsi="Times New Roman" w:cs="Times New Roman"/>
          <w:color w:val="0D0D0D"/>
          <w:sz w:val="28"/>
          <w:szCs w:val="28"/>
          <w:shd w:val="clear" w:color="auto" w:fill="FFFFFF"/>
          <w:lang w:val="es-ES"/>
        </w:rPr>
        <w:t>Además, tal y como se puso de presente al examinar los antecedentes del parágrafo demandado, en los tres últimos años la Nación ha asignado recursos para afrontar el déficit que pre</w:t>
      </w:r>
      <w:r w:rsidRPr="00527F3E">
        <w:rPr>
          <w:rFonts w:ascii="Times New Roman" w:eastAsia="Times New Roman" w:hAnsi="Times New Roman" w:cs="Times New Roman"/>
          <w:color w:val="0D0D0D"/>
          <w:sz w:val="28"/>
          <w:szCs w:val="28"/>
          <w:shd w:val="clear" w:color="auto" w:fill="FFFFFF"/>
          <w:lang w:val="es-ES"/>
        </w:rPr>
        <w:t xml:space="preserve">sentan estos sistemas de transporte, pero la crisis económica en el sector no se ha podido solucionar, de modo que la renegociación de la operación se presenta como una salida a esa crisis. Así se indicó en el debate legislativo: </w:t>
      </w:r>
      <w:r w:rsidRPr="00527F3E">
        <w:rPr>
          <w:rFonts w:ascii="Times New Roman" w:eastAsia="Times New Roman" w:hAnsi="Times New Roman" w:cs="Times New Roman"/>
          <w:sz w:val="28"/>
          <w:szCs w:val="28"/>
          <w:lang w:val="es-ES"/>
        </w:rPr>
        <w:t>“(...) el artículo de sis</w:t>
      </w:r>
      <w:r w:rsidRPr="00527F3E">
        <w:rPr>
          <w:rFonts w:ascii="Times New Roman" w:eastAsia="Times New Roman" w:hAnsi="Times New Roman" w:cs="Times New Roman"/>
          <w:sz w:val="28"/>
          <w:szCs w:val="28"/>
          <w:lang w:val="es-ES"/>
        </w:rPr>
        <w:t>tema de transporte, un artículo que se debatió́ durante 4 horas (...) ¿qué quiere este artículo? el Gobierno manda un mensaje muy claro, durante tres años ayudé y no ayudó [sic] más, y siéntese con los operadores, a renegociar los riesgos y a renegoci</w:t>
      </w:r>
      <w:r w:rsidRPr="00527F3E">
        <w:rPr>
          <w:rFonts w:ascii="Times New Roman" w:eastAsia="Times New Roman" w:hAnsi="Times New Roman" w:cs="Times New Roman"/>
          <w:sz w:val="28"/>
          <w:szCs w:val="28"/>
          <w:lang w:val="es-ES"/>
        </w:rPr>
        <w:t>ar la operación, porque el privado no está poniendo nada, es el Estado el que está poniendo (...)”</w:t>
      </w:r>
      <w:r w:rsidRPr="00527F3E">
        <w:rPr>
          <w:rFonts w:ascii="Times New Roman" w:eastAsia="Times New Roman" w:hAnsi="Times New Roman" w:cs="Times New Roman"/>
          <w:sz w:val="28"/>
          <w:szCs w:val="28"/>
          <w:vertAlign w:val="superscript"/>
          <w:lang w:val="es-ES"/>
        </w:rPr>
        <w:footnoteReference w:id="157"/>
      </w:r>
      <w:r w:rsidRPr="00527F3E">
        <w:rPr>
          <w:rFonts w:ascii="Times New Roman" w:eastAsia="Times New Roman" w:hAnsi="Times New Roman" w:cs="Times New Roman"/>
          <w:sz w:val="28"/>
          <w:szCs w:val="28"/>
          <w:lang w:val="es-ES"/>
        </w:rPr>
        <w:t>.</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iCs/>
          <w:color w:val="000000"/>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iCs/>
          <w:color w:val="000000"/>
          <w:sz w:val="28"/>
          <w:szCs w:val="28"/>
          <w:lang w:val="es-ES"/>
        </w:rPr>
      </w:pPr>
      <w:r w:rsidRPr="00527F3E">
        <w:rPr>
          <w:rFonts w:ascii="Times New Roman" w:eastAsia="Times New Roman" w:hAnsi="Times New Roman" w:cs="Times New Roman"/>
          <w:sz w:val="28"/>
          <w:szCs w:val="28"/>
          <w:lang w:val="es-ES"/>
        </w:rPr>
        <w:t xml:space="preserve">Los argumentos expuestos sustentan, además, la conexidad </w:t>
      </w:r>
      <w:r w:rsidRPr="00527F3E">
        <w:rPr>
          <w:rFonts w:ascii="Times New Roman" w:eastAsia="Times New Roman" w:hAnsi="Times New Roman" w:cs="Times New Roman"/>
          <w:i/>
          <w:iCs/>
          <w:sz w:val="28"/>
          <w:szCs w:val="28"/>
          <w:lang w:val="es-ES"/>
        </w:rPr>
        <w:t>temática</w:t>
      </w:r>
      <w:r w:rsidRPr="00527F3E">
        <w:rPr>
          <w:rFonts w:ascii="Times New Roman" w:eastAsia="Times New Roman" w:hAnsi="Times New Roman" w:cs="Times New Roman"/>
          <w:sz w:val="28"/>
          <w:szCs w:val="28"/>
          <w:lang w:val="es-ES"/>
        </w:rPr>
        <w:t xml:space="preserve"> entre el parágrafo acusado y la materia propia de la Ley 2299 de 2023, a través de la</w:t>
      </w:r>
      <w:r w:rsidRPr="00527F3E">
        <w:rPr>
          <w:rFonts w:ascii="Times New Roman" w:eastAsia="Times New Roman" w:hAnsi="Times New Roman" w:cs="Times New Roman"/>
          <w:sz w:val="28"/>
          <w:szCs w:val="28"/>
          <w:lang w:val="es-ES"/>
        </w:rPr>
        <w:t xml:space="preserve"> cual se efectúan </w:t>
      </w:r>
      <w:r w:rsidRPr="00527F3E">
        <w:rPr>
          <w:rFonts w:ascii="Times New Roman" w:eastAsia="Times New Roman" w:hAnsi="Times New Roman" w:cs="Times New Roman"/>
          <w:color w:val="000000"/>
          <w:sz w:val="28"/>
          <w:szCs w:val="28"/>
          <w:lang w:val="es-ES"/>
        </w:rPr>
        <w:t>“adiciones y modificaciones al Presupuesto General de la Nación de la vigencia fiscal de 2023”. A este respecto, y en respuesta al argumento de la demanda sobre la infracción del artículo 169 superior debido a la falta de relación entre e</w:t>
      </w:r>
      <w:r w:rsidRPr="00527F3E">
        <w:rPr>
          <w:rFonts w:ascii="Times New Roman" w:eastAsia="Times New Roman" w:hAnsi="Times New Roman" w:cs="Times New Roman"/>
          <w:color w:val="000000"/>
          <w:sz w:val="28"/>
          <w:szCs w:val="28"/>
          <w:lang w:val="es-ES"/>
        </w:rPr>
        <w:t>l contenido acusado y el título de la ley de la que forma parte, la Sala encuentra acreditada dicha relación. Como se expuso en las consideraciones generales de esta providencia, el entendimiento de la naturaleza de las leyes de presupuesto ha transitado d</w:t>
      </w:r>
      <w:r w:rsidRPr="00527F3E">
        <w:rPr>
          <w:rFonts w:ascii="Times New Roman" w:eastAsia="Times New Roman" w:hAnsi="Times New Roman" w:cs="Times New Roman"/>
          <w:color w:val="000000"/>
          <w:sz w:val="28"/>
          <w:szCs w:val="28"/>
          <w:lang w:val="es-ES"/>
        </w:rPr>
        <w:t>e una concepción puramente técnico-contable, como la que propone el demandante al señalar que el objeto propio de la Ley 2299 es “agregar y hacer cambios en las cantidades de dinero destinados a los rubros que integran el presupuesto general de la nación p</w:t>
      </w:r>
      <w:r w:rsidRPr="00527F3E">
        <w:rPr>
          <w:rFonts w:ascii="Times New Roman" w:eastAsia="Times New Roman" w:hAnsi="Times New Roman" w:cs="Times New Roman"/>
          <w:color w:val="000000"/>
          <w:sz w:val="28"/>
          <w:szCs w:val="28"/>
          <w:lang w:val="es-ES"/>
        </w:rPr>
        <w:t>ara el período fiscal del año 2023”, hacia una que reconoce el contenido normativo material de sus disposiciones, en particular de las llamadas “disposiciones generales”. Tal reconocimiento lleva a entender que las “adiciones y modificaciones al Presupuest</w:t>
      </w:r>
      <w:r w:rsidRPr="00527F3E">
        <w:rPr>
          <w:rFonts w:ascii="Times New Roman" w:eastAsia="Times New Roman" w:hAnsi="Times New Roman" w:cs="Times New Roman"/>
          <w:color w:val="000000"/>
          <w:sz w:val="28"/>
          <w:szCs w:val="28"/>
          <w:lang w:val="es-ES"/>
        </w:rPr>
        <w:t>o General de la Nación de la vigencia fiscal de 2023” no incluye sólo ajustes contables, sino modificaciones en el contenido normativo de las disposiciones generales contenidas en la Ley 2276 de 2022 (ley anual de presupuesto para la vigencia de 2023). Com</w:t>
      </w:r>
      <w:r w:rsidRPr="00527F3E">
        <w:rPr>
          <w:rFonts w:ascii="Times New Roman" w:eastAsia="Times New Roman" w:hAnsi="Times New Roman" w:cs="Times New Roman"/>
          <w:color w:val="000000"/>
          <w:sz w:val="28"/>
          <w:szCs w:val="28"/>
          <w:lang w:val="es-ES"/>
        </w:rPr>
        <w:t>o quedó expuesto, el parágrafo segundo acusado modificó contenidos normativos materiales inicialmente incluidos en el artículo 99 de la Ley 2276. Siendo así, puede afirmarse que su contenido se corresponde con el título de la Ley 2299 de 2023 de la que for</w:t>
      </w:r>
      <w:r w:rsidRPr="00527F3E">
        <w:rPr>
          <w:rFonts w:ascii="Times New Roman" w:eastAsia="Times New Roman" w:hAnsi="Times New Roman" w:cs="Times New Roman"/>
          <w:color w:val="000000"/>
          <w:sz w:val="28"/>
          <w:szCs w:val="28"/>
          <w:lang w:val="es-ES"/>
        </w:rPr>
        <w:t>ma parte. Adicionalmente, el parágrafo demandado guarda conexidad temática con la ley en la que se inserta por cuanto complementa la asignación del billón de pesos para suplir el déficit de los SITM y SETP, en tanto permite determinar el origen del desequi</w:t>
      </w:r>
      <w:r w:rsidRPr="00527F3E">
        <w:rPr>
          <w:rFonts w:ascii="Times New Roman" w:eastAsia="Times New Roman" w:hAnsi="Times New Roman" w:cs="Times New Roman"/>
          <w:color w:val="000000"/>
          <w:sz w:val="28"/>
          <w:szCs w:val="28"/>
          <w:lang w:val="es-ES"/>
        </w:rPr>
        <w:t xml:space="preserve">librio presupuestal de este sector y busca mediante la renegociación llegar a un acuerdo para superarlo. </w:t>
      </w:r>
    </w:p>
    <w:p w:rsidR="00B9678A" w:rsidRPr="00527F3E" w:rsidRDefault="00527F3E" w:rsidP="009F689D">
      <w:pPr>
        <w:spacing w:after="0" w:line="240" w:lineRule="auto"/>
        <w:rPr>
          <w:rFonts w:ascii="Times New Roman" w:eastAsia="Times New Roman" w:hAnsi="Times New Roman" w:cs="Times New Roman"/>
          <w:iCs/>
          <w:color w:val="000000"/>
          <w:sz w:val="28"/>
          <w:szCs w:val="28"/>
          <w:lang w:eastAsia="es-ES_tradnl"/>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iCs/>
          <w:color w:val="000000"/>
          <w:sz w:val="28"/>
          <w:szCs w:val="28"/>
          <w:lang w:val="es-ES"/>
        </w:rPr>
      </w:pPr>
      <w:r w:rsidRPr="00527F3E">
        <w:rPr>
          <w:rFonts w:ascii="Times New Roman" w:eastAsia="Times New Roman" w:hAnsi="Times New Roman" w:cs="Times New Roman"/>
          <w:iCs/>
          <w:color w:val="000000"/>
          <w:sz w:val="28"/>
          <w:szCs w:val="28"/>
          <w:lang w:val="es-ES"/>
        </w:rPr>
        <w:t xml:space="preserve">También se verifican relaciones de conexidad </w:t>
      </w:r>
      <w:r w:rsidRPr="00527F3E">
        <w:rPr>
          <w:rFonts w:ascii="Times New Roman" w:eastAsia="Times New Roman" w:hAnsi="Times New Roman" w:cs="Times New Roman"/>
          <w:i/>
          <w:color w:val="000000"/>
          <w:sz w:val="28"/>
          <w:szCs w:val="28"/>
          <w:lang w:val="es-ES"/>
        </w:rPr>
        <w:t>causal</w:t>
      </w:r>
      <w:r w:rsidRPr="00527F3E">
        <w:rPr>
          <w:rFonts w:ascii="Times New Roman" w:eastAsia="Times New Roman" w:hAnsi="Times New Roman" w:cs="Times New Roman"/>
          <w:iCs/>
          <w:color w:val="000000"/>
          <w:sz w:val="28"/>
          <w:szCs w:val="28"/>
          <w:lang w:val="es-ES"/>
        </w:rPr>
        <w:t xml:space="preserve"> con los motivos que llevaron a la presentación y aprobación del proyecto de adición presupuestal que, una vez sancionado, se convirtió en la Ley 2299 de 2023. Desde la exposición de motivos del proyecto se anunciaba que una de las motivaciones del ajuste </w:t>
      </w:r>
      <w:r w:rsidRPr="00527F3E">
        <w:rPr>
          <w:rFonts w:ascii="Times New Roman" w:eastAsia="Times New Roman" w:hAnsi="Times New Roman" w:cs="Times New Roman"/>
          <w:iCs/>
          <w:color w:val="000000"/>
          <w:sz w:val="28"/>
          <w:szCs w:val="28"/>
          <w:lang w:val="es-ES"/>
        </w:rPr>
        <w:t xml:space="preserve">presupuestal consistía en </w:t>
      </w:r>
      <w:r w:rsidRPr="00527F3E">
        <w:rPr>
          <w:rFonts w:ascii="Times New Roman" w:eastAsia="Times New Roman" w:hAnsi="Times New Roman" w:cs="Times New Roman"/>
          <w:sz w:val="28"/>
          <w:szCs w:val="28"/>
          <w:lang w:val="es-ES"/>
        </w:rPr>
        <w:t>“apoyar la superación del déficit operacional de los Sistemas Integrales de Transporte Masivo”</w:t>
      </w:r>
      <w:r w:rsidRPr="00527F3E">
        <w:rPr>
          <w:rFonts w:ascii="Times New Roman" w:eastAsia="Times New Roman" w:hAnsi="Times New Roman" w:cs="Times New Roman"/>
          <w:sz w:val="28"/>
          <w:szCs w:val="28"/>
          <w:vertAlign w:val="superscript"/>
          <w:lang w:val="es-ES"/>
        </w:rPr>
        <w:footnoteReference w:id="158"/>
      </w:r>
      <w:r w:rsidRPr="00527F3E">
        <w:rPr>
          <w:rFonts w:ascii="Times New Roman" w:eastAsia="Times New Roman" w:hAnsi="Times New Roman" w:cs="Times New Roman"/>
          <w:sz w:val="28"/>
          <w:szCs w:val="28"/>
          <w:lang w:val="es-ES"/>
        </w:rPr>
        <w:t xml:space="preserve"> y entre la destinación de las partidas adicionales de gasto se contemplaba “apoyar la operación de los SITM”</w:t>
      </w:r>
      <w:r w:rsidRPr="00527F3E">
        <w:rPr>
          <w:rFonts w:ascii="Times New Roman" w:eastAsia="Times New Roman" w:hAnsi="Times New Roman" w:cs="Times New Roman"/>
          <w:sz w:val="28"/>
          <w:szCs w:val="28"/>
          <w:vertAlign w:val="superscript"/>
          <w:lang w:val="es-ES"/>
        </w:rPr>
        <w:footnoteReference w:id="159"/>
      </w:r>
      <w:r w:rsidRPr="00527F3E">
        <w:rPr>
          <w:rFonts w:ascii="Times New Roman" w:eastAsia="Times New Roman" w:hAnsi="Times New Roman" w:cs="Times New Roman"/>
          <w:sz w:val="28"/>
          <w:szCs w:val="28"/>
          <w:lang w:val="es-ES"/>
        </w:rPr>
        <w:t>. El trámite de la inicia</w:t>
      </w:r>
      <w:r w:rsidRPr="00527F3E">
        <w:rPr>
          <w:rFonts w:ascii="Times New Roman" w:eastAsia="Times New Roman" w:hAnsi="Times New Roman" w:cs="Times New Roman"/>
          <w:sz w:val="28"/>
          <w:szCs w:val="28"/>
          <w:lang w:val="es-ES"/>
        </w:rPr>
        <w:t>tiva en el Congreso deja ver, a su vez, que la propuesta de incrementar sustancialmente los aportes de la Nación destinados a cubrir el déficit de los SITM y los SETP estuvo acompañada por la búsqueda de mecanismos para racionalizar esta cuantiosa inyecció</w:t>
      </w:r>
      <w:r w:rsidRPr="00527F3E">
        <w:rPr>
          <w:rFonts w:ascii="Times New Roman" w:eastAsia="Times New Roman" w:hAnsi="Times New Roman" w:cs="Times New Roman"/>
          <w:sz w:val="28"/>
          <w:szCs w:val="28"/>
          <w:lang w:val="es-ES"/>
        </w:rPr>
        <w:t>n de recursos, por cuanto era el tercer año consecutivo en el que se aprobaban recursos por un billón de pesos para la financiación de dichos sistemas de transporte, sin que se advirtieran signos de mejoría. Fue en ese contexto en el que, en los informes d</w:t>
      </w:r>
      <w:r w:rsidRPr="00527F3E">
        <w:rPr>
          <w:rFonts w:ascii="Times New Roman" w:eastAsia="Times New Roman" w:hAnsi="Times New Roman" w:cs="Times New Roman"/>
          <w:sz w:val="28"/>
          <w:szCs w:val="28"/>
          <w:lang w:val="es-ES"/>
        </w:rPr>
        <w:t>e ponencia para segundo debate en las plenarias del Senado de la República y de la Cámara de Representantes se integró el parágrafo 2º, hoy cuestionado, al parecer acogiendo una fórmula de renegociación propuesta por el Ministro de Hacienda, que varios con</w:t>
      </w:r>
      <w:r w:rsidRPr="00527F3E">
        <w:rPr>
          <w:rFonts w:ascii="Times New Roman" w:eastAsia="Times New Roman" w:hAnsi="Times New Roman" w:cs="Times New Roman"/>
          <w:sz w:val="28"/>
          <w:szCs w:val="28"/>
          <w:lang w:val="es-ES"/>
        </w:rPr>
        <w:t>gresistas defendieron con el propósito de racionalizar la inversión de recursos públicos que estaba a punto de aprobarse a través de la revisión y ajuste del equilibrio económico de los contratos de concesión y operación de los SITM y los SETP. Los motivos</w:t>
      </w:r>
      <w:r w:rsidRPr="00527F3E">
        <w:rPr>
          <w:rFonts w:ascii="Times New Roman" w:eastAsia="Times New Roman" w:hAnsi="Times New Roman" w:cs="Times New Roman"/>
          <w:sz w:val="28"/>
          <w:szCs w:val="28"/>
          <w:lang w:val="es-ES"/>
        </w:rPr>
        <w:t xml:space="preserve"> que llevaron a la aprobación del parágrafo acusado se alineaban, por tanto, con la preocupación por el déficit operativo que aqueja a estos sistemas de transporte y la necesidad de optimizar la inversión de recursos públicos para su superación.</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iCs/>
          <w:color w:val="000000"/>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iCs/>
          <w:color w:val="000000"/>
          <w:sz w:val="28"/>
          <w:szCs w:val="28"/>
          <w:lang w:val="es-ES"/>
        </w:rPr>
      </w:pPr>
      <w:r w:rsidRPr="00527F3E">
        <w:rPr>
          <w:rFonts w:ascii="Times New Roman" w:eastAsia="Times New Roman" w:hAnsi="Times New Roman" w:cs="Times New Roman"/>
          <w:sz w:val="28"/>
          <w:szCs w:val="28"/>
          <w:lang w:val="es-ES"/>
        </w:rPr>
        <w:t xml:space="preserve"> En el mi</w:t>
      </w:r>
      <w:r w:rsidRPr="00527F3E">
        <w:rPr>
          <w:rFonts w:ascii="Times New Roman" w:eastAsia="Times New Roman" w:hAnsi="Times New Roman" w:cs="Times New Roman"/>
          <w:sz w:val="28"/>
          <w:szCs w:val="28"/>
          <w:lang w:val="es-ES"/>
        </w:rPr>
        <w:t xml:space="preserve">smo sentido, existe conexidad </w:t>
      </w:r>
      <w:r w:rsidRPr="00527F3E">
        <w:rPr>
          <w:rFonts w:ascii="Times New Roman" w:eastAsia="Times New Roman" w:hAnsi="Times New Roman" w:cs="Times New Roman"/>
          <w:i/>
          <w:iCs/>
          <w:sz w:val="28"/>
          <w:szCs w:val="28"/>
          <w:lang w:val="es-ES"/>
        </w:rPr>
        <w:t>teleológica</w:t>
      </w:r>
      <w:r w:rsidRPr="00527F3E">
        <w:rPr>
          <w:rFonts w:ascii="Times New Roman" w:eastAsia="Times New Roman" w:hAnsi="Times New Roman" w:cs="Times New Roman"/>
          <w:sz w:val="28"/>
          <w:szCs w:val="28"/>
          <w:lang w:val="es-ES"/>
        </w:rPr>
        <w:t xml:space="preserve"> entre la finalidad de contribuir a superar el déficit de financiación de los SITM y los SETP, que persigue la adición presupuestal aprobada en la Ley 2299 de 2023, y la introducción de mecanismos orientados a (i) d</w:t>
      </w:r>
      <w:r w:rsidRPr="00527F3E">
        <w:rPr>
          <w:rFonts w:ascii="Times New Roman" w:eastAsia="Times New Roman" w:hAnsi="Times New Roman" w:cs="Times New Roman"/>
          <w:sz w:val="28"/>
          <w:szCs w:val="28"/>
          <w:lang w:val="es-ES"/>
        </w:rPr>
        <w:t>eterminar los efectos económicos adversos que pudieran haber afectado de manera grave el equilibrio económico de los contratos de concesión y operación de estos sistemas de transporte y a (ii) renegociar las condiciones económicas y de distribución de ries</w:t>
      </w:r>
      <w:r w:rsidRPr="00527F3E">
        <w:rPr>
          <w:rFonts w:ascii="Times New Roman" w:eastAsia="Times New Roman" w:hAnsi="Times New Roman" w:cs="Times New Roman"/>
          <w:sz w:val="28"/>
          <w:szCs w:val="28"/>
          <w:lang w:val="es-ES"/>
        </w:rPr>
        <w:t>gos de dichos contratos cuando se advierta un desequilibrio grave en perjuicio de las entidades territoriales y los usuarios. Tales mecanismos guardan un vínculo instrumental con el logro de la finalidad antes señalada, por cuanto la renegociación de los c</w:t>
      </w:r>
      <w:r w:rsidRPr="00527F3E">
        <w:rPr>
          <w:rFonts w:ascii="Times New Roman" w:eastAsia="Times New Roman" w:hAnsi="Times New Roman" w:cs="Times New Roman"/>
          <w:sz w:val="28"/>
          <w:szCs w:val="28"/>
          <w:lang w:val="es-ES"/>
        </w:rPr>
        <w:t>ontratos respecto de los cuales se constate un grave desequilibrio se orienta a restablecer la ecuación contractual y, por esta vía, a superar el déficit que afrontan los SITM y los SETP, todo lo cual favorece la correcta ejecución del presupuesto destinad</w:t>
      </w:r>
      <w:r w:rsidRPr="00527F3E">
        <w:rPr>
          <w:rFonts w:ascii="Times New Roman" w:eastAsia="Times New Roman" w:hAnsi="Times New Roman" w:cs="Times New Roman"/>
          <w:sz w:val="28"/>
          <w:szCs w:val="28"/>
          <w:lang w:val="es-ES"/>
        </w:rPr>
        <w:t xml:space="preserve">o a financiar estos sistemas de transporte. </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iCs/>
          <w:color w:val="000000"/>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iCs/>
          <w:color w:val="000000"/>
          <w:sz w:val="28"/>
          <w:szCs w:val="28"/>
          <w:lang w:val="es-ES"/>
        </w:rPr>
      </w:pPr>
      <w:r w:rsidRPr="00527F3E">
        <w:rPr>
          <w:rFonts w:ascii="Times New Roman" w:eastAsia="Times New Roman" w:hAnsi="Times New Roman" w:cs="Times New Roman"/>
          <w:iCs/>
          <w:color w:val="000000"/>
          <w:sz w:val="28"/>
          <w:szCs w:val="28"/>
          <w:lang w:val="es-ES"/>
        </w:rPr>
        <w:t>También se aprecia conexidad teleológica respecto de la obligación, incluida en el inciso tercero del parágrafo acusado, de (iii) adelantar las mesas de renegociación de manera previa al ejercicio de la faculta</w:t>
      </w:r>
      <w:r w:rsidRPr="00527F3E">
        <w:rPr>
          <w:rFonts w:ascii="Times New Roman" w:eastAsia="Times New Roman" w:hAnsi="Times New Roman" w:cs="Times New Roman"/>
          <w:iCs/>
          <w:color w:val="000000"/>
          <w:sz w:val="28"/>
          <w:szCs w:val="28"/>
          <w:lang w:val="es-ES"/>
        </w:rPr>
        <w:t>d prevista en el artículo 17 de la Ley 80 de 1993. Tanto el accionante como varios de los intervinientes que coadyuvaron la demanda interpretaron este tercer contenido normativo como una orden perentoria dirigida a las entidades territoriales de proceder a</w:t>
      </w:r>
      <w:r w:rsidRPr="00527F3E">
        <w:rPr>
          <w:rFonts w:ascii="Times New Roman" w:eastAsia="Times New Roman" w:hAnsi="Times New Roman" w:cs="Times New Roman"/>
          <w:iCs/>
          <w:color w:val="000000"/>
          <w:sz w:val="28"/>
          <w:szCs w:val="28"/>
          <w:lang w:val="es-ES"/>
        </w:rPr>
        <w:t xml:space="preserve"> la terminación unilateral de los contratos en caso de no lograr su renegociación; consecuencia que, a su vez, operaría como un castigo para el contratista que no renegocie. Sobre esta interpretación se edificaron las objeciones planteadas por varios congr</w:t>
      </w:r>
      <w:r w:rsidRPr="00527F3E">
        <w:rPr>
          <w:rFonts w:ascii="Times New Roman" w:eastAsia="Times New Roman" w:hAnsi="Times New Roman" w:cs="Times New Roman"/>
          <w:iCs/>
          <w:color w:val="000000"/>
          <w:sz w:val="28"/>
          <w:szCs w:val="28"/>
          <w:lang w:val="es-ES"/>
        </w:rPr>
        <w:t>esistas durante el trámite legislativo, en particular la del senador Miguel Uribe Turbay</w:t>
      </w:r>
      <w:r w:rsidRPr="00527F3E">
        <w:rPr>
          <w:rFonts w:ascii="Times New Roman" w:eastAsia="Times New Roman" w:hAnsi="Times New Roman" w:cs="Times New Roman"/>
          <w:sz w:val="28"/>
          <w:szCs w:val="28"/>
          <w:vertAlign w:val="superscript"/>
          <w:lang w:val="es-ES"/>
        </w:rPr>
        <w:footnoteReference w:id="160"/>
      </w:r>
      <w:r w:rsidRPr="00527F3E">
        <w:rPr>
          <w:rFonts w:ascii="Times New Roman" w:eastAsia="Times New Roman" w:hAnsi="Times New Roman" w:cs="Times New Roman"/>
          <w:iCs/>
          <w:color w:val="000000"/>
          <w:sz w:val="28"/>
          <w:szCs w:val="28"/>
          <w:lang w:val="es-ES"/>
        </w:rPr>
        <w:t>. Sin embargo, no existen elementos de juicio que sugieran que, a través del inciso final del parágrafo acusado, el legislador estableciera una orden perentoria de eje</w:t>
      </w:r>
      <w:r w:rsidRPr="00527F3E">
        <w:rPr>
          <w:rFonts w:ascii="Times New Roman" w:eastAsia="Times New Roman" w:hAnsi="Times New Roman" w:cs="Times New Roman"/>
          <w:iCs/>
          <w:color w:val="000000"/>
          <w:sz w:val="28"/>
          <w:szCs w:val="28"/>
          <w:lang w:val="es-ES"/>
        </w:rPr>
        <w:t>rcer la potestad exorbitante de terminación unilateral de los contratos de concesión y operación de los SITM y los SETP en caso de que la renegociación fracasara o pretendiera crear una nueva causal de terminación unilateral de dichos contratos. La interpr</w:t>
      </w:r>
      <w:r w:rsidRPr="00527F3E">
        <w:rPr>
          <w:rFonts w:ascii="Times New Roman" w:eastAsia="Times New Roman" w:hAnsi="Times New Roman" w:cs="Times New Roman"/>
          <w:iCs/>
          <w:color w:val="000000"/>
          <w:sz w:val="28"/>
          <w:szCs w:val="28"/>
          <w:lang w:val="es-ES"/>
        </w:rPr>
        <w:t xml:space="preserve">etación literal e histórica de esta disposición permite concluir que el legislador únicamente quiso aclarar que la renegociación debía llevarse a cabo antes de una </w:t>
      </w:r>
      <w:r w:rsidRPr="00527F3E">
        <w:rPr>
          <w:rFonts w:ascii="Times New Roman" w:eastAsia="Times New Roman" w:hAnsi="Times New Roman" w:cs="Times New Roman"/>
          <w:i/>
          <w:color w:val="000000"/>
          <w:sz w:val="28"/>
          <w:szCs w:val="28"/>
          <w:lang w:val="es-ES"/>
        </w:rPr>
        <w:t xml:space="preserve">eventual </w:t>
      </w:r>
      <w:r w:rsidRPr="00527F3E">
        <w:rPr>
          <w:rFonts w:ascii="Times New Roman" w:eastAsia="Times New Roman" w:hAnsi="Times New Roman" w:cs="Times New Roman"/>
          <w:iCs/>
          <w:color w:val="000000"/>
          <w:sz w:val="28"/>
          <w:szCs w:val="28"/>
          <w:lang w:val="es-ES"/>
        </w:rPr>
        <w:t>terminación unilateral, la cual sólo procedería de darse alguna de las hipótesis qu</w:t>
      </w:r>
      <w:r w:rsidRPr="00527F3E">
        <w:rPr>
          <w:rFonts w:ascii="Times New Roman" w:eastAsia="Times New Roman" w:hAnsi="Times New Roman" w:cs="Times New Roman"/>
          <w:iCs/>
          <w:color w:val="000000"/>
          <w:sz w:val="28"/>
          <w:szCs w:val="28"/>
          <w:lang w:val="es-ES"/>
        </w:rPr>
        <w:t>e, según el artículo 17 de la Ley 80 de 1993, habilitan a la administración para ejercer esta potestad exorbitante</w:t>
      </w:r>
      <w:r w:rsidRPr="00527F3E">
        <w:rPr>
          <w:rFonts w:ascii="Times New Roman" w:eastAsia="Times New Roman" w:hAnsi="Times New Roman" w:cs="Times New Roman"/>
          <w:iCs/>
          <w:color w:val="000000"/>
          <w:sz w:val="28"/>
          <w:szCs w:val="28"/>
          <w:vertAlign w:val="superscript"/>
          <w:lang w:val="es-ES"/>
        </w:rPr>
        <w:footnoteReference w:id="161"/>
      </w:r>
      <w:r w:rsidRPr="00527F3E">
        <w:rPr>
          <w:rFonts w:ascii="Times New Roman" w:eastAsia="Times New Roman" w:hAnsi="Times New Roman" w:cs="Times New Roman"/>
          <w:iCs/>
          <w:color w:val="000000"/>
          <w:sz w:val="28"/>
          <w:szCs w:val="28"/>
          <w:lang w:val="es-ES"/>
        </w:rPr>
        <w:t>.</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iCs/>
          <w:color w:val="000000"/>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iCs/>
          <w:color w:val="000000"/>
          <w:sz w:val="28"/>
          <w:szCs w:val="28"/>
          <w:lang w:val="es-ES"/>
        </w:rPr>
      </w:pPr>
      <w:r w:rsidRPr="00527F3E">
        <w:rPr>
          <w:rFonts w:ascii="Times New Roman" w:eastAsia="Times New Roman" w:hAnsi="Times New Roman" w:cs="Times New Roman"/>
          <w:iCs/>
          <w:color w:val="000000"/>
          <w:sz w:val="28"/>
          <w:szCs w:val="28"/>
          <w:lang w:val="es-ES"/>
        </w:rPr>
        <w:t xml:space="preserve"> En efecto, de la literalidad de esta disposición se infiere que el legislador pretendía fomentar la renegociación, como vía para restablecer el equilibrio financiero de los contratos de concesión y operación de los SITM y SETP, en lugar de imponer su term</w:t>
      </w:r>
      <w:r w:rsidRPr="00527F3E">
        <w:rPr>
          <w:rFonts w:ascii="Times New Roman" w:eastAsia="Times New Roman" w:hAnsi="Times New Roman" w:cs="Times New Roman"/>
          <w:iCs/>
          <w:color w:val="000000"/>
          <w:sz w:val="28"/>
          <w:szCs w:val="28"/>
          <w:lang w:val="es-ES"/>
        </w:rPr>
        <w:t>inación unilateral. Asimismo, una revisión de los antecedentes legislativos de la norma demandada permite descartar que la intención del legislador fuera la de introducir una nueva causal de terminación unilateral o la forzar dicha terminación cuando no se</w:t>
      </w:r>
      <w:r w:rsidRPr="00527F3E">
        <w:rPr>
          <w:rFonts w:ascii="Times New Roman" w:eastAsia="Times New Roman" w:hAnsi="Times New Roman" w:cs="Times New Roman"/>
          <w:iCs/>
          <w:color w:val="000000"/>
          <w:sz w:val="28"/>
          <w:szCs w:val="28"/>
          <w:lang w:val="es-ES"/>
        </w:rPr>
        <w:t xml:space="preserve"> lograra la renegociación. En las sesiones plenarias de Senado y Cámara, los congresistas discutieron qué ocurriría si no se lograba la renegociación de los contratos. No existe ninguna intervención que sugiera, siquiera </w:t>
      </w:r>
      <w:r w:rsidRPr="00527F3E">
        <w:rPr>
          <w:rFonts w:ascii="Times New Roman" w:eastAsia="Times New Roman" w:hAnsi="Times New Roman" w:cs="Times New Roman"/>
          <w:i/>
          <w:color w:val="000000"/>
          <w:sz w:val="28"/>
          <w:szCs w:val="28"/>
          <w:lang w:val="es-ES"/>
        </w:rPr>
        <w:t>prima facie</w:t>
      </w:r>
      <w:r w:rsidRPr="00527F3E">
        <w:rPr>
          <w:rFonts w:ascii="Times New Roman" w:eastAsia="Times New Roman" w:hAnsi="Times New Roman" w:cs="Times New Roman"/>
          <w:iCs/>
          <w:color w:val="000000"/>
          <w:sz w:val="28"/>
          <w:szCs w:val="28"/>
          <w:lang w:val="es-ES"/>
        </w:rPr>
        <w:t>, que, quienes impulsaro</w:t>
      </w:r>
      <w:r w:rsidRPr="00527F3E">
        <w:rPr>
          <w:rFonts w:ascii="Times New Roman" w:eastAsia="Times New Roman" w:hAnsi="Times New Roman" w:cs="Times New Roman"/>
          <w:iCs/>
          <w:color w:val="000000"/>
          <w:sz w:val="28"/>
          <w:szCs w:val="28"/>
          <w:lang w:val="es-ES"/>
        </w:rPr>
        <w:t>n la iniciativa plantearan que, si la renegociación no se lograba, debía procederse con la terminación unilateral. Por el contrario, varios congresistas coincidían con el representante Oscar Darío Pérez Pineda en señalar que “si no se ponen de acuerdo, pue</w:t>
      </w:r>
      <w:r w:rsidRPr="00527F3E">
        <w:rPr>
          <w:rFonts w:ascii="Times New Roman" w:eastAsia="Times New Roman" w:hAnsi="Times New Roman" w:cs="Times New Roman"/>
          <w:iCs/>
          <w:color w:val="000000"/>
          <w:sz w:val="28"/>
          <w:szCs w:val="28"/>
          <w:lang w:val="es-ES"/>
        </w:rPr>
        <w:t>s yo creo que nada pasará”</w:t>
      </w:r>
      <w:r w:rsidRPr="00527F3E">
        <w:rPr>
          <w:rFonts w:ascii="Times New Roman" w:eastAsia="Times New Roman" w:hAnsi="Times New Roman" w:cs="Times New Roman"/>
          <w:iCs/>
          <w:color w:val="000000"/>
          <w:sz w:val="28"/>
          <w:szCs w:val="28"/>
          <w:vertAlign w:val="superscript"/>
          <w:lang w:val="es-ES"/>
        </w:rPr>
        <w:footnoteReference w:id="162"/>
      </w:r>
      <w:r w:rsidRPr="00527F3E">
        <w:rPr>
          <w:rFonts w:ascii="Times New Roman" w:eastAsia="Times New Roman" w:hAnsi="Times New Roman" w:cs="Times New Roman"/>
          <w:iCs/>
          <w:color w:val="000000"/>
          <w:sz w:val="28"/>
          <w:szCs w:val="28"/>
          <w:lang w:val="es-ES"/>
        </w:rPr>
        <w:t>. En ese orden de ideas, al priorizar la renegociación de los contratos, ordenando que esta se lleve a cabo antes de acudir a su eventual terminación unilateral, este contenido normativo, al igual que los dos anteriormente analiz</w:t>
      </w:r>
      <w:r w:rsidRPr="00527F3E">
        <w:rPr>
          <w:rFonts w:ascii="Times New Roman" w:eastAsia="Times New Roman" w:hAnsi="Times New Roman" w:cs="Times New Roman"/>
          <w:iCs/>
          <w:color w:val="000000"/>
          <w:sz w:val="28"/>
          <w:szCs w:val="28"/>
          <w:lang w:val="es-ES"/>
        </w:rPr>
        <w:t xml:space="preserve">ados, también establece un vínculo instrumental con la correcta ejecución del presupuesto.   </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iCs/>
          <w:color w:val="000000"/>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iCs/>
          <w:color w:val="000000"/>
          <w:sz w:val="28"/>
          <w:szCs w:val="28"/>
          <w:lang w:val="es-ES"/>
        </w:rPr>
      </w:pPr>
      <w:r w:rsidRPr="00527F3E">
        <w:rPr>
          <w:rFonts w:ascii="Times New Roman" w:eastAsia="Times New Roman" w:hAnsi="Times New Roman" w:cs="Times New Roman"/>
          <w:iCs/>
          <w:color w:val="000000"/>
          <w:sz w:val="28"/>
          <w:szCs w:val="28"/>
          <w:lang w:val="es-ES"/>
        </w:rPr>
        <w:t>En su conjunto, los tres contenidos incluidos en el parágrafo acusado guardan un vínculo instrumental con el tema presupuestal, en tanto están orientados a garan</w:t>
      </w:r>
      <w:r w:rsidRPr="00527F3E">
        <w:rPr>
          <w:rFonts w:ascii="Times New Roman" w:eastAsia="Times New Roman" w:hAnsi="Times New Roman" w:cs="Times New Roman"/>
          <w:iCs/>
          <w:color w:val="000000"/>
          <w:sz w:val="28"/>
          <w:szCs w:val="28"/>
          <w:lang w:val="es-ES"/>
        </w:rPr>
        <w:t>tizar la adecuada ejecución del presupuesto general de la Nación, específicamente del rubro destinado a financiar el déficit de los SITM y los SETP; esto por cuanto las renegociaciones pueden generar condiciones más favorables para la ejecución de los cont</w:t>
      </w:r>
      <w:r w:rsidRPr="00527F3E">
        <w:rPr>
          <w:rFonts w:ascii="Times New Roman" w:eastAsia="Times New Roman" w:hAnsi="Times New Roman" w:cs="Times New Roman"/>
          <w:iCs/>
          <w:color w:val="000000"/>
          <w:sz w:val="28"/>
          <w:szCs w:val="28"/>
          <w:lang w:val="es-ES"/>
        </w:rPr>
        <w:t xml:space="preserve">ratos, reasignar recursos hacia áreas prioritarias y obtener mayor flexibilidad financiera, todo lo cual puede contribuir a solucionar las causas del desequilibrio financiero y mejorar la eficiencia en la prestación del servicio de transporte. </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iCs/>
          <w:color w:val="000000"/>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i/>
          <w:iCs/>
          <w:color w:val="000000"/>
          <w:sz w:val="28"/>
          <w:szCs w:val="28"/>
          <w:lang w:val="es-ES"/>
        </w:rPr>
        <w:t>No se modi</w:t>
      </w:r>
      <w:r w:rsidRPr="00527F3E">
        <w:rPr>
          <w:rFonts w:ascii="Times New Roman" w:eastAsia="Times New Roman" w:hAnsi="Times New Roman" w:cs="Times New Roman"/>
          <w:i/>
          <w:iCs/>
          <w:color w:val="000000"/>
          <w:sz w:val="28"/>
          <w:szCs w:val="28"/>
          <w:lang w:val="es-ES"/>
        </w:rPr>
        <w:t xml:space="preserve">fican normas sustantivas. </w:t>
      </w:r>
      <w:r w:rsidRPr="00527F3E">
        <w:rPr>
          <w:rFonts w:ascii="Times New Roman" w:eastAsia="Times New Roman" w:hAnsi="Times New Roman" w:cs="Times New Roman"/>
          <w:color w:val="000000"/>
          <w:sz w:val="28"/>
          <w:szCs w:val="28"/>
          <w:lang w:val="es-ES"/>
        </w:rPr>
        <w:t>E</w:t>
      </w:r>
      <w:r w:rsidRPr="00527F3E">
        <w:rPr>
          <w:rFonts w:ascii="Times New Roman" w:eastAsia="Times New Roman" w:hAnsi="Times New Roman" w:cs="Times New Roman"/>
          <w:iCs/>
          <w:color w:val="000000"/>
          <w:sz w:val="28"/>
          <w:szCs w:val="28"/>
          <w:lang w:val="es-ES"/>
        </w:rPr>
        <w:t>l parágrafo acusado no modifica normas sustantivas, en tanto no establece una nueva causal de terminación unilateral del contrato estatal, ni ordena a las entidades territoriales acudir a la terminación de los contratos de conces</w:t>
      </w:r>
      <w:r w:rsidRPr="00527F3E">
        <w:rPr>
          <w:rFonts w:ascii="Times New Roman" w:eastAsia="Times New Roman" w:hAnsi="Times New Roman" w:cs="Times New Roman"/>
          <w:iCs/>
          <w:color w:val="000000"/>
          <w:sz w:val="28"/>
          <w:szCs w:val="28"/>
          <w:lang w:val="es-ES"/>
        </w:rPr>
        <w:t>ión de los SITM y SETP; su alcance consiste en ordenar a las entidades territoriales dar aplicación a los instrumentos normativos previstos en la ley de contratación estatal para revisar el equilibrio económico de dichos contratos y restablecerlo cuando se</w:t>
      </w:r>
      <w:r w:rsidRPr="00527F3E">
        <w:rPr>
          <w:rFonts w:ascii="Times New Roman" w:eastAsia="Times New Roman" w:hAnsi="Times New Roman" w:cs="Times New Roman"/>
          <w:iCs/>
          <w:color w:val="000000"/>
          <w:sz w:val="28"/>
          <w:szCs w:val="28"/>
          <w:lang w:val="es-ES"/>
        </w:rPr>
        <w:t xml:space="preserve"> haya afectado de manera grave en perjuicio de las entidades territoriales y los usuarios. Ni de la literalidad del parágrafo 2º acusado, ni de los antecedentes legislativos, se infiere el propósito de modificar el estatuto general de contratación de la ad</w:t>
      </w:r>
      <w:r w:rsidRPr="00527F3E">
        <w:rPr>
          <w:rFonts w:ascii="Times New Roman" w:eastAsia="Times New Roman" w:hAnsi="Times New Roman" w:cs="Times New Roman"/>
          <w:iCs/>
          <w:color w:val="000000"/>
          <w:sz w:val="28"/>
          <w:szCs w:val="28"/>
          <w:lang w:val="es-ES"/>
        </w:rPr>
        <w:t xml:space="preserve">ministración pública sino, más bien, el de </w:t>
      </w:r>
      <w:r w:rsidRPr="00527F3E">
        <w:rPr>
          <w:rFonts w:ascii="Times New Roman" w:eastAsia="Times New Roman" w:hAnsi="Times New Roman" w:cs="Times New Roman"/>
          <w:color w:val="000000"/>
          <w:sz w:val="28"/>
          <w:szCs w:val="28"/>
          <w:lang w:val="es-ES"/>
        </w:rPr>
        <w:t>ordenar a las entidades territoriales dar aplicación a algunas de sus normas, específicamente aquellas orientadas a garantizar el equilibrio económico de los contratos estatales, como medio para racionalizar la in</w:t>
      </w:r>
      <w:r w:rsidRPr="00527F3E">
        <w:rPr>
          <w:rFonts w:ascii="Times New Roman" w:eastAsia="Times New Roman" w:hAnsi="Times New Roman" w:cs="Times New Roman"/>
          <w:color w:val="000000"/>
          <w:sz w:val="28"/>
          <w:szCs w:val="28"/>
          <w:lang w:val="es-ES"/>
        </w:rPr>
        <w:t xml:space="preserve">versión de recursos públicos destinados a amortiguar el déficit que presentan dichos sistemas de transporte. </w:t>
      </w:r>
    </w:p>
    <w:p w:rsidR="00B9678A" w:rsidRPr="00527F3E" w:rsidRDefault="00527F3E" w:rsidP="001B1B92">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En concreto, a través de estos mandatos se ordena a las entidades territoriales que cuenten con SITM y SETP dar cumplimiento a las disposiciones de la Ley 80 de 1993 que imponen a la administración el deber de velar por el mantenimiento del equilibrio fina</w:t>
      </w:r>
      <w:r w:rsidRPr="00527F3E">
        <w:rPr>
          <w:rFonts w:ascii="Times New Roman" w:eastAsia="Times New Roman" w:hAnsi="Times New Roman" w:cs="Times New Roman"/>
          <w:color w:val="000000"/>
          <w:sz w:val="28"/>
          <w:szCs w:val="28"/>
          <w:lang w:val="es-ES"/>
        </w:rPr>
        <w:t>nciero de los contratos de concesión y operación de estos sistemas. En particular, el artículo 27 de dicho estatuto establece la obligación para las partes contratantes de verificar que se mantenga la ecuación contractual, esto es, la igualdad o equivalenc</w:t>
      </w:r>
      <w:r w:rsidRPr="00527F3E">
        <w:rPr>
          <w:rFonts w:ascii="Times New Roman" w:eastAsia="Times New Roman" w:hAnsi="Times New Roman" w:cs="Times New Roman"/>
          <w:color w:val="000000"/>
          <w:sz w:val="28"/>
          <w:szCs w:val="28"/>
          <w:lang w:val="es-ES"/>
        </w:rPr>
        <w:t>ia entre los derechos y obligaciones surgidos al momento de proponer o de contratar y, en caso de ruptura por causas no imputables a quien resulte afectado, adoptar en el menor tiempo posible las medidas necesarias para su restablecimiento. El artículo 4 d</w:t>
      </w:r>
      <w:r w:rsidRPr="00527F3E">
        <w:rPr>
          <w:rFonts w:ascii="Times New Roman" w:eastAsia="Times New Roman" w:hAnsi="Times New Roman" w:cs="Times New Roman"/>
          <w:color w:val="000000"/>
          <w:sz w:val="28"/>
          <w:szCs w:val="28"/>
          <w:lang w:val="es-ES"/>
        </w:rPr>
        <w:t xml:space="preserve">el mismo estatuto refuerza esta obligación en cabeza de las entidades estatales, cuando en su numeral tercero dispone que estas “solicitarán la actualización o la revisión de los precios cuando se produzcan fenómenos que alteren en su contra el equilibrio </w:t>
      </w:r>
      <w:r w:rsidRPr="00527F3E">
        <w:rPr>
          <w:rFonts w:ascii="Times New Roman" w:eastAsia="Times New Roman" w:hAnsi="Times New Roman" w:cs="Times New Roman"/>
          <w:color w:val="000000"/>
          <w:sz w:val="28"/>
          <w:szCs w:val="28"/>
          <w:lang w:val="es-ES"/>
        </w:rPr>
        <w:t>económico o financiero del contrato”. El numeral octavo del mismo artículo señala, a su vez, que las entidades estatales deberán adoptar “las medidas necesarias para mantener durante el desarrollo y ejecución del contrato las condiciones técnicas, económic</w:t>
      </w:r>
      <w:r w:rsidRPr="00527F3E">
        <w:rPr>
          <w:rFonts w:ascii="Times New Roman" w:eastAsia="Times New Roman" w:hAnsi="Times New Roman" w:cs="Times New Roman"/>
          <w:color w:val="000000"/>
          <w:sz w:val="28"/>
          <w:szCs w:val="28"/>
          <w:lang w:val="es-ES"/>
        </w:rPr>
        <w:t>as y financieras existentes al momento de proponer (…) o de contratar”, para lo cual “utilizarán los mecanismos de ajuste y revisión de precios, acudirán a los procedimientos de revisión y corrección de tales mecanismos si fracasan los supuestos o hipótesi</w:t>
      </w:r>
      <w:r w:rsidRPr="00527F3E">
        <w:rPr>
          <w:rFonts w:ascii="Times New Roman" w:eastAsia="Times New Roman" w:hAnsi="Times New Roman" w:cs="Times New Roman"/>
          <w:color w:val="000000"/>
          <w:sz w:val="28"/>
          <w:szCs w:val="28"/>
          <w:lang w:val="es-ES"/>
        </w:rPr>
        <w:t>s para la ejecución y pactarán intereses moratorios”. En el mismo sentido, el numeral 1 del artículo 26 de la Ley 80 de 1993, obliga a los servidores públicos a “buscar el cumplimiento de los fines de la contratación, a vigilar la correcta ejecución del ob</w:t>
      </w:r>
      <w:r w:rsidRPr="00527F3E">
        <w:rPr>
          <w:rFonts w:ascii="Times New Roman" w:eastAsia="Times New Roman" w:hAnsi="Times New Roman" w:cs="Times New Roman"/>
          <w:color w:val="000000"/>
          <w:sz w:val="28"/>
          <w:szCs w:val="28"/>
          <w:lang w:val="es-ES"/>
        </w:rPr>
        <w:t xml:space="preserve">jeto contratado y a proteger los derechos de la entidad, del contratista y de los terceros que puedan verse afectados por la ejecución del contrato”. </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Como quedó expuesto, el estatuto de la contratación pública obliga a la entidad contratante a verificar que se mantenga la ecuación contractual y, en caso de ruptura, adoptar en el menor tiempo posible las medidas para restablecer el equilibrio económico y</w:t>
      </w:r>
      <w:r w:rsidRPr="00527F3E">
        <w:rPr>
          <w:rFonts w:ascii="Times New Roman" w:eastAsia="Times New Roman" w:hAnsi="Times New Roman" w:cs="Times New Roman"/>
          <w:color w:val="000000"/>
          <w:sz w:val="28"/>
          <w:szCs w:val="28"/>
          <w:lang w:val="es-ES"/>
        </w:rPr>
        <w:t xml:space="preserve"> financiero del contrato, la equilibrada distribución de riesgos y, en general, la igualdad o equivalencia entre los derechos y obligaciones surgidos al momento de proponer, si hubo licitación, o de celebrar el contrato en los casos de contratación directa</w:t>
      </w:r>
      <w:r w:rsidRPr="00527F3E">
        <w:rPr>
          <w:rFonts w:ascii="Times New Roman" w:eastAsia="Times New Roman" w:hAnsi="Times New Roman" w:cs="Times New Roman"/>
          <w:color w:val="000000"/>
          <w:sz w:val="28"/>
          <w:szCs w:val="28"/>
          <w:lang w:val="es-ES"/>
        </w:rPr>
        <w:t>. Al referirse a las “medidas necesarias” para restablecer la ecuación contractual, los artículos 4 numeral 8º y 27 de la Ley 80 de 1993 no establecen un catálogo cerrado; la primera de estas disposiciones enuncia algunas medidas específicas, tales como el</w:t>
      </w:r>
      <w:r w:rsidRPr="00527F3E">
        <w:rPr>
          <w:rFonts w:ascii="Times New Roman" w:eastAsia="Times New Roman" w:hAnsi="Times New Roman" w:cs="Times New Roman"/>
          <w:color w:val="000000"/>
          <w:sz w:val="28"/>
          <w:szCs w:val="28"/>
          <w:lang w:val="es-ES"/>
        </w:rPr>
        <w:t xml:space="preserve"> ajuste y revisión de precios o la estipulación de intereses moratorios, pero no excluye la posibilidad de implementar otras medidas que puedan resultar necesarias para restablecer el equilibrio del contrato, siendo una de ellas la renegociación. Así lo es</w:t>
      </w:r>
      <w:r w:rsidRPr="00527F3E">
        <w:rPr>
          <w:rFonts w:ascii="Times New Roman" w:eastAsia="Times New Roman" w:hAnsi="Times New Roman" w:cs="Times New Roman"/>
          <w:color w:val="000000"/>
          <w:sz w:val="28"/>
          <w:szCs w:val="28"/>
          <w:lang w:val="es-ES"/>
        </w:rPr>
        <w:t>tablece de manera expresa el artículo 16 de la Ley 80 de 1993, el cual, al regular la modificación unilateral del contrato, establece que la administración podrá hacer uso de esta potestad exorbitante cuando, para evitar la paralización o la afectación gra</w:t>
      </w:r>
      <w:r w:rsidRPr="00527F3E">
        <w:rPr>
          <w:rFonts w:ascii="Times New Roman" w:eastAsia="Times New Roman" w:hAnsi="Times New Roman" w:cs="Times New Roman"/>
          <w:color w:val="000000"/>
          <w:sz w:val="28"/>
          <w:szCs w:val="28"/>
          <w:lang w:val="es-ES"/>
        </w:rPr>
        <w:t xml:space="preserve">ve del servicio público, “fuere necesario introducir variaciones en el contrato </w:t>
      </w:r>
      <w:r w:rsidRPr="00527F3E">
        <w:rPr>
          <w:rFonts w:ascii="Times New Roman" w:eastAsia="Times New Roman" w:hAnsi="Times New Roman" w:cs="Times New Roman"/>
          <w:i/>
          <w:iCs/>
          <w:color w:val="000000"/>
          <w:sz w:val="28"/>
          <w:szCs w:val="28"/>
          <w:lang w:val="es-ES"/>
        </w:rPr>
        <w:t>y previamente las partes no llegan al acuerdo respectivo</w:t>
      </w:r>
      <w:r w:rsidRPr="00527F3E">
        <w:rPr>
          <w:rFonts w:ascii="Times New Roman" w:eastAsia="Times New Roman" w:hAnsi="Times New Roman" w:cs="Times New Roman"/>
          <w:color w:val="000000"/>
          <w:sz w:val="28"/>
          <w:szCs w:val="28"/>
          <w:lang w:val="es-ES"/>
        </w:rPr>
        <w:t>”. Por tanto, la renegociación de las condiciones económicas y de distribución de riesgos de los contratos estatales, co</w:t>
      </w:r>
      <w:r w:rsidRPr="00527F3E">
        <w:rPr>
          <w:rFonts w:ascii="Times New Roman" w:eastAsia="Times New Roman" w:hAnsi="Times New Roman" w:cs="Times New Roman"/>
          <w:color w:val="000000"/>
          <w:sz w:val="28"/>
          <w:szCs w:val="28"/>
          <w:lang w:val="es-ES"/>
        </w:rPr>
        <w:t>mo vía para restablecer la ecuación económica en caso de ruptura, constituye uno de los mecanismos que para tal fin contempla el estatuto de la contratación pública. En ese orden de ideas, el parágrafo acusado no modifica normas sustantivas al ordenar hace</w:t>
      </w:r>
      <w:r w:rsidRPr="00527F3E">
        <w:rPr>
          <w:rFonts w:ascii="Times New Roman" w:eastAsia="Times New Roman" w:hAnsi="Times New Roman" w:cs="Times New Roman"/>
          <w:color w:val="000000"/>
          <w:sz w:val="28"/>
          <w:szCs w:val="28"/>
          <w:lang w:val="es-ES"/>
        </w:rPr>
        <w:t xml:space="preserve">r uso de esta figura para restablecer el equilibrio económico de los contratos de concesión y operación de los SITM y SETP </w:t>
      </w:r>
      <w:r w:rsidRPr="00527F3E">
        <w:rPr>
          <w:rFonts w:ascii="Times New Roman" w:eastAsia="Times New Roman" w:hAnsi="Times New Roman" w:cs="Times New Roman"/>
          <w:iCs/>
          <w:color w:val="000000"/>
          <w:sz w:val="28"/>
          <w:szCs w:val="28"/>
          <w:lang w:val="es-ES"/>
        </w:rPr>
        <w:t>cuando se haya afectado de manera grave en perjuicio de las entidades territoriales y los usuarios.</w:t>
      </w:r>
    </w:p>
    <w:p w:rsidR="00B9678A" w:rsidRPr="00527F3E" w:rsidRDefault="00527F3E" w:rsidP="009F689D">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iCs/>
          <w:color w:val="000000"/>
          <w:sz w:val="28"/>
          <w:szCs w:val="28"/>
          <w:lang w:val="es-ES"/>
        </w:rPr>
      </w:pPr>
      <w:r w:rsidRPr="00527F3E">
        <w:rPr>
          <w:rFonts w:ascii="Times New Roman" w:eastAsia="Times New Roman" w:hAnsi="Times New Roman" w:cs="Times New Roman"/>
          <w:color w:val="000000"/>
          <w:sz w:val="28"/>
          <w:szCs w:val="28"/>
          <w:lang w:val="es-ES"/>
        </w:rPr>
        <w:t xml:space="preserve">Entretanto, el inciso final del </w:t>
      </w:r>
      <w:r w:rsidRPr="00527F3E">
        <w:rPr>
          <w:rFonts w:ascii="Times New Roman" w:eastAsia="Times New Roman" w:hAnsi="Times New Roman" w:cs="Times New Roman"/>
          <w:color w:val="000000"/>
          <w:sz w:val="28"/>
          <w:szCs w:val="28"/>
          <w:lang w:val="es-ES"/>
        </w:rPr>
        <w:t xml:space="preserve">parágrafo acusado se limita a efectuar una remisión al artículo 17 de la Ley 80 de 1993, que regula la terminación unilateral del contrato estatal y prevé sus causales taxativas, sin que ello en modo alguno implique la modificación de las condiciones bajo </w:t>
      </w:r>
      <w:r w:rsidRPr="00527F3E">
        <w:rPr>
          <w:rFonts w:ascii="Times New Roman" w:eastAsia="Times New Roman" w:hAnsi="Times New Roman" w:cs="Times New Roman"/>
          <w:color w:val="000000"/>
          <w:sz w:val="28"/>
          <w:szCs w:val="28"/>
          <w:lang w:val="es-ES"/>
        </w:rPr>
        <w:t>las cuales procede el ejercicio de esta facultad o la creación de una causal adicional de terminación unilateral. Como se expuso, a través de esta disposición el legislador únicamente estableció que la renegociación de los contratos de concesión y operació</w:t>
      </w:r>
      <w:r w:rsidRPr="00527F3E">
        <w:rPr>
          <w:rFonts w:ascii="Times New Roman" w:eastAsia="Times New Roman" w:hAnsi="Times New Roman" w:cs="Times New Roman"/>
          <w:color w:val="000000"/>
          <w:sz w:val="28"/>
          <w:szCs w:val="28"/>
          <w:lang w:val="es-ES"/>
        </w:rPr>
        <w:t>n de los SITM y SETP</w:t>
      </w:r>
      <w:r w:rsidRPr="00527F3E">
        <w:rPr>
          <w:rFonts w:ascii="Times New Roman" w:eastAsia="Times New Roman" w:hAnsi="Times New Roman" w:cs="Times New Roman"/>
          <w:iCs/>
          <w:color w:val="000000"/>
          <w:sz w:val="28"/>
          <w:szCs w:val="28"/>
          <w:lang w:val="es-ES"/>
        </w:rPr>
        <w:t xml:space="preserve"> respecto de los que se verificase la ruptura de la ecuación contractual debía llevarse a cabo antes de una </w:t>
      </w:r>
      <w:r w:rsidRPr="00527F3E">
        <w:rPr>
          <w:rFonts w:ascii="Times New Roman" w:eastAsia="Times New Roman" w:hAnsi="Times New Roman" w:cs="Times New Roman"/>
          <w:i/>
          <w:color w:val="000000"/>
          <w:sz w:val="28"/>
          <w:szCs w:val="28"/>
          <w:lang w:val="es-ES"/>
        </w:rPr>
        <w:t xml:space="preserve">eventual </w:t>
      </w:r>
      <w:r w:rsidRPr="00527F3E">
        <w:rPr>
          <w:rFonts w:ascii="Times New Roman" w:eastAsia="Times New Roman" w:hAnsi="Times New Roman" w:cs="Times New Roman"/>
          <w:iCs/>
          <w:color w:val="000000"/>
          <w:sz w:val="28"/>
          <w:szCs w:val="28"/>
          <w:lang w:val="es-ES"/>
        </w:rPr>
        <w:t>terminación unilateral, la cual sólo procedería de darse alguna de las hipótesis que habilitan a la administración para</w:t>
      </w:r>
      <w:r w:rsidRPr="00527F3E">
        <w:rPr>
          <w:rFonts w:ascii="Times New Roman" w:eastAsia="Times New Roman" w:hAnsi="Times New Roman" w:cs="Times New Roman"/>
          <w:iCs/>
          <w:color w:val="000000"/>
          <w:sz w:val="28"/>
          <w:szCs w:val="28"/>
          <w:lang w:val="es-ES"/>
        </w:rPr>
        <w:t xml:space="preserve"> ejercer esta potestad exorbitante.</w:t>
      </w:r>
    </w:p>
    <w:p w:rsidR="00B9678A" w:rsidRPr="00527F3E" w:rsidRDefault="00527F3E" w:rsidP="009F689D">
      <w:pPr>
        <w:spacing w:after="0" w:line="240" w:lineRule="auto"/>
        <w:rPr>
          <w:rFonts w:ascii="Times New Roman" w:eastAsia="Times New Roman" w:hAnsi="Times New Roman" w:cs="Times New Roman"/>
          <w:color w:val="000000"/>
          <w:sz w:val="28"/>
          <w:szCs w:val="28"/>
          <w:lang w:eastAsia="es-ES_tradnl"/>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color w:val="000000"/>
          <w:sz w:val="28"/>
          <w:szCs w:val="28"/>
          <w:lang w:val="es-ES"/>
        </w:rPr>
        <w:t>En cuanto a que la renegociación de los contratos afectados de grave desequilibrio tenga lugar en mesas en las que, además de las partes contratantes, participa el Ministerio de Transporte y a las que puede asistir la C</w:t>
      </w:r>
      <w:r w:rsidRPr="00527F3E">
        <w:rPr>
          <w:rFonts w:ascii="Times New Roman" w:eastAsia="Times New Roman" w:hAnsi="Times New Roman" w:cs="Times New Roman"/>
          <w:color w:val="000000"/>
          <w:sz w:val="28"/>
          <w:szCs w:val="28"/>
          <w:lang w:val="es-ES"/>
        </w:rPr>
        <w:t>ontraloría General de la República, la presencia de funcionarios de estas dependencias no comporta la modificación de normas sustantivas. Del parágrafo acusado no se infiere que la participación de estos funcionarios esté orientada a interferir en la reneg</w:t>
      </w:r>
      <w:r w:rsidRPr="00527F3E">
        <w:rPr>
          <w:rFonts w:ascii="Times New Roman" w:eastAsia="Times New Roman" w:hAnsi="Times New Roman" w:cs="Times New Roman"/>
          <w:color w:val="000000"/>
          <w:sz w:val="28"/>
          <w:szCs w:val="28"/>
          <w:lang w:val="es-ES"/>
        </w:rPr>
        <w:t>ociación que corresponde adelantar a las partes contratantes, sino que se realiza en el marco de las competencias ordinarias de dichas entidades. En el caso del Ministerio del Transporte, su participación en las mesas de renegociación adquiere sentido en f</w:t>
      </w:r>
      <w:r w:rsidRPr="00527F3E">
        <w:rPr>
          <w:rFonts w:ascii="Times New Roman" w:eastAsia="Times New Roman" w:hAnsi="Times New Roman" w:cs="Times New Roman"/>
          <w:color w:val="000000"/>
          <w:sz w:val="28"/>
          <w:szCs w:val="28"/>
          <w:lang w:val="es-ES"/>
        </w:rPr>
        <w:t>unción de determinar, en el marco de sus funciones</w:t>
      </w:r>
      <w:r w:rsidRPr="00527F3E">
        <w:rPr>
          <w:rFonts w:ascii="Times New Roman" w:eastAsia="Times New Roman" w:hAnsi="Times New Roman" w:cs="Times New Roman"/>
          <w:color w:val="000000"/>
          <w:sz w:val="28"/>
          <w:szCs w:val="28"/>
          <w:vertAlign w:val="superscript"/>
          <w:lang w:val="es-ES"/>
        </w:rPr>
        <w:footnoteReference w:id="163"/>
      </w:r>
      <w:r w:rsidRPr="00527F3E">
        <w:rPr>
          <w:rFonts w:ascii="Times New Roman" w:eastAsia="Times New Roman" w:hAnsi="Times New Roman" w:cs="Times New Roman"/>
          <w:color w:val="000000"/>
          <w:sz w:val="28"/>
          <w:szCs w:val="28"/>
          <w:lang w:val="es-ES"/>
        </w:rPr>
        <w:t>, la distribución de los recursos para la financiación de los SITM y SETP que se adicionan en el artículo 4º. La participación de la Contraloría General de la República, entretanto, se realiza en ejercicio de su función constitucional de ejercer la vigilan</w:t>
      </w:r>
      <w:r w:rsidRPr="00527F3E">
        <w:rPr>
          <w:rFonts w:ascii="Times New Roman" w:eastAsia="Times New Roman" w:hAnsi="Times New Roman" w:cs="Times New Roman"/>
          <w:color w:val="000000"/>
          <w:sz w:val="28"/>
          <w:szCs w:val="28"/>
          <w:lang w:val="es-ES"/>
        </w:rPr>
        <w:t xml:space="preserve">cia y el control fiscal para garantizar la defensa y protección del patrimonio público (art. 267, C.P.). </w:t>
      </w:r>
    </w:p>
    <w:p w:rsidR="00B9678A" w:rsidRPr="00527F3E" w:rsidRDefault="00527F3E" w:rsidP="001B1B92">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i/>
          <w:iCs/>
          <w:color w:val="000000"/>
          <w:sz w:val="28"/>
          <w:szCs w:val="28"/>
          <w:lang w:val="es-ES"/>
        </w:rPr>
        <w:t xml:space="preserve">Temporalidad. </w:t>
      </w:r>
      <w:r w:rsidRPr="00527F3E">
        <w:rPr>
          <w:rFonts w:ascii="Times New Roman" w:eastAsia="Times New Roman" w:hAnsi="Times New Roman" w:cs="Times New Roman"/>
          <w:color w:val="000000"/>
          <w:sz w:val="28"/>
          <w:szCs w:val="28"/>
          <w:lang w:val="es-ES"/>
        </w:rPr>
        <w:t>La</w:t>
      </w:r>
      <w:r w:rsidRPr="00527F3E">
        <w:rPr>
          <w:rFonts w:ascii="Times New Roman" w:eastAsia="Times New Roman" w:hAnsi="Times New Roman" w:cs="Times New Roman"/>
          <w:iCs/>
          <w:color w:val="000000"/>
          <w:sz w:val="28"/>
          <w:szCs w:val="28"/>
          <w:lang w:val="es-ES"/>
        </w:rPr>
        <w:t xml:space="preserve"> norma acusada no tiene vocación de permanencia, por cuanto expresamente fijó su vigencia hasta el 31 de diciembre de 2023 y no mantu</w:t>
      </w:r>
      <w:r w:rsidRPr="00527F3E">
        <w:rPr>
          <w:rFonts w:ascii="Times New Roman" w:eastAsia="Times New Roman" w:hAnsi="Times New Roman" w:cs="Times New Roman"/>
          <w:iCs/>
          <w:color w:val="000000"/>
          <w:sz w:val="28"/>
          <w:szCs w:val="28"/>
          <w:lang w:val="es-ES"/>
        </w:rPr>
        <w:t>vo sus efectos luego de esta fecha, con lo cual respeta el principio de anualidad que rige en materia de leyes de presupuesto. Tanto la literalidad del parágrafo 2º, como los debates que precedieron su aprobación, indican claramente la voluntad de legislad</w:t>
      </w:r>
      <w:r w:rsidRPr="00527F3E">
        <w:rPr>
          <w:rFonts w:ascii="Times New Roman" w:eastAsia="Times New Roman" w:hAnsi="Times New Roman" w:cs="Times New Roman"/>
          <w:iCs/>
          <w:color w:val="000000"/>
          <w:sz w:val="28"/>
          <w:szCs w:val="28"/>
          <w:lang w:val="es-ES"/>
        </w:rPr>
        <w:t xml:space="preserve">or de circunscribir sus efectos al término de la vigencia fiscal de 2023. </w:t>
      </w:r>
    </w:p>
    <w:p w:rsidR="00B9678A" w:rsidRPr="00527F3E" w:rsidRDefault="00527F3E" w:rsidP="001B1B92">
      <w:pPr>
        <w:spacing w:line="240" w:lineRule="auto"/>
        <w:contextualSpacing/>
        <w:rPr>
          <w:rFonts w:ascii="Times New Roman" w:eastAsia="Times New Roman" w:hAnsi="Times New Roman" w:cs="Times New Roman"/>
          <w:color w:val="000000"/>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sz w:val="28"/>
          <w:szCs w:val="28"/>
          <w:lang w:val="es-ES"/>
        </w:rPr>
      </w:pPr>
      <w:r w:rsidRPr="00527F3E">
        <w:rPr>
          <w:rFonts w:ascii="Times New Roman" w:eastAsia="Times New Roman" w:hAnsi="Times New Roman" w:cs="Times New Roman"/>
          <w:color w:val="000000"/>
          <w:sz w:val="28"/>
          <w:szCs w:val="28"/>
          <w:lang w:val="es-ES"/>
        </w:rPr>
        <w:t>Incluso de verificarse que, dentro del término de su vigencia, tuvo lugar la renegociación de contratos de concesión y operación de SITM y SETP en el seno de las mesas dispuestas e</w:t>
      </w:r>
      <w:r w:rsidRPr="00527F3E">
        <w:rPr>
          <w:rFonts w:ascii="Times New Roman" w:eastAsia="Times New Roman" w:hAnsi="Times New Roman" w:cs="Times New Roman"/>
          <w:color w:val="000000"/>
          <w:sz w:val="28"/>
          <w:szCs w:val="28"/>
          <w:lang w:val="es-ES"/>
        </w:rPr>
        <w:t xml:space="preserve">n el parágrafo acusado, ello sólo pondría de manifiesto que las consecuencias prácticas de la aplicación de la norma a casos concretos podrían proyectarse luego del fenecimiento de la vigencia fiscal de 2023, pero de ninguna manera ello implicaría que </w:t>
      </w:r>
      <w:r w:rsidRPr="00527F3E">
        <w:rPr>
          <w:rFonts w:ascii="Times New Roman" w:eastAsia="Times New Roman" w:hAnsi="Times New Roman" w:cs="Times New Roman"/>
          <w:sz w:val="28"/>
          <w:szCs w:val="28"/>
          <w:lang w:val="es-ES"/>
        </w:rPr>
        <w:t>la n</w:t>
      </w:r>
      <w:r w:rsidRPr="00527F3E">
        <w:rPr>
          <w:rFonts w:ascii="Times New Roman" w:eastAsia="Times New Roman" w:hAnsi="Times New Roman" w:cs="Times New Roman"/>
          <w:sz w:val="28"/>
          <w:szCs w:val="28"/>
          <w:lang w:val="es-ES"/>
        </w:rPr>
        <w:t xml:space="preserve">orma demandada tenga carácter permanente ni efectos ultractivos. En cuanto tal, la norma acusada tuvo una vida breve y solo surtió sus efectos entre el 10 de julio (cuando fue </w:t>
      </w:r>
      <w:r w:rsidRPr="00527F3E">
        <w:rPr>
          <w:rFonts w:ascii="Times New Roman" w:eastAsia="Times New Roman" w:hAnsi="Times New Roman" w:cs="Times New Roman"/>
          <w:sz w:val="28"/>
          <w:szCs w:val="28"/>
          <w:lang w:val="es-ES"/>
        </w:rPr>
        <w:t>promulgada</w:t>
      </w:r>
      <w:r w:rsidRPr="00527F3E">
        <w:rPr>
          <w:rFonts w:ascii="Times New Roman" w:eastAsia="Times New Roman" w:hAnsi="Times New Roman" w:cs="Times New Roman"/>
          <w:sz w:val="28"/>
          <w:szCs w:val="28"/>
          <w:lang w:val="es-ES"/>
        </w:rPr>
        <w:t xml:space="preserve"> la Ley 2299</w:t>
      </w:r>
      <w:r w:rsidRPr="00527F3E">
        <w:rPr>
          <w:rFonts w:ascii="Times New Roman" w:eastAsia="Times New Roman" w:hAnsi="Times New Roman" w:cs="Times New Roman"/>
          <w:sz w:val="28"/>
          <w:szCs w:val="28"/>
          <w:lang w:val="es-ES"/>
        </w:rPr>
        <w:t>, a través de su publicación en el Diario Oficial</w:t>
      </w:r>
      <w:r w:rsidRPr="00527F3E">
        <w:rPr>
          <w:rFonts w:ascii="Times New Roman" w:eastAsia="Times New Roman" w:hAnsi="Times New Roman" w:cs="Times New Roman"/>
          <w:sz w:val="28"/>
          <w:szCs w:val="28"/>
          <w:lang w:val="es-ES"/>
        </w:rPr>
        <w:t>) y el 31</w:t>
      </w:r>
      <w:r w:rsidRPr="00527F3E">
        <w:rPr>
          <w:rFonts w:ascii="Times New Roman" w:eastAsia="Times New Roman" w:hAnsi="Times New Roman" w:cs="Times New Roman"/>
          <w:sz w:val="28"/>
          <w:szCs w:val="28"/>
          <w:lang w:val="es-ES"/>
        </w:rPr>
        <w:t xml:space="preserve"> de diciembre de 2023.</w:t>
      </w:r>
    </w:p>
    <w:p w:rsidR="00B9678A" w:rsidRPr="00527F3E" w:rsidRDefault="00527F3E" w:rsidP="001B1B92">
      <w:pPr>
        <w:spacing w:line="240" w:lineRule="auto"/>
        <w:contextualSpacing/>
        <w:rPr>
          <w:rFonts w:ascii="Times New Roman" w:eastAsia="Times New Roman" w:hAnsi="Times New Roman" w:cs="Times New Roman"/>
          <w:sz w:val="28"/>
          <w:szCs w:val="28"/>
          <w:lang w:val="es-ES"/>
        </w:rPr>
      </w:pPr>
    </w:p>
    <w:p w:rsidR="00B9678A" w:rsidRPr="00527F3E" w:rsidRDefault="00527F3E" w:rsidP="001B1B92">
      <w:pPr>
        <w:numPr>
          <w:ilvl w:val="0"/>
          <w:numId w:val="1"/>
        </w:numPr>
        <w:tabs>
          <w:tab w:val="left" w:pos="426"/>
        </w:tabs>
        <w:autoSpaceDE w:val="0"/>
        <w:autoSpaceDN w:val="0"/>
        <w:spacing w:after="0" w:line="240" w:lineRule="auto"/>
        <w:ind w:left="0" w:right="49" w:firstLine="0"/>
        <w:jc w:val="both"/>
        <w:textAlignment w:val="baseline"/>
        <w:rPr>
          <w:rFonts w:ascii="Times New Roman" w:eastAsia="Times New Roman" w:hAnsi="Times New Roman" w:cs="Times New Roman"/>
          <w:color w:val="000000"/>
          <w:sz w:val="28"/>
          <w:szCs w:val="28"/>
          <w:lang w:val="es-ES"/>
        </w:rPr>
      </w:pPr>
      <w:r w:rsidRPr="00527F3E">
        <w:rPr>
          <w:rFonts w:ascii="Times New Roman" w:eastAsia="Times New Roman" w:hAnsi="Times New Roman" w:cs="Times New Roman"/>
          <w:sz w:val="28"/>
          <w:szCs w:val="28"/>
          <w:lang w:val="es-ES"/>
        </w:rPr>
        <w:t xml:space="preserve">Cosa distinta es que, en cumplimiento de las obligaciones impuestas a la administración por el Estatuto General de Contratación, las entidades territoriales que cuenten con SITM y SETP continúen teniendo el deber de velar por el </w:t>
      </w:r>
      <w:r w:rsidRPr="00527F3E">
        <w:rPr>
          <w:rFonts w:ascii="Times New Roman" w:eastAsia="Times New Roman" w:hAnsi="Times New Roman" w:cs="Times New Roman"/>
          <w:sz w:val="28"/>
          <w:szCs w:val="28"/>
          <w:lang w:val="es-ES"/>
        </w:rPr>
        <w:t>mantenimiento del equilibrio económico y financiero de los contratos de concesión y operación de dichos sistemas de transporte. Pero tal deber encuentra su fundamento en normas distintas a la que se examina en el presente caso; normas de la Ley 80 de 1993,</w:t>
      </w:r>
      <w:r w:rsidRPr="00527F3E">
        <w:rPr>
          <w:rFonts w:ascii="Times New Roman" w:eastAsia="Times New Roman" w:hAnsi="Times New Roman" w:cs="Times New Roman"/>
          <w:sz w:val="28"/>
          <w:szCs w:val="28"/>
          <w:lang w:val="es-ES"/>
        </w:rPr>
        <w:t xml:space="preserve"> antes analizadas, que regían desde antes de que el parágrafo 2º del artículo 4 de la Ley 2299 de 2023 entrara en vigor y normas que subsisten tras la expiración del término de vigencia de la norma acusada.</w:t>
      </w:r>
    </w:p>
    <w:p w:rsidR="00B9678A" w:rsidRPr="00527F3E" w:rsidRDefault="00527F3E" w:rsidP="00B9678A">
      <w:pPr>
        <w:tabs>
          <w:tab w:val="left" w:pos="426"/>
        </w:tabs>
        <w:autoSpaceDE w:val="0"/>
        <w:autoSpaceDN w:val="0"/>
        <w:spacing w:after="0" w:line="240" w:lineRule="auto"/>
        <w:ind w:right="49"/>
        <w:jc w:val="both"/>
        <w:textAlignment w:val="baseline"/>
        <w:rPr>
          <w:rFonts w:ascii="Times New Roman" w:eastAsia="Times New Roman" w:hAnsi="Times New Roman" w:cs="Times New Roman"/>
          <w:color w:val="000000"/>
          <w:sz w:val="28"/>
          <w:szCs w:val="28"/>
          <w:lang w:val="es-ES"/>
        </w:rPr>
      </w:pPr>
    </w:p>
    <w:p w:rsidR="00B9678A" w:rsidRPr="00527F3E" w:rsidRDefault="00527F3E" w:rsidP="00B9678A">
      <w:pPr>
        <w:keepNext/>
        <w:spacing w:after="0" w:line="240" w:lineRule="auto"/>
        <w:jc w:val="both"/>
        <w:textAlignment w:val="baseline"/>
        <w:outlineLvl w:val="0"/>
        <w:rPr>
          <w:rFonts w:ascii="Times New Roman" w:eastAsia="Times New Roman" w:hAnsi="Times New Roman" w:cs="Times New Roman"/>
          <w:b/>
          <w:bCs/>
          <w:color w:val="000000"/>
          <w:sz w:val="28"/>
          <w:szCs w:val="28"/>
          <w:bdr w:val="none" w:sz="0" w:space="0" w:color="auto" w:frame="1"/>
          <w:lang w:eastAsia="es-ES"/>
        </w:rPr>
      </w:pPr>
      <w:r w:rsidRPr="00527F3E">
        <w:rPr>
          <w:rFonts w:ascii="Times New Roman" w:eastAsia="Times New Roman" w:hAnsi="Times New Roman" w:cs="Times New Roman"/>
          <w:b/>
          <w:bCs/>
          <w:color w:val="000000"/>
          <w:sz w:val="28"/>
          <w:szCs w:val="28"/>
          <w:bdr w:val="none" w:sz="0" w:space="0" w:color="auto" w:frame="1"/>
          <w:lang w:eastAsia="es-ES"/>
        </w:rPr>
        <w:t>VIII. DECISIÓN</w:t>
      </w:r>
    </w:p>
    <w:p w:rsidR="00B9678A" w:rsidRPr="00527F3E" w:rsidRDefault="00527F3E" w:rsidP="00B9678A">
      <w:pPr>
        <w:spacing w:after="0" w:line="240" w:lineRule="auto"/>
        <w:ind w:right="-34"/>
        <w:jc w:val="both"/>
        <w:rPr>
          <w:rFonts w:ascii="Times New Roman" w:eastAsia="Times New Roman" w:hAnsi="Times New Roman" w:cs="Times New Roman"/>
          <w:color w:val="000000"/>
          <w:sz w:val="28"/>
          <w:szCs w:val="28"/>
          <w:lang w:eastAsia="es-ES"/>
        </w:rPr>
      </w:pPr>
    </w:p>
    <w:p w:rsidR="00B9678A" w:rsidRPr="00527F3E" w:rsidRDefault="00527F3E" w:rsidP="00B9678A">
      <w:pPr>
        <w:spacing w:after="0" w:line="240" w:lineRule="auto"/>
        <w:ind w:right="-34"/>
        <w:jc w:val="both"/>
        <w:rPr>
          <w:rFonts w:ascii="Times New Roman" w:eastAsia="Times New Roman" w:hAnsi="Times New Roman" w:cs="Times New Roman"/>
          <w:color w:val="000000"/>
          <w:sz w:val="28"/>
          <w:szCs w:val="28"/>
          <w:lang w:eastAsia="es-ES"/>
        </w:rPr>
      </w:pPr>
      <w:r w:rsidRPr="00527F3E">
        <w:rPr>
          <w:rFonts w:ascii="Times New Roman" w:eastAsia="Times New Roman" w:hAnsi="Times New Roman" w:cs="Times New Roman"/>
          <w:color w:val="000000"/>
          <w:sz w:val="28"/>
          <w:szCs w:val="28"/>
          <w:lang w:eastAsia="es-ES"/>
        </w:rPr>
        <w:t xml:space="preserve">En mérito de lo expuesto, la Sala Plena de la Corte Constitucional, administrando justicia en nombre del pueblo y por mandato de la Constitución, </w:t>
      </w:r>
    </w:p>
    <w:p w:rsidR="00B9678A" w:rsidRPr="00527F3E" w:rsidRDefault="00527F3E" w:rsidP="00B9678A">
      <w:pPr>
        <w:spacing w:after="0" w:line="240" w:lineRule="auto"/>
        <w:ind w:right="-34"/>
        <w:jc w:val="both"/>
        <w:rPr>
          <w:rFonts w:ascii="Times New Roman" w:eastAsia="Times New Roman" w:hAnsi="Times New Roman" w:cs="Times New Roman"/>
          <w:color w:val="000000"/>
          <w:sz w:val="28"/>
          <w:szCs w:val="28"/>
          <w:lang w:eastAsia="es-ES"/>
        </w:rPr>
      </w:pPr>
    </w:p>
    <w:p w:rsidR="00B9678A" w:rsidRPr="00527F3E" w:rsidRDefault="00527F3E" w:rsidP="00B9678A">
      <w:pPr>
        <w:spacing w:after="0" w:line="240" w:lineRule="auto"/>
        <w:jc w:val="center"/>
        <w:rPr>
          <w:rFonts w:ascii="Times New Roman" w:eastAsia="Times New Roman" w:hAnsi="Times New Roman" w:cs="Times New Roman"/>
          <w:b/>
          <w:bCs/>
          <w:color w:val="000000"/>
          <w:sz w:val="28"/>
          <w:szCs w:val="28"/>
          <w:lang w:eastAsia="es-ES"/>
        </w:rPr>
      </w:pPr>
      <w:r w:rsidRPr="00527F3E">
        <w:rPr>
          <w:rFonts w:ascii="Times New Roman" w:eastAsia="Times New Roman" w:hAnsi="Times New Roman" w:cs="Times New Roman"/>
          <w:b/>
          <w:bCs/>
          <w:color w:val="000000"/>
          <w:sz w:val="28"/>
          <w:szCs w:val="28"/>
          <w:lang w:eastAsia="es-ES"/>
        </w:rPr>
        <w:t>RESUELVE</w:t>
      </w:r>
    </w:p>
    <w:p w:rsidR="00B9678A" w:rsidRPr="00527F3E" w:rsidRDefault="00527F3E" w:rsidP="00B9678A">
      <w:pPr>
        <w:spacing w:after="0" w:line="240" w:lineRule="auto"/>
        <w:jc w:val="both"/>
        <w:rPr>
          <w:rFonts w:ascii="Times New Roman" w:eastAsia="Times New Roman" w:hAnsi="Times New Roman" w:cs="Times New Roman"/>
          <w:color w:val="000000"/>
          <w:sz w:val="28"/>
          <w:szCs w:val="28"/>
          <w:lang w:eastAsia="es-ES_tradnl"/>
        </w:rPr>
      </w:pPr>
    </w:p>
    <w:p w:rsidR="00B9678A" w:rsidRPr="00527F3E" w:rsidRDefault="00527F3E" w:rsidP="00B9678A">
      <w:pPr>
        <w:spacing w:after="0" w:line="240" w:lineRule="auto"/>
        <w:jc w:val="both"/>
        <w:rPr>
          <w:rFonts w:ascii="Times New Roman" w:eastAsia="Times New Roman" w:hAnsi="Times New Roman" w:cs="Times New Roman"/>
          <w:color w:val="000000"/>
          <w:sz w:val="28"/>
          <w:szCs w:val="28"/>
          <w:lang w:eastAsia="es-ES_tradnl"/>
        </w:rPr>
      </w:pPr>
      <w:r w:rsidRPr="00527F3E">
        <w:rPr>
          <w:rFonts w:ascii="Times New Roman" w:eastAsia="Times New Roman" w:hAnsi="Times New Roman" w:cs="Times New Roman"/>
          <w:color w:val="000000"/>
          <w:sz w:val="28"/>
          <w:szCs w:val="28"/>
          <w:lang w:val="es-ES" w:eastAsia="es-ES_tradnl"/>
        </w:rPr>
        <w:t>Declarar</w:t>
      </w:r>
      <w:r w:rsidRPr="00527F3E">
        <w:rPr>
          <w:rFonts w:ascii="Times New Roman" w:eastAsia="Times New Roman" w:hAnsi="Times New Roman" w:cs="Times New Roman"/>
          <w:b/>
          <w:bCs/>
          <w:color w:val="000000"/>
          <w:sz w:val="28"/>
          <w:szCs w:val="28"/>
          <w:lang w:val="es-ES" w:eastAsia="es-ES_tradnl"/>
        </w:rPr>
        <w:t xml:space="preserve"> EXEQUIBLE </w:t>
      </w:r>
      <w:r w:rsidRPr="00527F3E">
        <w:rPr>
          <w:rFonts w:ascii="Times New Roman" w:eastAsia="Times New Roman" w:hAnsi="Times New Roman" w:cs="Times New Roman"/>
          <w:color w:val="000000"/>
          <w:sz w:val="28"/>
          <w:szCs w:val="28"/>
          <w:lang w:val="es-ES" w:eastAsia="es-ES_tradnl"/>
        </w:rPr>
        <w:t>el parágrafo 2º del artículo 4 de la Ley 2299 de 2023 por el cargo examinado</w:t>
      </w:r>
      <w:r w:rsidRPr="00527F3E">
        <w:rPr>
          <w:rFonts w:ascii="Times New Roman" w:eastAsia="Times New Roman" w:hAnsi="Times New Roman" w:cs="Times New Roman"/>
          <w:color w:val="000000"/>
          <w:sz w:val="28"/>
          <w:szCs w:val="28"/>
          <w:lang w:eastAsia="es-ES_tradnl"/>
        </w:rPr>
        <w:t>.</w:t>
      </w:r>
    </w:p>
    <w:p w:rsidR="00B9678A" w:rsidRPr="00527F3E" w:rsidRDefault="00527F3E" w:rsidP="00B9678A">
      <w:pPr>
        <w:spacing w:after="0" w:line="240" w:lineRule="auto"/>
        <w:jc w:val="both"/>
        <w:rPr>
          <w:rFonts w:ascii="Times New Roman" w:eastAsia="Times New Roman" w:hAnsi="Times New Roman" w:cs="Times New Roman"/>
          <w:color w:val="000000"/>
          <w:sz w:val="28"/>
          <w:szCs w:val="28"/>
          <w:lang w:eastAsia="es-ES_tradnl"/>
        </w:rPr>
      </w:pPr>
    </w:p>
    <w:p w:rsidR="00175728" w:rsidRPr="00527F3E" w:rsidRDefault="00527F3E" w:rsidP="00B57EA0">
      <w:pPr>
        <w:spacing w:after="0" w:line="240" w:lineRule="auto"/>
        <w:jc w:val="both"/>
        <w:rPr>
          <w:rFonts w:ascii="Times New Roman" w:eastAsia="Times New Roman" w:hAnsi="Times New Roman" w:cs="Times New Roman"/>
          <w:color w:val="000000"/>
          <w:sz w:val="28"/>
          <w:szCs w:val="28"/>
          <w:lang w:eastAsia="es-ES_tradnl"/>
        </w:rPr>
      </w:pPr>
      <w:r w:rsidRPr="00527F3E">
        <w:rPr>
          <w:rFonts w:ascii="Times New Roman" w:eastAsia="Times New Roman" w:hAnsi="Times New Roman" w:cs="Times New Roman"/>
          <w:color w:val="000000"/>
          <w:sz w:val="28"/>
          <w:szCs w:val="28"/>
          <w:lang w:eastAsia="es-ES_tradnl"/>
        </w:rPr>
        <w:t>Cópiese, notifíquese, comuníquese, cúmplase y publíquese.</w:t>
      </w:r>
    </w:p>
    <w:p w:rsidR="009864B5" w:rsidRPr="00527F3E" w:rsidRDefault="00527F3E" w:rsidP="00B57EA0">
      <w:pPr>
        <w:spacing w:after="0" w:line="240" w:lineRule="auto"/>
        <w:jc w:val="both"/>
        <w:rPr>
          <w:rFonts w:ascii="Times New Roman" w:hAnsi="Times New Roman" w:cs="Times New Roman"/>
          <w:sz w:val="28"/>
          <w:szCs w:val="28"/>
        </w:rPr>
      </w:pPr>
    </w:p>
    <w:p w:rsidR="009864B5" w:rsidRPr="00527F3E" w:rsidRDefault="00527F3E" w:rsidP="00B57EA0">
      <w:pPr>
        <w:spacing w:after="0" w:line="240" w:lineRule="auto"/>
        <w:jc w:val="both"/>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JOSE FERNANDO REYES CUARTAS</w:t>
      </w: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Presidente</w:t>
      </w: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NATALIA ÁNGEL CABO</w:t>
      </w: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Magistrada</w:t>
      </w: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Ausente con permiso</w:t>
      </w: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JUAN CARLOS CORTÉS GONZÁLEZ</w:t>
      </w: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Magistrado</w:t>
      </w: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DIANA FAJARDO RIVERA</w:t>
      </w: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Magistrada</w:t>
      </w: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 xml:space="preserve">VLADIMIR FERNÁNDEZ </w:t>
      </w:r>
      <w:r w:rsidRPr="00527F3E">
        <w:rPr>
          <w:rFonts w:ascii="Times New Roman" w:hAnsi="Times New Roman" w:cs="Times New Roman"/>
          <w:sz w:val="28"/>
          <w:szCs w:val="28"/>
        </w:rPr>
        <w:t>ANDRADE</w:t>
      </w: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Magistrado</w:t>
      </w: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Con impedimento aceptado</w:t>
      </w: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 xml:space="preserve">JORGE ENRIQUE IBÁÑEZ NAJAR </w:t>
      </w: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Magistrado</w:t>
      </w: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Con aclaración de voto</w:t>
      </w: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ANTONIO JOSÉ LIZARAZO OCAMPO</w:t>
      </w: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Magistrado</w:t>
      </w: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PAOLA ANDREA MENESES MOSQUERA</w:t>
      </w: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Magistrada</w:t>
      </w: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CRISTINA PARDO SCHLESINGER</w:t>
      </w: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Magistrada</w:t>
      </w: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 xml:space="preserve">ANDREA LILIANA </w:t>
      </w:r>
      <w:r w:rsidRPr="00527F3E">
        <w:rPr>
          <w:rFonts w:ascii="Times New Roman" w:hAnsi="Times New Roman" w:cs="Times New Roman"/>
          <w:sz w:val="28"/>
          <w:szCs w:val="28"/>
        </w:rPr>
        <w:t>ROMERO LOPEZ</w:t>
      </w:r>
    </w:p>
    <w:p w:rsidR="009864B5" w:rsidRPr="00527F3E" w:rsidRDefault="00527F3E" w:rsidP="009864B5">
      <w:pPr>
        <w:spacing w:after="0" w:line="240" w:lineRule="auto"/>
        <w:jc w:val="center"/>
        <w:rPr>
          <w:rFonts w:ascii="Times New Roman" w:hAnsi="Times New Roman" w:cs="Times New Roman"/>
          <w:sz w:val="28"/>
          <w:szCs w:val="28"/>
        </w:rPr>
      </w:pPr>
      <w:r w:rsidRPr="00527F3E">
        <w:rPr>
          <w:rFonts w:ascii="Times New Roman" w:hAnsi="Times New Roman" w:cs="Times New Roman"/>
          <w:sz w:val="28"/>
          <w:szCs w:val="28"/>
        </w:rPr>
        <w:t>Secretaria General</w:t>
      </w: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p w:rsidR="009864B5" w:rsidRPr="00527F3E" w:rsidRDefault="00527F3E" w:rsidP="009864B5">
      <w:pPr>
        <w:spacing w:after="0" w:line="240" w:lineRule="auto"/>
        <w:jc w:val="center"/>
        <w:rPr>
          <w:rFonts w:ascii="Times New Roman" w:hAnsi="Times New Roman" w:cs="Times New Roman"/>
          <w:sz w:val="28"/>
          <w:szCs w:val="28"/>
        </w:rPr>
      </w:pPr>
    </w:p>
    <w:sectPr w:rsidR="009864B5" w:rsidRPr="00527F3E">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27F3E">
      <w:pPr>
        <w:spacing w:after="0" w:line="240" w:lineRule="auto"/>
      </w:pPr>
      <w:r>
        <w:separator/>
      </w:r>
    </w:p>
  </w:endnote>
  <w:endnote w:type="continuationSeparator" w:id="0">
    <w:p w:rsidR="00000000" w:rsidRDefault="00527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cizar Sans Regular">
    <w:altName w:val="Arial"/>
    <w:panose1 w:val="00000000000000000000"/>
    <w:charset w:val="00"/>
    <w:family w:val="swiss"/>
    <w:notTrueType/>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27F3E">
      <w:pPr>
        <w:spacing w:after="0" w:line="240" w:lineRule="auto"/>
      </w:pPr>
      <w:r>
        <w:separator/>
      </w:r>
    </w:p>
  </w:footnote>
  <w:footnote w:type="continuationSeparator" w:id="0">
    <w:p w:rsidR="00000000" w:rsidRDefault="00527F3E">
      <w:pPr>
        <w:spacing w:after="0" w:line="240" w:lineRule="auto"/>
      </w:pPr>
      <w:r>
        <w:continuationSeparator/>
      </w:r>
    </w:p>
  </w:footnote>
  <w:footnote w:id="1">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1" w:history="1">
        <w:r w:rsidRPr="00B9678A">
          <w:rPr>
            <w:rStyle w:val="Hipervnculo"/>
            <w:rFonts w:ascii="Times New Roman" w:hAnsi="Times New Roman"/>
            <w:sz w:val="20"/>
            <w:szCs w:val="20"/>
          </w:rPr>
          <w:t>https://www.corteconstitucional.gov.co/secretaria/archivo.php?id=62988</w:t>
        </w:r>
      </w:hyperlink>
      <w:r w:rsidRPr="00B9678A">
        <w:rPr>
          <w:rFonts w:ascii="Times New Roman" w:hAnsi="Times New Roman"/>
          <w:sz w:val="20"/>
          <w:szCs w:val="20"/>
        </w:rPr>
        <w:t xml:space="preserve">. </w:t>
      </w:r>
    </w:p>
  </w:footnote>
  <w:footnote w:id="2">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2" w:history="1">
        <w:r w:rsidRPr="00B9678A">
          <w:rPr>
            <w:rStyle w:val="Hipervnculo"/>
            <w:rFonts w:ascii="Times New Roman" w:hAnsi="Times New Roman"/>
            <w:sz w:val="20"/>
            <w:szCs w:val="20"/>
          </w:rPr>
          <w:t>https://www.corteconstitucional.gov.co/secretaria/archivo.php?id=66440</w:t>
        </w:r>
      </w:hyperlink>
    </w:p>
  </w:footnote>
  <w:footnote w:id="3">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3" w:history="1">
        <w:r w:rsidRPr="00B9678A">
          <w:rPr>
            <w:rStyle w:val="Hipervnculo"/>
            <w:rFonts w:ascii="Times New Roman" w:hAnsi="Times New Roman"/>
            <w:sz w:val="20"/>
            <w:szCs w:val="20"/>
          </w:rPr>
          <w:t>https://www.corteconstitucional.gov.co/secretaria/archivo.php?id=66808</w:t>
        </w:r>
      </w:hyperlink>
      <w:r w:rsidRPr="00B9678A">
        <w:rPr>
          <w:rFonts w:ascii="Times New Roman" w:hAnsi="Times New Roman"/>
          <w:sz w:val="20"/>
          <w:szCs w:val="20"/>
        </w:rPr>
        <w:t xml:space="preserve"> </w:t>
      </w:r>
    </w:p>
  </w:footnote>
  <w:footnote w:id="4">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4" w:history="1">
        <w:r w:rsidRPr="00B9678A">
          <w:rPr>
            <w:rStyle w:val="Hipervnculo"/>
            <w:rFonts w:ascii="Times New Roman" w:hAnsi="Times New Roman"/>
            <w:sz w:val="20"/>
            <w:szCs w:val="20"/>
          </w:rPr>
          <w:t>https://www.corteconstitucional.gov.co/secretaria/archivo.php?id=68995</w:t>
        </w:r>
      </w:hyperlink>
      <w:r w:rsidRPr="00B9678A">
        <w:rPr>
          <w:rFonts w:ascii="Times New Roman" w:hAnsi="Times New Roman"/>
          <w:sz w:val="20"/>
          <w:szCs w:val="20"/>
        </w:rPr>
        <w:t xml:space="preserve"> </w:t>
      </w:r>
    </w:p>
  </w:footnote>
  <w:footnote w:id="5">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sz w:val="20"/>
          <w:szCs w:val="20"/>
          <w:lang w:val="es-CO"/>
        </w:rPr>
        <w:t>Artículos 244 de la C</w:t>
      </w:r>
      <w:r w:rsidRPr="00B9678A">
        <w:rPr>
          <w:rFonts w:ascii="Times New Roman" w:hAnsi="Times New Roman"/>
          <w:sz w:val="20"/>
          <w:szCs w:val="20"/>
          <w:lang w:val="es-CO"/>
        </w:rPr>
        <w:t xml:space="preserve">onstitución y </w:t>
      </w:r>
      <w:r w:rsidRPr="00B9678A">
        <w:rPr>
          <w:rFonts w:ascii="Times New Roman" w:hAnsi="Times New Roman"/>
          <w:sz w:val="20"/>
          <w:szCs w:val="20"/>
        </w:rPr>
        <w:t>11 del Decreto Ley 2067 de 1991.</w:t>
      </w:r>
    </w:p>
  </w:footnote>
  <w:footnote w:id="6">
    <w:p w:rsidR="00B9678A" w:rsidRPr="00B9678A" w:rsidRDefault="00527F3E" w:rsidP="00B9678A">
      <w:pPr>
        <w:pStyle w:val="Footnotereferenc1"/>
        <w:jc w:val="both"/>
        <w:rPr>
          <w:rFonts w:ascii="Times New Roman" w:hAnsi="Times New Roman"/>
          <w:sz w:val="20"/>
          <w:szCs w:val="20"/>
          <w:lang w:val="es-CO"/>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sz w:val="20"/>
          <w:szCs w:val="20"/>
          <w:lang w:val="es-CO"/>
        </w:rPr>
        <w:t>Artículos 242.2 y 278.5 de la Constitución.</w:t>
      </w:r>
    </w:p>
  </w:footnote>
  <w:footnote w:id="7">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Artículo 7 del Decreto Ley 2067 de 1991.</w:t>
      </w:r>
    </w:p>
  </w:footnote>
  <w:footnote w:id="8">
    <w:p w:rsidR="00B9678A" w:rsidRPr="00B9678A" w:rsidRDefault="00527F3E" w:rsidP="00B9678A">
      <w:pPr>
        <w:pStyle w:val="Footnotereferenc1"/>
        <w:jc w:val="both"/>
        <w:rPr>
          <w:rFonts w:ascii="Times New Roman" w:hAnsi="Times New Roman"/>
          <w:sz w:val="20"/>
          <w:szCs w:val="20"/>
          <w:lang w:val="es-CO"/>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A</w:t>
      </w:r>
      <w:r w:rsidRPr="00B9678A">
        <w:rPr>
          <w:rFonts w:ascii="Times New Roman" w:hAnsi="Times New Roman"/>
          <w:sz w:val="20"/>
          <w:szCs w:val="20"/>
          <w:lang w:val="es-CO"/>
        </w:rPr>
        <w:t>rtículo 13 del Decreto Ley 2067 de 1991.</w:t>
      </w:r>
    </w:p>
  </w:footnote>
  <w:footnote w:id="9">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5" w:history="1">
        <w:r w:rsidRPr="00B9678A">
          <w:rPr>
            <w:rStyle w:val="Hipervnculo"/>
            <w:rFonts w:ascii="Times New Roman" w:hAnsi="Times New Roman"/>
            <w:sz w:val="20"/>
            <w:szCs w:val="20"/>
          </w:rPr>
          <w:t>https://www.corteconstitucional.gov.co/secretaria/archivo.php?id=72280</w:t>
        </w:r>
      </w:hyperlink>
      <w:r w:rsidRPr="00B9678A">
        <w:rPr>
          <w:rFonts w:ascii="Times New Roman" w:hAnsi="Times New Roman"/>
          <w:sz w:val="20"/>
          <w:szCs w:val="20"/>
        </w:rPr>
        <w:t xml:space="preserve"> </w:t>
      </w:r>
    </w:p>
  </w:footnote>
  <w:footnote w:id="10">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6" w:history="1">
        <w:r w:rsidRPr="00B9678A">
          <w:rPr>
            <w:rStyle w:val="Hipervnculo"/>
            <w:rFonts w:ascii="Times New Roman" w:hAnsi="Times New Roman"/>
            <w:sz w:val="20"/>
            <w:szCs w:val="20"/>
          </w:rPr>
          <w:t>https://ww</w:t>
        </w:r>
        <w:r w:rsidRPr="00B9678A">
          <w:rPr>
            <w:rStyle w:val="Hipervnculo"/>
            <w:rFonts w:ascii="Times New Roman" w:hAnsi="Times New Roman"/>
            <w:sz w:val="20"/>
            <w:szCs w:val="20"/>
          </w:rPr>
          <w:t>w.corteconstitucional.gov.co/secretaria/archivo.php?id=72285</w:t>
        </w:r>
      </w:hyperlink>
      <w:r w:rsidRPr="00B9678A">
        <w:rPr>
          <w:rFonts w:ascii="Times New Roman" w:hAnsi="Times New Roman"/>
          <w:sz w:val="20"/>
          <w:szCs w:val="20"/>
        </w:rPr>
        <w:t xml:space="preserve"> </w:t>
      </w:r>
    </w:p>
  </w:footnote>
  <w:footnote w:id="11">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7" w:history="1">
        <w:r w:rsidRPr="00B9678A">
          <w:rPr>
            <w:rStyle w:val="Hipervnculo"/>
            <w:rFonts w:ascii="Times New Roman" w:hAnsi="Times New Roman"/>
            <w:sz w:val="20"/>
            <w:szCs w:val="20"/>
          </w:rPr>
          <w:t>https://www.corteconstitucional.gov.co/secretaria/archivo.php?id=72286</w:t>
        </w:r>
      </w:hyperlink>
      <w:r w:rsidRPr="00B9678A">
        <w:rPr>
          <w:rFonts w:ascii="Times New Roman" w:hAnsi="Times New Roman"/>
          <w:sz w:val="20"/>
          <w:szCs w:val="20"/>
        </w:rPr>
        <w:t xml:space="preserve"> </w:t>
      </w:r>
    </w:p>
  </w:footnote>
  <w:footnote w:id="12">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8" w:history="1">
        <w:r w:rsidRPr="00B9678A">
          <w:rPr>
            <w:rStyle w:val="Hipervnculo"/>
            <w:rFonts w:ascii="Times New Roman" w:hAnsi="Times New Roman"/>
            <w:sz w:val="20"/>
            <w:szCs w:val="20"/>
          </w:rPr>
          <w:t>https://www.corteconstitucional.gov.co/secretaria/archivo.php?id=72287</w:t>
        </w:r>
      </w:hyperlink>
      <w:r w:rsidRPr="00B9678A">
        <w:rPr>
          <w:rFonts w:ascii="Times New Roman" w:hAnsi="Times New Roman"/>
          <w:sz w:val="20"/>
          <w:szCs w:val="20"/>
        </w:rPr>
        <w:t xml:space="preserve"> </w:t>
      </w:r>
    </w:p>
  </w:footnote>
  <w:footnote w:id="13">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9" w:history="1">
        <w:r w:rsidRPr="00B9678A">
          <w:rPr>
            <w:rStyle w:val="Hipervnculo"/>
            <w:rFonts w:ascii="Times New Roman" w:hAnsi="Times New Roman"/>
            <w:sz w:val="20"/>
            <w:szCs w:val="20"/>
          </w:rPr>
          <w:t>https://ww</w:t>
        </w:r>
        <w:r w:rsidRPr="00B9678A">
          <w:rPr>
            <w:rStyle w:val="Hipervnculo"/>
            <w:rFonts w:ascii="Times New Roman" w:hAnsi="Times New Roman"/>
            <w:sz w:val="20"/>
            <w:szCs w:val="20"/>
          </w:rPr>
          <w:t>w.corteconstitucional.gov.co/secretaria/archivo.php?id=72288</w:t>
        </w:r>
      </w:hyperlink>
      <w:r w:rsidRPr="00B9678A">
        <w:rPr>
          <w:rFonts w:ascii="Times New Roman" w:hAnsi="Times New Roman"/>
          <w:sz w:val="20"/>
          <w:szCs w:val="20"/>
        </w:rPr>
        <w:t xml:space="preserve"> </w:t>
      </w:r>
    </w:p>
  </w:footnote>
  <w:footnote w:id="14">
    <w:p w:rsidR="00B9678A" w:rsidRPr="00B9678A" w:rsidRDefault="00527F3E" w:rsidP="00B9678A">
      <w:pPr>
        <w:autoSpaceDE w:val="0"/>
        <w:autoSpaceDN w:val="0"/>
        <w:ind w:right="49"/>
        <w:jc w:val="both"/>
        <w:textAlignment w:val="baseline"/>
        <w:rPr>
          <w:rFonts w:ascii="Times New Roman" w:hAnsi="Times New Roman" w:cs="Times New Roman"/>
          <w:sz w:val="20"/>
          <w:szCs w:val="20"/>
          <w:lang w:val="es-ES"/>
        </w:rPr>
      </w:pPr>
      <w:r w:rsidRPr="00B9678A">
        <w:rPr>
          <w:rStyle w:val="Refdenotaalpie"/>
          <w:rFonts w:ascii="Times New Roman" w:hAnsi="Times New Roman"/>
          <w:sz w:val="20"/>
          <w:szCs w:val="20"/>
        </w:rPr>
        <w:footnoteRef/>
      </w:r>
      <w:r w:rsidRPr="00B9678A">
        <w:rPr>
          <w:rFonts w:ascii="Times New Roman" w:hAnsi="Times New Roman" w:cs="Times New Roman"/>
          <w:sz w:val="20"/>
          <w:szCs w:val="20"/>
          <w:lang w:val="es-ES"/>
        </w:rPr>
        <w:t xml:space="preserve"> </w:t>
      </w:r>
      <w:hyperlink r:id="rId10" w:history="1">
        <w:r w:rsidRPr="00B9678A">
          <w:rPr>
            <w:rStyle w:val="Hipervnculo"/>
            <w:rFonts w:ascii="Times New Roman" w:hAnsi="Times New Roman"/>
            <w:sz w:val="20"/>
            <w:szCs w:val="20"/>
            <w:lang w:val="es-ES"/>
          </w:rPr>
          <w:t>https://www.corteconstitucional.gov.co/secretaria/archivo.php?id=72499</w:t>
        </w:r>
      </w:hyperlink>
      <w:r w:rsidRPr="00B9678A">
        <w:rPr>
          <w:rFonts w:ascii="Times New Roman" w:hAnsi="Times New Roman" w:cs="Times New Roman"/>
          <w:sz w:val="20"/>
          <w:szCs w:val="20"/>
          <w:lang w:val="es-ES"/>
        </w:rPr>
        <w:t xml:space="preserve"> </w:t>
      </w:r>
    </w:p>
  </w:footnote>
  <w:footnote w:id="15">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11" w:history="1">
        <w:r w:rsidRPr="00B9678A">
          <w:rPr>
            <w:rStyle w:val="Hipervnculo"/>
            <w:rFonts w:ascii="Times New Roman" w:hAnsi="Times New Roman"/>
            <w:sz w:val="20"/>
            <w:szCs w:val="20"/>
          </w:rPr>
          <w:t>https://www.corteconstitucional.gov.co/secretaria/archivo.php?id=74952</w:t>
        </w:r>
      </w:hyperlink>
      <w:r w:rsidRPr="00B9678A">
        <w:rPr>
          <w:rFonts w:ascii="Times New Roman" w:hAnsi="Times New Roman"/>
          <w:sz w:val="20"/>
          <w:szCs w:val="20"/>
        </w:rPr>
        <w:t xml:space="preserve"> </w:t>
      </w:r>
    </w:p>
  </w:footnote>
  <w:footnote w:id="16">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12" w:history="1">
        <w:r w:rsidRPr="00B9678A">
          <w:rPr>
            <w:rStyle w:val="Hipervnculo"/>
            <w:rFonts w:ascii="Times New Roman" w:hAnsi="Times New Roman"/>
            <w:sz w:val="20"/>
            <w:szCs w:val="20"/>
          </w:rPr>
          <w:t>https://www.corteconstitucional.gov.co/</w:t>
        </w:r>
        <w:r w:rsidRPr="00B9678A">
          <w:rPr>
            <w:rStyle w:val="Hipervnculo"/>
            <w:rFonts w:ascii="Times New Roman" w:hAnsi="Times New Roman"/>
            <w:sz w:val="20"/>
            <w:szCs w:val="20"/>
          </w:rPr>
          <w:t>secretaria/archivo.php?id=75319</w:t>
        </w:r>
      </w:hyperlink>
      <w:r w:rsidRPr="00B9678A">
        <w:rPr>
          <w:rFonts w:ascii="Times New Roman" w:hAnsi="Times New Roman"/>
          <w:sz w:val="20"/>
          <w:szCs w:val="20"/>
        </w:rPr>
        <w:t xml:space="preserve"> </w:t>
      </w:r>
    </w:p>
  </w:footnote>
  <w:footnote w:id="17">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Este acápite es desarrollado con base en la demanda y el escrito de corrección presentado tras el auto inadmisorio. Archivo digital. Expediente D-15440. Documentos “</w:t>
      </w:r>
      <w:hyperlink r:id="rId13" w:history="1">
        <w:r w:rsidRPr="00B9678A">
          <w:rPr>
            <w:rStyle w:val="Hipervnculo"/>
            <w:rFonts w:ascii="Times New Roman" w:hAnsi="Times New Roman"/>
            <w:sz w:val="20"/>
            <w:szCs w:val="20"/>
          </w:rPr>
          <w:t>Demanda ciudadana</w:t>
        </w:r>
      </w:hyperlink>
      <w:r w:rsidRPr="00B9678A">
        <w:rPr>
          <w:rFonts w:ascii="Times New Roman" w:hAnsi="Times New Roman"/>
          <w:sz w:val="20"/>
          <w:szCs w:val="20"/>
        </w:rPr>
        <w:t>” y “</w:t>
      </w:r>
      <w:hyperlink r:id="rId14" w:history="1">
        <w:r w:rsidRPr="00B9678A">
          <w:rPr>
            <w:rStyle w:val="Hipervnculo"/>
            <w:rFonts w:ascii="Times New Roman" w:hAnsi="Times New Roman"/>
            <w:sz w:val="20"/>
            <w:szCs w:val="20"/>
          </w:rPr>
          <w:t>Corrección de la demanda</w:t>
        </w:r>
      </w:hyperlink>
      <w:r w:rsidRPr="00B9678A">
        <w:rPr>
          <w:rFonts w:ascii="Times New Roman" w:hAnsi="Times New Roman"/>
          <w:sz w:val="20"/>
          <w:szCs w:val="20"/>
        </w:rPr>
        <w:t>”.</w:t>
      </w:r>
    </w:p>
  </w:footnote>
  <w:footnote w:id="18">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lang w:val="es-419"/>
        </w:rPr>
        <w:t>Ibídem</w:t>
      </w:r>
      <w:r w:rsidRPr="00B9678A">
        <w:rPr>
          <w:rFonts w:ascii="Times New Roman" w:hAnsi="Times New Roman"/>
          <w:sz w:val="20"/>
          <w:szCs w:val="20"/>
          <w:lang w:val="es-419"/>
        </w:rPr>
        <w:t>, pp. 7 y 10.</w:t>
      </w:r>
    </w:p>
  </w:footnote>
  <w:footnote w:id="19">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15" w:history="1">
        <w:r w:rsidRPr="00B9678A">
          <w:rPr>
            <w:rStyle w:val="Hipervnculo"/>
            <w:rFonts w:ascii="Times New Roman" w:hAnsi="Times New Roman"/>
            <w:sz w:val="20"/>
            <w:szCs w:val="20"/>
          </w:rPr>
          <w:t>Demanda ciudadana</w:t>
        </w:r>
      </w:hyperlink>
      <w:r w:rsidRPr="00B9678A">
        <w:rPr>
          <w:rFonts w:ascii="Times New Roman" w:hAnsi="Times New Roman"/>
          <w:sz w:val="20"/>
          <w:szCs w:val="20"/>
        </w:rPr>
        <w:t>,</w:t>
      </w:r>
      <w:r w:rsidRPr="00B9678A">
        <w:rPr>
          <w:rFonts w:ascii="Times New Roman" w:hAnsi="Times New Roman"/>
          <w:sz w:val="20"/>
          <w:szCs w:val="20"/>
          <w:lang w:val="es-419"/>
        </w:rPr>
        <w:t xml:space="preserve"> p. 10.</w:t>
      </w:r>
    </w:p>
  </w:footnote>
  <w:footnote w:id="20">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lang w:val="es-419"/>
        </w:rPr>
        <w:t>Ibídem.</w:t>
      </w:r>
      <w:r w:rsidRPr="00B9678A">
        <w:rPr>
          <w:rFonts w:ascii="Times New Roman" w:hAnsi="Times New Roman"/>
          <w:sz w:val="20"/>
          <w:szCs w:val="20"/>
          <w:lang w:val="es-419"/>
        </w:rPr>
        <w:t xml:space="preserve"> p. 11.</w:t>
      </w:r>
    </w:p>
  </w:footnote>
  <w:footnote w:id="21">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16" w:history="1">
        <w:r w:rsidRPr="00B9678A">
          <w:rPr>
            <w:rStyle w:val="Hipervnculo"/>
            <w:rFonts w:ascii="Times New Roman" w:hAnsi="Times New Roman"/>
            <w:sz w:val="20"/>
            <w:szCs w:val="20"/>
          </w:rPr>
          <w:t>Corrección de la demanda</w:t>
        </w:r>
      </w:hyperlink>
      <w:r w:rsidRPr="00B9678A">
        <w:rPr>
          <w:rFonts w:ascii="Times New Roman" w:hAnsi="Times New Roman"/>
          <w:sz w:val="20"/>
          <w:szCs w:val="20"/>
        </w:rPr>
        <w:t>, p. 13.</w:t>
      </w:r>
    </w:p>
  </w:footnote>
  <w:footnote w:id="22">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lang w:val="es-419"/>
        </w:rPr>
        <w:t>Ibíd</w:t>
      </w:r>
      <w:r w:rsidRPr="00B9678A">
        <w:rPr>
          <w:rFonts w:ascii="Times New Roman" w:hAnsi="Times New Roman"/>
          <w:i/>
          <w:iCs/>
          <w:sz w:val="20"/>
          <w:szCs w:val="20"/>
          <w:lang w:val="es-419"/>
        </w:rPr>
        <w:t>em.</w:t>
      </w:r>
      <w:r w:rsidRPr="00B9678A">
        <w:rPr>
          <w:rFonts w:ascii="Times New Roman" w:hAnsi="Times New Roman"/>
          <w:sz w:val="20"/>
          <w:szCs w:val="20"/>
          <w:lang w:val="es-419"/>
        </w:rPr>
        <w:t xml:space="preserve"> p. 13.</w:t>
      </w:r>
    </w:p>
  </w:footnote>
  <w:footnote w:id="23">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M.P. Cristina Pardo Schlesinger. </w:t>
      </w:r>
    </w:p>
  </w:footnote>
  <w:footnote w:id="24">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17" w:history="1">
        <w:r w:rsidRPr="00B9678A">
          <w:rPr>
            <w:rStyle w:val="Hipervnculo"/>
            <w:rFonts w:ascii="Times New Roman" w:hAnsi="Times New Roman"/>
            <w:sz w:val="20"/>
            <w:szCs w:val="20"/>
          </w:rPr>
          <w:t>Corrección de la demanda</w:t>
        </w:r>
      </w:hyperlink>
      <w:r w:rsidRPr="00B9678A">
        <w:rPr>
          <w:rFonts w:ascii="Times New Roman" w:hAnsi="Times New Roman"/>
          <w:sz w:val="20"/>
          <w:szCs w:val="20"/>
        </w:rPr>
        <w:t>, p. 14.</w:t>
      </w:r>
    </w:p>
  </w:footnote>
  <w:footnote w:id="25">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lang w:val="es-419"/>
        </w:rPr>
        <w:t>Ibídem.</w:t>
      </w:r>
      <w:r w:rsidRPr="00B9678A">
        <w:rPr>
          <w:rFonts w:ascii="Times New Roman" w:hAnsi="Times New Roman"/>
          <w:sz w:val="20"/>
          <w:szCs w:val="20"/>
          <w:lang w:val="es-419"/>
        </w:rPr>
        <w:t xml:space="preserve"> p. 15.</w:t>
      </w:r>
    </w:p>
  </w:footnote>
  <w:footnote w:id="26">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18" w:history="1">
        <w:r w:rsidRPr="00B9678A">
          <w:rPr>
            <w:rStyle w:val="Hipervnculo"/>
            <w:rFonts w:ascii="Times New Roman" w:hAnsi="Times New Roman"/>
            <w:sz w:val="20"/>
            <w:szCs w:val="20"/>
          </w:rPr>
          <w:t>https://www.corteconstitucional.gov.co/secretaria/archivo.php?id=70217</w:t>
        </w:r>
      </w:hyperlink>
    </w:p>
  </w:footnote>
  <w:footnote w:id="27">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Gaceta n.º 84 de febrero 23 de 2023.</w:t>
      </w:r>
    </w:p>
  </w:footnote>
  <w:footnote w:id="28">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Gacetas n.º 676 y n.º 688 de junio 13 de 2023.</w:t>
      </w:r>
    </w:p>
  </w:footnote>
  <w:footnote w:id="29">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Gaceta n.º 787 de junio 22 de 2023.</w:t>
      </w:r>
    </w:p>
  </w:footnote>
  <w:footnote w:id="30">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Gaceta n.º 794 de junio 27 de 2023.</w:t>
      </w:r>
    </w:p>
  </w:footnote>
  <w:footnote w:id="31">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19" w:history="1">
        <w:r w:rsidRPr="00B9678A">
          <w:rPr>
            <w:rStyle w:val="Hipervnculo"/>
            <w:rFonts w:ascii="Times New Roman" w:hAnsi="Times New Roman"/>
            <w:sz w:val="20"/>
            <w:szCs w:val="20"/>
          </w:rPr>
          <w:t>https://www.corteconstitucional.gov.co/secretaria/archivo.php?id=71232</w:t>
        </w:r>
      </w:hyperlink>
      <w:r w:rsidRPr="00B9678A">
        <w:rPr>
          <w:rFonts w:ascii="Times New Roman" w:hAnsi="Times New Roman"/>
          <w:sz w:val="20"/>
          <w:szCs w:val="20"/>
        </w:rPr>
        <w:t xml:space="preserve"> </w:t>
      </w:r>
    </w:p>
  </w:footnote>
  <w:footnote w:id="32">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Gaceta n.º 750 de junio 16 de 2023.</w:t>
      </w:r>
    </w:p>
  </w:footnote>
  <w:footnote w:id="33">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20" w:history="1">
        <w:r w:rsidRPr="00B9678A">
          <w:rPr>
            <w:rStyle w:val="Hipervnculo"/>
            <w:rFonts w:ascii="Times New Roman" w:hAnsi="Times New Roman"/>
            <w:sz w:val="20"/>
            <w:szCs w:val="20"/>
          </w:rPr>
          <w:t>https://www.corteconstitucional.gov.co/secretaria/archivo.php?id=71139</w:t>
        </w:r>
      </w:hyperlink>
      <w:r w:rsidRPr="00B9678A">
        <w:rPr>
          <w:rFonts w:ascii="Times New Roman" w:hAnsi="Times New Roman"/>
          <w:sz w:val="20"/>
          <w:szCs w:val="20"/>
        </w:rPr>
        <w:t xml:space="preserve"> </w:t>
      </w:r>
    </w:p>
  </w:footnote>
  <w:footnote w:id="34">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21" w:history="1">
        <w:r w:rsidRPr="00B9678A">
          <w:rPr>
            <w:rStyle w:val="Hipervnculo"/>
            <w:rFonts w:ascii="Times New Roman" w:hAnsi="Times New Roman"/>
            <w:sz w:val="20"/>
            <w:szCs w:val="20"/>
          </w:rPr>
          <w:t>https://www.corteconstitucional.gov.co/secretaria/archivo.php?id=71678</w:t>
        </w:r>
      </w:hyperlink>
      <w:r w:rsidRPr="00B9678A">
        <w:rPr>
          <w:rFonts w:ascii="Times New Roman" w:hAnsi="Times New Roman"/>
          <w:sz w:val="20"/>
          <w:szCs w:val="20"/>
        </w:rPr>
        <w:t xml:space="preserve"> </w:t>
      </w:r>
    </w:p>
  </w:footnote>
  <w:footnote w:id="35">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22" w:history="1">
        <w:r w:rsidRPr="00B9678A">
          <w:rPr>
            <w:rStyle w:val="Hipervnculo"/>
            <w:rFonts w:ascii="Times New Roman" w:hAnsi="Times New Roman"/>
            <w:sz w:val="20"/>
            <w:szCs w:val="20"/>
          </w:rPr>
          <w:t>https://www.corteconstitucional.gov.co/secretaria/archivo.php?id=71680</w:t>
        </w:r>
      </w:hyperlink>
      <w:r w:rsidRPr="00B9678A">
        <w:rPr>
          <w:rFonts w:ascii="Times New Roman" w:hAnsi="Times New Roman"/>
          <w:sz w:val="20"/>
          <w:szCs w:val="20"/>
        </w:rPr>
        <w:t xml:space="preserve"> </w:t>
      </w:r>
    </w:p>
  </w:footnote>
  <w:footnote w:id="36">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Gaceta n.º 673 de jun</w:t>
      </w:r>
      <w:r w:rsidRPr="00B9678A">
        <w:rPr>
          <w:rFonts w:ascii="Times New Roman" w:hAnsi="Times New Roman"/>
          <w:sz w:val="20"/>
          <w:szCs w:val="20"/>
        </w:rPr>
        <w:t>io 13 de 2023.</w:t>
      </w:r>
    </w:p>
  </w:footnote>
  <w:footnote w:id="37">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Gaceta n.º 785 de junio 22 de 2023.</w:t>
      </w:r>
    </w:p>
  </w:footnote>
  <w:footnote w:id="38">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Gaceta n.º 742 de junio 16 de 2023.</w:t>
      </w:r>
    </w:p>
  </w:footnote>
  <w:footnote w:id="39">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Copia de las gacetas 1385 y 1586 de 2023. Disponibles en: </w:t>
      </w:r>
      <w:hyperlink r:id="rId23" w:history="1">
        <w:r w:rsidRPr="00B9678A">
          <w:rPr>
            <w:rStyle w:val="Hipervnculo"/>
            <w:rFonts w:ascii="Times New Roman" w:hAnsi="Times New Roman"/>
            <w:sz w:val="20"/>
            <w:szCs w:val="20"/>
          </w:rPr>
          <w:t>https://www.cortec</w:t>
        </w:r>
        <w:r w:rsidRPr="00B9678A">
          <w:rPr>
            <w:rStyle w:val="Hipervnculo"/>
            <w:rFonts w:ascii="Times New Roman" w:hAnsi="Times New Roman"/>
            <w:sz w:val="20"/>
            <w:szCs w:val="20"/>
          </w:rPr>
          <w:t>onstitucional.gov.co/secretaria/archivo.php?id=72035</w:t>
        </w:r>
      </w:hyperlink>
      <w:r w:rsidRPr="00B9678A">
        <w:rPr>
          <w:rFonts w:ascii="Times New Roman" w:hAnsi="Times New Roman"/>
          <w:sz w:val="20"/>
          <w:szCs w:val="20"/>
        </w:rPr>
        <w:t xml:space="preserve"> </w:t>
      </w:r>
    </w:p>
  </w:footnote>
  <w:footnote w:id="40">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Gaceta n.º 1385 de octubre 2 de 2023.</w:t>
      </w:r>
    </w:p>
  </w:footnote>
  <w:footnote w:id="41">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Gaceta n.º 1386 de octubre 2 de 2023.</w:t>
      </w:r>
    </w:p>
  </w:footnote>
  <w:footnote w:id="42">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Disponibles en: </w:t>
      </w:r>
      <w:hyperlink r:id="rId24" w:history="1">
        <w:r w:rsidRPr="00B9678A">
          <w:rPr>
            <w:rStyle w:val="Hipervnculo"/>
            <w:rFonts w:ascii="Times New Roman" w:hAnsi="Times New Roman"/>
            <w:sz w:val="20"/>
            <w:szCs w:val="20"/>
          </w:rPr>
          <w:t>https://www.youtube.com/watch?v=aqcO5v5Inxo</w:t>
        </w:r>
      </w:hyperlink>
      <w:r w:rsidRPr="00B9678A">
        <w:rPr>
          <w:rFonts w:ascii="Times New Roman" w:hAnsi="Times New Roman"/>
          <w:sz w:val="20"/>
          <w:szCs w:val="20"/>
        </w:rPr>
        <w:t xml:space="preserve"> </w:t>
      </w:r>
      <w:r w:rsidRPr="00B9678A">
        <w:rPr>
          <w:rFonts w:ascii="Times New Roman" w:hAnsi="Times New Roman"/>
          <w:sz w:val="20"/>
          <w:szCs w:val="20"/>
        </w:rPr>
        <w:t xml:space="preserve">y </w:t>
      </w:r>
      <w:hyperlink r:id="rId25" w:history="1">
        <w:r w:rsidRPr="00B9678A">
          <w:rPr>
            <w:rStyle w:val="Hipervnculo"/>
            <w:rFonts w:ascii="Times New Roman" w:hAnsi="Times New Roman"/>
            <w:sz w:val="20"/>
            <w:szCs w:val="20"/>
          </w:rPr>
          <w:t>https://www.youtube.com/live/Of12CBupBdE?app=desktop</w:t>
        </w:r>
      </w:hyperlink>
      <w:r w:rsidRPr="00B9678A">
        <w:rPr>
          <w:rFonts w:ascii="Times New Roman" w:hAnsi="Times New Roman"/>
          <w:sz w:val="20"/>
          <w:szCs w:val="20"/>
        </w:rPr>
        <w:t xml:space="preserve"> </w:t>
      </w:r>
    </w:p>
  </w:footnote>
  <w:footnote w:id="43">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hyperlink r:id="rId26" w:history="1">
        <w:r w:rsidRPr="00B9678A">
          <w:rPr>
            <w:rStyle w:val="Hipervnculo"/>
            <w:rFonts w:ascii="Times New Roman" w:hAnsi="Times New Roman"/>
            <w:sz w:val="20"/>
            <w:szCs w:val="20"/>
          </w:rPr>
          <w:t>https://www.corteconstitucional.gov.co/sec</w:t>
        </w:r>
        <w:r w:rsidRPr="00B9678A">
          <w:rPr>
            <w:rStyle w:val="Hipervnculo"/>
            <w:rFonts w:ascii="Times New Roman" w:hAnsi="Times New Roman"/>
            <w:sz w:val="20"/>
            <w:szCs w:val="20"/>
          </w:rPr>
          <w:t>retaria/archivo.php?id=72280</w:t>
        </w:r>
      </w:hyperlink>
      <w:r w:rsidRPr="00B9678A">
        <w:rPr>
          <w:rFonts w:ascii="Times New Roman" w:hAnsi="Times New Roman"/>
          <w:sz w:val="20"/>
          <w:szCs w:val="20"/>
        </w:rPr>
        <w:t xml:space="preserve"> . Sobre la posibilidad de incorporar esta evidencia véase el Auto 338 de 2022. M.P. José Fernando Reyes Cuartas. El Acta de Plenaria núm. 72 de la sesión extraordinaria del viernes 23 de junio fue publicada en la Gaceta del Con</w:t>
      </w:r>
      <w:r w:rsidRPr="00B9678A">
        <w:rPr>
          <w:rFonts w:ascii="Times New Roman" w:hAnsi="Times New Roman"/>
          <w:sz w:val="20"/>
          <w:szCs w:val="20"/>
        </w:rPr>
        <w:t>greso núm. 1581 del 10 de noviembre de 2023. Si bien no fue allegada formalmente al expediente del presente proceso por la Secretaría General de la Cámara de Representantes, a pesar de que dicha dependencia anunció a esta Corporación que lo haría una vez f</w:t>
      </w:r>
      <w:r w:rsidRPr="00B9678A">
        <w:rPr>
          <w:rFonts w:ascii="Times New Roman" w:hAnsi="Times New Roman"/>
          <w:sz w:val="20"/>
          <w:szCs w:val="20"/>
        </w:rPr>
        <w:t>uera publicada, la Corte consultó el documento después de que fue puesto a disposición para consulta pública.</w:t>
      </w:r>
    </w:p>
  </w:footnote>
  <w:footnote w:id="44">
    <w:p w:rsidR="00B9678A" w:rsidRPr="00B9678A" w:rsidRDefault="00527F3E" w:rsidP="00B9678A">
      <w:pPr>
        <w:tabs>
          <w:tab w:val="left" w:pos="284"/>
        </w:tabs>
        <w:jc w:val="both"/>
        <w:rPr>
          <w:rFonts w:ascii="Times New Roman" w:hAnsi="Times New Roman" w:cs="Times New Roman"/>
          <w:bCs/>
          <w:iCs/>
          <w:sz w:val="20"/>
          <w:szCs w:val="20"/>
          <w:lang w:val="es-419"/>
        </w:rPr>
      </w:pPr>
      <w:r w:rsidRPr="00B9678A">
        <w:rPr>
          <w:rStyle w:val="Refdenotaalpie"/>
          <w:rFonts w:ascii="Times New Roman" w:hAnsi="Times New Roman"/>
          <w:sz w:val="20"/>
          <w:szCs w:val="20"/>
        </w:rPr>
        <w:footnoteRef/>
      </w:r>
      <w:r w:rsidRPr="00B9678A">
        <w:rPr>
          <w:rFonts w:ascii="Times New Roman" w:hAnsi="Times New Roman" w:cs="Times New Roman"/>
          <w:sz w:val="20"/>
          <w:szCs w:val="20"/>
          <w:lang w:val="es-419"/>
        </w:rPr>
        <w:t xml:space="preserve"> Se trata de las intervenciones ciudadanas de Nicolás Ospina Suárez, </w:t>
      </w:r>
      <w:r w:rsidRPr="00B9678A">
        <w:rPr>
          <w:rFonts w:ascii="Times New Roman" w:hAnsi="Times New Roman" w:cs="Times New Roman"/>
          <w:bCs/>
          <w:iCs/>
          <w:sz w:val="20"/>
          <w:szCs w:val="20"/>
          <w:lang w:val="es-419"/>
        </w:rPr>
        <w:t xml:space="preserve">Jairo Enrique Angarita Feo, Emerson Ricardo Ramos Peñuela, Juan Manuel Rojas Cardona, Nicolás Buitrago Burbano, Miguel Uribe Turbay, Daniel Murgueitio Escobar y Natalia Morales Rodríguez, las cuales fueron allegadas </w:t>
      </w:r>
      <w:r w:rsidRPr="00B9678A">
        <w:rPr>
          <w:rFonts w:ascii="Times New Roman" w:hAnsi="Times New Roman" w:cs="Times New Roman"/>
          <w:color w:val="000000"/>
          <w:sz w:val="20"/>
          <w:szCs w:val="20"/>
          <w:lang w:val="es-419"/>
        </w:rPr>
        <w:t>allegadas entre el 25 de septiembre y el</w:t>
      </w:r>
      <w:r w:rsidRPr="00B9678A">
        <w:rPr>
          <w:rFonts w:ascii="Times New Roman" w:hAnsi="Times New Roman" w:cs="Times New Roman"/>
          <w:color w:val="000000"/>
          <w:sz w:val="20"/>
          <w:szCs w:val="20"/>
          <w:lang w:val="es-419"/>
        </w:rPr>
        <w:t xml:space="preserve"> 14 de noviembre de 2023.</w:t>
      </w:r>
    </w:p>
  </w:footnote>
  <w:footnote w:id="45">
    <w:p w:rsidR="00B9678A" w:rsidRPr="00B9678A" w:rsidRDefault="00527F3E" w:rsidP="00B9678A">
      <w:pPr>
        <w:tabs>
          <w:tab w:val="left" w:pos="284"/>
        </w:tabs>
        <w:jc w:val="both"/>
        <w:rPr>
          <w:rFonts w:ascii="Times New Roman" w:hAnsi="Times New Roman" w:cs="Times New Roman"/>
          <w:bCs/>
          <w:iCs/>
          <w:sz w:val="20"/>
          <w:szCs w:val="20"/>
          <w:lang w:val="es-419"/>
        </w:rPr>
      </w:pPr>
      <w:r w:rsidRPr="00B9678A">
        <w:rPr>
          <w:rStyle w:val="Refdenotaalpie"/>
          <w:rFonts w:ascii="Times New Roman" w:hAnsi="Times New Roman"/>
          <w:sz w:val="20"/>
          <w:szCs w:val="20"/>
        </w:rPr>
        <w:footnoteRef/>
      </w:r>
      <w:r w:rsidRPr="00B9678A">
        <w:rPr>
          <w:rFonts w:ascii="Times New Roman" w:hAnsi="Times New Roman" w:cs="Times New Roman"/>
          <w:sz w:val="20"/>
          <w:szCs w:val="20"/>
          <w:lang w:val="es-419"/>
        </w:rPr>
        <w:t xml:space="preserve"> </w:t>
      </w:r>
      <w:r w:rsidRPr="00B9678A">
        <w:rPr>
          <w:rFonts w:ascii="Times New Roman" w:hAnsi="Times New Roman" w:cs="Times New Roman"/>
          <w:color w:val="000000"/>
          <w:sz w:val="20"/>
          <w:szCs w:val="20"/>
          <w:lang w:val="es-419"/>
        </w:rPr>
        <w:t xml:space="preserve">El término de fijación en lista transcurrió entre el 15 y el 28 de noviembre de 2023, tiempo durante el cual se recibieron intervenciones ciudadanas de </w:t>
      </w:r>
      <w:r w:rsidRPr="00B9678A">
        <w:rPr>
          <w:rFonts w:ascii="Times New Roman" w:hAnsi="Times New Roman" w:cs="Times New Roman"/>
          <w:bCs/>
          <w:iCs/>
          <w:sz w:val="20"/>
          <w:szCs w:val="20"/>
          <w:lang w:val="es-419"/>
        </w:rPr>
        <w:t xml:space="preserve">Angie Nicole Zambrano, Sandra Milena Troncoso Torres y Cristian David Ariza </w:t>
      </w:r>
      <w:r w:rsidRPr="00B9678A">
        <w:rPr>
          <w:rFonts w:ascii="Times New Roman" w:hAnsi="Times New Roman" w:cs="Times New Roman"/>
          <w:bCs/>
          <w:iCs/>
          <w:sz w:val="20"/>
          <w:szCs w:val="20"/>
          <w:lang w:val="es-419"/>
        </w:rPr>
        <w:t xml:space="preserve">Espinosa, así como del Ministerio de Transporte, el Departamento Administrativo de la Presidencia de la República - DAPRE y de la Federación Colombiana de Municipios. </w:t>
      </w:r>
    </w:p>
  </w:footnote>
  <w:footnote w:id="46">
    <w:p w:rsidR="00B9678A" w:rsidRPr="00B9678A" w:rsidRDefault="00527F3E" w:rsidP="00B9678A">
      <w:pPr>
        <w:pStyle w:val="Footnotereferenc1"/>
        <w:jc w:val="both"/>
        <w:rPr>
          <w:rFonts w:ascii="Times New Roman" w:hAnsi="Times New Roman"/>
          <w:color w:val="000000"/>
          <w:sz w:val="20"/>
          <w:szCs w:val="20"/>
          <w:lang w:val="es-CO"/>
        </w:rPr>
      </w:pPr>
      <w:r w:rsidRPr="00B9678A">
        <w:rPr>
          <w:rStyle w:val="Refdenotaalpie"/>
          <w:rFonts w:ascii="Times New Roman" w:hAnsi="Times New Roman"/>
          <w:color w:val="000000"/>
          <w:sz w:val="20"/>
          <w:szCs w:val="20"/>
        </w:rPr>
        <w:footnoteRef/>
      </w:r>
      <w:r w:rsidRPr="00B9678A">
        <w:rPr>
          <w:rFonts w:ascii="Times New Roman" w:hAnsi="Times New Roman"/>
          <w:color w:val="000000"/>
          <w:sz w:val="20"/>
          <w:szCs w:val="20"/>
        </w:rPr>
        <w:t xml:space="preserve"> La Agencia Nacional de Defensa Jurídica del Estado presentó su intervención el 16 de e</w:t>
      </w:r>
      <w:r w:rsidRPr="00B9678A">
        <w:rPr>
          <w:rFonts w:ascii="Times New Roman" w:hAnsi="Times New Roman"/>
          <w:color w:val="000000"/>
          <w:sz w:val="20"/>
          <w:szCs w:val="20"/>
        </w:rPr>
        <w:t xml:space="preserve">nero de 2024, cuando había vencido el término de fijación en lista y la Procuradora General de la Nación había presentado su concepto. </w:t>
      </w:r>
    </w:p>
  </w:footnote>
  <w:footnote w:id="47">
    <w:p w:rsidR="00B9678A" w:rsidRPr="00B9678A" w:rsidRDefault="00527F3E" w:rsidP="00B9678A">
      <w:pPr>
        <w:pStyle w:val="Footnotereferenc1"/>
        <w:jc w:val="both"/>
        <w:rPr>
          <w:rFonts w:ascii="Times New Roman" w:hAnsi="Times New Roman"/>
          <w:color w:val="000000"/>
          <w:sz w:val="20"/>
          <w:szCs w:val="20"/>
          <w:lang w:val="es-CO"/>
        </w:rPr>
      </w:pPr>
      <w:r w:rsidRPr="00B9678A">
        <w:rPr>
          <w:rStyle w:val="Refdenotaalpie"/>
          <w:rFonts w:ascii="Times New Roman" w:hAnsi="Times New Roman"/>
          <w:color w:val="000000"/>
          <w:sz w:val="20"/>
          <w:szCs w:val="20"/>
        </w:rPr>
        <w:footnoteRef/>
      </w:r>
      <w:r w:rsidRPr="00B9678A">
        <w:rPr>
          <w:rFonts w:ascii="Times New Roman" w:hAnsi="Times New Roman"/>
          <w:color w:val="000000"/>
          <w:sz w:val="20"/>
          <w:szCs w:val="20"/>
        </w:rPr>
        <w:t xml:space="preserve"> Información disponible al público, con el número de radicado del proceso (15440), en el buscador de la Secretaría Gene</w:t>
      </w:r>
      <w:r w:rsidRPr="00B9678A">
        <w:rPr>
          <w:rFonts w:ascii="Times New Roman" w:hAnsi="Times New Roman"/>
          <w:color w:val="000000"/>
          <w:sz w:val="20"/>
          <w:szCs w:val="20"/>
        </w:rPr>
        <w:t xml:space="preserve">ral de la Corte en la siguiente dirección </w:t>
      </w:r>
      <w:hyperlink r:id="rId27" w:history="1">
        <w:r w:rsidRPr="00B9678A">
          <w:rPr>
            <w:rStyle w:val="Hipervnculo"/>
            <w:rFonts w:ascii="Times New Roman" w:hAnsi="Times New Roman"/>
            <w:color w:val="000000"/>
            <w:sz w:val="20"/>
            <w:szCs w:val="20"/>
          </w:rPr>
          <w:t>https://www.corteconstitucional.gov.co/secretaria/</w:t>
        </w:r>
      </w:hyperlink>
      <w:r w:rsidRPr="00B9678A">
        <w:rPr>
          <w:rFonts w:ascii="Times New Roman" w:hAnsi="Times New Roman"/>
          <w:color w:val="000000"/>
          <w:sz w:val="20"/>
          <w:szCs w:val="20"/>
        </w:rPr>
        <w:t xml:space="preserve"> </w:t>
      </w:r>
    </w:p>
  </w:footnote>
  <w:footnote w:id="48">
    <w:p w:rsidR="00B9678A" w:rsidRPr="00B9678A" w:rsidRDefault="00527F3E" w:rsidP="00B9678A">
      <w:pPr>
        <w:pStyle w:val="Footnotereferenc1"/>
        <w:jc w:val="both"/>
        <w:rPr>
          <w:rFonts w:ascii="Times New Roman" w:hAnsi="Times New Roman"/>
          <w:color w:val="000000"/>
          <w:sz w:val="20"/>
          <w:szCs w:val="20"/>
        </w:rPr>
      </w:pPr>
      <w:r w:rsidRPr="00B9678A">
        <w:rPr>
          <w:rStyle w:val="Refdenotaalpie"/>
          <w:rFonts w:ascii="Times New Roman" w:hAnsi="Times New Roman"/>
          <w:color w:val="000000"/>
          <w:sz w:val="20"/>
          <w:szCs w:val="20"/>
        </w:rPr>
        <w:footnoteRef/>
      </w:r>
      <w:r w:rsidRPr="00B9678A">
        <w:rPr>
          <w:rFonts w:ascii="Times New Roman" w:hAnsi="Times New Roman"/>
          <w:color w:val="000000"/>
          <w:sz w:val="20"/>
          <w:szCs w:val="20"/>
        </w:rPr>
        <w:t xml:space="preserve"> Intervención allegada el 28 de noviembre de 2023 por Carolina Jiménez Bellicia, en calidad de</w:t>
      </w:r>
      <w:r w:rsidRPr="00B9678A">
        <w:rPr>
          <w:rFonts w:ascii="Times New Roman" w:hAnsi="Times New Roman"/>
          <w:color w:val="000000"/>
          <w:sz w:val="20"/>
          <w:szCs w:val="20"/>
        </w:rPr>
        <w:t xml:space="preserve"> apoderada judicial del Departamento Administrativo de la Presidencia de la República - DAPRE. </w:t>
      </w:r>
    </w:p>
  </w:footnote>
  <w:footnote w:id="49">
    <w:p w:rsidR="00B9678A" w:rsidRPr="00B9678A" w:rsidRDefault="00527F3E" w:rsidP="00B9678A">
      <w:pPr>
        <w:pStyle w:val="Footnotereferenc1"/>
        <w:jc w:val="both"/>
        <w:rPr>
          <w:rFonts w:ascii="Times New Roman" w:hAnsi="Times New Roman"/>
          <w:color w:val="000000"/>
          <w:sz w:val="20"/>
          <w:szCs w:val="20"/>
          <w:lang w:val="es-CO"/>
        </w:rPr>
      </w:pPr>
      <w:r w:rsidRPr="00B9678A">
        <w:rPr>
          <w:rStyle w:val="Refdenotaalpie"/>
          <w:rFonts w:ascii="Times New Roman" w:hAnsi="Times New Roman"/>
          <w:color w:val="000000"/>
          <w:sz w:val="20"/>
          <w:szCs w:val="20"/>
        </w:rPr>
        <w:footnoteRef/>
      </w:r>
      <w:r w:rsidRPr="00B9678A">
        <w:rPr>
          <w:rFonts w:ascii="Times New Roman" w:hAnsi="Times New Roman"/>
          <w:color w:val="000000"/>
          <w:sz w:val="20"/>
          <w:szCs w:val="20"/>
        </w:rPr>
        <w:t xml:space="preserve"> Flor Alba Gómez Cortés, en virtud del poder conferido por el jefe de la oficina asesora jurídica del Ministerio de Transporte, presentó una intervención el 23 de noviembre y un escrito, adicionando la intervención inicial, el 28 de noviembre de 2023.   </w:t>
      </w:r>
    </w:p>
  </w:footnote>
  <w:footnote w:id="50">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Intervención presentada el 28 de noviembre de 2023 por Gilberto Toro Giraldo, en calidad de director ejecutivo de la Federación Colombiana de Municipios. </w:t>
      </w:r>
    </w:p>
  </w:footnote>
  <w:footnote w:id="51">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Intervención presentada el 16 de enero de 2024 por César Augusto Méndez Becerra, en calidad de dir</w:t>
      </w:r>
      <w:r w:rsidRPr="00B9678A">
        <w:rPr>
          <w:rFonts w:ascii="Times New Roman" w:hAnsi="Times New Roman"/>
          <w:sz w:val="20"/>
          <w:szCs w:val="20"/>
        </w:rPr>
        <w:t xml:space="preserve">ector de defensa jurídica nacional de la Agencia Nacional de Defensa Jurídica del Estado. </w:t>
      </w:r>
    </w:p>
  </w:footnote>
  <w:footnote w:id="52">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sz w:val="20"/>
          <w:szCs w:val="20"/>
          <w:lang w:val="es-419"/>
        </w:rPr>
        <w:t>Como fundamentos de derecho se refirió al artículo 6, numeral 3, literal i) del Decreto 4085 de 2011, “por el cual se establecen los objetivos y la estructura de l</w:t>
      </w:r>
      <w:r w:rsidRPr="00B9678A">
        <w:rPr>
          <w:rFonts w:ascii="Times New Roman" w:hAnsi="Times New Roman"/>
          <w:sz w:val="20"/>
          <w:szCs w:val="20"/>
          <w:lang w:val="es-419"/>
        </w:rPr>
        <w:t xml:space="preserve">a Agencia Nacional de Defensa Jurídica del Estado”, modificado por los decretos 2269 de 2019 y 1244 de 2021, en concordancia con lo previsto en los artículos 610 y 611 del Código General del Proceso, Ley 1564 de 2012). </w:t>
      </w:r>
    </w:p>
  </w:footnote>
  <w:footnote w:id="53">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“Por la cual se decreta el Presupu</w:t>
      </w:r>
      <w:r w:rsidRPr="00B9678A">
        <w:rPr>
          <w:rFonts w:ascii="Times New Roman" w:hAnsi="Times New Roman"/>
          <w:sz w:val="20"/>
          <w:szCs w:val="20"/>
        </w:rPr>
        <w:t>esto de Rentas y Recursos de Capital y Ley de Apropiaciones para la vigencia fiscal del 1 de enero al 31 de diciembre de 2023”.</w:t>
      </w:r>
    </w:p>
  </w:footnote>
  <w:footnote w:id="54">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Memorial de impulso procesal, </w:t>
      </w:r>
      <w:hyperlink r:id="rId28" w:history="1">
        <w:r w:rsidRPr="00B9678A">
          <w:rPr>
            <w:rStyle w:val="Hipervnculo"/>
            <w:rFonts w:ascii="Times New Roman" w:hAnsi="Times New Roman"/>
            <w:sz w:val="20"/>
            <w:szCs w:val="20"/>
          </w:rPr>
          <w:t>https://w</w:t>
        </w:r>
        <w:r w:rsidRPr="00B9678A">
          <w:rPr>
            <w:rStyle w:val="Hipervnculo"/>
            <w:rFonts w:ascii="Times New Roman" w:hAnsi="Times New Roman"/>
            <w:sz w:val="20"/>
            <w:szCs w:val="20"/>
          </w:rPr>
          <w:t>ww.corteconstitucional.gov.co/secretaria/archivo.php?id=75243</w:t>
        </w:r>
      </w:hyperlink>
      <w:r w:rsidRPr="00B9678A">
        <w:rPr>
          <w:rFonts w:ascii="Times New Roman" w:hAnsi="Times New Roman"/>
          <w:sz w:val="20"/>
          <w:szCs w:val="20"/>
        </w:rPr>
        <w:t xml:space="preserve"> </w:t>
      </w:r>
    </w:p>
  </w:footnote>
  <w:footnote w:id="55">
    <w:p w:rsidR="00B9678A" w:rsidRPr="00B9678A" w:rsidRDefault="00527F3E" w:rsidP="00B9678A">
      <w:pPr>
        <w:pStyle w:val="Footnotereferenc1"/>
        <w:jc w:val="both"/>
        <w:rPr>
          <w:rFonts w:ascii="Times New Roman" w:hAnsi="Times New Roman"/>
          <w:sz w:val="20"/>
          <w:szCs w:val="20"/>
          <w:lang w:val="es-CO"/>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A propósito de ello, en la Sentencia C-389 de 2021 (M.P. José Fernando Reyes Cuartas), la Sala Plena recordó que, para evaluar la competencia de la Corte en casos como este, el momento crucia</w:t>
      </w:r>
      <w:r w:rsidRPr="00B9678A">
        <w:rPr>
          <w:rFonts w:ascii="Times New Roman" w:hAnsi="Times New Roman"/>
          <w:sz w:val="20"/>
          <w:szCs w:val="20"/>
        </w:rPr>
        <w:t xml:space="preserve">l no es cuando se emite la decisión judicial, sino </w:t>
      </w:r>
      <w:r w:rsidRPr="00B9678A">
        <w:rPr>
          <w:rFonts w:ascii="Times New Roman" w:hAnsi="Times New Roman"/>
          <w:i/>
          <w:iCs/>
          <w:sz w:val="20"/>
          <w:szCs w:val="20"/>
        </w:rPr>
        <w:t>cuando se inicia el proceso de revisión constitucional</w:t>
      </w:r>
      <w:r w:rsidRPr="00B9678A">
        <w:rPr>
          <w:rFonts w:ascii="Times New Roman" w:hAnsi="Times New Roman"/>
          <w:sz w:val="20"/>
          <w:szCs w:val="20"/>
        </w:rPr>
        <w:t xml:space="preserve">. Desde esta óptica, es posible revisar la constitucionalidad de disposiciones legales no vigentes, siempre que la demanda de inconstitucionalidad se </w:t>
      </w:r>
      <w:r w:rsidRPr="00B9678A">
        <w:rPr>
          <w:rFonts w:ascii="Times New Roman" w:hAnsi="Times New Roman"/>
          <w:sz w:val="20"/>
          <w:szCs w:val="20"/>
        </w:rPr>
        <w:t>haya presentado mientras sí lo estaban. Este escenario puede presentarse, por ejemplo, con normas que tienen una vigencia temporal determinada, donde la demanda se presenta durante ese tiempo pero el plazo expira durante el proceso judicial. En este contex</w:t>
      </w:r>
      <w:r w:rsidRPr="00B9678A">
        <w:rPr>
          <w:rFonts w:ascii="Times New Roman" w:hAnsi="Times New Roman"/>
          <w:sz w:val="20"/>
          <w:szCs w:val="20"/>
        </w:rPr>
        <w:t>to, la Corte ha considerado que la capacidad de una norma para producir efectos jurídicos debe evaluarse en el momento de iniciar el proceso de revisión, reflejando el carácter público de la acción de inconstitucionalidad y el derecho al acceso a la justic</w:t>
      </w:r>
      <w:r w:rsidRPr="00B9678A">
        <w:rPr>
          <w:rFonts w:ascii="Times New Roman" w:hAnsi="Times New Roman"/>
          <w:sz w:val="20"/>
          <w:szCs w:val="20"/>
        </w:rPr>
        <w:t>ia. Estas conclusiones fueron establecidas a partir de la reiteración de las sentencias C-992 de 2001. M.P. Rodrigo Escobar Gil) y C-303 de 2010. M.P. Luis Ernesto Vargas Silva.</w:t>
      </w:r>
    </w:p>
  </w:footnote>
  <w:footnote w:id="56">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Sentencia C-178 de 2021. M.P. Jorge Enrique Ibáñez Najar. </w:t>
      </w:r>
    </w:p>
  </w:footnote>
  <w:footnote w:id="57">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Estas son apena</w:t>
      </w:r>
      <w:r w:rsidRPr="00B9678A">
        <w:rPr>
          <w:rFonts w:ascii="Times New Roman" w:hAnsi="Times New Roman"/>
          <w:sz w:val="20"/>
          <w:szCs w:val="20"/>
        </w:rPr>
        <w:t>s algunas de las hipótesis con las cuales la Corte ha ejemplificado el ejercicio del control constitucional de normas sin vigencia, por lo que de ninguna manera pretender constituir un catálogo taxativo. De hecho, en la reciente Sentencia C-137 de 2023 (M.</w:t>
      </w:r>
      <w:r w:rsidRPr="00B9678A">
        <w:rPr>
          <w:rFonts w:ascii="Times New Roman" w:hAnsi="Times New Roman"/>
          <w:sz w:val="20"/>
          <w:szCs w:val="20"/>
        </w:rPr>
        <w:t>P. Alejandro Linares Cantillo) volvió a pronunciarse sobre la materia y sistematizó las siguientes hipótesis de activación de la competencia de la Corte: “(i) disposiciones con un ámbito temporal y estrecho respecto de las cuales no se alcanzó a activar el</w:t>
      </w:r>
      <w:r w:rsidRPr="00B9678A">
        <w:rPr>
          <w:rFonts w:ascii="Times New Roman" w:hAnsi="Times New Roman"/>
          <w:sz w:val="20"/>
          <w:szCs w:val="20"/>
        </w:rPr>
        <w:t xml:space="preserve"> control de constitucionalidad durante su vigencia; (ii) se presenta una manifiesta y grave violación del ordenamiento superior que amerita la declaratoria de inexequibilidad con efectos retroactivos; (iii) cuando a la Corte le corresponde realizar un cont</w:t>
      </w:r>
      <w:r w:rsidRPr="00B9678A">
        <w:rPr>
          <w:rFonts w:ascii="Times New Roman" w:hAnsi="Times New Roman"/>
          <w:sz w:val="20"/>
          <w:szCs w:val="20"/>
        </w:rPr>
        <w:t xml:space="preserve">rol obligatorio y automático; (iv) la norma es derogada o sus efectos consolidados durante el desarrollo del proceso de constitucionalidad, en aplicación del principio de </w:t>
      </w:r>
      <w:r w:rsidRPr="00B9678A">
        <w:rPr>
          <w:rFonts w:ascii="Times New Roman" w:hAnsi="Times New Roman"/>
          <w:i/>
          <w:iCs/>
          <w:sz w:val="20"/>
          <w:szCs w:val="20"/>
        </w:rPr>
        <w:t>perpetuatio jurisdictionis</w:t>
      </w:r>
      <w:r w:rsidRPr="00B9678A">
        <w:rPr>
          <w:rFonts w:ascii="Times New Roman" w:hAnsi="Times New Roman"/>
          <w:sz w:val="20"/>
          <w:szCs w:val="20"/>
        </w:rPr>
        <w:t>; y (v) la norma perdió su vigencia formal, pero sigue prod</w:t>
      </w:r>
      <w:r w:rsidRPr="00B9678A">
        <w:rPr>
          <w:rFonts w:ascii="Times New Roman" w:hAnsi="Times New Roman"/>
          <w:sz w:val="20"/>
          <w:szCs w:val="20"/>
        </w:rPr>
        <w:t>uciendo efectos de manera ultractiva”.</w:t>
      </w:r>
    </w:p>
  </w:footnote>
  <w:footnote w:id="58">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A propósito de la revisión de normas que han perdido vigencia durante el curso del trámite constitucional, en las sentencias C-167 de 2021 y C-178 de 2021 (ambas M.P. Jorge Enrique Ibáñez Najar) la Corte estudió la </w:t>
      </w:r>
      <w:r w:rsidRPr="00B9678A">
        <w:rPr>
          <w:rFonts w:ascii="Times New Roman" w:hAnsi="Times New Roman"/>
          <w:sz w:val="20"/>
          <w:szCs w:val="20"/>
        </w:rPr>
        <w:t>constitucionalidad de dos artículos de la Ley 2008 de 2019 (“Por la cual se decreta el presupuesto de rentas y recursos de capital y ley de apropiaciones para la vigencia fiscal del 1ro de enero al 31 de diciembre de 2020”). Justamente, al analizar su comp</w:t>
      </w:r>
      <w:r w:rsidRPr="00B9678A">
        <w:rPr>
          <w:rFonts w:ascii="Times New Roman" w:hAnsi="Times New Roman"/>
          <w:sz w:val="20"/>
          <w:szCs w:val="20"/>
        </w:rPr>
        <w:t xml:space="preserve">etencia, la Sala recordó algunas de las excepciones en las cuales sería posible continuar con el trámite constitucional, aun cuando las disposiciones acusadas no se encontraran en vigor. Con base en ello, sin acudir al principio de </w:t>
      </w:r>
      <w:r w:rsidRPr="00B9678A">
        <w:rPr>
          <w:rFonts w:ascii="Times New Roman" w:hAnsi="Times New Roman"/>
          <w:i/>
          <w:iCs/>
          <w:sz w:val="20"/>
          <w:szCs w:val="20"/>
        </w:rPr>
        <w:t>perpetuatio jurisditioni</w:t>
      </w:r>
      <w:r w:rsidRPr="00B9678A">
        <w:rPr>
          <w:rFonts w:ascii="Times New Roman" w:hAnsi="Times New Roman"/>
          <w:i/>
          <w:iCs/>
          <w:sz w:val="20"/>
          <w:szCs w:val="20"/>
        </w:rPr>
        <w:t>s</w:t>
      </w:r>
      <w:r w:rsidRPr="00B9678A">
        <w:rPr>
          <w:rFonts w:ascii="Times New Roman" w:hAnsi="Times New Roman"/>
          <w:sz w:val="20"/>
          <w:szCs w:val="20"/>
        </w:rPr>
        <w:t xml:space="preserve">, decidió conservar su competencia judicial al considerar que las normas acusadas podrían seguir produciendo efectos sobre las situaciones en las que aquellas fueron aplicadas, durante el lapso de su vigencia. Por el contrario, en el caso que ahora ocupa </w:t>
      </w:r>
      <w:r w:rsidRPr="00B9678A">
        <w:rPr>
          <w:rFonts w:ascii="Times New Roman" w:hAnsi="Times New Roman"/>
          <w:sz w:val="20"/>
          <w:szCs w:val="20"/>
        </w:rPr>
        <w:t>la atención de la Corte, ha quedado claro que su competencia se reafirma estrictamente en virtud del principio mencionado. En esta ocasión, no es pertinente acoger la doctrina de la revisión de los efectos prácticos de la norma, no sólo por ser innecesario</w:t>
      </w:r>
      <w:r w:rsidRPr="00B9678A">
        <w:rPr>
          <w:rFonts w:ascii="Times New Roman" w:hAnsi="Times New Roman"/>
          <w:sz w:val="20"/>
          <w:szCs w:val="20"/>
        </w:rPr>
        <w:t xml:space="preserve"> para este asunto, en términos de competencia, sino porque las particularidades del debate que se plantea en la demanda, en la que se formula un cargo por violación de la unidad de materia, hace que una valoración como esa pueda comprometer indebidamente l</w:t>
      </w:r>
      <w:r w:rsidRPr="00B9678A">
        <w:rPr>
          <w:rFonts w:ascii="Times New Roman" w:hAnsi="Times New Roman"/>
          <w:sz w:val="20"/>
          <w:szCs w:val="20"/>
        </w:rPr>
        <w:t>a resolución del fondo del asunto.</w:t>
      </w:r>
    </w:p>
  </w:footnote>
  <w:footnote w:id="59">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Sentencia C-757 de 2004. M.P. Clara Inés Vargas Hernández. Asimismo, la Sentencia C-755 de 2013 (M.P. María Victoria Calle Correa) presenta un detallado desarrollo sobre el alcance del principio de </w:t>
      </w:r>
      <w:r w:rsidRPr="00B9678A">
        <w:rPr>
          <w:rFonts w:ascii="Times New Roman" w:hAnsi="Times New Roman"/>
          <w:i/>
          <w:iCs/>
          <w:sz w:val="20"/>
          <w:szCs w:val="20"/>
        </w:rPr>
        <w:t>perpetuatio jurisdict</w:t>
      </w:r>
      <w:r w:rsidRPr="00B9678A">
        <w:rPr>
          <w:rFonts w:ascii="Times New Roman" w:hAnsi="Times New Roman"/>
          <w:i/>
          <w:iCs/>
          <w:sz w:val="20"/>
          <w:szCs w:val="20"/>
        </w:rPr>
        <w:t>ionis</w:t>
      </w:r>
      <w:r w:rsidRPr="00B9678A">
        <w:rPr>
          <w:rFonts w:ascii="Times New Roman" w:hAnsi="Times New Roman"/>
          <w:sz w:val="20"/>
          <w:szCs w:val="20"/>
        </w:rPr>
        <w:t xml:space="preserve"> y sus límites, sobre todo de cara a la alteración de la competencia judicial en la que puede incurrir indebidamente el órgano legislativo.</w:t>
      </w:r>
    </w:p>
  </w:footnote>
  <w:footnote w:id="60">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M.P. Alejandro Linares Cantillo. </w:t>
      </w:r>
    </w:p>
  </w:footnote>
  <w:footnote w:id="61">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“Por medio de la cual se adoptan normas para la promoción del crecimiento económico, el empleo, la inversión, el fortalecimiento de las finanzas públicas y la progresividad, equidad y eficiencia del sistema tributario, de acuerdo con los objetivos que sob</w:t>
      </w:r>
      <w:r w:rsidRPr="00B9678A">
        <w:rPr>
          <w:rFonts w:ascii="Times New Roman" w:hAnsi="Times New Roman"/>
          <w:sz w:val="20"/>
          <w:szCs w:val="20"/>
        </w:rPr>
        <w:t>re la materia impulsaron la Ley 1943 de 2018 y se dictan otras disposiciones”.</w:t>
      </w:r>
    </w:p>
  </w:footnote>
  <w:footnote w:id="62">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M.P. Luis Ernesto Vargas Silva.</w:t>
      </w:r>
    </w:p>
  </w:footnote>
  <w:footnote w:id="63">
    <w:p w:rsidR="00B9678A" w:rsidRPr="00B9678A" w:rsidRDefault="00527F3E" w:rsidP="00B9678A">
      <w:pPr>
        <w:pStyle w:val="Footnotereferenc1"/>
        <w:ind w:right="49"/>
        <w:jc w:val="both"/>
        <w:rPr>
          <w:rFonts w:ascii="Times New Roman" w:hAnsi="Times New Roman"/>
          <w:color w:val="000000"/>
          <w:sz w:val="20"/>
          <w:szCs w:val="20"/>
        </w:rPr>
      </w:pPr>
      <w:r w:rsidRPr="00B9678A">
        <w:rPr>
          <w:rStyle w:val="Refdenotaalpie"/>
          <w:rFonts w:ascii="Times New Roman" w:hAnsi="Times New Roman"/>
          <w:color w:val="000000"/>
          <w:sz w:val="20"/>
          <w:szCs w:val="20"/>
        </w:rPr>
        <w:footnoteRef/>
      </w:r>
      <w:r w:rsidRPr="00B9678A">
        <w:rPr>
          <w:rFonts w:ascii="Times New Roman" w:hAnsi="Times New Roman"/>
          <w:color w:val="000000"/>
          <w:sz w:val="20"/>
          <w:szCs w:val="20"/>
        </w:rPr>
        <w:t xml:space="preserve"> Consultar, entre otras, las </w:t>
      </w:r>
      <w:r w:rsidRPr="00B9678A">
        <w:rPr>
          <w:rFonts w:ascii="Times New Roman" w:hAnsi="Times New Roman"/>
          <w:color w:val="000000"/>
          <w:sz w:val="20"/>
          <w:szCs w:val="20"/>
          <w:lang w:val="es-MX"/>
        </w:rPr>
        <w:t>sentencias C-236 de 1997. M.P. Antonio Barrera Carbonell; C-447 de 1997. M.P. Alejandro Martínez Caballero; C-426</w:t>
      </w:r>
      <w:r w:rsidRPr="00B9678A">
        <w:rPr>
          <w:rFonts w:ascii="Times New Roman" w:hAnsi="Times New Roman"/>
          <w:color w:val="000000"/>
          <w:sz w:val="20"/>
          <w:szCs w:val="20"/>
          <w:lang w:val="es-MX"/>
        </w:rPr>
        <w:t xml:space="preserve"> de 2002. M.P. Rodrigo Escobar Gil y C-170 de 2004. M.P. Rodrigo Escobar Gil.</w:t>
      </w:r>
    </w:p>
  </w:footnote>
  <w:footnote w:id="64">
    <w:p w:rsidR="00B9678A" w:rsidRPr="00B9678A" w:rsidRDefault="00527F3E" w:rsidP="00B9678A">
      <w:pPr>
        <w:pStyle w:val="Footnotereferenc1"/>
        <w:ind w:right="49"/>
        <w:jc w:val="both"/>
        <w:rPr>
          <w:rFonts w:ascii="Times New Roman" w:hAnsi="Times New Roman"/>
          <w:color w:val="000000"/>
          <w:sz w:val="20"/>
          <w:szCs w:val="20"/>
        </w:rPr>
      </w:pPr>
      <w:r w:rsidRPr="00B9678A">
        <w:rPr>
          <w:rStyle w:val="Refdenotaalpie"/>
          <w:rFonts w:ascii="Times New Roman" w:hAnsi="Times New Roman"/>
          <w:color w:val="000000"/>
          <w:sz w:val="20"/>
          <w:szCs w:val="20"/>
        </w:rPr>
        <w:footnoteRef/>
      </w:r>
      <w:r w:rsidRPr="00B9678A">
        <w:rPr>
          <w:rFonts w:ascii="Times New Roman" w:hAnsi="Times New Roman"/>
          <w:color w:val="000000"/>
          <w:sz w:val="20"/>
          <w:szCs w:val="20"/>
        </w:rPr>
        <w:t xml:space="preserve"> En la sentencia C-1052 de 2001 (M.P. Manuel José Cepeda Espinosa), al sistematizar los lineamientos fijados por la jurisprudencia, la Corte definió las circunstancias a partir </w:t>
      </w:r>
      <w:r w:rsidRPr="00B9678A">
        <w:rPr>
          <w:rFonts w:ascii="Times New Roman" w:hAnsi="Times New Roman"/>
          <w:color w:val="000000"/>
          <w:sz w:val="20"/>
          <w:szCs w:val="20"/>
        </w:rPr>
        <w:t>de las cuales un cargo se entiende debidamente estructurado. De ahí que el citado fallo sea objeto de reiteración por la Corte en innumerables pronunciamientos.</w:t>
      </w:r>
    </w:p>
  </w:footnote>
  <w:footnote w:id="65">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M.P. Luis Ernesto Vargas Silva. AV. Mauricio González Cuervo. AV. Nilson Pinilla Pinilla. SPV</w:t>
      </w:r>
      <w:r w:rsidRPr="00B9678A">
        <w:rPr>
          <w:rFonts w:ascii="Times New Roman" w:hAnsi="Times New Roman"/>
          <w:sz w:val="20"/>
          <w:szCs w:val="20"/>
        </w:rPr>
        <w:t xml:space="preserve">. Luis Ernesto Vargas Silva. </w:t>
      </w:r>
    </w:p>
  </w:footnote>
  <w:footnote w:id="66">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M.P. María Victoria Calle Correa. SV. Luis Guillermo Guerrero Pérez. SV. Alejandro Linares Cantillo. AV. Gloria Stella Ortiz Delgado. SV. Jorge Ignacio Pretelt Chaljub.</w:t>
      </w:r>
    </w:p>
  </w:footnote>
  <w:footnote w:id="67">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M.P. Antonio José Lizarazo Ocampo. SV. Alberto Rojas </w:t>
      </w:r>
      <w:r w:rsidRPr="00B9678A">
        <w:rPr>
          <w:rFonts w:ascii="Times New Roman" w:hAnsi="Times New Roman"/>
          <w:sz w:val="20"/>
          <w:szCs w:val="20"/>
        </w:rPr>
        <w:t>Ríos. AV. Carlos Bernal Pulido. AV. Luis Guillermo Guerrero Pérez. SV. Alejandro Linares Cantillo. AV. Antonio José Lizarazo Ocampo. AV. Cristina Pardo Schlesinger. SV. José Fernando Reyes Cuartas. En esta decisión la Corte señaló que “el principio pro act</w:t>
      </w:r>
      <w:r w:rsidRPr="00B9678A">
        <w:rPr>
          <w:rFonts w:ascii="Times New Roman" w:hAnsi="Times New Roman"/>
          <w:sz w:val="20"/>
          <w:szCs w:val="20"/>
        </w:rPr>
        <w:t>ione (…) no permite cambiar la intención del accionante, para ajustar la demanda a aquello que el Tribunal Constitucional estima que debería ser analizado de acuerdo con la lectura de su misma línea jurisprudencial”.</w:t>
      </w:r>
    </w:p>
  </w:footnote>
  <w:footnote w:id="68">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M.P. (E)Hernán Correa Cardozo. AV. Di</w:t>
      </w:r>
      <w:r w:rsidRPr="00B9678A">
        <w:rPr>
          <w:rFonts w:ascii="Times New Roman" w:hAnsi="Times New Roman"/>
          <w:sz w:val="20"/>
          <w:szCs w:val="20"/>
        </w:rPr>
        <w:t xml:space="preserve">ana Fajardo Rivera. SPV. Alejandro Linares Cantillo. SPV. Antonio José Lizarazo Ocampo. SPV. Paola Andrea Meneses Mosquera. AV. José Fernando Reyes Cuartas. </w:t>
      </w:r>
    </w:p>
  </w:footnote>
  <w:footnote w:id="69">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M.P. Diana Fajardo Rivera. AV. Jorge Enrique Ibáñez Najar.</w:t>
      </w:r>
    </w:p>
  </w:footnote>
  <w:footnote w:id="70">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color w:val="000000"/>
          <w:sz w:val="20"/>
          <w:szCs w:val="20"/>
        </w:rPr>
        <w:footnoteRef/>
      </w:r>
      <w:r w:rsidRPr="00B9678A">
        <w:rPr>
          <w:rFonts w:ascii="Times New Roman" w:hAnsi="Times New Roman"/>
          <w:color w:val="000000"/>
          <w:sz w:val="20"/>
          <w:szCs w:val="20"/>
        </w:rPr>
        <w:t xml:space="preserve"> En la Sentencia C-995 de 2001 (M.P.</w:t>
      </w:r>
      <w:r w:rsidRPr="00B9678A">
        <w:rPr>
          <w:rFonts w:ascii="Times New Roman" w:hAnsi="Times New Roman"/>
          <w:color w:val="000000"/>
          <w:sz w:val="20"/>
          <w:szCs w:val="20"/>
        </w:rPr>
        <w:t xml:space="preserve"> Jaime Córdoba Triviño) se sostuvo que: “el constituyente pretendió evitar: La proliferación de iniciativas legislativas sin núcleo temático alguno; la inclusión y aprobación de normas desvinculadas de las materias inicialmente reguladas; la promulgación d</w:t>
      </w:r>
      <w:r w:rsidRPr="00B9678A">
        <w:rPr>
          <w:rFonts w:ascii="Times New Roman" w:hAnsi="Times New Roman"/>
          <w:color w:val="000000"/>
          <w:sz w:val="20"/>
          <w:szCs w:val="20"/>
        </w:rPr>
        <w:t>e leyes que se han sustraído a los debates parlamentarios y la emisión de disposiciones promovidas subrepticiamente por grupos interesados en ocultarlas a la opinión pública como canal de expresión de la democracia”.</w:t>
      </w:r>
    </w:p>
  </w:footnote>
  <w:footnote w:id="71">
    <w:p w:rsidR="00B9678A" w:rsidRPr="00B9678A" w:rsidRDefault="00527F3E" w:rsidP="00B9678A">
      <w:pPr>
        <w:pStyle w:val="Footnotereferenc1"/>
        <w:jc w:val="both"/>
        <w:rPr>
          <w:rFonts w:ascii="Times New Roman" w:hAnsi="Times New Roman"/>
          <w:sz w:val="20"/>
          <w:szCs w:val="20"/>
        </w:rPr>
      </w:pPr>
      <w:r w:rsidRPr="00B9678A">
        <w:rPr>
          <w:rFonts w:ascii="Times New Roman" w:hAnsi="Times New Roman"/>
          <w:sz w:val="20"/>
          <w:szCs w:val="20"/>
          <w:vertAlign w:val="superscript"/>
        </w:rPr>
        <w:footnoteRef/>
      </w:r>
      <w:r w:rsidRPr="00B9678A">
        <w:rPr>
          <w:rFonts w:ascii="Times New Roman" w:hAnsi="Times New Roman"/>
          <w:sz w:val="20"/>
          <w:szCs w:val="20"/>
        </w:rPr>
        <w:t xml:space="preserve"> Sentencia </w:t>
      </w:r>
      <w:r w:rsidRPr="00B9678A">
        <w:rPr>
          <w:rFonts w:ascii="Times New Roman" w:hAnsi="Times New Roman"/>
          <w:color w:val="000000"/>
          <w:sz w:val="20"/>
          <w:szCs w:val="20"/>
        </w:rPr>
        <w:t xml:space="preserve">C-153 de 2022. </w:t>
      </w:r>
      <w:r w:rsidRPr="00B9678A">
        <w:rPr>
          <w:rFonts w:ascii="Times New Roman" w:hAnsi="Times New Roman"/>
          <w:sz w:val="20"/>
          <w:szCs w:val="20"/>
          <w:lang w:val="es-MX"/>
        </w:rPr>
        <w:t>M.P. Diana F</w:t>
      </w:r>
      <w:r w:rsidRPr="00B9678A">
        <w:rPr>
          <w:rFonts w:ascii="Times New Roman" w:hAnsi="Times New Roman"/>
          <w:sz w:val="20"/>
          <w:szCs w:val="20"/>
          <w:lang w:val="es-MX"/>
        </w:rPr>
        <w:t>ajardo Rivera</w:t>
      </w:r>
      <w:r w:rsidRPr="00B9678A">
        <w:rPr>
          <w:rFonts w:ascii="Times New Roman" w:hAnsi="Times New Roman"/>
          <w:sz w:val="20"/>
          <w:szCs w:val="20"/>
        </w:rPr>
        <w:t>. SPV. Cristina Pardo Schlesinger. AV y SPV. Diana Fajardo Rivera. SPV y AV. Jorge Enrique Ibáñez Najar. AV y SPV. Alejandro Linares Cantillo. SPV y AV. Antonio José Lizarazo Ocampo. AV. José Fernando Reyes Cuartas. En esta decisión se reiteran las conside</w:t>
      </w:r>
      <w:r w:rsidRPr="00B9678A">
        <w:rPr>
          <w:rFonts w:ascii="Times New Roman" w:hAnsi="Times New Roman"/>
          <w:sz w:val="20"/>
          <w:szCs w:val="20"/>
        </w:rPr>
        <w:t xml:space="preserve">raciones sobre la intensidad del juicio de constitucionalidad relativo al cumplimiento del principio de unidad de materia expuestas en las </w:t>
      </w:r>
      <w:r w:rsidRPr="00B9678A">
        <w:rPr>
          <w:rFonts w:ascii="Times New Roman" w:hAnsi="Times New Roman"/>
          <w:color w:val="000000"/>
          <w:sz w:val="20"/>
          <w:szCs w:val="20"/>
        </w:rPr>
        <w:t>sentencias C-992 de 2001. M.P. Rodrigo Escobar Gil. AV. Marco Gerardo Monroy Cabra; C-188 de 2006. M.P. Rodrigo Escob</w:t>
      </w:r>
      <w:r w:rsidRPr="00B9678A">
        <w:rPr>
          <w:rFonts w:ascii="Times New Roman" w:hAnsi="Times New Roman"/>
          <w:color w:val="000000"/>
          <w:sz w:val="20"/>
          <w:szCs w:val="20"/>
        </w:rPr>
        <w:t xml:space="preserve">ar Gil; y C-620 de 2016. M.P. María Victoria Calle Correa. </w:t>
      </w:r>
    </w:p>
  </w:footnote>
  <w:footnote w:id="72">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Sentencia C-438 de 2019. M.P. Cristina Pardo Schlesinger. </w:t>
      </w:r>
      <w:r w:rsidRPr="00B9678A">
        <w:rPr>
          <w:rFonts w:ascii="Times New Roman" w:hAnsi="Times New Roman"/>
          <w:sz w:val="20"/>
          <w:szCs w:val="20"/>
          <w:lang w:val="es-419"/>
        </w:rPr>
        <w:t>Consideración reiterada en la Sentencia</w:t>
      </w:r>
      <w:r w:rsidRPr="00B9678A">
        <w:rPr>
          <w:rFonts w:ascii="Times New Roman" w:hAnsi="Times New Roman"/>
          <w:color w:val="000000"/>
          <w:sz w:val="20"/>
          <w:szCs w:val="20"/>
        </w:rPr>
        <w:t xml:space="preserve"> C-167 de 2021. M.P. Jorge Enrique Ibáñez Najar. AV. Alejandro Linares Cantillo</w:t>
      </w:r>
      <w:r w:rsidRPr="00B9678A">
        <w:rPr>
          <w:rFonts w:ascii="Times New Roman" w:hAnsi="Times New Roman"/>
          <w:sz w:val="20"/>
          <w:szCs w:val="20"/>
          <w:lang w:val="es-419"/>
        </w:rPr>
        <w:t>.</w:t>
      </w:r>
    </w:p>
  </w:footnote>
  <w:footnote w:id="73">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Sentencia C-15</w:t>
      </w:r>
      <w:r w:rsidRPr="00B9678A">
        <w:rPr>
          <w:rFonts w:ascii="Times New Roman" w:hAnsi="Times New Roman"/>
          <w:sz w:val="20"/>
          <w:szCs w:val="20"/>
        </w:rPr>
        <w:t xml:space="preserve">3 de 2022. M.P. Diana Fajardo Rivera. Reiterando lo expuesto en las sentencias </w:t>
      </w:r>
      <w:r w:rsidRPr="00B9678A">
        <w:rPr>
          <w:rFonts w:ascii="Times New Roman" w:hAnsi="Times New Roman"/>
          <w:color w:val="000000"/>
          <w:sz w:val="20"/>
          <w:szCs w:val="20"/>
        </w:rPr>
        <w:t>C-048 de 2018. M.P. Cristina Pardo Schlesinger y C-178 de 2021. M.P. Jorge Enrique Ibáñez Najar. AV. Diana Fajardo Rivera.</w:t>
      </w:r>
    </w:p>
  </w:footnote>
  <w:footnote w:id="74">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color w:val="000000"/>
          <w:sz w:val="20"/>
          <w:szCs w:val="20"/>
        </w:rPr>
        <w:footnoteRef/>
      </w:r>
      <w:r w:rsidRPr="00B9678A">
        <w:rPr>
          <w:rFonts w:ascii="Times New Roman" w:hAnsi="Times New Roman"/>
          <w:color w:val="000000"/>
          <w:sz w:val="20"/>
          <w:szCs w:val="20"/>
        </w:rPr>
        <w:t xml:space="preserve"> Ver, entre otras, las sentencias C-486 de 2009. M.P.</w:t>
      </w:r>
      <w:r w:rsidRPr="00B9678A">
        <w:rPr>
          <w:rFonts w:ascii="Times New Roman" w:hAnsi="Times New Roman"/>
          <w:color w:val="000000"/>
          <w:sz w:val="20"/>
          <w:szCs w:val="20"/>
        </w:rPr>
        <w:t xml:space="preserve"> María Victoria Calle Correa; C-277 de 2011. M.P. Jorge Ignacio Pretelt Chaljub. AV. Humberto Antonio Sierra Porto. AV. Luis Ernesto Vargas Silva; y C-133 de 2012. M.P. Gabriel Eduardo Mendoza Martelo. SV. Mauricio González Cuervo; C-167 de 2021. M.P. Jorg</w:t>
      </w:r>
      <w:r w:rsidRPr="00B9678A">
        <w:rPr>
          <w:rFonts w:ascii="Times New Roman" w:hAnsi="Times New Roman"/>
          <w:color w:val="000000"/>
          <w:sz w:val="20"/>
          <w:szCs w:val="20"/>
        </w:rPr>
        <w:t xml:space="preserve">e Enrique Ibáñez Najar. AV. Alejandro Linares Cantillo; </w:t>
      </w:r>
      <w:r w:rsidRPr="00B9678A">
        <w:rPr>
          <w:rFonts w:ascii="Times New Roman" w:hAnsi="Times New Roman"/>
          <w:sz w:val="20"/>
          <w:szCs w:val="20"/>
          <w:lang w:val="es-MX"/>
        </w:rPr>
        <w:t>C-153 de 2022. M.P. Diana Fajardo Rivera</w:t>
      </w:r>
      <w:r w:rsidRPr="00B9678A">
        <w:rPr>
          <w:rFonts w:ascii="Times New Roman" w:hAnsi="Times New Roman"/>
          <w:sz w:val="20"/>
          <w:szCs w:val="20"/>
        </w:rPr>
        <w:t xml:space="preserve">. SPV. Cristina Pardo Schlesinger. AV y SPV Diana Fajardo Rivera. SPV y AV. Jorge Enrique Ibáñez Najar. AV y SPV. Alejandro Linares Cantillo. SPV y AV. Antonio </w:t>
      </w:r>
      <w:r w:rsidRPr="00B9678A">
        <w:rPr>
          <w:rFonts w:ascii="Times New Roman" w:hAnsi="Times New Roman"/>
          <w:sz w:val="20"/>
          <w:szCs w:val="20"/>
        </w:rPr>
        <w:t>José Lizarazo Ocampo. AV. José Fernando Reyes Cuartas; y C-306 de 2022. MM.PP. Jorge Enrique Ibáñez Najar y Cristina Pardo Schlesinger. AV. Antonio José Lizarazo Ocampo. AV. José Fernando Reyes Cuartas.</w:t>
      </w:r>
    </w:p>
  </w:footnote>
  <w:footnote w:id="75">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color w:val="000000"/>
          <w:sz w:val="20"/>
          <w:szCs w:val="20"/>
        </w:rPr>
        <w:footnoteRef/>
      </w:r>
      <w:r w:rsidRPr="00B9678A">
        <w:rPr>
          <w:rFonts w:ascii="Times New Roman" w:hAnsi="Times New Roman"/>
          <w:color w:val="000000"/>
          <w:sz w:val="20"/>
          <w:szCs w:val="20"/>
        </w:rPr>
        <w:t xml:space="preserve"> En la </w:t>
      </w:r>
      <w:r w:rsidRPr="00B9678A">
        <w:rPr>
          <w:rFonts w:ascii="Times New Roman" w:hAnsi="Times New Roman"/>
          <w:color w:val="000000"/>
          <w:sz w:val="20"/>
          <w:szCs w:val="20"/>
          <w:shd w:val="clear" w:color="auto" w:fill="FFFFFF"/>
        </w:rPr>
        <w:t>Sentencia C-167 de 2021 (</w:t>
      </w:r>
      <w:r w:rsidRPr="00B9678A">
        <w:rPr>
          <w:rFonts w:ascii="Times New Roman" w:hAnsi="Times New Roman"/>
          <w:color w:val="000000"/>
          <w:sz w:val="20"/>
          <w:szCs w:val="20"/>
        </w:rPr>
        <w:t>M.P. Jorge Enrique I</w:t>
      </w:r>
      <w:r w:rsidRPr="00B9678A">
        <w:rPr>
          <w:rFonts w:ascii="Times New Roman" w:hAnsi="Times New Roman"/>
          <w:color w:val="000000"/>
          <w:sz w:val="20"/>
          <w:szCs w:val="20"/>
        </w:rPr>
        <w:t xml:space="preserve">báñez Najar. AV. Alejandro Linares Cantillo) la Sala Plena precisó que: </w:t>
      </w:r>
      <w:r w:rsidRPr="00B9678A">
        <w:rPr>
          <w:rFonts w:ascii="Times New Roman" w:hAnsi="Times New Roman"/>
          <w:sz w:val="20"/>
          <w:szCs w:val="20"/>
          <w:bdr w:val="none" w:sz="0" w:space="0" w:color="auto" w:frame="1"/>
        </w:rPr>
        <w:t>“el control constitucional para  determinar el cumplimiento del principio de unidad de materia se cualifica cuando se aplica a leyes cuyo contenido ha sido prefijado por la Constitució</w:t>
      </w:r>
      <w:r w:rsidRPr="00B9678A">
        <w:rPr>
          <w:rFonts w:ascii="Times New Roman" w:hAnsi="Times New Roman"/>
          <w:sz w:val="20"/>
          <w:szCs w:val="20"/>
          <w:bdr w:val="none" w:sz="0" w:space="0" w:color="auto" w:frame="1"/>
        </w:rPr>
        <w:t>n Política, como ocurre precisamente con las leyes orgánicas -de Presupuesto (artículos 151 y 352), de Planeación (artículos 151 y 342), del Congreso (artículos 150.20 y 151), de ordenamiento territorial (art. 288), del sistema general de participaciones (</w:t>
      </w:r>
      <w:r w:rsidRPr="00B9678A">
        <w:rPr>
          <w:rFonts w:ascii="Times New Roman" w:hAnsi="Times New Roman"/>
          <w:sz w:val="20"/>
          <w:szCs w:val="20"/>
          <w:bdr w:val="none" w:sz="0" w:space="0" w:color="auto" w:frame="1"/>
        </w:rPr>
        <w:t>art. 357) o del sistema general de regalías (art. 361) -, o bien con las leyes anual de presupuesto y las leyes bianuales de regalías. De manera concreta, los artículos 346 a 351 de la Constitución Política limitan con claridad la libertad de configuración</w:t>
      </w:r>
      <w:r w:rsidRPr="00B9678A">
        <w:rPr>
          <w:rFonts w:ascii="Times New Roman" w:hAnsi="Times New Roman"/>
          <w:sz w:val="20"/>
          <w:szCs w:val="20"/>
          <w:bdr w:val="none" w:sz="0" w:space="0" w:color="auto" w:frame="1"/>
        </w:rPr>
        <w:t xml:space="preserve"> del legislador en relación con el contenido y el proceso de aprobación de las leyes anuales de presupuesto”</w:t>
      </w:r>
      <w:r w:rsidRPr="00B9678A">
        <w:rPr>
          <w:rFonts w:ascii="Times New Roman" w:hAnsi="Times New Roman"/>
          <w:sz w:val="20"/>
          <w:szCs w:val="20"/>
        </w:rPr>
        <w:t>.</w:t>
      </w:r>
    </w:p>
  </w:footnote>
  <w:footnote w:id="76">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La normativa orgánica actualmente vigente se encuentra en el Decreto 111 de 1996 que, con fundamento en autorización legal, compiló la Ley 38 de</w:t>
      </w:r>
      <w:r w:rsidRPr="00B9678A">
        <w:rPr>
          <w:rFonts w:ascii="Times New Roman" w:hAnsi="Times New Roman"/>
          <w:sz w:val="20"/>
          <w:szCs w:val="20"/>
        </w:rPr>
        <w:t xml:space="preserve"> 1989, la Ley 179 de 1994 y la Ley 225 de 1995, contentivas de la Ley Orgánica del Presupuesto. Luego de dicha compilación se han expedido las leyes 617 de 2000, 819 de 2003 y 1483 de 2011. </w:t>
      </w:r>
    </w:p>
  </w:footnote>
  <w:footnote w:id="77">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El cual “contendrá la estimación de los ingresos corrientes de </w:t>
      </w:r>
      <w:r w:rsidRPr="00B9678A">
        <w:rPr>
          <w:rFonts w:ascii="Times New Roman" w:hAnsi="Times New Roman"/>
          <w:sz w:val="20"/>
          <w:szCs w:val="20"/>
        </w:rPr>
        <w:t>la Nación; de las contribuciones parafiscales cuando sean administradas por un órgano que haga parte del presupuesto, de los fondos especiales, los recursos de capital y los ingresos de los establecimientos públicos del orden nacional”.</w:t>
      </w:r>
    </w:p>
  </w:footnote>
  <w:footnote w:id="78">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Que “incluirá las</w:t>
      </w:r>
      <w:r w:rsidRPr="00B9678A">
        <w:rPr>
          <w:rFonts w:ascii="Times New Roman" w:hAnsi="Times New Roman"/>
          <w:sz w:val="20"/>
          <w:szCs w:val="20"/>
        </w:rPr>
        <w:t xml:space="preserve"> apropiaciones para la rama judicial, la rama legislativa, la Fiscalía General de la Nación, la Procuraduría General de la Nación, la Defensoría del Pueblo, la Contraloría General de la República, la Registraduría Nacional del Estado Civil, el Consejo Naci</w:t>
      </w:r>
      <w:r w:rsidRPr="00B9678A">
        <w:rPr>
          <w:rFonts w:ascii="Times New Roman" w:hAnsi="Times New Roman"/>
          <w:sz w:val="20"/>
          <w:szCs w:val="20"/>
        </w:rPr>
        <w:t>onal Electoral, los ministerios, los departamentos administrativos, los establecimientos públicos y la Policía Nacional”. En el presupuesto de gastos o ley de apropiaciones debe distinguirse entre gastos de funcionamiento, servicios de la deuda pública y g</w:t>
      </w:r>
      <w:r w:rsidRPr="00B9678A">
        <w:rPr>
          <w:rFonts w:ascii="Times New Roman" w:hAnsi="Times New Roman"/>
          <w:sz w:val="20"/>
          <w:szCs w:val="20"/>
        </w:rPr>
        <w:t xml:space="preserve">astos de inversión; además, conforme al artículo 350 superior, debe incorporar un componente denominado gasto público social. </w:t>
      </w:r>
    </w:p>
  </w:footnote>
  <w:footnote w:id="79">
    <w:p w:rsidR="00B9678A" w:rsidRPr="00B9678A" w:rsidRDefault="00527F3E" w:rsidP="00B9678A">
      <w:pPr>
        <w:pStyle w:val="Prrafodelista"/>
        <w:spacing w:after="0" w:line="240" w:lineRule="auto"/>
        <w:ind w:left="0"/>
        <w:jc w:val="both"/>
        <w:rPr>
          <w:rFonts w:ascii="Times New Roman" w:hAnsi="Times New Roman" w:cs="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cs="Times New Roman"/>
          <w:sz w:val="20"/>
          <w:szCs w:val="20"/>
          <w:lang w:val="es-419"/>
        </w:rPr>
        <w:t xml:space="preserve"> El artículo 14 del Decreto 111 de 1996 dispone que, conforme al principio de anualidad, “el año fiscal comienza el 1 de enero y termina el 31 de diciembre de cada año. Después del 31 de diciembre no podrán asumirse compromisos con cargo a las apropiacione</w:t>
      </w:r>
      <w:r w:rsidRPr="00B9678A">
        <w:rPr>
          <w:rFonts w:ascii="Times New Roman" w:hAnsi="Times New Roman" w:cs="Times New Roman"/>
          <w:sz w:val="20"/>
          <w:szCs w:val="20"/>
          <w:lang w:val="es-419"/>
        </w:rPr>
        <w:t>s del año fiscal que se cierra en esa fecha y los saldos de apropiación no afectados por compromisos caducarán sin excepción”.</w:t>
      </w:r>
    </w:p>
  </w:footnote>
  <w:footnote w:id="80">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color w:val="000000"/>
          <w:sz w:val="20"/>
          <w:szCs w:val="20"/>
        </w:rPr>
        <w:t>En la Sentencia C-546 de 1994 (M.P. Alejandro Martínez Caballero) se expuso este asunto en los siguientes términos: “Finalmente</w:t>
      </w:r>
      <w:r w:rsidRPr="00B9678A">
        <w:rPr>
          <w:rFonts w:ascii="Times New Roman" w:hAnsi="Times New Roman"/>
          <w:color w:val="000000"/>
          <w:sz w:val="20"/>
          <w:szCs w:val="20"/>
        </w:rPr>
        <w:t>, con respecto a la ley anual de presupuesto, esta Corporación ha señalado que tal ley no tiene, en sentido estricto, una función normativa abstracta sino un contenido concreto. En efecto, el papel de esta ley, esencial pero de alcance específico, es el de</w:t>
      </w:r>
      <w:r w:rsidRPr="00B9678A">
        <w:rPr>
          <w:rFonts w:ascii="Times New Roman" w:hAnsi="Times New Roman"/>
          <w:color w:val="000000"/>
          <w:sz w:val="20"/>
          <w:szCs w:val="20"/>
        </w:rPr>
        <w:t xml:space="preserve"> estimar y delimitar los ingresos fiscales y autorizar los gastos públicos para una determinada vigencia fiscal (…)”. En otras oportunidades, incluso fue caracterizada como un acto administrativo condición, con lo cual, por supuesto, se desvanecían las com</w:t>
      </w:r>
      <w:r w:rsidRPr="00B9678A">
        <w:rPr>
          <w:rFonts w:ascii="Times New Roman" w:hAnsi="Times New Roman"/>
          <w:color w:val="000000"/>
          <w:sz w:val="20"/>
          <w:szCs w:val="20"/>
        </w:rPr>
        <w:t>petencias del Congreso en materia presupuestal.</w:t>
      </w:r>
    </w:p>
  </w:footnote>
  <w:footnote w:id="81">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color w:val="000000"/>
          <w:sz w:val="20"/>
          <w:szCs w:val="20"/>
        </w:rPr>
        <w:t>En la Sentencia C-685 de 1996 (M.P. Alejandro Martínez Caballero) se afirmó que: “tal y como esta Corporación ya lo había destacado, el presupuesto es un mecanismo de racionalización de la actividad estatal</w:t>
      </w:r>
      <w:r w:rsidRPr="00B9678A">
        <w:rPr>
          <w:rFonts w:ascii="Times New Roman" w:hAnsi="Times New Roman"/>
          <w:color w:val="000000"/>
          <w:sz w:val="20"/>
          <w:szCs w:val="20"/>
        </w:rPr>
        <w:t>, y en esa medida cumple funciones redistributivas, de política económica, planificación y desarrollo, todo lo cual explica que la Carta ordene que el presupuesto refleje y se encuentre sujeto al plan de desarrollo… Pero el presupuesto es igualmente un ins</w:t>
      </w:r>
      <w:r w:rsidRPr="00B9678A">
        <w:rPr>
          <w:rFonts w:ascii="Times New Roman" w:hAnsi="Times New Roman"/>
          <w:color w:val="000000"/>
          <w:sz w:val="20"/>
          <w:szCs w:val="20"/>
        </w:rPr>
        <w:t>trumento de gobierno y de control en las sociedades democráticas, ya que es una expresión de la separación de poderes y una natural consecuencia del sometimiento del Gobierno a la ley (…)”.</w:t>
      </w:r>
    </w:p>
  </w:footnote>
  <w:footnote w:id="82">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color w:val="000000"/>
          <w:sz w:val="20"/>
          <w:szCs w:val="20"/>
        </w:rPr>
        <w:footnoteRef/>
      </w:r>
      <w:r w:rsidRPr="00B9678A">
        <w:rPr>
          <w:rFonts w:ascii="Times New Roman" w:hAnsi="Times New Roman"/>
          <w:color w:val="000000"/>
          <w:sz w:val="20"/>
          <w:szCs w:val="20"/>
        </w:rPr>
        <w:t xml:space="preserve"> Al respecto ver, entre otras, las sentencias C-1433 de 2000. M.P</w:t>
      </w:r>
      <w:r w:rsidRPr="00B9678A">
        <w:rPr>
          <w:rFonts w:ascii="Times New Roman" w:hAnsi="Times New Roman"/>
          <w:color w:val="000000"/>
          <w:sz w:val="20"/>
          <w:szCs w:val="20"/>
        </w:rPr>
        <w:t>. Antonio Barrera Carbonell. SV. Cristina Pardo Schlesinger. SV. Álvaro Tafur Galvis; C-1064 de 2001. MM.PP. Manuel José Cepeda Espinosa y Jaime Córdoba Triviño. SV. Clara Inés Vargas Hernández, Jaime Araújo Rentería, Alfredo Beltrán Sierra y Rodrigo Escob</w:t>
      </w:r>
      <w:r w:rsidRPr="00B9678A">
        <w:rPr>
          <w:rFonts w:ascii="Times New Roman" w:hAnsi="Times New Roman"/>
          <w:color w:val="000000"/>
          <w:sz w:val="20"/>
          <w:szCs w:val="20"/>
        </w:rPr>
        <w:t>ar Gil. AV. Álvaro Tafur Galvis; C-177 de 2002. M.P. Marco Gerardo Monroy Cabra; C-1124 de 2008. M.P. Rodrigo Escobar Gil. SV. Humberto Antonio Sierra Porto. SV. Jaime Araújo Rentería; y C-006 de 2012. M.P. María Victoria Calle Correa. AV. Mauricio Gonzále</w:t>
      </w:r>
      <w:r w:rsidRPr="00B9678A">
        <w:rPr>
          <w:rFonts w:ascii="Times New Roman" w:hAnsi="Times New Roman"/>
          <w:color w:val="000000"/>
          <w:sz w:val="20"/>
          <w:szCs w:val="20"/>
        </w:rPr>
        <w:t>z Cuervo. SPV. Jorge Ignacio Pretelt Chaljub. SPV. Humberto Antonio Sierra Porto. SPV. Luis Ernesto Vargas Silva.</w:t>
      </w:r>
    </w:p>
  </w:footnote>
  <w:footnote w:id="83">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color w:val="000000"/>
          <w:sz w:val="20"/>
          <w:szCs w:val="20"/>
        </w:rPr>
        <w:footnoteRef/>
      </w:r>
      <w:r w:rsidRPr="00B9678A">
        <w:rPr>
          <w:rFonts w:ascii="Times New Roman" w:hAnsi="Times New Roman"/>
          <w:color w:val="000000"/>
          <w:sz w:val="20"/>
          <w:szCs w:val="20"/>
        </w:rPr>
        <w:t xml:space="preserve"> M.P. María Victoria Calle Correa. AV. Mauricio González Cuervo. SPV. Jorge Ignacio Pretelt Chaljub. SPV. Humberto Antonio Sierra Porto. SPV.</w:t>
      </w:r>
      <w:r w:rsidRPr="00B9678A">
        <w:rPr>
          <w:rFonts w:ascii="Times New Roman" w:hAnsi="Times New Roman"/>
          <w:color w:val="000000"/>
          <w:sz w:val="20"/>
          <w:szCs w:val="20"/>
        </w:rPr>
        <w:t xml:space="preserve"> Luis Ernesto Vargas Silva.</w:t>
      </w:r>
    </w:p>
  </w:footnote>
  <w:footnote w:id="84">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color w:val="000000"/>
          <w:sz w:val="20"/>
          <w:szCs w:val="20"/>
        </w:rPr>
        <w:footnoteRef/>
      </w:r>
      <w:r w:rsidRPr="00B9678A">
        <w:rPr>
          <w:rFonts w:ascii="Times New Roman" w:hAnsi="Times New Roman"/>
          <w:color w:val="000000"/>
          <w:sz w:val="20"/>
          <w:szCs w:val="20"/>
        </w:rPr>
        <w:t xml:space="preserve"> Que se fijó, por ejemplo, en las sentencias C-177 de 2002 y C-1124 de 2008, ya mencionadas, y se adoptó en la misma providencia C-006 de 2012 al adelantar el juicio abstracto sobre las normas demandadas en dicha oportunidad. </w:t>
      </w:r>
    </w:p>
  </w:footnote>
  <w:footnote w:id="85">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sz w:val="20"/>
          <w:szCs w:val="20"/>
          <w:lang w:val="es-419"/>
        </w:rPr>
        <w:t xml:space="preserve">Consideración reiterada en la Sentencia C-153 de 2022, ya mencionada. </w:t>
      </w:r>
    </w:p>
  </w:footnote>
  <w:footnote w:id="86">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color w:val="2D2D2D"/>
          <w:sz w:val="20"/>
          <w:szCs w:val="20"/>
          <w:shd w:val="clear" w:color="auto" w:fill="FFFFFF"/>
        </w:rPr>
        <w:t>Sentencias C-177 de 2002. M.P. Marco Gerardo Monroy Cabra; C-1124 de 2008</w:t>
      </w:r>
      <w:r w:rsidRPr="00B9678A">
        <w:rPr>
          <w:rFonts w:ascii="Times New Roman" w:hAnsi="Times New Roman"/>
          <w:color w:val="000000"/>
          <w:sz w:val="20"/>
          <w:szCs w:val="20"/>
        </w:rPr>
        <w:t xml:space="preserve">. M.P. Rodrigo Escobar Gil. SV. Humberto Antonio Sierra Porto. SV. Jaime Araújo Rentería; C-006 de 2012. </w:t>
      </w:r>
      <w:r w:rsidRPr="00B9678A">
        <w:rPr>
          <w:rFonts w:ascii="Times New Roman" w:hAnsi="Times New Roman"/>
          <w:color w:val="000000"/>
          <w:sz w:val="20"/>
          <w:szCs w:val="20"/>
        </w:rPr>
        <w:t>M.P. María Victoria Calle Correa. AV. Mauricio González Cuervo. SPV. Jorge Ignacio Pretelt Chaljub. SPV. Humberto Antonio Sierra Porto. SPV. Luis Ernesto Vargas Silva;</w:t>
      </w:r>
      <w:r w:rsidRPr="00B9678A">
        <w:rPr>
          <w:rFonts w:ascii="Times New Roman" w:hAnsi="Times New Roman"/>
          <w:color w:val="2D2D2D"/>
          <w:sz w:val="20"/>
          <w:szCs w:val="20"/>
          <w:shd w:val="clear" w:color="auto" w:fill="FFFFFF"/>
        </w:rPr>
        <w:t xml:space="preserve"> y C-704 de 2015. M.P. Luis Ernesto Vargas Silva.</w:t>
      </w:r>
    </w:p>
  </w:footnote>
  <w:footnote w:id="87">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color w:val="2D2D2D"/>
          <w:sz w:val="20"/>
          <w:szCs w:val="20"/>
          <w:shd w:val="clear" w:color="auto" w:fill="FFFFFF"/>
        </w:rPr>
        <w:t xml:space="preserve">Sentencia C-167 de 2021, ya citada, en la que se reitera el criterio fijado en las sentencias C-1124 de 2008. M.P. Rodrigo Escobar Gil; C-052 de 2015. M.P. Jorge Ignacio Pretelt; C-486 de 2016. M.P. María Victoria Calle Correa y C-438 de 2019. M.P. </w:t>
      </w:r>
      <w:r w:rsidRPr="00B9678A">
        <w:rPr>
          <w:rFonts w:ascii="Times New Roman" w:hAnsi="Times New Roman"/>
          <w:sz w:val="20"/>
          <w:szCs w:val="20"/>
          <w:lang w:val="es-419"/>
        </w:rPr>
        <w:t>Cristin</w:t>
      </w:r>
      <w:r w:rsidRPr="00B9678A">
        <w:rPr>
          <w:rFonts w:ascii="Times New Roman" w:hAnsi="Times New Roman"/>
          <w:sz w:val="20"/>
          <w:szCs w:val="20"/>
          <w:lang w:val="es-419"/>
        </w:rPr>
        <w:t>a Pardo Schlesinger.</w:t>
      </w:r>
    </w:p>
  </w:footnote>
  <w:footnote w:id="88">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Se cita la formulación canónica de esta regla jurisprudencial de acuerdo con la síntesis contenida en la </w:t>
      </w:r>
      <w:r w:rsidRPr="00B9678A">
        <w:rPr>
          <w:rFonts w:ascii="Times New Roman" w:hAnsi="Times New Roman"/>
          <w:color w:val="2D2D2D"/>
          <w:sz w:val="20"/>
          <w:szCs w:val="20"/>
          <w:shd w:val="clear" w:color="auto" w:fill="FFFFFF"/>
        </w:rPr>
        <w:t>Sentencia C-704 de 2015. M.P. Luis Ernesto Vargas Silva. Esta misma regla ha sido reiterada en decisiones posteriores, entre ell</w:t>
      </w:r>
      <w:r w:rsidRPr="00B9678A">
        <w:rPr>
          <w:rFonts w:ascii="Times New Roman" w:hAnsi="Times New Roman"/>
          <w:color w:val="2D2D2D"/>
          <w:sz w:val="20"/>
          <w:szCs w:val="20"/>
          <w:shd w:val="clear" w:color="auto" w:fill="FFFFFF"/>
        </w:rPr>
        <w:t xml:space="preserve">as recientemente en la Sentencia </w:t>
      </w:r>
      <w:r w:rsidRPr="00B9678A">
        <w:rPr>
          <w:rFonts w:ascii="Times New Roman" w:hAnsi="Times New Roman"/>
          <w:sz w:val="20"/>
          <w:szCs w:val="20"/>
        </w:rPr>
        <w:t>C-306 de 2022. MM.PP. Jorge Enrique Ibáñez Najar y Cristina Pardo Schlesinger. AV. Antonio José Lizarazo Ocampo. AV. José Fernando Reyes Cuartas.</w:t>
      </w:r>
    </w:p>
  </w:footnote>
  <w:footnote w:id="89">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sz w:val="20"/>
          <w:szCs w:val="20"/>
          <w:lang w:val="es-419"/>
        </w:rPr>
        <w:t>En este párrafo y en el siguiente se retoma y actualiza la síntesis conteni</w:t>
      </w:r>
      <w:r w:rsidRPr="00B9678A">
        <w:rPr>
          <w:rFonts w:ascii="Times New Roman" w:hAnsi="Times New Roman"/>
          <w:sz w:val="20"/>
          <w:szCs w:val="20"/>
          <w:lang w:val="es-419"/>
        </w:rPr>
        <w:t>da en la Sentencia C-006 de 2012, ya citada.</w:t>
      </w:r>
    </w:p>
  </w:footnote>
  <w:footnote w:id="90">
    <w:p w:rsidR="00B9678A" w:rsidRPr="00B9678A" w:rsidRDefault="00527F3E" w:rsidP="00B9678A">
      <w:pPr>
        <w:pStyle w:val="Footnotereferenc1"/>
        <w:jc w:val="both"/>
        <w:rPr>
          <w:rFonts w:ascii="Times New Roman" w:hAnsi="Times New Roman"/>
          <w:sz w:val="20"/>
          <w:szCs w:val="20"/>
        </w:rPr>
      </w:pPr>
      <w:r w:rsidRPr="00B9678A">
        <w:rPr>
          <w:rFonts w:ascii="Times New Roman" w:hAnsi="Times New Roman"/>
          <w:sz w:val="20"/>
          <w:szCs w:val="20"/>
          <w:vertAlign w:val="superscript"/>
        </w:rPr>
        <w:footnoteRef/>
      </w:r>
      <w:r w:rsidRPr="00B9678A">
        <w:rPr>
          <w:rFonts w:ascii="Times New Roman" w:hAnsi="Times New Roman"/>
          <w:sz w:val="20"/>
          <w:szCs w:val="20"/>
        </w:rPr>
        <w:t xml:space="preserve"> M.P. Antonio Barrera Carbonell. En este caso se declaró inexequible una norma que introducía modificaciones de carácter permanente a los derechos salariales y prestacionales de los congresistas, mediante una L</w:t>
      </w:r>
      <w:r w:rsidRPr="00B9678A">
        <w:rPr>
          <w:rFonts w:ascii="Times New Roman" w:hAnsi="Times New Roman"/>
          <w:sz w:val="20"/>
          <w:szCs w:val="20"/>
        </w:rPr>
        <w:t xml:space="preserve">ey que modificaba el presupuesto de rentas y recursos de capital. La Corte consideró que, además de regular una materia distinta y extraña a la que es propia de la ley anual de presupuesto, rebasaba el límite temporal de este tipo de leyes. </w:t>
      </w:r>
    </w:p>
  </w:footnote>
  <w:footnote w:id="91">
    <w:p w:rsidR="00B9678A" w:rsidRPr="00B9678A" w:rsidRDefault="00527F3E" w:rsidP="00B9678A">
      <w:pPr>
        <w:pStyle w:val="Footnotereferenc1"/>
        <w:jc w:val="both"/>
        <w:rPr>
          <w:rFonts w:ascii="Times New Roman" w:hAnsi="Times New Roman"/>
          <w:sz w:val="20"/>
          <w:szCs w:val="20"/>
          <w:lang w:val="es-ES_tradnl"/>
        </w:rPr>
      </w:pPr>
      <w:r w:rsidRPr="00B9678A">
        <w:rPr>
          <w:rFonts w:ascii="Times New Roman" w:hAnsi="Times New Roman"/>
          <w:sz w:val="20"/>
          <w:szCs w:val="20"/>
          <w:vertAlign w:val="superscript"/>
        </w:rPr>
        <w:footnoteRef/>
      </w:r>
      <w:r w:rsidRPr="00B9678A">
        <w:rPr>
          <w:rFonts w:ascii="Times New Roman" w:hAnsi="Times New Roman"/>
          <w:sz w:val="20"/>
          <w:szCs w:val="20"/>
        </w:rPr>
        <w:t xml:space="preserve"> M.P. Marco G</w:t>
      </w:r>
      <w:r w:rsidRPr="00B9678A">
        <w:rPr>
          <w:rFonts w:ascii="Times New Roman" w:hAnsi="Times New Roman"/>
          <w:sz w:val="20"/>
          <w:szCs w:val="20"/>
        </w:rPr>
        <w:t xml:space="preserve">erardo Monroy Cabra. En este caso </w:t>
      </w:r>
      <w:r w:rsidRPr="00B9678A">
        <w:rPr>
          <w:rFonts w:ascii="Times New Roman" w:hAnsi="Times New Roman"/>
          <w:color w:val="000000"/>
          <w:sz w:val="20"/>
          <w:szCs w:val="20"/>
        </w:rPr>
        <w:t xml:space="preserve">la Corte declaró inexequible el inciso segundo del artículo 10 de la Ley 626 de 2002.  Esta norma incluía en la ley de presupuesto una previsión que definía </w:t>
      </w:r>
      <w:r w:rsidRPr="00B9678A">
        <w:rPr>
          <w:rFonts w:ascii="Times New Roman" w:hAnsi="Times New Roman"/>
          <w:sz w:val="20"/>
          <w:szCs w:val="20"/>
        </w:rPr>
        <w:t>la base del cálculo para el ingreso de recursos al presupuesto de</w:t>
      </w:r>
      <w:r w:rsidRPr="00B9678A">
        <w:rPr>
          <w:rFonts w:ascii="Times New Roman" w:hAnsi="Times New Roman"/>
          <w:sz w:val="20"/>
          <w:szCs w:val="20"/>
        </w:rPr>
        <w:t xml:space="preserve"> las universidades públicas.  Esta Corporación consideró que si bien la norma guardaba relación de conexidad temática y sistemática con la ley de presupuesto, por cuanto se orientaba a definir el régimen jurídico de la partida presupuestal apropiada en el </w:t>
      </w:r>
      <w:r w:rsidRPr="00B9678A">
        <w:rPr>
          <w:rFonts w:ascii="Times New Roman" w:hAnsi="Times New Roman"/>
          <w:sz w:val="20"/>
          <w:szCs w:val="20"/>
        </w:rPr>
        <w:t>primer inciso del artículo del que forma parte, se infringía el principio de unidad de materia debido a que modificaba una norma de carácter permanente, como es la Ley 30 de 1992, en lo relativo a la financiación de las universidades del Estado; además sup</w:t>
      </w:r>
      <w:r w:rsidRPr="00B9678A">
        <w:rPr>
          <w:rFonts w:ascii="Times New Roman" w:hAnsi="Times New Roman"/>
          <w:sz w:val="20"/>
          <w:szCs w:val="20"/>
        </w:rPr>
        <w:t xml:space="preserve">eraba los límites temporales propios de la ley de presupuesto, pues su alcance en el tiempo se proyectaba </w:t>
      </w:r>
      <w:r w:rsidRPr="00B9678A">
        <w:rPr>
          <w:rFonts w:ascii="Times New Roman" w:hAnsi="Times New Roman"/>
          <w:sz w:val="20"/>
          <w:szCs w:val="20"/>
          <w:lang w:val="es-ES_tradnl"/>
        </w:rPr>
        <w:t>más allá de la vigencia presupuestal del año 2000.</w:t>
      </w:r>
    </w:p>
  </w:footnote>
  <w:footnote w:id="92">
    <w:p w:rsidR="00B9678A" w:rsidRPr="00B9678A" w:rsidRDefault="00527F3E" w:rsidP="005F6E58">
      <w:pPr>
        <w:spacing w:after="0" w:line="240" w:lineRule="auto"/>
        <w:jc w:val="both"/>
        <w:rPr>
          <w:rFonts w:ascii="Times New Roman" w:hAnsi="Times New Roman" w:cs="Times New Roman"/>
          <w:color w:val="000000"/>
          <w:sz w:val="20"/>
          <w:szCs w:val="20"/>
          <w:lang w:val="es-419"/>
        </w:rPr>
      </w:pPr>
      <w:r w:rsidRPr="00B9678A">
        <w:rPr>
          <w:rStyle w:val="Refdenotaalpie"/>
          <w:rFonts w:ascii="Times New Roman" w:hAnsi="Times New Roman"/>
          <w:sz w:val="20"/>
          <w:szCs w:val="20"/>
        </w:rPr>
        <w:footnoteRef/>
      </w:r>
      <w:r w:rsidRPr="00B9678A">
        <w:rPr>
          <w:rFonts w:ascii="Times New Roman" w:hAnsi="Times New Roman" w:cs="Times New Roman"/>
          <w:sz w:val="20"/>
          <w:szCs w:val="20"/>
          <w:lang w:val="es-419"/>
        </w:rPr>
        <w:t xml:space="preserve"> M.P. Luis Ernesto Vargas Silva. Unánime. Esta sentencia declaró inexequible el artículo 123 de la Ley 1737 de 2014 (ley de presupuesto para la vigencia fiscal de 2015) </w:t>
      </w:r>
      <w:r w:rsidRPr="00B9678A">
        <w:rPr>
          <w:rFonts w:ascii="Times New Roman" w:hAnsi="Times New Roman" w:cs="Times New Roman"/>
          <w:color w:val="000000"/>
          <w:sz w:val="20"/>
          <w:szCs w:val="20"/>
          <w:lang w:val="es-419"/>
        </w:rPr>
        <w:t>que imponía a las entidades del Estado el deber de contratar la prestación de determina</w:t>
      </w:r>
      <w:r w:rsidRPr="00B9678A">
        <w:rPr>
          <w:rFonts w:ascii="Times New Roman" w:hAnsi="Times New Roman" w:cs="Times New Roman"/>
          <w:color w:val="000000"/>
          <w:sz w:val="20"/>
          <w:szCs w:val="20"/>
          <w:lang w:val="es-419"/>
        </w:rPr>
        <w:t>dos servicios técnicos con el Instituto Geográfico Agustín Codazzi. La Corte consideró que aunque, en gracia de discusión, era posible inferir razonablemente un vínculo de la norma con la materia presupuestal, en tanto permitía aumentar los recursos del IG</w:t>
      </w:r>
      <w:r w:rsidRPr="00B9678A">
        <w:rPr>
          <w:rFonts w:ascii="Times New Roman" w:hAnsi="Times New Roman" w:cs="Times New Roman"/>
          <w:color w:val="000000"/>
          <w:sz w:val="20"/>
          <w:szCs w:val="20"/>
          <w:lang w:val="es-419"/>
        </w:rPr>
        <w:t xml:space="preserve">AC, a través de esta norma se establecía una modificación sustantiva de carácter permanente de normas relativas a la contratación pública, por lo que incumplía el criterio de temporalidad. </w:t>
      </w:r>
    </w:p>
  </w:footnote>
  <w:footnote w:id="93">
    <w:p w:rsidR="00B9678A" w:rsidRPr="00B9678A" w:rsidRDefault="00527F3E" w:rsidP="00656A25">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sz w:val="20"/>
          <w:szCs w:val="20"/>
          <w:lang w:val="es-419"/>
        </w:rPr>
        <w:t>M.P. Cristina Pardo Schlesinger. En esta sentencia se declaran i</w:t>
      </w:r>
      <w:r w:rsidRPr="00B9678A">
        <w:rPr>
          <w:rFonts w:ascii="Times New Roman" w:hAnsi="Times New Roman"/>
          <w:sz w:val="20"/>
          <w:szCs w:val="20"/>
          <w:lang w:val="es-419"/>
        </w:rPr>
        <w:t>nexequibles los artículos 134, 148 y 151 de la Ley 1940 de 2018 (ley de presupuesto para la vigencia fiscal de 2019). Dichas normas modificaban las f</w:t>
      </w:r>
      <w:r w:rsidRPr="00B9678A">
        <w:rPr>
          <w:rFonts w:ascii="Times New Roman" w:hAnsi="Times New Roman"/>
          <w:color w:val="000000"/>
          <w:sz w:val="20"/>
          <w:szCs w:val="20"/>
        </w:rPr>
        <w:t>ormas de destinación y de liquidación de base gravable de ciertos tributos y adicionaban un nuevo tipo de l</w:t>
      </w:r>
      <w:r w:rsidRPr="00B9678A">
        <w:rPr>
          <w:rFonts w:ascii="Times New Roman" w:hAnsi="Times New Roman"/>
          <w:color w:val="000000"/>
          <w:sz w:val="20"/>
          <w:szCs w:val="20"/>
        </w:rPr>
        <w:t>icencia sobre las que se fijan tarifas sobre derechos de tránsito. La Corte consideró que tales disposiciones buscaban complementar normas de carácter permanente y, con ello, excedían el carácter temporal de las leyes de presupuesto. En esta sentencia se d</w:t>
      </w:r>
      <w:r w:rsidRPr="00B9678A">
        <w:rPr>
          <w:rFonts w:ascii="Times New Roman" w:hAnsi="Times New Roman"/>
          <w:color w:val="000000"/>
          <w:sz w:val="20"/>
          <w:szCs w:val="20"/>
        </w:rPr>
        <w:t>eclaró exequible el artículo 122 de la misma ley por considerar que contenía una norma de carácter transitorio y satisfacía el criterio de conexidad temática.</w:t>
      </w:r>
    </w:p>
  </w:footnote>
  <w:footnote w:id="94">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M.P. Jorge Enrique Ibáñez Najar. AV. Diana Fajardo Rivera. En esta sentencia se declaró inexequ</w:t>
      </w:r>
      <w:r w:rsidRPr="00B9678A">
        <w:rPr>
          <w:rFonts w:ascii="Times New Roman" w:hAnsi="Times New Roman"/>
          <w:sz w:val="20"/>
          <w:szCs w:val="20"/>
        </w:rPr>
        <w:t xml:space="preserve">ible una norma contenida en la Ley 2008 de 2019 (ley de presupuesto para la vigencia fiscal de 2020) que </w:t>
      </w:r>
      <w:r w:rsidRPr="00B9678A">
        <w:rPr>
          <w:rFonts w:ascii="Times New Roman" w:hAnsi="Times New Roman"/>
          <w:color w:val="000000"/>
          <w:sz w:val="20"/>
          <w:szCs w:val="20"/>
        </w:rPr>
        <w:t>modificaba el régimen portuario previsto en la Ley 1 de 1991, al autorizar a puertos privados para prestar servicios a terceros a cambio de una contrap</w:t>
      </w:r>
      <w:r w:rsidRPr="00B9678A">
        <w:rPr>
          <w:rFonts w:ascii="Times New Roman" w:hAnsi="Times New Roman"/>
          <w:color w:val="000000"/>
          <w:sz w:val="20"/>
          <w:szCs w:val="20"/>
        </w:rPr>
        <w:t>restación que, aunque determinada a favor de la Nación, se integraría al presupuesto de la Agencia Nacional de Infraestructura como un recurso propio. La Corte consideró que la norma no guardaba un vínculo con la ejecución del presupuesto, modificaba de ma</w:t>
      </w:r>
      <w:r w:rsidRPr="00B9678A">
        <w:rPr>
          <w:rFonts w:ascii="Times New Roman" w:hAnsi="Times New Roman"/>
          <w:color w:val="000000"/>
          <w:sz w:val="20"/>
          <w:szCs w:val="20"/>
        </w:rPr>
        <w:t>nera permanente una materia sustantiva y, con ello, excedía el límite temporal propio de la ley anual de presupuesto.</w:t>
      </w:r>
    </w:p>
  </w:footnote>
  <w:footnote w:id="95">
    <w:p w:rsidR="00B9678A" w:rsidRPr="00B9678A" w:rsidRDefault="00527F3E" w:rsidP="00B9678A">
      <w:pPr>
        <w:pStyle w:val="Footnotereferenc1"/>
        <w:jc w:val="both"/>
        <w:rPr>
          <w:rFonts w:ascii="Times New Roman" w:hAnsi="Times New Roman"/>
          <w:sz w:val="20"/>
          <w:szCs w:val="20"/>
        </w:rPr>
      </w:pPr>
      <w:r w:rsidRPr="00B9678A">
        <w:rPr>
          <w:rFonts w:ascii="Times New Roman" w:hAnsi="Times New Roman"/>
          <w:sz w:val="20"/>
          <w:szCs w:val="20"/>
          <w:vertAlign w:val="superscript"/>
        </w:rPr>
        <w:footnoteRef/>
      </w:r>
      <w:r w:rsidRPr="00B9678A">
        <w:rPr>
          <w:rFonts w:ascii="Times New Roman" w:hAnsi="Times New Roman"/>
          <w:sz w:val="20"/>
          <w:szCs w:val="20"/>
        </w:rPr>
        <w:t>M.P- Rodrigo Escobar Gil. En este caso se declaró inexequible un aparte del artículo 11 de la Ley 779 de 2002 por la cual se asignaba una</w:t>
      </w:r>
      <w:r w:rsidRPr="00B9678A">
        <w:rPr>
          <w:rFonts w:ascii="Times New Roman" w:hAnsi="Times New Roman"/>
          <w:sz w:val="20"/>
          <w:szCs w:val="20"/>
        </w:rPr>
        <w:t xml:space="preserve"> competencia permanente a la Comisión Legal de Cuentas de la Cámara de Representantes para ejercer la vigilancia fiscal de la Auditoría General de la República.</w:t>
      </w:r>
    </w:p>
  </w:footnote>
  <w:footnote w:id="96">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M.P. Alejandro Martínez Caballero. Esta sentencia declaró inexequible el inciso 2º del artícu</w:t>
      </w:r>
      <w:r w:rsidRPr="00B9678A">
        <w:rPr>
          <w:rFonts w:ascii="Times New Roman" w:hAnsi="Times New Roman"/>
          <w:sz w:val="20"/>
          <w:szCs w:val="20"/>
        </w:rPr>
        <w:t>lo 40 de la Ley 331 de 1996 (ley anual de presupuesto para la vigencia fiscal 1997), que establecía la posibilidad de sancionar fiscalmente a los jueces que ordenaran el embargo de rentas y recursos incorporados al presupuesto general de la Nación. La Cort</w:t>
      </w:r>
      <w:r w:rsidRPr="00B9678A">
        <w:rPr>
          <w:rFonts w:ascii="Times New Roman" w:hAnsi="Times New Roman"/>
          <w:sz w:val="20"/>
          <w:szCs w:val="20"/>
        </w:rPr>
        <w:t xml:space="preserve">e consideró que esta norma tenía un sentido normativo propio y no instrumental, por lo que desbordaba el campo estrictamente presupuestal. Entretanto, declaró la exequibilidad condicionada del inciso primero del artículo acusado. </w:t>
      </w:r>
    </w:p>
  </w:footnote>
  <w:footnote w:id="97">
    <w:p w:rsidR="00B9678A" w:rsidRPr="00B9678A" w:rsidRDefault="00527F3E" w:rsidP="00B9678A">
      <w:pPr>
        <w:pStyle w:val="Footnotereferenc1"/>
        <w:jc w:val="both"/>
        <w:rPr>
          <w:rFonts w:ascii="Times New Roman" w:hAnsi="Times New Roman"/>
          <w:sz w:val="20"/>
          <w:szCs w:val="20"/>
        </w:rPr>
      </w:pPr>
      <w:r w:rsidRPr="00B9678A">
        <w:rPr>
          <w:rFonts w:ascii="Times New Roman" w:hAnsi="Times New Roman"/>
          <w:sz w:val="20"/>
          <w:szCs w:val="20"/>
          <w:vertAlign w:val="superscript"/>
        </w:rPr>
        <w:footnoteRef/>
      </w:r>
      <w:r w:rsidRPr="00B9678A">
        <w:rPr>
          <w:rFonts w:ascii="Times New Roman" w:hAnsi="Times New Roman"/>
          <w:sz w:val="20"/>
          <w:szCs w:val="20"/>
        </w:rPr>
        <w:t xml:space="preserve"> M.P Alfredo Beltrán Sie</w:t>
      </w:r>
      <w:r w:rsidRPr="00B9678A">
        <w:rPr>
          <w:rFonts w:ascii="Times New Roman" w:hAnsi="Times New Roman"/>
          <w:sz w:val="20"/>
          <w:szCs w:val="20"/>
        </w:rPr>
        <w:t xml:space="preserve">rra. En este caso se resolvió declarar inexequible el artículo 79 de la Ley 998 de 2005 por considerar que prorrogaba la </w:t>
      </w:r>
      <w:r w:rsidRPr="00B9678A">
        <w:rPr>
          <w:rFonts w:ascii="Times New Roman" w:hAnsi="Times New Roman"/>
          <w:sz w:val="20"/>
          <w:szCs w:val="20"/>
          <w:lang w:val="es-ES_tradnl"/>
        </w:rPr>
        <w:t xml:space="preserve">vigencia de normas referidas a la </w:t>
      </w:r>
      <w:r w:rsidRPr="00B9678A">
        <w:rPr>
          <w:rFonts w:ascii="Times New Roman" w:hAnsi="Times New Roman"/>
          <w:color w:val="000000"/>
          <w:sz w:val="20"/>
          <w:szCs w:val="20"/>
        </w:rPr>
        <w:t>depuración y saneamiento de información contable en el sector público. La Corte concluyo que la norma</w:t>
      </w:r>
      <w:r w:rsidRPr="00B9678A">
        <w:rPr>
          <w:rFonts w:ascii="Times New Roman" w:hAnsi="Times New Roman"/>
          <w:color w:val="000000"/>
          <w:sz w:val="20"/>
          <w:szCs w:val="20"/>
        </w:rPr>
        <w:t xml:space="preserve"> prorrogada tenía un contenido normativo propio y su naturaleza era </w:t>
      </w:r>
      <w:r w:rsidRPr="00B9678A">
        <w:rPr>
          <w:rFonts w:ascii="Times New Roman" w:hAnsi="Times New Roman"/>
          <w:sz w:val="20"/>
          <w:szCs w:val="20"/>
          <w:lang w:val="es-ES_tradnl"/>
        </w:rPr>
        <w:t>extraña a la ley anual del presupuesto, pues no contenía herramientas necesarias para la ejecución del presupuesto aprobado, ni estaban destinadas a permitir la correcta ejecución del pres</w:t>
      </w:r>
      <w:r w:rsidRPr="00B9678A">
        <w:rPr>
          <w:rFonts w:ascii="Times New Roman" w:hAnsi="Times New Roman"/>
          <w:sz w:val="20"/>
          <w:szCs w:val="20"/>
          <w:lang w:val="es-ES_tradnl"/>
        </w:rPr>
        <w:t xml:space="preserve">upuesto en la respectiva vigencia fiscal. </w:t>
      </w:r>
    </w:p>
  </w:footnote>
  <w:footnote w:id="98">
    <w:p w:rsidR="00B9678A" w:rsidRPr="00B9678A" w:rsidRDefault="00527F3E" w:rsidP="00B9678A">
      <w:pPr>
        <w:pStyle w:val="Footnotereferenc1"/>
        <w:jc w:val="both"/>
        <w:rPr>
          <w:rFonts w:ascii="Times New Roman" w:hAnsi="Times New Roman"/>
          <w:sz w:val="20"/>
          <w:szCs w:val="20"/>
        </w:rPr>
      </w:pPr>
      <w:r w:rsidRPr="00B9678A">
        <w:rPr>
          <w:rFonts w:ascii="Times New Roman" w:hAnsi="Times New Roman"/>
          <w:sz w:val="20"/>
          <w:szCs w:val="20"/>
          <w:vertAlign w:val="superscript"/>
        </w:rPr>
        <w:footnoteRef/>
      </w:r>
      <w:r w:rsidRPr="00B9678A">
        <w:rPr>
          <w:rFonts w:ascii="Times New Roman" w:hAnsi="Times New Roman"/>
          <w:sz w:val="20"/>
          <w:szCs w:val="20"/>
        </w:rPr>
        <w:t xml:space="preserve"> M.P. Jaime Araujo Rentería. En este caso la Corte declaró inexequible una norma incluida en la ley de presupuesto para la vigencia fiscal de 2006 que establecía que: “</w:t>
      </w:r>
      <w:r w:rsidRPr="00B9678A">
        <w:rPr>
          <w:rFonts w:ascii="Times New Roman" w:hAnsi="Times New Roman"/>
          <w:sz w:val="20"/>
          <w:szCs w:val="20"/>
          <w:lang w:val="es-419"/>
        </w:rPr>
        <w:t>[p]</w:t>
      </w:r>
      <w:r w:rsidRPr="00B9678A">
        <w:rPr>
          <w:rFonts w:ascii="Times New Roman" w:hAnsi="Times New Roman"/>
          <w:sz w:val="20"/>
          <w:szCs w:val="20"/>
          <w:lang w:val="es-CO"/>
        </w:rPr>
        <w:t>ara todos los efectos prestacionales y de</w:t>
      </w:r>
      <w:r w:rsidRPr="00B9678A">
        <w:rPr>
          <w:rFonts w:ascii="Times New Roman" w:hAnsi="Times New Roman"/>
          <w:sz w:val="20"/>
          <w:szCs w:val="20"/>
          <w:lang w:val="es-CO"/>
        </w:rPr>
        <w:t xml:space="preserve"> bonificaciones los Secretarios Generales, Subsecretarios Generales y de Comisión del Congreso de la República, tendrán los mismos derechos y garantías que los altos funcionarios</w:t>
      </w:r>
      <w:r w:rsidRPr="00B9678A">
        <w:rPr>
          <w:rFonts w:ascii="Times New Roman" w:hAnsi="Times New Roman"/>
          <w:color w:val="000000"/>
          <w:sz w:val="20"/>
          <w:szCs w:val="20"/>
          <w:lang w:val="es-CO"/>
        </w:rPr>
        <w:t xml:space="preserve"> </w:t>
      </w:r>
      <w:r w:rsidRPr="00B9678A">
        <w:rPr>
          <w:rFonts w:ascii="Times New Roman" w:hAnsi="Times New Roman"/>
          <w:sz w:val="20"/>
          <w:szCs w:val="20"/>
          <w:lang w:val="es-CO"/>
        </w:rPr>
        <w:t>del Estado”</w:t>
      </w:r>
      <w:r w:rsidRPr="00B9678A">
        <w:rPr>
          <w:rFonts w:ascii="Times New Roman" w:hAnsi="Times New Roman"/>
          <w:color w:val="000000"/>
          <w:sz w:val="20"/>
          <w:szCs w:val="20"/>
          <w:lang w:val="es-CO"/>
        </w:rPr>
        <w:t>.</w:t>
      </w:r>
    </w:p>
  </w:footnote>
  <w:footnote w:id="99">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M.P. Alfredo Beltrán Sierra. Unánime. En esta sentencia la Corte declaró inexequible el artículo 52 de la Ley 413 de 1997 (ley de presupuesto para la vigencia fiscal de 2008) por el cual se disponía la </w:t>
      </w:r>
      <w:bookmarkStart w:id="6" w:name="_Hlk163809612"/>
      <w:r w:rsidRPr="00B9678A">
        <w:rPr>
          <w:rFonts w:ascii="Times New Roman" w:hAnsi="Times New Roman"/>
          <w:color w:val="000000"/>
          <w:sz w:val="20"/>
          <w:szCs w:val="20"/>
        </w:rPr>
        <w:t>creación del Fondo de Seguridad del Congreso de la Re</w:t>
      </w:r>
      <w:r w:rsidRPr="00B9678A">
        <w:rPr>
          <w:rFonts w:ascii="Times New Roman" w:hAnsi="Times New Roman"/>
          <w:color w:val="000000"/>
          <w:sz w:val="20"/>
          <w:szCs w:val="20"/>
        </w:rPr>
        <w:t>pública</w:t>
      </w:r>
      <w:bookmarkEnd w:id="6"/>
      <w:r w:rsidRPr="00B9678A">
        <w:rPr>
          <w:rFonts w:ascii="Times New Roman" w:hAnsi="Times New Roman"/>
          <w:color w:val="000000"/>
          <w:sz w:val="20"/>
          <w:szCs w:val="20"/>
        </w:rPr>
        <w:t>, como una cuenta dentro del presupuesto del Congreso, con fin y destinación específica para el año 1998. La Corte consideró que, además de no existir ley preexistente que autorizara esta erogación presupuestal, tal medida no se orientaba a facilita</w:t>
      </w:r>
      <w:r w:rsidRPr="00B9678A">
        <w:rPr>
          <w:rFonts w:ascii="Times New Roman" w:hAnsi="Times New Roman"/>
          <w:color w:val="000000"/>
          <w:sz w:val="20"/>
          <w:szCs w:val="20"/>
        </w:rPr>
        <w:t xml:space="preserve">r, permitir y asegurar la correcta ejecución del presupuesto. </w:t>
      </w:r>
    </w:p>
  </w:footnote>
  <w:footnote w:id="100">
    <w:p w:rsidR="00B9678A" w:rsidRPr="00B9678A" w:rsidRDefault="00527F3E" w:rsidP="00B9678A">
      <w:pPr>
        <w:pStyle w:val="Footnotereferenc1"/>
        <w:jc w:val="both"/>
        <w:rPr>
          <w:rFonts w:ascii="Times New Roman" w:hAnsi="Times New Roman"/>
          <w:sz w:val="20"/>
          <w:szCs w:val="20"/>
        </w:rPr>
      </w:pPr>
      <w:r w:rsidRPr="00B9678A">
        <w:rPr>
          <w:rFonts w:ascii="Times New Roman" w:hAnsi="Times New Roman"/>
          <w:sz w:val="20"/>
          <w:szCs w:val="20"/>
          <w:vertAlign w:val="superscript"/>
        </w:rPr>
        <w:footnoteRef/>
      </w:r>
      <w:r w:rsidRPr="00B9678A">
        <w:rPr>
          <w:rFonts w:ascii="Times New Roman" w:hAnsi="Times New Roman"/>
          <w:sz w:val="20"/>
          <w:szCs w:val="20"/>
        </w:rPr>
        <w:t xml:space="preserve"> M.P. Manuel José Cepeda Espinosa. En esta sentencia se declaró inexequible una norma incluida en la Ley 844 de 2003 (modificatoria de la ley anual de presupuesto para la vigencia fiscal de 20</w:t>
      </w:r>
      <w:r w:rsidRPr="00B9678A">
        <w:rPr>
          <w:rFonts w:ascii="Times New Roman" w:hAnsi="Times New Roman"/>
          <w:sz w:val="20"/>
          <w:szCs w:val="20"/>
        </w:rPr>
        <w:t xml:space="preserve">03) que regulaba asuntos relativos a la reposición de gastos electorales, por considerar que infringía la reserva de ley estatutaria. </w:t>
      </w:r>
    </w:p>
  </w:footnote>
  <w:footnote w:id="101">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M.P. Diana Fajardo Rivera. SPV. Cristina Pardo Schlesinger. AV y SPV Diana Fajardo Rivera. SPV y AV. Jorge Enrique Ibáñ</w:t>
      </w:r>
      <w:r w:rsidRPr="00B9678A">
        <w:rPr>
          <w:rFonts w:ascii="Times New Roman" w:hAnsi="Times New Roman"/>
          <w:sz w:val="20"/>
          <w:szCs w:val="20"/>
        </w:rPr>
        <w:t xml:space="preserve">ez Najar. AV y SPV. Alejandro Linares Cantillo. SPV y AV. Antonio José Lizarazo Ocampo. AV. José Fernando Reyes Cuartas. En esta sentencia se declaró inexequible el </w:t>
      </w:r>
      <w:r w:rsidRPr="00B9678A">
        <w:rPr>
          <w:rFonts w:ascii="Times New Roman" w:hAnsi="Times New Roman"/>
          <w:color w:val="000000"/>
          <w:sz w:val="20"/>
          <w:szCs w:val="20"/>
        </w:rPr>
        <w:t>artículo 124 de la Ley 2159 de 2021 (ley anual de presupuesto para la vigencia fiscal 2022)</w:t>
      </w:r>
      <w:r w:rsidRPr="00B9678A">
        <w:rPr>
          <w:rFonts w:ascii="Times New Roman" w:hAnsi="Times New Roman"/>
          <w:color w:val="000000"/>
          <w:sz w:val="20"/>
          <w:szCs w:val="20"/>
        </w:rPr>
        <w:t>, que modificaba transitoriamente la prohibición de celebrar convenios interadministrativos en época preelectoral contenida en la Ley Estatutaria 996 de 2005 (Ley de Garantías Electorales). La Corte consideró que, además de desconocer la reserva de ley est</w:t>
      </w:r>
      <w:r w:rsidRPr="00B9678A">
        <w:rPr>
          <w:rFonts w:ascii="Times New Roman" w:hAnsi="Times New Roman"/>
          <w:color w:val="000000"/>
          <w:sz w:val="20"/>
          <w:szCs w:val="20"/>
        </w:rPr>
        <w:t xml:space="preserve">atutaria, la norma no satisfizo ninguno de los criterios de análisis del principio de unidad de materia, pues carecía del sentido instrumental que deben tener las disposiciones generales incluidas en las leyes de presupuesto; además, incumplía el criterio </w:t>
      </w:r>
      <w:r w:rsidRPr="00B9678A">
        <w:rPr>
          <w:rFonts w:ascii="Times New Roman" w:hAnsi="Times New Roman"/>
          <w:color w:val="000000"/>
          <w:sz w:val="20"/>
          <w:szCs w:val="20"/>
        </w:rPr>
        <w:t xml:space="preserve">de temporalidad, pues el artículo indicó sin justificación que se aplicaría desde su publicación (12 de noviembre de 2021) y durante la vigencia 2022, por lo que cobijó parte de la vigencia 2021. </w:t>
      </w:r>
    </w:p>
  </w:footnote>
  <w:footnote w:id="102">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lang w:val="es-419"/>
        </w:rPr>
        <w:t xml:space="preserve"> M.P. Jorge Ignacio Pretelt Chaljub. AV. Jorge Ignacio Pre</w:t>
      </w:r>
      <w:r w:rsidRPr="00B9678A">
        <w:rPr>
          <w:rFonts w:ascii="Times New Roman" w:hAnsi="Times New Roman"/>
          <w:sz w:val="20"/>
          <w:szCs w:val="20"/>
          <w:lang w:val="es-419"/>
        </w:rPr>
        <w:t xml:space="preserve">telt Chaljub. AV. María Victoria Calle Correa. AV. Luis Guillermo Guerrero Pérez. AV. Gabriel Eduardo Mendoza Martelo. AV. Martha Victoria Sáchica Méndez (E). AV. Luis Ernesto Vargas Silva. </w:t>
      </w:r>
    </w:p>
  </w:footnote>
  <w:footnote w:id="103">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M.P. Mauricio González Cuervo. </w:t>
      </w:r>
    </w:p>
  </w:footnote>
  <w:footnote w:id="104">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M.P. María Victoria Calle Cor</w:t>
      </w:r>
      <w:r w:rsidRPr="00B9678A">
        <w:rPr>
          <w:rFonts w:ascii="Times New Roman" w:hAnsi="Times New Roman"/>
          <w:sz w:val="20"/>
          <w:szCs w:val="20"/>
        </w:rPr>
        <w:t>rea. AV. Aquiles Arrieta Gómez (E). SV. Luis Guillermo Guerrero Pérez. SV. Alejandro Linares Cantillo. SPV. Gabriel Eduardo Mendoza Martelo. AV. Gloria Stella Ortiz Delgado.</w:t>
      </w:r>
    </w:p>
  </w:footnote>
  <w:footnote w:id="105">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M.P. Jorge Enrique Ibáñez Najar. </w:t>
      </w:r>
      <w:r w:rsidRPr="00B9678A">
        <w:rPr>
          <w:rFonts w:ascii="Times New Roman" w:hAnsi="Times New Roman"/>
          <w:color w:val="000000"/>
          <w:sz w:val="20"/>
          <w:szCs w:val="20"/>
        </w:rPr>
        <w:t>AV. Alejandro Linares Cantillo</w:t>
      </w:r>
      <w:r w:rsidRPr="00B9678A">
        <w:rPr>
          <w:rFonts w:ascii="Times New Roman" w:hAnsi="Times New Roman"/>
          <w:sz w:val="20"/>
          <w:szCs w:val="20"/>
          <w:lang w:val="es-419"/>
        </w:rPr>
        <w:t>.</w:t>
      </w:r>
    </w:p>
  </w:footnote>
  <w:footnote w:id="106">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MM.PP. Jorge </w:t>
      </w:r>
      <w:r w:rsidRPr="00B9678A">
        <w:rPr>
          <w:rFonts w:ascii="Times New Roman" w:hAnsi="Times New Roman"/>
          <w:sz w:val="20"/>
          <w:szCs w:val="20"/>
        </w:rPr>
        <w:t xml:space="preserve">Enrique Ibáñez Najar y Cristina Pardo Schlesinger. AV. Antonio José Lizarazo Ocampo. AV. José Fernando Reyes Cuartas. En esta sentencia se declaró </w:t>
      </w:r>
      <w:r w:rsidRPr="00B9678A">
        <w:rPr>
          <w:rFonts w:ascii="Times New Roman" w:hAnsi="Times New Roman"/>
          <w:color w:val="000000"/>
          <w:sz w:val="20"/>
          <w:szCs w:val="20"/>
        </w:rPr>
        <w:t>a inexequibilidad del artículo 132 de la Ley 2159 de 2021 (ley de presupuesto para la vigencia 2022), que det</w:t>
      </w:r>
      <w:r w:rsidRPr="00B9678A">
        <w:rPr>
          <w:rFonts w:ascii="Times New Roman" w:hAnsi="Times New Roman"/>
          <w:color w:val="000000"/>
          <w:sz w:val="20"/>
          <w:szCs w:val="20"/>
        </w:rPr>
        <w:t xml:space="preserve">erminaba que, durante la vigencia 2022, se flexibilizarían los requisitos para el reconocimiento de personería jurídica a las cajas de compensación familiar. </w:t>
      </w:r>
    </w:p>
  </w:footnote>
  <w:footnote w:id="107">
    <w:p w:rsidR="00B9678A" w:rsidRPr="00B9678A" w:rsidRDefault="00527F3E" w:rsidP="00B9678A">
      <w:pPr>
        <w:pStyle w:val="Footnotereferenc1"/>
        <w:jc w:val="both"/>
        <w:rPr>
          <w:rFonts w:ascii="Times New Roman" w:hAnsi="Times New Roman"/>
          <w:sz w:val="20"/>
          <w:szCs w:val="20"/>
        </w:rPr>
      </w:pPr>
      <w:r w:rsidRPr="00B9678A">
        <w:rPr>
          <w:rFonts w:ascii="Times New Roman" w:hAnsi="Times New Roman"/>
          <w:sz w:val="20"/>
          <w:szCs w:val="20"/>
          <w:vertAlign w:val="superscript"/>
        </w:rPr>
        <w:footnoteRef/>
      </w:r>
      <w:r w:rsidRPr="00B9678A">
        <w:rPr>
          <w:rFonts w:ascii="Times New Roman" w:hAnsi="Times New Roman"/>
          <w:sz w:val="20"/>
          <w:szCs w:val="20"/>
        </w:rPr>
        <w:t xml:space="preserve"> M.P. Alejandro Martínez Caballero. La Corte estimó que el inciso 1º del artículo 40 de la Ley 3</w:t>
      </w:r>
      <w:r w:rsidRPr="00B9678A">
        <w:rPr>
          <w:rFonts w:ascii="Times New Roman" w:hAnsi="Times New Roman"/>
          <w:sz w:val="20"/>
          <w:szCs w:val="20"/>
        </w:rPr>
        <w:t xml:space="preserve">31 de 1997 (ley de presupuesto para la vigencia fiscal 1997) podía ser considerado una norma instrumental, en tanto se limitaba a desarrollar un mecanismo para hacer efectivo el principio de inembargabilidad del presupuesto. </w:t>
      </w:r>
    </w:p>
  </w:footnote>
  <w:footnote w:id="108">
    <w:p w:rsidR="00B9678A" w:rsidRPr="00B9678A" w:rsidRDefault="00527F3E" w:rsidP="00B9678A">
      <w:pPr>
        <w:pStyle w:val="Footnotereferenc1"/>
        <w:jc w:val="both"/>
        <w:rPr>
          <w:rFonts w:ascii="Times New Roman" w:hAnsi="Times New Roman"/>
          <w:sz w:val="20"/>
          <w:szCs w:val="20"/>
        </w:rPr>
      </w:pPr>
      <w:r w:rsidRPr="00B9678A">
        <w:rPr>
          <w:rFonts w:ascii="Times New Roman" w:hAnsi="Times New Roman"/>
          <w:sz w:val="20"/>
          <w:szCs w:val="20"/>
          <w:vertAlign w:val="superscript"/>
        </w:rPr>
        <w:footnoteRef/>
      </w:r>
      <w:r w:rsidRPr="00B9678A">
        <w:rPr>
          <w:rFonts w:ascii="Times New Roman" w:hAnsi="Times New Roman"/>
          <w:sz w:val="20"/>
          <w:szCs w:val="20"/>
        </w:rPr>
        <w:t xml:space="preserve"> M.P. Fabio Morón Díaz. AV. J</w:t>
      </w:r>
      <w:r w:rsidRPr="00B9678A">
        <w:rPr>
          <w:rFonts w:ascii="Times New Roman" w:hAnsi="Times New Roman"/>
          <w:sz w:val="20"/>
          <w:szCs w:val="20"/>
        </w:rPr>
        <w:t xml:space="preserve">osé Gregorio Hernández Galindo, Carlos Gaviria Díaz y Alejandro Martínez Caballero. La Corte consideró que la norma acusada tenía una </w:t>
      </w:r>
      <w:r w:rsidRPr="00B9678A">
        <w:rPr>
          <w:rFonts w:ascii="Times New Roman" w:hAnsi="Times New Roman"/>
          <w:sz w:val="20"/>
          <w:szCs w:val="20"/>
          <w:lang w:val="es-ES_tradnl"/>
        </w:rPr>
        <w:t>clara relación de causalidad con la materia presupuestal, en tanto se orienta al propósito de racionalizar los gastos de f</w:t>
      </w:r>
      <w:r w:rsidRPr="00B9678A">
        <w:rPr>
          <w:rFonts w:ascii="Times New Roman" w:hAnsi="Times New Roman"/>
          <w:sz w:val="20"/>
          <w:szCs w:val="20"/>
          <w:lang w:val="es-ES_tradnl"/>
        </w:rPr>
        <w:t>uncionamiento de entidades públicas; además, tenía una indiscutible relación teleológica con el tema presupuestal, al constituir un mecanismo eficaz para el cumplimiento de la</w:t>
      </w:r>
      <w:r>
        <w:rPr>
          <w:rFonts w:ascii="Times New Roman" w:hAnsi="Times New Roman"/>
          <w:sz w:val="20"/>
          <w:szCs w:val="20"/>
          <w:lang w:val="es-ES_tradnl"/>
        </w:rPr>
        <w:t>s</w:t>
      </w:r>
      <w:r w:rsidRPr="00B9678A">
        <w:rPr>
          <w:rFonts w:ascii="Times New Roman" w:hAnsi="Times New Roman"/>
          <w:sz w:val="20"/>
          <w:szCs w:val="20"/>
          <w:lang w:val="es-ES_tradnl"/>
        </w:rPr>
        <w:t xml:space="preserve"> funciones redistributivas que se le atribuyen al presupuesto. </w:t>
      </w:r>
    </w:p>
  </w:footnote>
  <w:footnote w:id="109">
    <w:p w:rsidR="00B9678A" w:rsidRPr="00B9678A" w:rsidRDefault="00527F3E" w:rsidP="00B9678A">
      <w:pPr>
        <w:pStyle w:val="Footnotereferenc1"/>
        <w:jc w:val="both"/>
        <w:rPr>
          <w:rFonts w:ascii="Times New Roman" w:hAnsi="Times New Roman"/>
          <w:sz w:val="20"/>
          <w:szCs w:val="20"/>
        </w:rPr>
      </w:pPr>
      <w:r w:rsidRPr="00B9678A">
        <w:rPr>
          <w:rFonts w:ascii="Times New Roman" w:hAnsi="Times New Roman"/>
          <w:sz w:val="20"/>
          <w:szCs w:val="20"/>
          <w:vertAlign w:val="superscript"/>
        </w:rPr>
        <w:footnoteRef/>
      </w:r>
      <w:r w:rsidRPr="00B9678A">
        <w:rPr>
          <w:rFonts w:ascii="Times New Roman" w:hAnsi="Times New Roman"/>
          <w:sz w:val="20"/>
          <w:szCs w:val="20"/>
        </w:rPr>
        <w:t xml:space="preserve"> M.P. Jaime Córdoba Triviño. SV. Jaime Araujo Rentería. Aunque uno de los cargos planteados en la demanda se refería a la infracción del principio de unidad de materia, el centro de la decisión se fundó en la violación o no de la autonomía patrimonial de l</w:t>
      </w:r>
      <w:r w:rsidRPr="00B9678A">
        <w:rPr>
          <w:rFonts w:ascii="Times New Roman" w:hAnsi="Times New Roman"/>
          <w:sz w:val="20"/>
          <w:szCs w:val="20"/>
        </w:rPr>
        <w:t xml:space="preserve">a Comisión. La Corte concluyó que el grado de injerencia era ínfimo, pues la norma “se </w:t>
      </w:r>
      <w:r w:rsidRPr="00B9678A">
        <w:rPr>
          <w:rFonts w:ascii="Times New Roman" w:hAnsi="Times New Roman"/>
          <w:bCs/>
          <w:sz w:val="20"/>
          <w:szCs w:val="20"/>
          <w:lang w:val="es-MX"/>
        </w:rPr>
        <w:t xml:space="preserve">limita a ordenar el inicio de un programa de ajuste bajo unas pautas mínimas y perfectamente razonables, que no le impiden a dicho ente ordenar, planear, ejecutar y aun </w:t>
      </w:r>
      <w:r w:rsidRPr="00B9678A">
        <w:rPr>
          <w:rFonts w:ascii="Times New Roman" w:hAnsi="Times New Roman"/>
          <w:bCs/>
          <w:sz w:val="20"/>
          <w:szCs w:val="20"/>
          <w:lang w:val="es-MX"/>
        </w:rPr>
        <w:t xml:space="preserve">disponer de sus propios recursos”.  </w:t>
      </w:r>
    </w:p>
  </w:footnote>
  <w:footnote w:id="110">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M.P. Rodrigo Escobar Gil. La Corte declaró exequible la primera parte del artículo 11 de la Ley 779 de 2002, que exceptuaba de cualquier tasa, gravamen o contribución para la vigilancia fiscal a la Auditoría General d</w:t>
      </w:r>
      <w:r w:rsidRPr="00B9678A">
        <w:rPr>
          <w:rFonts w:ascii="Times New Roman" w:hAnsi="Times New Roman"/>
          <w:sz w:val="20"/>
          <w:szCs w:val="20"/>
        </w:rPr>
        <w:t>e la Nación, por considerar que este contenido normativo no resultaba contrario al principio de unidad de materia, como sí lo era la segunda parte de la disposición (que atribuía a la Comisión de Cuentas de la Cámara de Representantes competencia para el e</w:t>
      </w:r>
      <w:r w:rsidRPr="00B9678A">
        <w:rPr>
          <w:rFonts w:ascii="Times New Roman" w:hAnsi="Times New Roman"/>
          <w:sz w:val="20"/>
          <w:szCs w:val="20"/>
        </w:rPr>
        <w:t>jercicio de control fiscal sobre la Auditoría General de la Nación) .</w:t>
      </w:r>
    </w:p>
  </w:footnote>
  <w:footnote w:id="111">
    <w:p w:rsidR="00B9678A" w:rsidRPr="00B9678A" w:rsidRDefault="00527F3E" w:rsidP="00B9678A">
      <w:pPr>
        <w:pStyle w:val="Footnotereferenc1"/>
        <w:jc w:val="both"/>
        <w:rPr>
          <w:rFonts w:ascii="Times New Roman" w:hAnsi="Times New Roman"/>
          <w:sz w:val="20"/>
          <w:szCs w:val="20"/>
        </w:rPr>
      </w:pPr>
      <w:r w:rsidRPr="00B9678A">
        <w:rPr>
          <w:rFonts w:ascii="Times New Roman" w:hAnsi="Times New Roman"/>
          <w:sz w:val="20"/>
          <w:szCs w:val="20"/>
          <w:vertAlign w:val="superscript"/>
        </w:rPr>
        <w:footnoteRef/>
      </w:r>
      <w:r w:rsidRPr="00B9678A">
        <w:rPr>
          <w:rFonts w:ascii="Times New Roman" w:hAnsi="Times New Roman"/>
          <w:sz w:val="20"/>
          <w:szCs w:val="20"/>
        </w:rPr>
        <w:t xml:space="preserve"> M.P. Rodrigo Escobar Gil. SV. Jaime Araujo Rentería. SV. Humberto Antonio Sierra Porto. </w:t>
      </w:r>
    </w:p>
  </w:footnote>
  <w:footnote w:id="112">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M.P. María Victoria Calle Correa. AV. Mauricio González Cuervo. SPV. Jorge Ignacio Pretelt Chaljub. SPV. Humberto Antonio Sierra Porto. SPV. Luis Ernesto Vargas Silva.</w:t>
      </w:r>
    </w:p>
  </w:footnote>
  <w:footnote w:id="113">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M.P. María Victoria Calle Correa. SV. Luis Guillermo Guerrero Pérez. AV. Alejandro Li</w:t>
      </w:r>
      <w:r w:rsidRPr="00B9678A">
        <w:rPr>
          <w:rFonts w:ascii="Times New Roman" w:hAnsi="Times New Roman"/>
          <w:sz w:val="20"/>
          <w:szCs w:val="20"/>
        </w:rPr>
        <w:t>nares Cantillo.</w:t>
      </w:r>
    </w:p>
  </w:footnote>
  <w:footnote w:id="114">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sz w:val="20"/>
          <w:szCs w:val="20"/>
          <w:lang w:val="es-419"/>
        </w:rPr>
        <w:t xml:space="preserve">M.P. Cristina Pardo Schlesinger. Unánime. </w:t>
      </w:r>
      <w:r w:rsidRPr="00B9678A">
        <w:rPr>
          <w:rFonts w:ascii="Times New Roman" w:hAnsi="Times New Roman"/>
          <w:color w:val="000000"/>
          <w:sz w:val="20"/>
          <w:szCs w:val="20"/>
        </w:rPr>
        <w:t>En esta sentencia se declaró exequible el artículo 122 de la Ley 1940 de 2018 (ley de presupuesto para la vigencia fiscal de 2019) por considerar que contenía una norma de carácter transitorio y s</w:t>
      </w:r>
      <w:r w:rsidRPr="00B9678A">
        <w:rPr>
          <w:rFonts w:ascii="Times New Roman" w:hAnsi="Times New Roman"/>
          <w:color w:val="000000"/>
          <w:sz w:val="20"/>
          <w:szCs w:val="20"/>
        </w:rPr>
        <w:t>atisfacía el criterio de conexidad temática, con lo cual no infringía el principio de unidad de materia. En cambio, se declararon inexequibles los artículos 134, 148 y 151 de la misma ley.</w:t>
      </w:r>
    </w:p>
  </w:footnote>
  <w:footnote w:id="115">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sz w:val="20"/>
          <w:szCs w:val="20"/>
          <w:lang w:val="es-419"/>
        </w:rPr>
        <w:t>M.P. Rodrigo Escobar Gil. SV. Jaime Araújo Rentería. SV. Humberto</w:t>
      </w:r>
      <w:r w:rsidRPr="00B9678A">
        <w:rPr>
          <w:rFonts w:ascii="Times New Roman" w:hAnsi="Times New Roman"/>
          <w:sz w:val="20"/>
          <w:szCs w:val="20"/>
          <w:lang w:val="es-419"/>
        </w:rPr>
        <w:t xml:space="preserve"> Antonio Sierra Porto.</w:t>
      </w:r>
    </w:p>
  </w:footnote>
  <w:footnote w:id="116">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sz w:val="20"/>
          <w:szCs w:val="20"/>
          <w:lang w:val="es-419"/>
        </w:rPr>
        <w:t>El problema jurídico abordado por la Sala Plena en aquella ocasión fue “</w:t>
      </w:r>
      <w:r w:rsidRPr="00B9678A">
        <w:rPr>
          <w:rFonts w:ascii="Times New Roman" w:hAnsi="Times New Roman"/>
          <w:sz w:val="20"/>
          <w:szCs w:val="20"/>
        </w:rPr>
        <w:t>si la evaluación fiscal previa por parte del CONFIS, cuya realización exige la disposición censurada cuando haya modificaciones a los contratos de concesión qu</w:t>
      </w:r>
      <w:r w:rsidRPr="00B9678A">
        <w:rPr>
          <w:rFonts w:ascii="Times New Roman" w:hAnsi="Times New Roman"/>
          <w:sz w:val="20"/>
          <w:szCs w:val="20"/>
        </w:rPr>
        <w:t xml:space="preserve">e impliquen mayores aportes estatales y/o mayores ingresos esperados y/o ampliación del plazo pactado contractualmente, quebranta el principio de unidad de materia, por aparecer en la ley anual de presupuesto, mas no en el estatuto general de contratación </w:t>
      </w:r>
      <w:r w:rsidRPr="00B9678A">
        <w:rPr>
          <w:rFonts w:ascii="Times New Roman" w:hAnsi="Times New Roman"/>
          <w:sz w:val="20"/>
          <w:szCs w:val="20"/>
        </w:rPr>
        <w:t>de la administración pública”.</w:t>
      </w:r>
    </w:p>
  </w:footnote>
  <w:footnote w:id="117">
    <w:p w:rsidR="00B9678A" w:rsidRPr="00B9678A" w:rsidRDefault="00527F3E" w:rsidP="00B9678A">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sz w:val="20"/>
          <w:szCs w:val="20"/>
          <w:lang w:val="es-419"/>
        </w:rPr>
      </w:pPr>
      <w:r w:rsidRPr="00B9678A">
        <w:rPr>
          <w:rStyle w:val="Refdenotaalpie"/>
          <w:rFonts w:ascii="Times New Roman" w:hAnsi="Times New Roman"/>
          <w:sz w:val="20"/>
          <w:szCs w:val="20"/>
        </w:rPr>
        <w:footnoteRef/>
      </w:r>
      <w:r w:rsidRPr="00B9678A">
        <w:rPr>
          <w:rFonts w:ascii="Times New Roman" w:hAnsi="Times New Roman" w:cs="Times New Roman"/>
          <w:sz w:val="20"/>
          <w:szCs w:val="20"/>
          <w:lang w:val="es-419"/>
        </w:rPr>
        <w:t xml:space="preserve"> </w:t>
      </w:r>
      <w:r w:rsidRPr="00B9678A">
        <w:rPr>
          <w:rFonts w:ascii="Times New Roman" w:hAnsi="Times New Roman" w:cs="Times New Roman"/>
          <w:i/>
          <w:iCs/>
          <w:sz w:val="20"/>
          <w:szCs w:val="20"/>
          <w:lang w:val="es-419"/>
        </w:rPr>
        <w:t>Ibidem.</w:t>
      </w:r>
      <w:r w:rsidRPr="00B9678A">
        <w:rPr>
          <w:rFonts w:ascii="Times New Roman" w:hAnsi="Times New Roman" w:cs="Times New Roman"/>
          <w:sz w:val="20"/>
          <w:szCs w:val="20"/>
          <w:lang w:val="es-419"/>
        </w:rPr>
        <w:t xml:space="preserve"> El magistrado Jaime Araujo Rentería salvó su voto a esta decisión, señalando que la norma infringía el principio de unidad de materia, al tratarse de una norma permanente que regula aspectos de los contratos de concesión. En el mismo sentido, el magistrad</w:t>
      </w:r>
      <w:r w:rsidRPr="00B9678A">
        <w:rPr>
          <w:rFonts w:ascii="Times New Roman" w:hAnsi="Times New Roman" w:cs="Times New Roman"/>
          <w:sz w:val="20"/>
          <w:szCs w:val="20"/>
          <w:lang w:val="es-419"/>
        </w:rPr>
        <w:t>o Humberto Antonio Sierra Porto consideró la decisión de la mayoría descansó en una interpretación “excesivamente laxa” del principio de unidad de materia. Además de cuestionar el vínculo afirmado por la mayoría entre la norma demandada y la materia presup</w:t>
      </w:r>
      <w:r w:rsidRPr="00B9678A">
        <w:rPr>
          <w:rFonts w:ascii="Times New Roman" w:hAnsi="Times New Roman" w:cs="Times New Roman"/>
          <w:sz w:val="20"/>
          <w:szCs w:val="20"/>
          <w:lang w:val="es-419"/>
        </w:rPr>
        <w:t xml:space="preserve">uestal, sostuvo que, al introducir una modificación de carácter permanente, desconocía el principio de anualidad presupuestal. </w:t>
      </w:r>
    </w:p>
  </w:footnote>
  <w:footnote w:id="118">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Gaceta del Congreso 84 del 23 de febrero de 2023, pp. 32 - 49. </w:t>
      </w:r>
      <w:hyperlink r:id="rId29" w:history="1">
        <w:r w:rsidRPr="00B9678A">
          <w:rPr>
            <w:rStyle w:val="Hipervnculo"/>
            <w:rFonts w:ascii="Times New Roman" w:hAnsi="Times New Roman"/>
            <w:sz w:val="20"/>
            <w:szCs w:val="20"/>
          </w:rPr>
          <w:t>https://www.corteconstitucional.gov.co/secretaria/archivo.php?id=70217</w:t>
        </w:r>
      </w:hyperlink>
      <w:r w:rsidRPr="00B9678A">
        <w:rPr>
          <w:rFonts w:ascii="Times New Roman" w:hAnsi="Times New Roman"/>
          <w:sz w:val="20"/>
          <w:szCs w:val="20"/>
        </w:rPr>
        <w:t xml:space="preserve">.  </w:t>
      </w:r>
    </w:p>
  </w:footnote>
  <w:footnote w:id="119">
    <w:p w:rsidR="00B9678A" w:rsidRPr="00B9678A" w:rsidRDefault="00527F3E" w:rsidP="00B9678A">
      <w:pPr>
        <w:pStyle w:val="Footnotereferenc1"/>
        <w:jc w:val="both"/>
        <w:rPr>
          <w:rFonts w:ascii="Times New Roman" w:hAnsi="Times New Roman"/>
          <w:i/>
          <w:iCs/>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 xml:space="preserve">Ibidem. </w:t>
      </w:r>
    </w:p>
  </w:footnote>
  <w:footnote w:id="120">
    <w:p w:rsidR="00B9678A" w:rsidRPr="00B9678A" w:rsidRDefault="00527F3E" w:rsidP="00B9678A">
      <w:pPr>
        <w:pStyle w:val="Footnotereferenc1"/>
        <w:jc w:val="both"/>
        <w:rPr>
          <w:rFonts w:ascii="Times New Roman" w:hAnsi="Times New Roman"/>
          <w:iCs/>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sz w:val="20"/>
          <w:szCs w:val="20"/>
        </w:rPr>
        <w:t>Ibidem</w:t>
      </w:r>
      <w:r w:rsidRPr="00B9678A">
        <w:rPr>
          <w:rFonts w:ascii="Times New Roman" w:hAnsi="Times New Roman"/>
          <w:iCs/>
          <w:sz w:val="20"/>
          <w:szCs w:val="20"/>
        </w:rPr>
        <w:t>, p. 29.</w:t>
      </w:r>
    </w:p>
  </w:footnote>
  <w:footnote w:id="121">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 p. 31.</w:t>
      </w:r>
    </w:p>
  </w:footnote>
  <w:footnote w:id="122">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Gaceta del Congreso 676 del 13 de junio de 2023.  </w:t>
      </w:r>
      <w:r w:rsidRPr="00B9678A">
        <w:rPr>
          <w:rFonts w:ascii="Times New Roman" w:hAnsi="Times New Roman"/>
          <w:sz w:val="20"/>
          <w:szCs w:val="20"/>
          <w:lang w:val="es-419"/>
        </w:rPr>
        <w:t xml:space="preserve">pp. 34, 43 y 50. </w:t>
      </w:r>
      <w:hyperlink r:id="rId30" w:history="1">
        <w:r w:rsidRPr="00B9678A">
          <w:rPr>
            <w:rStyle w:val="Hipervnculo"/>
            <w:rFonts w:ascii="Times New Roman" w:hAnsi="Times New Roman"/>
            <w:sz w:val="20"/>
            <w:szCs w:val="20"/>
            <w:lang w:val="es-419"/>
          </w:rPr>
          <w:t>https://www.corteconstitucional.gov.co/secretaria/archivo.php?id=70217</w:t>
        </w:r>
      </w:hyperlink>
      <w:r w:rsidRPr="00B9678A">
        <w:rPr>
          <w:rFonts w:ascii="Times New Roman" w:hAnsi="Times New Roman"/>
          <w:sz w:val="20"/>
          <w:szCs w:val="20"/>
          <w:lang w:val="es-419"/>
        </w:rPr>
        <w:t>.</w:t>
      </w:r>
    </w:p>
  </w:footnote>
  <w:footnote w:id="123">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“ARTÍCULO (NUEVO). APOYO A LOS SISTEMAS DE TRANSPORTE PÚBLICO MASIVO. La Nación destinará recurso</w:t>
      </w:r>
      <w:r w:rsidRPr="00B9678A">
        <w:rPr>
          <w:rFonts w:ascii="Times New Roman" w:hAnsi="Times New Roman"/>
          <w:sz w:val="20"/>
          <w:szCs w:val="20"/>
        </w:rPr>
        <w:t>s del presupuesto nacional para la financiación de los déficits operacionales en un monto no inferior a un billón de pesos ($1.000.000.000.000), destinado a cubrir el déficit de los sistemas integrados de transporte masivo (SITM) del país el cual será dist</w:t>
      </w:r>
      <w:r w:rsidRPr="00B9678A">
        <w:rPr>
          <w:rFonts w:ascii="Times New Roman" w:hAnsi="Times New Roman"/>
          <w:sz w:val="20"/>
          <w:szCs w:val="20"/>
        </w:rPr>
        <w:t>ribuido en partes proporcionales dependiendo del número de primeras validaciones realizadas en 2019, que serán certificadas por los entes gestores y verificado por el Ministerio de Transporte. Los recursos serán girados por el Ministerio de Hacienda y Créd</w:t>
      </w:r>
      <w:r w:rsidRPr="00B9678A">
        <w:rPr>
          <w:rFonts w:ascii="Times New Roman" w:hAnsi="Times New Roman"/>
          <w:sz w:val="20"/>
          <w:szCs w:val="20"/>
        </w:rPr>
        <w:t>ito Público al ente gestor de cada sistema de transporte masivo con cargo al Presupuesto General de la Nación. En el entendido que el déficit de los SITM está afectando a la operación de estos, la Nación realizará las gestiones correspondientes para incorp</w:t>
      </w:r>
      <w:r w:rsidRPr="00B9678A">
        <w:rPr>
          <w:rFonts w:ascii="Times New Roman" w:hAnsi="Times New Roman"/>
          <w:sz w:val="20"/>
          <w:szCs w:val="20"/>
        </w:rPr>
        <w:t xml:space="preserve">orar en el PAC de esta, el giro de los recursos en un plazo de 3 meses posterior a la sanción de la presente ley”. </w:t>
      </w:r>
      <w:r w:rsidRPr="00B9678A">
        <w:rPr>
          <w:rFonts w:ascii="Times New Roman" w:hAnsi="Times New Roman"/>
          <w:i/>
          <w:iCs/>
          <w:sz w:val="20"/>
          <w:szCs w:val="20"/>
        </w:rPr>
        <w:t>Ibidem</w:t>
      </w:r>
      <w:r w:rsidRPr="00B9678A">
        <w:rPr>
          <w:rFonts w:ascii="Times New Roman" w:hAnsi="Times New Roman"/>
          <w:sz w:val="20"/>
          <w:szCs w:val="20"/>
        </w:rPr>
        <w:t>, p. 34.</w:t>
      </w:r>
    </w:p>
  </w:footnote>
  <w:footnote w:id="124">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 xml:space="preserve">Ibidem. </w:t>
      </w:r>
    </w:p>
  </w:footnote>
  <w:footnote w:id="125">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 xml:space="preserve">Ibidem, </w:t>
      </w:r>
      <w:r w:rsidRPr="00B9678A">
        <w:rPr>
          <w:rFonts w:ascii="Times New Roman" w:hAnsi="Times New Roman"/>
          <w:sz w:val="20"/>
          <w:szCs w:val="20"/>
        </w:rPr>
        <w:t>pp. 43 y 50. La senadora Aida Yolanda Avella Esquivel propuso un nuevo artículo que destinaba recursos po</w:t>
      </w:r>
      <w:r w:rsidRPr="00B9678A">
        <w:rPr>
          <w:rFonts w:ascii="Times New Roman" w:hAnsi="Times New Roman"/>
          <w:sz w:val="20"/>
          <w:szCs w:val="20"/>
        </w:rPr>
        <w:t>r valor de $1.300.000.000.000 para los déficits operacionales de los SITM del país. Otra proposición del congresista Elkin Rodolfo Ospina “y otras firmas” fue presentada en el mismo sentido.</w:t>
      </w:r>
    </w:p>
  </w:footnote>
  <w:footnote w:id="126">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 xml:space="preserve">Ibidem, </w:t>
      </w:r>
      <w:r w:rsidRPr="00B9678A">
        <w:rPr>
          <w:rFonts w:ascii="Times New Roman" w:hAnsi="Times New Roman"/>
          <w:sz w:val="20"/>
          <w:szCs w:val="20"/>
        </w:rPr>
        <w:t>pp. 114 - 131.</w:t>
      </w:r>
    </w:p>
  </w:footnote>
  <w:footnote w:id="127">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Publicado en la Gaceta del Congreso n</w:t>
      </w:r>
      <w:r w:rsidRPr="00B9678A">
        <w:rPr>
          <w:rFonts w:ascii="Times New Roman" w:hAnsi="Times New Roman"/>
          <w:sz w:val="20"/>
          <w:szCs w:val="20"/>
        </w:rPr>
        <w:t xml:space="preserve">úm. 688 del 13 de junio de 2023, pp. 1 - 5.   </w:t>
      </w:r>
      <w:hyperlink r:id="rId31" w:history="1">
        <w:r w:rsidRPr="00B9678A">
          <w:rPr>
            <w:rStyle w:val="Hipervnculo"/>
            <w:rFonts w:ascii="Times New Roman" w:hAnsi="Times New Roman"/>
            <w:sz w:val="20"/>
            <w:szCs w:val="20"/>
          </w:rPr>
          <w:t>https://www.corteconstitucional.gov.co/secretaria/archivo.php?id=70217</w:t>
        </w:r>
      </w:hyperlink>
      <w:r w:rsidRPr="00B9678A">
        <w:rPr>
          <w:rFonts w:ascii="Times New Roman" w:hAnsi="Times New Roman"/>
          <w:sz w:val="20"/>
          <w:szCs w:val="20"/>
        </w:rPr>
        <w:t>.</w:t>
      </w:r>
    </w:p>
  </w:footnote>
  <w:footnote w:id="128">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 xml:space="preserve">, p. 3. </w:t>
      </w:r>
    </w:p>
  </w:footnote>
  <w:footnote w:id="129">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 p. 4.</w:t>
      </w:r>
    </w:p>
  </w:footnote>
  <w:footnote w:id="130">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 pp. 4-6.</w:t>
      </w:r>
    </w:p>
  </w:footnote>
  <w:footnote w:id="131">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“ARTÍCULO NUEVO. Apoyo a los Sistemas de Transporte Público Masivo. La Nación destinará recursos del presupuesto nacional para la financiación de los déficits operacionales en un monto no inferior a un billón trescientos mil millones de pesos ($1.300.00</w:t>
      </w:r>
      <w:r w:rsidRPr="00B9678A">
        <w:rPr>
          <w:rFonts w:ascii="Times New Roman" w:hAnsi="Times New Roman"/>
          <w:sz w:val="20"/>
          <w:szCs w:val="20"/>
        </w:rPr>
        <w:t>0.000.000), destinado a cubrir el déficit de los sistemas integrados de transporte masivo (SITM) del país el cual será distribuido en partes proporcionales dependiendo del número de primeras validaciones realizadas en 2019, que serán certificadas por los e</w:t>
      </w:r>
      <w:r w:rsidRPr="00B9678A">
        <w:rPr>
          <w:rFonts w:ascii="Times New Roman" w:hAnsi="Times New Roman"/>
          <w:sz w:val="20"/>
          <w:szCs w:val="20"/>
        </w:rPr>
        <w:t>ntes gestores y verificado por el Ministerio de Transporte. // PARÁGRAFO. Los recursos serán girados por el Ministerio de Hacienda y Crédito Público al ente gestor de cada sistema de transporte masivo con cargo al Presupuesto General de la Nación. En el en</w:t>
      </w:r>
      <w:r w:rsidRPr="00B9678A">
        <w:rPr>
          <w:rFonts w:ascii="Times New Roman" w:hAnsi="Times New Roman"/>
          <w:sz w:val="20"/>
          <w:szCs w:val="20"/>
        </w:rPr>
        <w:t xml:space="preserve">tendido que el déficit de los SITM está afectando a la operación de estos, la Nación realizará las gestiones correspondientes para incorporar en el PAC de esta, el giro de los recursos en un plazo de 3 meses posterior a la sanción de la presente ley”. </w:t>
      </w:r>
      <w:r w:rsidRPr="00B9678A">
        <w:rPr>
          <w:rFonts w:ascii="Times New Roman" w:hAnsi="Times New Roman"/>
          <w:i/>
          <w:iCs/>
          <w:sz w:val="20"/>
          <w:szCs w:val="20"/>
        </w:rPr>
        <w:t>Ibid</w:t>
      </w:r>
      <w:r w:rsidRPr="00B9678A">
        <w:rPr>
          <w:rFonts w:ascii="Times New Roman" w:hAnsi="Times New Roman"/>
          <w:i/>
          <w:iCs/>
          <w:sz w:val="20"/>
          <w:szCs w:val="20"/>
        </w:rPr>
        <w:t>em</w:t>
      </w:r>
      <w:r w:rsidRPr="00B9678A">
        <w:rPr>
          <w:rFonts w:ascii="Times New Roman" w:hAnsi="Times New Roman"/>
          <w:sz w:val="20"/>
          <w:szCs w:val="20"/>
        </w:rPr>
        <w:t>, pp. 4 y 5.</w:t>
      </w:r>
    </w:p>
  </w:footnote>
  <w:footnote w:id="132">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Publicado en la Gaceta del Congreso 750 del 16 de junio de 2023, pp. 4 - 22.  </w:t>
      </w:r>
      <w:hyperlink r:id="rId32" w:history="1">
        <w:r w:rsidRPr="00B9678A">
          <w:rPr>
            <w:rStyle w:val="Hipervnculo"/>
            <w:rFonts w:ascii="Times New Roman" w:hAnsi="Times New Roman"/>
            <w:sz w:val="20"/>
            <w:szCs w:val="20"/>
          </w:rPr>
          <w:t>https://www.corteconstitucional.gov.co/secretaria/archivo.php?id=71139</w:t>
        </w:r>
      </w:hyperlink>
      <w:r w:rsidRPr="00B9678A">
        <w:rPr>
          <w:rFonts w:ascii="Times New Roman" w:hAnsi="Times New Roman"/>
          <w:sz w:val="20"/>
          <w:szCs w:val="20"/>
        </w:rPr>
        <w:t xml:space="preserve">. </w:t>
      </w:r>
    </w:p>
  </w:footnote>
  <w:footnote w:id="133">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Publicado en la Gaceta del Congreso 785 del 22 de junio de 2023, pp. 1 - 177. El artículo nuevo aparece en las pp. 23 – 24 y150 - 151. </w:t>
      </w:r>
      <w:hyperlink r:id="rId33" w:history="1">
        <w:r w:rsidRPr="00B9678A">
          <w:rPr>
            <w:rStyle w:val="Hipervnculo"/>
            <w:rFonts w:ascii="Times New Roman" w:hAnsi="Times New Roman"/>
            <w:sz w:val="20"/>
            <w:szCs w:val="20"/>
          </w:rPr>
          <w:t>https://www.corteconstitucional.g</w:t>
        </w:r>
        <w:r w:rsidRPr="00B9678A">
          <w:rPr>
            <w:rStyle w:val="Hipervnculo"/>
            <w:rFonts w:ascii="Times New Roman" w:hAnsi="Times New Roman"/>
            <w:sz w:val="20"/>
            <w:szCs w:val="20"/>
          </w:rPr>
          <w:t>ov.co/secretaria/archivo.php?id=71680</w:t>
        </w:r>
      </w:hyperlink>
      <w:r w:rsidRPr="00B9678A">
        <w:rPr>
          <w:rFonts w:ascii="Times New Roman" w:hAnsi="Times New Roman"/>
          <w:sz w:val="20"/>
          <w:szCs w:val="20"/>
        </w:rPr>
        <w:t xml:space="preserve">. </w:t>
      </w:r>
    </w:p>
  </w:footnote>
  <w:footnote w:id="134">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Publicado en la Gaceta del Congreso  787 del 22 de junio de 2023, pp. 1 a 178. El artículo nuevo aparece en las pp. 24 – 25 y 151 - 152  </w:t>
      </w:r>
      <w:hyperlink r:id="rId34" w:history="1">
        <w:r w:rsidRPr="00B9678A">
          <w:rPr>
            <w:rStyle w:val="Hipervnculo"/>
            <w:rFonts w:ascii="Times New Roman" w:hAnsi="Times New Roman"/>
            <w:sz w:val="20"/>
            <w:szCs w:val="20"/>
          </w:rPr>
          <w:t>https://www.corteconstitucional.gov.co/secretaria/archivo.php?id=70217</w:t>
        </w:r>
      </w:hyperlink>
      <w:r w:rsidRPr="00B9678A">
        <w:rPr>
          <w:rFonts w:ascii="Times New Roman" w:hAnsi="Times New Roman"/>
          <w:sz w:val="20"/>
          <w:szCs w:val="20"/>
        </w:rPr>
        <w:t>.</w:t>
      </w:r>
    </w:p>
  </w:footnote>
  <w:footnote w:id="135">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Gaceta del Congreso 785 del 22 de junio de 2023, pp. 176 - 177; Gaceta del Congreso 787 del 22 de junio de 2023, pp. 177 - 178.</w:t>
      </w:r>
    </w:p>
  </w:footnote>
  <w:footnote w:id="136">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Gaceta del Congreso 785 del 22 de junio de</w:t>
      </w:r>
      <w:r w:rsidRPr="00B9678A">
        <w:rPr>
          <w:rFonts w:ascii="Times New Roman" w:hAnsi="Times New Roman"/>
          <w:sz w:val="20"/>
          <w:szCs w:val="20"/>
        </w:rPr>
        <w:t xml:space="preserve"> 2023, p. 25; Gaceta del Congreso 787 del 22 de junio de 2023, p. 25.</w:t>
      </w:r>
    </w:p>
  </w:footnote>
  <w:footnote w:id="137">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Gaceta del Congreso 785 del 22 de junio de 2023, p. 118; Gaceta del Congreso 787 del 22 de junio de 2023, p. 119.</w:t>
      </w:r>
    </w:p>
  </w:footnote>
  <w:footnote w:id="138">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Acta de Plenaria 72 de la sesión extraordinaria del viernes 23 de junio, publicada en la Gaceta del Congreso 1581 del 10 de noviembre de 2023.</w:t>
      </w:r>
    </w:p>
  </w:footnote>
  <w:footnote w:id="139">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 xml:space="preserve">, p. 49. </w:t>
      </w:r>
    </w:p>
  </w:footnote>
  <w:footnote w:id="140">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 p. 50.</w:t>
      </w:r>
    </w:p>
  </w:footnote>
  <w:footnote w:id="141">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 p. 50.</w:t>
      </w:r>
    </w:p>
  </w:footnote>
  <w:footnote w:id="142">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 p. 51.</w:t>
      </w:r>
    </w:p>
  </w:footnote>
  <w:footnote w:id="143">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Publicado en la Gaceta del Congreso 794 d</w:t>
      </w:r>
      <w:r w:rsidRPr="00B9678A">
        <w:rPr>
          <w:rFonts w:ascii="Times New Roman" w:hAnsi="Times New Roman"/>
          <w:sz w:val="20"/>
          <w:szCs w:val="20"/>
        </w:rPr>
        <w:t xml:space="preserve">el 27 de junio de 2023, pp. 32 a 43. El artículo 4 aparece en la p. 42.  </w:t>
      </w:r>
      <w:hyperlink r:id="rId35" w:history="1">
        <w:r w:rsidRPr="00B9678A">
          <w:rPr>
            <w:rStyle w:val="Hipervnculo"/>
            <w:rFonts w:ascii="Times New Roman" w:hAnsi="Times New Roman"/>
            <w:sz w:val="20"/>
            <w:szCs w:val="20"/>
          </w:rPr>
          <w:t>https://www.corteconstitucional.gov.co/secretaria/archivo.php?id=70217</w:t>
        </w:r>
      </w:hyperlink>
      <w:r w:rsidRPr="00B9678A">
        <w:rPr>
          <w:rFonts w:ascii="Times New Roman" w:hAnsi="Times New Roman"/>
          <w:sz w:val="20"/>
          <w:szCs w:val="20"/>
        </w:rPr>
        <w:t>.</w:t>
      </w:r>
    </w:p>
  </w:footnote>
  <w:footnote w:id="144">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Acta de Plenaria 63 de la sesión extraordinaria del 23 de junio de 2023, publicada en la Gaceta del Congreso Núm. 1386 del 2 de octubre de 2023. </w:t>
      </w:r>
      <w:hyperlink r:id="rId36" w:history="1">
        <w:r w:rsidRPr="00B9678A">
          <w:rPr>
            <w:rStyle w:val="Hipervnculo"/>
            <w:rFonts w:ascii="Times New Roman" w:hAnsi="Times New Roman"/>
            <w:sz w:val="20"/>
            <w:szCs w:val="20"/>
          </w:rPr>
          <w:t>https://www.corteconsti</w:t>
        </w:r>
        <w:r w:rsidRPr="00B9678A">
          <w:rPr>
            <w:rStyle w:val="Hipervnculo"/>
            <w:rFonts w:ascii="Times New Roman" w:hAnsi="Times New Roman"/>
            <w:sz w:val="20"/>
            <w:szCs w:val="20"/>
          </w:rPr>
          <w:t>tucional.gov.co/secretaria/archivo.php?id=71680</w:t>
        </w:r>
      </w:hyperlink>
      <w:r w:rsidRPr="00B9678A">
        <w:rPr>
          <w:rFonts w:ascii="Times New Roman" w:hAnsi="Times New Roman"/>
          <w:sz w:val="20"/>
          <w:szCs w:val="20"/>
        </w:rPr>
        <w:t xml:space="preserve">. </w:t>
      </w:r>
    </w:p>
  </w:footnote>
  <w:footnote w:id="145">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 xml:space="preserve">, pp. 24 - 25. </w:t>
      </w:r>
    </w:p>
  </w:footnote>
  <w:footnote w:id="146">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 pp. 24 - 25.</w:t>
      </w:r>
    </w:p>
  </w:footnote>
  <w:footnote w:id="147">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 p. 26.</w:t>
      </w:r>
    </w:p>
  </w:footnote>
  <w:footnote w:id="148">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w:t>
      </w:r>
    </w:p>
  </w:footnote>
  <w:footnote w:id="149">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 xml:space="preserve">, pp. 28 - 29. </w:t>
      </w:r>
    </w:p>
  </w:footnote>
  <w:footnote w:id="150">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 xml:space="preserve">, p. 37. </w:t>
      </w:r>
    </w:p>
  </w:footnote>
  <w:footnote w:id="151">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 p. 40.</w:t>
      </w:r>
    </w:p>
  </w:footnote>
  <w:footnote w:id="152">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 p. 41.</w:t>
      </w:r>
    </w:p>
  </w:footnote>
  <w:footnote w:id="153">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 p. 41.</w:t>
      </w:r>
    </w:p>
  </w:footnote>
  <w:footnote w:id="154">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 pp. 45 - 47.</w:t>
      </w:r>
    </w:p>
  </w:footnote>
  <w:footnote w:id="155">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 pp. 57</w:t>
      </w:r>
      <w:r w:rsidRPr="00B9678A">
        <w:rPr>
          <w:rFonts w:ascii="Times New Roman" w:hAnsi="Times New Roman"/>
          <w:sz w:val="20"/>
          <w:szCs w:val="20"/>
        </w:rPr>
        <w:t xml:space="preserve">- 58. </w:t>
      </w:r>
    </w:p>
  </w:footnote>
  <w:footnote w:id="156">
    <w:p w:rsidR="00B9678A" w:rsidRPr="00B9678A" w:rsidRDefault="00527F3E" w:rsidP="00B9678A">
      <w:pPr>
        <w:pStyle w:val="Footnotereferenc1"/>
        <w:jc w:val="both"/>
        <w:rPr>
          <w:rFonts w:ascii="Times New Roman" w:hAnsi="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sz w:val="20"/>
          <w:szCs w:val="20"/>
          <w:lang w:val="es-419"/>
        </w:rPr>
        <w:t>M.P. Rodrigo Escobar Gil. SV. Jaime Araújo Rentería. SV. Humberto Antonio Sierra Porto.</w:t>
      </w:r>
    </w:p>
  </w:footnote>
  <w:footnote w:id="157">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Intervención del senador John Jairo Roldán Avendaño en la plenaria del Senado. Acta de Plenaria núm 63 de la sesión extraordinaria del 23 de junio de 2023, publicada en la Gaceta del Congreso Núm. 1386 del 2 de octubre de 2023, p. 28. </w:t>
      </w:r>
    </w:p>
  </w:footnote>
  <w:footnote w:id="158">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Gaceta del Congre</w:t>
      </w:r>
      <w:r w:rsidRPr="00B9678A">
        <w:rPr>
          <w:rFonts w:ascii="Times New Roman" w:hAnsi="Times New Roman"/>
          <w:sz w:val="20"/>
          <w:szCs w:val="20"/>
        </w:rPr>
        <w:t xml:space="preserve">so núm. 84 del 23 de febrero de 2023, p. 29. </w:t>
      </w:r>
      <w:hyperlink r:id="rId37" w:history="1">
        <w:r w:rsidRPr="00B9678A">
          <w:rPr>
            <w:rStyle w:val="Hipervnculo"/>
            <w:rFonts w:ascii="Times New Roman" w:hAnsi="Times New Roman"/>
            <w:sz w:val="20"/>
            <w:szCs w:val="20"/>
          </w:rPr>
          <w:t>https://www.corteconstitucional.gov.co/secretaria/archivo.php?id=70217</w:t>
        </w:r>
      </w:hyperlink>
      <w:r w:rsidRPr="00B9678A">
        <w:rPr>
          <w:rFonts w:ascii="Times New Roman" w:hAnsi="Times New Roman"/>
          <w:sz w:val="20"/>
          <w:szCs w:val="20"/>
        </w:rPr>
        <w:t xml:space="preserve">.  </w:t>
      </w:r>
    </w:p>
  </w:footnote>
  <w:footnote w:id="159">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w:t>
      </w:r>
      <w:r w:rsidRPr="00B9678A">
        <w:rPr>
          <w:rFonts w:ascii="Times New Roman" w:hAnsi="Times New Roman"/>
          <w:i/>
          <w:iCs/>
          <w:sz w:val="20"/>
          <w:szCs w:val="20"/>
        </w:rPr>
        <w:t>Ibidem</w:t>
      </w:r>
      <w:r w:rsidRPr="00B9678A">
        <w:rPr>
          <w:rFonts w:ascii="Times New Roman" w:hAnsi="Times New Roman"/>
          <w:sz w:val="20"/>
          <w:szCs w:val="20"/>
        </w:rPr>
        <w:t>, p. 31.</w:t>
      </w:r>
    </w:p>
  </w:footnote>
  <w:footnote w:id="160">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Quien durante la plenaria del S</w:t>
      </w:r>
      <w:r w:rsidRPr="00B9678A">
        <w:rPr>
          <w:rFonts w:ascii="Times New Roman" w:hAnsi="Times New Roman"/>
          <w:sz w:val="20"/>
          <w:szCs w:val="20"/>
        </w:rPr>
        <w:t>enado de la República señaló:</w:t>
      </w:r>
      <w:r w:rsidRPr="00B9678A">
        <w:rPr>
          <w:rFonts w:ascii="Times New Roman" w:hAnsi="Times New Roman"/>
          <w:i/>
          <w:iCs/>
          <w:sz w:val="20"/>
          <w:szCs w:val="20"/>
        </w:rPr>
        <w:t>“</w:t>
      </w:r>
      <w:r w:rsidRPr="00B9678A">
        <w:rPr>
          <w:rFonts w:ascii="Times New Roman" w:hAnsi="Times New Roman"/>
          <w:sz w:val="20"/>
          <w:szCs w:val="20"/>
        </w:rPr>
        <w:t>(…) eso es ponerles una pistola a los operadores, es decirle [sic], o me renegocia o le hago terminación unilateral del contrato, cómo es posible, no eso no es posible, no se puede hacer así, el Estado no puede funcionar así”.</w:t>
      </w:r>
      <w:r w:rsidRPr="00B9678A">
        <w:rPr>
          <w:rFonts w:ascii="Times New Roman" w:hAnsi="Times New Roman"/>
          <w:sz w:val="20"/>
          <w:szCs w:val="20"/>
        </w:rPr>
        <w:t xml:space="preserve"> Acta de Plenaria n.º 63 de la sesión extraordinaria del 23 de junio de 2023, publicada en la Gaceta del Congreso n.º 1386 del 2 de octubre de 2023</w:t>
      </w:r>
      <w:r w:rsidRPr="00B9678A">
        <w:rPr>
          <w:rFonts w:ascii="Times New Roman" w:hAnsi="Times New Roman"/>
          <w:i/>
          <w:iCs/>
          <w:sz w:val="20"/>
          <w:szCs w:val="20"/>
        </w:rPr>
        <w:t xml:space="preserve">, </w:t>
      </w:r>
      <w:r w:rsidRPr="00B9678A">
        <w:rPr>
          <w:rFonts w:ascii="Times New Roman" w:hAnsi="Times New Roman"/>
          <w:sz w:val="20"/>
          <w:szCs w:val="20"/>
        </w:rPr>
        <w:t>pp. 24 - 25.</w:t>
      </w:r>
    </w:p>
  </w:footnote>
  <w:footnote w:id="161">
    <w:p w:rsidR="00B9678A" w:rsidRPr="00B9678A" w:rsidRDefault="00527F3E" w:rsidP="00B9678A">
      <w:pPr>
        <w:pStyle w:val="NormalWeb"/>
        <w:shd w:val="clear" w:color="auto" w:fill="FFFFFF"/>
        <w:jc w:val="both"/>
        <w:rPr>
          <w:sz w:val="20"/>
          <w:szCs w:val="20"/>
          <w:lang w:eastAsia="en-US"/>
        </w:rPr>
      </w:pPr>
      <w:r w:rsidRPr="00B9678A">
        <w:rPr>
          <w:rStyle w:val="Refdenotaalpie"/>
          <w:sz w:val="20"/>
          <w:szCs w:val="20"/>
        </w:rPr>
        <w:footnoteRef/>
      </w:r>
      <w:r w:rsidRPr="00B9678A">
        <w:rPr>
          <w:sz w:val="20"/>
          <w:szCs w:val="20"/>
        </w:rPr>
        <w:t xml:space="preserve"> Ley 80 de 1993, “por la cual se expide el Estatuto General de Contratación de la Administrac</w:t>
      </w:r>
      <w:r w:rsidRPr="00B9678A">
        <w:rPr>
          <w:sz w:val="20"/>
          <w:szCs w:val="20"/>
        </w:rPr>
        <w:t xml:space="preserve">ión Pública”. </w:t>
      </w:r>
      <w:r w:rsidRPr="005C4836">
        <w:rPr>
          <w:sz w:val="20"/>
          <w:szCs w:val="20"/>
        </w:rPr>
        <w:t>“</w:t>
      </w:r>
      <w:r w:rsidRPr="001B1B92">
        <w:rPr>
          <w:rStyle w:val="Textoennegrita"/>
          <w:sz w:val="20"/>
          <w:szCs w:val="20"/>
        </w:rPr>
        <w:t>ARTÍCULO 17.- </w:t>
      </w:r>
      <w:r w:rsidRPr="001B1B92">
        <w:rPr>
          <w:sz w:val="20"/>
          <w:szCs w:val="20"/>
        </w:rPr>
        <w:t>De la Terminación Unilateral</w:t>
      </w:r>
      <w:r w:rsidRPr="001B1B92">
        <w:rPr>
          <w:rStyle w:val="Textoennegrita"/>
          <w:sz w:val="20"/>
          <w:szCs w:val="20"/>
        </w:rPr>
        <w:t>.</w:t>
      </w:r>
      <w:r w:rsidRPr="005C4836">
        <w:rPr>
          <w:sz w:val="20"/>
          <w:szCs w:val="20"/>
        </w:rPr>
        <w:t> La entidad en acto administrativo debidamente motivado dispondrá la terminación anticipada del contrato en los siguientes eventos:</w:t>
      </w:r>
      <w:r w:rsidRPr="005C4836">
        <w:rPr>
          <w:sz w:val="20"/>
          <w:szCs w:val="20"/>
          <w:lang w:eastAsia="en-US"/>
        </w:rPr>
        <w:t xml:space="preserve"> </w:t>
      </w:r>
      <w:r w:rsidRPr="005C4836">
        <w:rPr>
          <w:sz w:val="20"/>
          <w:szCs w:val="20"/>
        </w:rPr>
        <w:t>1. Cuando las exigencias del servicio público lo requieran o la si</w:t>
      </w:r>
      <w:r w:rsidRPr="005C4836">
        <w:rPr>
          <w:sz w:val="20"/>
          <w:szCs w:val="20"/>
        </w:rPr>
        <w:t>tuación de orden público lo imponga.</w:t>
      </w:r>
      <w:r w:rsidRPr="005C4836">
        <w:rPr>
          <w:sz w:val="20"/>
          <w:szCs w:val="20"/>
          <w:lang w:eastAsia="en-US"/>
        </w:rPr>
        <w:t xml:space="preserve"> // </w:t>
      </w:r>
      <w:r w:rsidRPr="005C4836">
        <w:rPr>
          <w:sz w:val="20"/>
          <w:szCs w:val="20"/>
        </w:rPr>
        <w:t>2. Por muerte o incapacidad física permanente del contratista, si es persona natural, o por disolución de la persona jurídica del contratista.</w:t>
      </w:r>
      <w:r w:rsidRPr="005C4836">
        <w:rPr>
          <w:sz w:val="20"/>
          <w:szCs w:val="20"/>
          <w:lang w:eastAsia="en-US"/>
        </w:rPr>
        <w:t xml:space="preserve"> // </w:t>
      </w:r>
      <w:r w:rsidRPr="005C4836">
        <w:rPr>
          <w:sz w:val="20"/>
          <w:szCs w:val="20"/>
        </w:rPr>
        <w:t>3. Por interdicción judicial o declaración de quiebra del contratista.</w:t>
      </w:r>
      <w:r w:rsidRPr="005C4836">
        <w:rPr>
          <w:sz w:val="20"/>
          <w:szCs w:val="20"/>
          <w:lang w:eastAsia="en-US"/>
        </w:rPr>
        <w:t xml:space="preserve"> // </w:t>
      </w:r>
      <w:r w:rsidRPr="005C4836">
        <w:rPr>
          <w:sz w:val="20"/>
          <w:szCs w:val="20"/>
        </w:rPr>
        <w:t>4. Por cesación de pagos, concurso de acreedores o embargos judiciales del contratista que afecten de manera grave el cumplimiento del contrato.</w:t>
      </w:r>
      <w:r w:rsidRPr="005C4836">
        <w:rPr>
          <w:sz w:val="20"/>
          <w:szCs w:val="20"/>
          <w:lang w:eastAsia="en-US"/>
        </w:rPr>
        <w:t xml:space="preserve"> // </w:t>
      </w:r>
      <w:r w:rsidRPr="005C4836">
        <w:rPr>
          <w:sz w:val="20"/>
          <w:szCs w:val="20"/>
        </w:rPr>
        <w:t>Sin embargo, en los casos a que se refieren los numerales 2o. y 3o. de este artículo podrá continuarse l</w:t>
      </w:r>
      <w:r w:rsidRPr="005C4836">
        <w:rPr>
          <w:sz w:val="20"/>
          <w:szCs w:val="20"/>
        </w:rPr>
        <w:t>a ejecución con el garante de la obligación.</w:t>
      </w:r>
      <w:r w:rsidRPr="005C4836">
        <w:rPr>
          <w:sz w:val="20"/>
          <w:szCs w:val="20"/>
          <w:lang w:eastAsia="en-US"/>
        </w:rPr>
        <w:t xml:space="preserve"> // </w:t>
      </w:r>
      <w:r w:rsidRPr="005C4836">
        <w:rPr>
          <w:sz w:val="20"/>
          <w:szCs w:val="20"/>
        </w:rPr>
        <w:t>La iniciación de trámite concordatario no dará lugar a la declaratoria de terminación unilateral. En tal evento la ejecución se hará con sujeción a las normas sobre administración de negocios del deudor en co</w:t>
      </w:r>
      <w:r w:rsidRPr="005C4836">
        <w:rPr>
          <w:sz w:val="20"/>
          <w:szCs w:val="20"/>
        </w:rPr>
        <w:t>ncordato. La entidad dispondrá las medidas de inspección, control y vigilancia necesarias para asegurar el cumplimiento del objeto contractual e impedir la paralización del servicio”.</w:t>
      </w:r>
    </w:p>
  </w:footnote>
  <w:footnote w:id="162">
    <w:p w:rsidR="00B9678A" w:rsidRPr="00B9678A" w:rsidRDefault="00527F3E" w:rsidP="00B9678A">
      <w:pPr>
        <w:tabs>
          <w:tab w:val="left" w:pos="426"/>
        </w:tabs>
        <w:autoSpaceDE w:val="0"/>
        <w:autoSpaceDN w:val="0"/>
        <w:jc w:val="both"/>
        <w:textAlignment w:val="baseline"/>
        <w:rPr>
          <w:rFonts w:ascii="Times New Roman" w:hAnsi="Times New Roman" w:cs="Times New Roman"/>
          <w:sz w:val="20"/>
          <w:szCs w:val="20"/>
          <w:lang w:val="es-419"/>
        </w:rPr>
      </w:pPr>
      <w:r w:rsidRPr="00B9678A">
        <w:rPr>
          <w:rStyle w:val="Refdenotaalpie"/>
          <w:rFonts w:ascii="Times New Roman" w:hAnsi="Times New Roman"/>
          <w:sz w:val="20"/>
          <w:szCs w:val="20"/>
        </w:rPr>
        <w:footnoteRef/>
      </w:r>
      <w:r w:rsidRPr="00B9678A">
        <w:rPr>
          <w:rFonts w:ascii="Times New Roman" w:hAnsi="Times New Roman" w:cs="Times New Roman"/>
          <w:sz w:val="20"/>
          <w:szCs w:val="20"/>
          <w:lang w:val="es-419"/>
        </w:rPr>
        <w:t xml:space="preserve"> En la plenaria de la Cámara de Representantes, el representante Pérez Pineda sostuvo “(…) eso es un proyecto, una ley que va a durar seis meses </w:t>
      </w:r>
      <w:r w:rsidRPr="00B9678A">
        <w:rPr>
          <w:rFonts w:ascii="Times New Roman" w:hAnsi="Times New Roman" w:cs="Times New Roman"/>
          <w:sz w:val="20"/>
          <w:szCs w:val="20"/>
          <w:u w:val="single"/>
          <w:lang w:val="es-419"/>
        </w:rPr>
        <w:t>que si no se ponen de acuerdo, pues yo creo que nada pasará</w:t>
      </w:r>
      <w:r w:rsidRPr="00B9678A">
        <w:rPr>
          <w:rFonts w:ascii="Times New Roman" w:hAnsi="Times New Roman" w:cs="Times New Roman"/>
          <w:sz w:val="20"/>
          <w:szCs w:val="20"/>
          <w:lang w:val="es-419"/>
        </w:rPr>
        <w:t>”. Acta de Plenaria n.º 72 de la sesión extraordinar</w:t>
      </w:r>
      <w:r w:rsidRPr="00B9678A">
        <w:rPr>
          <w:rFonts w:ascii="Times New Roman" w:hAnsi="Times New Roman" w:cs="Times New Roman"/>
          <w:sz w:val="20"/>
          <w:szCs w:val="20"/>
          <w:lang w:val="es-419"/>
        </w:rPr>
        <w:t>ia del viernes 23 de junio, publicada en la Gaceta del Congreso n.º 1581 del 10 de noviembre de 2023, p. 50. (Subrayas añadidas). En el mismo sentido, durante la plenaria del Senado, en respuesta a la intervención del senador Miguel Uribe Turbay, el senado</w:t>
      </w:r>
      <w:r w:rsidRPr="00B9678A">
        <w:rPr>
          <w:rFonts w:ascii="Times New Roman" w:hAnsi="Times New Roman" w:cs="Times New Roman"/>
          <w:sz w:val="20"/>
          <w:szCs w:val="20"/>
          <w:lang w:val="es-419"/>
        </w:rPr>
        <w:t xml:space="preserve">r Juan Felipe Lemos Uribe replicó: “(…) por favor, léase el artículo 17 de la Ley 80, para que verifique, si efectivamente este artículo podría permitir una terminación unilateral, por parte de las entidades territoriales de esos contratos de concesión. A </w:t>
      </w:r>
      <w:r w:rsidRPr="00B9678A">
        <w:rPr>
          <w:rFonts w:ascii="Times New Roman" w:hAnsi="Times New Roman" w:cs="Times New Roman"/>
          <w:sz w:val="20"/>
          <w:szCs w:val="20"/>
          <w:lang w:val="es-419"/>
        </w:rPr>
        <w:t xml:space="preserve">mi juicio no, y a mi juicio, si ese llegar [sic] a ser el caso, que las entidades mal utilicen ese artículo para los efectos que usted plantea, ahí se configura un hecho del príncipe (…)”. En la misma sesión plenaria, el senador John Jairo Roldán Avendaño </w:t>
      </w:r>
      <w:r w:rsidRPr="00B9678A">
        <w:rPr>
          <w:rFonts w:ascii="Times New Roman" w:hAnsi="Times New Roman" w:cs="Times New Roman"/>
          <w:sz w:val="20"/>
          <w:szCs w:val="20"/>
          <w:lang w:val="es-419"/>
        </w:rPr>
        <w:t>señaló: “(…) se nombra el artículo 17 de la Ley 80 de 1993, que tiene un título que asusta, claro asusta, liquidación unilateral de contratos y solo aplica en cuatro escenarios, que ninguno de los cuatro, están en los sistemas de transporte masivo, ninguno</w:t>
      </w:r>
      <w:r w:rsidRPr="00B9678A">
        <w:rPr>
          <w:rFonts w:ascii="Times New Roman" w:hAnsi="Times New Roman" w:cs="Times New Roman"/>
          <w:sz w:val="20"/>
          <w:szCs w:val="20"/>
          <w:lang w:val="es-419"/>
        </w:rPr>
        <w:t xml:space="preserve"> de los cuatro, quiebra, muerte, incapacidad en los operadores, (…)  no puede una ley que vence el 31 de diciembre, decir que establece un artículo por tres o cuatro años, pero adicional para que usted lo sepan, si un operador decide, no sentarse porque la</w:t>
      </w:r>
      <w:r w:rsidRPr="00B9678A">
        <w:rPr>
          <w:rFonts w:ascii="Times New Roman" w:hAnsi="Times New Roman" w:cs="Times New Roman"/>
          <w:sz w:val="20"/>
          <w:szCs w:val="20"/>
          <w:lang w:val="es-419"/>
        </w:rPr>
        <w:t xml:space="preserve"> renegociación es bilateral, no es unilateral, es un acuerdo entre las partes, si el operador decide no sentarse, está su contrato vigente, y no le va a pasar absolutamente nada. (…) el artículo no dice que el que no se siente que le pasa, nada, el que no </w:t>
      </w:r>
      <w:r w:rsidRPr="00B9678A">
        <w:rPr>
          <w:rFonts w:ascii="Times New Roman" w:hAnsi="Times New Roman" w:cs="Times New Roman"/>
          <w:sz w:val="20"/>
          <w:szCs w:val="20"/>
          <w:lang w:val="es-419"/>
        </w:rPr>
        <w:t>el que no se sienta no le pasa nada ahora como estos contratos están a tan largo plazo, pues me imagino que a un operador le interese, sentarse con su jefe directo que es el alcalde del municipio, del distrito”. Gaceta del Congreso 1386 del 2 de octubre de</w:t>
      </w:r>
      <w:r w:rsidRPr="00B9678A">
        <w:rPr>
          <w:rFonts w:ascii="Times New Roman" w:hAnsi="Times New Roman" w:cs="Times New Roman"/>
          <w:sz w:val="20"/>
          <w:szCs w:val="20"/>
          <w:lang w:val="es-419"/>
        </w:rPr>
        <w:t xml:space="preserve"> 2023</w:t>
      </w:r>
      <w:r w:rsidRPr="00B9678A">
        <w:rPr>
          <w:rFonts w:ascii="Times New Roman" w:hAnsi="Times New Roman" w:cs="Times New Roman"/>
          <w:i/>
          <w:iCs/>
          <w:sz w:val="20"/>
          <w:szCs w:val="20"/>
          <w:lang w:val="es-419"/>
        </w:rPr>
        <w:t xml:space="preserve">, </w:t>
      </w:r>
      <w:r w:rsidRPr="00B9678A">
        <w:rPr>
          <w:rFonts w:ascii="Times New Roman" w:hAnsi="Times New Roman" w:cs="Times New Roman"/>
          <w:sz w:val="20"/>
          <w:szCs w:val="20"/>
          <w:lang w:val="es-419"/>
        </w:rPr>
        <w:t>pp. 26, 28-29.</w:t>
      </w:r>
    </w:p>
  </w:footnote>
  <w:footnote w:id="163">
    <w:p w:rsidR="00B9678A" w:rsidRPr="00B9678A" w:rsidRDefault="00527F3E" w:rsidP="00B9678A">
      <w:pPr>
        <w:pStyle w:val="Footnotereferenc1"/>
        <w:jc w:val="both"/>
        <w:rPr>
          <w:rFonts w:ascii="Times New Roman" w:hAnsi="Times New Roman"/>
          <w:sz w:val="20"/>
          <w:szCs w:val="20"/>
        </w:rPr>
      </w:pPr>
      <w:r w:rsidRPr="00B9678A">
        <w:rPr>
          <w:rStyle w:val="Refdenotaalpie"/>
          <w:rFonts w:ascii="Times New Roman" w:hAnsi="Times New Roman"/>
          <w:sz w:val="20"/>
          <w:szCs w:val="20"/>
        </w:rPr>
        <w:footnoteRef/>
      </w:r>
      <w:r w:rsidRPr="00B9678A">
        <w:rPr>
          <w:rFonts w:ascii="Times New Roman" w:hAnsi="Times New Roman"/>
          <w:sz w:val="20"/>
          <w:szCs w:val="20"/>
        </w:rPr>
        <w:t xml:space="preserve"> Definidas en el Decreto 87 de 2011, “por el cual se modifica la estructura del Ministerio de Transporte, y se determinan las funciones de sus dependencias”.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300769"/>
    <w:multiLevelType w:val="hybridMultilevel"/>
    <w:tmpl w:val="A3AEECDE"/>
    <w:lvl w:ilvl="0" w:tplc="87FC744E">
      <w:start w:val="1"/>
      <w:numFmt w:val="lowerRoman"/>
      <w:lvlText w:val="(%1)"/>
      <w:lvlJc w:val="left"/>
      <w:pPr>
        <w:ind w:left="1428" w:hanging="720"/>
      </w:pPr>
      <w:rPr>
        <w:rFonts w:hint="default"/>
        <w:sz w:val="24"/>
        <w:szCs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2FE234C3"/>
    <w:multiLevelType w:val="hybridMultilevel"/>
    <w:tmpl w:val="FDA66502"/>
    <w:lvl w:ilvl="0" w:tplc="A00EB1B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AD1862"/>
    <w:multiLevelType w:val="hybridMultilevel"/>
    <w:tmpl w:val="AD88BED2"/>
    <w:lvl w:ilvl="0" w:tplc="AF9C6DD2">
      <w:start w:val="1"/>
      <w:numFmt w:val="lowerRoman"/>
      <w:lvlText w:val="(%1)"/>
      <w:lvlJc w:val="left"/>
      <w:pPr>
        <w:ind w:left="626" w:hanging="720"/>
      </w:pPr>
      <w:rPr>
        <w:rFonts w:hint="default"/>
      </w:rPr>
    </w:lvl>
    <w:lvl w:ilvl="1" w:tplc="04090019" w:tentative="1">
      <w:start w:val="1"/>
      <w:numFmt w:val="lowerLetter"/>
      <w:lvlText w:val="%2."/>
      <w:lvlJc w:val="left"/>
      <w:pPr>
        <w:ind w:left="986" w:hanging="360"/>
      </w:pPr>
    </w:lvl>
    <w:lvl w:ilvl="2" w:tplc="0409001B" w:tentative="1">
      <w:start w:val="1"/>
      <w:numFmt w:val="lowerRoman"/>
      <w:lvlText w:val="%3."/>
      <w:lvlJc w:val="right"/>
      <w:pPr>
        <w:ind w:left="1706" w:hanging="180"/>
      </w:pPr>
    </w:lvl>
    <w:lvl w:ilvl="3" w:tplc="0409000F" w:tentative="1">
      <w:start w:val="1"/>
      <w:numFmt w:val="decimal"/>
      <w:lvlText w:val="%4."/>
      <w:lvlJc w:val="left"/>
      <w:pPr>
        <w:ind w:left="2426" w:hanging="360"/>
      </w:pPr>
    </w:lvl>
    <w:lvl w:ilvl="4" w:tplc="04090019" w:tentative="1">
      <w:start w:val="1"/>
      <w:numFmt w:val="lowerLetter"/>
      <w:lvlText w:val="%5."/>
      <w:lvlJc w:val="left"/>
      <w:pPr>
        <w:ind w:left="3146" w:hanging="360"/>
      </w:pPr>
    </w:lvl>
    <w:lvl w:ilvl="5" w:tplc="0409001B" w:tentative="1">
      <w:start w:val="1"/>
      <w:numFmt w:val="lowerRoman"/>
      <w:lvlText w:val="%6."/>
      <w:lvlJc w:val="right"/>
      <w:pPr>
        <w:ind w:left="3866" w:hanging="180"/>
      </w:pPr>
    </w:lvl>
    <w:lvl w:ilvl="6" w:tplc="0409000F" w:tentative="1">
      <w:start w:val="1"/>
      <w:numFmt w:val="decimal"/>
      <w:lvlText w:val="%7."/>
      <w:lvlJc w:val="left"/>
      <w:pPr>
        <w:ind w:left="4586" w:hanging="360"/>
      </w:pPr>
    </w:lvl>
    <w:lvl w:ilvl="7" w:tplc="04090019" w:tentative="1">
      <w:start w:val="1"/>
      <w:numFmt w:val="lowerLetter"/>
      <w:lvlText w:val="%8."/>
      <w:lvlJc w:val="left"/>
      <w:pPr>
        <w:ind w:left="5306" w:hanging="360"/>
      </w:pPr>
    </w:lvl>
    <w:lvl w:ilvl="8" w:tplc="0409001B" w:tentative="1">
      <w:start w:val="1"/>
      <w:numFmt w:val="lowerRoman"/>
      <w:lvlText w:val="%9."/>
      <w:lvlJc w:val="right"/>
      <w:pPr>
        <w:ind w:left="6026" w:hanging="180"/>
      </w:pPr>
    </w:lvl>
  </w:abstractNum>
  <w:abstractNum w:abstractNumId="3" w15:restartNumberingAfterBreak="0">
    <w:nsid w:val="429D361A"/>
    <w:multiLevelType w:val="hybridMultilevel"/>
    <w:tmpl w:val="3D1E10E8"/>
    <w:lvl w:ilvl="0" w:tplc="D548CD34">
      <w:start w:val="1"/>
      <w:numFmt w:val="decimal"/>
      <w:lvlText w:val="§%1. "/>
      <w:lvlJc w:val="left"/>
      <w:pPr>
        <w:ind w:left="360" w:hanging="360"/>
      </w:pPr>
      <w:rPr>
        <w:rFonts w:hint="default"/>
        <w:b w:val="0"/>
        <w:i w:val="0"/>
        <w:iCs w:val="0"/>
        <w:sz w:val="24"/>
        <w:szCs w:val="24"/>
        <w:lang w:val="es-MX"/>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0B18"/>
    <w:rsid w:val="00527F3E"/>
    <w:rsid w:val="00BE0B18"/>
    <w:rsid w:val="00FB37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5CC801DB-3D9D-41E3-B755-A93DC4077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B9678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unhideWhenUsed/>
    <w:qFormat/>
    <w:rsid w:val="00B9678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unhideWhenUsed/>
    <w:qFormat/>
    <w:rsid w:val="00B9678A"/>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unhideWhenUsed/>
    <w:qFormat/>
    <w:rsid w:val="00B9678A"/>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B9678A"/>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B9678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9678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9678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9678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9678A"/>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rsid w:val="00B9678A"/>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rsid w:val="00B9678A"/>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rsid w:val="00B9678A"/>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B9678A"/>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B9678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9678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9678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9678A"/>
    <w:rPr>
      <w:rFonts w:eastAsiaTheme="majorEastAsia" w:cstheme="majorBidi"/>
      <w:color w:val="272727" w:themeColor="text1" w:themeTint="D8"/>
    </w:rPr>
  </w:style>
  <w:style w:type="paragraph" w:styleId="Ttulo">
    <w:name w:val="Title"/>
    <w:basedOn w:val="Normal"/>
    <w:next w:val="Normal"/>
    <w:link w:val="TtuloCar"/>
    <w:uiPriority w:val="10"/>
    <w:qFormat/>
    <w:rsid w:val="00B967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9678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9678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9678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9678A"/>
    <w:pPr>
      <w:spacing w:before="160"/>
      <w:jc w:val="center"/>
    </w:pPr>
    <w:rPr>
      <w:i/>
      <w:iCs/>
      <w:color w:val="404040" w:themeColor="text1" w:themeTint="BF"/>
    </w:rPr>
  </w:style>
  <w:style w:type="character" w:customStyle="1" w:styleId="CitaCar">
    <w:name w:val="Cita Car"/>
    <w:basedOn w:val="Fuentedeprrafopredeter"/>
    <w:link w:val="Cita"/>
    <w:uiPriority w:val="29"/>
    <w:rsid w:val="00B9678A"/>
    <w:rPr>
      <w:i/>
      <w:iCs/>
      <w:color w:val="404040" w:themeColor="text1" w:themeTint="BF"/>
    </w:rPr>
  </w:style>
  <w:style w:type="paragraph" w:styleId="Prrafodelista">
    <w:name w:val="List Paragraph"/>
    <w:aliases w:val="Colorful List - Accent 11,Ha,List Paragraph1,lp1,Párrafo,Numbered Paragraph,Bullets,titulo 3,BOLADEF,BOLA,Párrafo de lista21,Guión,Titulo 8,HOJA,Chulito,Párrafo de lista3,MIBEX B,TITULO1REQ,Párrafo de lista31,ViÃ±eta 2,Párrafo de lista5"/>
    <w:basedOn w:val="Normal"/>
    <w:link w:val="PrrafodelistaCar"/>
    <w:uiPriority w:val="34"/>
    <w:qFormat/>
    <w:rsid w:val="00B9678A"/>
    <w:pPr>
      <w:ind w:left="720"/>
      <w:contextualSpacing/>
    </w:pPr>
  </w:style>
  <w:style w:type="character" w:styleId="nfasisintenso">
    <w:name w:val="Intense Emphasis"/>
    <w:basedOn w:val="Fuentedeprrafopredeter"/>
    <w:uiPriority w:val="21"/>
    <w:qFormat/>
    <w:rsid w:val="00B9678A"/>
    <w:rPr>
      <w:i/>
      <w:iCs/>
      <w:color w:val="2E74B5" w:themeColor="accent1" w:themeShade="BF"/>
    </w:rPr>
  </w:style>
  <w:style w:type="paragraph" w:styleId="Citadestacada">
    <w:name w:val="Intense Quote"/>
    <w:basedOn w:val="Normal"/>
    <w:next w:val="Normal"/>
    <w:link w:val="CitadestacadaCar"/>
    <w:uiPriority w:val="30"/>
    <w:qFormat/>
    <w:rsid w:val="00B9678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B9678A"/>
    <w:rPr>
      <w:i/>
      <w:iCs/>
      <w:color w:val="2E74B5" w:themeColor="accent1" w:themeShade="BF"/>
    </w:rPr>
  </w:style>
  <w:style w:type="character" w:styleId="Referenciaintensa">
    <w:name w:val="Intense Reference"/>
    <w:basedOn w:val="Fuentedeprrafopredeter"/>
    <w:uiPriority w:val="32"/>
    <w:qFormat/>
    <w:rsid w:val="00B9678A"/>
    <w:rPr>
      <w:b/>
      <w:bCs/>
      <w:smallCaps/>
      <w:color w:val="2E74B5" w:themeColor="accent1" w:themeShade="BF"/>
      <w:spacing w:val="5"/>
    </w:rPr>
  </w:style>
  <w:style w:type="numbering" w:customStyle="1" w:styleId="NoList1">
    <w:name w:val="No List1"/>
    <w:next w:val="Sinlista"/>
    <w:uiPriority w:val="99"/>
    <w:semiHidden/>
    <w:unhideWhenUsed/>
    <w:rsid w:val="00B9678A"/>
  </w:style>
  <w:style w:type="character" w:customStyle="1" w:styleId="TextonotapieCar">
    <w:name w:val="Texto nota pie Car"/>
    <w:basedOn w:val="Fuentedeprrafopredeter"/>
    <w:link w:val="Textonotapie"/>
    <w:uiPriority w:val="99"/>
    <w:qFormat/>
    <w:locked/>
    <w:rsid w:val="00B9678A"/>
    <w:rPr>
      <w:rFonts w:cs="Times New Roman"/>
      <w:lang w:val="es-ES" w:eastAsia="x-none"/>
    </w:rPr>
  </w:style>
  <w:style w:type="paragraph" w:customStyle="1" w:styleId="Footnotereferenc1">
    <w:name w:val="Footnote referenc1"/>
    <w:basedOn w:val="Normal"/>
    <w:next w:val="Textonotapie"/>
    <w:uiPriority w:val="99"/>
    <w:unhideWhenUsed/>
    <w:qFormat/>
    <w:rsid w:val="00B9678A"/>
    <w:pPr>
      <w:spacing w:after="0" w:line="240" w:lineRule="auto"/>
    </w:pPr>
    <w:rPr>
      <w:rFonts w:cs="Times New Roman"/>
      <w:lang w:val="es-ES" w:eastAsia="x-none"/>
    </w:rPr>
  </w:style>
  <w:style w:type="character" w:customStyle="1" w:styleId="TextonotapieCar1">
    <w:name w:val="Texto nota pie Car1"/>
    <w:aliases w:val="Footnote Text Char Char Char Char Char Car,Footnote Text Char Char Char Char Car,Ref. de nota al pie1 Car1,FA Fu Car,texto de nota al pie Car,Footnote Text Char Char Char Car,Footnote Text Char Car,Footnote Te Car,Ca Car"/>
    <w:basedOn w:val="Fuentedeprrafopredeter"/>
    <w:uiPriority w:val="99"/>
    <w:rsid w:val="00B9678A"/>
    <w:rPr>
      <w:rFonts w:ascii="Times New Roman" w:eastAsia="Times New Roman" w:hAnsi="Times New Roman" w:cs="Times New Roman"/>
      <w:kern w:val="0"/>
      <w:sz w:val="20"/>
      <w:szCs w:val="20"/>
      <w:lang w:eastAsia="es-ES_tradnl"/>
    </w:rPr>
  </w:style>
  <w:style w:type="character" w:styleId="Refdenotaalpie">
    <w:name w:val="footnote reference"/>
    <w:aliases w:val="Texto de nota al pie,Ref1,de nota al pie1,Nota de pie,Texto nota al pie,Fago Fußnotenzeichen,4_G,16 Point,Superscript 6 Point,Footnote Reference Char3,FC,f1,Texto nota pie Car Car,Footnote Text Char Char Char Char Char Char1 Car,R,F"/>
    <w:basedOn w:val="Fuentedeprrafopredeter"/>
    <w:link w:val="Piedepagina"/>
    <w:uiPriority w:val="99"/>
    <w:unhideWhenUsed/>
    <w:qFormat/>
    <w:rsid w:val="00B9678A"/>
    <w:rPr>
      <w:rFonts w:cs="Times New Roman"/>
      <w:vertAlign w:val="superscript"/>
    </w:rPr>
  </w:style>
  <w:style w:type="paragraph" w:customStyle="1" w:styleId="Piedepagina">
    <w:name w:val="Pie de pagina"/>
    <w:aliases w:val="Ref. de nota al pie2"/>
    <w:basedOn w:val="Normal"/>
    <w:link w:val="Refdenotaalpie"/>
    <w:uiPriority w:val="99"/>
    <w:qFormat/>
    <w:rsid w:val="00B9678A"/>
    <w:pPr>
      <w:spacing w:line="240" w:lineRule="exact"/>
    </w:pPr>
    <w:rPr>
      <w:rFonts w:cs="Times New Roman"/>
      <w:vertAlign w:val="superscript"/>
    </w:rPr>
  </w:style>
  <w:style w:type="character" w:styleId="Hipervnculo">
    <w:name w:val="Hyperlink"/>
    <w:basedOn w:val="Fuentedeprrafopredeter"/>
    <w:uiPriority w:val="99"/>
    <w:unhideWhenUsed/>
    <w:rsid w:val="00B9678A"/>
    <w:rPr>
      <w:rFonts w:cs="Times New Roman"/>
      <w:color w:val="0000FF"/>
      <w:u w:val="single"/>
    </w:rPr>
  </w:style>
  <w:style w:type="paragraph" w:styleId="Encabezado">
    <w:name w:val="header"/>
    <w:basedOn w:val="Normal"/>
    <w:link w:val="EncabezadoCar"/>
    <w:uiPriority w:val="99"/>
    <w:unhideWhenUsed/>
    <w:rsid w:val="00B9678A"/>
    <w:pPr>
      <w:tabs>
        <w:tab w:val="center" w:pos="4419"/>
        <w:tab w:val="right" w:pos="8838"/>
      </w:tabs>
      <w:spacing w:after="0" w:line="240" w:lineRule="auto"/>
    </w:pPr>
    <w:rPr>
      <w:rFonts w:ascii="Times New Roman" w:eastAsia="Times New Roman" w:hAnsi="Times New Roman" w:cs="Times New Roman"/>
      <w:sz w:val="28"/>
      <w:lang w:val="es-ES"/>
    </w:rPr>
  </w:style>
  <w:style w:type="character" w:customStyle="1" w:styleId="EncabezadoCar">
    <w:name w:val="Encabezado Car"/>
    <w:basedOn w:val="Fuentedeprrafopredeter"/>
    <w:link w:val="Encabezado"/>
    <w:uiPriority w:val="99"/>
    <w:rsid w:val="00B9678A"/>
    <w:rPr>
      <w:rFonts w:ascii="Times New Roman" w:eastAsia="Times New Roman" w:hAnsi="Times New Roman" w:cs="Times New Roman"/>
      <w:kern w:val="0"/>
      <w:sz w:val="28"/>
      <w:lang w:val="es-ES"/>
    </w:rPr>
  </w:style>
  <w:style w:type="paragraph" w:styleId="Piedepgina">
    <w:name w:val="footer"/>
    <w:basedOn w:val="Normal"/>
    <w:link w:val="PiedepginaCar"/>
    <w:uiPriority w:val="99"/>
    <w:unhideWhenUsed/>
    <w:rsid w:val="00B9678A"/>
    <w:pPr>
      <w:tabs>
        <w:tab w:val="center" w:pos="4419"/>
        <w:tab w:val="right" w:pos="8838"/>
      </w:tabs>
      <w:spacing w:after="0" w:line="240" w:lineRule="auto"/>
    </w:pPr>
    <w:rPr>
      <w:rFonts w:ascii="Times New Roman" w:eastAsia="Times New Roman" w:hAnsi="Times New Roman" w:cs="Times New Roman"/>
      <w:sz w:val="28"/>
      <w:lang w:val="es-ES"/>
    </w:rPr>
  </w:style>
  <w:style w:type="character" w:customStyle="1" w:styleId="PiedepginaCar">
    <w:name w:val="Pie de página Car"/>
    <w:basedOn w:val="Fuentedeprrafopredeter"/>
    <w:link w:val="Piedepgina"/>
    <w:uiPriority w:val="99"/>
    <w:rsid w:val="00B9678A"/>
    <w:rPr>
      <w:rFonts w:ascii="Times New Roman" w:eastAsia="Times New Roman" w:hAnsi="Times New Roman" w:cs="Times New Roman"/>
      <w:kern w:val="0"/>
      <w:sz w:val="28"/>
      <w:lang w:val="es-ES"/>
    </w:rPr>
  </w:style>
  <w:style w:type="character" w:styleId="Nmerodepgina">
    <w:name w:val="page number"/>
    <w:basedOn w:val="Fuentedeprrafopredeter"/>
    <w:uiPriority w:val="99"/>
    <w:semiHidden/>
    <w:unhideWhenUsed/>
    <w:rsid w:val="00B9678A"/>
    <w:rPr>
      <w:rFonts w:cs="Times New Roman"/>
    </w:rPr>
  </w:style>
  <w:style w:type="character" w:customStyle="1" w:styleId="PrrafodelistaCar">
    <w:name w:val="Párrafo de lista Car"/>
    <w:aliases w:val="Colorful List - Accent 11 Car,Ha Car,List Paragraph1 Car,lp1 Car,Párrafo Car,Numbered Paragraph Car,Bullets Car,titulo 3 Car,BOLADEF Car,BOLA Car,Párrafo de lista21 Car,Guión Car,Titulo 8 Car,HOJA Car,Chulito Car,MIBEX B Car"/>
    <w:link w:val="Prrafodelista"/>
    <w:uiPriority w:val="34"/>
    <w:qFormat/>
    <w:locked/>
    <w:rsid w:val="00B9678A"/>
  </w:style>
  <w:style w:type="table" w:styleId="Tablaconcuadrcula">
    <w:name w:val="Table Grid"/>
    <w:basedOn w:val="Tablanormal"/>
    <w:uiPriority w:val="39"/>
    <w:rsid w:val="00B967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te1car0">
    <w:name w:val="corte1car0"/>
    <w:basedOn w:val="Fuentedeprrafopredeter"/>
    <w:rsid w:val="00B9678A"/>
  </w:style>
  <w:style w:type="paragraph" w:customStyle="1" w:styleId="Default">
    <w:name w:val="Default"/>
    <w:rsid w:val="00B9678A"/>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Refdecomentario">
    <w:name w:val="annotation reference"/>
    <w:basedOn w:val="Fuentedeprrafopredeter"/>
    <w:uiPriority w:val="99"/>
    <w:semiHidden/>
    <w:unhideWhenUsed/>
    <w:rsid w:val="00B9678A"/>
    <w:rPr>
      <w:sz w:val="16"/>
      <w:szCs w:val="16"/>
    </w:rPr>
  </w:style>
  <w:style w:type="paragraph" w:styleId="Textocomentario">
    <w:name w:val="annotation text"/>
    <w:basedOn w:val="Normal"/>
    <w:link w:val="TextocomentarioCar"/>
    <w:uiPriority w:val="99"/>
    <w:unhideWhenUsed/>
    <w:rsid w:val="00B9678A"/>
    <w:pPr>
      <w:spacing w:after="0" w:line="240" w:lineRule="auto"/>
    </w:pPr>
    <w:rPr>
      <w:rFonts w:ascii="Times New Roman" w:eastAsia="Times New Roman" w:hAnsi="Times New Roman" w:cs="Times New Roman"/>
      <w:sz w:val="20"/>
      <w:szCs w:val="20"/>
      <w:lang w:eastAsia="es-ES_tradnl"/>
    </w:rPr>
  </w:style>
  <w:style w:type="character" w:customStyle="1" w:styleId="TextocomentarioCar">
    <w:name w:val="Texto comentario Car"/>
    <w:basedOn w:val="Fuentedeprrafopredeter"/>
    <w:link w:val="Textocomentario"/>
    <w:uiPriority w:val="99"/>
    <w:rsid w:val="00B9678A"/>
    <w:rPr>
      <w:rFonts w:ascii="Times New Roman" w:eastAsia="Times New Roman" w:hAnsi="Times New Roman" w:cs="Times New Roman"/>
      <w:kern w:val="0"/>
      <w:sz w:val="20"/>
      <w:szCs w:val="20"/>
      <w:lang w:val="es-CO" w:eastAsia="es-ES_tradnl"/>
    </w:rPr>
  </w:style>
  <w:style w:type="paragraph" w:styleId="Asuntodelcomentario">
    <w:name w:val="annotation subject"/>
    <w:basedOn w:val="Textocomentario"/>
    <w:next w:val="Textocomentario"/>
    <w:link w:val="AsuntodelcomentarioCar"/>
    <w:uiPriority w:val="99"/>
    <w:semiHidden/>
    <w:unhideWhenUsed/>
    <w:rsid w:val="00B9678A"/>
    <w:rPr>
      <w:b/>
      <w:bCs/>
    </w:rPr>
  </w:style>
  <w:style w:type="character" w:customStyle="1" w:styleId="AsuntodelcomentarioCar">
    <w:name w:val="Asunto del comentario Car"/>
    <w:basedOn w:val="TextocomentarioCar"/>
    <w:link w:val="Asuntodelcomentario"/>
    <w:uiPriority w:val="99"/>
    <w:semiHidden/>
    <w:rsid w:val="00B9678A"/>
    <w:rPr>
      <w:rFonts w:ascii="Times New Roman" w:eastAsia="Times New Roman" w:hAnsi="Times New Roman" w:cs="Times New Roman"/>
      <w:b/>
      <w:bCs/>
      <w:kern w:val="0"/>
      <w:sz w:val="20"/>
      <w:szCs w:val="20"/>
      <w:lang w:val="es-CO" w:eastAsia="es-ES_tradnl"/>
    </w:rPr>
  </w:style>
  <w:style w:type="character" w:customStyle="1" w:styleId="Mencinsinresolver1">
    <w:name w:val="Mención sin resolver1"/>
    <w:basedOn w:val="Fuentedeprrafopredeter"/>
    <w:uiPriority w:val="99"/>
    <w:semiHidden/>
    <w:unhideWhenUsed/>
    <w:rsid w:val="00B9678A"/>
    <w:rPr>
      <w:color w:val="605E5C"/>
      <w:shd w:val="clear" w:color="auto" w:fill="E1DFDD"/>
    </w:rPr>
  </w:style>
  <w:style w:type="character" w:customStyle="1" w:styleId="FollowedHyperlink1">
    <w:name w:val="FollowedHyperlink1"/>
    <w:basedOn w:val="Fuentedeprrafopredeter"/>
    <w:uiPriority w:val="99"/>
    <w:semiHidden/>
    <w:unhideWhenUsed/>
    <w:rsid w:val="00B9678A"/>
    <w:rPr>
      <w:color w:val="954F72"/>
      <w:u w:val="single"/>
    </w:rPr>
  </w:style>
  <w:style w:type="paragraph" w:styleId="Textoindependiente2">
    <w:name w:val="Body Text 2"/>
    <w:basedOn w:val="Normal"/>
    <w:link w:val="Textoindependiente2Car"/>
    <w:uiPriority w:val="99"/>
    <w:unhideWhenUsed/>
    <w:rsid w:val="00B9678A"/>
    <w:pPr>
      <w:spacing w:after="120" w:line="480" w:lineRule="auto"/>
    </w:pPr>
    <w:rPr>
      <w:rFonts w:ascii="Times New Roman" w:eastAsia="Times New Roman" w:hAnsi="Times New Roman" w:cs="Times New Roman"/>
      <w:sz w:val="24"/>
      <w:szCs w:val="24"/>
      <w:lang w:eastAsia="es-ES_tradnl"/>
    </w:rPr>
  </w:style>
  <w:style w:type="character" w:customStyle="1" w:styleId="Textoindependiente2Car">
    <w:name w:val="Texto independiente 2 Car"/>
    <w:basedOn w:val="Fuentedeprrafopredeter"/>
    <w:link w:val="Textoindependiente2"/>
    <w:uiPriority w:val="99"/>
    <w:rsid w:val="00B9678A"/>
    <w:rPr>
      <w:rFonts w:ascii="Times New Roman" w:eastAsia="Times New Roman" w:hAnsi="Times New Roman" w:cs="Times New Roman"/>
      <w:kern w:val="0"/>
      <w:sz w:val="24"/>
      <w:szCs w:val="24"/>
      <w:lang w:val="es-CO" w:eastAsia="es-ES_tradnl"/>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qFormat/>
    <w:rsid w:val="00B9678A"/>
    <w:pPr>
      <w:spacing w:after="0" w:line="240" w:lineRule="auto"/>
      <w:jc w:val="both"/>
    </w:pPr>
    <w:rPr>
      <w:vertAlign w:val="superscript"/>
    </w:rPr>
  </w:style>
  <w:style w:type="paragraph" w:styleId="NormalWeb">
    <w:name w:val="Normal (Web)"/>
    <w:basedOn w:val="Normal"/>
    <w:uiPriority w:val="99"/>
    <w:unhideWhenUsed/>
    <w:rsid w:val="00B9678A"/>
    <w:pPr>
      <w:spacing w:after="0" w:line="240" w:lineRule="auto"/>
    </w:pPr>
    <w:rPr>
      <w:rFonts w:ascii="Times New Roman" w:eastAsia="Times New Roman" w:hAnsi="Times New Roman" w:cs="Times New Roman"/>
      <w:sz w:val="24"/>
      <w:szCs w:val="24"/>
      <w:lang w:eastAsia="es-ES_tradnl"/>
    </w:rPr>
  </w:style>
  <w:style w:type="character" w:styleId="Textoennegrita">
    <w:name w:val="Strong"/>
    <w:basedOn w:val="Fuentedeprrafopredeter"/>
    <w:uiPriority w:val="22"/>
    <w:qFormat/>
    <w:rsid w:val="00B9678A"/>
    <w:rPr>
      <w:b/>
      <w:bCs/>
    </w:rPr>
  </w:style>
  <w:style w:type="paragraph" w:styleId="Revisin">
    <w:name w:val="Revision"/>
    <w:hidden/>
    <w:uiPriority w:val="99"/>
    <w:semiHidden/>
    <w:rsid w:val="00B9678A"/>
    <w:pPr>
      <w:spacing w:after="0" w:line="240" w:lineRule="auto"/>
    </w:pPr>
    <w:rPr>
      <w:rFonts w:ascii="Times New Roman" w:eastAsia="Times New Roman" w:hAnsi="Times New Roman" w:cs="Times New Roman"/>
      <w:sz w:val="24"/>
      <w:szCs w:val="24"/>
      <w:lang w:eastAsia="es-ES_tradnl"/>
    </w:rPr>
  </w:style>
  <w:style w:type="paragraph" w:styleId="Textodeglobo">
    <w:name w:val="Balloon Text"/>
    <w:basedOn w:val="Normal"/>
    <w:link w:val="TextodegloboCar"/>
    <w:uiPriority w:val="99"/>
    <w:semiHidden/>
    <w:unhideWhenUsed/>
    <w:rsid w:val="00B9678A"/>
    <w:pPr>
      <w:spacing w:after="0" w:line="240" w:lineRule="auto"/>
    </w:pPr>
    <w:rPr>
      <w:rFonts w:ascii="Segoe UI" w:eastAsia="Times New Roman" w:hAnsi="Segoe UI" w:cs="Segoe UI"/>
      <w:sz w:val="18"/>
      <w:szCs w:val="18"/>
      <w:lang w:eastAsia="es-ES_tradnl"/>
    </w:rPr>
  </w:style>
  <w:style w:type="character" w:customStyle="1" w:styleId="TextodegloboCar">
    <w:name w:val="Texto de globo Car"/>
    <w:basedOn w:val="Fuentedeprrafopredeter"/>
    <w:link w:val="Textodeglobo"/>
    <w:uiPriority w:val="99"/>
    <w:semiHidden/>
    <w:rsid w:val="00B9678A"/>
    <w:rPr>
      <w:rFonts w:ascii="Segoe UI" w:eastAsia="Times New Roman" w:hAnsi="Segoe UI" w:cs="Segoe UI"/>
      <w:kern w:val="0"/>
      <w:sz w:val="18"/>
      <w:szCs w:val="18"/>
      <w:lang w:val="es-CO" w:eastAsia="es-ES_tradnl"/>
    </w:rPr>
  </w:style>
  <w:style w:type="character" w:customStyle="1" w:styleId="Mencinsinresolver2">
    <w:name w:val="Mención sin resolver2"/>
    <w:basedOn w:val="Fuentedeprrafopredeter"/>
    <w:uiPriority w:val="99"/>
    <w:semiHidden/>
    <w:unhideWhenUsed/>
    <w:rsid w:val="00B9678A"/>
    <w:rPr>
      <w:color w:val="605E5C"/>
      <w:shd w:val="clear" w:color="auto" w:fill="E1DFDD"/>
    </w:rPr>
  </w:style>
  <w:style w:type="paragraph" w:customStyle="1" w:styleId="textocarta">
    <w:name w:val="texto carta"/>
    <w:basedOn w:val="Normal"/>
    <w:uiPriority w:val="99"/>
    <w:rsid w:val="00B9678A"/>
    <w:pPr>
      <w:autoSpaceDE w:val="0"/>
      <w:autoSpaceDN w:val="0"/>
      <w:adjustRightInd w:val="0"/>
      <w:spacing w:after="0" w:line="300" w:lineRule="atLeast"/>
      <w:ind w:firstLine="300"/>
      <w:jc w:val="both"/>
      <w:textAlignment w:val="center"/>
    </w:pPr>
    <w:rPr>
      <w:rFonts w:ascii="Ancizar Sans Regular" w:eastAsia="Times New Roman" w:hAnsi="Ancizar Sans Regular" w:cs="Ancizar Sans Regular"/>
      <w:color w:val="000000"/>
      <w:lang w:val="es-ES_tradnl"/>
    </w:rPr>
  </w:style>
  <w:style w:type="character" w:styleId="nfasis">
    <w:name w:val="Emphasis"/>
    <w:basedOn w:val="Fuentedeprrafopredeter"/>
    <w:uiPriority w:val="20"/>
    <w:qFormat/>
    <w:rsid w:val="00B9678A"/>
    <w:rPr>
      <w:i/>
      <w:iCs/>
    </w:rPr>
  </w:style>
  <w:style w:type="character" w:customStyle="1" w:styleId="UnresolvedMention1">
    <w:name w:val="Unresolved Mention1"/>
    <w:basedOn w:val="Fuentedeprrafopredeter"/>
    <w:uiPriority w:val="99"/>
    <w:semiHidden/>
    <w:unhideWhenUsed/>
    <w:rsid w:val="00B9678A"/>
    <w:rPr>
      <w:color w:val="605E5C"/>
      <w:shd w:val="clear" w:color="auto" w:fill="E1DFDD"/>
    </w:rPr>
  </w:style>
  <w:style w:type="paragraph" w:customStyle="1" w:styleId="Car">
    <w:name w:val="Car"/>
    <w:basedOn w:val="Normal"/>
    <w:rsid w:val="00B9678A"/>
    <w:pPr>
      <w:spacing w:line="240" w:lineRule="exact"/>
    </w:pPr>
    <w:rPr>
      <w:rFonts w:ascii="Times New Roman" w:eastAsia="Times New Roman" w:hAnsi="Times New Roman" w:cs="Times New Roman"/>
      <w:noProof/>
      <w:color w:val="000000"/>
      <w:sz w:val="20"/>
      <w:szCs w:val="20"/>
    </w:rPr>
  </w:style>
  <w:style w:type="character" w:customStyle="1" w:styleId="FootnoteTextChar1">
    <w:name w:val="Footnote Text Char1"/>
    <w:aliases w:val="Texto nota pie Car Char1,Footnote Text Char Char Char Char Char Char2,Footnote Text Char Char Char Char Char2,Footnote Reference1 Char,FA Fu Char1,Footnote Text Char Char Char Char Char Char Char Char Char1,Footnote referenc Char1"/>
    <w:uiPriority w:val="99"/>
    <w:qFormat/>
    <w:locked/>
    <w:rsid w:val="00B9678A"/>
    <w:rPr>
      <w:sz w:val="22"/>
      <w:lang w:val="es-CO" w:eastAsia="x-none"/>
    </w:rPr>
  </w:style>
  <w:style w:type="paragraph" w:styleId="Textonotapie">
    <w:name w:val="footnote text"/>
    <w:basedOn w:val="Normal"/>
    <w:link w:val="TextonotapieCar"/>
    <w:uiPriority w:val="99"/>
    <w:semiHidden/>
    <w:unhideWhenUsed/>
    <w:rsid w:val="00B9678A"/>
    <w:pPr>
      <w:spacing w:after="0" w:line="240" w:lineRule="auto"/>
    </w:pPr>
    <w:rPr>
      <w:rFonts w:cs="Times New Roman"/>
      <w:lang w:val="es-ES" w:eastAsia="x-none"/>
    </w:rPr>
  </w:style>
  <w:style w:type="character" w:customStyle="1" w:styleId="FootnoteTextChar2">
    <w:name w:val="Footnote Text Char2"/>
    <w:basedOn w:val="Fuentedeprrafopredeter"/>
    <w:uiPriority w:val="99"/>
    <w:semiHidden/>
    <w:rsid w:val="00B9678A"/>
    <w:rPr>
      <w:sz w:val="20"/>
      <w:szCs w:val="20"/>
    </w:rPr>
  </w:style>
  <w:style w:type="character" w:styleId="Hipervnculovisitado">
    <w:name w:val="FollowedHyperlink"/>
    <w:basedOn w:val="Fuentedeprrafopredeter"/>
    <w:uiPriority w:val="99"/>
    <w:semiHidden/>
    <w:unhideWhenUsed/>
    <w:rsid w:val="00B967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corteconstitucional.gov.co/secretaria/archivo.php?id=62988" TargetMode="External"/><Relationship Id="rId18" Type="http://schemas.openxmlformats.org/officeDocument/2006/relationships/hyperlink" Target="https://www.corteconstitucional.gov.co/secretaria/archivo.php?id=70217" TargetMode="External"/><Relationship Id="rId26" Type="http://schemas.openxmlformats.org/officeDocument/2006/relationships/hyperlink" Target="https://www.corteconstitucional.gov.co/secretaria/archivo.php?id=72280" TargetMode="External"/><Relationship Id="rId21" Type="http://schemas.openxmlformats.org/officeDocument/2006/relationships/hyperlink" Target="https://www.corteconstitucional.gov.co/secretaria/archivo.php?id=71678" TargetMode="External"/><Relationship Id="rId34" Type="http://schemas.openxmlformats.org/officeDocument/2006/relationships/hyperlink" Target="https://www.corteconstitucional.gov.co/secretaria/archivo.php?id=70217" TargetMode="External"/><Relationship Id="rId7" Type="http://schemas.openxmlformats.org/officeDocument/2006/relationships/hyperlink" Target="https://www.corteconstitucional.gov.co/secretaria/archivo.php?id=72286" TargetMode="External"/><Relationship Id="rId12" Type="http://schemas.openxmlformats.org/officeDocument/2006/relationships/hyperlink" Target="https://www.corteconstitucional.gov.co/secretaria/archivo.php?id=75319" TargetMode="External"/><Relationship Id="rId17" Type="http://schemas.openxmlformats.org/officeDocument/2006/relationships/hyperlink" Target="https://www.corteconstitucional.gov.co/secretaria/archivo.php?id=66808" TargetMode="External"/><Relationship Id="rId25" Type="http://schemas.openxmlformats.org/officeDocument/2006/relationships/hyperlink" Target="https://www.youtube.com/live/Of12CBupBdE?app=desktop" TargetMode="External"/><Relationship Id="rId33" Type="http://schemas.openxmlformats.org/officeDocument/2006/relationships/hyperlink" Target="https://www.corteconstitucional.gov.co/secretaria/archivo.php?id=71680" TargetMode="External"/><Relationship Id="rId2" Type="http://schemas.openxmlformats.org/officeDocument/2006/relationships/hyperlink" Target="https://www.corteconstitucional.gov.co/secretaria/archivo.php?id=66440" TargetMode="External"/><Relationship Id="rId16" Type="http://schemas.openxmlformats.org/officeDocument/2006/relationships/hyperlink" Target="https://www.corteconstitucional.gov.co/secretaria/archivo.php?id=66808" TargetMode="External"/><Relationship Id="rId20" Type="http://schemas.openxmlformats.org/officeDocument/2006/relationships/hyperlink" Target="https://www.corteconstitucional.gov.co/secretaria/archivo.php?id=71139" TargetMode="External"/><Relationship Id="rId29" Type="http://schemas.openxmlformats.org/officeDocument/2006/relationships/hyperlink" Target="https://www.corteconstitucional.gov.co/secretaria/archivo.php?id=70217" TargetMode="External"/><Relationship Id="rId1" Type="http://schemas.openxmlformats.org/officeDocument/2006/relationships/hyperlink" Target="https://www.corteconstitucional.gov.co/secretaria/archivo.php?id=62988" TargetMode="External"/><Relationship Id="rId6" Type="http://schemas.openxmlformats.org/officeDocument/2006/relationships/hyperlink" Target="https://www.corteconstitucional.gov.co/secretaria/archivo.php?id=72285" TargetMode="External"/><Relationship Id="rId11" Type="http://schemas.openxmlformats.org/officeDocument/2006/relationships/hyperlink" Target="https://www.corteconstitucional.gov.co/secretaria/archivo.php?id=74952" TargetMode="External"/><Relationship Id="rId24" Type="http://schemas.openxmlformats.org/officeDocument/2006/relationships/hyperlink" Target="https://www.youtube.com/watch?v=aqcO5v5Inxo" TargetMode="External"/><Relationship Id="rId32" Type="http://schemas.openxmlformats.org/officeDocument/2006/relationships/hyperlink" Target="https://www.corteconstitucional.gov.co/secretaria/archivo.php?id=71139" TargetMode="External"/><Relationship Id="rId37" Type="http://schemas.openxmlformats.org/officeDocument/2006/relationships/hyperlink" Target="https://www.corteconstitucional.gov.co/secretaria/archivo.php?id=70217" TargetMode="External"/><Relationship Id="rId5" Type="http://schemas.openxmlformats.org/officeDocument/2006/relationships/hyperlink" Target="https://www.corteconstitucional.gov.co/secretaria/archivo.php?id=72280" TargetMode="External"/><Relationship Id="rId15" Type="http://schemas.openxmlformats.org/officeDocument/2006/relationships/hyperlink" Target="https://www.corteconstitucional.gov.co/secretaria/archivo.php?id=62988" TargetMode="External"/><Relationship Id="rId23" Type="http://schemas.openxmlformats.org/officeDocument/2006/relationships/hyperlink" Target="https://www.corteconstitucional.gov.co/secretaria/archivo.php?id=72035" TargetMode="External"/><Relationship Id="rId28" Type="http://schemas.openxmlformats.org/officeDocument/2006/relationships/hyperlink" Target="https://www.corteconstitucional.gov.co/secretaria/archivo.php?id=75243" TargetMode="External"/><Relationship Id="rId36" Type="http://schemas.openxmlformats.org/officeDocument/2006/relationships/hyperlink" Target="https://www.corteconstitucional.gov.co/secretaria/archivo.php?id=71680" TargetMode="External"/><Relationship Id="rId10" Type="http://schemas.openxmlformats.org/officeDocument/2006/relationships/hyperlink" Target="https://www.corteconstitucional.gov.co/secretaria/archivo.php?id=72499" TargetMode="External"/><Relationship Id="rId19" Type="http://schemas.openxmlformats.org/officeDocument/2006/relationships/hyperlink" Target="https://www.corteconstitucional.gov.co/secretaria/archivo.php?id=71232" TargetMode="External"/><Relationship Id="rId31" Type="http://schemas.openxmlformats.org/officeDocument/2006/relationships/hyperlink" Target="https://www.corteconstitucional.gov.co/secretaria/archivo.php?id=70217" TargetMode="External"/><Relationship Id="rId4" Type="http://schemas.openxmlformats.org/officeDocument/2006/relationships/hyperlink" Target="https://www.corteconstitucional.gov.co/secretaria/archivo.php?id=68995" TargetMode="External"/><Relationship Id="rId9" Type="http://schemas.openxmlformats.org/officeDocument/2006/relationships/hyperlink" Target="https://www.corteconstitucional.gov.co/secretaria/archivo.php?id=72288" TargetMode="External"/><Relationship Id="rId14" Type="http://schemas.openxmlformats.org/officeDocument/2006/relationships/hyperlink" Target="https://www.corteconstitucional.gov.co/secretaria/archivo.php?id=66808" TargetMode="External"/><Relationship Id="rId22" Type="http://schemas.openxmlformats.org/officeDocument/2006/relationships/hyperlink" Target="https://www.corteconstitucional.gov.co/secretaria/archivo.php?id=71680" TargetMode="External"/><Relationship Id="rId27" Type="http://schemas.openxmlformats.org/officeDocument/2006/relationships/hyperlink" Target="https://www.corteconstitucional.gov.co/secretaria/" TargetMode="External"/><Relationship Id="rId30" Type="http://schemas.openxmlformats.org/officeDocument/2006/relationships/hyperlink" Target="https://www.corteconstitucional.gov.co/secretaria/archivo.php?id=70217" TargetMode="External"/><Relationship Id="rId35" Type="http://schemas.openxmlformats.org/officeDocument/2006/relationships/hyperlink" Target="https://www.corteconstitucional.gov.co/secretaria/archivo.php?id=70217" TargetMode="External"/><Relationship Id="rId8" Type="http://schemas.openxmlformats.org/officeDocument/2006/relationships/hyperlink" Target="https://www.corteconstitucional.gov.co/secretaria/archivo.php?id=72287" TargetMode="External"/><Relationship Id="rId3" Type="http://schemas.openxmlformats.org/officeDocument/2006/relationships/hyperlink" Target="https://www.corteconstitucional.gov.co/secretaria/archivo.php?id=66808"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23053</Words>
  <Characters>126794</Characters>
  <Application>Microsoft Office Word</Application>
  <DocSecurity>0</DocSecurity>
  <Lines>1056</Lines>
  <Paragraphs>299</Paragraphs>
  <ScaleCrop>false</ScaleCrop>
  <Company/>
  <LinksUpToDate>false</LinksUpToDate>
  <CharactersWithSpaces>149548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2024-07-17T16:23:00Z</dcterms:created>
  <dcterms:modified xsi:type="dcterms:W3CDTF">2024-07-17T16:23:00Z</dcterms:modified>
</cp:coreProperties>
</file>