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B93" w:rsidRPr="000149EE" w:rsidRDefault="00B65B28">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0149EE">
        <w:rPr>
          <w:rFonts w:ascii="Times New Roman" w:hAnsi="Times New Roman" w:cs="Times New Roman"/>
          <w:sz w:val="28"/>
          <w:szCs w:val="24"/>
        </w:rPr>
        <w:t xml:space="preserve"> </w:t>
      </w:r>
    </w:p>
    <w:p w:rsidR="00482B93" w:rsidRPr="000149EE" w:rsidRDefault="00482B93">
      <w:pPr>
        <w:widowControl w:val="0"/>
        <w:autoSpaceDE w:val="0"/>
        <w:autoSpaceDN w:val="0"/>
        <w:adjustRightInd w:val="0"/>
        <w:spacing w:after="0" w:line="240" w:lineRule="auto"/>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center"/>
        <w:rPr>
          <w:rFonts w:ascii="Times New Roman" w:hAnsi="Times New Roman" w:cs="Times New Roman"/>
          <w:b/>
          <w:bCs/>
          <w:sz w:val="28"/>
          <w:szCs w:val="28"/>
        </w:rPr>
      </w:pPr>
      <w:r w:rsidRPr="000149EE">
        <w:rPr>
          <w:rFonts w:ascii="Times New Roman" w:hAnsi="Times New Roman" w:cs="Times New Roman"/>
          <w:b/>
          <w:bCs/>
          <w:sz w:val="28"/>
          <w:szCs w:val="28"/>
        </w:rPr>
        <w:t xml:space="preserve">TEMAS-SUBTEMAS </w:t>
      </w:r>
    </w:p>
    <w:p w:rsidR="00482B93" w:rsidRPr="000149EE" w:rsidRDefault="00482B93">
      <w:pPr>
        <w:widowControl w:val="0"/>
        <w:autoSpaceDE w:val="0"/>
        <w:autoSpaceDN w:val="0"/>
        <w:adjustRightInd w:val="0"/>
        <w:spacing w:after="0" w:line="240" w:lineRule="auto"/>
        <w:jc w:val="center"/>
        <w:rPr>
          <w:rFonts w:ascii="Times New Roman" w:hAnsi="Times New Roman" w:cs="Times New Roman"/>
          <w:b/>
          <w:bCs/>
          <w:sz w:val="28"/>
          <w:szCs w:val="28"/>
        </w:rPr>
      </w:pPr>
    </w:p>
    <w:p w:rsidR="00482B93" w:rsidRPr="000149EE" w:rsidRDefault="00B65B28">
      <w:pPr>
        <w:widowControl w:val="0"/>
        <w:autoSpaceDE w:val="0"/>
        <w:autoSpaceDN w:val="0"/>
        <w:adjustRightInd w:val="0"/>
        <w:spacing w:after="0" w:line="240" w:lineRule="auto"/>
        <w:jc w:val="center"/>
        <w:rPr>
          <w:rFonts w:ascii="Times New Roman" w:hAnsi="Times New Roman" w:cs="Times New Roman"/>
          <w:sz w:val="28"/>
          <w:szCs w:val="28"/>
        </w:rPr>
      </w:pPr>
      <w:r w:rsidRPr="000149EE">
        <w:rPr>
          <w:rFonts w:ascii="Times New Roman" w:hAnsi="Times New Roman" w:cs="Times New Roman"/>
          <w:b/>
          <w:bCs/>
          <w:sz w:val="28"/>
          <w:szCs w:val="28"/>
        </w:rPr>
        <w:t xml:space="preserve">Sentencia C-205/24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PRINCIPIOS DE IGUALDAD Y DE EQUIDAD TRIBUTARIA</w:t>
      </w:r>
      <w:r w:rsidRPr="000149EE">
        <w:rPr>
          <w:rFonts w:ascii="Times New Roman" w:hAnsi="Times New Roman" w:cs="Times New Roman"/>
          <w:sz w:val="28"/>
          <w:szCs w:val="28"/>
        </w:rPr>
        <w:t>-No se vulneran en régimen tarifario del impuesto sobre la renta para usuarios industriales de zona franca</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i/>
          <w:iCs/>
          <w:sz w:val="28"/>
          <w:szCs w:val="28"/>
        </w:rPr>
        <w:t xml:space="preserve">La Corte concluye que la tarifa diferencial del impuesto sobre la renta prevista en los numerales 1, 2 y 3 y el parágrafo 6° del artículo 240-1 del ET, modificados por el artículo 11 de la Ley 2277 de 2022, no vulnera los principios de igualdad y equidad tributaria. Esta medida satisface las exigencias del juicio leve de igualdad, porque, en primer lugar, persigue finalidades legítimas no prohibidas por la Constitución, a saber: (i) fomentar la exportación y (ii) corregir asimetrías tributarias. En segundo lugar, la tarifa diferencial es una medida idónea para alcanzar estas finalidades. De un lado, contribuye al fomento de las exportaciones, porque reduce la carga tributaria de los usuarios industriales que perciben ingresos provenientes de exportación. Esto les permite ser más competitivos frente a compañías de países latinoamericanos que se benefician de impuestos corporativos inferiores. A su turno, la aplicación de la tarifa general (35%) para los ingresos que no provienen de operaciones de exportación contribuye a alcanzar los principios de igualdad y equidad tributaria. Esto último, porque impide que los usuarios de zona franca que no exportan se favorezcan injustificadamente de este beneficio tributario lo que, antes de la entrada en vigor del artículo 11 de la Ley 2277 de 2022, generó asimetrías en las cargas tributarias.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DECISION INHIBITORIA</w:t>
      </w:r>
      <w:r w:rsidRPr="000149EE">
        <w:rPr>
          <w:rFonts w:ascii="Times New Roman" w:hAnsi="Times New Roman" w:cs="Times New Roman"/>
          <w:sz w:val="28"/>
          <w:szCs w:val="28"/>
        </w:rPr>
        <w:t xml:space="preserve">-No constituye cosa juzgada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COSA JUZGADA CONSTITUCIONAL</w:t>
      </w:r>
      <w:r w:rsidRPr="000149EE">
        <w:rPr>
          <w:rFonts w:ascii="Times New Roman" w:hAnsi="Times New Roman" w:cs="Times New Roman"/>
          <w:sz w:val="28"/>
          <w:szCs w:val="28"/>
        </w:rPr>
        <w:t xml:space="preserve">-Inexistencia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ZONAS FRANCAS</w:t>
      </w:r>
      <w:r w:rsidRPr="000149EE">
        <w:rPr>
          <w:rFonts w:ascii="Times New Roman" w:hAnsi="Times New Roman" w:cs="Times New Roman"/>
          <w:sz w:val="28"/>
          <w:szCs w:val="28"/>
        </w:rPr>
        <w:t>-Definición</w:t>
      </w:r>
      <w:r w:rsidRPr="000149EE">
        <w:rPr>
          <w:rFonts w:ascii="Times New Roman" w:hAnsi="Times New Roman" w:cs="Times New Roman"/>
          <w:b/>
          <w:bCs/>
          <w:sz w:val="28"/>
          <w:szCs w:val="28"/>
        </w:rPr>
        <w:t>/ZONAS FRANCAS</w:t>
      </w:r>
      <w:r w:rsidRPr="000149EE">
        <w:rPr>
          <w:rFonts w:ascii="Times New Roman" w:hAnsi="Times New Roman" w:cs="Times New Roman"/>
          <w:sz w:val="28"/>
          <w:szCs w:val="28"/>
        </w:rPr>
        <w:t xml:space="preserve">-Reglamentación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ZONAS FRANCAS</w:t>
      </w:r>
      <w:r w:rsidRPr="000149EE">
        <w:rPr>
          <w:rFonts w:ascii="Times New Roman" w:hAnsi="Times New Roman" w:cs="Times New Roman"/>
          <w:sz w:val="28"/>
          <w:szCs w:val="28"/>
        </w:rPr>
        <w:t>-Características</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i/>
          <w:iCs/>
          <w:sz w:val="28"/>
          <w:szCs w:val="28"/>
        </w:rPr>
        <w:t>(...) las zonas francas tienen cuatro características definitorias: (i) exclusividad, (ii) extraterritorialidad, (iii) régimen especial y excepcional y, (iv) son instrumento de atracción de las inversiones y fomento de las exportaciones.</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ZONAS FRANCAS</w:t>
      </w:r>
      <w:r w:rsidRPr="000149EE">
        <w:rPr>
          <w:rFonts w:ascii="Times New Roman" w:hAnsi="Times New Roman" w:cs="Times New Roman"/>
          <w:sz w:val="28"/>
          <w:szCs w:val="28"/>
        </w:rPr>
        <w:t xml:space="preserve">-Finalidad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ZONAS FRANCAS</w:t>
      </w:r>
      <w:r w:rsidRPr="000149EE">
        <w:rPr>
          <w:rFonts w:ascii="Times New Roman" w:hAnsi="Times New Roman" w:cs="Times New Roman"/>
          <w:sz w:val="28"/>
          <w:szCs w:val="28"/>
        </w:rPr>
        <w:t xml:space="preserve">-Modalidades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ZONAS FRANCAS</w:t>
      </w:r>
      <w:r w:rsidRPr="000149EE">
        <w:rPr>
          <w:rFonts w:ascii="Times New Roman" w:hAnsi="Times New Roman" w:cs="Times New Roman"/>
          <w:sz w:val="28"/>
          <w:szCs w:val="28"/>
        </w:rPr>
        <w:t xml:space="preserve">-Régimen especial en materia tributaria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IMPUESTO SOBRE LA RENTA</w:t>
      </w:r>
      <w:r w:rsidRPr="000149EE">
        <w:rPr>
          <w:rFonts w:ascii="Times New Roman" w:hAnsi="Times New Roman" w:cs="Times New Roman"/>
          <w:sz w:val="28"/>
          <w:szCs w:val="28"/>
        </w:rPr>
        <w:t xml:space="preserve">-Naturaleza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LIBERTAD DE CONFIGURACION LEGISLATIVA EN MATERIA TRIBUTARIA</w:t>
      </w:r>
      <w:r w:rsidRPr="000149EE">
        <w:rPr>
          <w:rFonts w:ascii="Times New Roman" w:hAnsi="Times New Roman" w:cs="Times New Roman"/>
          <w:sz w:val="28"/>
          <w:szCs w:val="28"/>
        </w:rPr>
        <w:t xml:space="preserve">-Creación, modificación y supresión de beneficios tributarios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POTESTAD DE CONFIGURACION DEL LEGISLADOR EN MATERIA TRIBUTARIA</w:t>
      </w:r>
      <w:r w:rsidRPr="000149EE">
        <w:rPr>
          <w:rFonts w:ascii="Times New Roman" w:hAnsi="Times New Roman" w:cs="Times New Roman"/>
          <w:sz w:val="28"/>
          <w:szCs w:val="28"/>
        </w:rPr>
        <w:t>-Alcance</w:t>
      </w:r>
      <w:r w:rsidRPr="000149EE">
        <w:rPr>
          <w:rFonts w:ascii="Times New Roman" w:hAnsi="Times New Roman" w:cs="Times New Roman"/>
          <w:b/>
          <w:bCs/>
          <w:sz w:val="28"/>
          <w:szCs w:val="28"/>
        </w:rPr>
        <w:t>/POTESTAD DE CONFIGURACION DEL LEGISLADOR EN MATERIA TRIBUTARIA</w:t>
      </w:r>
      <w:r w:rsidRPr="000149EE">
        <w:rPr>
          <w:rFonts w:ascii="Times New Roman" w:hAnsi="Times New Roman" w:cs="Times New Roman"/>
          <w:sz w:val="28"/>
          <w:szCs w:val="28"/>
        </w:rPr>
        <w:t xml:space="preserve">-Límites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EXENCIONES, EXCLUSIONES Y BENEFICIOS TRIBUTARIOS</w:t>
      </w:r>
      <w:r w:rsidRPr="000149EE">
        <w:rPr>
          <w:rFonts w:ascii="Times New Roman" w:hAnsi="Times New Roman" w:cs="Times New Roman"/>
          <w:sz w:val="28"/>
          <w:szCs w:val="28"/>
        </w:rPr>
        <w:t>-Jurisprudencia constitucional</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i/>
          <w:iCs/>
          <w:sz w:val="28"/>
          <w:szCs w:val="28"/>
        </w:rPr>
        <w:t>Los beneficios tributarios son aquellas disposiciones tributarias que tienen esencialmente el propósito de colocar al sujeto o actividad destinataria de la misma, en una situación preferencial o de privilegio, con fines esencialmente extrafiscales. Estos incluyen, entre otros, las exenciones, exclusiones y tarifas preferenciales para la liquidación de los impuestos. De acuerdo con la jurisprudencia constitucional, los beneficios tributarios pueden estar inspirados en razones diferentes, de orden tributario, económicas o sociales, tales como: (i) la recuperación y desarrollo de áreas geográficas deprimidas por desastres naturales o provocados por el hombre, (ii) el fortalecimiento patrimonial de las empresas que ofrecen bienes o servicios de gran sensibilidad social, (iii) el incremento de la inversión en sectores vinculados a la generación de empleo masivo, (iv) la protección de ciertos ingresos laborales y de las prestaciones de la seguridad social, así como (v) una mejor redistribución de la renta global.</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BENEFICIO TRIBUTARIO</w:t>
      </w:r>
      <w:r w:rsidRPr="000149EE">
        <w:rPr>
          <w:rFonts w:ascii="Times New Roman" w:hAnsi="Times New Roman" w:cs="Times New Roman"/>
          <w:sz w:val="28"/>
          <w:szCs w:val="28"/>
        </w:rPr>
        <w:t xml:space="preserve">-Alcance de la potestad legislativa de regulación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PRINCIPIO DE IGUALDAD Y DE EQUIDAD TRIBUTARIA</w:t>
      </w:r>
      <w:r w:rsidRPr="000149EE">
        <w:rPr>
          <w:rFonts w:ascii="Times New Roman" w:hAnsi="Times New Roman" w:cs="Times New Roman"/>
          <w:sz w:val="28"/>
          <w:szCs w:val="28"/>
        </w:rPr>
        <w:t xml:space="preserve">-Jurisprudencia constitucional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PRINCIPIO DE IGUALDAD EN MATERIA TRIBUTARIA</w:t>
      </w:r>
      <w:r w:rsidRPr="000149EE">
        <w:rPr>
          <w:rFonts w:ascii="Times New Roman" w:hAnsi="Times New Roman" w:cs="Times New Roman"/>
          <w:sz w:val="28"/>
          <w:szCs w:val="28"/>
        </w:rPr>
        <w:t xml:space="preserve">-Alcance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PRINCIPIO DE EQUIDAD TRIBUTARIA</w:t>
      </w:r>
      <w:r w:rsidRPr="000149EE">
        <w:rPr>
          <w:rFonts w:ascii="Times New Roman" w:hAnsi="Times New Roman" w:cs="Times New Roman"/>
          <w:sz w:val="28"/>
          <w:szCs w:val="28"/>
        </w:rPr>
        <w:t>-Contenido y alcance</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i/>
          <w:iCs/>
          <w:sz w:val="28"/>
          <w:szCs w:val="28"/>
        </w:rPr>
        <w:t xml:space="preserve">El principio de equidad tributaria exige que el legislador disponga una justa distribución de las obligaciones fiscales según criterios de generalidad, uniformidad y progresividad y, de esa forma, se abstenga de instituir cargas excesivas o beneficios [tributarios] exagerados que no consulten la capacidad económica de los sujetos pasivos en razón a la naturaleza y fines del impuesto en cuestión.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PRINCIPIO DE EQUIDAD TRIBUTARIA</w:t>
      </w:r>
      <w:r w:rsidRPr="000149EE">
        <w:rPr>
          <w:rFonts w:ascii="Times New Roman" w:hAnsi="Times New Roman" w:cs="Times New Roman"/>
          <w:sz w:val="28"/>
          <w:szCs w:val="28"/>
        </w:rPr>
        <w:t xml:space="preserve">-Dimensión horizontal y vertical </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b/>
          <w:bCs/>
          <w:sz w:val="28"/>
          <w:szCs w:val="28"/>
        </w:rPr>
        <w:t>TEST LEVE DE IGUALDAD DE NORMA TRIBUTARIA</w:t>
      </w:r>
      <w:r w:rsidRPr="000149EE">
        <w:rPr>
          <w:rFonts w:ascii="Times New Roman" w:hAnsi="Times New Roman" w:cs="Times New Roman"/>
          <w:sz w:val="28"/>
          <w:szCs w:val="28"/>
        </w:rPr>
        <w:t>-Aplicación</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B65B28">
      <w:pPr>
        <w:widowControl w:val="0"/>
        <w:autoSpaceDE w:val="0"/>
        <w:autoSpaceDN w:val="0"/>
        <w:adjustRightInd w:val="0"/>
        <w:spacing w:after="0" w:line="240" w:lineRule="auto"/>
        <w:jc w:val="both"/>
        <w:rPr>
          <w:rFonts w:ascii="Times New Roman" w:hAnsi="Times New Roman" w:cs="Times New Roman"/>
          <w:sz w:val="28"/>
          <w:szCs w:val="28"/>
        </w:rPr>
      </w:pPr>
      <w:r w:rsidRPr="000149EE">
        <w:rPr>
          <w:rFonts w:ascii="Times New Roman" w:hAnsi="Times New Roman" w:cs="Times New Roman"/>
          <w:i/>
          <w:iCs/>
          <w:sz w:val="28"/>
          <w:szCs w:val="28"/>
        </w:rPr>
        <w:t>De acuerdo con la jurisprudencia constitucional, para examinar la constitucionalidad de medidas tributarias que concedan beneficios tributarios o impongan cargas tributarias diferenciadas entre sujetos prima facie comparables, la Corte Constitucional debe aplicar, por regla general, un juicio de intensidad leve. Lo anterior, en atención al amplio margen de configuración del legislador en materia tributaria, lo que implica que existe una presunción de constitucionalidad de las medidas tributarias. Con fundamento en estas consideraciones, al examinar cargos por violación al principio de igualdad y equidad tributaria, derivadas de las medidas tributarias preferenciales previstas en el régimen franco, la Corte Constitucional ha aplicado el juicio de intensidad leve.</w:t>
      </w:r>
    </w:p>
    <w:p w:rsidR="00482B93" w:rsidRPr="000149EE" w:rsidRDefault="00482B93">
      <w:pPr>
        <w:widowControl w:val="0"/>
        <w:autoSpaceDE w:val="0"/>
        <w:autoSpaceDN w:val="0"/>
        <w:adjustRightInd w:val="0"/>
        <w:spacing w:after="0" w:line="240" w:lineRule="auto"/>
        <w:jc w:val="both"/>
        <w:rPr>
          <w:rFonts w:ascii="Times New Roman" w:hAnsi="Times New Roman" w:cs="Times New Roman"/>
          <w:sz w:val="28"/>
          <w:szCs w:val="28"/>
        </w:rPr>
      </w:pPr>
    </w:p>
    <w:p w:rsidR="00482B93" w:rsidRPr="000149EE" w:rsidRDefault="000149EE">
      <w:pPr>
        <w:widowControl w:val="0"/>
        <w:autoSpaceDE w:val="0"/>
        <w:autoSpaceDN w:val="0"/>
        <w:adjustRightInd w:val="0"/>
        <w:spacing w:after="0" w:line="240" w:lineRule="auto"/>
        <w:jc w:val="both"/>
        <w:rPr>
          <w:rFonts w:ascii="Times New Roman" w:hAnsi="Times New Roman" w:cs="Times New Roman"/>
          <w:sz w:val="28"/>
        </w:rPr>
      </w:pPr>
      <w:r w:rsidRPr="000149EE">
        <w:rPr>
          <w:rFonts w:ascii="Times New Roman" w:hAnsi="Times New Roman" w:cs="Times New Roman"/>
          <w:sz w:val="28"/>
          <w:szCs w:val="28"/>
        </w:rPr>
        <w:pict>
          <v:rect id="_x0000_i1025" style="width:0;height:1.5pt" o:hralign="center" o:hrstd="t" o:hr="t" fillcolor="#a0a0a0" stroked="f"/>
        </w:pict>
      </w:r>
    </w:p>
    <w:p w:rsidR="00BA7804" w:rsidRPr="000149EE" w:rsidRDefault="000149EE" w:rsidP="001A47E2">
      <w:pPr>
        <w:jc w:val="center"/>
        <w:rPr>
          <w:rFonts w:ascii="Times New Roman" w:hAnsi="Times New Roman" w:cs="Times New Roman"/>
          <w:b/>
          <w:bCs/>
          <w:sz w:val="28"/>
          <w:szCs w:val="28"/>
        </w:rPr>
      </w:pPr>
      <w:r w:rsidRPr="000149EE">
        <w:rPr>
          <w:rFonts w:ascii="Times New Roman" w:hAnsi="Times New Roman" w:cs="Times New Roman"/>
          <w:b/>
          <w:bCs/>
          <w:sz w:val="28"/>
          <w:szCs w:val="28"/>
        </w:rPr>
        <w:t>REPÚBLICA DE COLOMBIA</w:t>
      </w:r>
    </w:p>
    <w:p w:rsidR="00BA7804" w:rsidRPr="000149EE" w:rsidRDefault="000149EE" w:rsidP="001A47E2">
      <w:pPr>
        <w:widowControl w:val="0"/>
        <w:autoSpaceDE w:val="0"/>
        <w:autoSpaceDN w:val="0"/>
        <w:adjustRightInd w:val="0"/>
        <w:ind w:right="51"/>
        <w:jc w:val="center"/>
        <w:rPr>
          <w:rFonts w:ascii="Times New Roman" w:eastAsia="Calibri" w:hAnsi="Times New Roman" w:cs="Times New Roman"/>
          <w:sz w:val="28"/>
          <w:szCs w:val="28"/>
        </w:rPr>
      </w:pPr>
      <w:r w:rsidRPr="000149EE">
        <w:rPr>
          <w:rFonts w:ascii="Times New Roman" w:hAnsi="Times New Roman" w:cs="Times New Roman"/>
          <w:b/>
          <w:noProof/>
          <w:sz w:val="28"/>
          <w:szCs w:val="28"/>
        </w:rPr>
        <w:drawing>
          <wp:inline distT="0" distB="0" distL="0" distR="0" wp14:anchorId="298A15E2" wp14:editId="3176539F">
            <wp:extent cx="1012190" cy="1012190"/>
            <wp:effectExtent l="0" t="0" r="0" b="0"/>
            <wp:docPr id="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2190" cy="1012190"/>
                    </a:xfrm>
                    <a:prstGeom prst="rect">
                      <a:avLst/>
                    </a:prstGeom>
                    <a:noFill/>
                  </pic:spPr>
                </pic:pic>
              </a:graphicData>
            </a:graphic>
          </wp:inline>
        </w:drawing>
      </w:r>
    </w:p>
    <w:p w:rsidR="00BA7804" w:rsidRPr="000149EE" w:rsidRDefault="000149EE" w:rsidP="001A47E2">
      <w:pPr>
        <w:widowControl w:val="0"/>
        <w:autoSpaceDE w:val="0"/>
        <w:autoSpaceDN w:val="0"/>
        <w:adjustRightInd w:val="0"/>
        <w:ind w:right="51"/>
        <w:jc w:val="center"/>
        <w:rPr>
          <w:rFonts w:ascii="Times New Roman" w:eastAsia="Calibri" w:hAnsi="Times New Roman" w:cs="Times New Roman"/>
          <w:sz w:val="28"/>
          <w:szCs w:val="28"/>
        </w:rPr>
      </w:pPr>
    </w:p>
    <w:p w:rsidR="00BA7804" w:rsidRPr="000149EE" w:rsidRDefault="000149EE" w:rsidP="001A47E2">
      <w:pPr>
        <w:jc w:val="center"/>
        <w:rPr>
          <w:rFonts w:ascii="Times New Roman" w:hAnsi="Times New Roman" w:cs="Times New Roman"/>
          <w:b/>
          <w:bCs/>
          <w:sz w:val="28"/>
          <w:szCs w:val="28"/>
        </w:rPr>
      </w:pPr>
      <w:r w:rsidRPr="000149EE">
        <w:rPr>
          <w:rFonts w:ascii="Times New Roman" w:hAnsi="Times New Roman" w:cs="Times New Roman"/>
          <w:b/>
          <w:bCs/>
          <w:sz w:val="28"/>
          <w:szCs w:val="28"/>
        </w:rPr>
        <w:t>CORTE CONSTITUCIONAL</w:t>
      </w:r>
    </w:p>
    <w:p w:rsidR="00E33C77" w:rsidRPr="000149EE" w:rsidRDefault="000149EE" w:rsidP="001A47E2">
      <w:pPr>
        <w:jc w:val="center"/>
        <w:rPr>
          <w:rFonts w:ascii="Times New Roman" w:hAnsi="Times New Roman" w:cs="Times New Roman"/>
          <w:b/>
          <w:bCs/>
          <w:sz w:val="28"/>
          <w:szCs w:val="28"/>
        </w:rPr>
      </w:pPr>
      <w:r w:rsidRPr="000149EE">
        <w:rPr>
          <w:rFonts w:ascii="Times New Roman" w:hAnsi="Times New Roman" w:cs="Times New Roman"/>
          <w:b/>
          <w:bCs/>
          <w:sz w:val="28"/>
          <w:szCs w:val="28"/>
        </w:rPr>
        <w:t>Sala Plena</w:t>
      </w:r>
    </w:p>
    <w:p w:rsidR="00E33C77" w:rsidRPr="000149EE" w:rsidRDefault="000149EE" w:rsidP="001A47E2">
      <w:pPr>
        <w:jc w:val="center"/>
        <w:rPr>
          <w:rFonts w:ascii="Times New Roman" w:hAnsi="Times New Roman" w:cs="Times New Roman"/>
          <w:b/>
          <w:bCs/>
          <w:sz w:val="28"/>
          <w:szCs w:val="28"/>
        </w:rPr>
      </w:pPr>
    </w:p>
    <w:p w:rsidR="00BA7804" w:rsidRPr="000149EE" w:rsidRDefault="000149EE" w:rsidP="001A47E2">
      <w:pPr>
        <w:ind w:right="51"/>
        <w:jc w:val="center"/>
        <w:rPr>
          <w:rFonts w:ascii="Times New Roman" w:eastAsia="Times New Roman" w:hAnsi="Times New Roman" w:cs="Times New Roman"/>
          <w:b/>
          <w:sz w:val="28"/>
          <w:szCs w:val="28"/>
        </w:rPr>
      </w:pPr>
      <w:r w:rsidRPr="000149EE">
        <w:rPr>
          <w:rFonts w:ascii="Times New Roman" w:eastAsia="Times New Roman" w:hAnsi="Times New Roman" w:cs="Times New Roman"/>
          <w:b/>
          <w:sz w:val="28"/>
          <w:szCs w:val="28"/>
        </w:rPr>
        <w:t xml:space="preserve">SENTENCIA </w:t>
      </w:r>
      <w:r w:rsidRPr="000149EE">
        <w:rPr>
          <w:rFonts w:ascii="Times New Roman" w:eastAsia="Times New Roman" w:hAnsi="Times New Roman" w:cs="Times New Roman"/>
          <w:b/>
          <w:sz w:val="28"/>
          <w:szCs w:val="28"/>
        </w:rPr>
        <w:t>C-</w:t>
      </w:r>
      <w:r w:rsidRPr="000149EE">
        <w:rPr>
          <w:rFonts w:ascii="Times New Roman" w:eastAsia="Times New Roman" w:hAnsi="Times New Roman" w:cs="Times New Roman"/>
          <w:b/>
          <w:sz w:val="28"/>
          <w:szCs w:val="28"/>
        </w:rPr>
        <w:t>205</w:t>
      </w:r>
      <w:r w:rsidRPr="000149EE">
        <w:rPr>
          <w:rFonts w:ascii="Times New Roman" w:eastAsia="Times New Roman" w:hAnsi="Times New Roman" w:cs="Times New Roman"/>
          <w:b/>
          <w:sz w:val="28"/>
          <w:szCs w:val="28"/>
        </w:rPr>
        <w:t xml:space="preserve"> DE 202</w:t>
      </w:r>
      <w:r w:rsidRPr="000149EE">
        <w:rPr>
          <w:rFonts w:ascii="Times New Roman" w:eastAsia="Times New Roman" w:hAnsi="Times New Roman" w:cs="Times New Roman"/>
          <w:b/>
          <w:sz w:val="28"/>
          <w:szCs w:val="28"/>
        </w:rPr>
        <w:t>4</w:t>
      </w:r>
    </w:p>
    <w:p w:rsidR="00BA7804" w:rsidRPr="000149EE" w:rsidRDefault="000149EE" w:rsidP="001A47E2">
      <w:pPr>
        <w:ind w:right="51"/>
        <w:jc w:val="center"/>
        <w:rPr>
          <w:rFonts w:ascii="Times New Roman" w:eastAsia="Times New Roman" w:hAnsi="Times New Roman" w:cs="Times New Roman"/>
          <w:b/>
          <w:sz w:val="28"/>
          <w:szCs w:val="28"/>
        </w:rPr>
      </w:pPr>
    </w:p>
    <w:p w:rsidR="00BA7804" w:rsidRPr="000149EE" w:rsidRDefault="000149EE" w:rsidP="001A47E2">
      <w:pPr>
        <w:tabs>
          <w:tab w:val="left" w:pos="8789"/>
        </w:tabs>
        <w:ind w:left="3402" w:right="51"/>
        <w:rPr>
          <w:rFonts w:ascii="Times New Roman" w:eastAsia="Times New Roman" w:hAnsi="Times New Roman" w:cs="Times New Roman"/>
          <w:sz w:val="28"/>
          <w:szCs w:val="28"/>
        </w:rPr>
      </w:pPr>
      <w:bookmarkStart w:id="1" w:name="_Hlk51183842"/>
      <w:bookmarkStart w:id="2" w:name="_Hlk64876002"/>
      <w:r w:rsidRPr="000149EE">
        <w:rPr>
          <w:rFonts w:ascii="Times New Roman" w:eastAsia="Times New Roman" w:hAnsi="Times New Roman" w:cs="Times New Roman"/>
          <w:b/>
          <w:bCs/>
          <w:sz w:val="28"/>
          <w:szCs w:val="28"/>
        </w:rPr>
        <w:t>Expediente:</w:t>
      </w:r>
      <w:r w:rsidRPr="000149EE">
        <w:rPr>
          <w:rFonts w:ascii="Times New Roman" w:eastAsia="Times New Roman" w:hAnsi="Times New Roman" w:cs="Times New Roman"/>
          <w:sz w:val="28"/>
          <w:szCs w:val="28"/>
        </w:rPr>
        <w:t xml:space="preserve"> </w:t>
      </w:r>
      <w:r w:rsidRPr="000149EE">
        <w:rPr>
          <w:rFonts w:ascii="Times New Roman" w:eastAsia="Times New Roman" w:hAnsi="Times New Roman" w:cs="Times New Roman"/>
          <w:sz w:val="28"/>
          <w:szCs w:val="28"/>
        </w:rPr>
        <w:t>D-15530</w:t>
      </w:r>
    </w:p>
    <w:p w:rsidR="00BA7804" w:rsidRPr="000149EE" w:rsidRDefault="000149EE" w:rsidP="001A47E2">
      <w:pPr>
        <w:ind w:left="3402" w:right="51"/>
        <w:rPr>
          <w:rFonts w:ascii="Times New Roman" w:eastAsia="Times New Roman" w:hAnsi="Times New Roman" w:cs="Times New Roman"/>
          <w:sz w:val="28"/>
          <w:szCs w:val="28"/>
        </w:rPr>
      </w:pPr>
    </w:p>
    <w:p w:rsidR="00BA7804" w:rsidRPr="000149EE" w:rsidRDefault="000149EE" w:rsidP="001A47E2">
      <w:pPr>
        <w:ind w:left="3402" w:right="51"/>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Demanda de inconstitucionalidad en contra del artículo </w:t>
      </w:r>
      <w:r w:rsidRPr="000149EE">
        <w:rPr>
          <w:rFonts w:ascii="Times New Roman" w:hAnsi="Times New Roman" w:cs="Times New Roman"/>
          <w:color w:val="000000" w:themeColor="text1"/>
          <w:sz w:val="28"/>
          <w:szCs w:val="28"/>
        </w:rPr>
        <w:t>11 (parcial)</w:t>
      </w:r>
      <w:r w:rsidRPr="000149EE">
        <w:rPr>
          <w:rFonts w:ascii="Times New Roman" w:hAnsi="Times New Roman" w:cs="Times New Roman"/>
          <w:color w:val="000000" w:themeColor="text1"/>
          <w:sz w:val="28"/>
          <w:szCs w:val="28"/>
        </w:rPr>
        <w:t xml:space="preserve"> de la Ley 2277 de 2022, “por medio de la cual se adopta una reforma tributaria para la igualdad y la justicia social y se dictan otras disposiciones”, que modifica el artículo </w:t>
      </w:r>
      <w:r w:rsidRPr="000149EE">
        <w:rPr>
          <w:rFonts w:ascii="Times New Roman" w:hAnsi="Times New Roman" w:cs="Times New Roman"/>
          <w:color w:val="000000" w:themeColor="text1"/>
          <w:sz w:val="28"/>
          <w:szCs w:val="28"/>
        </w:rPr>
        <w:t>240-1 del Decreto Ley 624 de 1989 “por el cual se expide el Estatuto Tributario</w:t>
      </w:r>
      <w:r w:rsidRPr="000149EE">
        <w:rPr>
          <w:rFonts w:ascii="Times New Roman" w:hAnsi="Times New Roman" w:cs="Times New Roman"/>
          <w:color w:val="000000" w:themeColor="text1"/>
          <w:sz w:val="28"/>
          <w:szCs w:val="28"/>
        </w:rPr>
        <w:t xml:space="preserve"> de los impuestos administrados por la Dirección General de Impuesto</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Nacionales” </w:t>
      </w:r>
    </w:p>
    <w:p w:rsidR="004F1173" w:rsidRPr="000149EE" w:rsidRDefault="000149EE" w:rsidP="001A47E2">
      <w:pPr>
        <w:ind w:left="3402" w:right="51"/>
        <w:rPr>
          <w:rFonts w:ascii="Times New Roman" w:eastAsia="Times New Roman" w:hAnsi="Times New Roman" w:cs="Times New Roman"/>
          <w:sz w:val="28"/>
          <w:szCs w:val="28"/>
        </w:rPr>
      </w:pPr>
    </w:p>
    <w:p w:rsidR="00BA7804" w:rsidRPr="000149EE" w:rsidRDefault="000149EE" w:rsidP="001A47E2">
      <w:pPr>
        <w:ind w:left="3402" w:right="51"/>
        <w:rPr>
          <w:rFonts w:ascii="Times New Roman" w:eastAsia="Times New Roman" w:hAnsi="Times New Roman" w:cs="Times New Roman"/>
          <w:b/>
          <w:sz w:val="28"/>
          <w:szCs w:val="28"/>
        </w:rPr>
      </w:pPr>
      <w:r w:rsidRPr="000149EE">
        <w:rPr>
          <w:rFonts w:ascii="Times New Roman" w:eastAsia="Times New Roman" w:hAnsi="Times New Roman" w:cs="Times New Roman"/>
          <w:b/>
          <w:sz w:val="28"/>
          <w:szCs w:val="28"/>
        </w:rPr>
        <w:t>Magistrada ponente:</w:t>
      </w:r>
    </w:p>
    <w:p w:rsidR="00BA7804" w:rsidRPr="000149EE" w:rsidRDefault="000149EE" w:rsidP="001A47E2">
      <w:pPr>
        <w:ind w:left="3402" w:right="51"/>
        <w:rPr>
          <w:rFonts w:ascii="Times New Roman" w:eastAsia="Times New Roman" w:hAnsi="Times New Roman" w:cs="Times New Roman"/>
          <w:bCs/>
          <w:sz w:val="28"/>
          <w:szCs w:val="28"/>
        </w:rPr>
      </w:pPr>
      <w:r w:rsidRPr="000149EE">
        <w:rPr>
          <w:rFonts w:ascii="Times New Roman" w:eastAsia="Times New Roman" w:hAnsi="Times New Roman" w:cs="Times New Roman"/>
          <w:bCs/>
          <w:sz w:val="28"/>
          <w:szCs w:val="28"/>
        </w:rPr>
        <w:t>PAOLA ANDREA MENESES MOSQUERA</w:t>
      </w:r>
    </w:p>
    <w:bookmarkEnd w:id="1"/>
    <w:p w:rsidR="00BA7804" w:rsidRPr="000149EE" w:rsidRDefault="000149EE" w:rsidP="001A47E2">
      <w:pPr>
        <w:ind w:right="51"/>
        <w:rPr>
          <w:rFonts w:ascii="Times New Roman" w:eastAsia="Times New Roman" w:hAnsi="Times New Roman" w:cs="Times New Roman"/>
          <w:sz w:val="28"/>
          <w:szCs w:val="28"/>
        </w:rPr>
      </w:pPr>
      <w:r w:rsidRPr="000149EE">
        <w:rPr>
          <w:rFonts w:ascii="Times New Roman" w:eastAsia="Times New Roman" w:hAnsi="Times New Roman" w:cs="Times New Roman"/>
          <w:sz w:val="28"/>
          <w:szCs w:val="28"/>
        </w:rPr>
        <w:t xml:space="preserve"> </w:t>
      </w:r>
    </w:p>
    <w:bookmarkEnd w:id="2"/>
    <w:p w:rsidR="00BA7804" w:rsidRPr="000149EE" w:rsidRDefault="000149EE" w:rsidP="001A47E2">
      <w:pPr>
        <w:ind w:right="51"/>
        <w:rPr>
          <w:rFonts w:ascii="Times New Roman" w:eastAsia="Times New Roman" w:hAnsi="Times New Roman" w:cs="Times New Roman"/>
          <w:sz w:val="28"/>
          <w:szCs w:val="28"/>
        </w:rPr>
      </w:pPr>
      <w:r w:rsidRPr="000149EE">
        <w:rPr>
          <w:rFonts w:ascii="Times New Roman" w:eastAsia="Times New Roman" w:hAnsi="Times New Roman" w:cs="Times New Roman"/>
          <w:sz w:val="28"/>
          <w:szCs w:val="28"/>
        </w:rPr>
        <w:t xml:space="preserve">Bogotá D. C., </w:t>
      </w:r>
      <w:r w:rsidRPr="000149EE">
        <w:rPr>
          <w:rFonts w:ascii="Times New Roman" w:eastAsia="Times New Roman" w:hAnsi="Times New Roman" w:cs="Times New Roman"/>
          <w:sz w:val="28"/>
          <w:szCs w:val="28"/>
        </w:rPr>
        <w:t>cinco</w:t>
      </w:r>
      <w:r w:rsidRPr="000149EE">
        <w:rPr>
          <w:rFonts w:ascii="Times New Roman" w:eastAsia="Times New Roman" w:hAnsi="Times New Roman" w:cs="Times New Roman"/>
          <w:sz w:val="28"/>
          <w:szCs w:val="28"/>
        </w:rPr>
        <w:t xml:space="preserve"> (</w:t>
      </w:r>
      <w:r w:rsidRPr="000149EE">
        <w:rPr>
          <w:rFonts w:ascii="Times New Roman" w:eastAsia="Times New Roman" w:hAnsi="Times New Roman" w:cs="Times New Roman"/>
          <w:sz w:val="28"/>
          <w:szCs w:val="28"/>
        </w:rPr>
        <w:t>05</w:t>
      </w:r>
      <w:r w:rsidRPr="000149EE">
        <w:rPr>
          <w:rFonts w:ascii="Times New Roman" w:eastAsia="Times New Roman" w:hAnsi="Times New Roman" w:cs="Times New Roman"/>
          <w:sz w:val="28"/>
          <w:szCs w:val="28"/>
        </w:rPr>
        <w:t xml:space="preserve">) de </w:t>
      </w:r>
      <w:r w:rsidRPr="000149EE">
        <w:rPr>
          <w:rFonts w:ascii="Times New Roman" w:eastAsia="Times New Roman" w:hAnsi="Times New Roman" w:cs="Times New Roman"/>
          <w:sz w:val="28"/>
          <w:szCs w:val="28"/>
        </w:rPr>
        <w:t>junio</w:t>
      </w:r>
      <w:r w:rsidRPr="000149EE">
        <w:rPr>
          <w:rFonts w:ascii="Times New Roman" w:eastAsia="Times New Roman" w:hAnsi="Times New Roman" w:cs="Times New Roman"/>
          <w:sz w:val="28"/>
          <w:szCs w:val="28"/>
        </w:rPr>
        <w:t xml:space="preserve"> de dos mil veinticuatro (2024)</w:t>
      </w:r>
    </w:p>
    <w:p w:rsidR="0059522E" w:rsidRPr="000149EE" w:rsidRDefault="000149EE" w:rsidP="001A47E2">
      <w:pPr>
        <w:ind w:right="51"/>
        <w:rPr>
          <w:rFonts w:ascii="Times New Roman" w:eastAsia="Calibri" w:hAnsi="Times New Roman" w:cs="Times New Roman"/>
          <w:sz w:val="28"/>
          <w:szCs w:val="28"/>
        </w:rPr>
      </w:pPr>
    </w:p>
    <w:p w:rsidR="001B019A" w:rsidRPr="000149EE" w:rsidRDefault="000149EE" w:rsidP="001A47E2">
      <w:pPr>
        <w:ind w:right="51"/>
        <w:rPr>
          <w:rFonts w:ascii="Times New Roman" w:hAnsi="Times New Roman" w:cs="Times New Roman"/>
          <w:sz w:val="28"/>
          <w:szCs w:val="28"/>
        </w:rPr>
      </w:pPr>
      <w:r w:rsidRPr="000149EE">
        <w:rPr>
          <w:rFonts w:ascii="Times New Roman" w:hAnsi="Times New Roman" w:cs="Times New Roman"/>
          <w:sz w:val="28"/>
          <w:szCs w:val="28"/>
        </w:rPr>
        <w:t xml:space="preserve">La Sala Plena de la Corte Constitucional, en </w:t>
      </w:r>
      <w:r w:rsidRPr="000149EE">
        <w:rPr>
          <w:rFonts w:ascii="Times New Roman" w:hAnsi="Times New Roman" w:cs="Times New Roman"/>
          <w:sz w:val="28"/>
          <w:szCs w:val="28"/>
        </w:rPr>
        <w:t>cumplimiento de sus atribuciones constitucionales y de los requisitos y trámites establecidos en el Decreto 2067 de 1991, profiere la siguiente</w:t>
      </w:r>
    </w:p>
    <w:p w:rsidR="001B019A" w:rsidRPr="000149EE" w:rsidRDefault="000149EE" w:rsidP="001A47E2">
      <w:pPr>
        <w:ind w:right="51"/>
        <w:rPr>
          <w:rFonts w:ascii="Times New Roman" w:hAnsi="Times New Roman" w:cs="Times New Roman"/>
          <w:sz w:val="28"/>
          <w:szCs w:val="28"/>
        </w:rPr>
      </w:pPr>
    </w:p>
    <w:p w:rsidR="00BA7804" w:rsidRPr="000149EE" w:rsidRDefault="000149EE" w:rsidP="001A47E2">
      <w:pPr>
        <w:ind w:right="51"/>
        <w:jc w:val="center"/>
        <w:rPr>
          <w:rFonts w:ascii="Times New Roman" w:eastAsia="Times New Roman" w:hAnsi="Times New Roman" w:cs="Times New Roman"/>
          <w:bCs/>
          <w:sz w:val="28"/>
          <w:szCs w:val="28"/>
        </w:rPr>
      </w:pPr>
      <w:r w:rsidRPr="000149EE">
        <w:rPr>
          <w:rFonts w:ascii="Times New Roman" w:eastAsia="Times New Roman" w:hAnsi="Times New Roman" w:cs="Times New Roman"/>
          <w:b/>
          <w:sz w:val="28"/>
          <w:szCs w:val="28"/>
        </w:rPr>
        <w:t>SENTENCIA</w:t>
      </w:r>
    </w:p>
    <w:p w:rsidR="00BA7804" w:rsidRPr="000149EE" w:rsidRDefault="000149EE" w:rsidP="001A47E2">
      <w:pPr>
        <w:rPr>
          <w:rFonts w:ascii="Times New Roman" w:hAnsi="Times New Roman" w:cs="Times New Roman"/>
          <w:sz w:val="28"/>
          <w:szCs w:val="28"/>
        </w:rPr>
      </w:pPr>
      <w:bookmarkStart w:id="3" w:name="_Hlk121290156"/>
    </w:p>
    <w:p w:rsidR="00852B9D" w:rsidRPr="000149EE" w:rsidRDefault="000149EE" w:rsidP="001A47E2">
      <w:pPr>
        <w:jc w:val="center"/>
        <w:rPr>
          <w:rFonts w:ascii="Times New Roman" w:hAnsi="Times New Roman" w:cs="Times New Roman"/>
          <w:b/>
          <w:bCs/>
          <w:sz w:val="28"/>
          <w:szCs w:val="28"/>
        </w:rPr>
      </w:pPr>
      <w:r w:rsidRPr="000149EE">
        <w:rPr>
          <w:rFonts w:ascii="Times New Roman" w:hAnsi="Times New Roman" w:cs="Times New Roman"/>
          <w:b/>
          <w:bCs/>
          <w:sz w:val="28"/>
          <w:szCs w:val="28"/>
        </w:rPr>
        <w:t>Síntesis de la decisión</w:t>
      </w:r>
    </w:p>
    <w:p w:rsidR="00890842" w:rsidRPr="000149EE" w:rsidRDefault="000149EE" w:rsidP="001A47E2">
      <w:pPr>
        <w:jc w:val="center"/>
        <w:rPr>
          <w:rFonts w:ascii="Times New Roman" w:hAnsi="Times New Roman" w:cs="Times New Roman"/>
          <w:b/>
          <w:bCs/>
          <w:sz w:val="28"/>
          <w:szCs w:val="28"/>
        </w:rPr>
      </w:pPr>
    </w:p>
    <w:p w:rsidR="00475AD9" w:rsidRPr="000149EE" w:rsidRDefault="000149EE" w:rsidP="00475AD9">
      <w:pPr>
        <w:rPr>
          <w:rFonts w:ascii="Times New Roman" w:hAnsi="Times New Roman" w:cs="Times New Roman"/>
          <w:sz w:val="28"/>
          <w:szCs w:val="28"/>
        </w:rPr>
      </w:pPr>
      <w:r w:rsidRPr="000149EE">
        <w:rPr>
          <w:rFonts w:ascii="Times New Roman" w:hAnsi="Times New Roman" w:cs="Times New Roman"/>
          <w:b/>
          <w:bCs/>
          <w:sz w:val="28"/>
          <w:szCs w:val="28"/>
        </w:rPr>
        <w:t>La norma demandada</w:t>
      </w:r>
      <w:r w:rsidRPr="000149EE">
        <w:rPr>
          <w:rFonts w:ascii="Times New Roman" w:hAnsi="Times New Roman" w:cs="Times New Roman"/>
          <w:sz w:val="28"/>
          <w:szCs w:val="28"/>
        </w:rPr>
        <w:t>. La Sala Plena estudió una demanda en contra de los nume</w:t>
      </w:r>
      <w:r w:rsidRPr="000149EE">
        <w:rPr>
          <w:rFonts w:ascii="Times New Roman" w:hAnsi="Times New Roman" w:cs="Times New Roman"/>
          <w:sz w:val="28"/>
          <w:szCs w:val="28"/>
        </w:rPr>
        <w:t>rales 1, 2 y 3 y el parágrafo 6° del artículo 240-1 del ET, modificados por el artículo 11 de la Ley 2277 de 2022. Estas disposiciones crearon un sistema mixto de dos tarifas para calcular el impuesto sobre la renta para usuarios industriales de zonas fran</w:t>
      </w:r>
      <w:r w:rsidRPr="000149EE">
        <w:rPr>
          <w:rFonts w:ascii="Times New Roman" w:hAnsi="Times New Roman" w:cs="Times New Roman"/>
          <w:sz w:val="28"/>
          <w:szCs w:val="28"/>
        </w:rPr>
        <w:t>cas. De acuerdo con el numeral 1º, a los ingresos provenientes de operaciones de exportación se les aplicará una tarifa preferencial del 20%. Por su parte, de acuerdo con el numeral 2º, a los demás ingresos, se les aplicará la tarifa general del impuesto a</w:t>
      </w:r>
      <w:r w:rsidRPr="000149EE">
        <w:rPr>
          <w:rFonts w:ascii="Times New Roman" w:hAnsi="Times New Roman" w:cs="Times New Roman"/>
          <w:sz w:val="28"/>
          <w:szCs w:val="28"/>
        </w:rPr>
        <w:t xml:space="preserve"> la renta del 35%. El numeral 3º, por su parte, dispone que la suma que resulte de la aplicación de la tarifa a los ingresos, conforme a los numeral</w:t>
      </w:r>
      <w:r w:rsidRPr="000149EE">
        <w:rPr>
          <w:rFonts w:ascii="Times New Roman" w:hAnsi="Times New Roman" w:cs="Times New Roman"/>
          <w:sz w:val="28"/>
          <w:szCs w:val="28"/>
        </w:rPr>
        <w:t>es</w:t>
      </w:r>
      <w:r w:rsidRPr="000149EE">
        <w:rPr>
          <w:rFonts w:ascii="Times New Roman" w:hAnsi="Times New Roman" w:cs="Times New Roman"/>
          <w:sz w:val="28"/>
          <w:szCs w:val="28"/>
        </w:rPr>
        <w:t xml:space="preserve"> 1º y 2º, corresponde al impuesto sobre la renta. Por último, el parágrafo 6º prescribe que sólo podrán ac</w:t>
      </w:r>
      <w:r w:rsidRPr="000149EE">
        <w:rPr>
          <w:rFonts w:ascii="Times New Roman" w:hAnsi="Times New Roman" w:cs="Times New Roman"/>
          <w:sz w:val="28"/>
          <w:szCs w:val="28"/>
        </w:rPr>
        <w:t>ceder a la tarifa preferencial prevista en el numeral 1º los usuarios industriales que suscriban el Plan de Internacionalización y Anual de Ventas (PIAV).</w:t>
      </w:r>
    </w:p>
    <w:p w:rsidR="00475AD9" w:rsidRPr="000149EE" w:rsidRDefault="000149EE" w:rsidP="00475AD9">
      <w:pPr>
        <w:rPr>
          <w:rFonts w:ascii="Times New Roman" w:hAnsi="Times New Roman" w:cs="Times New Roman"/>
          <w:sz w:val="28"/>
          <w:szCs w:val="28"/>
        </w:rPr>
      </w:pPr>
    </w:p>
    <w:p w:rsidR="00475AD9" w:rsidRPr="000149EE" w:rsidRDefault="000149EE" w:rsidP="00475AD9">
      <w:pPr>
        <w:rPr>
          <w:rFonts w:ascii="Times New Roman" w:hAnsi="Times New Roman" w:cs="Times New Roman"/>
          <w:sz w:val="28"/>
          <w:szCs w:val="28"/>
        </w:rPr>
      </w:pPr>
      <w:r w:rsidRPr="000149EE">
        <w:rPr>
          <w:rFonts w:ascii="Times New Roman" w:hAnsi="Times New Roman" w:cs="Times New Roman"/>
          <w:b/>
          <w:bCs/>
          <w:sz w:val="28"/>
          <w:szCs w:val="28"/>
        </w:rPr>
        <w:t>La demanda</w:t>
      </w:r>
      <w:r w:rsidRPr="000149EE">
        <w:rPr>
          <w:rFonts w:ascii="Times New Roman" w:hAnsi="Times New Roman" w:cs="Times New Roman"/>
          <w:sz w:val="28"/>
          <w:szCs w:val="28"/>
        </w:rPr>
        <w:t xml:space="preserve">. El 21 de septiembre de 2023, la ciudadana Natalia Torres Pérez presentó demanda de </w:t>
      </w:r>
      <w:r w:rsidRPr="000149EE">
        <w:rPr>
          <w:rFonts w:ascii="Times New Roman" w:hAnsi="Times New Roman" w:cs="Times New Roman"/>
          <w:sz w:val="28"/>
          <w:szCs w:val="28"/>
        </w:rPr>
        <w:t>acción pública de inconstitucionalidad en contra de los numerales 1, 2 y 3 y el parágrafo 6 del artículo 240-1 del ET modificados por el artículo 11 de la Ley 2277 de 2022 por la presunta vulneración de los principios de igualdad (art. 13 de la CP) y equid</w:t>
      </w:r>
      <w:r w:rsidRPr="000149EE">
        <w:rPr>
          <w:rFonts w:ascii="Times New Roman" w:hAnsi="Times New Roman" w:cs="Times New Roman"/>
          <w:sz w:val="28"/>
          <w:szCs w:val="28"/>
        </w:rPr>
        <w:t>ad tributaria (art. 363 de la CP).</w:t>
      </w:r>
    </w:p>
    <w:p w:rsidR="00475AD9" w:rsidRPr="000149EE" w:rsidRDefault="000149EE" w:rsidP="00475AD9">
      <w:pPr>
        <w:rPr>
          <w:rFonts w:ascii="Times New Roman" w:hAnsi="Times New Roman" w:cs="Times New Roman"/>
          <w:sz w:val="28"/>
          <w:szCs w:val="28"/>
        </w:rPr>
      </w:pPr>
    </w:p>
    <w:p w:rsidR="00475AD9" w:rsidRPr="000149EE" w:rsidRDefault="000149EE" w:rsidP="00475AD9">
      <w:pPr>
        <w:rPr>
          <w:rFonts w:ascii="Times New Roman" w:hAnsi="Times New Roman" w:cs="Times New Roman"/>
          <w:sz w:val="28"/>
          <w:szCs w:val="28"/>
        </w:rPr>
      </w:pPr>
      <w:r w:rsidRPr="000149EE">
        <w:rPr>
          <w:rFonts w:ascii="Times New Roman" w:hAnsi="Times New Roman" w:cs="Times New Roman"/>
          <w:bCs/>
          <w:sz w:val="28"/>
          <w:szCs w:val="28"/>
        </w:rPr>
        <w:t>La demandante consideró que las disposiciones demandadas desconocían estos principios</w:t>
      </w:r>
      <w:r w:rsidRPr="000149EE">
        <w:rPr>
          <w:rFonts w:ascii="Times New Roman" w:hAnsi="Times New Roman" w:cs="Times New Roman"/>
          <w:bCs/>
          <w:sz w:val="28"/>
          <w:szCs w:val="28"/>
        </w:rPr>
        <w:t>,</w:t>
      </w:r>
      <w:r w:rsidRPr="000149EE">
        <w:rPr>
          <w:rFonts w:ascii="Times New Roman" w:hAnsi="Times New Roman" w:cs="Times New Roman"/>
          <w:bCs/>
          <w:sz w:val="28"/>
          <w:szCs w:val="28"/>
        </w:rPr>
        <w:t xml:space="preserve"> porque otorgaban un trato diferente a sujetos que se encuentran en la misma situación fáctica y jurídica: </w:t>
      </w:r>
      <w:r w:rsidRPr="000149EE">
        <w:rPr>
          <w:rFonts w:ascii="Times New Roman" w:hAnsi="Times New Roman" w:cs="Times New Roman"/>
          <w:bCs/>
          <w:i/>
          <w:iCs/>
          <w:sz w:val="28"/>
          <w:szCs w:val="28"/>
        </w:rPr>
        <w:t>(i)</w:t>
      </w:r>
      <w:r w:rsidRPr="000149EE">
        <w:rPr>
          <w:rFonts w:ascii="Times New Roman" w:hAnsi="Times New Roman" w:cs="Times New Roman"/>
          <w:bCs/>
          <w:sz w:val="28"/>
          <w:szCs w:val="28"/>
        </w:rPr>
        <w:t xml:space="preserve"> usuarios industriales d</w:t>
      </w:r>
      <w:r w:rsidRPr="000149EE">
        <w:rPr>
          <w:rFonts w:ascii="Times New Roman" w:hAnsi="Times New Roman" w:cs="Times New Roman"/>
          <w:bCs/>
          <w:sz w:val="28"/>
          <w:szCs w:val="28"/>
        </w:rPr>
        <w:t xml:space="preserve">e zona franca exportadores y </w:t>
      </w:r>
      <w:r w:rsidRPr="000149EE">
        <w:rPr>
          <w:rFonts w:ascii="Times New Roman" w:hAnsi="Times New Roman" w:cs="Times New Roman"/>
          <w:bCs/>
          <w:i/>
          <w:iCs/>
          <w:sz w:val="28"/>
          <w:szCs w:val="28"/>
        </w:rPr>
        <w:t>(ii)</w:t>
      </w:r>
      <w:r w:rsidRPr="000149EE">
        <w:rPr>
          <w:rFonts w:ascii="Times New Roman" w:hAnsi="Times New Roman" w:cs="Times New Roman"/>
          <w:bCs/>
          <w:sz w:val="28"/>
          <w:szCs w:val="28"/>
        </w:rPr>
        <w:t xml:space="preserve"> usuarios industriales de zona franca que no tienen vocación de exportación. En su criterio, estos sujetos son comparables, porque la naturaleza jurídica, actividad económica y régimen aplicable a sus operaciones son los mi</w:t>
      </w:r>
      <w:r w:rsidRPr="000149EE">
        <w:rPr>
          <w:rFonts w:ascii="Times New Roman" w:hAnsi="Times New Roman" w:cs="Times New Roman"/>
          <w:bCs/>
          <w:sz w:val="28"/>
          <w:szCs w:val="28"/>
        </w:rPr>
        <w:t xml:space="preserve">smos. Según la demanda, el trato diferenciado que se deriva de las </w:t>
      </w:r>
      <w:r w:rsidRPr="000149EE">
        <w:rPr>
          <w:rFonts w:ascii="Times New Roman" w:hAnsi="Times New Roman" w:cs="Times New Roman"/>
          <w:bCs/>
          <w:sz w:val="28"/>
          <w:szCs w:val="28"/>
        </w:rPr>
        <w:t>disposiciones</w:t>
      </w:r>
      <w:r w:rsidRPr="000149EE">
        <w:rPr>
          <w:rFonts w:ascii="Times New Roman" w:hAnsi="Times New Roman" w:cs="Times New Roman"/>
          <w:bCs/>
          <w:sz w:val="28"/>
          <w:szCs w:val="28"/>
        </w:rPr>
        <w:t xml:space="preserve"> acusadas consiste en </w:t>
      </w:r>
      <w:r w:rsidRPr="000149EE">
        <w:rPr>
          <w:rFonts w:ascii="Times New Roman" w:hAnsi="Times New Roman" w:cs="Times New Roman"/>
          <w:bCs/>
          <w:sz w:val="28"/>
          <w:szCs w:val="28"/>
        </w:rPr>
        <w:t xml:space="preserve">que </w:t>
      </w:r>
      <w:r w:rsidRPr="000149EE">
        <w:rPr>
          <w:rFonts w:ascii="Times New Roman" w:hAnsi="Times New Roman" w:cs="Times New Roman"/>
          <w:bCs/>
          <w:sz w:val="28"/>
          <w:szCs w:val="28"/>
        </w:rPr>
        <w:t>los primeros podrán acceder a la tarifa preferencial del impuesto a la renta prevista en el numeral 1º (20%). En contraste, los segundos tributarán co</w:t>
      </w:r>
      <w:r w:rsidRPr="000149EE">
        <w:rPr>
          <w:rFonts w:ascii="Times New Roman" w:hAnsi="Times New Roman" w:cs="Times New Roman"/>
          <w:bCs/>
          <w:sz w:val="28"/>
          <w:szCs w:val="28"/>
        </w:rPr>
        <w:t>nforme a la tarifa general aplicable a las personas jurídicas, la cual es del 35%. La demandante sostuvo que esta distinción tarifaria es discriminatoria para los usuarios industriales que desarrollen actividades distintas a la exportación y no consulta ni</w:t>
      </w:r>
      <w:r w:rsidRPr="000149EE">
        <w:rPr>
          <w:rFonts w:ascii="Times New Roman" w:hAnsi="Times New Roman" w:cs="Times New Roman"/>
          <w:bCs/>
          <w:sz w:val="28"/>
          <w:szCs w:val="28"/>
        </w:rPr>
        <w:t xml:space="preserve">nguna finalidad ni justificación admisible desde el punto de vista constitucional. Esto, porque </w:t>
      </w:r>
      <w:r w:rsidRPr="000149EE">
        <w:rPr>
          <w:rFonts w:ascii="Times New Roman" w:hAnsi="Times New Roman" w:cs="Times New Roman"/>
          <w:sz w:val="28"/>
          <w:szCs w:val="28"/>
        </w:rPr>
        <w:t xml:space="preserve">la Constitución no “contempla un mandato específico de promoción de las exportaciones, que permita o justifique otorgar un tratamiento diferente a iguales como </w:t>
      </w:r>
      <w:r w:rsidRPr="000149EE">
        <w:rPr>
          <w:rFonts w:ascii="Times New Roman" w:hAnsi="Times New Roman" w:cs="Times New Roman"/>
          <w:sz w:val="28"/>
          <w:szCs w:val="28"/>
        </w:rPr>
        <w:t xml:space="preserve">son los usuarios industriales de bienes y/o servicios de zona franca que exportan y aquellos que no”. Además, la diferencia de trato desnaturaliza la excepcionalidad y especialidad del régimen franco. </w:t>
      </w:r>
    </w:p>
    <w:p w:rsidR="00475AD9" w:rsidRPr="000149EE" w:rsidRDefault="000149EE" w:rsidP="00475AD9">
      <w:pPr>
        <w:rPr>
          <w:rFonts w:ascii="Times New Roman" w:hAnsi="Times New Roman" w:cs="Times New Roman"/>
          <w:sz w:val="28"/>
          <w:szCs w:val="28"/>
        </w:rPr>
      </w:pPr>
    </w:p>
    <w:p w:rsidR="00475AD9" w:rsidRPr="000149EE" w:rsidRDefault="000149EE" w:rsidP="00475AD9">
      <w:pPr>
        <w:rPr>
          <w:rFonts w:ascii="Times New Roman" w:hAnsi="Times New Roman" w:cs="Times New Roman"/>
          <w:sz w:val="28"/>
          <w:szCs w:val="28"/>
        </w:rPr>
      </w:pPr>
      <w:r w:rsidRPr="000149EE">
        <w:rPr>
          <w:rFonts w:ascii="Times New Roman" w:hAnsi="Times New Roman" w:cs="Times New Roman"/>
          <w:b/>
          <w:bCs/>
          <w:sz w:val="28"/>
          <w:szCs w:val="28"/>
        </w:rPr>
        <w:t>Examen de la Corte.</w:t>
      </w:r>
      <w:r w:rsidRPr="000149EE">
        <w:rPr>
          <w:rFonts w:ascii="Times New Roman" w:hAnsi="Times New Roman" w:cs="Times New Roman"/>
          <w:sz w:val="28"/>
          <w:szCs w:val="28"/>
        </w:rPr>
        <w:t xml:space="preserve"> La Corte concluyó que la tarifa d</w:t>
      </w:r>
      <w:r w:rsidRPr="000149EE">
        <w:rPr>
          <w:rFonts w:ascii="Times New Roman" w:hAnsi="Times New Roman" w:cs="Times New Roman"/>
          <w:sz w:val="28"/>
          <w:szCs w:val="28"/>
        </w:rPr>
        <w:t>iferencial del impuesto sobre la renta prevista en los numerales 1, 2 y 3 y el parágrafo 6° del artículo 240-1 del ET, modificados por el artículo 11 de la Ley 2277 de 2022, no vulnera los principios de igualdad y equidad tributaria. Lo anterior, porque la</w:t>
      </w:r>
      <w:r w:rsidRPr="000149EE">
        <w:rPr>
          <w:rFonts w:ascii="Times New Roman" w:hAnsi="Times New Roman" w:cs="Times New Roman"/>
          <w:sz w:val="28"/>
          <w:szCs w:val="28"/>
        </w:rPr>
        <w:t xml:space="preserve"> medida satisface las exigencias del juicio leve de igualdad. En primer lugar, persigue finalidades </w:t>
      </w:r>
      <w:r w:rsidRPr="000149EE">
        <w:rPr>
          <w:rFonts w:ascii="Times New Roman" w:hAnsi="Times New Roman" w:cs="Times New Roman"/>
          <w:sz w:val="28"/>
          <w:szCs w:val="28"/>
        </w:rPr>
        <w:t>legítimas -</w:t>
      </w:r>
      <w:r w:rsidRPr="000149EE">
        <w:rPr>
          <w:rFonts w:ascii="Times New Roman" w:hAnsi="Times New Roman" w:cs="Times New Roman"/>
          <w:sz w:val="28"/>
          <w:szCs w:val="28"/>
        </w:rPr>
        <w:t>no prohibidas</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por la Constitución</w:t>
      </w:r>
      <w:r w:rsidRPr="000149EE">
        <w:rPr>
          <w:rFonts w:ascii="Times New Roman" w:hAnsi="Times New Roman" w:cs="Times New Roman"/>
          <w:sz w:val="28"/>
          <w:szCs w:val="28"/>
        </w:rPr>
        <w:t xml:space="preserve">, a saber: </w:t>
      </w:r>
      <w:r w:rsidRPr="000149EE">
        <w:rPr>
          <w:rFonts w:ascii="Times New Roman" w:hAnsi="Times New Roman" w:cs="Times New Roman"/>
          <w:i/>
          <w:iCs/>
          <w:sz w:val="28"/>
          <w:szCs w:val="28"/>
        </w:rPr>
        <w:t xml:space="preserve">(i) </w:t>
      </w:r>
      <w:r w:rsidRPr="000149EE">
        <w:rPr>
          <w:rFonts w:ascii="Times New Roman" w:hAnsi="Times New Roman" w:cs="Times New Roman"/>
          <w:sz w:val="28"/>
          <w:szCs w:val="28"/>
        </w:rPr>
        <w:t xml:space="preserve">fomentar la exportación y </w:t>
      </w:r>
      <w:r w:rsidRPr="000149EE">
        <w:rPr>
          <w:rFonts w:ascii="Times New Roman" w:hAnsi="Times New Roman" w:cs="Times New Roman"/>
          <w:i/>
          <w:iCs/>
          <w:sz w:val="28"/>
          <w:szCs w:val="28"/>
        </w:rPr>
        <w:t>(ii)</w:t>
      </w:r>
      <w:r w:rsidRPr="000149EE">
        <w:rPr>
          <w:rFonts w:ascii="Times New Roman" w:hAnsi="Times New Roman" w:cs="Times New Roman"/>
          <w:sz w:val="28"/>
          <w:szCs w:val="28"/>
        </w:rPr>
        <w:t xml:space="preserve"> corregir asimetrías tributarias</w:t>
      </w:r>
      <w:r w:rsidRPr="000149EE">
        <w:rPr>
          <w:rFonts w:ascii="Times New Roman" w:hAnsi="Times New Roman" w:cs="Times New Roman"/>
          <w:iCs/>
          <w:sz w:val="28"/>
          <w:szCs w:val="28"/>
        </w:rPr>
        <w:t xml:space="preserve">. En segundo lugar, </w:t>
      </w:r>
      <w:r w:rsidRPr="000149EE">
        <w:rPr>
          <w:rFonts w:ascii="Times New Roman" w:hAnsi="Times New Roman" w:cs="Times New Roman"/>
          <w:iCs/>
          <w:sz w:val="28"/>
          <w:szCs w:val="28"/>
        </w:rPr>
        <w:t xml:space="preserve">la tarifa </w:t>
      </w:r>
      <w:r w:rsidRPr="000149EE">
        <w:rPr>
          <w:rFonts w:ascii="Times New Roman" w:hAnsi="Times New Roman" w:cs="Times New Roman"/>
          <w:iCs/>
          <w:sz w:val="28"/>
          <w:szCs w:val="28"/>
        </w:rPr>
        <w:t>dife</w:t>
      </w:r>
      <w:r w:rsidRPr="000149EE">
        <w:rPr>
          <w:rFonts w:ascii="Times New Roman" w:hAnsi="Times New Roman" w:cs="Times New Roman"/>
          <w:iCs/>
          <w:sz w:val="28"/>
          <w:szCs w:val="28"/>
        </w:rPr>
        <w:t>rencial es</w:t>
      </w:r>
      <w:r w:rsidRPr="000149EE">
        <w:rPr>
          <w:rFonts w:ascii="Times New Roman" w:hAnsi="Times New Roman" w:cs="Times New Roman"/>
          <w:iCs/>
          <w:sz w:val="28"/>
          <w:szCs w:val="28"/>
        </w:rPr>
        <w:t xml:space="preserve"> una medida idónea para alcanzar estas finalidades. De un lado, contribuye al fomento de las exportaciones</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porque reduce la carga tributaria de los usuarios industriales que perciben ingresos provenientes de exportación. Esto les permite ser más</w:t>
      </w:r>
      <w:r w:rsidRPr="000149EE">
        <w:rPr>
          <w:rFonts w:ascii="Times New Roman" w:hAnsi="Times New Roman" w:cs="Times New Roman"/>
          <w:iCs/>
          <w:sz w:val="28"/>
          <w:szCs w:val="28"/>
        </w:rPr>
        <w:t xml:space="preserve"> competitivos </w:t>
      </w:r>
      <w:r w:rsidRPr="000149EE">
        <w:rPr>
          <w:rFonts w:ascii="Times New Roman" w:hAnsi="Times New Roman" w:cs="Times New Roman"/>
          <w:bCs/>
          <w:iCs/>
          <w:sz w:val="28"/>
          <w:szCs w:val="28"/>
        </w:rPr>
        <w:t>frente a compañías de países latinoamericanos que se benefician de impuestos corporativos inferiores.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Por otro lado</w:t>
      </w:r>
      <w:r w:rsidRPr="000149EE">
        <w:rPr>
          <w:rFonts w:ascii="Times New Roman" w:hAnsi="Times New Roman" w:cs="Times New Roman"/>
          <w:iCs/>
          <w:sz w:val="28"/>
          <w:szCs w:val="28"/>
        </w:rPr>
        <w:t xml:space="preserve">, la aplicación de la tarifa general (35%) para los ingresos que no provienen de operaciones de exportación contribuye a </w:t>
      </w:r>
      <w:r w:rsidRPr="000149EE">
        <w:rPr>
          <w:rFonts w:ascii="Times New Roman" w:hAnsi="Times New Roman" w:cs="Times New Roman"/>
          <w:iCs/>
          <w:sz w:val="28"/>
          <w:szCs w:val="28"/>
        </w:rPr>
        <w:t>alcanzar los principios de igualdad y equidad tributaria. Esto último, porque impide que los usuarios de zona franca que no exportan se beneficien injustificadamente de este beneficio tributario lo que, antes de la entrada en vigor del artículo 11 de la Le</w:t>
      </w:r>
      <w:r w:rsidRPr="000149EE">
        <w:rPr>
          <w:rFonts w:ascii="Times New Roman" w:hAnsi="Times New Roman" w:cs="Times New Roman"/>
          <w:iCs/>
          <w:sz w:val="28"/>
          <w:szCs w:val="28"/>
        </w:rPr>
        <w:t>y 2277 de 2022, generó asimetrías en las cargas tributarias.</w:t>
      </w:r>
    </w:p>
    <w:p w:rsidR="00475AD9" w:rsidRPr="000149EE" w:rsidRDefault="000149EE" w:rsidP="00475AD9">
      <w:pPr>
        <w:rPr>
          <w:rFonts w:ascii="Times New Roman" w:hAnsi="Times New Roman" w:cs="Times New Roman"/>
          <w:sz w:val="28"/>
          <w:szCs w:val="28"/>
        </w:rPr>
      </w:pPr>
    </w:p>
    <w:p w:rsidR="00475AD9" w:rsidRPr="000149EE" w:rsidRDefault="000149EE" w:rsidP="00475AD9">
      <w:pPr>
        <w:rPr>
          <w:rFonts w:ascii="Times New Roman" w:hAnsi="Times New Roman" w:cs="Times New Roman"/>
          <w:iCs/>
          <w:sz w:val="28"/>
          <w:szCs w:val="28"/>
        </w:rPr>
      </w:pPr>
      <w:r w:rsidRPr="000149EE">
        <w:rPr>
          <w:rFonts w:ascii="Times New Roman" w:hAnsi="Times New Roman" w:cs="Times New Roman"/>
          <w:b/>
          <w:bCs/>
          <w:sz w:val="28"/>
          <w:szCs w:val="28"/>
        </w:rPr>
        <w:t>Decisión</w:t>
      </w:r>
      <w:r w:rsidRPr="000149EE">
        <w:rPr>
          <w:rFonts w:ascii="Times New Roman" w:hAnsi="Times New Roman" w:cs="Times New Roman"/>
          <w:sz w:val="28"/>
          <w:szCs w:val="28"/>
        </w:rPr>
        <w:t xml:space="preserve">. </w:t>
      </w:r>
      <w:r w:rsidRPr="000149EE">
        <w:rPr>
          <w:rFonts w:ascii="Times New Roman" w:hAnsi="Times New Roman" w:cs="Times New Roman"/>
          <w:iCs/>
          <w:sz w:val="28"/>
          <w:szCs w:val="28"/>
        </w:rPr>
        <w:t>La Corte declaró la exequibilidad de los numerales 1, 2 y 3 y el parágrafo 6° del artículo 240-1 del Decreto Ley 624 de 1989 “por el cual se expide el Estatuto Tributario de los impues</w:t>
      </w:r>
      <w:r w:rsidRPr="000149EE">
        <w:rPr>
          <w:rFonts w:ascii="Times New Roman" w:hAnsi="Times New Roman" w:cs="Times New Roman"/>
          <w:iCs/>
          <w:sz w:val="28"/>
          <w:szCs w:val="28"/>
        </w:rPr>
        <w:t>tos administrados por la Dirección General de Impuesto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Nacionales”, modificados por el artículo 11 de la Ley 2277 de 2022 “por medio de la cual se adopta una reforma tributaria para la igualdad y la justicia social y se dictan otras disposiciones”, en rel</w:t>
      </w:r>
      <w:r w:rsidRPr="000149EE">
        <w:rPr>
          <w:rFonts w:ascii="Times New Roman" w:hAnsi="Times New Roman" w:cs="Times New Roman"/>
          <w:iCs/>
          <w:sz w:val="28"/>
          <w:szCs w:val="28"/>
        </w:rPr>
        <w:t xml:space="preserve">ación con los cargos por la presunta vulneración de los principios de igualdad y equidad tributaria (arts. 13 y 363 de la Constitución). </w:t>
      </w:r>
    </w:p>
    <w:p w:rsidR="00475AD9" w:rsidRPr="000149EE" w:rsidRDefault="000149EE" w:rsidP="001A47E2">
      <w:pPr>
        <w:rPr>
          <w:rFonts w:ascii="Times New Roman" w:hAnsi="Times New Roman" w:cs="Times New Roman"/>
          <w:sz w:val="28"/>
          <w:szCs w:val="28"/>
        </w:rPr>
      </w:pPr>
    </w:p>
    <w:p w:rsidR="00BA7804" w:rsidRPr="000149EE" w:rsidRDefault="000149EE" w:rsidP="001A47E2">
      <w:pPr>
        <w:pStyle w:val="Ttulo1"/>
        <w:numPr>
          <w:ilvl w:val="0"/>
          <w:numId w:val="1"/>
        </w:numPr>
        <w:spacing w:before="0"/>
        <w:rPr>
          <w:rStyle w:val="Ttulo1Car"/>
          <w:rFonts w:cs="Times New Roman"/>
          <w:b/>
          <w:szCs w:val="28"/>
        </w:rPr>
      </w:pPr>
      <w:r w:rsidRPr="000149EE">
        <w:rPr>
          <w:rStyle w:val="Ttulo1Car"/>
          <w:rFonts w:cs="Times New Roman"/>
          <w:b/>
          <w:szCs w:val="28"/>
        </w:rPr>
        <w:t>ANTECEDENTES</w:t>
      </w:r>
    </w:p>
    <w:p w:rsidR="00BA7804" w:rsidRPr="000149EE" w:rsidRDefault="000149EE" w:rsidP="001A47E2">
      <w:pPr>
        <w:pStyle w:val="Cuerpo"/>
        <w:tabs>
          <w:tab w:val="left" w:pos="567"/>
        </w:tabs>
        <w:ind w:right="-93"/>
        <w:contextualSpacing/>
        <w:jc w:val="both"/>
        <w:rPr>
          <w:rFonts w:cs="Times New Roman"/>
        </w:rPr>
      </w:pPr>
    </w:p>
    <w:p w:rsidR="00BA7804" w:rsidRPr="000149EE" w:rsidRDefault="000149EE" w:rsidP="001A47E2">
      <w:pPr>
        <w:pStyle w:val="Ttulo2"/>
        <w:numPr>
          <w:ilvl w:val="0"/>
          <w:numId w:val="2"/>
        </w:numPr>
        <w:rPr>
          <w:rFonts w:ascii="Times New Roman" w:hAnsi="Times New Roman" w:cs="Times New Roman"/>
          <w:sz w:val="28"/>
          <w:szCs w:val="28"/>
        </w:rPr>
      </w:pPr>
      <w:r w:rsidRPr="000149EE">
        <w:rPr>
          <w:rFonts w:ascii="Times New Roman" w:hAnsi="Times New Roman" w:cs="Times New Roman"/>
          <w:sz w:val="28"/>
          <w:szCs w:val="28"/>
        </w:rPr>
        <w:t>Trámite procesal</w:t>
      </w:r>
    </w:p>
    <w:bookmarkEnd w:id="3"/>
    <w:p w:rsidR="00BA7804" w:rsidRPr="000149EE" w:rsidRDefault="000149EE" w:rsidP="001A47E2">
      <w:pPr>
        <w:pStyle w:val="Prrafodelista"/>
        <w:spacing w:line="240" w:lineRule="auto"/>
        <w:ind w:left="0"/>
        <w:rPr>
          <w:rFonts w:ascii="Times New Roman" w:hAnsi="Times New Roman"/>
          <w:sz w:val="28"/>
        </w:rPr>
      </w:pPr>
    </w:p>
    <w:p w:rsidR="00AB7758" w:rsidRPr="000149EE" w:rsidRDefault="000149EE" w:rsidP="001A47E2">
      <w:pPr>
        <w:numPr>
          <w:ilvl w:val="0"/>
          <w:numId w:val="3"/>
        </w:numPr>
        <w:tabs>
          <w:tab w:val="left" w:pos="567"/>
        </w:tabs>
        <w:ind w:left="0" w:firstLine="0"/>
        <w:rPr>
          <w:rFonts w:ascii="Times New Roman" w:hAnsi="Times New Roman" w:cs="Times New Roman"/>
          <w:bCs/>
          <w:sz w:val="28"/>
          <w:szCs w:val="28"/>
        </w:rPr>
      </w:pPr>
      <w:r w:rsidRPr="000149EE">
        <w:rPr>
          <w:rFonts w:ascii="Times New Roman" w:hAnsi="Times New Roman" w:cs="Times New Roman"/>
          <w:sz w:val="28"/>
          <w:szCs w:val="28"/>
        </w:rPr>
        <w:t xml:space="preserve">El </w:t>
      </w:r>
      <w:r w:rsidRPr="000149EE">
        <w:rPr>
          <w:rFonts w:ascii="Times New Roman" w:hAnsi="Times New Roman" w:cs="Times New Roman"/>
          <w:sz w:val="28"/>
          <w:szCs w:val="28"/>
        </w:rPr>
        <w:t>2</w:t>
      </w:r>
      <w:r w:rsidRPr="000149EE">
        <w:rPr>
          <w:rFonts w:ascii="Times New Roman" w:hAnsi="Times New Roman" w:cs="Times New Roman"/>
          <w:sz w:val="28"/>
          <w:szCs w:val="28"/>
        </w:rPr>
        <w:t>1 de septiembre de 2023</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la ciudadana Natalia Torres Pérez</w:t>
      </w:r>
      <w:r w:rsidRPr="000149EE">
        <w:rPr>
          <w:rFonts w:ascii="Times New Roman" w:hAnsi="Times New Roman" w:cs="Times New Roman"/>
          <w:sz w:val="28"/>
          <w:szCs w:val="28"/>
        </w:rPr>
        <w:t xml:space="preserve"> (en adelante, </w:t>
      </w:r>
      <w:r w:rsidRPr="000149EE">
        <w:rPr>
          <w:rFonts w:ascii="Times New Roman" w:hAnsi="Times New Roman" w:cs="Times New Roman"/>
          <w:sz w:val="28"/>
          <w:szCs w:val="28"/>
        </w:rPr>
        <w:t>“</w:t>
      </w:r>
      <w:r w:rsidRPr="000149EE">
        <w:rPr>
          <w:rFonts w:ascii="Times New Roman" w:hAnsi="Times New Roman" w:cs="Times New Roman"/>
          <w:sz w:val="28"/>
          <w:szCs w:val="28"/>
          <w:u w:val="single"/>
        </w:rPr>
        <w:t xml:space="preserve">la </w:t>
      </w:r>
      <w:r w:rsidRPr="000149EE">
        <w:rPr>
          <w:rFonts w:ascii="Times New Roman" w:hAnsi="Times New Roman" w:cs="Times New Roman"/>
          <w:sz w:val="28"/>
          <w:szCs w:val="28"/>
          <w:u w:val="single"/>
        </w:rPr>
        <w:t>demandante</w:t>
      </w:r>
      <w:r w:rsidRPr="000149EE">
        <w:rPr>
          <w:rFonts w:ascii="Times New Roman" w:hAnsi="Times New Roman" w:cs="Times New Roman"/>
          <w:sz w:val="28"/>
          <w:szCs w:val="28"/>
        </w:rPr>
        <w:t>”</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presentó demanda de acción pública de inconstitucionalidad </w:t>
      </w:r>
      <w:r w:rsidRPr="000149EE">
        <w:rPr>
          <w:rFonts w:ascii="Times New Roman" w:hAnsi="Times New Roman" w:cs="Times New Roman"/>
          <w:sz w:val="28"/>
          <w:szCs w:val="28"/>
        </w:rPr>
        <w:t>en contra de los numerales 1, 2, 3, el parágrafo 6 y el parágrafo transitorio del artículo 240-1 del Decreto Ley 624 de 1989 “por el cual se expide el Estatuto Tributario de los impues</w:t>
      </w:r>
      <w:r w:rsidRPr="000149EE">
        <w:rPr>
          <w:rFonts w:ascii="Times New Roman" w:hAnsi="Times New Roman" w:cs="Times New Roman"/>
          <w:sz w:val="28"/>
          <w:szCs w:val="28"/>
        </w:rPr>
        <w:t>tos administrados por la Dirección General de Impuesto</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Nacionales” (</w:t>
      </w:r>
      <w:r w:rsidRPr="000149EE">
        <w:rPr>
          <w:rFonts w:ascii="Times New Roman" w:hAnsi="Times New Roman" w:cs="Times New Roman"/>
          <w:sz w:val="28"/>
          <w:szCs w:val="28"/>
        </w:rPr>
        <w:t xml:space="preserve">en adelante, </w:t>
      </w:r>
      <w:r w:rsidRPr="000149EE">
        <w:rPr>
          <w:rFonts w:ascii="Times New Roman" w:hAnsi="Times New Roman" w:cs="Times New Roman"/>
          <w:sz w:val="28"/>
          <w:szCs w:val="28"/>
        </w:rPr>
        <w:t>Estatuto Tributario</w:t>
      </w:r>
      <w:r w:rsidRPr="000149EE">
        <w:rPr>
          <w:rFonts w:ascii="Times New Roman" w:hAnsi="Times New Roman" w:cs="Times New Roman"/>
          <w:sz w:val="28"/>
          <w:szCs w:val="28"/>
        </w:rPr>
        <w:t xml:space="preserve"> o ET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modificado</w:t>
      </w:r>
      <w:r w:rsidRPr="000149EE">
        <w:rPr>
          <w:rFonts w:ascii="Times New Roman" w:hAnsi="Times New Roman" w:cs="Times New Roman"/>
          <w:sz w:val="28"/>
          <w:szCs w:val="28"/>
        </w:rPr>
        <w:t xml:space="preserve"> por el artículo 11 de la Ley 2277 de 2022</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 medio de la cual se adopta una reforma tributaria para la igualdad y la justicia social </w:t>
      </w:r>
      <w:r w:rsidRPr="000149EE">
        <w:rPr>
          <w:rFonts w:ascii="Times New Roman" w:hAnsi="Times New Roman" w:cs="Times New Roman"/>
          <w:sz w:val="28"/>
          <w:szCs w:val="28"/>
        </w:rPr>
        <w:t xml:space="preserve">y se dictan otras disposiciones”. </w:t>
      </w:r>
      <w:r w:rsidRPr="000149EE">
        <w:rPr>
          <w:rFonts w:ascii="Times New Roman" w:hAnsi="Times New Roman" w:cs="Times New Roman"/>
          <w:sz w:val="28"/>
          <w:szCs w:val="28"/>
        </w:rPr>
        <w:t>La demandante sostuvo que</w:t>
      </w:r>
      <w:r w:rsidRPr="000149EE">
        <w:rPr>
          <w:rFonts w:ascii="Times New Roman" w:hAnsi="Times New Roman" w:cs="Times New Roman"/>
          <w:sz w:val="28"/>
          <w:szCs w:val="28"/>
        </w:rPr>
        <w:t xml:space="preserve"> las disposiciones demandadas vulneraban los </w:t>
      </w:r>
      <w:r w:rsidRPr="000149EE">
        <w:rPr>
          <w:rFonts w:ascii="Times New Roman" w:hAnsi="Times New Roman" w:cs="Times New Roman"/>
          <w:sz w:val="28"/>
          <w:szCs w:val="28"/>
        </w:rPr>
        <w:t>principios de igualdad</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(art.</w:t>
      </w:r>
      <w:r w:rsidRPr="000149EE">
        <w:rPr>
          <w:rFonts w:ascii="Times New Roman" w:hAnsi="Times New Roman" w:cs="Times New Roman"/>
          <w:sz w:val="28"/>
          <w:szCs w:val="28"/>
        </w:rPr>
        <w:t xml:space="preserve"> 13</w:t>
      </w:r>
      <w:r w:rsidRPr="000149EE">
        <w:rPr>
          <w:rFonts w:ascii="Times New Roman" w:hAnsi="Times New Roman" w:cs="Times New Roman"/>
          <w:sz w:val="28"/>
          <w:szCs w:val="28"/>
        </w:rPr>
        <w:t xml:space="preserve"> de la CP)</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buena fe y confianza legítima (art. </w:t>
      </w:r>
      <w:r w:rsidRPr="000149EE">
        <w:rPr>
          <w:rFonts w:ascii="Times New Roman" w:hAnsi="Times New Roman" w:cs="Times New Roman"/>
          <w:sz w:val="28"/>
          <w:szCs w:val="28"/>
        </w:rPr>
        <w:t>83</w:t>
      </w:r>
      <w:r w:rsidRPr="000149EE">
        <w:rPr>
          <w:rFonts w:ascii="Times New Roman" w:hAnsi="Times New Roman" w:cs="Times New Roman"/>
          <w:sz w:val="28"/>
          <w:szCs w:val="28"/>
        </w:rPr>
        <w:t xml:space="preserve"> de la CP)</w:t>
      </w:r>
      <w:r w:rsidRPr="000149EE">
        <w:rPr>
          <w:rFonts w:ascii="Times New Roman" w:hAnsi="Times New Roman" w:cs="Times New Roman"/>
          <w:sz w:val="28"/>
          <w:szCs w:val="28"/>
        </w:rPr>
        <w:t xml:space="preserve"> y</w:t>
      </w:r>
      <w:r w:rsidRPr="000149EE">
        <w:rPr>
          <w:rFonts w:ascii="Times New Roman" w:hAnsi="Times New Roman" w:cs="Times New Roman"/>
          <w:sz w:val="28"/>
          <w:szCs w:val="28"/>
        </w:rPr>
        <w:t xml:space="preserve"> equidad tributaria (art.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363 de la </w:t>
      </w:r>
      <w:r w:rsidRPr="000149EE">
        <w:rPr>
          <w:rFonts w:ascii="Times New Roman" w:hAnsi="Times New Roman" w:cs="Times New Roman"/>
          <w:sz w:val="28"/>
          <w:szCs w:val="28"/>
        </w:rPr>
        <w:t>CP)</w:t>
      </w:r>
      <w:r w:rsidRPr="000149EE">
        <w:rPr>
          <w:rFonts w:ascii="Times New Roman" w:hAnsi="Times New Roman" w:cs="Times New Roman"/>
          <w:sz w:val="28"/>
          <w:szCs w:val="28"/>
        </w:rPr>
        <w:t>.</w:t>
      </w:r>
    </w:p>
    <w:p w:rsidR="00AB7758" w:rsidRPr="000149EE" w:rsidRDefault="000149EE" w:rsidP="001A47E2">
      <w:pPr>
        <w:tabs>
          <w:tab w:val="left" w:pos="567"/>
        </w:tabs>
        <w:rPr>
          <w:rFonts w:ascii="Times New Roman" w:hAnsi="Times New Roman" w:cs="Times New Roman"/>
          <w:sz w:val="28"/>
          <w:szCs w:val="28"/>
        </w:rPr>
      </w:pPr>
    </w:p>
    <w:p w:rsidR="00AB7758"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El </w:t>
      </w:r>
      <w:bookmarkStart w:id="4" w:name="_Hlk132223246"/>
      <w:r w:rsidRPr="000149EE">
        <w:rPr>
          <w:rFonts w:ascii="Times New Roman" w:hAnsi="Times New Roman" w:cs="Times New Roman"/>
          <w:bCs/>
          <w:color w:val="000000" w:themeColor="text1"/>
          <w:sz w:val="28"/>
          <w:szCs w:val="28"/>
        </w:rPr>
        <w:t>14 de noviembr</w:t>
      </w:r>
      <w:r w:rsidRPr="000149EE">
        <w:rPr>
          <w:rFonts w:ascii="Times New Roman" w:hAnsi="Times New Roman" w:cs="Times New Roman"/>
          <w:bCs/>
          <w:color w:val="000000" w:themeColor="text1"/>
          <w:sz w:val="28"/>
          <w:szCs w:val="28"/>
        </w:rPr>
        <w:t>e de 2023, la magistrada sustanciadora inadmitió y rechazó parcialmente la demanda de la referencia</w:t>
      </w:r>
      <w:r w:rsidRPr="000149EE">
        <w:rPr>
          <w:rFonts w:ascii="Times New Roman" w:hAnsi="Times New Roman" w:cs="Times New Roman"/>
          <w:bCs/>
          <w:color w:val="000000" w:themeColor="text1"/>
          <w:sz w:val="28"/>
          <w:szCs w:val="28"/>
        </w:rPr>
        <w:t>, por considerar que los pretendidos cargos no cumplían con las exigencias argumentativas generales de las demandas de inconstitucionalidad</w:t>
      </w:r>
      <w:r w:rsidRPr="000149EE">
        <w:rPr>
          <w:rStyle w:val="Refdenotaalpie"/>
          <w:rFonts w:ascii="Times New Roman" w:hAnsi="Times New Roman" w:cs="Times New Roman"/>
          <w:bCs/>
          <w:color w:val="000000" w:themeColor="text1"/>
          <w:sz w:val="28"/>
          <w:szCs w:val="28"/>
        </w:rPr>
        <w:footnoteReference w:id="1"/>
      </w:r>
      <w:r w:rsidRPr="000149EE">
        <w:rPr>
          <w:rFonts w:ascii="Times New Roman" w:hAnsi="Times New Roman" w:cs="Times New Roman"/>
          <w:bCs/>
          <w:color w:val="000000" w:themeColor="text1"/>
          <w:sz w:val="28"/>
          <w:szCs w:val="28"/>
        </w:rPr>
        <w:t xml:space="preserve">. </w:t>
      </w:r>
      <w:bookmarkEnd w:id="4"/>
      <w:r w:rsidRPr="000149EE">
        <w:rPr>
          <w:rFonts w:ascii="Times New Roman" w:hAnsi="Times New Roman" w:cs="Times New Roman"/>
          <w:sz w:val="28"/>
          <w:szCs w:val="28"/>
        </w:rPr>
        <w:t xml:space="preserve">El </w:t>
      </w:r>
      <w:r w:rsidRPr="000149EE">
        <w:rPr>
          <w:rFonts w:ascii="Times New Roman" w:hAnsi="Times New Roman" w:cs="Times New Roman"/>
          <w:sz w:val="28"/>
          <w:szCs w:val="28"/>
        </w:rPr>
        <w:t xml:space="preserve">21 de </w:t>
      </w:r>
      <w:r w:rsidRPr="000149EE">
        <w:rPr>
          <w:rFonts w:ascii="Times New Roman" w:hAnsi="Times New Roman" w:cs="Times New Roman"/>
          <w:sz w:val="28"/>
          <w:szCs w:val="28"/>
        </w:rPr>
        <w:t>noviembre</w:t>
      </w:r>
      <w:r w:rsidRPr="000149EE">
        <w:rPr>
          <w:rFonts w:ascii="Times New Roman" w:hAnsi="Times New Roman" w:cs="Times New Roman"/>
          <w:sz w:val="28"/>
          <w:szCs w:val="28"/>
        </w:rPr>
        <w:t xml:space="preserve"> de 2023, dentro del término legal, </w:t>
      </w:r>
      <w:r w:rsidRPr="000149EE">
        <w:rPr>
          <w:rFonts w:ascii="Times New Roman" w:hAnsi="Times New Roman" w:cs="Times New Roman"/>
          <w:sz w:val="28"/>
          <w:szCs w:val="28"/>
        </w:rPr>
        <w:t>la demandante</w:t>
      </w:r>
      <w:r w:rsidRPr="000149EE">
        <w:rPr>
          <w:rFonts w:ascii="Times New Roman" w:hAnsi="Times New Roman" w:cs="Times New Roman"/>
          <w:sz w:val="28"/>
          <w:szCs w:val="28"/>
        </w:rPr>
        <w:t xml:space="preserve"> presentó escrito de corrección</w:t>
      </w:r>
      <w:r w:rsidRPr="000149EE">
        <w:rPr>
          <w:rStyle w:val="Refdenotaalpie"/>
          <w:rFonts w:ascii="Times New Roman" w:hAnsi="Times New Roman" w:cs="Times New Roman"/>
          <w:sz w:val="28"/>
          <w:szCs w:val="28"/>
        </w:rPr>
        <w:footnoteReference w:id="2"/>
      </w:r>
      <w:r w:rsidRPr="000149EE">
        <w:rPr>
          <w:rFonts w:ascii="Times New Roman" w:hAnsi="Times New Roman" w:cs="Times New Roman"/>
          <w:sz w:val="28"/>
          <w:szCs w:val="28"/>
        </w:rPr>
        <w:t xml:space="preserve">. </w:t>
      </w:r>
    </w:p>
    <w:p w:rsidR="009008C5" w:rsidRPr="000149EE" w:rsidRDefault="000149EE" w:rsidP="001A47E2">
      <w:pPr>
        <w:tabs>
          <w:tab w:val="left" w:pos="567"/>
        </w:tabs>
        <w:rPr>
          <w:rFonts w:ascii="Times New Roman" w:hAnsi="Times New Roman" w:cs="Times New Roman"/>
          <w:sz w:val="28"/>
          <w:szCs w:val="28"/>
        </w:rPr>
      </w:pPr>
    </w:p>
    <w:p w:rsidR="00BA7804" w:rsidRPr="000149EE" w:rsidRDefault="000149EE" w:rsidP="001A47E2">
      <w:pPr>
        <w:numPr>
          <w:ilvl w:val="0"/>
          <w:numId w:val="3"/>
        </w:numPr>
        <w:tabs>
          <w:tab w:val="left" w:pos="567"/>
        </w:tabs>
        <w:ind w:left="0" w:firstLine="0"/>
        <w:rPr>
          <w:rFonts w:ascii="Times New Roman" w:hAnsi="Times New Roman" w:cs="Times New Roman"/>
          <w:i/>
          <w:iCs/>
          <w:sz w:val="28"/>
          <w:szCs w:val="28"/>
          <w:shd w:val="clear" w:color="auto" w:fill="FFFFFF" w:themeFill="background1"/>
        </w:rPr>
      </w:pPr>
      <w:r w:rsidRPr="000149EE">
        <w:rPr>
          <w:rFonts w:ascii="Times New Roman" w:hAnsi="Times New Roman" w:cs="Times New Roman"/>
          <w:sz w:val="28"/>
          <w:szCs w:val="28"/>
        </w:rPr>
        <w:t xml:space="preserve">Mediante auto de </w:t>
      </w:r>
      <w:r w:rsidRPr="000149EE">
        <w:rPr>
          <w:rFonts w:ascii="Times New Roman" w:hAnsi="Times New Roman" w:cs="Times New Roman"/>
          <w:sz w:val="28"/>
          <w:szCs w:val="28"/>
        </w:rPr>
        <w:t>6 de diciembre</w:t>
      </w:r>
      <w:r w:rsidRPr="000149EE">
        <w:rPr>
          <w:rFonts w:ascii="Times New Roman" w:hAnsi="Times New Roman" w:cs="Times New Roman"/>
          <w:sz w:val="28"/>
          <w:szCs w:val="28"/>
        </w:rPr>
        <w:t xml:space="preserve"> de 2023, la magistrada </w:t>
      </w:r>
      <w:r w:rsidRPr="000149EE">
        <w:rPr>
          <w:rFonts w:ascii="Times New Roman" w:hAnsi="Times New Roman" w:cs="Times New Roman"/>
          <w:sz w:val="28"/>
          <w:szCs w:val="28"/>
        </w:rPr>
        <w:t>sustanciadora</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bookmarkStart w:id="5" w:name="_Hlk132227560"/>
      <w:r w:rsidRPr="000149EE">
        <w:rPr>
          <w:rFonts w:ascii="Times New Roman" w:hAnsi="Times New Roman" w:cs="Times New Roman"/>
          <w:i/>
          <w:sz w:val="28"/>
          <w:szCs w:val="28"/>
          <w:shd w:val="clear" w:color="auto" w:fill="FFFFFF" w:themeFill="background1"/>
        </w:rPr>
        <w:t>(i)</w:t>
      </w:r>
      <w:r w:rsidRPr="000149EE">
        <w:rPr>
          <w:rFonts w:ascii="Times New Roman" w:hAnsi="Times New Roman" w:cs="Times New Roman"/>
          <w:sz w:val="28"/>
          <w:szCs w:val="28"/>
          <w:shd w:val="clear" w:color="auto" w:fill="FFFFFF" w:themeFill="background1"/>
        </w:rPr>
        <w:t xml:space="preserve"> </w:t>
      </w:r>
      <w:bookmarkEnd w:id="5"/>
      <w:r w:rsidRPr="000149EE">
        <w:rPr>
          <w:rFonts w:ascii="Times New Roman" w:hAnsi="Times New Roman" w:cs="Times New Roman"/>
          <w:sz w:val="28"/>
          <w:szCs w:val="28"/>
          <w:shd w:val="clear" w:color="auto" w:fill="FFFFFF" w:themeFill="background1"/>
        </w:rPr>
        <w:t>admiti</w:t>
      </w:r>
      <w:r w:rsidRPr="000149EE">
        <w:rPr>
          <w:rFonts w:ascii="Times New Roman" w:hAnsi="Times New Roman" w:cs="Times New Roman"/>
          <w:sz w:val="28"/>
          <w:szCs w:val="28"/>
          <w:shd w:val="clear" w:color="auto" w:fill="FFFFFF" w:themeFill="background1"/>
        </w:rPr>
        <w:t>ó</w:t>
      </w:r>
      <w:r w:rsidRPr="000149EE">
        <w:rPr>
          <w:rFonts w:ascii="Times New Roman" w:hAnsi="Times New Roman" w:cs="Times New Roman"/>
          <w:sz w:val="28"/>
          <w:szCs w:val="28"/>
          <w:shd w:val="clear" w:color="auto" w:fill="FFFFFF" w:themeFill="background1"/>
        </w:rPr>
        <w:t xml:space="preserve"> la demanda en contra de los numerales 1, 2 y 3 y el parágrafo 6 del artículo 240-1 del Decreto Ley 624 de 1989 por la presunta vulneración de los artículos </w:t>
      </w:r>
      <w:bookmarkStart w:id="6" w:name="_Hlk132233674"/>
      <w:r w:rsidRPr="000149EE">
        <w:rPr>
          <w:rFonts w:ascii="Times New Roman" w:hAnsi="Times New Roman" w:cs="Times New Roman"/>
          <w:sz w:val="28"/>
          <w:szCs w:val="28"/>
          <w:shd w:val="clear" w:color="auto" w:fill="FFFFFF" w:themeFill="background1"/>
        </w:rPr>
        <w:t>13 y 363 de la Constitución Política</w:t>
      </w:r>
      <w:bookmarkEnd w:id="6"/>
      <w:r w:rsidRPr="000149EE">
        <w:rPr>
          <w:rStyle w:val="Refdenotaalpie"/>
          <w:rFonts w:ascii="Times New Roman" w:hAnsi="Times New Roman" w:cs="Times New Roman"/>
          <w:sz w:val="28"/>
          <w:szCs w:val="28"/>
          <w:shd w:val="clear" w:color="auto" w:fill="FFFFFF" w:themeFill="background1"/>
        </w:rPr>
        <w:footnoteReference w:id="3"/>
      </w:r>
      <w:r w:rsidRPr="000149EE">
        <w:rPr>
          <w:rFonts w:ascii="Times New Roman" w:hAnsi="Times New Roman" w:cs="Times New Roman"/>
          <w:sz w:val="28"/>
          <w:szCs w:val="28"/>
          <w:shd w:val="clear" w:color="auto" w:fill="FFFFFF" w:themeFill="background1"/>
        </w:rPr>
        <w:t xml:space="preserve">; </w:t>
      </w:r>
      <w:r w:rsidRPr="000149EE">
        <w:rPr>
          <w:rFonts w:ascii="Times New Roman" w:hAnsi="Times New Roman" w:cs="Times New Roman"/>
          <w:i/>
          <w:iCs/>
          <w:sz w:val="28"/>
          <w:szCs w:val="28"/>
          <w:shd w:val="clear" w:color="auto" w:fill="FFFFFF" w:themeFill="background1"/>
        </w:rPr>
        <w:t xml:space="preserve">(ii) </w:t>
      </w:r>
      <w:r w:rsidRPr="000149EE">
        <w:rPr>
          <w:rFonts w:ascii="Times New Roman" w:hAnsi="Times New Roman" w:cs="Times New Roman"/>
          <w:sz w:val="28"/>
          <w:szCs w:val="28"/>
          <w:shd w:val="clear" w:color="auto" w:fill="FFFFFF" w:themeFill="background1"/>
        </w:rPr>
        <w:t>fij</w:t>
      </w:r>
      <w:r w:rsidRPr="000149EE">
        <w:rPr>
          <w:rFonts w:ascii="Times New Roman" w:hAnsi="Times New Roman" w:cs="Times New Roman"/>
          <w:sz w:val="28"/>
          <w:szCs w:val="28"/>
          <w:shd w:val="clear" w:color="auto" w:fill="FFFFFF" w:themeFill="background1"/>
        </w:rPr>
        <w:t>ó</w:t>
      </w:r>
      <w:r w:rsidRPr="000149EE">
        <w:rPr>
          <w:rFonts w:ascii="Times New Roman" w:hAnsi="Times New Roman" w:cs="Times New Roman"/>
          <w:sz w:val="28"/>
          <w:szCs w:val="28"/>
          <w:shd w:val="clear" w:color="auto" w:fill="FFFFFF" w:themeFill="background1"/>
        </w:rPr>
        <w:t xml:space="preserve"> en lista el proceso; </w:t>
      </w:r>
      <w:r w:rsidRPr="000149EE">
        <w:rPr>
          <w:rFonts w:ascii="Times New Roman" w:hAnsi="Times New Roman" w:cs="Times New Roman"/>
          <w:i/>
          <w:iCs/>
          <w:sz w:val="28"/>
          <w:szCs w:val="28"/>
          <w:shd w:val="clear" w:color="auto" w:fill="FFFFFF" w:themeFill="background1"/>
        </w:rPr>
        <w:t xml:space="preserve">(iii) </w:t>
      </w:r>
      <w:r w:rsidRPr="000149EE">
        <w:rPr>
          <w:rFonts w:ascii="Times New Roman" w:hAnsi="Times New Roman" w:cs="Times New Roman"/>
          <w:sz w:val="28"/>
          <w:szCs w:val="28"/>
          <w:shd w:val="clear" w:color="auto" w:fill="FFFFFF" w:themeFill="background1"/>
        </w:rPr>
        <w:t>corr</w:t>
      </w:r>
      <w:r w:rsidRPr="000149EE">
        <w:rPr>
          <w:rFonts w:ascii="Times New Roman" w:hAnsi="Times New Roman" w:cs="Times New Roman"/>
          <w:sz w:val="28"/>
          <w:szCs w:val="28"/>
          <w:shd w:val="clear" w:color="auto" w:fill="FFFFFF" w:themeFill="background1"/>
        </w:rPr>
        <w:t>ió</w:t>
      </w:r>
      <w:r w:rsidRPr="000149EE">
        <w:rPr>
          <w:rFonts w:ascii="Times New Roman" w:hAnsi="Times New Roman" w:cs="Times New Roman"/>
          <w:sz w:val="28"/>
          <w:szCs w:val="28"/>
          <w:shd w:val="clear" w:color="auto" w:fill="FFFFFF" w:themeFill="background1"/>
        </w:rPr>
        <w:t xml:space="preserve"> traslado a la Pr</w:t>
      </w:r>
      <w:r w:rsidRPr="000149EE">
        <w:rPr>
          <w:rFonts w:ascii="Times New Roman" w:hAnsi="Times New Roman" w:cs="Times New Roman"/>
          <w:sz w:val="28"/>
          <w:szCs w:val="28"/>
          <w:shd w:val="clear" w:color="auto" w:fill="FFFFFF" w:themeFill="background1"/>
        </w:rPr>
        <w:t>ocuraduría General de la Nación;</w:t>
      </w:r>
      <w:r w:rsidRPr="000149EE">
        <w:rPr>
          <w:rFonts w:ascii="Times New Roman" w:hAnsi="Times New Roman" w:cs="Times New Roman"/>
          <w:i/>
          <w:iCs/>
          <w:sz w:val="28"/>
          <w:szCs w:val="28"/>
          <w:shd w:val="clear" w:color="auto" w:fill="FFFFFF" w:themeFill="background1"/>
        </w:rPr>
        <w:t xml:space="preserve"> (iv)</w:t>
      </w:r>
      <w:r w:rsidRPr="000149EE">
        <w:rPr>
          <w:rFonts w:ascii="Times New Roman" w:hAnsi="Times New Roman" w:cs="Times New Roman"/>
          <w:sz w:val="28"/>
          <w:szCs w:val="28"/>
          <w:shd w:val="clear" w:color="auto" w:fill="FFFFFF" w:themeFill="background1"/>
        </w:rPr>
        <w:t xml:space="preserve"> comunic</w:t>
      </w:r>
      <w:r w:rsidRPr="000149EE">
        <w:rPr>
          <w:rFonts w:ascii="Times New Roman" w:hAnsi="Times New Roman" w:cs="Times New Roman"/>
          <w:sz w:val="28"/>
          <w:szCs w:val="28"/>
          <w:shd w:val="clear" w:color="auto" w:fill="FFFFFF" w:themeFill="background1"/>
        </w:rPr>
        <w:t>ó</w:t>
      </w:r>
      <w:r w:rsidRPr="000149EE">
        <w:rPr>
          <w:rFonts w:ascii="Times New Roman" w:hAnsi="Times New Roman" w:cs="Times New Roman"/>
          <w:sz w:val="28"/>
          <w:szCs w:val="28"/>
          <w:shd w:val="clear" w:color="auto" w:fill="FFFFFF" w:themeFill="background1"/>
        </w:rPr>
        <w:t xml:space="preserve"> el inicio del proceso a la Presidencia de la República, al Presidente del Congreso de la República y a los Ministerios </w:t>
      </w:r>
      <w:r w:rsidRPr="000149EE">
        <w:rPr>
          <w:rFonts w:ascii="Times New Roman" w:hAnsi="Times New Roman" w:cs="Times New Roman"/>
          <w:bCs/>
          <w:sz w:val="28"/>
          <w:szCs w:val="28"/>
          <w:shd w:val="clear" w:color="auto" w:fill="FFFFFF" w:themeFill="background1"/>
        </w:rPr>
        <w:t>del Interior, Hacienda y Crédito Público y de Justicia y del Derecho</w:t>
      </w:r>
      <w:r w:rsidRPr="000149EE">
        <w:rPr>
          <w:rFonts w:ascii="Times New Roman" w:hAnsi="Times New Roman" w:cs="Times New Roman"/>
          <w:sz w:val="28"/>
          <w:szCs w:val="28"/>
          <w:shd w:val="clear" w:color="auto" w:fill="FFFFFF" w:themeFill="background1"/>
        </w:rPr>
        <w:t xml:space="preserve"> y </w:t>
      </w:r>
      <w:r w:rsidRPr="000149EE">
        <w:rPr>
          <w:rFonts w:ascii="Times New Roman" w:hAnsi="Times New Roman" w:cs="Times New Roman"/>
          <w:i/>
          <w:iCs/>
          <w:sz w:val="28"/>
          <w:szCs w:val="28"/>
          <w:shd w:val="clear" w:color="auto" w:fill="FFFFFF" w:themeFill="background1"/>
        </w:rPr>
        <w:t>(v)</w:t>
      </w:r>
      <w:r w:rsidRPr="000149EE">
        <w:rPr>
          <w:rFonts w:ascii="Times New Roman" w:hAnsi="Times New Roman" w:cs="Times New Roman"/>
          <w:sz w:val="28"/>
          <w:szCs w:val="28"/>
          <w:shd w:val="clear" w:color="auto" w:fill="FFFFFF" w:themeFill="background1"/>
        </w:rPr>
        <w:t xml:space="preserve"> invit</w:t>
      </w:r>
      <w:r w:rsidRPr="000149EE">
        <w:rPr>
          <w:rFonts w:ascii="Times New Roman" w:hAnsi="Times New Roman" w:cs="Times New Roman"/>
          <w:sz w:val="28"/>
          <w:szCs w:val="28"/>
          <w:shd w:val="clear" w:color="auto" w:fill="FFFFFF" w:themeFill="background1"/>
        </w:rPr>
        <w:t>ó</w:t>
      </w:r>
      <w:r w:rsidRPr="000149EE">
        <w:rPr>
          <w:rFonts w:ascii="Times New Roman" w:hAnsi="Times New Roman" w:cs="Times New Roman"/>
          <w:sz w:val="28"/>
          <w:szCs w:val="28"/>
          <w:shd w:val="clear" w:color="auto" w:fill="FFFFFF" w:themeFill="background1"/>
        </w:rPr>
        <w:t xml:space="preserve"> a partic</w:t>
      </w:r>
      <w:r w:rsidRPr="000149EE">
        <w:rPr>
          <w:rFonts w:ascii="Times New Roman" w:hAnsi="Times New Roman" w:cs="Times New Roman"/>
          <w:sz w:val="28"/>
          <w:szCs w:val="28"/>
          <w:shd w:val="clear" w:color="auto" w:fill="FFFFFF" w:themeFill="background1"/>
        </w:rPr>
        <w:t>ipar a varias entidades y universidades.</w:t>
      </w:r>
    </w:p>
    <w:p w:rsidR="00E15587" w:rsidRPr="000149EE" w:rsidRDefault="000149EE" w:rsidP="001A47E2">
      <w:pPr>
        <w:rPr>
          <w:rFonts w:ascii="Times New Roman" w:hAnsi="Times New Roman" w:cs="Times New Roman"/>
          <w:sz w:val="28"/>
          <w:szCs w:val="28"/>
          <w:shd w:val="clear" w:color="auto" w:fill="FFFFFF" w:themeFill="background1"/>
        </w:rPr>
      </w:pPr>
    </w:p>
    <w:p w:rsidR="00E15587" w:rsidRPr="000149EE" w:rsidRDefault="000149EE" w:rsidP="001A47E2">
      <w:pPr>
        <w:pStyle w:val="Ttulo2"/>
        <w:numPr>
          <w:ilvl w:val="0"/>
          <w:numId w:val="2"/>
        </w:numPr>
        <w:rPr>
          <w:rFonts w:ascii="Times New Roman" w:hAnsi="Times New Roman" w:cs="Times New Roman"/>
          <w:sz w:val="28"/>
          <w:szCs w:val="28"/>
          <w:shd w:val="clear" w:color="auto" w:fill="FFFFFF" w:themeFill="background1"/>
        </w:rPr>
      </w:pPr>
      <w:r w:rsidRPr="000149EE">
        <w:rPr>
          <w:rFonts w:ascii="Times New Roman" w:hAnsi="Times New Roman" w:cs="Times New Roman"/>
          <w:sz w:val="28"/>
          <w:szCs w:val="28"/>
          <w:shd w:val="clear" w:color="auto" w:fill="FFFFFF" w:themeFill="background1"/>
        </w:rPr>
        <w:t>Norma demandada</w:t>
      </w:r>
    </w:p>
    <w:p w:rsidR="00E15587" w:rsidRPr="000149EE" w:rsidRDefault="000149EE" w:rsidP="001A47E2">
      <w:pPr>
        <w:rPr>
          <w:rFonts w:ascii="Times New Roman" w:hAnsi="Times New Roman" w:cs="Times New Roman"/>
          <w:sz w:val="28"/>
          <w:szCs w:val="28"/>
          <w:shd w:val="clear" w:color="auto" w:fill="FFFFFF" w:themeFill="background1"/>
        </w:rPr>
      </w:pPr>
    </w:p>
    <w:p w:rsidR="009F6FFC"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actora dirige la demanda contra los </w:t>
      </w:r>
      <w:r w:rsidRPr="000149EE">
        <w:rPr>
          <w:rFonts w:ascii="Times New Roman" w:hAnsi="Times New Roman" w:cs="Times New Roman"/>
          <w:sz w:val="28"/>
          <w:szCs w:val="28"/>
        </w:rPr>
        <w:t>numerales</w:t>
      </w:r>
      <w:r w:rsidRPr="000149EE">
        <w:rPr>
          <w:rFonts w:ascii="Times New Roman" w:hAnsi="Times New Roman" w:cs="Times New Roman"/>
          <w:sz w:val="28"/>
          <w:szCs w:val="28"/>
        </w:rPr>
        <w:t xml:space="preserve"> 1,</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2, y 3, así como el parágrafo 6º del </w:t>
      </w:r>
      <w:r w:rsidRPr="000149EE">
        <w:rPr>
          <w:rFonts w:ascii="Times New Roman" w:hAnsi="Times New Roman" w:cs="Times New Roman"/>
          <w:sz w:val="28"/>
          <w:szCs w:val="28"/>
        </w:rPr>
        <w:t>artículo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241 del Estatuto Tributario, modificado por el artículo </w:t>
      </w:r>
      <w:r w:rsidRPr="000149EE">
        <w:rPr>
          <w:rFonts w:ascii="Times New Roman" w:hAnsi="Times New Roman" w:cs="Times New Roman"/>
          <w:sz w:val="28"/>
          <w:szCs w:val="28"/>
        </w:rPr>
        <w:t>11</w:t>
      </w:r>
      <w:r w:rsidRPr="000149EE">
        <w:rPr>
          <w:rFonts w:ascii="Times New Roman" w:hAnsi="Times New Roman" w:cs="Times New Roman"/>
          <w:sz w:val="28"/>
          <w:szCs w:val="28"/>
        </w:rPr>
        <w:t xml:space="preserve"> de la Ley 2277 de 2022</w:t>
      </w:r>
      <w:r w:rsidRPr="000149EE">
        <w:rPr>
          <w:rFonts w:ascii="Times New Roman" w:hAnsi="Times New Roman" w:cs="Times New Roman"/>
          <w:sz w:val="28"/>
          <w:szCs w:val="28"/>
        </w:rPr>
        <w:t>:</w:t>
      </w:r>
      <w:bookmarkStart w:id="7" w:name="_Ref144561604"/>
    </w:p>
    <w:p w:rsidR="009F6FFC" w:rsidRPr="000149EE" w:rsidRDefault="000149EE" w:rsidP="001A47E2">
      <w:pPr>
        <w:tabs>
          <w:tab w:val="left" w:pos="567"/>
        </w:tabs>
        <w:rPr>
          <w:rFonts w:ascii="Times New Roman" w:hAnsi="Times New Roman" w:cs="Times New Roman"/>
          <w:sz w:val="28"/>
          <w:szCs w:val="28"/>
        </w:rPr>
      </w:pPr>
    </w:p>
    <w:p w:rsidR="009F6FFC" w:rsidRPr="000149EE" w:rsidRDefault="000149EE" w:rsidP="000B0FA5">
      <w:pPr>
        <w:pStyle w:val="Normal10"/>
        <w:tabs>
          <w:tab w:val="left" w:pos="284"/>
        </w:tabs>
        <w:ind w:left="680" w:right="397"/>
        <w:jc w:val="center"/>
        <w:rPr>
          <w:rFonts w:ascii="Times New Roman" w:hAnsi="Times New Roman"/>
          <w:b/>
          <w:bCs/>
          <w:color w:val="000000" w:themeColor="text1"/>
          <w:sz w:val="28"/>
          <w:szCs w:val="24"/>
          <w:lang w:val="es-CO"/>
        </w:rPr>
      </w:pPr>
      <w:r w:rsidRPr="000149EE">
        <w:rPr>
          <w:rFonts w:ascii="Times New Roman" w:hAnsi="Times New Roman"/>
          <w:color w:val="000000" w:themeColor="text1"/>
          <w:sz w:val="28"/>
          <w:szCs w:val="24"/>
          <w:lang w:val="es-CO"/>
        </w:rPr>
        <w:t>“</w:t>
      </w:r>
      <w:r w:rsidRPr="000149EE">
        <w:rPr>
          <w:rFonts w:ascii="Times New Roman" w:hAnsi="Times New Roman"/>
          <w:b/>
          <w:bCs/>
          <w:color w:val="000000" w:themeColor="text1"/>
          <w:sz w:val="28"/>
          <w:szCs w:val="24"/>
          <w:lang w:val="es-CO"/>
        </w:rPr>
        <w:t xml:space="preserve">LEY 2277 DE </w:t>
      </w:r>
      <w:r w:rsidRPr="000149EE">
        <w:rPr>
          <w:rFonts w:ascii="Times New Roman" w:hAnsi="Times New Roman"/>
          <w:b/>
          <w:bCs/>
          <w:color w:val="000000" w:themeColor="text1"/>
          <w:sz w:val="28"/>
          <w:szCs w:val="24"/>
          <w:lang w:val="es-CO"/>
        </w:rPr>
        <w:t>2022</w:t>
      </w:r>
    </w:p>
    <w:p w:rsidR="009F6FFC" w:rsidRPr="000149EE" w:rsidRDefault="000149EE" w:rsidP="000B0FA5">
      <w:pPr>
        <w:pStyle w:val="Normal10"/>
        <w:tabs>
          <w:tab w:val="left" w:pos="284"/>
        </w:tabs>
        <w:ind w:left="680" w:right="397"/>
        <w:jc w:val="center"/>
        <w:rPr>
          <w:rFonts w:ascii="Times New Roman" w:hAnsi="Times New Roman"/>
          <w:b/>
          <w:bCs/>
          <w:color w:val="000000" w:themeColor="text1"/>
          <w:sz w:val="28"/>
          <w:szCs w:val="24"/>
          <w:lang w:val="es-CO"/>
        </w:rPr>
      </w:pPr>
    </w:p>
    <w:p w:rsidR="009F6FFC" w:rsidRPr="000149EE" w:rsidRDefault="000149EE" w:rsidP="000B0FA5">
      <w:pPr>
        <w:pStyle w:val="Normal10"/>
        <w:tabs>
          <w:tab w:val="left" w:pos="284"/>
        </w:tabs>
        <w:ind w:left="680" w:right="397"/>
        <w:jc w:val="center"/>
        <w:rPr>
          <w:rFonts w:ascii="Times New Roman" w:hAnsi="Times New Roman"/>
          <w:i/>
          <w:iCs/>
          <w:color w:val="000000" w:themeColor="text1"/>
          <w:sz w:val="28"/>
          <w:szCs w:val="24"/>
          <w:lang w:val="es-CO"/>
        </w:rPr>
      </w:pPr>
      <w:r w:rsidRPr="000149EE">
        <w:rPr>
          <w:rFonts w:ascii="Times New Roman" w:hAnsi="Times New Roman"/>
          <w:i/>
          <w:iCs/>
          <w:color w:val="000000" w:themeColor="text1"/>
          <w:sz w:val="28"/>
          <w:szCs w:val="24"/>
          <w:lang w:val="es-CO"/>
        </w:rPr>
        <w:t>por medio de la cual se adopta una reforma tributaria para la igualdad y la justicia social y se dictan otras disposiciones.</w:t>
      </w:r>
    </w:p>
    <w:p w:rsidR="009F6FFC" w:rsidRPr="000149EE" w:rsidRDefault="000149EE" w:rsidP="000B0FA5">
      <w:pPr>
        <w:pStyle w:val="Normal10"/>
        <w:tabs>
          <w:tab w:val="left" w:pos="284"/>
        </w:tabs>
        <w:ind w:left="680" w:right="397"/>
        <w:jc w:val="center"/>
        <w:rPr>
          <w:rFonts w:ascii="Times New Roman" w:hAnsi="Times New Roman"/>
          <w:i/>
          <w:iCs/>
          <w:color w:val="000000" w:themeColor="text1"/>
          <w:sz w:val="28"/>
          <w:szCs w:val="24"/>
          <w:lang w:val="es-CO"/>
        </w:rPr>
      </w:pPr>
    </w:p>
    <w:p w:rsidR="009F6FFC" w:rsidRPr="000149EE" w:rsidRDefault="000149EE" w:rsidP="000B0FA5">
      <w:pPr>
        <w:pStyle w:val="Normal10"/>
        <w:tabs>
          <w:tab w:val="left" w:pos="284"/>
        </w:tabs>
        <w:ind w:left="680" w:right="397"/>
        <w:jc w:val="center"/>
        <w:rPr>
          <w:rFonts w:ascii="Times New Roman" w:hAnsi="Times New Roman"/>
          <w:b/>
          <w:bCs/>
          <w:color w:val="000000" w:themeColor="text1"/>
          <w:sz w:val="28"/>
          <w:szCs w:val="24"/>
          <w:lang w:val="es-CO"/>
        </w:rPr>
      </w:pPr>
      <w:r w:rsidRPr="000149EE">
        <w:rPr>
          <w:rFonts w:ascii="Times New Roman" w:hAnsi="Times New Roman"/>
          <w:b/>
          <w:bCs/>
          <w:color w:val="000000" w:themeColor="text1"/>
          <w:sz w:val="28"/>
          <w:szCs w:val="24"/>
          <w:lang w:val="es-CO"/>
        </w:rPr>
        <w:t>EL CONGRESO DE LA REPÚBLICA</w:t>
      </w:r>
    </w:p>
    <w:p w:rsidR="009F6FFC" w:rsidRPr="000149EE" w:rsidRDefault="000149EE" w:rsidP="000B0FA5">
      <w:pPr>
        <w:pStyle w:val="Normal10"/>
        <w:tabs>
          <w:tab w:val="left" w:pos="284"/>
        </w:tabs>
        <w:ind w:left="680" w:right="397"/>
        <w:jc w:val="center"/>
        <w:rPr>
          <w:rFonts w:ascii="Times New Roman" w:hAnsi="Times New Roman"/>
          <w:b/>
          <w:bCs/>
          <w:color w:val="000000" w:themeColor="text1"/>
          <w:sz w:val="28"/>
          <w:szCs w:val="24"/>
          <w:lang w:val="es-CO"/>
        </w:rPr>
      </w:pPr>
      <w:r w:rsidRPr="000149EE">
        <w:rPr>
          <w:rFonts w:ascii="Times New Roman" w:hAnsi="Times New Roman"/>
          <w:b/>
          <w:bCs/>
          <w:color w:val="000000" w:themeColor="text1"/>
          <w:sz w:val="28"/>
          <w:szCs w:val="24"/>
          <w:lang w:val="es-CO"/>
        </w:rPr>
        <w:t>DECRETA:</w:t>
      </w:r>
    </w:p>
    <w:p w:rsidR="009F6FFC" w:rsidRPr="000149EE" w:rsidRDefault="000149EE" w:rsidP="000B0FA5">
      <w:pPr>
        <w:pStyle w:val="Normal10"/>
        <w:tabs>
          <w:tab w:val="clear" w:pos="0"/>
          <w:tab w:val="clear" w:pos="567"/>
          <w:tab w:val="left" w:pos="1785"/>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ab/>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b/>
          <w:bCs/>
          <w:color w:val="000000" w:themeColor="text1"/>
          <w:sz w:val="28"/>
          <w:szCs w:val="24"/>
          <w:lang w:val="es-CO"/>
        </w:rPr>
        <w:t>Artículo 11.</w:t>
      </w:r>
      <w:r w:rsidRPr="000149EE">
        <w:rPr>
          <w:rFonts w:ascii="Times New Roman" w:hAnsi="Times New Roman"/>
          <w:color w:val="000000" w:themeColor="text1"/>
          <w:sz w:val="28"/>
          <w:szCs w:val="24"/>
          <w:lang w:val="es-CO"/>
        </w:rPr>
        <w:t xml:space="preserve"> Modifíquese el Artículo 240-1 del Estatuto Tributario, el cual quedará así:</w:t>
      </w:r>
    </w:p>
    <w:p w:rsidR="009F6FFC" w:rsidRPr="000149EE" w:rsidRDefault="000149EE" w:rsidP="000B0FA5">
      <w:pPr>
        <w:pStyle w:val="Normal10"/>
        <w:tabs>
          <w:tab w:val="left" w:pos="284"/>
        </w:tabs>
        <w:ind w:left="680" w:right="397"/>
        <w:rPr>
          <w:rFonts w:ascii="Times New Roman" w:hAnsi="Times New Roman"/>
          <w:b/>
          <w:bCs/>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b/>
          <w:bCs/>
          <w:color w:val="000000" w:themeColor="text1"/>
          <w:sz w:val="28"/>
          <w:szCs w:val="24"/>
          <w:lang w:val="es-CO"/>
        </w:rPr>
        <w:t>Artículo 240-1.</w:t>
      </w:r>
      <w:r w:rsidRPr="000149EE">
        <w:rPr>
          <w:rFonts w:ascii="Times New Roman" w:hAnsi="Times New Roman"/>
          <w:color w:val="000000" w:themeColor="text1"/>
          <w:sz w:val="28"/>
          <w:szCs w:val="24"/>
          <w:lang w:val="es-CO"/>
        </w:rPr>
        <w:t xml:space="preserve"> </w:t>
      </w:r>
      <w:r w:rsidRPr="000149EE">
        <w:rPr>
          <w:rFonts w:ascii="Times New Roman" w:hAnsi="Times New Roman"/>
          <w:b/>
          <w:bCs/>
          <w:color w:val="000000" w:themeColor="text1"/>
          <w:sz w:val="28"/>
          <w:szCs w:val="24"/>
          <w:lang w:val="es-CO"/>
        </w:rPr>
        <w:t>Tarifa para usuarios de zona franca</w:t>
      </w:r>
      <w:r w:rsidRPr="000149EE">
        <w:rPr>
          <w:rFonts w:ascii="Times New Roman" w:hAnsi="Times New Roman"/>
          <w:color w:val="000000" w:themeColor="text1"/>
          <w:sz w:val="28"/>
          <w:szCs w:val="24"/>
          <w:lang w:val="es-CO"/>
        </w:rPr>
        <w:t>. Para efectos de la determinación del impuesto sobre la renta, los usuarios industriales de zonas francas aplicarán las siguie</w:t>
      </w:r>
      <w:r w:rsidRPr="000149EE">
        <w:rPr>
          <w:rFonts w:ascii="Times New Roman" w:hAnsi="Times New Roman"/>
          <w:color w:val="000000" w:themeColor="text1"/>
          <w:sz w:val="28"/>
          <w:szCs w:val="24"/>
          <w:lang w:val="es-CO"/>
        </w:rPr>
        <w:t>ntes reglas:</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1. A la renta líquida gravable multiplicada por el resultado de dividir los ingresos provenientes de la exportación de bienes y servicios por la totalidad de los ingresos fiscales, excluyendo las ganancias ocasionales, le será aplicable una t</w:t>
      </w:r>
      <w:r w:rsidRPr="000149EE">
        <w:rPr>
          <w:rFonts w:ascii="Times New Roman" w:hAnsi="Times New Roman"/>
          <w:color w:val="000000" w:themeColor="text1"/>
          <w:sz w:val="28"/>
          <w:szCs w:val="24"/>
          <w:lang w:val="es-CO"/>
        </w:rPr>
        <w:t xml:space="preserve">arifa del veinte por ciento (20%) del impuesto sobre la renta. </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 xml:space="preserve">2. A la renta líquida gravable multiplicada por el resultado de dividir los ingresos diferentes de aquellos provenientes de exportación de bienes y servicios por la totalidad de los ingresos </w:t>
      </w:r>
      <w:r w:rsidRPr="000149EE">
        <w:rPr>
          <w:rFonts w:ascii="Times New Roman" w:hAnsi="Times New Roman"/>
          <w:color w:val="000000" w:themeColor="text1"/>
          <w:sz w:val="28"/>
          <w:szCs w:val="24"/>
          <w:lang w:val="es-CO"/>
        </w:rPr>
        <w:t xml:space="preserve">fiscales, excluyendo las ganancias ocasionales, le será aplicable la tarifa general del Artículo 240 del Estatuto Tributario. </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 xml:space="preserve">3. La suma de los numerales 1 y 2 corresponde al impuesto sobre la renta. </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E2539A">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Parágrafo 6°. Únicamente podrían aplicar lo dis</w:t>
      </w:r>
      <w:r w:rsidRPr="000149EE">
        <w:rPr>
          <w:rFonts w:ascii="Times New Roman" w:hAnsi="Times New Roman"/>
          <w:color w:val="000000" w:themeColor="text1"/>
          <w:sz w:val="28"/>
          <w:szCs w:val="24"/>
          <w:lang w:val="es-CO"/>
        </w:rPr>
        <w:t xml:space="preserve">puesto en el inciso 1° del presente Artículo, los usuarios industriales de zona franca que, en el año 2023 o 2024, acuerden su plan de internacionalización y anual de ventas, en el cual se establezcan objetivos máximos de ingresos netos por operaciones de </w:t>
      </w:r>
      <w:r w:rsidRPr="000149EE">
        <w:rPr>
          <w:rFonts w:ascii="Times New Roman" w:hAnsi="Times New Roman"/>
          <w:color w:val="000000" w:themeColor="text1"/>
          <w:sz w:val="28"/>
          <w:szCs w:val="24"/>
          <w:lang w:val="es-CO"/>
        </w:rPr>
        <w:t>cualquier naturaleza en el territorio aduanero nacional y los demás ingresos que obtenga el usuario industrial diferentes al desarrollo de su actividad para la cual fue autorizado, reconocido o calificado, durante el año gravable correspondiente.</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Para tal</w:t>
      </w:r>
      <w:r w:rsidRPr="000149EE">
        <w:rPr>
          <w:rFonts w:ascii="Times New Roman" w:hAnsi="Times New Roman"/>
          <w:color w:val="000000" w:themeColor="text1"/>
          <w:sz w:val="28"/>
          <w:szCs w:val="24"/>
          <w:lang w:val="es-CO"/>
        </w:rPr>
        <w:t xml:space="preserve"> fin deberán suscribir el acuerdo con el Ministerio de Comercio, Industria y Turismo para cada uno de los años gravables.</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En caso de no suscribir el acuerdo o incumplir los objetivos máximos de ingresos, la tarifa del impuesto de renta será la tarifa gene</w:t>
      </w:r>
      <w:r w:rsidRPr="000149EE">
        <w:rPr>
          <w:rFonts w:ascii="Times New Roman" w:hAnsi="Times New Roman"/>
          <w:color w:val="000000" w:themeColor="text1"/>
          <w:sz w:val="28"/>
          <w:szCs w:val="24"/>
          <w:lang w:val="es-CO"/>
        </w:rPr>
        <w:t>ral indicada en el inciso 1° del Artículo 240 del Estatuto Tributario.</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Lo dispuesto en el presente parágrafo aplicará de conformidad con la reglamentación que expida el Gobierno nacional.</w:t>
      </w: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p>
    <w:p w:rsidR="009F6FFC" w:rsidRPr="000149EE" w:rsidRDefault="000149EE" w:rsidP="000B0FA5">
      <w:pPr>
        <w:pStyle w:val="Normal10"/>
        <w:tabs>
          <w:tab w:val="clear" w:pos="0"/>
          <w:tab w:val="clear" w:pos="567"/>
          <w:tab w:val="left" w:pos="709"/>
        </w:tabs>
        <w:ind w:left="680" w:right="397"/>
        <w:rPr>
          <w:rFonts w:ascii="Times New Roman" w:hAnsi="Times New Roman"/>
          <w:color w:val="000000" w:themeColor="text1"/>
          <w:sz w:val="28"/>
          <w:szCs w:val="24"/>
          <w:lang w:val="es-CO"/>
        </w:rPr>
      </w:pPr>
      <w:r w:rsidRPr="000149EE">
        <w:rPr>
          <w:rFonts w:ascii="Times New Roman" w:hAnsi="Times New Roman"/>
          <w:color w:val="000000" w:themeColor="text1"/>
          <w:sz w:val="28"/>
          <w:szCs w:val="24"/>
          <w:lang w:val="es-CO"/>
        </w:rPr>
        <w:t>Los usuarios industriales de zona franca que se califiquen, autori</w:t>
      </w:r>
      <w:r w:rsidRPr="000149EE">
        <w:rPr>
          <w:rFonts w:ascii="Times New Roman" w:hAnsi="Times New Roman"/>
          <w:color w:val="000000" w:themeColor="text1"/>
          <w:sz w:val="28"/>
          <w:szCs w:val="24"/>
          <w:lang w:val="es-CO"/>
        </w:rPr>
        <w:t>cen o aprueben a partir del año 2025 deberán suscribir su plan de internacionalización y anual de ventas, para cada uno de los años gravables, a efectos de aplicar lo dispuesto en el inciso 1° del presente Artículo”</w:t>
      </w:r>
      <w:r w:rsidRPr="000149EE">
        <w:rPr>
          <w:rFonts w:ascii="Times New Roman" w:hAnsi="Times New Roman"/>
          <w:color w:val="000000" w:themeColor="text1"/>
          <w:sz w:val="28"/>
          <w:szCs w:val="24"/>
          <w:lang w:val="es-CO"/>
        </w:rPr>
        <w:t>.</w:t>
      </w:r>
    </w:p>
    <w:p w:rsidR="009F6FFC" w:rsidRPr="000149EE" w:rsidRDefault="000149EE" w:rsidP="000B0FA5">
      <w:pPr>
        <w:tabs>
          <w:tab w:val="left" w:pos="567"/>
        </w:tabs>
        <w:ind w:left="680" w:right="397"/>
        <w:rPr>
          <w:rFonts w:ascii="Times New Roman" w:hAnsi="Times New Roman" w:cs="Times New Roman"/>
          <w:sz w:val="28"/>
          <w:szCs w:val="28"/>
        </w:rPr>
      </w:pPr>
    </w:p>
    <w:p w:rsidR="009F6FFC" w:rsidRPr="000149EE" w:rsidRDefault="000149EE" w:rsidP="001A47E2">
      <w:pPr>
        <w:pStyle w:val="Ttulo2"/>
        <w:numPr>
          <w:ilvl w:val="0"/>
          <w:numId w:val="2"/>
        </w:numPr>
        <w:rPr>
          <w:rFonts w:ascii="Times New Roman" w:hAnsi="Times New Roman" w:cs="Times New Roman"/>
          <w:sz w:val="28"/>
          <w:szCs w:val="28"/>
        </w:rPr>
      </w:pPr>
      <w:r w:rsidRPr="000149EE">
        <w:rPr>
          <w:rFonts w:ascii="Times New Roman" w:hAnsi="Times New Roman" w:cs="Times New Roman"/>
          <w:sz w:val="28"/>
          <w:szCs w:val="28"/>
        </w:rPr>
        <w:t>La demanda</w:t>
      </w:r>
    </w:p>
    <w:p w:rsidR="009F6FFC" w:rsidRPr="000149EE" w:rsidRDefault="000149EE" w:rsidP="001A47E2">
      <w:pPr>
        <w:tabs>
          <w:tab w:val="left" w:pos="567"/>
        </w:tabs>
        <w:rPr>
          <w:rFonts w:ascii="Times New Roman" w:hAnsi="Times New Roman" w:cs="Times New Roman"/>
          <w:sz w:val="28"/>
          <w:szCs w:val="28"/>
        </w:rPr>
      </w:pPr>
    </w:p>
    <w:p w:rsidR="00A94525"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demanda está dividida </w:t>
      </w:r>
      <w:r w:rsidRPr="000149EE">
        <w:rPr>
          <w:rFonts w:ascii="Times New Roman" w:hAnsi="Times New Roman" w:cs="Times New Roman"/>
          <w:sz w:val="28"/>
          <w:szCs w:val="28"/>
        </w:rPr>
        <w:t>en dos secciones. En la primera, la demandante explica el alcance y contenido del artículo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11 de la Ley 2277 de 2022</w:t>
      </w:r>
      <w:r w:rsidRPr="000149EE">
        <w:rPr>
          <w:rFonts w:ascii="Times New Roman" w:hAnsi="Times New Roman" w:cs="Times New Roman"/>
          <w:sz w:val="28"/>
          <w:szCs w:val="28"/>
        </w:rPr>
        <w:t xml:space="preserve"> y, en particular, de l</w:t>
      </w:r>
      <w:r w:rsidRPr="000149EE">
        <w:rPr>
          <w:rFonts w:ascii="Times New Roman" w:hAnsi="Times New Roman" w:cs="Times New Roman"/>
          <w:sz w:val="28"/>
          <w:szCs w:val="28"/>
        </w:rPr>
        <w:t>o</w:t>
      </w:r>
      <w:r w:rsidRPr="000149EE">
        <w:rPr>
          <w:rFonts w:ascii="Times New Roman" w:hAnsi="Times New Roman" w:cs="Times New Roman"/>
          <w:sz w:val="28"/>
          <w:szCs w:val="28"/>
        </w:rPr>
        <w:t>s numerales 1</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2</w:t>
      </w:r>
      <w:r w:rsidRPr="000149EE">
        <w:rPr>
          <w:rFonts w:ascii="Times New Roman" w:hAnsi="Times New Roman" w:cs="Times New Roman"/>
          <w:sz w:val="28"/>
          <w:szCs w:val="28"/>
        </w:rPr>
        <w:t>, 3</w:t>
      </w:r>
      <w:r w:rsidRPr="000149EE">
        <w:rPr>
          <w:rFonts w:ascii="Times New Roman" w:hAnsi="Times New Roman" w:cs="Times New Roman"/>
          <w:sz w:val="28"/>
          <w:szCs w:val="28"/>
        </w:rPr>
        <w:t xml:space="preserve"> y el parágrafo 6º.</w:t>
      </w:r>
      <w:r w:rsidRPr="000149EE">
        <w:rPr>
          <w:rFonts w:ascii="Times New Roman" w:hAnsi="Times New Roman" w:cs="Times New Roman"/>
          <w:sz w:val="28"/>
          <w:szCs w:val="28"/>
        </w:rPr>
        <w:t xml:space="preserve"> En la segunda</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expone las razones por las cuales considera que la norma demanda</w:t>
      </w:r>
      <w:r w:rsidRPr="000149EE">
        <w:rPr>
          <w:rFonts w:ascii="Times New Roman" w:hAnsi="Times New Roman" w:cs="Times New Roman"/>
          <w:sz w:val="28"/>
          <w:szCs w:val="28"/>
        </w:rPr>
        <w:t>da</w:t>
      </w:r>
      <w:r w:rsidRPr="000149EE">
        <w:rPr>
          <w:rFonts w:ascii="Times New Roman" w:hAnsi="Times New Roman" w:cs="Times New Roman"/>
          <w:sz w:val="28"/>
          <w:szCs w:val="28"/>
        </w:rPr>
        <w:t xml:space="preserve"> desconoce la Constitución. </w:t>
      </w:r>
    </w:p>
    <w:p w:rsidR="00A94525" w:rsidRPr="000149EE" w:rsidRDefault="000149EE" w:rsidP="001A47E2">
      <w:pPr>
        <w:tabs>
          <w:tab w:val="left" w:pos="567"/>
        </w:tabs>
        <w:rPr>
          <w:rFonts w:ascii="Times New Roman" w:hAnsi="Times New Roman" w:cs="Times New Roman"/>
          <w:sz w:val="28"/>
          <w:szCs w:val="28"/>
        </w:rPr>
      </w:pPr>
    </w:p>
    <w:p w:rsidR="00A94525" w:rsidRPr="000149EE" w:rsidRDefault="000149EE" w:rsidP="001A47E2">
      <w:pPr>
        <w:pStyle w:val="Prrafodelista"/>
        <w:numPr>
          <w:ilvl w:val="1"/>
          <w:numId w:val="2"/>
        </w:numPr>
        <w:tabs>
          <w:tab w:val="left" w:pos="567"/>
        </w:tabs>
        <w:spacing w:line="240" w:lineRule="auto"/>
        <w:rPr>
          <w:rFonts w:ascii="Times New Roman" w:hAnsi="Times New Roman"/>
          <w:b/>
          <w:bCs/>
          <w:sz w:val="28"/>
        </w:rPr>
      </w:pPr>
      <w:r w:rsidRPr="000149EE">
        <w:rPr>
          <w:rFonts w:ascii="Times New Roman" w:hAnsi="Times New Roman"/>
          <w:b/>
          <w:bCs/>
          <w:sz w:val="28"/>
        </w:rPr>
        <w:t>El contenido y alcance del artículo 11 de la Ley 2277 de 2022</w:t>
      </w:r>
    </w:p>
    <w:p w:rsidR="00A94525" w:rsidRPr="000149EE" w:rsidRDefault="000149EE" w:rsidP="001A47E2">
      <w:pPr>
        <w:tabs>
          <w:tab w:val="left" w:pos="567"/>
        </w:tabs>
        <w:rPr>
          <w:rFonts w:ascii="Times New Roman" w:hAnsi="Times New Roman" w:cs="Times New Roman"/>
          <w:sz w:val="28"/>
          <w:szCs w:val="28"/>
        </w:rPr>
      </w:pPr>
    </w:p>
    <w:p w:rsidR="00A94525"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color w:val="000000" w:themeColor="text1"/>
          <w:sz w:val="28"/>
          <w:szCs w:val="28"/>
        </w:rPr>
        <w:t xml:space="preserve">El </w:t>
      </w:r>
      <w:r w:rsidRPr="000149EE">
        <w:rPr>
          <w:rFonts w:ascii="Times New Roman" w:hAnsi="Times New Roman" w:cs="Times New Roman"/>
          <w:color w:val="000000" w:themeColor="text1"/>
          <w:sz w:val="28"/>
          <w:szCs w:val="28"/>
        </w:rPr>
        <w:t>artículo 11 de la Ley 2277 de 2022</w:t>
      </w:r>
      <w:r w:rsidRPr="000149EE">
        <w:rPr>
          <w:rFonts w:ascii="Times New Roman" w:hAnsi="Times New Roman" w:cs="Times New Roman"/>
          <w:color w:val="000000" w:themeColor="text1"/>
          <w:sz w:val="28"/>
          <w:szCs w:val="28"/>
        </w:rPr>
        <w:t xml:space="preserve"> modificó el artículo 24</w:t>
      </w:r>
      <w:r w:rsidRPr="000149EE">
        <w:rPr>
          <w:rFonts w:ascii="Times New Roman" w:hAnsi="Times New Roman" w:cs="Times New Roman"/>
          <w:color w:val="000000" w:themeColor="text1"/>
          <w:sz w:val="28"/>
          <w:szCs w:val="28"/>
        </w:rPr>
        <w:t>0-</w:t>
      </w:r>
      <w:r w:rsidRPr="000149EE">
        <w:rPr>
          <w:rFonts w:ascii="Times New Roman" w:hAnsi="Times New Roman" w:cs="Times New Roman"/>
          <w:color w:val="000000" w:themeColor="text1"/>
          <w:sz w:val="28"/>
          <w:szCs w:val="28"/>
        </w:rPr>
        <w:t xml:space="preserve">1 del Estatuto Tributario. </w:t>
      </w:r>
      <w:r w:rsidRPr="000149EE">
        <w:rPr>
          <w:rFonts w:ascii="Times New Roman" w:hAnsi="Times New Roman" w:cs="Times New Roman"/>
          <w:color w:val="000000" w:themeColor="text1"/>
          <w:sz w:val="28"/>
          <w:szCs w:val="28"/>
        </w:rPr>
        <w:t>En par</w:t>
      </w:r>
      <w:r w:rsidRPr="000149EE">
        <w:rPr>
          <w:rFonts w:ascii="Times New Roman" w:hAnsi="Times New Roman" w:cs="Times New Roman"/>
          <w:color w:val="000000" w:themeColor="text1"/>
          <w:sz w:val="28"/>
          <w:szCs w:val="28"/>
        </w:rPr>
        <w:t>ticular, de acuerdo con la demanda</w:t>
      </w:r>
      <w:r w:rsidRPr="000149EE">
        <w:rPr>
          <w:rFonts w:ascii="Times New Roman" w:hAnsi="Times New Roman" w:cs="Times New Roman"/>
          <w:color w:val="000000" w:themeColor="text1"/>
          <w:sz w:val="28"/>
          <w:szCs w:val="28"/>
        </w:rPr>
        <w:t>, fijó dos reglas para el cálculo de la tarifa del impuesto a la renta de los “usuarios industriales de zona franca” en función de “la procedencia de los ingresos</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esto es, si se derivan o no de actividades de exportación”</w:t>
      </w:r>
      <w:r w:rsidRPr="000149EE">
        <w:rPr>
          <w:rFonts w:ascii="Times New Roman" w:hAnsi="Times New Roman" w:cs="Times New Roman"/>
          <w:color w:val="000000" w:themeColor="text1"/>
          <w:sz w:val="28"/>
          <w:szCs w:val="28"/>
        </w:rPr>
        <w:t>:</w:t>
      </w:r>
    </w:p>
    <w:p w:rsidR="00A94525" w:rsidRPr="000149EE" w:rsidRDefault="000149EE" w:rsidP="001A47E2">
      <w:pPr>
        <w:tabs>
          <w:tab w:val="left" w:pos="567"/>
        </w:tabs>
        <w:rPr>
          <w:rFonts w:ascii="Times New Roman" w:hAnsi="Times New Roman" w:cs="Times New Roman"/>
          <w:color w:val="000000" w:themeColor="text1"/>
          <w:sz w:val="28"/>
          <w:szCs w:val="28"/>
        </w:rPr>
      </w:pPr>
    </w:p>
    <w:p w:rsidR="00A94525" w:rsidRPr="000149EE" w:rsidRDefault="000149EE" w:rsidP="001A47E2">
      <w:pPr>
        <w:pStyle w:val="Prrafodelista"/>
        <w:numPr>
          <w:ilvl w:val="1"/>
          <w:numId w:val="3"/>
        </w:numPr>
        <w:tabs>
          <w:tab w:val="left" w:pos="567"/>
        </w:tabs>
        <w:spacing w:line="240" w:lineRule="auto"/>
        <w:ind w:left="567" w:hanging="567"/>
        <w:rPr>
          <w:rFonts w:ascii="Times New Roman" w:hAnsi="Times New Roman"/>
          <w:color w:val="auto"/>
          <w:sz w:val="28"/>
        </w:rPr>
      </w:pPr>
      <w:r w:rsidRPr="000149EE">
        <w:rPr>
          <w:rFonts w:ascii="Times New Roman" w:hAnsi="Times New Roman"/>
          <w:color w:val="000000" w:themeColor="text1"/>
          <w:sz w:val="28"/>
          <w:u w:val="single"/>
        </w:rPr>
        <w:t>Regla 1</w:t>
      </w:r>
      <w:r w:rsidRPr="000149EE">
        <w:rPr>
          <w:rFonts w:ascii="Times New Roman" w:hAnsi="Times New Roman"/>
          <w:color w:val="000000" w:themeColor="text1"/>
          <w:sz w:val="28"/>
        </w:rPr>
        <w:t>.  El numeral 1</w:t>
      </w:r>
      <w:r w:rsidRPr="000149EE">
        <w:rPr>
          <w:rFonts w:ascii="Times New Roman" w:hAnsi="Times New Roman"/>
          <w:color w:val="000000" w:themeColor="text1"/>
          <w:sz w:val="28"/>
        </w:rPr>
        <w:t>º</w:t>
      </w:r>
      <w:r w:rsidRPr="000149EE">
        <w:rPr>
          <w:rFonts w:ascii="Times New Roman" w:hAnsi="Times New Roman"/>
          <w:color w:val="000000" w:themeColor="text1"/>
          <w:sz w:val="28"/>
        </w:rPr>
        <w:t xml:space="preserve"> dispone que</w:t>
      </w:r>
      <w:r w:rsidRPr="000149EE">
        <w:rPr>
          <w:rFonts w:ascii="Times New Roman" w:hAnsi="Times New Roman"/>
          <w:color w:val="000000" w:themeColor="text1"/>
          <w:sz w:val="28"/>
        </w:rPr>
        <w:t xml:space="preserve"> a</w:t>
      </w:r>
      <w:r w:rsidRPr="000149EE">
        <w:rPr>
          <w:rFonts w:ascii="Times New Roman" w:hAnsi="Times New Roman"/>
          <w:color w:val="000000" w:themeColor="text1"/>
          <w:sz w:val="28"/>
        </w:rPr>
        <w:t xml:space="preserve"> </w:t>
      </w:r>
      <w:r w:rsidRPr="000149EE">
        <w:rPr>
          <w:rFonts w:ascii="Times New Roman" w:hAnsi="Times New Roman"/>
          <w:color w:val="000000" w:themeColor="text1"/>
          <w:sz w:val="28"/>
        </w:rPr>
        <w:t>los ingresos provenientes de la exportación</w:t>
      </w:r>
      <w:r w:rsidRPr="000149EE">
        <w:rPr>
          <w:rFonts w:ascii="Times New Roman" w:hAnsi="Times New Roman"/>
          <w:color w:val="000000" w:themeColor="text1"/>
          <w:sz w:val="28"/>
        </w:rPr>
        <w:t xml:space="preserve"> de</w:t>
      </w:r>
      <w:r w:rsidRPr="000149EE">
        <w:rPr>
          <w:rFonts w:ascii="Times New Roman" w:hAnsi="Times New Roman"/>
          <w:color w:val="000000" w:themeColor="text1"/>
          <w:sz w:val="28"/>
        </w:rPr>
        <w:t xml:space="preserve"> bienes y servicios</w:t>
      </w:r>
      <w:r w:rsidRPr="000149EE">
        <w:rPr>
          <w:rFonts w:ascii="Times New Roman" w:hAnsi="Times New Roman"/>
          <w:color w:val="000000" w:themeColor="text1"/>
          <w:sz w:val="28"/>
        </w:rPr>
        <w:t>,</w:t>
      </w:r>
      <w:r w:rsidRPr="000149EE">
        <w:rPr>
          <w:rFonts w:ascii="Times New Roman" w:hAnsi="Times New Roman"/>
          <w:color w:val="000000" w:themeColor="text1"/>
          <w:sz w:val="28"/>
        </w:rPr>
        <w:t xml:space="preserve"> se les aplicará “una tarifa del 20% sobre la multiplicación de la renta líquida gravable con el resultado de la división de los ingresos de exportación y la totalidad de los ingresos fiscales, excluyendo las ganancias ocasionales”</w:t>
      </w:r>
      <w:r w:rsidRPr="000149EE">
        <w:rPr>
          <w:rStyle w:val="Refdenotaalpie"/>
          <w:rFonts w:ascii="Times New Roman" w:hAnsi="Times New Roman"/>
          <w:color w:val="000000" w:themeColor="text1"/>
          <w:sz w:val="28"/>
        </w:rPr>
        <w:footnoteReference w:id="4"/>
      </w:r>
      <w:r w:rsidRPr="000149EE">
        <w:rPr>
          <w:rFonts w:ascii="Times New Roman" w:hAnsi="Times New Roman"/>
          <w:color w:val="000000" w:themeColor="text1"/>
          <w:sz w:val="28"/>
        </w:rPr>
        <w:t xml:space="preserve">. </w:t>
      </w:r>
    </w:p>
    <w:p w:rsidR="00C773B0" w:rsidRPr="000149EE" w:rsidRDefault="000149EE" w:rsidP="001A47E2">
      <w:pPr>
        <w:pStyle w:val="Prrafodelista"/>
        <w:numPr>
          <w:ilvl w:val="1"/>
          <w:numId w:val="3"/>
        </w:numPr>
        <w:tabs>
          <w:tab w:val="left" w:pos="567"/>
        </w:tabs>
        <w:spacing w:line="240" w:lineRule="auto"/>
        <w:ind w:left="567" w:hanging="567"/>
        <w:rPr>
          <w:rFonts w:ascii="Times New Roman" w:hAnsi="Times New Roman"/>
          <w:color w:val="auto"/>
          <w:sz w:val="28"/>
        </w:rPr>
      </w:pPr>
      <w:r w:rsidRPr="000149EE">
        <w:rPr>
          <w:rFonts w:ascii="Times New Roman" w:hAnsi="Times New Roman"/>
          <w:color w:val="000000" w:themeColor="text1"/>
          <w:sz w:val="28"/>
          <w:u w:val="single"/>
        </w:rPr>
        <w:t>Regla 2</w:t>
      </w:r>
      <w:r w:rsidRPr="000149EE">
        <w:rPr>
          <w:rFonts w:ascii="Times New Roman" w:hAnsi="Times New Roman"/>
          <w:color w:val="000000" w:themeColor="text1"/>
          <w:sz w:val="28"/>
        </w:rPr>
        <w:t>. El numeral 2</w:t>
      </w:r>
      <w:r w:rsidRPr="000149EE">
        <w:rPr>
          <w:rFonts w:ascii="Times New Roman" w:hAnsi="Times New Roman"/>
          <w:color w:val="000000" w:themeColor="text1"/>
          <w:sz w:val="28"/>
        </w:rPr>
        <w:t>º dispone que</w:t>
      </w:r>
      <w:r w:rsidRPr="000149EE">
        <w:rPr>
          <w:rFonts w:ascii="Times New Roman" w:hAnsi="Times New Roman"/>
          <w:color w:val="000000" w:themeColor="text1"/>
          <w:sz w:val="28"/>
        </w:rPr>
        <w:t>,</w:t>
      </w:r>
      <w:r w:rsidRPr="000149EE">
        <w:rPr>
          <w:rFonts w:ascii="Times New Roman" w:hAnsi="Times New Roman"/>
          <w:color w:val="000000" w:themeColor="text1"/>
          <w:sz w:val="28"/>
        </w:rPr>
        <w:t xml:space="preserve"> a </w:t>
      </w:r>
      <w:r w:rsidRPr="000149EE">
        <w:rPr>
          <w:rFonts w:ascii="Times New Roman" w:hAnsi="Times New Roman"/>
          <w:color w:val="000000" w:themeColor="text1"/>
          <w:sz w:val="28"/>
        </w:rPr>
        <w:t>los ingresos provenientes de actividades distintas a la exportación de bienes y servicios, se le aplicará “la tarifa general del Estatuto Tributario sobre la multiplicación de la renta líquida gravable con el resultado de la división de lo</w:t>
      </w:r>
      <w:r w:rsidRPr="000149EE">
        <w:rPr>
          <w:rFonts w:ascii="Times New Roman" w:hAnsi="Times New Roman"/>
          <w:color w:val="000000" w:themeColor="text1"/>
          <w:sz w:val="28"/>
        </w:rPr>
        <w:t>s ingresos distintos a los provenientes de la exportación”</w:t>
      </w:r>
      <w:r w:rsidRPr="000149EE">
        <w:rPr>
          <w:rStyle w:val="Refdenotaalpie"/>
          <w:rFonts w:ascii="Times New Roman" w:hAnsi="Times New Roman"/>
          <w:color w:val="000000" w:themeColor="text1"/>
          <w:sz w:val="28"/>
        </w:rPr>
        <w:footnoteReference w:id="5"/>
      </w:r>
      <w:r w:rsidRPr="000149EE">
        <w:rPr>
          <w:rFonts w:ascii="Times New Roman" w:hAnsi="Times New Roman"/>
          <w:color w:val="000000" w:themeColor="text1"/>
          <w:sz w:val="28"/>
        </w:rPr>
        <w:t xml:space="preserve"> y la totalidad de los ingresos fiscales, excluyendo las ganancias ocasionales</w:t>
      </w:r>
      <w:r w:rsidRPr="000149EE">
        <w:rPr>
          <w:rFonts w:ascii="Times New Roman" w:hAnsi="Times New Roman"/>
          <w:color w:val="000000" w:themeColor="text1"/>
          <w:sz w:val="28"/>
        </w:rPr>
        <w:t xml:space="preserve">. </w:t>
      </w:r>
    </w:p>
    <w:p w:rsidR="000B0FA5" w:rsidRPr="000149EE" w:rsidRDefault="000149EE" w:rsidP="00165965">
      <w:pPr>
        <w:tabs>
          <w:tab w:val="left" w:pos="567"/>
        </w:tabs>
        <w:rPr>
          <w:rFonts w:ascii="Times New Roman" w:hAnsi="Times New Roman" w:cs="Times New Roman"/>
          <w:sz w:val="28"/>
          <w:szCs w:val="28"/>
        </w:rPr>
      </w:pPr>
    </w:p>
    <w:p w:rsidR="00F70344" w:rsidRPr="000149EE" w:rsidRDefault="000149EE" w:rsidP="000B0FA5">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De acuerdo con</w:t>
      </w:r>
      <w:r w:rsidRPr="000149EE">
        <w:rPr>
          <w:rFonts w:ascii="Times New Roman" w:hAnsi="Times New Roman" w:cs="Times New Roman"/>
          <w:iCs/>
          <w:sz w:val="28"/>
          <w:szCs w:val="28"/>
        </w:rPr>
        <w:t xml:space="preserve"> el parágrafo 6º del artíc</w:t>
      </w:r>
      <w:r w:rsidRPr="000149EE">
        <w:rPr>
          <w:rFonts w:ascii="Times New Roman" w:hAnsi="Times New Roman" w:cs="Times New Roman"/>
          <w:iCs/>
          <w:sz w:val="28"/>
          <w:szCs w:val="28"/>
        </w:rPr>
        <w:t>u</w:t>
      </w:r>
      <w:r w:rsidRPr="000149EE">
        <w:rPr>
          <w:rFonts w:ascii="Times New Roman" w:hAnsi="Times New Roman" w:cs="Times New Roman"/>
          <w:iCs/>
          <w:sz w:val="28"/>
          <w:szCs w:val="28"/>
        </w:rPr>
        <w:t xml:space="preserve">lo </w:t>
      </w:r>
      <w:r w:rsidRPr="000149EE">
        <w:rPr>
          <w:rFonts w:ascii="Times New Roman" w:hAnsi="Times New Roman" w:cs="Times New Roman"/>
          <w:iCs/>
          <w:sz w:val="28"/>
          <w:szCs w:val="28"/>
        </w:rPr>
        <w:t>11</w:t>
      </w:r>
      <w:r w:rsidRPr="000149EE">
        <w:rPr>
          <w:rFonts w:ascii="Times New Roman" w:hAnsi="Times New Roman" w:cs="Times New Roman"/>
          <w:iCs/>
          <w:sz w:val="28"/>
          <w:szCs w:val="28"/>
        </w:rPr>
        <w:t xml:space="preserve"> de la Ley 2277 de 2022, únicamente podr</w:t>
      </w:r>
      <w:r w:rsidRPr="000149EE">
        <w:rPr>
          <w:rFonts w:ascii="Times New Roman" w:hAnsi="Times New Roman" w:cs="Times New Roman"/>
          <w:iCs/>
          <w:sz w:val="28"/>
          <w:szCs w:val="28"/>
        </w:rPr>
        <w:t>á</w:t>
      </w:r>
      <w:r w:rsidRPr="000149EE">
        <w:rPr>
          <w:rFonts w:ascii="Times New Roman" w:hAnsi="Times New Roman" w:cs="Times New Roman"/>
          <w:iCs/>
          <w:sz w:val="28"/>
          <w:szCs w:val="28"/>
        </w:rPr>
        <w:t>n aplicar a la tarifa prefer</w:t>
      </w:r>
      <w:r w:rsidRPr="000149EE">
        <w:rPr>
          <w:rFonts w:ascii="Times New Roman" w:hAnsi="Times New Roman" w:cs="Times New Roman"/>
          <w:iCs/>
          <w:sz w:val="28"/>
          <w:szCs w:val="28"/>
        </w:rPr>
        <w:t xml:space="preserve">encial prevista en el numeral 1º los usuarios industriales de zona franca que </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acuerden </w:t>
      </w:r>
      <w:r w:rsidRPr="000149EE">
        <w:rPr>
          <w:rFonts w:ascii="Times New Roman" w:hAnsi="Times New Roman" w:cs="Times New Roman"/>
          <w:iCs/>
          <w:sz w:val="28"/>
          <w:szCs w:val="28"/>
        </w:rPr>
        <w:t>un</w:t>
      </w:r>
      <w:r w:rsidRPr="000149EE">
        <w:rPr>
          <w:rFonts w:ascii="Times New Roman" w:hAnsi="Times New Roman" w:cs="Times New Roman"/>
          <w:iCs/>
          <w:sz w:val="28"/>
          <w:szCs w:val="28"/>
        </w:rPr>
        <w:t xml:space="preserve"> plan de internacionalización y anual de ventas </w:t>
      </w:r>
      <w:r w:rsidRPr="000149EE">
        <w:rPr>
          <w:rFonts w:ascii="Times New Roman" w:hAnsi="Times New Roman" w:cs="Times New Roman"/>
          <w:iCs/>
          <w:sz w:val="28"/>
          <w:szCs w:val="28"/>
        </w:rPr>
        <w:t xml:space="preserve">(PIAV) </w:t>
      </w:r>
      <w:r w:rsidRPr="000149EE">
        <w:rPr>
          <w:rFonts w:ascii="Times New Roman" w:hAnsi="Times New Roman" w:cs="Times New Roman"/>
          <w:iCs/>
          <w:sz w:val="28"/>
          <w:szCs w:val="28"/>
        </w:rPr>
        <w:t xml:space="preserve">con el Gobierno Nacional y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cumplan con los objetivos máximos de ingresos</w:t>
      </w:r>
      <w:r w:rsidRPr="000149EE">
        <w:rPr>
          <w:rFonts w:ascii="Times New Roman" w:hAnsi="Times New Roman" w:cs="Times New Roman"/>
          <w:iCs/>
          <w:sz w:val="28"/>
          <w:szCs w:val="28"/>
        </w:rPr>
        <w:t xml:space="preserve"> que se fijen en el PIAV</w:t>
      </w:r>
      <w:r w:rsidRPr="000149EE">
        <w:rPr>
          <w:rFonts w:ascii="Times New Roman" w:hAnsi="Times New Roman" w:cs="Times New Roman"/>
          <w:iCs/>
          <w:sz w:val="28"/>
          <w:szCs w:val="28"/>
        </w:rPr>
        <w:t xml:space="preserve">. </w:t>
      </w:r>
      <w:r w:rsidRPr="000149EE">
        <w:rPr>
          <w:rFonts w:ascii="Times New Roman" w:hAnsi="Times New Roman" w:cs="Times New Roman"/>
          <w:sz w:val="28"/>
          <w:szCs w:val="28"/>
        </w:rPr>
        <w:t xml:space="preserve">A </w:t>
      </w:r>
      <w:r w:rsidRPr="000149EE">
        <w:rPr>
          <w:rFonts w:ascii="Times New Roman" w:hAnsi="Times New Roman" w:cs="Times New Roman"/>
          <w:sz w:val="28"/>
          <w:szCs w:val="28"/>
        </w:rPr>
        <w:t>juicio de la demandante,</w:t>
      </w:r>
      <w:r w:rsidRPr="000149EE">
        <w:rPr>
          <w:rFonts w:ascii="Times New Roman" w:hAnsi="Times New Roman" w:cs="Times New Roman"/>
          <w:sz w:val="28"/>
          <w:szCs w:val="28"/>
        </w:rPr>
        <w:t xml:space="preserve"> de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las </w:t>
      </w:r>
      <w:r w:rsidRPr="000149EE">
        <w:rPr>
          <w:rFonts w:ascii="Times New Roman" w:hAnsi="Times New Roman" w:cs="Times New Roman"/>
          <w:sz w:val="28"/>
          <w:szCs w:val="28"/>
        </w:rPr>
        <w:t xml:space="preserve">reglas </w:t>
      </w:r>
      <w:r w:rsidRPr="000149EE">
        <w:rPr>
          <w:rFonts w:ascii="Times New Roman" w:hAnsi="Times New Roman" w:cs="Times New Roman"/>
          <w:sz w:val="28"/>
          <w:szCs w:val="28"/>
        </w:rPr>
        <w:t>tarifarias previstas en los numerales 1</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2 y</w:t>
      </w:r>
      <w:r w:rsidRPr="000149EE">
        <w:rPr>
          <w:rFonts w:ascii="Times New Roman" w:hAnsi="Times New Roman" w:cs="Times New Roman"/>
          <w:sz w:val="28"/>
          <w:szCs w:val="28"/>
        </w:rPr>
        <w:t xml:space="preserve"> 3, así como</w:t>
      </w:r>
      <w:r w:rsidRPr="000149EE">
        <w:rPr>
          <w:rFonts w:ascii="Times New Roman" w:hAnsi="Times New Roman" w:cs="Times New Roman"/>
          <w:sz w:val="28"/>
          <w:szCs w:val="28"/>
        </w:rPr>
        <w:t xml:space="preserve"> en</w:t>
      </w:r>
      <w:r w:rsidRPr="000149EE">
        <w:rPr>
          <w:rFonts w:ascii="Times New Roman" w:hAnsi="Times New Roman" w:cs="Times New Roman"/>
          <w:sz w:val="28"/>
          <w:szCs w:val="28"/>
        </w:rPr>
        <w:t xml:space="preserve"> el parágrafo 6º</w:t>
      </w:r>
      <w:r w:rsidRPr="000149EE">
        <w:rPr>
          <w:rFonts w:ascii="Times New Roman" w:hAnsi="Times New Roman" w:cs="Times New Roman"/>
          <w:sz w:val="28"/>
          <w:szCs w:val="28"/>
        </w:rPr>
        <w:t xml:space="preserve"> del artículo 11 de la </w:t>
      </w:r>
      <w:r w:rsidRPr="000149EE">
        <w:rPr>
          <w:rFonts w:ascii="Times New Roman" w:hAnsi="Times New Roman" w:cs="Times New Roman"/>
          <w:sz w:val="28"/>
          <w:szCs w:val="28"/>
        </w:rPr>
        <w:t>L</w:t>
      </w:r>
      <w:r w:rsidRPr="000149EE">
        <w:rPr>
          <w:rFonts w:ascii="Times New Roman" w:hAnsi="Times New Roman" w:cs="Times New Roman"/>
          <w:sz w:val="28"/>
          <w:szCs w:val="28"/>
        </w:rPr>
        <w:t>ey 2277 de 2022</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se deriva</w:t>
      </w:r>
      <w:r w:rsidRPr="000149EE">
        <w:rPr>
          <w:rFonts w:ascii="Times New Roman" w:hAnsi="Times New Roman" w:cs="Times New Roman"/>
          <w:sz w:val="28"/>
          <w:szCs w:val="28"/>
        </w:rPr>
        <w:t xml:space="preserve"> un trato tributario diferenciado entre los usuarios industriales de zonas francas que lleva</w:t>
      </w:r>
      <w:r w:rsidRPr="000149EE">
        <w:rPr>
          <w:rFonts w:ascii="Times New Roman" w:hAnsi="Times New Roman" w:cs="Times New Roman"/>
          <w:sz w:val="28"/>
          <w:szCs w:val="28"/>
        </w:rPr>
        <w:t xml:space="preserve">n a cabo operaciones de exportaciones y aquellos que no tienen </w:t>
      </w:r>
      <w:r w:rsidRPr="000149EE">
        <w:rPr>
          <w:rFonts w:ascii="Times New Roman" w:hAnsi="Times New Roman" w:cs="Times New Roman"/>
          <w:sz w:val="28"/>
          <w:szCs w:val="28"/>
        </w:rPr>
        <w:t>“</w:t>
      </w:r>
      <w:r w:rsidRPr="000149EE">
        <w:rPr>
          <w:rFonts w:ascii="Times New Roman" w:hAnsi="Times New Roman" w:cs="Times New Roman"/>
          <w:sz w:val="28"/>
          <w:szCs w:val="28"/>
        </w:rPr>
        <w:t>vocación exportadora</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p>
    <w:p w:rsidR="00BF1B4D" w:rsidRPr="000149EE" w:rsidRDefault="000149EE" w:rsidP="00BF1B4D">
      <w:pPr>
        <w:tabs>
          <w:tab w:val="left" w:pos="567"/>
        </w:tabs>
        <w:rPr>
          <w:rFonts w:ascii="Times New Roman" w:hAnsi="Times New Roman" w:cs="Times New Roman"/>
          <w:sz w:val="28"/>
          <w:szCs w:val="28"/>
        </w:rPr>
      </w:pPr>
    </w:p>
    <w:p w:rsidR="00F70344" w:rsidRPr="000149EE" w:rsidRDefault="000149EE" w:rsidP="001A47E2">
      <w:pPr>
        <w:pStyle w:val="Prrafodelista"/>
        <w:numPr>
          <w:ilvl w:val="1"/>
          <w:numId w:val="2"/>
        </w:numPr>
        <w:tabs>
          <w:tab w:val="left" w:pos="567"/>
        </w:tabs>
        <w:spacing w:line="240" w:lineRule="auto"/>
        <w:rPr>
          <w:rFonts w:ascii="Times New Roman" w:hAnsi="Times New Roman"/>
          <w:b/>
          <w:bCs/>
          <w:sz w:val="28"/>
        </w:rPr>
      </w:pPr>
      <w:r w:rsidRPr="000149EE">
        <w:rPr>
          <w:rFonts w:ascii="Times New Roman" w:hAnsi="Times New Roman"/>
          <w:b/>
          <w:bCs/>
          <w:sz w:val="28"/>
        </w:rPr>
        <w:t xml:space="preserve">Cargos de inconstitucionalidad </w:t>
      </w:r>
    </w:p>
    <w:p w:rsidR="00F70344" w:rsidRPr="000149EE" w:rsidRDefault="000149EE" w:rsidP="001A47E2">
      <w:pPr>
        <w:pStyle w:val="Prrafodelista"/>
        <w:tabs>
          <w:tab w:val="left" w:pos="567"/>
        </w:tabs>
        <w:spacing w:line="240" w:lineRule="auto"/>
        <w:ind w:left="1077"/>
        <w:rPr>
          <w:rFonts w:ascii="Times New Roman" w:hAnsi="Times New Roman"/>
          <w:sz w:val="28"/>
        </w:rPr>
      </w:pPr>
    </w:p>
    <w:p w:rsidR="00467022"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color w:val="000000" w:themeColor="text1"/>
          <w:sz w:val="28"/>
          <w:szCs w:val="28"/>
        </w:rPr>
        <w:t xml:space="preserve">La demandante formuló dos </w:t>
      </w:r>
      <w:r w:rsidRPr="000149EE">
        <w:rPr>
          <w:rFonts w:ascii="Times New Roman" w:hAnsi="Times New Roman" w:cs="Times New Roman"/>
          <w:color w:val="000000" w:themeColor="text1"/>
          <w:sz w:val="28"/>
          <w:szCs w:val="28"/>
        </w:rPr>
        <w:t>cargos de inconstitucionalidad en contra de</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l</w:t>
      </w:r>
      <w:r w:rsidRPr="000149EE">
        <w:rPr>
          <w:rFonts w:ascii="Times New Roman" w:hAnsi="Times New Roman" w:cs="Times New Roman"/>
          <w:color w:val="000000" w:themeColor="text1"/>
          <w:sz w:val="28"/>
          <w:szCs w:val="28"/>
        </w:rPr>
        <w:t>as disposiciones demandada</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del</w:t>
      </w:r>
      <w:r w:rsidRPr="000149EE">
        <w:rPr>
          <w:rFonts w:ascii="Times New Roman" w:hAnsi="Times New Roman" w:cs="Times New Roman"/>
          <w:color w:val="000000" w:themeColor="text1"/>
          <w:sz w:val="28"/>
          <w:szCs w:val="28"/>
        </w:rPr>
        <w:t xml:space="preserve"> artículo 11 de la Ley 2277 de 2022</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color w:val="000000" w:themeColor="text1"/>
          <w:sz w:val="28"/>
          <w:szCs w:val="28"/>
        </w:rPr>
        <w:t xml:space="preserve"> desconoc</w:t>
      </w:r>
      <w:r w:rsidRPr="000149EE">
        <w:rPr>
          <w:rFonts w:ascii="Times New Roman" w:hAnsi="Times New Roman" w:cs="Times New Roman"/>
          <w:color w:val="000000" w:themeColor="text1"/>
          <w:sz w:val="28"/>
          <w:szCs w:val="28"/>
        </w:rPr>
        <w:t xml:space="preserve">imiento del </w:t>
      </w:r>
      <w:r w:rsidRPr="000149EE">
        <w:rPr>
          <w:rFonts w:ascii="Times New Roman" w:hAnsi="Times New Roman" w:cs="Times New Roman"/>
          <w:color w:val="000000" w:themeColor="text1"/>
          <w:sz w:val="28"/>
          <w:szCs w:val="28"/>
        </w:rPr>
        <w:t>principio</w:t>
      </w:r>
      <w:r w:rsidRPr="000149EE">
        <w:rPr>
          <w:rFonts w:ascii="Times New Roman" w:hAnsi="Times New Roman" w:cs="Times New Roman"/>
          <w:color w:val="000000" w:themeColor="text1"/>
          <w:sz w:val="28"/>
          <w:szCs w:val="28"/>
        </w:rPr>
        <w:t xml:space="preserve"> de igualdad (art. 13</w:t>
      </w:r>
      <w:r w:rsidRPr="000149EE">
        <w:rPr>
          <w:rFonts w:ascii="Times New Roman" w:hAnsi="Times New Roman" w:cs="Times New Roman"/>
          <w:color w:val="000000" w:themeColor="text1"/>
          <w:sz w:val="28"/>
          <w:szCs w:val="28"/>
        </w:rPr>
        <w:t xml:space="preserve"> de la CP</w:t>
      </w:r>
      <w:r w:rsidRPr="000149EE">
        <w:rPr>
          <w:rFonts w:ascii="Times New Roman" w:hAnsi="Times New Roman" w:cs="Times New Roman"/>
          <w:color w:val="000000" w:themeColor="text1"/>
          <w:sz w:val="28"/>
          <w:szCs w:val="28"/>
        </w:rPr>
        <w:t>) y</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vulneración del principio </w:t>
      </w:r>
      <w:r w:rsidRPr="000149EE">
        <w:rPr>
          <w:rFonts w:ascii="Times New Roman" w:hAnsi="Times New Roman" w:cs="Times New Roman"/>
          <w:color w:val="000000" w:themeColor="text1"/>
          <w:sz w:val="28"/>
          <w:szCs w:val="28"/>
        </w:rPr>
        <w:t>de equidad</w:t>
      </w:r>
      <w:r w:rsidRPr="000149EE">
        <w:rPr>
          <w:rFonts w:ascii="Times New Roman" w:hAnsi="Times New Roman" w:cs="Times New Roman"/>
          <w:color w:val="000000" w:themeColor="text1"/>
          <w:sz w:val="28"/>
          <w:szCs w:val="28"/>
        </w:rPr>
        <w:t xml:space="preserve"> tributaria (art. 363</w:t>
      </w:r>
      <w:r w:rsidRPr="000149EE">
        <w:rPr>
          <w:rFonts w:ascii="Times New Roman" w:hAnsi="Times New Roman" w:cs="Times New Roman"/>
          <w:color w:val="000000" w:themeColor="text1"/>
          <w:sz w:val="28"/>
          <w:szCs w:val="28"/>
        </w:rPr>
        <w:t xml:space="preserve"> de la CP</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bookmarkEnd w:id="7"/>
    </w:p>
    <w:p w:rsidR="00467022" w:rsidRPr="000149EE" w:rsidRDefault="000149EE" w:rsidP="001A47E2">
      <w:pPr>
        <w:rPr>
          <w:rFonts w:ascii="Times New Roman" w:hAnsi="Times New Roman" w:cs="Times New Roman"/>
          <w:bCs/>
          <w:color w:val="000000" w:themeColor="text1"/>
          <w:sz w:val="28"/>
          <w:szCs w:val="28"/>
          <w:lang w:eastAsia="es-ES_tradnl"/>
        </w:rPr>
      </w:pPr>
    </w:p>
    <w:p w:rsidR="00467022" w:rsidRPr="000149EE" w:rsidRDefault="000149EE" w:rsidP="001A47E2">
      <w:pPr>
        <w:pStyle w:val="Ttulo3"/>
        <w:numPr>
          <w:ilvl w:val="0"/>
          <w:numId w:val="4"/>
        </w:numPr>
        <w:ind w:left="1134" w:hanging="708"/>
        <w:rPr>
          <w:rFonts w:ascii="Times New Roman" w:hAnsi="Times New Roman" w:cs="Times New Roman"/>
          <w:sz w:val="28"/>
          <w:szCs w:val="28"/>
        </w:rPr>
      </w:pPr>
      <w:r w:rsidRPr="000149EE">
        <w:rPr>
          <w:rFonts w:ascii="Times New Roman" w:hAnsi="Times New Roman" w:cs="Times New Roman"/>
          <w:sz w:val="28"/>
          <w:szCs w:val="28"/>
        </w:rPr>
        <w:t xml:space="preserve">Cargo primero: </w:t>
      </w:r>
      <w:r w:rsidRPr="000149EE">
        <w:rPr>
          <w:rFonts w:ascii="Times New Roman" w:hAnsi="Times New Roman" w:cs="Times New Roman"/>
          <w:sz w:val="28"/>
          <w:szCs w:val="28"/>
        </w:rPr>
        <w:t xml:space="preserve">violación del </w:t>
      </w:r>
      <w:r w:rsidRPr="000149EE">
        <w:rPr>
          <w:rFonts w:ascii="Times New Roman" w:hAnsi="Times New Roman" w:cs="Times New Roman"/>
          <w:sz w:val="28"/>
          <w:szCs w:val="28"/>
        </w:rPr>
        <w:t>principio de</w:t>
      </w:r>
      <w:r w:rsidRPr="000149EE">
        <w:rPr>
          <w:rFonts w:ascii="Times New Roman" w:hAnsi="Times New Roman" w:cs="Times New Roman"/>
          <w:sz w:val="28"/>
          <w:szCs w:val="28"/>
        </w:rPr>
        <w:t xml:space="preserve"> igualdad</w:t>
      </w:r>
      <w:r w:rsidRPr="000149EE">
        <w:rPr>
          <w:rFonts w:ascii="Times New Roman" w:hAnsi="Times New Roman" w:cs="Times New Roman"/>
          <w:sz w:val="28"/>
          <w:szCs w:val="28"/>
        </w:rPr>
        <w:t xml:space="preserve"> (art. 13 de la CP)</w:t>
      </w:r>
    </w:p>
    <w:p w:rsidR="00467022" w:rsidRPr="000149EE" w:rsidRDefault="000149EE" w:rsidP="001A47E2">
      <w:pPr>
        <w:rPr>
          <w:rFonts w:ascii="Times New Roman" w:hAnsi="Times New Roman" w:cs="Times New Roman"/>
          <w:bCs/>
          <w:color w:val="000000" w:themeColor="text1"/>
          <w:sz w:val="28"/>
          <w:szCs w:val="28"/>
          <w:lang w:eastAsia="es-ES_tradnl"/>
        </w:rPr>
      </w:pPr>
    </w:p>
    <w:p w:rsidR="00FE6BED"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bCs/>
          <w:color w:val="000000" w:themeColor="text1"/>
          <w:sz w:val="28"/>
          <w:szCs w:val="28"/>
          <w:lang w:eastAsia="es-ES_tradnl"/>
        </w:rPr>
        <w:t xml:space="preserve">La demandante </w:t>
      </w:r>
      <w:r w:rsidRPr="000149EE">
        <w:rPr>
          <w:rFonts w:ascii="Times New Roman" w:hAnsi="Times New Roman" w:cs="Times New Roman"/>
          <w:bCs/>
          <w:color w:val="000000" w:themeColor="text1"/>
          <w:sz w:val="28"/>
          <w:szCs w:val="28"/>
          <w:lang w:eastAsia="es-ES_tradnl"/>
        </w:rPr>
        <w:t>sostiene</w:t>
      </w:r>
      <w:r w:rsidRPr="000149EE">
        <w:rPr>
          <w:rFonts w:ascii="Times New Roman" w:hAnsi="Times New Roman" w:cs="Times New Roman"/>
          <w:bCs/>
          <w:color w:val="000000" w:themeColor="text1"/>
          <w:sz w:val="28"/>
          <w:szCs w:val="28"/>
          <w:lang w:eastAsia="es-ES_tradnl"/>
        </w:rPr>
        <w:t xml:space="preserve"> que </w:t>
      </w:r>
      <w:r w:rsidRPr="000149EE">
        <w:rPr>
          <w:rFonts w:ascii="Times New Roman" w:hAnsi="Times New Roman" w:cs="Times New Roman"/>
          <w:bCs/>
          <w:color w:val="000000" w:themeColor="text1"/>
          <w:sz w:val="28"/>
          <w:szCs w:val="28"/>
          <w:lang w:eastAsia="es-ES_tradnl"/>
        </w:rPr>
        <w:t>los numerales 1, 2 y 3, así como el parágrafo 6º</w:t>
      </w:r>
      <w:r w:rsidRPr="000149EE">
        <w:rPr>
          <w:rFonts w:ascii="Times New Roman" w:hAnsi="Times New Roman" w:cs="Times New Roman"/>
          <w:bCs/>
          <w:color w:val="000000" w:themeColor="text1"/>
          <w:sz w:val="28"/>
          <w:szCs w:val="28"/>
          <w:lang w:eastAsia="es-ES_tradnl"/>
        </w:rPr>
        <w:t xml:space="preserve"> del </w:t>
      </w:r>
      <w:r w:rsidRPr="000149EE">
        <w:rPr>
          <w:rFonts w:ascii="Times New Roman" w:hAnsi="Times New Roman" w:cs="Times New Roman"/>
          <w:bCs/>
          <w:color w:val="000000" w:themeColor="text1"/>
          <w:sz w:val="28"/>
          <w:szCs w:val="28"/>
          <w:lang w:eastAsia="es-ES_tradnl"/>
        </w:rPr>
        <w:t>artículo 11 de la Ley 2277 de 2022</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vulnera</w:t>
      </w:r>
      <w:r w:rsidRPr="000149EE">
        <w:rPr>
          <w:rFonts w:ascii="Times New Roman" w:hAnsi="Times New Roman" w:cs="Times New Roman"/>
          <w:bCs/>
          <w:color w:val="000000" w:themeColor="text1"/>
          <w:sz w:val="28"/>
          <w:szCs w:val="28"/>
          <w:lang w:eastAsia="es-ES_tradnl"/>
        </w:rPr>
        <w:t>n</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el principio de igualdad</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 xml:space="preserve">Según la demanda, de las </w:t>
      </w:r>
      <w:r w:rsidRPr="000149EE">
        <w:rPr>
          <w:rFonts w:ascii="Times New Roman" w:hAnsi="Times New Roman" w:cs="Times New Roman"/>
          <w:bCs/>
          <w:color w:val="000000" w:themeColor="text1"/>
          <w:sz w:val="28"/>
          <w:szCs w:val="28"/>
          <w:lang w:eastAsia="es-ES_tradnl"/>
        </w:rPr>
        <w:t>disposiciones</w:t>
      </w:r>
      <w:r w:rsidRPr="000149EE">
        <w:rPr>
          <w:rFonts w:ascii="Times New Roman" w:hAnsi="Times New Roman" w:cs="Times New Roman"/>
          <w:bCs/>
          <w:color w:val="000000" w:themeColor="text1"/>
          <w:sz w:val="28"/>
          <w:szCs w:val="28"/>
          <w:lang w:eastAsia="es-ES_tradnl"/>
        </w:rPr>
        <w:t xml:space="preserve"> acusadas se deriva</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una diferencia de trato</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 xml:space="preserve">tributario </w:t>
      </w:r>
      <w:r w:rsidRPr="000149EE">
        <w:rPr>
          <w:rFonts w:ascii="Times New Roman" w:hAnsi="Times New Roman" w:cs="Times New Roman"/>
          <w:bCs/>
          <w:color w:val="000000" w:themeColor="text1"/>
          <w:sz w:val="28"/>
          <w:szCs w:val="28"/>
          <w:lang w:eastAsia="es-ES_tradnl"/>
        </w:rPr>
        <w:t xml:space="preserve">entre </w:t>
      </w:r>
      <w:r w:rsidRPr="000149EE">
        <w:rPr>
          <w:rFonts w:ascii="Times New Roman" w:hAnsi="Times New Roman" w:cs="Times New Roman"/>
          <w:bCs/>
          <w:color w:val="000000" w:themeColor="text1"/>
          <w:sz w:val="28"/>
          <w:szCs w:val="28"/>
          <w:lang w:eastAsia="es-ES_tradnl"/>
        </w:rPr>
        <w:t xml:space="preserve">dos grupos de sujetos </w:t>
      </w:r>
      <w:r w:rsidRPr="000149EE">
        <w:rPr>
          <w:rFonts w:ascii="Times New Roman" w:hAnsi="Times New Roman" w:cs="Times New Roman"/>
          <w:bCs/>
          <w:i/>
          <w:iCs/>
          <w:color w:val="000000" w:themeColor="text1"/>
          <w:sz w:val="28"/>
          <w:szCs w:val="28"/>
          <w:lang w:eastAsia="es-ES_tradnl"/>
        </w:rPr>
        <w:t xml:space="preserve">(i) </w:t>
      </w:r>
      <w:r w:rsidRPr="000149EE">
        <w:rPr>
          <w:rFonts w:ascii="Times New Roman" w:hAnsi="Times New Roman" w:cs="Times New Roman"/>
          <w:bCs/>
          <w:color w:val="000000" w:themeColor="text1"/>
          <w:sz w:val="28"/>
          <w:szCs w:val="28"/>
          <w:lang w:eastAsia="es-ES_tradnl"/>
        </w:rPr>
        <w:t>grupo 1</w:t>
      </w:r>
      <w:r w:rsidRPr="000149EE">
        <w:rPr>
          <w:rFonts w:ascii="Times New Roman" w:hAnsi="Times New Roman" w:cs="Times New Roman"/>
          <w:bCs/>
          <w:color w:val="000000" w:themeColor="text1"/>
          <w:sz w:val="28"/>
          <w:szCs w:val="28"/>
          <w:lang w:eastAsia="es-ES_tradnl"/>
        </w:rPr>
        <w:t>:</w:t>
      </w:r>
      <w:r w:rsidRPr="000149EE">
        <w:rPr>
          <w:rFonts w:ascii="Times New Roman" w:hAnsi="Times New Roman" w:cs="Times New Roman"/>
          <w:bCs/>
          <w:color w:val="000000" w:themeColor="text1"/>
          <w:sz w:val="28"/>
          <w:szCs w:val="28"/>
          <w:lang w:eastAsia="es-ES_tradnl"/>
        </w:rPr>
        <w:t xml:space="preserve"> los </w:t>
      </w:r>
      <w:r w:rsidRPr="000149EE">
        <w:rPr>
          <w:rFonts w:ascii="Times New Roman" w:hAnsi="Times New Roman" w:cs="Times New Roman"/>
          <w:bCs/>
          <w:color w:val="000000" w:themeColor="text1"/>
          <w:sz w:val="28"/>
          <w:szCs w:val="28"/>
          <w:lang w:eastAsia="es-ES_tradnl"/>
        </w:rPr>
        <w:t>usuarios industriales de zona franca</w:t>
      </w:r>
      <w:r w:rsidRPr="000149EE">
        <w:rPr>
          <w:rFonts w:ascii="Times New Roman" w:hAnsi="Times New Roman" w:cs="Times New Roman"/>
          <w:bCs/>
          <w:color w:val="000000" w:themeColor="text1"/>
          <w:sz w:val="28"/>
          <w:szCs w:val="28"/>
          <w:lang w:eastAsia="es-ES_tradnl"/>
        </w:rPr>
        <w:t xml:space="preserve"> que obtienen ingresos por exportación y </w:t>
      </w:r>
      <w:r w:rsidRPr="000149EE">
        <w:rPr>
          <w:rFonts w:ascii="Times New Roman" w:hAnsi="Times New Roman" w:cs="Times New Roman"/>
          <w:bCs/>
          <w:i/>
          <w:iCs/>
          <w:color w:val="000000" w:themeColor="text1"/>
          <w:sz w:val="28"/>
          <w:szCs w:val="28"/>
          <w:lang w:eastAsia="es-ES_tradnl"/>
        </w:rPr>
        <w:t>(ii)</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 xml:space="preserve">grupo </w:t>
      </w:r>
      <w:r w:rsidRPr="000149EE">
        <w:rPr>
          <w:rFonts w:ascii="Times New Roman" w:hAnsi="Times New Roman" w:cs="Times New Roman"/>
          <w:bCs/>
          <w:color w:val="000000" w:themeColor="text1"/>
          <w:sz w:val="28"/>
          <w:szCs w:val="28"/>
          <w:lang w:eastAsia="es-ES_tradnl"/>
        </w:rPr>
        <w:t>2</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los usuarios de zon</w:t>
      </w:r>
      <w:r w:rsidRPr="000149EE">
        <w:rPr>
          <w:rFonts w:ascii="Times New Roman" w:hAnsi="Times New Roman" w:cs="Times New Roman"/>
          <w:bCs/>
          <w:color w:val="000000" w:themeColor="text1"/>
          <w:sz w:val="28"/>
          <w:szCs w:val="28"/>
          <w:lang w:eastAsia="es-ES_tradnl"/>
        </w:rPr>
        <w:t>a franca que “no tienen vocación exportadora”</w:t>
      </w:r>
      <w:r w:rsidRPr="000149EE">
        <w:rPr>
          <w:rFonts w:ascii="Times New Roman" w:hAnsi="Times New Roman" w:cs="Times New Roman"/>
          <w:bCs/>
          <w:color w:val="000000" w:themeColor="text1"/>
          <w:sz w:val="28"/>
          <w:szCs w:val="28"/>
          <w:lang w:eastAsia="es-ES_tradnl"/>
        </w:rPr>
        <w:t>. Esta diferencia de trato tributari</w:t>
      </w:r>
      <w:r w:rsidRPr="000149EE">
        <w:rPr>
          <w:rFonts w:ascii="Times New Roman" w:hAnsi="Times New Roman" w:cs="Times New Roman"/>
          <w:bCs/>
          <w:color w:val="000000" w:themeColor="text1"/>
          <w:sz w:val="28"/>
          <w:szCs w:val="28"/>
          <w:lang w:eastAsia="es-ES_tradnl"/>
        </w:rPr>
        <w:t>o</w:t>
      </w:r>
      <w:r w:rsidRPr="000149EE">
        <w:rPr>
          <w:rFonts w:ascii="Times New Roman" w:hAnsi="Times New Roman" w:cs="Times New Roman"/>
          <w:bCs/>
          <w:color w:val="000000" w:themeColor="text1"/>
          <w:sz w:val="28"/>
          <w:szCs w:val="28"/>
          <w:lang w:eastAsia="es-ES_tradnl"/>
        </w:rPr>
        <w:t xml:space="preserve"> consiste en que</w:t>
      </w:r>
      <w:r w:rsidRPr="000149EE">
        <w:rPr>
          <w:rFonts w:ascii="Times New Roman" w:hAnsi="Times New Roman" w:cs="Times New Roman"/>
          <w:bCs/>
          <w:color w:val="000000" w:themeColor="text1"/>
          <w:sz w:val="28"/>
          <w:szCs w:val="28"/>
          <w:lang w:eastAsia="es-ES_tradnl"/>
        </w:rPr>
        <w:t xml:space="preserve"> la tarifa del impuesto </w:t>
      </w:r>
      <w:r w:rsidRPr="000149EE">
        <w:rPr>
          <w:rFonts w:ascii="Times New Roman" w:hAnsi="Times New Roman" w:cs="Times New Roman"/>
          <w:bCs/>
          <w:color w:val="000000" w:themeColor="text1"/>
          <w:sz w:val="28"/>
          <w:szCs w:val="28"/>
          <w:lang w:eastAsia="es-ES_tradnl"/>
        </w:rPr>
        <w:t>sobre</w:t>
      </w:r>
      <w:r w:rsidRPr="000149EE">
        <w:rPr>
          <w:rFonts w:ascii="Times New Roman" w:hAnsi="Times New Roman" w:cs="Times New Roman"/>
          <w:bCs/>
          <w:color w:val="000000" w:themeColor="text1"/>
          <w:sz w:val="28"/>
          <w:szCs w:val="28"/>
          <w:lang w:eastAsia="es-ES_tradnl"/>
        </w:rPr>
        <w:t xml:space="preserve"> la renta de</w:t>
      </w:r>
      <w:r w:rsidRPr="000149EE">
        <w:rPr>
          <w:rFonts w:ascii="Times New Roman" w:hAnsi="Times New Roman" w:cs="Times New Roman"/>
          <w:bCs/>
          <w:color w:val="000000" w:themeColor="text1"/>
          <w:sz w:val="28"/>
          <w:szCs w:val="28"/>
          <w:lang w:eastAsia="es-ES_tradnl"/>
        </w:rPr>
        <w:t xml:space="preserve"> los usuarios </w:t>
      </w:r>
      <w:r w:rsidRPr="000149EE">
        <w:rPr>
          <w:rFonts w:ascii="Times New Roman" w:hAnsi="Times New Roman" w:cs="Times New Roman"/>
          <w:bCs/>
          <w:color w:val="000000" w:themeColor="text1"/>
          <w:sz w:val="28"/>
          <w:szCs w:val="28"/>
          <w:lang w:eastAsia="es-ES_tradnl"/>
        </w:rPr>
        <w:t xml:space="preserve">de </w:t>
      </w:r>
      <w:r w:rsidRPr="000149EE">
        <w:rPr>
          <w:rFonts w:ascii="Times New Roman" w:hAnsi="Times New Roman" w:cs="Times New Roman"/>
          <w:bCs/>
          <w:color w:val="000000" w:themeColor="text1"/>
          <w:sz w:val="28"/>
          <w:szCs w:val="28"/>
          <w:lang w:eastAsia="es-ES_tradnl"/>
        </w:rPr>
        <w:t xml:space="preserve">zona franca que realicen actividades de exportación de bienes y servicios </w:t>
      </w:r>
      <w:r w:rsidRPr="000149EE">
        <w:rPr>
          <w:rFonts w:ascii="Times New Roman" w:hAnsi="Times New Roman" w:cs="Times New Roman"/>
          <w:bCs/>
          <w:color w:val="000000" w:themeColor="text1"/>
          <w:sz w:val="28"/>
          <w:szCs w:val="28"/>
          <w:lang w:eastAsia="es-ES_tradnl"/>
        </w:rPr>
        <w:t>será del 20%. E</w:t>
      </w:r>
      <w:r w:rsidRPr="000149EE">
        <w:rPr>
          <w:rFonts w:ascii="Times New Roman" w:hAnsi="Times New Roman" w:cs="Times New Roman"/>
          <w:bCs/>
          <w:color w:val="000000" w:themeColor="text1"/>
          <w:sz w:val="28"/>
          <w:szCs w:val="28"/>
          <w:lang w:eastAsia="es-ES_tradnl"/>
        </w:rPr>
        <w:t xml:space="preserve">n contraste, </w:t>
      </w:r>
      <w:r w:rsidRPr="000149EE">
        <w:rPr>
          <w:rFonts w:ascii="Times New Roman" w:hAnsi="Times New Roman" w:cs="Times New Roman"/>
          <w:bCs/>
          <w:color w:val="000000" w:themeColor="text1"/>
          <w:sz w:val="28"/>
          <w:szCs w:val="28"/>
          <w:lang w:eastAsia="es-ES_tradnl"/>
        </w:rPr>
        <w:t xml:space="preserve">la </w:t>
      </w:r>
      <w:r w:rsidRPr="000149EE">
        <w:rPr>
          <w:rFonts w:ascii="Times New Roman" w:hAnsi="Times New Roman" w:cs="Times New Roman"/>
          <w:bCs/>
          <w:color w:val="000000" w:themeColor="text1"/>
          <w:sz w:val="28"/>
          <w:szCs w:val="28"/>
          <w:lang w:eastAsia="es-ES_tradnl"/>
        </w:rPr>
        <w:t xml:space="preserve">tarifa </w:t>
      </w:r>
      <w:r w:rsidRPr="000149EE">
        <w:rPr>
          <w:rFonts w:ascii="Times New Roman" w:hAnsi="Times New Roman" w:cs="Times New Roman"/>
          <w:bCs/>
          <w:color w:val="000000" w:themeColor="text1"/>
          <w:sz w:val="28"/>
          <w:szCs w:val="28"/>
          <w:lang w:eastAsia="es-ES_tradnl"/>
        </w:rPr>
        <w:t xml:space="preserve">aplicable a los ingresos de los </w:t>
      </w:r>
      <w:r w:rsidRPr="000149EE">
        <w:rPr>
          <w:rFonts w:ascii="Times New Roman" w:hAnsi="Times New Roman" w:cs="Times New Roman"/>
          <w:bCs/>
          <w:color w:val="000000" w:themeColor="text1"/>
          <w:sz w:val="28"/>
          <w:szCs w:val="28"/>
          <w:lang w:eastAsia="es-ES_tradnl"/>
        </w:rPr>
        <w:t>usuarios</w:t>
      </w:r>
      <w:r w:rsidRPr="000149EE">
        <w:rPr>
          <w:rFonts w:ascii="Times New Roman" w:hAnsi="Times New Roman" w:cs="Times New Roman"/>
          <w:bCs/>
          <w:color w:val="000000" w:themeColor="text1"/>
          <w:sz w:val="28"/>
          <w:szCs w:val="28"/>
          <w:lang w:eastAsia="es-ES_tradnl"/>
        </w:rPr>
        <w:t xml:space="preserve"> que no lleven a cabo operaciones de exportación es</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de</w:t>
      </w:r>
      <w:r w:rsidRPr="000149EE">
        <w:rPr>
          <w:rFonts w:ascii="Times New Roman" w:hAnsi="Times New Roman" w:cs="Times New Roman"/>
          <w:bCs/>
          <w:color w:val="000000" w:themeColor="text1"/>
          <w:sz w:val="28"/>
          <w:szCs w:val="28"/>
          <w:lang w:eastAsia="es-ES_tradnl"/>
        </w:rPr>
        <w:t>l</w:t>
      </w:r>
      <w:r w:rsidRPr="000149EE">
        <w:rPr>
          <w:rFonts w:ascii="Times New Roman" w:hAnsi="Times New Roman" w:cs="Times New Roman"/>
          <w:bCs/>
          <w:color w:val="000000" w:themeColor="text1"/>
          <w:sz w:val="28"/>
          <w:szCs w:val="28"/>
          <w:lang w:eastAsia="es-ES_tradnl"/>
        </w:rPr>
        <w:t xml:space="preserve"> 35%</w:t>
      </w:r>
      <w:r w:rsidRPr="000149EE">
        <w:rPr>
          <w:rFonts w:ascii="Times New Roman" w:hAnsi="Times New Roman" w:cs="Times New Roman"/>
          <w:bCs/>
          <w:color w:val="000000" w:themeColor="text1"/>
          <w:sz w:val="28"/>
          <w:szCs w:val="28"/>
          <w:lang w:eastAsia="es-ES_tradnl"/>
        </w:rPr>
        <w:t xml:space="preserve">, que es la tarifa general prevista en el Estatuto Tributario. </w:t>
      </w:r>
      <w:r w:rsidRPr="000149EE">
        <w:rPr>
          <w:rFonts w:ascii="Times New Roman" w:hAnsi="Times New Roman" w:cs="Times New Roman"/>
          <w:bCs/>
          <w:color w:val="000000" w:themeColor="text1"/>
          <w:sz w:val="28"/>
          <w:szCs w:val="28"/>
          <w:lang w:eastAsia="es-ES_tradnl"/>
        </w:rPr>
        <w:t xml:space="preserve"> </w:t>
      </w:r>
    </w:p>
    <w:p w:rsidR="001D4BD9" w:rsidRPr="000149EE" w:rsidRDefault="000149EE" w:rsidP="001A47E2">
      <w:pPr>
        <w:tabs>
          <w:tab w:val="left" w:pos="567"/>
        </w:tabs>
        <w:rPr>
          <w:rFonts w:ascii="Times New Roman" w:hAnsi="Times New Roman" w:cs="Times New Roman"/>
          <w:sz w:val="28"/>
          <w:szCs w:val="28"/>
        </w:rPr>
      </w:pPr>
    </w:p>
    <w:p w:rsidR="00371003"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bCs/>
          <w:sz w:val="28"/>
          <w:szCs w:val="28"/>
        </w:rPr>
        <w:t xml:space="preserve">La demandante argumenta que </w:t>
      </w:r>
      <w:r w:rsidRPr="000149EE">
        <w:rPr>
          <w:rFonts w:ascii="Times New Roman" w:hAnsi="Times New Roman" w:cs="Times New Roman"/>
          <w:bCs/>
          <w:sz w:val="28"/>
          <w:szCs w:val="28"/>
        </w:rPr>
        <w:t>esta</w:t>
      </w:r>
      <w:r w:rsidRPr="000149EE">
        <w:rPr>
          <w:rFonts w:ascii="Times New Roman" w:hAnsi="Times New Roman" w:cs="Times New Roman"/>
          <w:bCs/>
          <w:sz w:val="28"/>
          <w:szCs w:val="28"/>
        </w:rPr>
        <w:t xml:space="preserve"> diferencia de trato</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vulnera el principio de igualdad y es discriminatoria</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Esto, porque </w:t>
      </w:r>
      <w:r w:rsidRPr="000149EE">
        <w:rPr>
          <w:rFonts w:ascii="Times New Roman" w:hAnsi="Times New Roman" w:cs="Times New Roman"/>
          <w:bCs/>
          <w:i/>
          <w:iCs/>
          <w:sz w:val="28"/>
          <w:szCs w:val="28"/>
        </w:rPr>
        <w:t>(</w:t>
      </w:r>
      <w:r w:rsidRPr="000149EE">
        <w:rPr>
          <w:rFonts w:ascii="Times New Roman" w:hAnsi="Times New Roman" w:cs="Times New Roman"/>
          <w:bCs/>
          <w:i/>
          <w:iCs/>
          <w:sz w:val="28"/>
          <w:szCs w:val="28"/>
        </w:rPr>
        <w:t>a</w:t>
      </w:r>
      <w:r w:rsidRPr="000149EE">
        <w:rPr>
          <w:rFonts w:ascii="Times New Roman" w:hAnsi="Times New Roman" w:cs="Times New Roman"/>
          <w:bCs/>
          <w:i/>
          <w:iCs/>
          <w:sz w:val="28"/>
          <w:szCs w:val="28"/>
        </w:rPr>
        <w:t>)</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los</w:t>
      </w:r>
      <w:r w:rsidRPr="000149EE">
        <w:rPr>
          <w:rFonts w:ascii="Times New Roman" w:hAnsi="Times New Roman" w:cs="Times New Roman"/>
          <w:bCs/>
          <w:sz w:val="28"/>
          <w:szCs w:val="28"/>
        </w:rPr>
        <w:t xml:space="preserve"> grupos de sujetos </w:t>
      </w:r>
      <w:r w:rsidRPr="000149EE">
        <w:rPr>
          <w:rFonts w:ascii="Times New Roman" w:hAnsi="Times New Roman" w:cs="Times New Roman"/>
          <w:bCs/>
          <w:sz w:val="28"/>
          <w:szCs w:val="28"/>
        </w:rPr>
        <w:t>s</w:t>
      </w:r>
      <w:r w:rsidRPr="000149EE">
        <w:rPr>
          <w:rFonts w:ascii="Times New Roman" w:hAnsi="Times New Roman" w:cs="Times New Roman"/>
          <w:bCs/>
          <w:sz w:val="28"/>
          <w:szCs w:val="28"/>
        </w:rPr>
        <w:t>on comparable</w:t>
      </w:r>
      <w:r w:rsidRPr="000149EE">
        <w:rPr>
          <w:rFonts w:ascii="Times New Roman" w:hAnsi="Times New Roman" w:cs="Times New Roman"/>
          <w:bCs/>
          <w:sz w:val="28"/>
          <w:szCs w:val="28"/>
        </w:rPr>
        <w:t>s</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puesto que se</w:t>
      </w:r>
      <w:r w:rsidRPr="000149EE">
        <w:rPr>
          <w:rFonts w:ascii="Times New Roman" w:hAnsi="Times New Roman" w:cs="Times New Roman"/>
          <w:bCs/>
          <w:sz w:val="28"/>
          <w:szCs w:val="28"/>
        </w:rPr>
        <w:t xml:space="preserve"> encuentran en la misma situación </w:t>
      </w:r>
      <w:r w:rsidRPr="000149EE">
        <w:rPr>
          <w:rFonts w:ascii="Times New Roman" w:hAnsi="Times New Roman" w:cs="Times New Roman"/>
          <w:bCs/>
          <w:sz w:val="28"/>
          <w:szCs w:val="28"/>
        </w:rPr>
        <w:t xml:space="preserve">fáctica y </w:t>
      </w:r>
      <w:r w:rsidRPr="000149EE">
        <w:rPr>
          <w:rFonts w:ascii="Times New Roman" w:hAnsi="Times New Roman" w:cs="Times New Roman"/>
          <w:bCs/>
          <w:sz w:val="28"/>
          <w:szCs w:val="28"/>
        </w:rPr>
        <w:t>jurídica</w:t>
      </w:r>
      <w:r w:rsidRPr="000149EE">
        <w:rPr>
          <w:rFonts w:ascii="Times New Roman" w:hAnsi="Times New Roman" w:cs="Times New Roman"/>
          <w:bCs/>
          <w:sz w:val="28"/>
          <w:szCs w:val="28"/>
        </w:rPr>
        <w:t xml:space="preserve"> y </w:t>
      </w:r>
      <w:r w:rsidRPr="000149EE">
        <w:rPr>
          <w:rFonts w:ascii="Times New Roman" w:hAnsi="Times New Roman" w:cs="Times New Roman"/>
          <w:bCs/>
          <w:i/>
          <w:iCs/>
          <w:sz w:val="28"/>
          <w:szCs w:val="28"/>
        </w:rPr>
        <w:t>(</w:t>
      </w:r>
      <w:r w:rsidRPr="000149EE">
        <w:rPr>
          <w:rFonts w:ascii="Times New Roman" w:hAnsi="Times New Roman" w:cs="Times New Roman"/>
          <w:bCs/>
          <w:i/>
          <w:iCs/>
          <w:sz w:val="28"/>
          <w:szCs w:val="28"/>
        </w:rPr>
        <w:t>b</w:t>
      </w:r>
      <w:r w:rsidRPr="000149EE">
        <w:rPr>
          <w:rFonts w:ascii="Times New Roman" w:hAnsi="Times New Roman" w:cs="Times New Roman"/>
          <w:bCs/>
          <w:i/>
          <w:iCs/>
          <w:sz w:val="28"/>
          <w:szCs w:val="28"/>
        </w:rPr>
        <w:t>)</w:t>
      </w:r>
      <w:r w:rsidRPr="000149EE">
        <w:rPr>
          <w:rFonts w:ascii="Times New Roman" w:hAnsi="Times New Roman" w:cs="Times New Roman"/>
          <w:bCs/>
          <w:sz w:val="28"/>
          <w:szCs w:val="28"/>
        </w:rPr>
        <w:t xml:space="preserve"> el trato desfavorable que </w:t>
      </w:r>
      <w:r w:rsidRPr="000149EE">
        <w:rPr>
          <w:rFonts w:ascii="Times New Roman" w:hAnsi="Times New Roman" w:cs="Times New Roman"/>
          <w:bCs/>
          <w:sz w:val="28"/>
          <w:szCs w:val="28"/>
        </w:rPr>
        <w:t xml:space="preserve">la norma confiere a los usuarios que no </w:t>
      </w:r>
      <w:r w:rsidRPr="000149EE">
        <w:rPr>
          <w:rFonts w:ascii="Times New Roman" w:hAnsi="Times New Roman" w:cs="Times New Roman"/>
          <w:bCs/>
          <w:sz w:val="28"/>
          <w:szCs w:val="28"/>
        </w:rPr>
        <w:t>efectú</w:t>
      </w:r>
      <w:r w:rsidRPr="000149EE">
        <w:rPr>
          <w:rFonts w:ascii="Times New Roman" w:hAnsi="Times New Roman" w:cs="Times New Roman"/>
          <w:bCs/>
          <w:sz w:val="28"/>
          <w:szCs w:val="28"/>
        </w:rPr>
        <w:t>a</w:t>
      </w:r>
      <w:r w:rsidRPr="000149EE">
        <w:rPr>
          <w:rFonts w:ascii="Times New Roman" w:hAnsi="Times New Roman" w:cs="Times New Roman"/>
          <w:bCs/>
          <w:sz w:val="28"/>
          <w:szCs w:val="28"/>
        </w:rPr>
        <w:t>n operaciones de exportación</w:t>
      </w:r>
      <w:r w:rsidRPr="000149EE">
        <w:rPr>
          <w:rFonts w:ascii="Times New Roman" w:hAnsi="Times New Roman" w:cs="Times New Roman"/>
          <w:bCs/>
          <w:sz w:val="28"/>
          <w:szCs w:val="28"/>
        </w:rPr>
        <w:t xml:space="preserve"> carece de justificación constitucional. </w:t>
      </w:r>
    </w:p>
    <w:p w:rsidR="00371003" w:rsidRPr="000149EE" w:rsidRDefault="000149EE" w:rsidP="001A47E2">
      <w:pPr>
        <w:rPr>
          <w:rFonts w:ascii="Times New Roman" w:hAnsi="Times New Roman" w:cs="Times New Roman"/>
          <w:bCs/>
          <w:sz w:val="28"/>
          <w:szCs w:val="28"/>
        </w:rPr>
      </w:pPr>
    </w:p>
    <w:p w:rsidR="002C0955" w:rsidRPr="000149EE" w:rsidRDefault="000149EE" w:rsidP="001A47E2">
      <w:pPr>
        <w:pStyle w:val="Prrafodelista"/>
        <w:numPr>
          <w:ilvl w:val="0"/>
          <w:numId w:val="5"/>
        </w:numPr>
        <w:tabs>
          <w:tab w:val="left" w:pos="567"/>
        </w:tabs>
        <w:spacing w:line="240" w:lineRule="auto"/>
        <w:rPr>
          <w:rFonts w:ascii="Times New Roman" w:hAnsi="Times New Roman"/>
          <w:b/>
          <w:sz w:val="28"/>
        </w:rPr>
      </w:pPr>
      <w:r w:rsidRPr="000149EE">
        <w:rPr>
          <w:rFonts w:ascii="Times New Roman" w:hAnsi="Times New Roman"/>
          <w:b/>
          <w:sz w:val="28"/>
        </w:rPr>
        <w:t xml:space="preserve">Los grupos de sujetos son comparables </w:t>
      </w:r>
    </w:p>
    <w:p w:rsidR="002C0955" w:rsidRPr="000149EE" w:rsidRDefault="000149EE" w:rsidP="001A47E2">
      <w:pPr>
        <w:tabs>
          <w:tab w:val="left" w:pos="567"/>
        </w:tabs>
        <w:rPr>
          <w:rFonts w:ascii="Times New Roman" w:hAnsi="Times New Roman" w:cs="Times New Roman"/>
          <w:bCs/>
          <w:sz w:val="28"/>
          <w:szCs w:val="28"/>
        </w:rPr>
      </w:pPr>
    </w:p>
    <w:p w:rsidR="001911EB"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bCs/>
          <w:sz w:val="28"/>
          <w:szCs w:val="28"/>
        </w:rPr>
        <w:t>L</w:t>
      </w:r>
      <w:r w:rsidRPr="000149EE">
        <w:rPr>
          <w:rFonts w:ascii="Times New Roman" w:hAnsi="Times New Roman" w:cs="Times New Roman"/>
          <w:bCs/>
          <w:sz w:val="28"/>
          <w:szCs w:val="28"/>
        </w:rPr>
        <w:t>a demandante afirma que l</w:t>
      </w:r>
      <w:r w:rsidRPr="000149EE">
        <w:rPr>
          <w:rFonts w:ascii="Times New Roman" w:hAnsi="Times New Roman" w:cs="Times New Roman"/>
          <w:bCs/>
          <w:sz w:val="28"/>
          <w:szCs w:val="28"/>
        </w:rPr>
        <w:t xml:space="preserve">os usuarios </w:t>
      </w:r>
      <w:r w:rsidRPr="000149EE">
        <w:rPr>
          <w:rFonts w:ascii="Times New Roman" w:hAnsi="Times New Roman" w:cs="Times New Roman"/>
          <w:bCs/>
          <w:sz w:val="28"/>
          <w:szCs w:val="28"/>
        </w:rPr>
        <w:t xml:space="preserve">industriales </w:t>
      </w:r>
      <w:r w:rsidRPr="000149EE">
        <w:rPr>
          <w:rFonts w:ascii="Times New Roman" w:hAnsi="Times New Roman" w:cs="Times New Roman"/>
          <w:bCs/>
          <w:sz w:val="28"/>
          <w:szCs w:val="28"/>
        </w:rPr>
        <w:t>de zona franca que llevan a cabo actividades de exportación de bienes y servicios se encuentran en la misma situación fáctica y jurídica que los usuarios de zona fra</w:t>
      </w:r>
      <w:r w:rsidRPr="000149EE">
        <w:rPr>
          <w:rFonts w:ascii="Times New Roman" w:hAnsi="Times New Roman" w:cs="Times New Roman"/>
          <w:bCs/>
          <w:sz w:val="28"/>
          <w:szCs w:val="28"/>
        </w:rPr>
        <w:t xml:space="preserve">nca </w:t>
      </w:r>
      <w:r w:rsidRPr="000149EE">
        <w:rPr>
          <w:rFonts w:ascii="Times New Roman" w:hAnsi="Times New Roman" w:cs="Times New Roman"/>
          <w:bCs/>
          <w:sz w:val="28"/>
          <w:szCs w:val="28"/>
        </w:rPr>
        <w:t xml:space="preserve">que </w:t>
      </w:r>
      <w:r w:rsidRPr="000149EE">
        <w:rPr>
          <w:rFonts w:ascii="Times New Roman" w:hAnsi="Times New Roman" w:cs="Times New Roman"/>
          <w:bCs/>
          <w:sz w:val="28"/>
          <w:szCs w:val="28"/>
        </w:rPr>
        <w:t xml:space="preserve">no </w:t>
      </w:r>
      <w:r w:rsidRPr="000149EE">
        <w:rPr>
          <w:rFonts w:ascii="Times New Roman" w:hAnsi="Times New Roman" w:cs="Times New Roman"/>
          <w:bCs/>
          <w:sz w:val="28"/>
          <w:szCs w:val="28"/>
        </w:rPr>
        <w:t>tienen vocación exportadora</w:t>
      </w:r>
      <w:r w:rsidRPr="000149EE">
        <w:rPr>
          <w:rFonts w:ascii="Times New Roman" w:hAnsi="Times New Roman" w:cs="Times New Roman"/>
          <w:bCs/>
          <w:sz w:val="28"/>
          <w:szCs w:val="28"/>
        </w:rPr>
        <w:t xml:space="preserve">. Esto </w:t>
      </w:r>
      <w:r w:rsidRPr="000149EE">
        <w:rPr>
          <w:rFonts w:ascii="Times New Roman" w:hAnsi="Times New Roman" w:cs="Times New Roman"/>
          <w:bCs/>
          <w:sz w:val="28"/>
          <w:szCs w:val="28"/>
        </w:rPr>
        <w:t xml:space="preserve">es así porque </w:t>
      </w:r>
      <w:r w:rsidRPr="000149EE">
        <w:rPr>
          <w:rFonts w:ascii="Times New Roman" w:hAnsi="Times New Roman" w:cs="Times New Roman"/>
          <w:bCs/>
          <w:sz w:val="28"/>
          <w:szCs w:val="28"/>
        </w:rPr>
        <w:t>la</w:t>
      </w:r>
      <w:r w:rsidRPr="000149EE">
        <w:rPr>
          <w:rFonts w:ascii="Times New Roman" w:hAnsi="Times New Roman" w:cs="Times New Roman"/>
          <w:bCs/>
          <w:sz w:val="28"/>
          <w:szCs w:val="28"/>
        </w:rPr>
        <w:t xml:space="preserve"> naturaleza jurídica</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actividad económica y régimen aplicable a sus operaciones </w:t>
      </w:r>
      <w:r w:rsidRPr="000149EE">
        <w:rPr>
          <w:rFonts w:ascii="Times New Roman" w:hAnsi="Times New Roman" w:cs="Times New Roman"/>
          <w:bCs/>
          <w:sz w:val="28"/>
          <w:szCs w:val="28"/>
        </w:rPr>
        <w:t>son l</w:t>
      </w:r>
      <w:r w:rsidRPr="000149EE">
        <w:rPr>
          <w:rFonts w:ascii="Times New Roman" w:hAnsi="Times New Roman" w:cs="Times New Roman"/>
          <w:bCs/>
          <w:sz w:val="28"/>
          <w:szCs w:val="28"/>
        </w:rPr>
        <w:t>o</w:t>
      </w:r>
      <w:r w:rsidRPr="000149EE">
        <w:rPr>
          <w:rFonts w:ascii="Times New Roman" w:hAnsi="Times New Roman" w:cs="Times New Roman"/>
          <w:bCs/>
          <w:sz w:val="28"/>
          <w:szCs w:val="28"/>
        </w:rPr>
        <w:t>s mismos</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 </w:t>
      </w:r>
    </w:p>
    <w:p w:rsidR="001911EB" w:rsidRPr="000149EE" w:rsidRDefault="000149EE" w:rsidP="001A47E2">
      <w:pPr>
        <w:tabs>
          <w:tab w:val="left" w:pos="567"/>
        </w:tabs>
        <w:rPr>
          <w:rFonts w:ascii="Times New Roman" w:hAnsi="Times New Roman" w:cs="Times New Roman"/>
          <w:sz w:val="28"/>
          <w:szCs w:val="28"/>
        </w:rPr>
      </w:pPr>
    </w:p>
    <w:p w:rsidR="001911EB"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Naturaleza jurídica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La demandante asegura que l</w:t>
      </w:r>
      <w:r w:rsidRPr="000149EE">
        <w:rPr>
          <w:rFonts w:ascii="Times New Roman" w:hAnsi="Times New Roman" w:cs="Times New Roman"/>
          <w:sz w:val="28"/>
          <w:szCs w:val="28"/>
        </w:rPr>
        <w:t xml:space="preserve">a naturaleza jurídica de ambos grupos de sujetos es idéntica. </w:t>
      </w:r>
      <w:r w:rsidRPr="000149EE">
        <w:rPr>
          <w:rFonts w:ascii="Times New Roman" w:hAnsi="Times New Roman" w:cs="Times New Roman"/>
          <w:sz w:val="28"/>
          <w:szCs w:val="28"/>
        </w:rPr>
        <w:t>Los artículos 3 de la Ley 1004 de 2005 y</w:t>
      </w:r>
      <w:r w:rsidRPr="000149EE">
        <w:rPr>
          <w:rFonts w:ascii="Times New Roman" w:hAnsi="Times New Roman" w:cs="Times New Roman"/>
          <w:sz w:val="28"/>
          <w:szCs w:val="28"/>
        </w:rPr>
        <w:t xml:space="preserve"> 4 d</w:t>
      </w:r>
      <w:r w:rsidRPr="000149EE">
        <w:rPr>
          <w:rFonts w:ascii="Times New Roman" w:hAnsi="Times New Roman" w:cs="Times New Roman"/>
          <w:sz w:val="28"/>
          <w:szCs w:val="28"/>
        </w:rPr>
        <w:t>el Decreto 2147 de 2016</w:t>
      </w:r>
      <w:r w:rsidRPr="000149EE">
        <w:rPr>
          <w:rFonts w:ascii="Times New Roman" w:hAnsi="Times New Roman" w:cs="Times New Roman"/>
          <w:sz w:val="28"/>
          <w:szCs w:val="28"/>
        </w:rPr>
        <w:t xml:space="preserve"> definen a los usuarios industriales de zona franca como</w:t>
      </w:r>
      <w:r w:rsidRPr="000149EE">
        <w:rPr>
          <w:rFonts w:ascii="Times New Roman" w:hAnsi="Times New Roman" w:cs="Times New Roman"/>
          <w:sz w:val="28"/>
          <w:szCs w:val="28"/>
        </w:rPr>
        <w:t xml:space="preserve"> las </w:t>
      </w:r>
      <w:r w:rsidRPr="000149EE">
        <w:rPr>
          <w:rFonts w:ascii="Times New Roman" w:hAnsi="Times New Roman" w:cs="Times New Roman"/>
          <w:sz w:val="28"/>
          <w:szCs w:val="28"/>
        </w:rPr>
        <w:t>“sociedades constituidas conforme a las disposiciones aplicables p</w:t>
      </w:r>
      <w:r w:rsidRPr="000149EE">
        <w:rPr>
          <w:rFonts w:ascii="Times New Roman" w:hAnsi="Times New Roman" w:cs="Times New Roman"/>
          <w:sz w:val="28"/>
          <w:szCs w:val="28"/>
        </w:rPr>
        <w:t>ara desarrollar sus objetos sociales y actividades económicas en zona franca”</w:t>
      </w:r>
      <w:r w:rsidRPr="000149EE">
        <w:rPr>
          <w:rFonts w:ascii="Times New Roman" w:hAnsi="Times New Roman" w:cs="Times New Roman"/>
          <w:sz w:val="28"/>
          <w:szCs w:val="28"/>
          <w:vertAlign w:val="superscript"/>
        </w:rPr>
        <w:footnoteReference w:id="6"/>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De esta manera, l</w:t>
      </w:r>
      <w:r w:rsidRPr="000149EE">
        <w:rPr>
          <w:rFonts w:ascii="Times New Roman" w:hAnsi="Times New Roman" w:cs="Times New Roman"/>
          <w:sz w:val="28"/>
          <w:szCs w:val="28"/>
        </w:rPr>
        <w:t xml:space="preserve">os usuarios industriales </w:t>
      </w:r>
      <w:r w:rsidRPr="000149EE">
        <w:rPr>
          <w:rFonts w:ascii="Times New Roman" w:hAnsi="Times New Roman" w:cs="Times New Roman"/>
          <w:sz w:val="28"/>
          <w:szCs w:val="28"/>
        </w:rPr>
        <w:t>“constituyen una única categoría en el ordenamiento jurídico”</w:t>
      </w:r>
      <w:r w:rsidRPr="000149EE">
        <w:rPr>
          <w:rFonts w:ascii="Times New Roman" w:hAnsi="Times New Roman" w:cs="Times New Roman"/>
          <w:sz w:val="28"/>
          <w:szCs w:val="28"/>
          <w:vertAlign w:val="superscript"/>
        </w:rPr>
        <w:footnoteReference w:id="7"/>
      </w:r>
      <w:r w:rsidRPr="000149EE">
        <w:rPr>
          <w:rFonts w:ascii="Times New Roman" w:hAnsi="Times New Roman" w:cs="Times New Roman"/>
          <w:sz w:val="28"/>
          <w:szCs w:val="28"/>
        </w:rPr>
        <w:t>, puesto que</w:t>
      </w:r>
      <w:r w:rsidRPr="000149EE">
        <w:rPr>
          <w:rFonts w:ascii="Times New Roman" w:hAnsi="Times New Roman" w:cs="Times New Roman"/>
          <w:sz w:val="28"/>
          <w:szCs w:val="28"/>
        </w:rPr>
        <w:t xml:space="preserve"> la</w:t>
      </w:r>
      <w:r w:rsidRPr="000149EE">
        <w:rPr>
          <w:rFonts w:ascii="Times New Roman" w:hAnsi="Times New Roman" w:cs="Times New Roman"/>
          <w:color w:val="000000" w:themeColor="text1"/>
          <w:sz w:val="28"/>
          <w:szCs w:val="28"/>
        </w:rPr>
        <w:t xml:space="preserve"> ley no prevé </w:t>
      </w:r>
      <w:r w:rsidRPr="000149EE">
        <w:rPr>
          <w:rFonts w:ascii="Times New Roman" w:hAnsi="Times New Roman" w:cs="Times New Roman"/>
          <w:color w:val="000000" w:themeColor="text1"/>
          <w:sz w:val="28"/>
          <w:szCs w:val="28"/>
        </w:rPr>
        <w:t>“subcategorías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en virtud del destino de</w:t>
      </w:r>
      <w:r w:rsidRPr="000149EE">
        <w:rPr>
          <w:rFonts w:ascii="Times New Roman" w:hAnsi="Times New Roman" w:cs="Times New Roman"/>
          <w:color w:val="000000" w:themeColor="text1"/>
          <w:sz w:val="28"/>
          <w:szCs w:val="28"/>
        </w:rPr>
        <w:t xml:space="preserve"> sus operaciones”</w:t>
      </w:r>
      <w:r w:rsidRPr="000149EE">
        <w:rPr>
          <w:rStyle w:val="Refdenotaalpie"/>
          <w:rFonts w:ascii="Times New Roman" w:hAnsi="Times New Roman" w:cs="Times New Roman"/>
          <w:color w:val="000000" w:themeColor="text1"/>
          <w:sz w:val="28"/>
          <w:szCs w:val="28"/>
        </w:rPr>
        <w:footnoteReference w:id="8"/>
      </w:r>
      <w:r w:rsidRPr="000149EE">
        <w:rPr>
          <w:rFonts w:ascii="Times New Roman" w:hAnsi="Times New Roman" w:cs="Times New Roman"/>
          <w:color w:val="000000" w:themeColor="text1"/>
          <w:sz w:val="28"/>
          <w:szCs w:val="28"/>
        </w:rPr>
        <w:t>.</w:t>
      </w:r>
    </w:p>
    <w:p w:rsidR="001911EB" w:rsidRPr="000149EE" w:rsidRDefault="000149EE" w:rsidP="001A47E2">
      <w:pPr>
        <w:pStyle w:val="Prrafodelista"/>
        <w:spacing w:line="240" w:lineRule="auto"/>
        <w:rPr>
          <w:rFonts w:ascii="Times New Roman" w:hAnsi="Times New Roman"/>
          <w:i/>
          <w:iCs/>
          <w:sz w:val="28"/>
        </w:rPr>
      </w:pPr>
    </w:p>
    <w:p w:rsidR="001911EB"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 xml:space="preserve">Actividad económica. </w:t>
      </w:r>
      <w:r w:rsidRPr="000149EE">
        <w:rPr>
          <w:rFonts w:ascii="Times New Roman" w:hAnsi="Times New Roman" w:cs="Times New Roman"/>
          <w:sz w:val="28"/>
          <w:szCs w:val="28"/>
        </w:rPr>
        <w:t xml:space="preserve">La demandante argumenta que </w:t>
      </w:r>
      <w:r w:rsidRPr="000149EE">
        <w:rPr>
          <w:rFonts w:ascii="Times New Roman" w:hAnsi="Times New Roman" w:cs="Times New Roman"/>
          <w:color w:val="000000" w:themeColor="text1"/>
          <w:sz w:val="28"/>
          <w:szCs w:val="28"/>
        </w:rPr>
        <w:t>l</w:t>
      </w:r>
      <w:r w:rsidRPr="000149EE">
        <w:rPr>
          <w:rFonts w:ascii="Times New Roman" w:hAnsi="Times New Roman" w:cs="Times New Roman"/>
          <w:color w:val="000000" w:themeColor="text1"/>
          <w:sz w:val="28"/>
          <w:szCs w:val="28"/>
        </w:rPr>
        <w:t>os</w:t>
      </w:r>
      <w:r w:rsidRPr="000149EE">
        <w:rPr>
          <w:rFonts w:ascii="Times New Roman" w:hAnsi="Times New Roman" w:cs="Times New Roman"/>
          <w:color w:val="000000" w:themeColor="text1"/>
          <w:sz w:val="28"/>
          <w:szCs w:val="28"/>
        </w:rPr>
        <w:t xml:space="preserve"> grupos de sujetos desarrollan la misma actividad económica. En efecto, conforme al artículo </w:t>
      </w:r>
      <w:r w:rsidRPr="000149EE">
        <w:rPr>
          <w:rFonts w:ascii="Times New Roman" w:hAnsi="Times New Roman" w:cs="Times New Roman"/>
          <w:color w:val="000000" w:themeColor="text1"/>
          <w:sz w:val="28"/>
          <w:szCs w:val="28"/>
        </w:rPr>
        <w:t>4 del Decreto 2147 de 2016</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los</w:t>
      </w:r>
      <w:r w:rsidRPr="000149EE">
        <w:rPr>
          <w:rFonts w:ascii="Times New Roman" w:hAnsi="Times New Roman" w:cs="Times New Roman"/>
          <w:sz w:val="28"/>
          <w:szCs w:val="28"/>
        </w:rPr>
        <w:t xml:space="preserve"> usuarios industriales </w:t>
      </w:r>
      <w:r w:rsidRPr="000149EE">
        <w:rPr>
          <w:rFonts w:ascii="Times New Roman" w:hAnsi="Times New Roman" w:cs="Times New Roman"/>
          <w:sz w:val="28"/>
          <w:szCs w:val="28"/>
        </w:rPr>
        <w:t xml:space="preserve">de zona franca son aquellos que se </w:t>
      </w:r>
      <w:r w:rsidRPr="000149EE">
        <w:rPr>
          <w:rFonts w:ascii="Times New Roman" w:hAnsi="Times New Roman" w:cs="Times New Roman"/>
          <w:sz w:val="28"/>
          <w:szCs w:val="28"/>
        </w:rPr>
        <w:t>dedican a</w:t>
      </w:r>
      <w:r w:rsidRPr="000149EE">
        <w:rPr>
          <w:rFonts w:ascii="Times New Roman" w:hAnsi="Times New Roman" w:cs="Times New Roman"/>
          <w:sz w:val="28"/>
          <w:szCs w:val="28"/>
        </w:rPr>
        <w:t>: “producir, transformar o ensamblar bienes mediante el procesamiento de materias primas o de productos semielaborados, o prestar servicios”</w:t>
      </w:r>
      <w:r w:rsidRPr="000149EE">
        <w:rPr>
          <w:rStyle w:val="Refdenotaalpie"/>
          <w:rFonts w:ascii="Times New Roman" w:hAnsi="Times New Roman" w:cs="Times New Roman"/>
          <w:sz w:val="28"/>
          <w:szCs w:val="28"/>
        </w:rPr>
        <w:footnoteReference w:id="9"/>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En tales términos, s</w:t>
      </w:r>
      <w:r w:rsidRPr="000149EE">
        <w:rPr>
          <w:rFonts w:ascii="Times New Roman" w:hAnsi="Times New Roman" w:cs="Times New Roman"/>
          <w:sz w:val="28"/>
          <w:szCs w:val="28"/>
        </w:rPr>
        <w:t xml:space="preserve">egún la demandante, el destino de los bienes y servicios es </w:t>
      </w:r>
      <w:r w:rsidRPr="000149EE">
        <w:rPr>
          <w:rFonts w:ascii="Times New Roman" w:hAnsi="Times New Roman" w:cs="Times New Roman"/>
          <w:sz w:val="28"/>
          <w:szCs w:val="28"/>
        </w:rPr>
        <w:t>un criterio de diferenci</w:t>
      </w:r>
      <w:r w:rsidRPr="000149EE">
        <w:rPr>
          <w:rFonts w:ascii="Times New Roman" w:hAnsi="Times New Roman" w:cs="Times New Roman"/>
          <w:sz w:val="28"/>
          <w:szCs w:val="28"/>
        </w:rPr>
        <w:t xml:space="preserve">ación </w:t>
      </w:r>
      <w:r w:rsidRPr="000149EE">
        <w:rPr>
          <w:rFonts w:ascii="Times New Roman" w:hAnsi="Times New Roman" w:cs="Times New Roman"/>
          <w:sz w:val="28"/>
          <w:szCs w:val="28"/>
        </w:rPr>
        <w:t>irrelevan</w:t>
      </w:r>
      <w:r w:rsidRPr="000149EE">
        <w:rPr>
          <w:rFonts w:ascii="Times New Roman" w:hAnsi="Times New Roman" w:cs="Times New Roman"/>
          <w:sz w:val="28"/>
          <w:szCs w:val="28"/>
        </w:rPr>
        <w:t>te</w:t>
      </w:r>
      <w:r w:rsidRPr="000149EE">
        <w:rPr>
          <w:rFonts w:ascii="Times New Roman" w:hAnsi="Times New Roman" w:cs="Times New Roman"/>
          <w:sz w:val="28"/>
          <w:szCs w:val="28"/>
        </w:rPr>
        <w:t xml:space="preserve">, porque la </w:t>
      </w:r>
      <w:r w:rsidRPr="000149EE">
        <w:rPr>
          <w:rFonts w:ascii="Times New Roman" w:hAnsi="Times New Roman" w:cs="Times New Roman"/>
          <w:sz w:val="28"/>
          <w:szCs w:val="28"/>
        </w:rPr>
        <w:t>actividad económica</w:t>
      </w:r>
      <w:r w:rsidRPr="000149EE">
        <w:rPr>
          <w:rFonts w:ascii="Times New Roman" w:hAnsi="Times New Roman" w:cs="Times New Roman"/>
          <w:sz w:val="28"/>
          <w:szCs w:val="28"/>
        </w:rPr>
        <w:t xml:space="preserve"> de los usuarios industriales de zona franca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w:t>
      </w:r>
      <w:r w:rsidRPr="000149EE">
        <w:rPr>
          <w:rFonts w:ascii="Times New Roman" w:hAnsi="Times New Roman" w:cs="Times New Roman"/>
          <w:sz w:val="28"/>
          <w:szCs w:val="28"/>
        </w:rPr>
        <w:t>no es la exportación de bienes o servicios, sino la producción</w:t>
      </w:r>
      <w:r w:rsidRPr="000149EE">
        <w:rPr>
          <w:rFonts w:ascii="Times New Roman" w:hAnsi="Times New Roman" w:cs="Times New Roman"/>
          <w:sz w:val="28"/>
          <w:szCs w:val="28"/>
        </w:rPr>
        <w:t xml:space="preserve">, transformación o ensamble de bienes y la prestación de </w:t>
      </w:r>
      <w:r w:rsidRPr="000149EE">
        <w:rPr>
          <w:rFonts w:ascii="Times New Roman" w:hAnsi="Times New Roman" w:cs="Times New Roman"/>
          <w:sz w:val="28"/>
          <w:szCs w:val="28"/>
        </w:rPr>
        <w:t>servicios</w:t>
      </w:r>
      <w:r w:rsidRPr="000149EE">
        <w:rPr>
          <w:rFonts w:ascii="Times New Roman" w:hAnsi="Times New Roman" w:cs="Times New Roman"/>
          <w:sz w:val="28"/>
          <w:szCs w:val="28"/>
        </w:rPr>
        <w:t>”</w:t>
      </w:r>
      <w:r w:rsidRPr="000149EE">
        <w:rPr>
          <w:rStyle w:val="Refdenotaalpie"/>
          <w:rFonts w:ascii="Times New Roman" w:hAnsi="Times New Roman" w:cs="Times New Roman"/>
          <w:sz w:val="28"/>
          <w:szCs w:val="28"/>
        </w:rPr>
        <w:footnoteReference w:id="10"/>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p>
    <w:p w:rsidR="001911EB" w:rsidRPr="000149EE" w:rsidRDefault="000149EE" w:rsidP="001A47E2">
      <w:pPr>
        <w:rPr>
          <w:rFonts w:ascii="Times New Roman" w:hAnsi="Times New Roman" w:cs="Times New Roman"/>
          <w:sz w:val="28"/>
          <w:szCs w:val="28"/>
        </w:rPr>
      </w:pPr>
    </w:p>
    <w:p w:rsidR="008A2942"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Régimen jurídico.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w:t>
      </w:r>
      <w:r w:rsidRPr="000149EE">
        <w:rPr>
          <w:rFonts w:ascii="Times New Roman" w:hAnsi="Times New Roman" w:cs="Times New Roman"/>
          <w:sz w:val="28"/>
          <w:szCs w:val="28"/>
        </w:rPr>
        <w:t>demandante sostiene que e</w:t>
      </w:r>
      <w:r w:rsidRPr="000149EE">
        <w:rPr>
          <w:rFonts w:ascii="Times New Roman" w:hAnsi="Times New Roman" w:cs="Times New Roman"/>
          <w:sz w:val="28"/>
          <w:szCs w:val="28"/>
        </w:rPr>
        <w:t xml:space="preserve">l régimen de </w:t>
      </w:r>
      <w:r w:rsidRPr="000149EE">
        <w:rPr>
          <w:rFonts w:ascii="Times New Roman" w:hAnsi="Times New Roman" w:cs="Times New Roman"/>
          <w:sz w:val="28"/>
          <w:szCs w:val="28"/>
        </w:rPr>
        <w:t>zonas francas “no distingue ni diferencia entre tipo</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de usuarios industriales en función del lugar al cual se destinan las actividades </w:t>
      </w:r>
      <w:r w:rsidRPr="000149EE">
        <w:rPr>
          <w:rFonts w:ascii="Times New Roman" w:hAnsi="Times New Roman" w:cs="Times New Roman"/>
          <w:sz w:val="28"/>
          <w:szCs w:val="28"/>
        </w:rPr>
        <w:t>que desarrollan, ni a la naturaleza de exportación o no de sus operaciones”.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En es</w:t>
      </w:r>
      <w:r w:rsidRPr="000149EE">
        <w:rPr>
          <w:rFonts w:ascii="Times New Roman" w:hAnsi="Times New Roman" w:cs="Times New Roman"/>
          <w:sz w:val="28"/>
          <w:szCs w:val="28"/>
        </w:rPr>
        <w:t xml:space="preserve">te sentido, ambos grupos de usuarios industriales -exportadores y no exportadores- </w:t>
      </w:r>
      <w:r w:rsidRPr="000149EE">
        <w:rPr>
          <w:rFonts w:ascii="Times New Roman" w:hAnsi="Times New Roman" w:cs="Times New Roman"/>
          <w:color w:val="000000" w:themeColor="text1"/>
          <w:sz w:val="28"/>
          <w:szCs w:val="28"/>
        </w:rPr>
        <w:t>están sometidos al mismo</w:t>
      </w:r>
      <w:r w:rsidRPr="000149EE">
        <w:rPr>
          <w:rFonts w:ascii="Times New Roman" w:hAnsi="Times New Roman" w:cs="Times New Roman"/>
          <w:color w:val="000000" w:themeColor="text1"/>
          <w:sz w:val="28"/>
          <w:szCs w:val="28"/>
        </w:rPr>
        <w:t xml:space="preserve"> régimen jurídico</w:t>
      </w:r>
      <w:r w:rsidRPr="000149EE">
        <w:rPr>
          <w:rStyle w:val="Refdenotaalpie"/>
          <w:rFonts w:ascii="Times New Roman" w:hAnsi="Times New Roman" w:cs="Times New Roman"/>
          <w:color w:val="000000" w:themeColor="text1"/>
          <w:sz w:val="28"/>
          <w:szCs w:val="28"/>
        </w:rPr>
        <w:footnoteReference w:id="11"/>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De un lado, d</w:t>
      </w:r>
      <w:r w:rsidRPr="000149EE">
        <w:rPr>
          <w:rFonts w:ascii="Times New Roman" w:hAnsi="Times New Roman" w:cs="Times New Roman"/>
          <w:color w:val="000000" w:themeColor="text1"/>
          <w:sz w:val="28"/>
          <w:szCs w:val="28"/>
        </w:rPr>
        <w:t xml:space="preserve">eben cumplir con los mismos requisitos y condiciones para obtener </w:t>
      </w:r>
      <w:r w:rsidRPr="000149EE">
        <w:rPr>
          <w:rFonts w:ascii="Times New Roman" w:hAnsi="Times New Roman" w:cs="Times New Roman"/>
          <w:color w:val="000000" w:themeColor="text1"/>
          <w:sz w:val="28"/>
          <w:szCs w:val="28"/>
        </w:rPr>
        <w:t>y</w:t>
      </w:r>
      <w:r w:rsidRPr="000149EE">
        <w:rPr>
          <w:rFonts w:ascii="Times New Roman" w:hAnsi="Times New Roman" w:cs="Times New Roman"/>
          <w:color w:val="000000" w:themeColor="text1"/>
          <w:sz w:val="28"/>
          <w:szCs w:val="28"/>
        </w:rPr>
        <w:t xml:space="preserve"> mantener la calificación como usuarios industriales de zona franca</w:t>
      </w:r>
      <w:r w:rsidRPr="000149EE">
        <w:rPr>
          <w:rFonts w:ascii="Times New Roman" w:hAnsi="Times New Roman" w:cs="Times New Roman"/>
          <w:color w:val="000000" w:themeColor="text1"/>
          <w:sz w:val="28"/>
          <w:szCs w:val="28"/>
        </w:rPr>
        <w:t xml:space="preserve">. En efecto, </w:t>
      </w:r>
      <w:r w:rsidRPr="000149EE">
        <w:rPr>
          <w:rFonts w:ascii="Times New Roman" w:hAnsi="Times New Roman" w:cs="Times New Roman"/>
          <w:color w:val="000000" w:themeColor="text1"/>
          <w:sz w:val="28"/>
          <w:szCs w:val="28"/>
        </w:rPr>
        <w:t xml:space="preserve">el artículo 80 del Decreto 2147 de 2016 dispone que </w:t>
      </w:r>
      <w:r w:rsidRPr="000149EE">
        <w:rPr>
          <w:rFonts w:ascii="Times New Roman" w:hAnsi="Times New Roman" w:cs="Times New Roman"/>
          <w:color w:val="000000" w:themeColor="text1"/>
          <w:sz w:val="28"/>
          <w:szCs w:val="28"/>
        </w:rPr>
        <w:t xml:space="preserve">las </w:t>
      </w:r>
      <w:r w:rsidRPr="000149EE">
        <w:rPr>
          <w:rFonts w:ascii="Times New Roman" w:hAnsi="Times New Roman" w:cs="Times New Roman"/>
          <w:color w:val="000000" w:themeColor="text1"/>
          <w:sz w:val="28"/>
          <w:szCs w:val="28"/>
        </w:rPr>
        <w:t>sociedades</w:t>
      </w:r>
      <w:r w:rsidRPr="000149EE">
        <w:rPr>
          <w:rFonts w:ascii="Times New Roman" w:hAnsi="Times New Roman" w:cs="Times New Roman"/>
          <w:color w:val="000000" w:themeColor="text1"/>
          <w:sz w:val="28"/>
          <w:szCs w:val="28"/>
        </w:rPr>
        <w:t xml:space="preserve"> que desean adquirir la calificación como usuarios industriales de zona franca deben acreditar </w:t>
      </w:r>
      <w:r w:rsidRPr="000149EE">
        <w:rPr>
          <w:rFonts w:ascii="Times New Roman" w:hAnsi="Times New Roman" w:cs="Times New Roman"/>
          <w:color w:val="000000" w:themeColor="text1"/>
          <w:sz w:val="28"/>
          <w:szCs w:val="28"/>
        </w:rPr>
        <w:t xml:space="preserve">los mismos </w:t>
      </w:r>
      <w:r w:rsidRPr="000149EE">
        <w:rPr>
          <w:rFonts w:ascii="Times New Roman" w:hAnsi="Times New Roman" w:cs="Times New Roman"/>
          <w:color w:val="000000" w:themeColor="text1"/>
          <w:sz w:val="28"/>
          <w:szCs w:val="28"/>
        </w:rPr>
        <w:t>“req</w:t>
      </w:r>
      <w:r w:rsidRPr="000149EE">
        <w:rPr>
          <w:rFonts w:ascii="Times New Roman" w:hAnsi="Times New Roman" w:cs="Times New Roman"/>
          <w:color w:val="000000" w:themeColor="text1"/>
          <w:sz w:val="28"/>
          <w:szCs w:val="28"/>
        </w:rPr>
        <w:t>uisitos de patrimonio, inversión y empleo, con independencia del destino de sus operaciones”</w:t>
      </w:r>
      <w:r w:rsidRPr="000149EE">
        <w:rPr>
          <w:rFonts w:ascii="Times New Roman" w:hAnsi="Times New Roman" w:cs="Times New Roman"/>
          <w:color w:val="000000" w:themeColor="text1"/>
          <w:sz w:val="28"/>
          <w:szCs w:val="28"/>
          <w:vertAlign w:val="superscript"/>
        </w:rPr>
        <w:footnoteReference w:id="12"/>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Por otro lado</w:t>
      </w:r>
      <w:r w:rsidRPr="000149EE">
        <w:rPr>
          <w:rFonts w:ascii="Times New Roman" w:hAnsi="Times New Roman" w:cs="Times New Roman"/>
          <w:color w:val="000000" w:themeColor="text1"/>
          <w:sz w:val="28"/>
          <w:szCs w:val="28"/>
        </w:rPr>
        <w:t xml:space="preserve">, una vez calificados, </w:t>
      </w:r>
      <w:r w:rsidRPr="000149EE">
        <w:rPr>
          <w:rFonts w:ascii="Times New Roman" w:hAnsi="Times New Roman" w:cs="Times New Roman"/>
          <w:color w:val="000000" w:themeColor="text1"/>
          <w:sz w:val="28"/>
          <w:szCs w:val="28"/>
        </w:rPr>
        <w:t>“están sujetos a las mismas obligaciones y condiciones para mantener tal autorización”</w:t>
      </w:r>
      <w:r w:rsidRPr="000149EE">
        <w:rPr>
          <w:rStyle w:val="Refdenotaalpie"/>
          <w:rFonts w:ascii="Times New Roman" w:hAnsi="Times New Roman" w:cs="Times New Roman"/>
          <w:color w:val="000000" w:themeColor="text1"/>
          <w:sz w:val="28"/>
          <w:szCs w:val="28"/>
        </w:rPr>
        <w:footnoteReference w:id="13"/>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 </w:t>
      </w:r>
    </w:p>
    <w:p w:rsidR="00182336" w:rsidRPr="000149EE" w:rsidRDefault="000149EE" w:rsidP="00720F9B">
      <w:pPr>
        <w:tabs>
          <w:tab w:val="left" w:pos="851"/>
        </w:tabs>
        <w:rPr>
          <w:rFonts w:ascii="Times New Roman" w:hAnsi="Times New Roman" w:cs="Times New Roman"/>
          <w:sz w:val="28"/>
          <w:szCs w:val="28"/>
        </w:rPr>
      </w:pPr>
    </w:p>
    <w:p w:rsidR="008A2942" w:rsidRPr="000149EE" w:rsidRDefault="000149EE" w:rsidP="001A47E2">
      <w:pPr>
        <w:numPr>
          <w:ilvl w:val="0"/>
          <w:numId w:val="3"/>
        </w:numPr>
        <w:tabs>
          <w:tab w:val="left" w:pos="567"/>
        </w:tabs>
        <w:ind w:left="0" w:firstLine="0"/>
        <w:rPr>
          <w:rFonts w:ascii="Times New Roman" w:hAnsi="Times New Roman" w:cs="Times New Roman"/>
          <w:color w:val="000000"/>
          <w:sz w:val="28"/>
          <w:szCs w:val="28"/>
        </w:rPr>
      </w:pPr>
      <w:r w:rsidRPr="000149EE">
        <w:rPr>
          <w:rFonts w:ascii="Times New Roman" w:hAnsi="Times New Roman" w:cs="Times New Roman"/>
          <w:color w:val="000000"/>
          <w:sz w:val="28"/>
          <w:szCs w:val="28"/>
        </w:rPr>
        <w:t xml:space="preserve">Con fundamento en estas </w:t>
      </w:r>
      <w:r w:rsidRPr="000149EE">
        <w:rPr>
          <w:rFonts w:ascii="Times New Roman" w:hAnsi="Times New Roman" w:cs="Times New Roman"/>
          <w:color w:val="000000"/>
          <w:sz w:val="28"/>
          <w:szCs w:val="28"/>
        </w:rPr>
        <w:t>consideraciones l</w:t>
      </w:r>
      <w:r w:rsidRPr="000149EE">
        <w:rPr>
          <w:rFonts w:ascii="Times New Roman" w:hAnsi="Times New Roman" w:cs="Times New Roman"/>
          <w:color w:val="000000"/>
          <w:sz w:val="28"/>
          <w:szCs w:val="28"/>
        </w:rPr>
        <w:t>a</w:t>
      </w:r>
      <w:r w:rsidRPr="000149EE">
        <w:rPr>
          <w:rFonts w:ascii="Times New Roman" w:hAnsi="Times New Roman" w:cs="Times New Roman"/>
          <w:color w:val="000000"/>
          <w:sz w:val="28"/>
          <w:szCs w:val="28"/>
        </w:rPr>
        <w:t xml:space="preserve"> demandante concluye que los usuarios de zona franca exportadores y no exportadores son sujetos comparables. </w:t>
      </w:r>
    </w:p>
    <w:p w:rsidR="002C0955" w:rsidRPr="000149EE" w:rsidRDefault="000149EE" w:rsidP="001A47E2">
      <w:pPr>
        <w:rPr>
          <w:rFonts w:ascii="Times New Roman" w:hAnsi="Times New Roman" w:cs="Times New Roman"/>
          <w:sz w:val="28"/>
          <w:szCs w:val="28"/>
        </w:rPr>
      </w:pPr>
    </w:p>
    <w:p w:rsidR="002C0955" w:rsidRPr="000149EE" w:rsidRDefault="000149EE" w:rsidP="001A47E2">
      <w:pPr>
        <w:pStyle w:val="Prrafodelista"/>
        <w:numPr>
          <w:ilvl w:val="0"/>
          <w:numId w:val="5"/>
        </w:numPr>
        <w:tabs>
          <w:tab w:val="left" w:pos="567"/>
        </w:tabs>
        <w:spacing w:line="240" w:lineRule="auto"/>
        <w:ind w:left="714" w:hanging="357"/>
        <w:rPr>
          <w:rFonts w:ascii="Times New Roman" w:hAnsi="Times New Roman"/>
          <w:b/>
          <w:bCs/>
          <w:sz w:val="28"/>
        </w:rPr>
      </w:pPr>
      <w:r w:rsidRPr="000149EE">
        <w:rPr>
          <w:rFonts w:ascii="Times New Roman" w:hAnsi="Times New Roman"/>
          <w:b/>
          <w:bCs/>
          <w:sz w:val="28"/>
        </w:rPr>
        <w:t xml:space="preserve">El trato diferente que la norma demandada dispone carece de justificación constitucional </w:t>
      </w:r>
    </w:p>
    <w:p w:rsidR="001B4D8F" w:rsidRPr="000149EE" w:rsidRDefault="000149EE" w:rsidP="001A47E2">
      <w:pPr>
        <w:rPr>
          <w:rFonts w:ascii="Times New Roman" w:hAnsi="Times New Roman" w:cs="Times New Roman"/>
          <w:color w:val="000000" w:themeColor="text1"/>
          <w:sz w:val="28"/>
          <w:szCs w:val="28"/>
        </w:rPr>
      </w:pPr>
    </w:p>
    <w:p w:rsidR="009C614D"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color w:val="000000"/>
          <w:sz w:val="28"/>
          <w:szCs w:val="28"/>
        </w:rPr>
        <w:t>L</w:t>
      </w:r>
      <w:r w:rsidRPr="000149EE">
        <w:rPr>
          <w:rFonts w:ascii="Times New Roman" w:hAnsi="Times New Roman" w:cs="Times New Roman"/>
          <w:color w:val="000000"/>
          <w:sz w:val="28"/>
          <w:szCs w:val="28"/>
        </w:rPr>
        <w:t xml:space="preserve">a demandante sostiene que </w:t>
      </w:r>
      <w:r w:rsidRPr="000149EE">
        <w:rPr>
          <w:rFonts w:ascii="Times New Roman" w:hAnsi="Times New Roman" w:cs="Times New Roman"/>
          <w:color w:val="000000"/>
          <w:sz w:val="28"/>
          <w:szCs w:val="28"/>
        </w:rPr>
        <w:t>“las norm</w:t>
      </w:r>
      <w:r w:rsidRPr="000149EE">
        <w:rPr>
          <w:rFonts w:ascii="Times New Roman" w:hAnsi="Times New Roman" w:cs="Times New Roman"/>
          <w:color w:val="000000"/>
          <w:sz w:val="28"/>
          <w:szCs w:val="28"/>
        </w:rPr>
        <w:t xml:space="preserve">as demandadas </w:t>
      </w:r>
      <w:r w:rsidRPr="000149EE">
        <w:rPr>
          <w:rFonts w:ascii="Times New Roman" w:hAnsi="Times New Roman" w:cs="Times New Roman"/>
          <w:color w:val="000000"/>
          <w:sz w:val="28"/>
          <w:szCs w:val="28"/>
        </w:rPr>
        <w:t>otorgan un trato diferente a sujetos iguales, al establecer una tarifa del 20% para los usuarios industriales de bienes</w:t>
      </w:r>
      <w:r w:rsidRPr="000149EE">
        <w:rPr>
          <w:rFonts w:ascii="Times New Roman" w:hAnsi="Times New Roman" w:cs="Times New Roman"/>
          <w:color w:val="000000"/>
          <w:sz w:val="28"/>
          <w:szCs w:val="28"/>
        </w:rPr>
        <w:t xml:space="preserve"> y/o servicios de zona franca que exportan y la tarifa general del 35% para los que no</w:t>
      </w:r>
      <w:r w:rsidRPr="000149EE">
        <w:rPr>
          <w:rFonts w:ascii="Times New Roman" w:hAnsi="Times New Roman" w:cs="Times New Roman"/>
          <w:color w:val="000000"/>
          <w:sz w:val="28"/>
          <w:szCs w:val="28"/>
        </w:rPr>
        <w:t>”</w:t>
      </w:r>
      <w:r w:rsidRPr="000149EE">
        <w:rPr>
          <w:rFonts w:ascii="Times New Roman" w:hAnsi="Times New Roman" w:cs="Times New Roman"/>
          <w:color w:val="000000"/>
          <w:sz w:val="28"/>
          <w:szCs w:val="28"/>
          <w:vertAlign w:val="superscript"/>
        </w:rPr>
        <w:footnoteReference w:id="14"/>
      </w:r>
      <w:r w:rsidRPr="000149EE">
        <w:rPr>
          <w:rFonts w:ascii="Times New Roman" w:hAnsi="Times New Roman" w:cs="Times New Roman"/>
          <w:color w:val="000000"/>
          <w:sz w:val="28"/>
          <w:szCs w:val="28"/>
        </w:rPr>
        <w:t>.</w:t>
      </w:r>
      <w:r w:rsidRPr="000149EE">
        <w:rPr>
          <w:rFonts w:ascii="Times New Roman" w:hAnsi="Times New Roman" w:cs="Times New Roman"/>
          <w:color w:val="000000"/>
          <w:sz w:val="28"/>
          <w:szCs w:val="28"/>
        </w:rPr>
        <w:t xml:space="preserve"> </w:t>
      </w:r>
      <w:r w:rsidRPr="000149EE">
        <w:rPr>
          <w:rFonts w:ascii="Times New Roman" w:hAnsi="Times New Roman" w:cs="Times New Roman"/>
          <w:color w:val="000000"/>
          <w:sz w:val="28"/>
          <w:szCs w:val="28"/>
        </w:rPr>
        <w:t>En este sentido, l</w:t>
      </w:r>
      <w:r w:rsidRPr="000149EE">
        <w:rPr>
          <w:rFonts w:ascii="Times New Roman" w:hAnsi="Times New Roman" w:cs="Times New Roman"/>
          <w:color w:val="000000"/>
          <w:sz w:val="28"/>
          <w:szCs w:val="28"/>
        </w:rPr>
        <w:t>a</w:t>
      </w:r>
      <w:r w:rsidRPr="000149EE">
        <w:rPr>
          <w:rFonts w:ascii="Times New Roman" w:hAnsi="Times New Roman" w:cs="Times New Roman"/>
          <w:color w:val="000000"/>
          <w:sz w:val="28"/>
          <w:szCs w:val="28"/>
        </w:rPr>
        <w:t xml:space="preserve"> </w:t>
      </w:r>
      <w:r w:rsidRPr="000149EE">
        <w:rPr>
          <w:rFonts w:ascii="Times New Roman" w:hAnsi="Times New Roman" w:cs="Times New Roman"/>
          <w:color w:val="000000"/>
          <w:sz w:val="28"/>
          <w:szCs w:val="28"/>
        </w:rPr>
        <w:t>“consecuencia</w:t>
      </w:r>
      <w:r w:rsidRPr="000149EE">
        <w:rPr>
          <w:rFonts w:ascii="Times New Roman" w:hAnsi="Times New Roman" w:cs="Times New Roman"/>
          <w:color w:val="000000"/>
          <w:sz w:val="28"/>
          <w:szCs w:val="28"/>
        </w:rPr>
        <w:t xml:space="preserve"> </w:t>
      </w:r>
      <w:r w:rsidRPr="000149EE">
        <w:rPr>
          <w:rFonts w:ascii="Times New Roman" w:hAnsi="Times New Roman" w:cs="Times New Roman"/>
          <w:color w:val="000000"/>
          <w:sz w:val="28"/>
          <w:szCs w:val="28"/>
        </w:rPr>
        <w:t>negativa que conlleva el trato diferencial para los usuarios industriales que no exportan sus bienes y servicios al resto del mundo no es otra que la de acceder a una tarifa del impuesto de renta más alta que la que les corresponde en virtud del principio</w:t>
      </w:r>
      <w:r w:rsidRPr="000149EE">
        <w:rPr>
          <w:rFonts w:ascii="Times New Roman" w:hAnsi="Times New Roman" w:cs="Times New Roman"/>
          <w:color w:val="000000"/>
          <w:sz w:val="28"/>
          <w:szCs w:val="28"/>
        </w:rPr>
        <w:t xml:space="preserve"> de igualdad y que es la que reciben otros sujetos que son iguales a ellos”</w:t>
      </w:r>
      <w:r w:rsidRPr="000149EE">
        <w:rPr>
          <w:rStyle w:val="Refdenotaalpie"/>
          <w:rFonts w:ascii="Times New Roman" w:hAnsi="Times New Roman" w:cs="Times New Roman"/>
          <w:color w:val="000000"/>
          <w:sz w:val="28"/>
          <w:szCs w:val="28"/>
        </w:rPr>
        <w:footnoteReference w:id="15"/>
      </w:r>
      <w:r w:rsidRPr="000149EE">
        <w:rPr>
          <w:rFonts w:ascii="Times New Roman" w:hAnsi="Times New Roman" w:cs="Times New Roman"/>
          <w:color w:val="000000"/>
          <w:sz w:val="28"/>
          <w:szCs w:val="28"/>
        </w:rPr>
        <w:t xml:space="preserve">. </w:t>
      </w:r>
      <w:r w:rsidRPr="000149EE">
        <w:rPr>
          <w:rFonts w:ascii="Times New Roman" w:hAnsi="Times New Roman" w:cs="Times New Roman"/>
          <w:color w:val="000000"/>
          <w:sz w:val="28"/>
          <w:szCs w:val="28"/>
        </w:rPr>
        <w:t xml:space="preserve">En su criterio, esta diferencia de trato </w:t>
      </w:r>
      <w:r w:rsidRPr="000149EE">
        <w:rPr>
          <w:rFonts w:ascii="Times New Roman" w:hAnsi="Times New Roman" w:cs="Times New Roman"/>
          <w:color w:val="000000"/>
          <w:sz w:val="28"/>
          <w:szCs w:val="28"/>
        </w:rPr>
        <w:t>carece de justificación constitucional</w:t>
      </w:r>
      <w:r w:rsidRPr="000149EE">
        <w:rPr>
          <w:rFonts w:ascii="Times New Roman" w:hAnsi="Times New Roman" w:cs="Times New Roman"/>
          <w:color w:val="000000"/>
          <w:sz w:val="28"/>
          <w:szCs w:val="28"/>
        </w:rPr>
        <w:t xml:space="preserve">, por </w:t>
      </w:r>
      <w:r w:rsidRPr="000149EE">
        <w:rPr>
          <w:rFonts w:ascii="Times New Roman" w:hAnsi="Times New Roman" w:cs="Times New Roman"/>
          <w:color w:val="000000"/>
          <w:sz w:val="28"/>
          <w:szCs w:val="28"/>
        </w:rPr>
        <w:t>dos</w:t>
      </w:r>
      <w:r w:rsidRPr="000149EE">
        <w:rPr>
          <w:rFonts w:ascii="Times New Roman" w:hAnsi="Times New Roman" w:cs="Times New Roman"/>
          <w:color w:val="000000"/>
          <w:sz w:val="28"/>
          <w:szCs w:val="28"/>
        </w:rPr>
        <w:t xml:space="preserve"> razones</w:t>
      </w:r>
      <w:r w:rsidRPr="000149EE">
        <w:rPr>
          <w:rFonts w:ascii="Times New Roman" w:hAnsi="Times New Roman" w:cs="Times New Roman"/>
          <w:color w:val="000000"/>
          <w:sz w:val="28"/>
          <w:szCs w:val="28"/>
        </w:rPr>
        <w:t>:</w:t>
      </w:r>
      <w:r w:rsidRPr="000149EE">
        <w:rPr>
          <w:rFonts w:ascii="Times New Roman" w:hAnsi="Times New Roman" w:cs="Times New Roman"/>
          <w:color w:val="000000"/>
          <w:sz w:val="28"/>
          <w:szCs w:val="28"/>
        </w:rPr>
        <w:t xml:space="preserve"> </w:t>
      </w:r>
    </w:p>
    <w:p w:rsidR="00AE49FB" w:rsidRPr="000149EE" w:rsidRDefault="000149EE" w:rsidP="001A47E2">
      <w:pPr>
        <w:tabs>
          <w:tab w:val="left" w:pos="567"/>
        </w:tabs>
        <w:rPr>
          <w:rFonts w:ascii="Times New Roman" w:hAnsi="Times New Roman" w:cs="Times New Roman"/>
          <w:sz w:val="28"/>
          <w:szCs w:val="28"/>
        </w:rPr>
      </w:pPr>
    </w:p>
    <w:p w:rsidR="00D6358C" w:rsidRPr="000149EE" w:rsidRDefault="000149EE" w:rsidP="001A47E2">
      <w:pPr>
        <w:pStyle w:val="Prrafodelista"/>
        <w:numPr>
          <w:ilvl w:val="1"/>
          <w:numId w:val="3"/>
        </w:numPr>
        <w:tabs>
          <w:tab w:val="left" w:pos="567"/>
        </w:tabs>
        <w:spacing w:line="240" w:lineRule="auto"/>
        <w:ind w:left="794" w:hanging="652"/>
        <w:rPr>
          <w:rFonts w:ascii="Times New Roman" w:hAnsi="Times New Roman"/>
          <w:sz w:val="28"/>
        </w:rPr>
      </w:pPr>
      <w:r w:rsidRPr="000149EE">
        <w:rPr>
          <w:rFonts w:ascii="Times New Roman" w:hAnsi="Times New Roman"/>
          <w:sz w:val="28"/>
        </w:rPr>
        <w:t xml:space="preserve">La </w:t>
      </w:r>
      <w:r w:rsidRPr="000149EE">
        <w:rPr>
          <w:rFonts w:ascii="Times New Roman" w:hAnsi="Times New Roman"/>
          <w:sz w:val="28"/>
        </w:rPr>
        <w:t xml:space="preserve">promoción de las exportaciones no justifica el trato diferenciado. </w:t>
      </w:r>
      <w:r w:rsidRPr="000149EE">
        <w:rPr>
          <w:rFonts w:ascii="Times New Roman" w:hAnsi="Times New Roman"/>
          <w:sz w:val="28"/>
        </w:rPr>
        <w:t xml:space="preserve">La demandante reconoció que, </w:t>
      </w:r>
      <w:r w:rsidRPr="000149EE">
        <w:rPr>
          <w:rFonts w:ascii="Times New Roman" w:hAnsi="Times New Roman"/>
          <w:sz w:val="28"/>
        </w:rPr>
        <w:t>de conformidad con lo esbozado en la Gaceta No. 1200 del 5 de octubre de 2022, la finalidad de las disposiciones acusadas es la de promover las exportaciones</w:t>
      </w:r>
      <w:r w:rsidRPr="000149EE">
        <w:rPr>
          <w:rFonts w:ascii="Times New Roman" w:hAnsi="Times New Roman"/>
          <w:sz w:val="28"/>
        </w:rPr>
        <w:t>. Sin embargo, sostiene que la Constitución no “contempla un mandato e</w:t>
      </w:r>
      <w:r w:rsidRPr="000149EE">
        <w:rPr>
          <w:rFonts w:ascii="Times New Roman" w:hAnsi="Times New Roman"/>
          <w:sz w:val="28"/>
        </w:rPr>
        <w:t>specífico de promoción de las exportaciones, que permita o justifique otorgar un tratamiento diferente</w:t>
      </w:r>
      <w:r w:rsidRPr="000149EE">
        <w:rPr>
          <w:rFonts w:ascii="Times New Roman" w:hAnsi="Times New Roman"/>
          <w:sz w:val="28"/>
        </w:rPr>
        <w:t xml:space="preserve"> a</w:t>
      </w:r>
      <w:r w:rsidRPr="000149EE">
        <w:rPr>
          <w:rFonts w:ascii="Times New Roman" w:hAnsi="Times New Roman"/>
          <w:sz w:val="28"/>
        </w:rPr>
        <w:t xml:space="preserve"> iguales como </w:t>
      </w:r>
      <w:r w:rsidRPr="000149EE">
        <w:rPr>
          <w:rFonts w:ascii="Times New Roman" w:hAnsi="Times New Roman"/>
          <w:sz w:val="28"/>
        </w:rPr>
        <w:t>s</w:t>
      </w:r>
      <w:r w:rsidRPr="000149EE">
        <w:rPr>
          <w:rFonts w:ascii="Times New Roman" w:hAnsi="Times New Roman"/>
          <w:sz w:val="28"/>
        </w:rPr>
        <w:t>on los usuarios industriales de bienes y/o servicios de zona franca que exportan y aquellos que no”</w:t>
      </w:r>
      <w:r w:rsidRPr="000149EE">
        <w:rPr>
          <w:rFonts w:ascii="Times New Roman" w:hAnsi="Times New Roman"/>
          <w:sz w:val="28"/>
          <w:vertAlign w:val="superscript"/>
        </w:rPr>
        <w:footnoteReference w:id="16"/>
      </w:r>
      <w:r w:rsidRPr="000149EE">
        <w:rPr>
          <w:rFonts w:ascii="Times New Roman" w:hAnsi="Times New Roman"/>
          <w:sz w:val="28"/>
        </w:rPr>
        <w:t>.</w:t>
      </w:r>
      <w:r w:rsidRPr="000149EE">
        <w:rPr>
          <w:rFonts w:ascii="Times New Roman" w:hAnsi="Times New Roman"/>
          <w:sz w:val="28"/>
        </w:rPr>
        <w:t xml:space="preserve"> Según la demandante, “tal objetivo </w:t>
      </w:r>
      <w:r w:rsidRPr="000149EE">
        <w:rPr>
          <w:rFonts w:ascii="Times New Roman" w:hAnsi="Times New Roman"/>
          <w:sz w:val="28"/>
        </w:rPr>
        <w:t>no hace parte de un mandato constitucional y no es un</w:t>
      </w:r>
      <w:r w:rsidRPr="000149EE">
        <w:rPr>
          <w:rFonts w:ascii="Times New Roman" w:hAnsi="Times New Roman"/>
          <w:sz w:val="28"/>
        </w:rPr>
        <w:t xml:space="preserve"> </w:t>
      </w:r>
      <w:r w:rsidRPr="000149EE">
        <w:rPr>
          <w:rFonts w:ascii="Times New Roman" w:hAnsi="Times New Roman"/>
          <w:sz w:val="28"/>
        </w:rPr>
        <w:t>criterio diferenciador admisible</w:t>
      </w:r>
      <w:r w:rsidRPr="000149EE">
        <w:rPr>
          <w:rFonts w:ascii="Times New Roman" w:hAnsi="Times New Roman"/>
          <w:sz w:val="28"/>
        </w:rPr>
        <w:t>”</w:t>
      </w:r>
      <w:r w:rsidRPr="000149EE">
        <w:rPr>
          <w:rFonts w:ascii="Times New Roman" w:hAnsi="Times New Roman"/>
          <w:sz w:val="28"/>
          <w:vertAlign w:val="superscript"/>
        </w:rPr>
        <w:footnoteReference w:id="17"/>
      </w:r>
      <w:r w:rsidRPr="000149EE">
        <w:rPr>
          <w:rFonts w:ascii="Times New Roman" w:hAnsi="Times New Roman"/>
          <w:sz w:val="28"/>
        </w:rPr>
        <w:t xml:space="preserve">. </w:t>
      </w:r>
    </w:p>
    <w:p w:rsidR="00BC5EDA" w:rsidRPr="000149EE" w:rsidRDefault="000149EE" w:rsidP="001A47E2">
      <w:pPr>
        <w:pStyle w:val="Prrafodelista"/>
        <w:numPr>
          <w:ilvl w:val="1"/>
          <w:numId w:val="3"/>
        </w:numPr>
        <w:tabs>
          <w:tab w:val="left" w:pos="567"/>
        </w:tabs>
        <w:spacing w:line="240" w:lineRule="auto"/>
        <w:ind w:left="794" w:hanging="652"/>
        <w:rPr>
          <w:rFonts w:ascii="Times New Roman" w:hAnsi="Times New Roman"/>
          <w:sz w:val="28"/>
        </w:rPr>
      </w:pPr>
      <w:r w:rsidRPr="000149EE">
        <w:rPr>
          <w:rFonts w:ascii="Times New Roman" w:hAnsi="Times New Roman"/>
          <w:sz w:val="28"/>
        </w:rPr>
        <w:t xml:space="preserve">La diferencia de trato </w:t>
      </w:r>
      <w:r w:rsidRPr="000149EE">
        <w:rPr>
          <w:rFonts w:ascii="Times New Roman" w:hAnsi="Times New Roman"/>
          <w:sz w:val="28"/>
        </w:rPr>
        <w:t>“desnaturaliza” la especialidad del régimen de zona franca</w:t>
      </w:r>
      <w:r w:rsidRPr="000149EE">
        <w:rPr>
          <w:rFonts w:ascii="Times New Roman" w:hAnsi="Times New Roman"/>
          <w:sz w:val="28"/>
        </w:rPr>
        <w:t xml:space="preserve">. </w:t>
      </w:r>
      <w:r w:rsidRPr="000149EE">
        <w:rPr>
          <w:rFonts w:ascii="Times New Roman" w:hAnsi="Times New Roman"/>
          <w:sz w:val="28"/>
        </w:rPr>
        <w:t>La demandante sostiene que,</w:t>
      </w:r>
      <w:r w:rsidRPr="000149EE">
        <w:rPr>
          <w:rFonts w:ascii="Times New Roman" w:hAnsi="Times New Roman"/>
          <w:sz w:val="28"/>
        </w:rPr>
        <w:t xml:space="preserve"> de acuerdo con la </w:t>
      </w:r>
      <w:r w:rsidRPr="000149EE">
        <w:rPr>
          <w:rFonts w:ascii="Times New Roman" w:hAnsi="Times New Roman"/>
          <w:sz w:val="28"/>
        </w:rPr>
        <w:t>jurisprudencia</w:t>
      </w:r>
      <w:r w:rsidRPr="000149EE">
        <w:rPr>
          <w:rFonts w:ascii="Times New Roman" w:hAnsi="Times New Roman"/>
          <w:sz w:val="28"/>
        </w:rPr>
        <w:t xml:space="preserve"> constitucional</w:t>
      </w:r>
      <w:r w:rsidRPr="000149EE">
        <w:rPr>
          <w:rStyle w:val="Refdenotaalpie"/>
          <w:rFonts w:ascii="Times New Roman" w:hAnsi="Times New Roman"/>
          <w:sz w:val="28"/>
        </w:rPr>
        <w:footnoteReference w:id="18"/>
      </w:r>
      <w:r w:rsidRPr="000149EE">
        <w:rPr>
          <w:rFonts w:ascii="Times New Roman" w:hAnsi="Times New Roman"/>
          <w:sz w:val="28"/>
        </w:rPr>
        <w:t>, el r</w:t>
      </w:r>
      <w:r w:rsidRPr="000149EE">
        <w:rPr>
          <w:rFonts w:ascii="Times New Roman" w:hAnsi="Times New Roman"/>
          <w:sz w:val="28"/>
        </w:rPr>
        <w:t xml:space="preserve">égimen de zonas francas </w:t>
      </w:r>
      <w:r w:rsidRPr="000149EE">
        <w:rPr>
          <w:rFonts w:ascii="Times New Roman" w:hAnsi="Times New Roman"/>
          <w:sz w:val="28"/>
        </w:rPr>
        <w:t>concede</w:t>
      </w:r>
      <w:r w:rsidRPr="000149EE">
        <w:rPr>
          <w:rFonts w:ascii="Times New Roman" w:hAnsi="Times New Roman"/>
          <w:sz w:val="28"/>
        </w:rPr>
        <w:t xml:space="preserve"> </w:t>
      </w:r>
      <w:r w:rsidRPr="000149EE">
        <w:rPr>
          <w:rFonts w:ascii="Times New Roman" w:hAnsi="Times New Roman"/>
          <w:sz w:val="28"/>
        </w:rPr>
        <w:t>“</w:t>
      </w:r>
      <w:r w:rsidRPr="000149EE">
        <w:rPr>
          <w:rFonts w:ascii="Times New Roman" w:hAnsi="Times New Roman"/>
          <w:sz w:val="28"/>
        </w:rPr>
        <w:t xml:space="preserve">el derecho a tener un tratamiento </w:t>
      </w:r>
      <w:r w:rsidRPr="000149EE">
        <w:rPr>
          <w:rFonts w:ascii="Times New Roman" w:hAnsi="Times New Roman"/>
          <w:sz w:val="28"/>
        </w:rPr>
        <w:t>más</w:t>
      </w:r>
      <w:r w:rsidRPr="000149EE">
        <w:rPr>
          <w:rFonts w:ascii="Times New Roman" w:hAnsi="Times New Roman"/>
          <w:sz w:val="28"/>
        </w:rPr>
        <w:t xml:space="preserve"> favorable para el contribuyente en materia aduanera, tributaria y de comercio exterior, que da lugar a múltiples ventajas</w:t>
      </w:r>
      <w:r w:rsidRPr="000149EE">
        <w:rPr>
          <w:rFonts w:ascii="Times New Roman" w:hAnsi="Times New Roman"/>
          <w:sz w:val="28"/>
        </w:rPr>
        <w:t>, cuyo alcance es susceptible de valoración, cambios y ajustes p</w:t>
      </w:r>
      <w:r w:rsidRPr="000149EE">
        <w:rPr>
          <w:rFonts w:ascii="Times New Roman" w:hAnsi="Times New Roman"/>
          <w:sz w:val="28"/>
        </w:rPr>
        <w:t xml:space="preserve">or parte del Congreso, siempre que no se suprima o desnaturalice la especialidad que </w:t>
      </w:r>
      <w:r w:rsidRPr="000149EE">
        <w:rPr>
          <w:rFonts w:ascii="Times New Roman" w:hAnsi="Times New Roman"/>
          <w:sz w:val="28"/>
        </w:rPr>
        <w:t>le es propia, conforme a los principios de razonabilidad y proporcionalidad que rigen l</w:t>
      </w:r>
      <w:r w:rsidRPr="000149EE">
        <w:rPr>
          <w:rFonts w:ascii="Times New Roman" w:hAnsi="Times New Roman"/>
          <w:sz w:val="28"/>
        </w:rPr>
        <w:t>a</w:t>
      </w:r>
      <w:r w:rsidRPr="000149EE">
        <w:rPr>
          <w:rFonts w:ascii="Times New Roman" w:hAnsi="Times New Roman"/>
          <w:sz w:val="28"/>
        </w:rPr>
        <w:t xml:space="preserve"> labor legislativa”</w:t>
      </w:r>
      <w:r w:rsidRPr="000149EE">
        <w:rPr>
          <w:rStyle w:val="Refdenotaalpie"/>
          <w:rFonts w:ascii="Times New Roman" w:hAnsi="Times New Roman"/>
          <w:sz w:val="28"/>
        </w:rPr>
        <w:footnoteReference w:id="19"/>
      </w:r>
      <w:r w:rsidRPr="000149EE">
        <w:rPr>
          <w:rFonts w:ascii="Times New Roman" w:hAnsi="Times New Roman"/>
          <w:sz w:val="28"/>
        </w:rPr>
        <w:t xml:space="preserve">. </w:t>
      </w:r>
      <w:r w:rsidRPr="000149EE">
        <w:rPr>
          <w:rFonts w:ascii="Times New Roman" w:hAnsi="Times New Roman"/>
          <w:sz w:val="28"/>
        </w:rPr>
        <w:t xml:space="preserve">A juicio de la demandante, </w:t>
      </w:r>
      <w:r w:rsidRPr="000149EE">
        <w:rPr>
          <w:rFonts w:ascii="Times New Roman" w:hAnsi="Times New Roman"/>
          <w:sz w:val="28"/>
        </w:rPr>
        <w:t>la</w:t>
      </w:r>
      <w:r w:rsidRPr="000149EE">
        <w:rPr>
          <w:rFonts w:ascii="Times New Roman" w:hAnsi="Times New Roman"/>
          <w:sz w:val="28"/>
        </w:rPr>
        <w:t xml:space="preserve">s disposiciones acusadas </w:t>
      </w:r>
      <w:r w:rsidRPr="000149EE">
        <w:rPr>
          <w:rFonts w:ascii="Times New Roman" w:hAnsi="Times New Roman"/>
          <w:sz w:val="28"/>
        </w:rPr>
        <w:t>desconoce</w:t>
      </w:r>
      <w:r w:rsidRPr="000149EE">
        <w:rPr>
          <w:rFonts w:ascii="Times New Roman" w:hAnsi="Times New Roman"/>
          <w:sz w:val="28"/>
        </w:rPr>
        <w:t>n</w:t>
      </w:r>
      <w:r w:rsidRPr="000149EE">
        <w:rPr>
          <w:rFonts w:ascii="Times New Roman" w:hAnsi="Times New Roman"/>
          <w:sz w:val="28"/>
        </w:rPr>
        <w:t xml:space="preserve"> la especialidad del régimen de zonas francas</w:t>
      </w:r>
      <w:r w:rsidRPr="000149EE">
        <w:rPr>
          <w:rFonts w:ascii="Times New Roman" w:hAnsi="Times New Roman"/>
          <w:sz w:val="28"/>
        </w:rPr>
        <w:t>,</w:t>
      </w:r>
      <w:r w:rsidRPr="000149EE">
        <w:rPr>
          <w:rFonts w:ascii="Times New Roman" w:hAnsi="Times New Roman"/>
          <w:sz w:val="28"/>
        </w:rPr>
        <w:t xml:space="preserve"> porque implica</w:t>
      </w:r>
      <w:r w:rsidRPr="000149EE">
        <w:rPr>
          <w:rFonts w:ascii="Times New Roman" w:hAnsi="Times New Roman"/>
          <w:sz w:val="28"/>
        </w:rPr>
        <w:t>n</w:t>
      </w:r>
      <w:r w:rsidRPr="000149EE">
        <w:rPr>
          <w:rFonts w:ascii="Times New Roman" w:hAnsi="Times New Roman"/>
          <w:sz w:val="28"/>
        </w:rPr>
        <w:t xml:space="preserve"> que la tarifa del impuesto a la renta de los usuarios industriales no exportadores será</w:t>
      </w:r>
      <w:r w:rsidRPr="000149EE">
        <w:rPr>
          <w:rFonts w:ascii="Times New Roman" w:hAnsi="Times New Roman"/>
          <w:sz w:val="28"/>
        </w:rPr>
        <w:t xml:space="preserve"> la tarifa general del Estatuto Tributario. </w:t>
      </w:r>
    </w:p>
    <w:p w:rsidR="00C54909" w:rsidRPr="000149EE" w:rsidRDefault="000149EE" w:rsidP="001A47E2">
      <w:pPr>
        <w:tabs>
          <w:tab w:val="left" w:pos="567"/>
        </w:tabs>
        <w:ind w:left="142"/>
        <w:rPr>
          <w:rFonts w:ascii="Times New Roman" w:hAnsi="Times New Roman" w:cs="Times New Roman"/>
          <w:sz w:val="28"/>
          <w:szCs w:val="28"/>
        </w:rPr>
      </w:pPr>
    </w:p>
    <w:p w:rsidR="00C54909"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En tales términos, </w:t>
      </w:r>
      <w:r w:rsidRPr="000149EE">
        <w:rPr>
          <w:rFonts w:ascii="Times New Roman" w:hAnsi="Times New Roman" w:cs="Times New Roman"/>
          <w:sz w:val="28"/>
          <w:szCs w:val="28"/>
        </w:rPr>
        <w:t>la</w:t>
      </w:r>
      <w:r w:rsidRPr="000149EE">
        <w:rPr>
          <w:rFonts w:ascii="Times New Roman" w:hAnsi="Times New Roman" w:cs="Times New Roman"/>
          <w:sz w:val="28"/>
          <w:szCs w:val="28"/>
        </w:rPr>
        <w:t xml:space="preserve"> demandante concluye que la n</w:t>
      </w:r>
      <w:r w:rsidRPr="000149EE">
        <w:rPr>
          <w:rFonts w:ascii="Times New Roman" w:hAnsi="Times New Roman" w:cs="Times New Roman"/>
          <w:sz w:val="28"/>
          <w:szCs w:val="28"/>
        </w:rPr>
        <w:t xml:space="preserve">orma </w:t>
      </w:r>
      <w:r w:rsidRPr="000149EE">
        <w:rPr>
          <w:rFonts w:ascii="Times New Roman" w:hAnsi="Times New Roman" w:cs="Times New Roman"/>
          <w:sz w:val="28"/>
          <w:szCs w:val="28"/>
        </w:rPr>
        <w:t>acusada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desconoce</w:t>
      </w:r>
      <w:r w:rsidRPr="000149EE">
        <w:rPr>
          <w:rFonts w:ascii="Times New Roman" w:hAnsi="Times New Roman" w:cs="Times New Roman"/>
          <w:sz w:val="28"/>
          <w:szCs w:val="28"/>
        </w:rPr>
        <w:t xml:space="preserve"> el mandato de trato idéntico entre sujetos </w:t>
      </w:r>
      <w:r w:rsidRPr="000149EE">
        <w:rPr>
          <w:rFonts w:ascii="Times New Roman" w:hAnsi="Times New Roman" w:cs="Times New Roman"/>
          <w:sz w:val="28"/>
          <w:szCs w:val="28"/>
        </w:rPr>
        <w:t xml:space="preserve">que se encuentran en circunstancias idénticas y, por lo tanto, desconoce el principio de igualdad. </w:t>
      </w:r>
    </w:p>
    <w:p w:rsidR="00532749" w:rsidRPr="000149EE" w:rsidRDefault="000149EE" w:rsidP="001A47E2">
      <w:pPr>
        <w:tabs>
          <w:tab w:val="left" w:pos="567"/>
        </w:tabs>
        <w:rPr>
          <w:rFonts w:ascii="Times New Roman" w:hAnsi="Times New Roman" w:cs="Times New Roman"/>
          <w:sz w:val="28"/>
          <w:szCs w:val="28"/>
        </w:rPr>
      </w:pPr>
    </w:p>
    <w:p w:rsidR="00532749" w:rsidRPr="000149EE" w:rsidRDefault="000149EE" w:rsidP="001A47E2">
      <w:pPr>
        <w:pStyle w:val="Ttulo3"/>
        <w:numPr>
          <w:ilvl w:val="0"/>
          <w:numId w:val="4"/>
        </w:numPr>
        <w:ind w:hanging="578"/>
        <w:rPr>
          <w:rFonts w:ascii="Times New Roman" w:hAnsi="Times New Roman" w:cs="Times New Roman"/>
          <w:sz w:val="28"/>
          <w:szCs w:val="28"/>
        </w:rPr>
      </w:pPr>
      <w:r w:rsidRPr="000149EE">
        <w:rPr>
          <w:rFonts w:ascii="Times New Roman" w:hAnsi="Times New Roman" w:cs="Times New Roman"/>
          <w:sz w:val="28"/>
          <w:szCs w:val="28"/>
        </w:rPr>
        <w:t>Cargo segundo: desconocimiento del principio de equidad tributaria</w:t>
      </w:r>
      <w:r w:rsidRPr="000149EE">
        <w:rPr>
          <w:rFonts w:ascii="Times New Roman" w:hAnsi="Times New Roman" w:cs="Times New Roman"/>
          <w:sz w:val="28"/>
          <w:szCs w:val="28"/>
        </w:rPr>
        <w:t xml:space="preserve"> (art. 363 de la CP)</w:t>
      </w:r>
    </w:p>
    <w:p w:rsidR="00532749" w:rsidRPr="000149EE" w:rsidRDefault="000149EE" w:rsidP="001A47E2">
      <w:pPr>
        <w:tabs>
          <w:tab w:val="left" w:pos="567"/>
        </w:tabs>
        <w:rPr>
          <w:rFonts w:ascii="Times New Roman" w:hAnsi="Times New Roman" w:cs="Times New Roman"/>
          <w:sz w:val="28"/>
          <w:szCs w:val="28"/>
        </w:rPr>
      </w:pPr>
    </w:p>
    <w:p w:rsidR="00C74281"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bCs/>
          <w:color w:val="000000" w:themeColor="text1"/>
          <w:sz w:val="28"/>
          <w:szCs w:val="28"/>
          <w:lang w:eastAsia="es-ES_tradnl"/>
        </w:rPr>
        <w:t>A</w:t>
      </w:r>
      <w:r w:rsidRPr="000149EE">
        <w:rPr>
          <w:rFonts w:ascii="Times New Roman" w:hAnsi="Times New Roman" w:cs="Times New Roman"/>
          <w:bCs/>
          <w:color w:val="000000" w:themeColor="text1"/>
          <w:sz w:val="28"/>
          <w:szCs w:val="28"/>
          <w:lang w:eastAsia="es-ES_tradnl"/>
        </w:rPr>
        <w:t xml:space="preserve"> juicio de la demandante,</w:t>
      </w:r>
      <w:r w:rsidRPr="000149EE">
        <w:rPr>
          <w:rFonts w:ascii="Times New Roman" w:hAnsi="Times New Roman" w:cs="Times New Roman"/>
          <w:bCs/>
          <w:color w:val="000000" w:themeColor="text1"/>
          <w:sz w:val="28"/>
          <w:szCs w:val="28"/>
          <w:lang w:eastAsia="es-ES_tradnl"/>
        </w:rPr>
        <w:t xml:space="preserve"> las disposiciones </w:t>
      </w:r>
      <w:r w:rsidRPr="000149EE">
        <w:rPr>
          <w:rFonts w:ascii="Times New Roman" w:hAnsi="Times New Roman" w:cs="Times New Roman"/>
          <w:bCs/>
          <w:color w:val="000000" w:themeColor="text1"/>
          <w:sz w:val="28"/>
          <w:szCs w:val="28"/>
          <w:lang w:eastAsia="es-ES_tradnl"/>
        </w:rPr>
        <w:t>acusadas</w:t>
      </w:r>
      <w:r w:rsidRPr="000149EE">
        <w:rPr>
          <w:rFonts w:ascii="Times New Roman" w:hAnsi="Times New Roman" w:cs="Times New Roman"/>
          <w:bCs/>
          <w:color w:val="000000" w:themeColor="text1"/>
          <w:sz w:val="28"/>
          <w:szCs w:val="28"/>
          <w:lang w:eastAsia="es-ES_tradnl"/>
        </w:rPr>
        <w:t xml:space="preserve"> transgreden el principio de equidad tributaria, previsto en el artículo 363 de la Constitución Política</w:t>
      </w:r>
      <w:r w:rsidRPr="000149EE">
        <w:rPr>
          <w:rFonts w:ascii="Times New Roman" w:hAnsi="Times New Roman" w:cs="Times New Roman"/>
          <w:bCs/>
          <w:color w:val="000000" w:themeColor="text1"/>
          <w:sz w:val="28"/>
          <w:szCs w:val="28"/>
          <w:lang w:eastAsia="es-ES_tradnl"/>
        </w:rPr>
        <w:t xml:space="preserve">. </w:t>
      </w:r>
    </w:p>
    <w:p w:rsidR="00C74281" w:rsidRPr="000149EE" w:rsidRDefault="000149EE" w:rsidP="001A47E2">
      <w:pPr>
        <w:tabs>
          <w:tab w:val="left" w:pos="567"/>
        </w:tabs>
        <w:rPr>
          <w:rFonts w:ascii="Times New Roman" w:hAnsi="Times New Roman" w:cs="Times New Roman"/>
          <w:sz w:val="28"/>
          <w:szCs w:val="28"/>
        </w:rPr>
      </w:pPr>
    </w:p>
    <w:p w:rsidR="00BA2115"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bCs/>
          <w:color w:val="000000" w:themeColor="text1"/>
          <w:sz w:val="28"/>
          <w:szCs w:val="28"/>
          <w:lang w:eastAsia="es-ES_tradnl"/>
        </w:rPr>
        <w:t>La demandante señala que e</w:t>
      </w:r>
      <w:r w:rsidRPr="000149EE">
        <w:rPr>
          <w:rFonts w:ascii="Times New Roman" w:hAnsi="Times New Roman" w:cs="Times New Roman"/>
          <w:bCs/>
          <w:color w:val="000000" w:themeColor="text1"/>
          <w:sz w:val="28"/>
          <w:szCs w:val="28"/>
          <w:lang w:eastAsia="es-ES_tradnl"/>
        </w:rPr>
        <w:t xml:space="preserve">l principio </w:t>
      </w:r>
      <w:r w:rsidRPr="000149EE">
        <w:rPr>
          <w:rFonts w:ascii="Times New Roman" w:hAnsi="Times New Roman" w:cs="Times New Roman"/>
          <w:bCs/>
          <w:color w:val="000000" w:themeColor="text1"/>
          <w:sz w:val="28"/>
          <w:szCs w:val="28"/>
          <w:lang w:eastAsia="es-ES_tradnl"/>
        </w:rPr>
        <w:t>de equidad tributaria</w:t>
      </w:r>
      <w:r w:rsidRPr="000149EE">
        <w:rPr>
          <w:rFonts w:ascii="Times New Roman" w:hAnsi="Times New Roman" w:cs="Times New Roman"/>
          <w:bCs/>
          <w:color w:val="000000" w:themeColor="text1"/>
          <w:sz w:val="28"/>
          <w:szCs w:val="28"/>
          <w:lang w:eastAsia="es-ES_tradnl"/>
        </w:rPr>
        <w:t xml:space="preserve"> es</w:t>
      </w:r>
      <w:r w:rsidRPr="000149EE">
        <w:rPr>
          <w:rFonts w:ascii="Times New Roman" w:hAnsi="Times New Roman" w:cs="Times New Roman"/>
          <w:bCs/>
          <w:color w:val="000000" w:themeColor="text1"/>
          <w:sz w:val="28"/>
          <w:szCs w:val="28"/>
          <w:lang w:eastAsia="es-ES_tradnl"/>
        </w:rPr>
        <w:t xml:space="preserve"> “una manifestación del derecho a la igualdad en el campo tributario</w:t>
      </w:r>
      <w:r w:rsidRPr="000149EE">
        <w:rPr>
          <w:rFonts w:ascii="Times New Roman" w:hAnsi="Times New Roman" w:cs="Times New Roman"/>
          <w:bCs/>
          <w:color w:val="000000" w:themeColor="text1"/>
          <w:sz w:val="28"/>
          <w:szCs w:val="28"/>
          <w:lang w:eastAsia="es-ES_tradnl"/>
        </w:rPr>
        <w:t xml:space="preserve"> que se erige</w:t>
      </w:r>
      <w:r w:rsidRPr="000149EE">
        <w:rPr>
          <w:rFonts w:ascii="Times New Roman" w:hAnsi="Times New Roman" w:cs="Times New Roman"/>
          <w:bCs/>
          <w:color w:val="000000" w:themeColor="text1"/>
          <w:sz w:val="28"/>
          <w:szCs w:val="28"/>
          <w:lang w:eastAsia="es-ES_tradnl"/>
        </w:rPr>
        <w:t xml:space="preserve"> como límite formal y material de la potestad impositiva del legislador (…) y </w:t>
      </w:r>
      <w:r w:rsidRPr="000149EE">
        <w:rPr>
          <w:rFonts w:ascii="Times New Roman" w:hAnsi="Times New Roman" w:cs="Times New Roman"/>
          <w:bCs/>
          <w:color w:val="000000" w:themeColor="text1"/>
          <w:sz w:val="28"/>
          <w:szCs w:val="28"/>
          <w:lang w:eastAsia="es-ES_tradnl"/>
        </w:rPr>
        <w:t>sirve como criterio orientador para ponderar la distribución de las cargas y de los beneficios fi</w:t>
      </w:r>
      <w:r w:rsidRPr="000149EE">
        <w:rPr>
          <w:rFonts w:ascii="Times New Roman" w:hAnsi="Times New Roman" w:cs="Times New Roman"/>
          <w:bCs/>
          <w:color w:val="000000" w:themeColor="text1"/>
          <w:sz w:val="28"/>
          <w:szCs w:val="28"/>
          <w:lang w:eastAsia="es-ES_tradnl"/>
        </w:rPr>
        <w:t>scales entre los contribuyentes</w:t>
      </w:r>
      <w:r w:rsidRPr="000149EE">
        <w:rPr>
          <w:rFonts w:ascii="Times New Roman" w:hAnsi="Times New Roman" w:cs="Times New Roman"/>
          <w:bCs/>
          <w:color w:val="000000" w:themeColor="text1"/>
          <w:sz w:val="28"/>
          <w:szCs w:val="28"/>
          <w:lang w:eastAsia="es-ES_tradnl"/>
        </w:rPr>
        <w:t>”</w:t>
      </w:r>
      <w:r w:rsidRPr="000149EE">
        <w:rPr>
          <w:rStyle w:val="Refdenotaalpie"/>
          <w:rFonts w:ascii="Times New Roman" w:hAnsi="Times New Roman" w:cs="Times New Roman"/>
          <w:bCs/>
          <w:color w:val="000000" w:themeColor="text1"/>
          <w:sz w:val="28"/>
          <w:szCs w:val="28"/>
          <w:lang w:eastAsia="es-ES_tradnl"/>
        </w:rPr>
        <w:footnoteReference w:id="20"/>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 xml:space="preserve">Según la demanda, el principio de equidad tributaria tiene dos dimensiones: vertical y </w:t>
      </w:r>
      <w:r w:rsidRPr="000149EE">
        <w:rPr>
          <w:rFonts w:ascii="Times New Roman" w:hAnsi="Times New Roman" w:cs="Times New Roman"/>
          <w:bCs/>
          <w:color w:val="000000" w:themeColor="text1"/>
          <w:sz w:val="28"/>
          <w:szCs w:val="28"/>
          <w:lang w:eastAsia="es-ES_tradnl"/>
        </w:rPr>
        <w:t>horizontal</w:t>
      </w:r>
      <w:r w:rsidRPr="000149EE">
        <w:rPr>
          <w:rFonts w:ascii="Times New Roman" w:hAnsi="Times New Roman" w:cs="Times New Roman"/>
          <w:bCs/>
          <w:color w:val="000000" w:themeColor="text1"/>
          <w:sz w:val="28"/>
          <w:szCs w:val="28"/>
          <w:lang w:eastAsia="es-ES_tradnl"/>
        </w:rPr>
        <w:t>. La dimens</w:t>
      </w:r>
      <w:r w:rsidRPr="000149EE">
        <w:rPr>
          <w:rFonts w:ascii="Times New Roman" w:hAnsi="Times New Roman" w:cs="Times New Roman"/>
          <w:bCs/>
          <w:color w:val="000000" w:themeColor="text1"/>
          <w:sz w:val="28"/>
          <w:szCs w:val="28"/>
          <w:lang w:eastAsia="es-ES_tradnl"/>
        </w:rPr>
        <w:t xml:space="preserve">ión vertical “identificada con la exigencia de </w:t>
      </w:r>
      <w:r w:rsidRPr="000149EE">
        <w:rPr>
          <w:rFonts w:ascii="Times New Roman" w:hAnsi="Times New Roman" w:cs="Times New Roman"/>
          <w:bCs/>
          <w:color w:val="000000" w:themeColor="text1"/>
          <w:sz w:val="28"/>
          <w:szCs w:val="28"/>
          <w:lang w:eastAsia="es-ES_tradnl"/>
        </w:rPr>
        <w:t>progresividad</w:t>
      </w:r>
      <w:r w:rsidRPr="000149EE">
        <w:rPr>
          <w:rFonts w:ascii="Times New Roman" w:hAnsi="Times New Roman" w:cs="Times New Roman"/>
          <w:bCs/>
          <w:color w:val="000000" w:themeColor="text1"/>
          <w:sz w:val="28"/>
          <w:szCs w:val="28"/>
          <w:lang w:eastAsia="es-ES_tradnl"/>
        </w:rPr>
        <w:t xml:space="preserve">, que implica que el ‘sistema tributario en su integridad sea </w:t>
      </w:r>
      <w:r w:rsidRPr="000149EE">
        <w:rPr>
          <w:rFonts w:ascii="Times New Roman" w:hAnsi="Times New Roman" w:cs="Times New Roman"/>
          <w:bCs/>
          <w:color w:val="000000" w:themeColor="text1"/>
          <w:sz w:val="28"/>
          <w:szCs w:val="28"/>
          <w:lang w:eastAsia="es-ES_tradnl"/>
        </w:rPr>
        <w:t>equitativo</w:t>
      </w:r>
      <w:r w:rsidRPr="000149EE">
        <w:rPr>
          <w:rFonts w:ascii="Times New Roman" w:hAnsi="Times New Roman" w:cs="Times New Roman"/>
          <w:bCs/>
          <w:color w:val="000000" w:themeColor="text1"/>
          <w:sz w:val="28"/>
          <w:szCs w:val="28"/>
          <w:lang w:eastAsia="es-ES_tradnl"/>
        </w:rPr>
        <w:t>’ y ordena ‘distribuir</w:t>
      </w:r>
      <w:r w:rsidRPr="000149EE">
        <w:rPr>
          <w:rFonts w:ascii="Times New Roman" w:hAnsi="Times New Roman" w:cs="Times New Roman"/>
          <w:bCs/>
          <w:color w:val="000000" w:themeColor="text1"/>
          <w:sz w:val="28"/>
          <w:szCs w:val="28"/>
          <w:lang w:eastAsia="es-ES_tradnl"/>
        </w:rPr>
        <w:t xml:space="preserve"> la carga tributaria de forma que quienes tienen mayor capacidad económica soportan una mayor proporción de gravamen’”</w:t>
      </w:r>
      <w:r w:rsidRPr="000149EE">
        <w:rPr>
          <w:rStyle w:val="Refdenotaalpie"/>
          <w:rFonts w:ascii="Times New Roman" w:hAnsi="Times New Roman" w:cs="Times New Roman"/>
          <w:bCs/>
          <w:color w:val="000000" w:themeColor="text1"/>
          <w:sz w:val="28"/>
          <w:szCs w:val="28"/>
          <w:lang w:eastAsia="es-ES_tradnl"/>
        </w:rPr>
        <w:footnoteReference w:id="21"/>
      </w:r>
      <w:r w:rsidRPr="000149EE">
        <w:rPr>
          <w:rFonts w:ascii="Times New Roman" w:hAnsi="Times New Roman" w:cs="Times New Roman"/>
          <w:bCs/>
          <w:color w:val="000000" w:themeColor="text1"/>
          <w:sz w:val="28"/>
          <w:szCs w:val="28"/>
          <w:lang w:eastAsia="es-ES_tradnl"/>
        </w:rPr>
        <w:t>. La dimensión horizontal</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por su parte, im</w:t>
      </w:r>
      <w:r w:rsidRPr="000149EE">
        <w:rPr>
          <w:rFonts w:ascii="Times New Roman" w:hAnsi="Times New Roman" w:cs="Times New Roman"/>
          <w:bCs/>
          <w:color w:val="000000" w:themeColor="text1"/>
          <w:sz w:val="28"/>
          <w:szCs w:val="28"/>
          <w:lang w:eastAsia="es-ES_tradnl"/>
        </w:rPr>
        <w:t>plica que</w:t>
      </w:r>
      <w:r w:rsidRPr="000149EE">
        <w:rPr>
          <w:rFonts w:ascii="Times New Roman" w:hAnsi="Times New Roman" w:cs="Times New Roman"/>
          <w:bCs/>
          <w:color w:val="000000" w:themeColor="text1"/>
          <w:sz w:val="28"/>
          <w:szCs w:val="28"/>
          <w:lang w:eastAsia="es-ES_tradnl"/>
        </w:rPr>
        <w:t xml:space="preserve"> “legislador debe propender porque los individuos con capacidad económica igual, o bajo una misma situación fáctica, contribuyan de igual manera”</w:t>
      </w:r>
      <w:r w:rsidRPr="000149EE">
        <w:rPr>
          <w:rStyle w:val="Refdenotaalpie"/>
          <w:rFonts w:ascii="Times New Roman" w:hAnsi="Times New Roman" w:cs="Times New Roman"/>
          <w:bCs/>
          <w:color w:val="000000" w:themeColor="text1"/>
          <w:sz w:val="28"/>
          <w:szCs w:val="28"/>
          <w:lang w:eastAsia="es-ES_tradnl"/>
        </w:rPr>
        <w:footnoteReference w:id="22"/>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sz w:val="28"/>
          <w:szCs w:val="28"/>
        </w:rPr>
        <w:t>De acuerdo con la demanda</w:t>
      </w:r>
      <w:r w:rsidRPr="000149EE">
        <w:rPr>
          <w:rFonts w:ascii="Times New Roman" w:hAnsi="Times New Roman" w:cs="Times New Roman"/>
          <w:sz w:val="28"/>
          <w:szCs w:val="28"/>
        </w:rPr>
        <w:t>nte</w:t>
      </w:r>
      <w:r w:rsidRPr="000149EE">
        <w:rPr>
          <w:rFonts w:ascii="Times New Roman" w:hAnsi="Times New Roman" w:cs="Times New Roman"/>
          <w:sz w:val="28"/>
          <w:szCs w:val="28"/>
        </w:rPr>
        <w:t xml:space="preserve">, la Corte </w:t>
      </w:r>
      <w:r w:rsidRPr="000149EE">
        <w:rPr>
          <w:rFonts w:ascii="Times New Roman" w:hAnsi="Times New Roman" w:cs="Times New Roman"/>
          <w:sz w:val="28"/>
          <w:szCs w:val="28"/>
        </w:rPr>
        <w:t>Constitucional</w:t>
      </w:r>
      <w:r w:rsidRPr="000149EE">
        <w:rPr>
          <w:rFonts w:ascii="Times New Roman" w:hAnsi="Times New Roman" w:cs="Times New Roman"/>
          <w:sz w:val="28"/>
          <w:szCs w:val="28"/>
        </w:rPr>
        <w:t xml:space="preserve"> ha </w:t>
      </w:r>
      <w:r w:rsidRPr="000149EE">
        <w:rPr>
          <w:rFonts w:ascii="Times New Roman" w:hAnsi="Times New Roman" w:cs="Times New Roman"/>
          <w:sz w:val="28"/>
          <w:szCs w:val="28"/>
        </w:rPr>
        <w:t>identificado</w:t>
      </w:r>
      <w:r w:rsidRPr="000149EE">
        <w:rPr>
          <w:rFonts w:ascii="Times New Roman" w:hAnsi="Times New Roman" w:cs="Times New Roman"/>
          <w:sz w:val="28"/>
          <w:szCs w:val="28"/>
        </w:rPr>
        <w:t>, entre otros, dos supuestos q</w:t>
      </w:r>
      <w:r w:rsidRPr="000149EE">
        <w:rPr>
          <w:rFonts w:ascii="Times New Roman" w:hAnsi="Times New Roman" w:cs="Times New Roman"/>
          <w:sz w:val="28"/>
          <w:szCs w:val="28"/>
        </w:rPr>
        <w:t>ue configuran vulneraciones al principio de equidad tributaria</w:t>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cuando “el monto a pagar por concepto del tributo se define sin</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atender la cap</w:t>
      </w:r>
      <w:r w:rsidRPr="000149EE">
        <w:rPr>
          <w:rFonts w:ascii="Times New Roman" w:hAnsi="Times New Roman" w:cs="Times New Roman"/>
          <w:sz w:val="28"/>
          <w:szCs w:val="28"/>
        </w:rPr>
        <w:t>acid</w:t>
      </w:r>
      <w:r w:rsidRPr="000149EE">
        <w:rPr>
          <w:rFonts w:ascii="Times New Roman" w:hAnsi="Times New Roman" w:cs="Times New Roman"/>
          <w:sz w:val="28"/>
          <w:szCs w:val="28"/>
        </w:rPr>
        <w:t xml:space="preserve">ad de pago del </w:t>
      </w:r>
      <w:r w:rsidRPr="000149EE">
        <w:rPr>
          <w:rFonts w:ascii="Times New Roman" w:hAnsi="Times New Roman" w:cs="Times New Roman"/>
          <w:sz w:val="28"/>
          <w:szCs w:val="28"/>
        </w:rPr>
        <w:t>contribuyente</w:t>
      </w:r>
      <w:r w:rsidRPr="000149EE">
        <w:rPr>
          <w:rFonts w:ascii="Times New Roman" w:hAnsi="Times New Roman" w:cs="Times New Roman"/>
          <w:sz w:val="28"/>
          <w:szCs w:val="28"/>
        </w:rPr>
        <w:t>”</w:t>
      </w:r>
      <w:r w:rsidRPr="000149EE">
        <w:rPr>
          <w:rStyle w:val="Refdenotaalpie"/>
          <w:rFonts w:ascii="Times New Roman" w:hAnsi="Times New Roman" w:cs="Times New Roman"/>
          <w:sz w:val="28"/>
          <w:szCs w:val="28"/>
        </w:rPr>
        <w:footnoteReference w:id="23"/>
      </w:r>
      <w:r w:rsidRPr="000149EE">
        <w:rPr>
          <w:rFonts w:ascii="Times New Roman" w:hAnsi="Times New Roman" w:cs="Times New Roman"/>
          <w:sz w:val="28"/>
          <w:szCs w:val="28"/>
        </w:rPr>
        <w:t xml:space="preserve"> y </w:t>
      </w:r>
      <w:r w:rsidRPr="000149EE">
        <w:rPr>
          <w:rFonts w:ascii="Times New Roman" w:hAnsi="Times New Roman" w:cs="Times New Roman"/>
          <w:i/>
          <w:iCs/>
          <w:sz w:val="28"/>
          <w:szCs w:val="28"/>
        </w:rPr>
        <w:t>(ii)</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cuando </w:t>
      </w:r>
      <w:r w:rsidRPr="000149EE">
        <w:rPr>
          <w:rFonts w:ascii="Times New Roman" w:hAnsi="Times New Roman" w:cs="Times New Roman"/>
          <w:sz w:val="28"/>
          <w:szCs w:val="28"/>
        </w:rPr>
        <w:t xml:space="preserve">“la regulación grava de manera disímil a sujetos o </w:t>
      </w:r>
      <w:r w:rsidRPr="000149EE">
        <w:rPr>
          <w:rFonts w:ascii="Times New Roman" w:hAnsi="Times New Roman" w:cs="Times New Roman"/>
          <w:sz w:val="28"/>
          <w:szCs w:val="28"/>
        </w:rPr>
        <w:t>situaciones análogas, sin que concurra una justificación constitucionalmente atendible”</w:t>
      </w:r>
      <w:r w:rsidRPr="000149EE">
        <w:rPr>
          <w:rStyle w:val="Refdenotaalpie"/>
          <w:rFonts w:ascii="Times New Roman" w:hAnsi="Times New Roman" w:cs="Times New Roman"/>
          <w:sz w:val="28"/>
          <w:szCs w:val="28"/>
        </w:rPr>
        <w:footnoteReference w:id="24"/>
      </w:r>
      <w:r w:rsidRPr="000149EE">
        <w:rPr>
          <w:rFonts w:ascii="Times New Roman" w:hAnsi="Times New Roman" w:cs="Times New Roman"/>
          <w:sz w:val="28"/>
          <w:szCs w:val="28"/>
        </w:rPr>
        <w:t xml:space="preserve">. </w:t>
      </w:r>
      <w:r w:rsidRPr="000149EE">
        <w:rPr>
          <w:rFonts w:ascii="Times New Roman" w:hAnsi="Times New Roman" w:cs="Times New Roman"/>
          <w:bCs/>
          <w:sz w:val="28"/>
          <w:szCs w:val="28"/>
        </w:rPr>
        <w:t>Esto ocurre, por ejemplo, cuando se otorga un trato diferente a sujetos que “históricamente habían recibido el mismo tratamiento legal”</w:t>
      </w:r>
      <w:r w:rsidRPr="000149EE">
        <w:rPr>
          <w:rFonts w:ascii="Times New Roman" w:hAnsi="Times New Roman" w:cs="Times New Roman"/>
          <w:bCs/>
          <w:sz w:val="28"/>
          <w:szCs w:val="28"/>
          <w:vertAlign w:val="superscript"/>
        </w:rPr>
        <w:footnoteReference w:id="25"/>
      </w:r>
      <w:r w:rsidRPr="000149EE">
        <w:rPr>
          <w:rFonts w:ascii="Times New Roman" w:hAnsi="Times New Roman" w:cs="Times New Roman"/>
          <w:bCs/>
          <w:sz w:val="28"/>
          <w:szCs w:val="28"/>
        </w:rPr>
        <w:t>.</w:t>
      </w:r>
    </w:p>
    <w:p w:rsidR="00775EE8" w:rsidRPr="000149EE" w:rsidRDefault="000149EE" w:rsidP="001A47E2">
      <w:pPr>
        <w:tabs>
          <w:tab w:val="left" w:pos="567"/>
        </w:tabs>
        <w:rPr>
          <w:rFonts w:ascii="Times New Roman" w:hAnsi="Times New Roman" w:cs="Times New Roman"/>
          <w:sz w:val="28"/>
          <w:szCs w:val="28"/>
        </w:rPr>
      </w:pPr>
    </w:p>
    <w:p w:rsidR="00355B8B"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Con fundamento en este recu</w:t>
      </w:r>
      <w:r w:rsidRPr="000149EE">
        <w:rPr>
          <w:rFonts w:ascii="Times New Roman" w:hAnsi="Times New Roman" w:cs="Times New Roman"/>
          <w:sz w:val="28"/>
          <w:szCs w:val="28"/>
        </w:rPr>
        <w:t xml:space="preserve">ento jurisprudencial, la demandante sostiene que la norma </w:t>
      </w:r>
      <w:r w:rsidRPr="000149EE">
        <w:rPr>
          <w:rFonts w:ascii="Times New Roman" w:hAnsi="Times New Roman" w:cs="Times New Roman"/>
          <w:sz w:val="28"/>
          <w:szCs w:val="28"/>
        </w:rPr>
        <w:t>acusada</w:t>
      </w:r>
      <w:r w:rsidRPr="000149EE">
        <w:rPr>
          <w:rFonts w:ascii="Times New Roman" w:hAnsi="Times New Roman" w:cs="Times New Roman"/>
          <w:sz w:val="28"/>
          <w:szCs w:val="28"/>
        </w:rPr>
        <w:t xml:space="preserve"> desconoce la dimensión horizontal del principio de equidad tributaria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Esto, porque grava de manera disímil a los usuarios</w:t>
      </w:r>
      <w:r w:rsidRPr="000149EE">
        <w:rPr>
          <w:rFonts w:ascii="Times New Roman" w:hAnsi="Times New Roman" w:cs="Times New Roman"/>
          <w:sz w:val="28"/>
          <w:szCs w:val="28"/>
        </w:rPr>
        <w:t xml:space="preserve"> industriales</w:t>
      </w:r>
      <w:r w:rsidRPr="000149EE">
        <w:rPr>
          <w:rFonts w:ascii="Times New Roman" w:hAnsi="Times New Roman" w:cs="Times New Roman"/>
          <w:sz w:val="28"/>
          <w:szCs w:val="28"/>
        </w:rPr>
        <w:t xml:space="preserve"> de zona </w:t>
      </w:r>
      <w:r w:rsidRPr="000149EE">
        <w:rPr>
          <w:rFonts w:ascii="Times New Roman" w:hAnsi="Times New Roman" w:cs="Times New Roman"/>
          <w:sz w:val="28"/>
          <w:szCs w:val="28"/>
        </w:rPr>
        <w:t>franca</w:t>
      </w:r>
      <w:r w:rsidRPr="000149EE">
        <w:rPr>
          <w:rFonts w:ascii="Times New Roman" w:hAnsi="Times New Roman" w:cs="Times New Roman"/>
          <w:sz w:val="28"/>
          <w:szCs w:val="28"/>
        </w:rPr>
        <w:t xml:space="preserve"> que no llevan a cabo actividades de exp</w:t>
      </w:r>
      <w:r w:rsidRPr="000149EE">
        <w:rPr>
          <w:rFonts w:ascii="Times New Roman" w:hAnsi="Times New Roman" w:cs="Times New Roman"/>
          <w:sz w:val="28"/>
          <w:szCs w:val="28"/>
        </w:rPr>
        <w:t>ortación</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pese a que se encuentran en la misma situación fáctica y jurídica que los exportadores</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 lo demás, sugiere que la vocación exportadora no es un indicador de capacidad económica, sino un “</w:t>
      </w:r>
      <w:r w:rsidRPr="000149EE">
        <w:rPr>
          <w:rFonts w:ascii="Times New Roman" w:hAnsi="Times New Roman" w:cs="Times New Roman"/>
          <w:color w:val="000000" w:themeColor="text1"/>
          <w:sz w:val="28"/>
          <w:szCs w:val="28"/>
        </w:rPr>
        <w:t xml:space="preserve">criterio secundario que no indica una diferencia </w:t>
      </w:r>
      <w:r w:rsidRPr="000149EE">
        <w:rPr>
          <w:rFonts w:ascii="Times New Roman" w:hAnsi="Times New Roman" w:cs="Times New Roman"/>
          <w:color w:val="000000" w:themeColor="text1"/>
          <w:sz w:val="28"/>
          <w:szCs w:val="28"/>
        </w:rPr>
        <w:t>relevante entre unos y otros”</w:t>
      </w:r>
      <w:r w:rsidRPr="000149EE">
        <w:rPr>
          <w:rStyle w:val="Refdenotaalpie"/>
          <w:rFonts w:ascii="Times New Roman" w:hAnsi="Times New Roman" w:cs="Times New Roman"/>
          <w:color w:val="000000" w:themeColor="text1"/>
          <w:sz w:val="28"/>
          <w:szCs w:val="28"/>
        </w:rPr>
        <w:footnoteReference w:id="26"/>
      </w:r>
      <w:r w:rsidRPr="000149EE">
        <w:rPr>
          <w:rFonts w:ascii="Times New Roman" w:hAnsi="Times New Roman" w:cs="Times New Roman"/>
          <w:color w:val="000000" w:themeColor="text1"/>
          <w:sz w:val="28"/>
          <w:szCs w:val="28"/>
        </w:rPr>
        <w:t xml:space="preserve">. </w:t>
      </w:r>
    </w:p>
    <w:p w:rsidR="00355B8B" w:rsidRPr="000149EE" w:rsidRDefault="000149EE" w:rsidP="001A47E2">
      <w:pPr>
        <w:rPr>
          <w:rFonts w:ascii="Times New Roman" w:hAnsi="Times New Roman" w:cs="Times New Roman"/>
          <w:color w:val="000000" w:themeColor="text1"/>
          <w:sz w:val="28"/>
          <w:szCs w:val="28"/>
        </w:rPr>
      </w:pPr>
    </w:p>
    <w:p w:rsidR="00512AB7" w:rsidRPr="000149EE" w:rsidRDefault="000149EE" w:rsidP="001A47E2">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color w:val="000000" w:themeColor="text1"/>
          <w:sz w:val="28"/>
          <w:szCs w:val="28"/>
        </w:rPr>
        <w:t>En tales términos, c</w:t>
      </w:r>
      <w:r w:rsidRPr="000149EE">
        <w:rPr>
          <w:rFonts w:ascii="Times New Roman" w:hAnsi="Times New Roman" w:cs="Times New Roman"/>
          <w:color w:val="000000" w:themeColor="text1"/>
          <w:sz w:val="28"/>
          <w:szCs w:val="28"/>
        </w:rPr>
        <w:t xml:space="preserve">oncluye que las disposiciones acusadas </w:t>
      </w:r>
      <w:r w:rsidRPr="000149EE">
        <w:rPr>
          <w:rFonts w:ascii="Times New Roman" w:hAnsi="Times New Roman" w:cs="Times New Roman"/>
          <w:color w:val="000000" w:themeColor="text1"/>
          <w:sz w:val="28"/>
          <w:szCs w:val="28"/>
        </w:rPr>
        <w:t>desconocen</w:t>
      </w:r>
      <w:r w:rsidRPr="000149EE">
        <w:rPr>
          <w:rFonts w:ascii="Times New Roman" w:hAnsi="Times New Roman" w:cs="Times New Roman"/>
          <w:color w:val="000000" w:themeColor="text1"/>
          <w:sz w:val="28"/>
          <w:szCs w:val="28"/>
        </w:rPr>
        <w:t xml:space="preserve"> el artículo 363 de la Constitución</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porque </w:t>
      </w:r>
      <w:r w:rsidRPr="000149EE">
        <w:rPr>
          <w:rFonts w:ascii="Times New Roman" w:hAnsi="Times New Roman" w:cs="Times New Roman"/>
          <w:color w:val="000000" w:themeColor="text1"/>
          <w:sz w:val="28"/>
          <w:szCs w:val="28"/>
        </w:rPr>
        <w:t>“pretende[n] imponer obligaciones tributarias mayores</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esto es, </w:t>
      </w:r>
      <w:r w:rsidRPr="000149EE">
        <w:rPr>
          <w:rFonts w:ascii="Times New Roman" w:hAnsi="Times New Roman" w:cs="Times New Roman"/>
          <w:bCs/>
          <w:color w:val="000000" w:themeColor="text1"/>
          <w:sz w:val="28"/>
          <w:szCs w:val="28"/>
          <w:lang w:eastAsia="es-ES_tradnl"/>
        </w:rPr>
        <w:t>la tarifa general del 35%</w:t>
      </w:r>
      <w:r w:rsidRPr="000149EE">
        <w:rPr>
          <w:rFonts w:ascii="Times New Roman" w:hAnsi="Times New Roman" w:cs="Times New Roman"/>
          <w:bCs/>
          <w:color w:val="000000" w:themeColor="text1"/>
          <w:sz w:val="28"/>
          <w:szCs w:val="28"/>
          <w:lang w:eastAsia="es-ES_tradnl"/>
        </w:rPr>
        <w:t>, a</w:t>
      </w:r>
      <w:r w:rsidRPr="000149EE">
        <w:rPr>
          <w:rFonts w:ascii="Times New Roman" w:hAnsi="Times New Roman" w:cs="Times New Roman"/>
          <w:bCs/>
          <w:color w:val="000000" w:themeColor="text1"/>
          <w:sz w:val="28"/>
          <w:szCs w:val="28"/>
          <w:lang w:eastAsia="es-ES_tradnl"/>
        </w:rPr>
        <w:t xml:space="preserve"> </w:t>
      </w:r>
      <w:r w:rsidRPr="000149EE">
        <w:rPr>
          <w:rFonts w:ascii="Times New Roman" w:hAnsi="Times New Roman" w:cs="Times New Roman"/>
          <w:bCs/>
          <w:color w:val="000000" w:themeColor="text1"/>
          <w:sz w:val="28"/>
          <w:szCs w:val="28"/>
          <w:lang w:eastAsia="es-ES_tradnl"/>
        </w:rPr>
        <w:t xml:space="preserve">los usuarios </w:t>
      </w:r>
      <w:r w:rsidRPr="000149EE">
        <w:rPr>
          <w:rFonts w:ascii="Times New Roman" w:hAnsi="Times New Roman" w:cs="Times New Roman"/>
          <w:bCs/>
          <w:color w:val="000000" w:themeColor="text1"/>
          <w:sz w:val="28"/>
          <w:szCs w:val="28"/>
          <w:lang w:eastAsia="es-ES_tradnl"/>
        </w:rPr>
        <w:t>industriales de zona franca que no exportan</w:t>
      </w:r>
      <w:r w:rsidRPr="000149EE">
        <w:rPr>
          <w:rStyle w:val="Refdenotaalpie"/>
          <w:rFonts w:ascii="Times New Roman" w:hAnsi="Times New Roman" w:cs="Times New Roman"/>
          <w:bCs/>
          <w:color w:val="000000" w:themeColor="text1"/>
          <w:sz w:val="28"/>
          <w:szCs w:val="28"/>
          <w:lang w:eastAsia="es-ES_tradnl"/>
        </w:rPr>
        <w:footnoteReference w:id="27"/>
      </w:r>
      <w:r w:rsidRPr="000149EE">
        <w:rPr>
          <w:rFonts w:ascii="Times New Roman" w:hAnsi="Times New Roman" w:cs="Times New Roman"/>
          <w:bCs/>
          <w:color w:val="000000" w:themeColor="text1"/>
          <w:sz w:val="28"/>
          <w:szCs w:val="28"/>
          <w:lang w:eastAsia="es-ES_tradnl"/>
        </w:rPr>
        <w:t>, “</w:t>
      </w:r>
      <w:r w:rsidRPr="000149EE">
        <w:rPr>
          <w:rFonts w:ascii="Times New Roman" w:hAnsi="Times New Roman" w:cs="Times New Roman"/>
          <w:color w:val="000000" w:themeColor="text1"/>
          <w:sz w:val="28"/>
          <w:szCs w:val="28"/>
        </w:rPr>
        <w:t xml:space="preserve">por un factor eminentemente secundario, como es el destino de sus operaciones, y conceder una ventaja tributaria </w:t>
      </w:r>
      <w:r w:rsidRPr="000149EE">
        <w:rPr>
          <w:rFonts w:ascii="Times New Roman" w:hAnsi="Times New Roman" w:cs="Times New Roman"/>
          <w:color w:val="000000" w:themeColor="text1"/>
          <w:sz w:val="28"/>
          <w:szCs w:val="28"/>
        </w:rPr>
        <w:t>[tarifa del 20%] a los usuarios industriales que sí exporten</w:t>
      </w:r>
      <w:r w:rsidRPr="000149EE">
        <w:rPr>
          <w:rFonts w:ascii="Times New Roman" w:hAnsi="Times New Roman" w:cs="Times New Roman"/>
          <w:color w:val="000000" w:themeColor="text1"/>
          <w:sz w:val="28"/>
          <w:szCs w:val="28"/>
        </w:rPr>
        <w:t>, en total desconocimiento del princ</w:t>
      </w:r>
      <w:r w:rsidRPr="000149EE">
        <w:rPr>
          <w:rFonts w:ascii="Times New Roman" w:hAnsi="Times New Roman" w:cs="Times New Roman"/>
          <w:color w:val="000000" w:themeColor="text1"/>
          <w:sz w:val="28"/>
          <w:szCs w:val="28"/>
        </w:rPr>
        <w:t>ipio de equidad tributaria en su dimensión horizontal</w:t>
      </w:r>
      <w:r w:rsidRPr="000149EE">
        <w:rPr>
          <w:rFonts w:ascii="Times New Roman" w:hAnsi="Times New Roman" w:cs="Times New Roman"/>
          <w:bCs/>
          <w:color w:val="000000" w:themeColor="text1"/>
          <w:sz w:val="28"/>
          <w:szCs w:val="28"/>
          <w:lang w:eastAsia="es-ES_tradnl"/>
        </w:rPr>
        <w:t>”</w:t>
      </w:r>
      <w:r w:rsidRPr="000149EE">
        <w:rPr>
          <w:rStyle w:val="Refdenotaalpie"/>
          <w:rFonts w:ascii="Times New Roman" w:hAnsi="Times New Roman" w:cs="Times New Roman"/>
          <w:bCs/>
          <w:color w:val="000000" w:themeColor="text1"/>
          <w:sz w:val="28"/>
          <w:szCs w:val="28"/>
          <w:lang w:eastAsia="es-ES_tradnl"/>
        </w:rPr>
        <w:footnoteReference w:id="28"/>
      </w:r>
      <w:r w:rsidRPr="000149EE">
        <w:rPr>
          <w:rFonts w:ascii="Times New Roman" w:hAnsi="Times New Roman" w:cs="Times New Roman"/>
          <w:bCs/>
          <w:color w:val="000000" w:themeColor="text1"/>
          <w:sz w:val="28"/>
          <w:szCs w:val="28"/>
          <w:lang w:eastAsia="es-ES_tradnl"/>
        </w:rPr>
        <w:t>.</w:t>
      </w:r>
    </w:p>
    <w:p w:rsidR="00D5425A" w:rsidRPr="000149EE" w:rsidRDefault="000149EE" w:rsidP="001A47E2">
      <w:pPr>
        <w:tabs>
          <w:tab w:val="left" w:pos="567"/>
        </w:tabs>
        <w:rPr>
          <w:rFonts w:ascii="Times New Roman" w:hAnsi="Times New Roman" w:cs="Times New Roman"/>
          <w:color w:val="000000" w:themeColor="text1"/>
          <w:sz w:val="28"/>
          <w:szCs w:val="28"/>
        </w:rPr>
      </w:pPr>
    </w:p>
    <w:p w:rsidR="00253709" w:rsidRPr="000149EE" w:rsidRDefault="000149EE" w:rsidP="001A47E2">
      <w:pPr>
        <w:pStyle w:val="Ttulo2"/>
        <w:numPr>
          <w:ilvl w:val="0"/>
          <w:numId w:val="6"/>
        </w:numPr>
        <w:rPr>
          <w:rFonts w:ascii="Times New Roman" w:hAnsi="Times New Roman" w:cs="Times New Roman"/>
          <w:sz w:val="28"/>
          <w:szCs w:val="28"/>
        </w:rPr>
      </w:pPr>
      <w:r w:rsidRPr="000149EE">
        <w:rPr>
          <w:rFonts w:ascii="Times New Roman" w:hAnsi="Times New Roman" w:cs="Times New Roman"/>
          <w:sz w:val="28"/>
          <w:szCs w:val="28"/>
        </w:rPr>
        <w:t>Intervenciones</w:t>
      </w:r>
    </w:p>
    <w:p w:rsidR="00D5425A" w:rsidRPr="000149EE" w:rsidRDefault="000149EE" w:rsidP="001A47E2">
      <w:pPr>
        <w:tabs>
          <w:tab w:val="left" w:pos="567"/>
        </w:tabs>
        <w:rPr>
          <w:rFonts w:ascii="Times New Roman" w:hAnsi="Times New Roman" w:cs="Times New Roman"/>
          <w:sz w:val="28"/>
          <w:szCs w:val="28"/>
        </w:rPr>
      </w:pPr>
    </w:p>
    <w:p w:rsidR="009370C4"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Corte Constitucional recibió </w:t>
      </w:r>
      <w:r w:rsidRPr="000149EE">
        <w:rPr>
          <w:rFonts w:ascii="Times New Roman" w:hAnsi="Times New Roman" w:cs="Times New Roman"/>
          <w:sz w:val="28"/>
          <w:szCs w:val="28"/>
        </w:rPr>
        <w:t>siete</w:t>
      </w:r>
      <w:r w:rsidRPr="000149EE">
        <w:rPr>
          <w:rFonts w:ascii="Times New Roman" w:hAnsi="Times New Roman" w:cs="Times New Roman"/>
          <w:sz w:val="28"/>
          <w:szCs w:val="28"/>
        </w:rPr>
        <w:t xml:space="preserve"> intervenciones, presentadas por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w:t>
      </w:r>
      <w:r w:rsidRPr="000149EE">
        <w:rPr>
          <w:rFonts w:ascii="Times New Roman" w:hAnsi="Times New Roman" w:cs="Times New Roman"/>
          <w:sz w:val="28"/>
          <w:szCs w:val="28"/>
        </w:rPr>
        <w:t>Dirección de Impuestos y Aduanas Nacionales (DIAN)</w:t>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(i</w:t>
      </w:r>
      <w:r w:rsidRPr="000149EE">
        <w:rPr>
          <w:rFonts w:ascii="Times New Roman" w:hAnsi="Times New Roman" w:cs="Times New Roman"/>
          <w:i/>
          <w:iCs/>
          <w:sz w:val="28"/>
          <w:szCs w:val="28"/>
        </w:rPr>
        <w:t>i</w:t>
      </w:r>
      <w:r w:rsidRPr="000149EE">
        <w:rPr>
          <w:rFonts w:ascii="Times New Roman" w:hAnsi="Times New Roman" w:cs="Times New Roman"/>
          <w:i/>
          <w:iCs/>
          <w:sz w:val="28"/>
          <w:szCs w:val="28"/>
        </w:rPr>
        <w:t xml:space="preserve">) </w:t>
      </w:r>
      <w:r w:rsidRPr="000149EE">
        <w:rPr>
          <w:rFonts w:ascii="Times New Roman" w:hAnsi="Times New Roman" w:cs="Times New Roman"/>
          <w:sz w:val="28"/>
          <w:szCs w:val="28"/>
        </w:rPr>
        <w:t xml:space="preserve">el </w:t>
      </w:r>
      <w:r w:rsidRPr="000149EE">
        <w:rPr>
          <w:rFonts w:ascii="Times New Roman" w:hAnsi="Times New Roman" w:cs="Times New Roman"/>
          <w:sz w:val="28"/>
          <w:szCs w:val="28"/>
        </w:rPr>
        <w:t>Ministerio de Hacienda y Crédito Público</w:t>
      </w:r>
      <w:r w:rsidRPr="000149EE">
        <w:rPr>
          <w:rFonts w:ascii="Times New Roman" w:hAnsi="Times New Roman" w:cs="Times New Roman"/>
          <w:sz w:val="28"/>
          <w:szCs w:val="28"/>
        </w:rPr>
        <w:t xml:space="preserve"> (MHCP)</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w:t>
      </w:r>
      <w:r w:rsidRPr="000149EE">
        <w:rPr>
          <w:rFonts w:ascii="Times New Roman" w:hAnsi="Times New Roman" w:cs="Times New Roman"/>
          <w:i/>
          <w:iCs/>
          <w:sz w:val="28"/>
          <w:szCs w:val="28"/>
        </w:rPr>
        <w:t>ii</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el Departamento Administrativo de la Presidencia de la República (DAPRE</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 xml:space="preserve">(iv) </w:t>
      </w:r>
      <w:r w:rsidRPr="000149EE">
        <w:rPr>
          <w:rFonts w:ascii="Times New Roman" w:hAnsi="Times New Roman" w:cs="Times New Roman"/>
          <w:sz w:val="28"/>
          <w:szCs w:val="28"/>
        </w:rPr>
        <w:t xml:space="preserve">la Federación Colombiana de Municipios, </w:t>
      </w:r>
      <w:r w:rsidRPr="000149EE">
        <w:rPr>
          <w:rFonts w:ascii="Times New Roman" w:hAnsi="Times New Roman" w:cs="Times New Roman"/>
          <w:i/>
          <w:iCs/>
          <w:sz w:val="28"/>
          <w:szCs w:val="28"/>
        </w:rPr>
        <w:t>(v)</w:t>
      </w:r>
      <w:r w:rsidRPr="000149EE">
        <w:rPr>
          <w:rFonts w:ascii="Times New Roman" w:hAnsi="Times New Roman" w:cs="Times New Roman"/>
          <w:sz w:val="28"/>
          <w:szCs w:val="28"/>
        </w:rPr>
        <w:t xml:space="preserve"> el Instituto Colombiano de Derecho Tributario (ICDT), </w:t>
      </w:r>
      <w:r w:rsidRPr="000149EE">
        <w:rPr>
          <w:rFonts w:ascii="Times New Roman" w:hAnsi="Times New Roman" w:cs="Times New Roman"/>
          <w:i/>
          <w:iCs/>
          <w:sz w:val="28"/>
          <w:szCs w:val="28"/>
        </w:rPr>
        <w:t xml:space="preserve">(vi) </w:t>
      </w:r>
      <w:r w:rsidRPr="000149EE">
        <w:rPr>
          <w:rFonts w:ascii="Times New Roman" w:hAnsi="Times New Roman" w:cs="Times New Roman"/>
          <w:sz w:val="28"/>
          <w:szCs w:val="28"/>
        </w:rPr>
        <w:t xml:space="preserve">la Asociación Nacional de Comercio Exterior (ANALDEX) y </w:t>
      </w:r>
      <w:r w:rsidRPr="000149EE">
        <w:rPr>
          <w:rFonts w:ascii="Times New Roman" w:hAnsi="Times New Roman" w:cs="Times New Roman"/>
          <w:i/>
          <w:iCs/>
          <w:sz w:val="28"/>
          <w:szCs w:val="28"/>
        </w:rPr>
        <w:t>(vi</w:t>
      </w:r>
      <w:r w:rsidRPr="000149EE">
        <w:rPr>
          <w:rFonts w:ascii="Times New Roman" w:hAnsi="Times New Roman" w:cs="Times New Roman"/>
          <w:i/>
          <w:iCs/>
          <w:sz w:val="28"/>
          <w:szCs w:val="28"/>
        </w:rPr>
        <w:t xml:space="preserve">i) </w:t>
      </w:r>
      <w:r w:rsidRPr="000149EE">
        <w:rPr>
          <w:rFonts w:ascii="Times New Roman" w:hAnsi="Times New Roman" w:cs="Times New Roman"/>
          <w:sz w:val="28"/>
          <w:szCs w:val="28"/>
        </w:rPr>
        <w:t xml:space="preserve">la Asociación Nacional de Empresarios de Colombia (ANDI). </w:t>
      </w:r>
      <w:r w:rsidRPr="000149EE">
        <w:rPr>
          <w:rFonts w:ascii="Times New Roman" w:hAnsi="Times New Roman" w:cs="Times New Roman"/>
          <w:sz w:val="28"/>
          <w:szCs w:val="28"/>
        </w:rPr>
        <w:t xml:space="preserve">A continuación, la Sala sintetiza </w:t>
      </w:r>
      <w:r w:rsidRPr="000149EE">
        <w:rPr>
          <w:rFonts w:ascii="Times New Roman" w:hAnsi="Times New Roman" w:cs="Times New Roman"/>
          <w:sz w:val="28"/>
          <w:szCs w:val="28"/>
        </w:rPr>
        <w:t xml:space="preserve">las solicitudes y argumentos de </w:t>
      </w:r>
      <w:r w:rsidRPr="000149EE">
        <w:rPr>
          <w:rFonts w:ascii="Times New Roman" w:hAnsi="Times New Roman" w:cs="Times New Roman"/>
          <w:sz w:val="28"/>
          <w:szCs w:val="28"/>
        </w:rPr>
        <w:t>las intervenciones</w:t>
      </w:r>
      <w:r w:rsidRPr="000149EE">
        <w:rPr>
          <w:rFonts w:ascii="Times New Roman" w:hAnsi="Times New Roman" w:cs="Times New Roman"/>
          <w:sz w:val="28"/>
          <w:szCs w:val="28"/>
        </w:rPr>
        <w:t>.</w:t>
      </w:r>
    </w:p>
    <w:p w:rsidR="009370C4" w:rsidRPr="000149EE" w:rsidRDefault="000149EE" w:rsidP="009370C4">
      <w:pPr>
        <w:pStyle w:val="Prrafodelista"/>
        <w:widowControl w:val="0"/>
        <w:spacing w:line="240" w:lineRule="auto"/>
        <w:ind w:left="0"/>
        <w:rPr>
          <w:rFonts w:ascii="Times New Roman" w:hAnsi="Times New Roman"/>
          <w:color w:val="auto"/>
          <w:sz w:val="28"/>
        </w:rPr>
      </w:pPr>
    </w:p>
    <w:p w:rsidR="007B16AD"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DIAN</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DIAN </w:t>
      </w:r>
      <w:r w:rsidRPr="000149EE">
        <w:rPr>
          <w:rFonts w:ascii="Times New Roman" w:hAnsi="Times New Roman" w:cs="Times New Roman"/>
          <w:sz w:val="28"/>
          <w:szCs w:val="28"/>
        </w:rPr>
        <w:t>solicita a la Corte declarar la exequibilidad de las norma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demandadas porque, en su criterio, </w:t>
      </w:r>
      <w:r w:rsidRPr="000149EE">
        <w:rPr>
          <w:rFonts w:ascii="Times New Roman" w:hAnsi="Times New Roman" w:cs="Times New Roman"/>
          <w:sz w:val="28"/>
          <w:szCs w:val="28"/>
        </w:rPr>
        <w:t>no vulnera</w:t>
      </w:r>
      <w:r w:rsidRPr="000149EE">
        <w:rPr>
          <w:rFonts w:ascii="Times New Roman" w:hAnsi="Times New Roman" w:cs="Times New Roman"/>
          <w:sz w:val="28"/>
          <w:szCs w:val="28"/>
        </w:rPr>
        <w:t>n</w:t>
      </w:r>
      <w:r w:rsidRPr="000149EE">
        <w:rPr>
          <w:rFonts w:ascii="Times New Roman" w:hAnsi="Times New Roman" w:cs="Times New Roman"/>
          <w:sz w:val="28"/>
          <w:szCs w:val="28"/>
        </w:rPr>
        <w:t xml:space="preserve"> el derecho fundamental a la igualdad ni desconoce</w:t>
      </w:r>
      <w:r w:rsidRPr="000149EE">
        <w:rPr>
          <w:rFonts w:ascii="Times New Roman" w:hAnsi="Times New Roman" w:cs="Times New Roman"/>
          <w:sz w:val="28"/>
          <w:szCs w:val="28"/>
        </w:rPr>
        <w:t>n</w:t>
      </w:r>
      <w:r w:rsidRPr="000149EE">
        <w:rPr>
          <w:rFonts w:ascii="Times New Roman" w:hAnsi="Times New Roman" w:cs="Times New Roman"/>
          <w:sz w:val="28"/>
          <w:szCs w:val="28"/>
        </w:rPr>
        <w:t xml:space="preserve"> el principio de equidad tributaria. Lo anterior, </w:t>
      </w:r>
      <w:r w:rsidRPr="000149EE">
        <w:rPr>
          <w:rFonts w:ascii="Times New Roman" w:hAnsi="Times New Roman" w:cs="Times New Roman"/>
          <w:sz w:val="28"/>
          <w:szCs w:val="28"/>
        </w:rPr>
        <w:t>con fundamento en dos argumentos:</w:t>
      </w:r>
      <w:r w:rsidRPr="000149EE">
        <w:rPr>
          <w:rFonts w:ascii="Times New Roman" w:hAnsi="Times New Roman" w:cs="Times New Roman"/>
          <w:sz w:val="28"/>
          <w:szCs w:val="28"/>
        </w:rPr>
        <w:t xml:space="preserve"> </w:t>
      </w:r>
    </w:p>
    <w:p w:rsidR="007B16AD" w:rsidRPr="000149EE" w:rsidRDefault="000149EE" w:rsidP="00720F9B">
      <w:pPr>
        <w:rPr>
          <w:rFonts w:ascii="Times New Roman" w:hAnsi="Times New Roman" w:cs="Times New Roman"/>
          <w:sz w:val="28"/>
          <w:szCs w:val="28"/>
        </w:rPr>
      </w:pPr>
    </w:p>
    <w:p w:rsidR="007B16AD"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Primero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w:t>
      </w:r>
      <w:r w:rsidRPr="000149EE">
        <w:rPr>
          <w:rFonts w:ascii="Times New Roman" w:hAnsi="Times New Roman" w:cs="Times New Roman"/>
          <w:sz w:val="28"/>
          <w:szCs w:val="28"/>
        </w:rPr>
        <w:t xml:space="preserve">a norma demandada no prevé un trato tributario </w:t>
      </w:r>
      <w:r w:rsidRPr="000149EE">
        <w:rPr>
          <w:rFonts w:ascii="Times New Roman" w:hAnsi="Times New Roman" w:cs="Times New Roman"/>
          <w:sz w:val="28"/>
          <w:szCs w:val="28"/>
        </w:rPr>
        <w:t xml:space="preserve">diferente </w:t>
      </w:r>
      <w:r w:rsidRPr="000149EE">
        <w:rPr>
          <w:rFonts w:ascii="Times New Roman" w:hAnsi="Times New Roman" w:cs="Times New Roman"/>
          <w:sz w:val="28"/>
          <w:szCs w:val="28"/>
        </w:rPr>
        <w:t>entre</w:t>
      </w:r>
      <w:r w:rsidRPr="000149EE">
        <w:rPr>
          <w:rFonts w:ascii="Times New Roman" w:hAnsi="Times New Roman" w:cs="Times New Roman"/>
          <w:sz w:val="28"/>
          <w:szCs w:val="28"/>
        </w:rPr>
        <w:t xml:space="preserve"> usuarios </w:t>
      </w:r>
      <w:r w:rsidRPr="000149EE">
        <w:rPr>
          <w:rFonts w:ascii="Times New Roman" w:hAnsi="Times New Roman" w:cs="Times New Roman"/>
          <w:sz w:val="28"/>
          <w:szCs w:val="28"/>
        </w:rPr>
        <w:t xml:space="preserve">industriales </w:t>
      </w:r>
      <w:r w:rsidRPr="000149EE">
        <w:rPr>
          <w:rFonts w:ascii="Times New Roman" w:hAnsi="Times New Roman" w:cs="Times New Roman"/>
          <w:sz w:val="28"/>
          <w:szCs w:val="28"/>
        </w:rPr>
        <w:t>de zona franca. Por el contrario, contempla un beneficio</w:t>
      </w:r>
      <w:r w:rsidRPr="000149EE">
        <w:rPr>
          <w:rFonts w:ascii="Times New Roman" w:hAnsi="Times New Roman" w:cs="Times New Roman"/>
          <w:sz w:val="28"/>
          <w:szCs w:val="28"/>
        </w:rPr>
        <w:t xml:space="preserve"> tributario</w:t>
      </w:r>
      <w:r w:rsidRPr="000149EE">
        <w:rPr>
          <w:rFonts w:ascii="Times New Roman" w:hAnsi="Times New Roman" w:cs="Times New Roman"/>
          <w:sz w:val="28"/>
          <w:szCs w:val="28"/>
        </w:rPr>
        <w:t xml:space="preserve"> (tarifa del 20%</w:t>
      </w:r>
      <w:r w:rsidRPr="000149EE">
        <w:rPr>
          <w:rFonts w:ascii="Times New Roman" w:hAnsi="Times New Roman" w:cs="Times New Roman"/>
          <w:sz w:val="28"/>
          <w:szCs w:val="28"/>
        </w:rPr>
        <w:t xml:space="preserve"> del impuesto </w:t>
      </w:r>
      <w:r w:rsidRPr="000149EE">
        <w:rPr>
          <w:rFonts w:ascii="Times New Roman" w:hAnsi="Times New Roman" w:cs="Times New Roman"/>
          <w:sz w:val="28"/>
          <w:szCs w:val="28"/>
        </w:rPr>
        <w:t>sobre</w:t>
      </w:r>
      <w:r w:rsidRPr="000149EE">
        <w:rPr>
          <w:rFonts w:ascii="Times New Roman" w:hAnsi="Times New Roman" w:cs="Times New Roman"/>
          <w:sz w:val="28"/>
          <w:szCs w:val="28"/>
        </w:rPr>
        <w:t xml:space="preserve"> la renta</w:t>
      </w:r>
      <w:r w:rsidRPr="000149EE">
        <w:rPr>
          <w:rFonts w:ascii="Times New Roman" w:hAnsi="Times New Roman" w:cs="Times New Roman"/>
          <w:sz w:val="28"/>
          <w:szCs w:val="28"/>
        </w:rPr>
        <w:t xml:space="preserve">) y prevé una condición para acceder a él (obtener ingresos por exportación y suscribir el </w:t>
      </w:r>
      <w:r w:rsidRPr="000149EE">
        <w:rPr>
          <w:rFonts w:ascii="Times New Roman" w:hAnsi="Times New Roman" w:cs="Times New Roman"/>
          <w:sz w:val="28"/>
          <w:szCs w:val="28"/>
        </w:rPr>
        <w:t>PIAV</w:t>
      </w:r>
      <w:r w:rsidRPr="000149EE">
        <w:rPr>
          <w:rFonts w:ascii="Times New Roman" w:hAnsi="Times New Roman" w:cs="Times New Roman"/>
          <w:sz w:val="28"/>
          <w:szCs w:val="28"/>
        </w:rPr>
        <w:t>)</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Según la interviniente</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la menor tarifa del impuesto a la renta es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un </w:t>
      </w:r>
      <w:r w:rsidRPr="000149EE">
        <w:rPr>
          <w:rFonts w:ascii="Times New Roman" w:hAnsi="Times New Roman" w:cs="Times New Roman"/>
          <w:sz w:val="28"/>
          <w:szCs w:val="28"/>
        </w:rPr>
        <w:t>“beneficio</w:t>
      </w:r>
      <w:r w:rsidRPr="000149EE">
        <w:rPr>
          <w:rFonts w:ascii="Times New Roman" w:hAnsi="Times New Roman" w:cs="Times New Roman"/>
          <w:sz w:val="28"/>
          <w:szCs w:val="28"/>
        </w:rPr>
        <w:t xml:space="preserve"> tributario</w:t>
      </w:r>
      <w:r w:rsidRPr="000149EE">
        <w:rPr>
          <w:rFonts w:ascii="Times New Roman" w:hAnsi="Times New Roman" w:cs="Times New Roman"/>
          <w:sz w:val="28"/>
          <w:szCs w:val="28"/>
        </w:rPr>
        <w:t xml:space="preserve"> a cuyo acceso tienen igualdad de oportunidades quienes libremente consideren hacer uso de él cumpliendo con los requisitos que para el efecto” establece la ley. En cualquier caso,</w:t>
      </w:r>
      <w:r w:rsidRPr="000149EE">
        <w:rPr>
          <w:rFonts w:ascii="Times New Roman" w:hAnsi="Times New Roman" w:cs="Times New Roman"/>
          <w:sz w:val="28"/>
          <w:szCs w:val="28"/>
        </w:rPr>
        <w:t xml:space="preserve"> el bene</w:t>
      </w:r>
      <w:r w:rsidRPr="000149EE">
        <w:rPr>
          <w:rFonts w:ascii="Times New Roman" w:hAnsi="Times New Roman" w:cs="Times New Roman"/>
          <w:sz w:val="28"/>
          <w:szCs w:val="28"/>
        </w:rPr>
        <w:t>ficio tributario solo aplica para la parte</w:t>
      </w:r>
      <w:r w:rsidRPr="000149EE">
        <w:rPr>
          <w:rFonts w:ascii="Times New Roman" w:hAnsi="Times New Roman" w:cs="Times New Roman"/>
          <w:sz w:val="28"/>
          <w:szCs w:val="28"/>
        </w:rPr>
        <w:t xml:space="preserve"> de</w:t>
      </w:r>
      <w:r w:rsidRPr="000149EE">
        <w:rPr>
          <w:rFonts w:ascii="Times New Roman" w:hAnsi="Times New Roman" w:cs="Times New Roman"/>
          <w:sz w:val="28"/>
          <w:szCs w:val="28"/>
        </w:rPr>
        <w:t xml:space="preserve"> los ingresos de los usuarios industriales que provenga de exportaciones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w:t>
      </w:r>
      <w:r w:rsidRPr="000149EE">
        <w:rPr>
          <w:rFonts w:ascii="Times New Roman" w:hAnsi="Times New Roman" w:cs="Times New Roman"/>
          <w:sz w:val="28"/>
          <w:szCs w:val="28"/>
        </w:rPr>
        <w:t>l porcentaje</w:t>
      </w:r>
      <w:r w:rsidRPr="000149EE">
        <w:rPr>
          <w:rFonts w:ascii="Times New Roman" w:hAnsi="Times New Roman" w:cs="Times New Roman"/>
          <w:sz w:val="28"/>
          <w:szCs w:val="28"/>
        </w:rPr>
        <w:t xml:space="preserve"> de las rentas que tenga otro origen </w:t>
      </w:r>
      <w:r w:rsidRPr="000149EE">
        <w:rPr>
          <w:rFonts w:ascii="Times New Roman" w:hAnsi="Times New Roman" w:cs="Times New Roman"/>
          <w:sz w:val="28"/>
          <w:szCs w:val="28"/>
        </w:rPr>
        <w:t>le será</w:t>
      </w:r>
      <w:r w:rsidRPr="000149EE">
        <w:rPr>
          <w:rFonts w:ascii="Times New Roman" w:hAnsi="Times New Roman" w:cs="Times New Roman"/>
          <w:sz w:val="28"/>
          <w:szCs w:val="28"/>
        </w:rPr>
        <w:t xml:space="preserve"> aplicable</w:t>
      </w:r>
      <w:r w:rsidRPr="000149EE">
        <w:rPr>
          <w:rFonts w:ascii="Times New Roman" w:hAnsi="Times New Roman" w:cs="Times New Roman"/>
          <w:sz w:val="28"/>
          <w:szCs w:val="28"/>
        </w:rPr>
        <w:t xml:space="preserve"> la tarifa general </w:t>
      </w:r>
      <w:r w:rsidRPr="000149EE">
        <w:rPr>
          <w:rFonts w:ascii="Times New Roman" w:hAnsi="Times New Roman" w:cs="Times New Roman"/>
          <w:sz w:val="28"/>
          <w:szCs w:val="28"/>
        </w:rPr>
        <w:t xml:space="preserve">del impuesto a la renta </w:t>
      </w:r>
      <w:r w:rsidRPr="000149EE">
        <w:rPr>
          <w:rFonts w:ascii="Times New Roman" w:hAnsi="Times New Roman" w:cs="Times New Roman"/>
          <w:sz w:val="28"/>
          <w:szCs w:val="28"/>
        </w:rPr>
        <w:t>para personas jurídicas. Ad</w:t>
      </w:r>
      <w:r w:rsidRPr="000149EE">
        <w:rPr>
          <w:rFonts w:ascii="Times New Roman" w:hAnsi="Times New Roman" w:cs="Times New Roman"/>
          <w:sz w:val="28"/>
          <w:szCs w:val="28"/>
        </w:rPr>
        <w:t>emás,</w:t>
      </w:r>
      <w:r w:rsidRPr="000149EE">
        <w:rPr>
          <w:rFonts w:ascii="Times New Roman" w:hAnsi="Times New Roman" w:cs="Times New Roman"/>
          <w:sz w:val="28"/>
          <w:szCs w:val="28"/>
        </w:rPr>
        <w:t xml:space="preserve"> los usuarios industriales de zona franca que no opten por este beneficio “pueden continuar haciendo uso de las demás ventajas tributarias, aduaneras y de comercio exterior que proporciona el régimen franco, las cuales continúan vigentes”</w:t>
      </w:r>
      <w:r w:rsidRPr="000149EE">
        <w:rPr>
          <w:rStyle w:val="Refdenotaalpie"/>
          <w:rFonts w:ascii="Times New Roman" w:hAnsi="Times New Roman" w:cs="Times New Roman"/>
          <w:sz w:val="28"/>
          <w:szCs w:val="28"/>
        </w:rPr>
        <w:footnoteReference w:id="29"/>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p>
    <w:p w:rsidR="007B16AD" w:rsidRPr="000149EE" w:rsidRDefault="000149EE" w:rsidP="001A47E2">
      <w:pPr>
        <w:pStyle w:val="Prrafodelista"/>
        <w:widowControl w:val="0"/>
        <w:spacing w:line="240" w:lineRule="auto"/>
        <w:ind w:left="0"/>
        <w:rPr>
          <w:rFonts w:ascii="Times New Roman" w:hAnsi="Times New Roman"/>
          <w:color w:val="auto"/>
          <w:sz w:val="28"/>
        </w:rPr>
      </w:pPr>
    </w:p>
    <w:p w:rsidR="009B3B3E"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Segundo</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w:t>
      </w:r>
      <w:r w:rsidRPr="000149EE">
        <w:rPr>
          <w:rFonts w:ascii="Times New Roman" w:hAnsi="Times New Roman" w:cs="Times New Roman"/>
          <w:sz w:val="28"/>
          <w:szCs w:val="28"/>
        </w:rPr>
        <w:t>l beneficio tributario previsto en la norma demandada</w:t>
      </w:r>
      <w:r w:rsidRPr="000149EE">
        <w:rPr>
          <w:rFonts w:ascii="Times New Roman" w:hAnsi="Times New Roman" w:cs="Times New Roman"/>
          <w:sz w:val="28"/>
          <w:szCs w:val="28"/>
        </w:rPr>
        <w:t xml:space="preserve"> -tarifa preferencial del impuesto a la renta-</w:t>
      </w:r>
      <w:r w:rsidRPr="000149EE">
        <w:rPr>
          <w:rFonts w:ascii="Times New Roman" w:hAnsi="Times New Roman" w:cs="Times New Roman"/>
          <w:sz w:val="28"/>
          <w:szCs w:val="28"/>
        </w:rPr>
        <w:t xml:space="preserve"> está amparado por el amplio margen de configuración del legislador.</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w:t>
      </w:r>
      <w:r w:rsidRPr="000149EE">
        <w:rPr>
          <w:rFonts w:ascii="Times New Roman" w:hAnsi="Times New Roman" w:cs="Times New Roman"/>
          <w:sz w:val="28"/>
          <w:szCs w:val="28"/>
        </w:rPr>
        <w:t>a DIAN argument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que, conforme a la </w:t>
      </w:r>
      <w:r w:rsidRPr="000149EE">
        <w:rPr>
          <w:rFonts w:ascii="Times New Roman" w:hAnsi="Times New Roman" w:cs="Times New Roman"/>
          <w:sz w:val="28"/>
          <w:szCs w:val="28"/>
        </w:rPr>
        <w:t>jurisprudencia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constitucional</w:t>
      </w:r>
      <w:r w:rsidRPr="000149EE">
        <w:rPr>
          <w:rStyle w:val="Refdenotaalpie"/>
          <w:rFonts w:ascii="Times New Roman" w:hAnsi="Times New Roman" w:cs="Times New Roman"/>
          <w:sz w:val="28"/>
          <w:szCs w:val="28"/>
        </w:rPr>
        <w:footnoteReference w:id="30"/>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el </w:t>
      </w:r>
      <w:r w:rsidRPr="000149EE">
        <w:rPr>
          <w:rFonts w:ascii="Times New Roman" w:hAnsi="Times New Roman" w:cs="Times New Roman"/>
          <w:sz w:val="28"/>
          <w:szCs w:val="28"/>
        </w:rPr>
        <w:t>legislador</w:t>
      </w:r>
      <w:r w:rsidRPr="000149EE">
        <w:rPr>
          <w:rFonts w:ascii="Times New Roman" w:hAnsi="Times New Roman" w:cs="Times New Roman"/>
          <w:sz w:val="28"/>
          <w:szCs w:val="28"/>
        </w:rPr>
        <w:t xml:space="preserve"> tiene</w:t>
      </w:r>
      <w:r w:rsidRPr="000149EE">
        <w:rPr>
          <w:rFonts w:ascii="Times New Roman" w:hAnsi="Times New Roman" w:cs="Times New Roman"/>
          <w:sz w:val="28"/>
          <w:szCs w:val="28"/>
        </w:rPr>
        <w:t xml:space="preserve"> un</w:t>
      </w:r>
      <w:r w:rsidRPr="000149EE">
        <w:rPr>
          <w:rFonts w:ascii="Times New Roman" w:hAnsi="Times New Roman" w:cs="Times New Roman"/>
          <w:sz w:val="28"/>
          <w:szCs w:val="28"/>
        </w:rPr>
        <w:t xml:space="preserve"> amplio margen </w:t>
      </w:r>
      <w:r w:rsidRPr="000149EE">
        <w:rPr>
          <w:rFonts w:ascii="Times New Roman" w:hAnsi="Times New Roman" w:cs="Times New Roman"/>
          <w:sz w:val="28"/>
          <w:szCs w:val="28"/>
        </w:rPr>
        <w:t>para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w:t>
      </w:r>
      <w:r w:rsidRPr="000149EE">
        <w:rPr>
          <w:rFonts w:ascii="Times New Roman" w:hAnsi="Times New Roman" w:cs="Times New Roman"/>
          <w:sz w:val="28"/>
          <w:szCs w:val="28"/>
        </w:rPr>
        <w:t>establecer tarifas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especiales para el cobro de un impuesto</w:t>
      </w:r>
      <w:r w:rsidRPr="000149EE">
        <w:rPr>
          <w:rFonts w:ascii="Times New Roman" w:hAnsi="Times New Roman" w:cs="Times New Roman"/>
          <w:sz w:val="28"/>
          <w:szCs w:val="28"/>
        </w:rPr>
        <w:t xml:space="preserve"> [,] </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sí como, </w:t>
      </w:r>
      <w:r w:rsidRPr="000149EE">
        <w:rPr>
          <w:rFonts w:ascii="Times New Roman" w:hAnsi="Times New Roman" w:cs="Times New Roman"/>
          <w:sz w:val="28"/>
          <w:szCs w:val="28"/>
        </w:rPr>
        <w:t>[para]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establecer beneficios,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exclusiones o exenciones tributarias de conformidad con el principio de autonomía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legislativa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La tarifa diferencial previ</w:t>
      </w:r>
      <w:r w:rsidRPr="000149EE">
        <w:rPr>
          <w:rFonts w:ascii="Times New Roman" w:hAnsi="Times New Roman" w:cs="Times New Roman"/>
          <w:sz w:val="28"/>
          <w:szCs w:val="28"/>
        </w:rPr>
        <w:t xml:space="preserve">sta en la norma demandada no desconoce dicho margen, </w:t>
      </w:r>
      <w:r w:rsidRPr="000149EE">
        <w:rPr>
          <w:rFonts w:ascii="Times New Roman" w:hAnsi="Times New Roman" w:cs="Times New Roman"/>
          <w:sz w:val="28"/>
          <w:szCs w:val="28"/>
        </w:rPr>
        <w:t>porque “tiene como objetivo incentivar las exportaciones del segmento productivo que genera valor agregado en el país”</w:t>
      </w:r>
      <w:r w:rsidRPr="000149EE">
        <w:rPr>
          <w:rStyle w:val="Refdenotaalpie"/>
          <w:rFonts w:ascii="Times New Roman" w:hAnsi="Times New Roman" w:cs="Times New Roman"/>
          <w:sz w:val="28"/>
          <w:szCs w:val="28"/>
        </w:rPr>
        <w:footnoteReference w:id="31"/>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Según la DIAN, “incentivar las exportaciones es un fin que no está prohibido por la Constitución e innegablemente es un medio adecuado para alcanzar el crecimiento económico que provea al Estado de los medios necesarios para atender su política social y m</w:t>
      </w:r>
      <w:r w:rsidRPr="000149EE">
        <w:rPr>
          <w:rFonts w:ascii="Times New Roman" w:hAnsi="Times New Roman" w:cs="Times New Roman"/>
          <w:sz w:val="28"/>
          <w:szCs w:val="28"/>
        </w:rPr>
        <w:t>ejorar las condiciones de vida de la población”</w:t>
      </w:r>
      <w:r w:rsidRPr="000149EE">
        <w:rPr>
          <w:rStyle w:val="Refdenotaalpie"/>
          <w:rFonts w:ascii="Times New Roman" w:hAnsi="Times New Roman" w:cs="Times New Roman"/>
          <w:sz w:val="28"/>
          <w:szCs w:val="28"/>
        </w:rPr>
        <w:footnoteReference w:id="32"/>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 lo demás, la norma demandada “no atenta contra el requisito de atender la capacidad de pago del contribuyente,</w:t>
      </w:r>
      <w:r w:rsidRPr="000149EE">
        <w:rPr>
          <w:rFonts w:ascii="Times New Roman" w:hAnsi="Times New Roman" w:cs="Times New Roman"/>
          <w:sz w:val="28"/>
          <w:szCs w:val="28"/>
        </w:rPr>
        <w:t xml:space="preserve"> (…) no tiene implicaciones confiscatorias y no constituye un tratamiento inequitativo, infu</w:t>
      </w:r>
      <w:r w:rsidRPr="000149EE">
        <w:rPr>
          <w:rFonts w:ascii="Times New Roman" w:hAnsi="Times New Roman" w:cs="Times New Roman"/>
          <w:sz w:val="28"/>
          <w:szCs w:val="28"/>
        </w:rPr>
        <w:t xml:space="preserve">ndado o que </w:t>
      </w:r>
      <w:r w:rsidRPr="000149EE">
        <w:rPr>
          <w:rFonts w:ascii="Times New Roman" w:hAnsi="Times New Roman" w:cs="Times New Roman"/>
          <w:sz w:val="28"/>
          <w:szCs w:val="28"/>
        </w:rPr>
        <w:t>privilegi[e]</w:t>
      </w:r>
      <w:r w:rsidRPr="000149EE">
        <w:rPr>
          <w:rFonts w:ascii="Times New Roman" w:hAnsi="Times New Roman" w:cs="Times New Roman"/>
          <w:sz w:val="28"/>
          <w:szCs w:val="28"/>
        </w:rPr>
        <w:t xml:space="preserve"> al contribuyente moroso en perjuicio de quienes cumplieron oportunamente con el deber constitucional de concurrir con el financiamiento de los gastos del Estado”</w:t>
      </w:r>
      <w:r w:rsidRPr="000149EE">
        <w:rPr>
          <w:rStyle w:val="Refdenotaalpie"/>
          <w:rFonts w:ascii="Times New Roman" w:hAnsi="Times New Roman" w:cs="Times New Roman"/>
          <w:sz w:val="28"/>
          <w:szCs w:val="28"/>
        </w:rPr>
        <w:footnoteReference w:id="33"/>
      </w:r>
      <w:r w:rsidRPr="000149EE">
        <w:rPr>
          <w:rFonts w:ascii="Times New Roman" w:hAnsi="Times New Roman" w:cs="Times New Roman"/>
          <w:sz w:val="28"/>
          <w:szCs w:val="28"/>
        </w:rPr>
        <w:t>.</w:t>
      </w:r>
    </w:p>
    <w:p w:rsidR="00714FAD" w:rsidRPr="000149EE" w:rsidRDefault="000149EE" w:rsidP="009370C4">
      <w:pPr>
        <w:rPr>
          <w:rFonts w:ascii="Times New Roman" w:hAnsi="Times New Roman" w:cs="Times New Roman"/>
          <w:sz w:val="28"/>
          <w:szCs w:val="28"/>
        </w:rPr>
      </w:pPr>
    </w:p>
    <w:p w:rsidR="00E60B01"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MH</w:t>
      </w:r>
      <w:r w:rsidRPr="000149EE">
        <w:rPr>
          <w:rFonts w:ascii="Times New Roman" w:hAnsi="Times New Roman" w:cs="Times New Roman"/>
          <w:i/>
          <w:iCs/>
          <w:sz w:val="28"/>
          <w:szCs w:val="28"/>
        </w:rPr>
        <w:t>C</w:t>
      </w:r>
      <w:r w:rsidRPr="000149EE">
        <w:rPr>
          <w:rFonts w:ascii="Times New Roman" w:hAnsi="Times New Roman" w:cs="Times New Roman"/>
          <w:i/>
          <w:iCs/>
          <w:sz w:val="28"/>
          <w:szCs w:val="28"/>
        </w:rPr>
        <w:t>P y DAPRE</w:t>
      </w:r>
      <w:r w:rsidRPr="000149EE">
        <w:rPr>
          <w:rStyle w:val="Refdenotaalpie"/>
          <w:rFonts w:ascii="Times New Roman" w:hAnsi="Times New Roman" w:cs="Times New Roman"/>
          <w:sz w:val="28"/>
          <w:szCs w:val="28"/>
        </w:rPr>
        <w:footnoteReference w:id="34"/>
      </w:r>
      <w:r w:rsidRPr="000149EE">
        <w:rPr>
          <w:rFonts w:ascii="Times New Roman" w:hAnsi="Times New Roman" w:cs="Times New Roman"/>
          <w:sz w:val="28"/>
          <w:szCs w:val="28"/>
        </w:rPr>
        <w:t xml:space="preserve">. El MHCP y el DAPRE </w:t>
      </w:r>
      <w:r w:rsidRPr="000149EE">
        <w:rPr>
          <w:rFonts w:ascii="Times New Roman" w:hAnsi="Times New Roman" w:cs="Times New Roman"/>
          <w:sz w:val="28"/>
          <w:szCs w:val="28"/>
        </w:rPr>
        <w:t>solicita</w:t>
      </w:r>
      <w:r w:rsidRPr="000149EE">
        <w:rPr>
          <w:rFonts w:ascii="Times New Roman" w:hAnsi="Times New Roman" w:cs="Times New Roman"/>
          <w:sz w:val="28"/>
          <w:szCs w:val="28"/>
        </w:rPr>
        <w:t>n</w:t>
      </w:r>
      <w:r w:rsidRPr="000149EE">
        <w:rPr>
          <w:rFonts w:ascii="Times New Roman" w:hAnsi="Times New Roman" w:cs="Times New Roman"/>
          <w:sz w:val="28"/>
          <w:szCs w:val="28"/>
        </w:rPr>
        <w:t xml:space="preserve"> a la Corte declarar la exequibilidad de la disposición demandada. A título preliminar, </w:t>
      </w:r>
      <w:r w:rsidRPr="000149EE">
        <w:rPr>
          <w:rFonts w:ascii="Times New Roman" w:hAnsi="Times New Roman" w:cs="Times New Roman"/>
          <w:sz w:val="28"/>
          <w:szCs w:val="28"/>
        </w:rPr>
        <w:t>refieren</w:t>
      </w:r>
      <w:r w:rsidRPr="000149EE">
        <w:rPr>
          <w:rFonts w:ascii="Times New Roman" w:hAnsi="Times New Roman" w:cs="Times New Roman"/>
          <w:sz w:val="28"/>
          <w:szCs w:val="28"/>
        </w:rPr>
        <w:t xml:space="preserve"> que uno de los objetivos de la reforma tributaria </w:t>
      </w:r>
      <w:r w:rsidRPr="000149EE">
        <w:rPr>
          <w:rFonts w:ascii="Times New Roman" w:hAnsi="Times New Roman" w:cs="Times New Roman"/>
          <w:sz w:val="28"/>
          <w:szCs w:val="28"/>
        </w:rPr>
        <w:t xml:space="preserve">implementada mediante la Ley 2277 de 2022 </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ra </w:t>
      </w:r>
      <w:r w:rsidRPr="000149EE">
        <w:rPr>
          <w:rFonts w:ascii="Times New Roman" w:hAnsi="Times New Roman" w:cs="Times New Roman"/>
          <w:sz w:val="28"/>
          <w:szCs w:val="28"/>
        </w:rPr>
        <w:t xml:space="preserve">la “eliminación y limitación de beneficios tributarios que generan asimetrías injustificadas en sectores productivos”. </w:t>
      </w:r>
      <w:r w:rsidRPr="000149EE">
        <w:rPr>
          <w:rFonts w:ascii="Times New Roman" w:hAnsi="Times New Roman" w:cs="Times New Roman"/>
          <w:sz w:val="28"/>
          <w:szCs w:val="28"/>
        </w:rPr>
        <w:t>En particular,</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advierten</w:t>
      </w:r>
      <w:r w:rsidRPr="000149EE">
        <w:rPr>
          <w:rFonts w:ascii="Times New Roman" w:hAnsi="Times New Roman" w:cs="Times New Roman"/>
          <w:sz w:val="28"/>
          <w:szCs w:val="28"/>
        </w:rPr>
        <w:t xml:space="preserve"> que, antes de la </w:t>
      </w:r>
      <w:r w:rsidRPr="000149EE">
        <w:rPr>
          <w:rFonts w:ascii="Times New Roman" w:hAnsi="Times New Roman" w:cs="Times New Roman"/>
          <w:sz w:val="28"/>
          <w:szCs w:val="28"/>
        </w:rPr>
        <w:t>entrada en vigor</w:t>
      </w:r>
      <w:r w:rsidRPr="000149EE">
        <w:rPr>
          <w:rFonts w:ascii="Times New Roman" w:hAnsi="Times New Roman" w:cs="Times New Roman"/>
          <w:sz w:val="28"/>
          <w:szCs w:val="28"/>
        </w:rPr>
        <w:t xml:space="preserve"> de la Ley 2277 de 2022, </w:t>
      </w:r>
      <w:r w:rsidRPr="000149EE">
        <w:rPr>
          <w:rFonts w:ascii="Times New Roman" w:hAnsi="Times New Roman" w:cs="Times New Roman"/>
          <w:sz w:val="28"/>
          <w:szCs w:val="28"/>
        </w:rPr>
        <w:t xml:space="preserve">el 75% de las ventas de los usuarios de zona franca </w:t>
      </w:r>
      <w:r w:rsidRPr="000149EE">
        <w:rPr>
          <w:rFonts w:ascii="Times New Roman" w:hAnsi="Times New Roman" w:cs="Times New Roman"/>
          <w:sz w:val="28"/>
          <w:szCs w:val="28"/>
        </w:rPr>
        <w:t>te</w:t>
      </w:r>
      <w:r w:rsidRPr="000149EE">
        <w:rPr>
          <w:rFonts w:ascii="Times New Roman" w:hAnsi="Times New Roman" w:cs="Times New Roman"/>
          <w:sz w:val="28"/>
          <w:szCs w:val="28"/>
        </w:rPr>
        <w:t xml:space="preserve">nían lugar </w:t>
      </w:r>
      <w:r w:rsidRPr="000149EE">
        <w:rPr>
          <w:rFonts w:ascii="Times New Roman" w:hAnsi="Times New Roman" w:cs="Times New Roman"/>
          <w:sz w:val="28"/>
          <w:szCs w:val="28"/>
        </w:rPr>
        <w:t>en el territorio aduanero nacional, lo cual genera</w:t>
      </w:r>
      <w:r w:rsidRPr="000149EE">
        <w:rPr>
          <w:rFonts w:ascii="Times New Roman" w:hAnsi="Times New Roman" w:cs="Times New Roman"/>
          <w:sz w:val="28"/>
          <w:szCs w:val="28"/>
        </w:rPr>
        <w:t>ba</w:t>
      </w:r>
      <w:r w:rsidRPr="000149EE">
        <w:rPr>
          <w:rFonts w:ascii="Times New Roman" w:hAnsi="Times New Roman" w:cs="Times New Roman"/>
          <w:sz w:val="28"/>
          <w:szCs w:val="28"/>
        </w:rPr>
        <w:t xml:space="preserve"> “una competencia desigual con las compañías que, al estar por fuera del régimen, pagan la tarifa general del 35%”. En este sentido, </w:t>
      </w:r>
      <w:r w:rsidRPr="000149EE">
        <w:rPr>
          <w:rFonts w:ascii="Times New Roman" w:hAnsi="Times New Roman" w:cs="Times New Roman"/>
          <w:sz w:val="28"/>
          <w:szCs w:val="28"/>
        </w:rPr>
        <w:t>señal</w:t>
      </w:r>
      <w:r w:rsidRPr="000149EE">
        <w:rPr>
          <w:rFonts w:ascii="Times New Roman" w:hAnsi="Times New Roman" w:cs="Times New Roman"/>
          <w:sz w:val="28"/>
          <w:szCs w:val="28"/>
        </w:rPr>
        <w:t>an</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que </w:t>
      </w:r>
      <w:r w:rsidRPr="000149EE">
        <w:rPr>
          <w:rFonts w:ascii="Times New Roman" w:hAnsi="Times New Roman" w:cs="Times New Roman"/>
          <w:sz w:val="28"/>
          <w:szCs w:val="28"/>
        </w:rPr>
        <w:t>la modificación que el artíc</w:t>
      </w:r>
      <w:r w:rsidRPr="000149EE">
        <w:rPr>
          <w:rFonts w:ascii="Times New Roman" w:hAnsi="Times New Roman" w:cs="Times New Roman"/>
          <w:sz w:val="28"/>
          <w:szCs w:val="28"/>
        </w:rPr>
        <w:t>u</w:t>
      </w:r>
      <w:r w:rsidRPr="000149EE">
        <w:rPr>
          <w:rFonts w:ascii="Times New Roman" w:hAnsi="Times New Roman" w:cs="Times New Roman"/>
          <w:sz w:val="28"/>
          <w:szCs w:val="28"/>
        </w:rPr>
        <w:t xml:space="preserve">lo 11 de </w:t>
      </w:r>
      <w:r w:rsidRPr="000149EE">
        <w:rPr>
          <w:rFonts w:ascii="Times New Roman" w:hAnsi="Times New Roman" w:cs="Times New Roman"/>
          <w:sz w:val="28"/>
          <w:szCs w:val="28"/>
        </w:rPr>
        <w:t>la Ley 227</w:t>
      </w:r>
      <w:r w:rsidRPr="000149EE">
        <w:rPr>
          <w:rFonts w:ascii="Times New Roman" w:hAnsi="Times New Roman" w:cs="Times New Roman"/>
          <w:sz w:val="28"/>
          <w:szCs w:val="28"/>
        </w:rPr>
        <w:t>7 de 2022</w:t>
      </w:r>
      <w:r w:rsidRPr="000149EE">
        <w:rPr>
          <w:rFonts w:ascii="Times New Roman" w:hAnsi="Times New Roman" w:cs="Times New Roman"/>
          <w:sz w:val="28"/>
          <w:szCs w:val="28"/>
        </w:rPr>
        <w:t xml:space="preserve"> introdujo a la tarifa del impuesto a la renta de lo</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usuarios industriales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de zona franca </w:t>
      </w:r>
      <w:r w:rsidRPr="000149EE">
        <w:rPr>
          <w:rFonts w:ascii="Times New Roman" w:hAnsi="Times New Roman" w:cs="Times New Roman"/>
          <w:sz w:val="28"/>
          <w:szCs w:val="28"/>
        </w:rPr>
        <w:t xml:space="preserve">buscaba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eliminar dicha asimetría y </w:t>
      </w:r>
      <w:r w:rsidRPr="000149EE">
        <w:rPr>
          <w:rFonts w:ascii="Times New Roman" w:hAnsi="Times New Roman" w:cs="Times New Roman"/>
          <w:i/>
          <w:iCs/>
          <w:sz w:val="28"/>
          <w:szCs w:val="28"/>
        </w:rPr>
        <w:t>(ii)</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“incentivar la inversión en Colombia y promover las exportaciones del país”. </w:t>
      </w:r>
    </w:p>
    <w:p w:rsidR="00E60B01" w:rsidRPr="000149EE" w:rsidRDefault="000149EE" w:rsidP="001A47E2">
      <w:pPr>
        <w:pStyle w:val="Prrafodelista"/>
        <w:spacing w:line="240" w:lineRule="auto"/>
        <w:rPr>
          <w:rFonts w:ascii="Times New Roman" w:hAnsi="Times New Roman"/>
          <w:sz w:val="28"/>
        </w:rPr>
      </w:pPr>
    </w:p>
    <w:p w:rsidR="00E60B01"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A juicio del MHCP y el DAPRE, </w:t>
      </w:r>
      <w:r w:rsidRPr="000149EE">
        <w:rPr>
          <w:rFonts w:ascii="Times New Roman" w:hAnsi="Times New Roman" w:cs="Times New Roman"/>
          <w:sz w:val="28"/>
          <w:szCs w:val="28"/>
        </w:rPr>
        <w:t xml:space="preserve">el </w:t>
      </w:r>
      <w:r w:rsidRPr="000149EE">
        <w:rPr>
          <w:rFonts w:ascii="Times New Roman" w:hAnsi="Times New Roman" w:cs="Times New Roman"/>
          <w:sz w:val="28"/>
          <w:szCs w:val="28"/>
        </w:rPr>
        <w:t xml:space="preserve">artículo 11 de la Ley 2277 de 2022 </w:t>
      </w:r>
      <w:r w:rsidRPr="000149EE">
        <w:rPr>
          <w:rFonts w:ascii="Times New Roman" w:hAnsi="Times New Roman" w:cs="Times New Roman"/>
          <w:sz w:val="28"/>
          <w:szCs w:val="28"/>
        </w:rPr>
        <w:t>no vulnera el derecho a la igualdad ni el principio de equidad tributaria</w:t>
      </w:r>
      <w:r w:rsidRPr="000149EE">
        <w:rPr>
          <w:rFonts w:ascii="Times New Roman" w:hAnsi="Times New Roman" w:cs="Times New Roman"/>
          <w:sz w:val="28"/>
          <w:szCs w:val="28"/>
        </w:rPr>
        <w:t>. Según l</w:t>
      </w:r>
      <w:r w:rsidRPr="000149EE">
        <w:rPr>
          <w:rFonts w:ascii="Times New Roman" w:hAnsi="Times New Roman" w:cs="Times New Roman"/>
          <w:sz w:val="28"/>
          <w:szCs w:val="28"/>
        </w:rPr>
        <w:t>o</w:t>
      </w:r>
      <w:r w:rsidRPr="000149EE">
        <w:rPr>
          <w:rFonts w:ascii="Times New Roman" w:hAnsi="Times New Roman" w:cs="Times New Roman"/>
          <w:sz w:val="28"/>
          <w:szCs w:val="28"/>
        </w:rPr>
        <w:t xml:space="preserve">s intervinientes, </w:t>
      </w:r>
      <w:r w:rsidRPr="000149EE">
        <w:rPr>
          <w:rFonts w:ascii="Times New Roman" w:hAnsi="Times New Roman" w:cs="Times New Roman"/>
          <w:sz w:val="28"/>
          <w:szCs w:val="28"/>
        </w:rPr>
        <w:t xml:space="preserve">la norma demandada </w:t>
      </w:r>
      <w:r w:rsidRPr="000149EE">
        <w:rPr>
          <w:rFonts w:ascii="Times New Roman" w:hAnsi="Times New Roman" w:cs="Times New Roman"/>
          <w:sz w:val="28"/>
          <w:szCs w:val="28"/>
        </w:rPr>
        <w:t>“no prevé una carga diferenciada entre sujetos comparables”</w:t>
      </w:r>
      <w:r w:rsidRPr="000149EE">
        <w:rPr>
          <w:rFonts w:ascii="Times New Roman" w:hAnsi="Times New Roman" w:cs="Times New Roman"/>
          <w:sz w:val="28"/>
          <w:szCs w:val="28"/>
        </w:rPr>
        <w:t>. P</w:t>
      </w:r>
      <w:r w:rsidRPr="000149EE">
        <w:rPr>
          <w:rFonts w:ascii="Times New Roman" w:hAnsi="Times New Roman" w:cs="Times New Roman"/>
          <w:sz w:val="28"/>
          <w:szCs w:val="28"/>
        </w:rPr>
        <w:t xml:space="preserve">or el contrario, </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establece unas </w:t>
      </w:r>
      <w:r w:rsidRPr="000149EE">
        <w:rPr>
          <w:rFonts w:ascii="Times New Roman" w:hAnsi="Times New Roman" w:cs="Times New Roman"/>
          <w:sz w:val="28"/>
          <w:szCs w:val="28"/>
        </w:rPr>
        <w:t>condiciones generales para acceder a la tarifa de 20% a las cuales pueden optar todos los usuarios industriales de zona</w:t>
      </w:r>
      <w:r w:rsidRPr="000149EE">
        <w:rPr>
          <w:rFonts w:ascii="Times New Roman" w:hAnsi="Times New Roman" w:cs="Times New Roman"/>
          <w:sz w:val="28"/>
          <w:szCs w:val="28"/>
        </w:rPr>
        <w:t xml:space="preserve"> franca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En cualquier caso, </w:t>
      </w:r>
      <w:r w:rsidRPr="000149EE">
        <w:rPr>
          <w:rFonts w:ascii="Times New Roman" w:hAnsi="Times New Roman" w:cs="Times New Roman"/>
          <w:sz w:val="28"/>
          <w:szCs w:val="28"/>
        </w:rPr>
        <w:t xml:space="preserve">el </w:t>
      </w:r>
      <w:r w:rsidRPr="000149EE">
        <w:rPr>
          <w:rFonts w:ascii="Times New Roman" w:hAnsi="Times New Roman" w:cs="Times New Roman"/>
          <w:sz w:val="28"/>
          <w:szCs w:val="28"/>
        </w:rPr>
        <w:t>MHCP</w:t>
      </w:r>
      <w:r w:rsidRPr="000149EE">
        <w:rPr>
          <w:rFonts w:ascii="Times New Roman" w:hAnsi="Times New Roman" w:cs="Times New Roman"/>
          <w:sz w:val="28"/>
          <w:szCs w:val="28"/>
        </w:rPr>
        <w:t xml:space="preserve"> y el DAPRE sost</w:t>
      </w:r>
      <w:r w:rsidRPr="000149EE">
        <w:rPr>
          <w:rFonts w:ascii="Times New Roman" w:hAnsi="Times New Roman" w:cs="Times New Roman"/>
          <w:sz w:val="28"/>
          <w:szCs w:val="28"/>
        </w:rPr>
        <w:t>ienen</w:t>
      </w:r>
      <w:r w:rsidRPr="000149EE">
        <w:rPr>
          <w:rFonts w:ascii="Times New Roman" w:hAnsi="Times New Roman" w:cs="Times New Roman"/>
          <w:sz w:val="28"/>
          <w:szCs w:val="28"/>
        </w:rPr>
        <w:t xml:space="preserve"> que, </w:t>
      </w:r>
      <w:r w:rsidRPr="000149EE">
        <w:rPr>
          <w:rFonts w:ascii="Times New Roman" w:hAnsi="Times New Roman" w:cs="Times New Roman"/>
          <w:sz w:val="28"/>
          <w:szCs w:val="28"/>
        </w:rPr>
        <w:t xml:space="preserve">aun si en gracia de discusión se aceptara que </w:t>
      </w:r>
      <w:r w:rsidRPr="000149EE">
        <w:rPr>
          <w:rFonts w:ascii="Times New Roman" w:hAnsi="Times New Roman" w:cs="Times New Roman"/>
          <w:sz w:val="28"/>
          <w:szCs w:val="28"/>
        </w:rPr>
        <w:t>existe</w:t>
      </w:r>
      <w:r w:rsidRPr="000149EE">
        <w:rPr>
          <w:rFonts w:ascii="Times New Roman" w:hAnsi="Times New Roman" w:cs="Times New Roman"/>
          <w:sz w:val="28"/>
          <w:szCs w:val="28"/>
        </w:rPr>
        <w:t xml:space="preserve"> un trato diferente en</w:t>
      </w:r>
      <w:r w:rsidRPr="000149EE">
        <w:rPr>
          <w:rFonts w:ascii="Times New Roman" w:hAnsi="Times New Roman" w:cs="Times New Roman"/>
          <w:sz w:val="28"/>
          <w:szCs w:val="28"/>
        </w:rPr>
        <w:t xml:space="preserve">tre usuarios, </w:t>
      </w:r>
      <w:r w:rsidRPr="000149EE">
        <w:rPr>
          <w:rFonts w:ascii="Times New Roman" w:hAnsi="Times New Roman" w:cs="Times New Roman"/>
          <w:sz w:val="28"/>
          <w:szCs w:val="28"/>
        </w:rPr>
        <w:t xml:space="preserve">la </w:t>
      </w:r>
      <w:r w:rsidRPr="000149EE">
        <w:rPr>
          <w:rFonts w:ascii="Times New Roman" w:hAnsi="Times New Roman" w:cs="Times New Roman"/>
          <w:sz w:val="28"/>
          <w:szCs w:val="28"/>
        </w:rPr>
        <w:t>norma</w:t>
      </w:r>
      <w:r w:rsidRPr="000149EE">
        <w:rPr>
          <w:rFonts w:ascii="Times New Roman" w:hAnsi="Times New Roman" w:cs="Times New Roman"/>
          <w:sz w:val="28"/>
          <w:szCs w:val="28"/>
        </w:rPr>
        <w:t xml:space="preserve"> es constitucional</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puesto que </w:t>
      </w:r>
      <w:r w:rsidRPr="000149EE">
        <w:rPr>
          <w:rFonts w:ascii="Times New Roman" w:hAnsi="Times New Roman" w:cs="Times New Roman"/>
          <w:sz w:val="28"/>
          <w:szCs w:val="28"/>
        </w:rPr>
        <w:t>supera</w:t>
      </w:r>
      <w:r w:rsidRPr="000149EE">
        <w:rPr>
          <w:rFonts w:ascii="Times New Roman" w:hAnsi="Times New Roman" w:cs="Times New Roman"/>
          <w:sz w:val="28"/>
          <w:szCs w:val="28"/>
        </w:rPr>
        <w:t xml:space="preserve"> las exigencias del juicio leve de igualdad. Esto, porque </w:t>
      </w:r>
      <w:bookmarkStart w:id="8" w:name="_Hlk167862428"/>
      <w:r w:rsidRPr="000149EE">
        <w:rPr>
          <w:rFonts w:ascii="Times New Roman" w:hAnsi="Times New Roman" w:cs="Times New Roman"/>
          <w:sz w:val="28"/>
          <w:szCs w:val="28"/>
        </w:rPr>
        <w:t>“persigue un fin constitucional válido, pues busca promover las exportaciones, compensando la carga tributaria que causa el impuesto de ren</w:t>
      </w:r>
      <w:r w:rsidRPr="000149EE">
        <w:rPr>
          <w:rFonts w:ascii="Times New Roman" w:hAnsi="Times New Roman" w:cs="Times New Roman"/>
          <w:sz w:val="28"/>
          <w:szCs w:val="28"/>
        </w:rPr>
        <w:t xml:space="preserve">ta para que las compañías colombianas puedan competir frente a compañías extranjeras que se benefician de impuestos corporativos inferiores, al tiempo que se corrige la competencia desigual que propició el régimen con compañías que, al estar por fuera del </w:t>
      </w:r>
      <w:r w:rsidRPr="000149EE">
        <w:rPr>
          <w:rFonts w:ascii="Times New Roman" w:hAnsi="Times New Roman" w:cs="Times New Roman"/>
          <w:sz w:val="28"/>
          <w:szCs w:val="28"/>
        </w:rPr>
        <w:t xml:space="preserve">régimen, pagaban la tarifa general del 35% respecto de actividades domésticas”. </w:t>
      </w:r>
      <w:r w:rsidRPr="000149EE">
        <w:rPr>
          <w:rFonts w:ascii="Times New Roman" w:hAnsi="Times New Roman" w:cs="Times New Roman"/>
          <w:sz w:val="28"/>
          <w:szCs w:val="28"/>
        </w:rPr>
        <w:t>Además,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menor tarifa </w:t>
      </w:r>
      <w:r w:rsidRPr="000149EE">
        <w:rPr>
          <w:rFonts w:ascii="Times New Roman" w:hAnsi="Times New Roman" w:cs="Times New Roman"/>
          <w:sz w:val="28"/>
          <w:szCs w:val="28"/>
        </w:rPr>
        <w:t xml:space="preserve">del impuesto a la renta </w:t>
      </w:r>
      <w:r w:rsidRPr="000149EE">
        <w:rPr>
          <w:rFonts w:ascii="Times New Roman" w:hAnsi="Times New Roman" w:cs="Times New Roman"/>
          <w:sz w:val="28"/>
          <w:szCs w:val="28"/>
        </w:rPr>
        <w:t xml:space="preserve">es una medida </w:t>
      </w:r>
      <w:r w:rsidRPr="000149EE">
        <w:rPr>
          <w:rFonts w:ascii="Times New Roman" w:hAnsi="Times New Roman" w:cs="Times New Roman"/>
          <w:sz w:val="28"/>
          <w:szCs w:val="28"/>
        </w:rPr>
        <w:t xml:space="preserve">idónea y adecuada para conseguir </w:t>
      </w:r>
      <w:r w:rsidRPr="000149EE">
        <w:rPr>
          <w:rFonts w:ascii="Times New Roman" w:hAnsi="Times New Roman" w:cs="Times New Roman"/>
          <w:sz w:val="28"/>
          <w:szCs w:val="28"/>
        </w:rPr>
        <w:t>tales</w:t>
      </w:r>
      <w:r w:rsidRPr="000149EE">
        <w:rPr>
          <w:rFonts w:ascii="Times New Roman" w:hAnsi="Times New Roman" w:cs="Times New Roman"/>
          <w:sz w:val="28"/>
          <w:szCs w:val="28"/>
        </w:rPr>
        <w:t xml:space="preserve"> finalidades, pues “permite fortalecer la vocación exportadora de las zonas </w:t>
      </w:r>
      <w:r w:rsidRPr="000149EE">
        <w:rPr>
          <w:rFonts w:ascii="Times New Roman" w:hAnsi="Times New Roman" w:cs="Times New Roman"/>
          <w:sz w:val="28"/>
          <w:szCs w:val="28"/>
        </w:rPr>
        <w:t xml:space="preserve">francas”. </w:t>
      </w:r>
      <w:bookmarkEnd w:id="8"/>
    </w:p>
    <w:p w:rsidR="003574B2" w:rsidRPr="000149EE" w:rsidRDefault="000149EE" w:rsidP="001A47E2">
      <w:pPr>
        <w:pStyle w:val="Prrafodelista"/>
        <w:widowControl w:val="0"/>
        <w:spacing w:line="240" w:lineRule="auto"/>
        <w:ind w:left="0"/>
        <w:rPr>
          <w:rFonts w:ascii="Times New Roman" w:hAnsi="Times New Roman"/>
          <w:color w:val="auto"/>
          <w:sz w:val="28"/>
        </w:rPr>
      </w:pPr>
    </w:p>
    <w:p w:rsidR="0042141F"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 xml:space="preserve">Federación Colombiana de </w:t>
      </w:r>
      <w:r w:rsidRPr="000149EE">
        <w:rPr>
          <w:rFonts w:ascii="Times New Roman" w:hAnsi="Times New Roman" w:cs="Times New Roman"/>
          <w:i/>
          <w:iCs/>
          <w:sz w:val="28"/>
          <w:szCs w:val="28"/>
        </w:rPr>
        <w:t>M</w:t>
      </w:r>
      <w:r w:rsidRPr="000149EE">
        <w:rPr>
          <w:rFonts w:ascii="Times New Roman" w:hAnsi="Times New Roman" w:cs="Times New Roman"/>
          <w:i/>
          <w:iCs/>
          <w:sz w:val="28"/>
          <w:szCs w:val="28"/>
        </w:rPr>
        <w:t>unicipios</w:t>
      </w:r>
      <w:r w:rsidRPr="000149EE">
        <w:rPr>
          <w:rFonts w:ascii="Times New Roman" w:hAnsi="Times New Roman" w:cs="Times New Roman"/>
          <w:sz w:val="28"/>
          <w:szCs w:val="28"/>
        </w:rPr>
        <w:t xml:space="preserve">. La </w:t>
      </w:r>
      <w:r w:rsidRPr="000149EE">
        <w:rPr>
          <w:rFonts w:ascii="Times New Roman" w:hAnsi="Times New Roman" w:cs="Times New Roman"/>
          <w:sz w:val="28"/>
          <w:szCs w:val="28"/>
        </w:rPr>
        <w:t>FCM</w:t>
      </w:r>
      <w:r w:rsidRPr="000149EE">
        <w:rPr>
          <w:rFonts w:ascii="Times New Roman" w:hAnsi="Times New Roman" w:cs="Times New Roman"/>
          <w:sz w:val="28"/>
          <w:szCs w:val="28"/>
        </w:rPr>
        <w:t xml:space="preserve"> solicit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a la Corte declarar la exequibilidad de las disposiciones demandadas. </w:t>
      </w:r>
      <w:r w:rsidRPr="000149EE">
        <w:rPr>
          <w:rFonts w:ascii="Times New Roman" w:hAnsi="Times New Roman" w:cs="Times New Roman"/>
          <w:sz w:val="28"/>
          <w:szCs w:val="28"/>
        </w:rPr>
        <w:t>Con fundamento en la</w:t>
      </w:r>
      <w:r w:rsidRPr="000149EE">
        <w:rPr>
          <w:rFonts w:ascii="Times New Roman" w:hAnsi="Times New Roman" w:cs="Times New Roman"/>
          <w:sz w:val="28"/>
          <w:szCs w:val="28"/>
        </w:rPr>
        <w:t xml:space="preserve"> sentencia C-304 de 2019</w:t>
      </w:r>
      <w:r w:rsidRPr="000149EE">
        <w:rPr>
          <w:rFonts w:ascii="Times New Roman" w:hAnsi="Times New Roman" w:cs="Times New Roman"/>
          <w:sz w:val="28"/>
          <w:szCs w:val="28"/>
        </w:rPr>
        <w:t>, argument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que </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si bien el asunto objeto de discusión no es de índole </w:t>
      </w:r>
      <w:r w:rsidRPr="000149EE">
        <w:rPr>
          <w:rFonts w:ascii="Times New Roman" w:hAnsi="Times New Roman" w:cs="Times New Roman"/>
          <w:sz w:val="28"/>
          <w:szCs w:val="28"/>
        </w:rPr>
        <w:t>municipal toda vez que se trata de un tributo de orden nacional, a partir de la potestad del legislador para establecer medidas entre ellas de carácter tributario que estimulen ciertas actividades, para lograr los fines del Estado, consideramos que la norm</w:t>
      </w:r>
      <w:r w:rsidRPr="000149EE">
        <w:rPr>
          <w:rFonts w:ascii="Times New Roman" w:hAnsi="Times New Roman" w:cs="Times New Roman"/>
          <w:sz w:val="28"/>
          <w:szCs w:val="28"/>
        </w:rPr>
        <w:t>a objeto de análisis es exequible y acorde a la Constitución y la ley</w:t>
      </w:r>
      <w:r w:rsidRPr="000149EE">
        <w:rPr>
          <w:rFonts w:ascii="Times New Roman" w:hAnsi="Times New Roman" w:cs="Times New Roman"/>
          <w:sz w:val="28"/>
          <w:szCs w:val="28"/>
        </w:rPr>
        <w:t>”.</w:t>
      </w:r>
    </w:p>
    <w:p w:rsidR="0012542C" w:rsidRPr="000149EE" w:rsidRDefault="000149EE" w:rsidP="001A47E2">
      <w:pPr>
        <w:rPr>
          <w:rFonts w:ascii="Times New Roman" w:hAnsi="Times New Roman" w:cs="Times New Roman"/>
          <w:i/>
          <w:iCs/>
          <w:sz w:val="28"/>
          <w:szCs w:val="28"/>
        </w:rPr>
      </w:pPr>
    </w:p>
    <w:p w:rsidR="00CD2AF1"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ICDT</w:t>
      </w:r>
      <w:r w:rsidRPr="000149EE">
        <w:rPr>
          <w:rFonts w:ascii="Times New Roman" w:hAnsi="Times New Roman" w:cs="Times New Roman"/>
          <w:sz w:val="28"/>
          <w:szCs w:val="28"/>
          <w:vertAlign w:val="superscript"/>
        </w:rPr>
        <w:footnoteReference w:id="35"/>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El ICDT </w:t>
      </w:r>
      <w:r w:rsidRPr="000149EE">
        <w:rPr>
          <w:rFonts w:ascii="Times New Roman" w:hAnsi="Times New Roman" w:cs="Times New Roman"/>
          <w:sz w:val="28"/>
          <w:szCs w:val="28"/>
        </w:rPr>
        <w:t>argumenta</w:t>
      </w:r>
      <w:r w:rsidRPr="000149EE">
        <w:rPr>
          <w:rFonts w:ascii="Times New Roman" w:hAnsi="Times New Roman" w:cs="Times New Roman"/>
          <w:sz w:val="28"/>
          <w:szCs w:val="28"/>
        </w:rPr>
        <w:t xml:space="preserve"> que la norma demandada no vulnera los principios de igualdad</w:t>
      </w:r>
      <w:r w:rsidRPr="000149EE">
        <w:rPr>
          <w:rFonts w:ascii="Times New Roman" w:hAnsi="Times New Roman" w:cs="Times New Roman"/>
          <w:sz w:val="28"/>
          <w:szCs w:val="28"/>
        </w:rPr>
        <w:t xml:space="preserve"> (art. 13 de la CP)</w:t>
      </w:r>
      <w:r w:rsidRPr="000149EE">
        <w:rPr>
          <w:rFonts w:ascii="Times New Roman" w:hAnsi="Times New Roman" w:cs="Times New Roman"/>
          <w:sz w:val="28"/>
          <w:szCs w:val="28"/>
        </w:rPr>
        <w:t xml:space="preserve"> y equidad tributaria</w:t>
      </w:r>
      <w:r w:rsidRPr="000149EE">
        <w:rPr>
          <w:rFonts w:ascii="Times New Roman" w:hAnsi="Times New Roman" w:cs="Times New Roman"/>
          <w:sz w:val="28"/>
          <w:szCs w:val="28"/>
        </w:rPr>
        <w:t xml:space="preserve"> (art. 363 de la CP)</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En primer lugar</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advierte</w:t>
      </w:r>
      <w:r w:rsidRPr="000149EE">
        <w:rPr>
          <w:rFonts w:ascii="Times New Roman" w:hAnsi="Times New Roman" w:cs="Times New Roman"/>
          <w:sz w:val="28"/>
          <w:szCs w:val="28"/>
        </w:rPr>
        <w:t xml:space="preserve"> que</w:t>
      </w:r>
      <w:r w:rsidRPr="000149EE">
        <w:rPr>
          <w:rFonts w:ascii="Times New Roman" w:hAnsi="Times New Roman" w:cs="Times New Roman"/>
          <w:sz w:val="28"/>
          <w:szCs w:val="28"/>
        </w:rPr>
        <w:t>, tal y</w:t>
      </w:r>
      <w:r w:rsidRPr="000149EE">
        <w:rPr>
          <w:rFonts w:ascii="Times New Roman" w:hAnsi="Times New Roman" w:cs="Times New Roman"/>
          <w:sz w:val="28"/>
          <w:szCs w:val="28"/>
        </w:rPr>
        <w:t xml:space="preserve"> como lo señala la demanda,</w:t>
      </w:r>
      <w:r w:rsidRPr="000149EE">
        <w:rPr>
          <w:rFonts w:ascii="Times New Roman" w:hAnsi="Times New Roman" w:cs="Times New Roman"/>
          <w:sz w:val="28"/>
          <w:szCs w:val="28"/>
        </w:rPr>
        <w:t xml:space="preserve"> la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norma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acusada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establec</w:t>
      </w:r>
      <w:r w:rsidRPr="000149EE">
        <w:rPr>
          <w:rFonts w:ascii="Times New Roman" w:hAnsi="Times New Roman" w:cs="Times New Roman"/>
          <w:sz w:val="28"/>
          <w:szCs w:val="28"/>
        </w:rPr>
        <w:t>en</w:t>
      </w:r>
      <w:r w:rsidRPr="000149EE">
        <w:rPr>
          <w:rFonts w:ascii="Times New Roman" w:hAnsi="Times New Roman" w:cs="Times New Roman"/>
          <w:sz w:val="28"/>
          <w:szCs w:val="28"/>
        </w:rPr>
        <w:t xml:space="preserve"> un trato tributario diferente entre </w:t>
      </w:r>
      <w:r w:rsidRPr="000149EE">
        <w:rPr>
          <w:rFonts w:ascii="Times New Roman" w:hAnsi="Times New Roman" w:cs="Times New Roman"/>
          <w:sz w:val="28"/>
          <w:szCs w:val="28"/>
        </w:rPr>
        <w:t xml:space="preserve">dos grupos de sujetos comparables: </w:t>
      </w:r>
      <w:r w:rsidRPr="000149EE">
        <w:rPr>
          <w:rFonts w:ascii="Times New Roman" w:hAnsi="Times New Roman" w:cs="Times New Roman"/>
          <w:sz w:val="28"/>
          <w:szCs w:val="28"/>
        </w:rPr>
        <w:t xml:space="preserve">los usuarios industriales de zona franca que exportan y aquellos que no </w:t>
      </w:r>
      <w:r w:rsidRPr="000149EE">
        <w:rPr>
          <w:rFonts w:ascii="Times New Roman" w:hAnsi="Times New Roman" w:cs="Times New Roman"/>
          <w:sz w:val="28"/>
          <w:szCs w:val="28"/>
        </w:rPr>
        <w:t>lo hacen</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Sin embargo, argument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que el trato diferent</w:t>
      </w:r>
      <w:r w:rsidRPr="000149EE">
        <w:rPr>
          <w:rFonts w:ascii="Times New Roman" w:hAnsi="Times New Roman" w:cs="Times New Roman"/>
          <w:sz w:val="28"/>
          <w:szCs w:val="28"/>
        </w:rPr>
        <w:t>e e</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compatible con la Constitución y est</w:t>
      </w:r>
      <w:r w:rsidRPr="000149EE">
        <w:rPr>
          <w:rFonts w:ascii="Times New Roman" w:hAnsi="Times New Roman" w:cs="Times New Roman"/>
          <w:sz w:val="28"/>
          <w:szCs w:val="28"/>
        </w:rPr>
        <w:t xml:space="preserve">á </w:t>
      </w:r>
      <w:r w:rsidRPr="000149EE">
        <w:rPr>
          <w:rFonts w:ascii="Times New Roman" w:hAnsi="Times New Roman" w:cs="Times New Roman"/>
          <w:sz w:val="28"/>
          <w:szCs w:val="28"/>
        </w:rPr>
        <w:t>amparado por el amplio margen de configuraci</w:t>
      </w:r>
      <w:r w:rsidRPr="000149EE">
        <w:rPr>
          <w:rFonts w:ascii="Times New Roman" w:hAnsi="Times New Roman" w:cs="Times New Roman"/>
          <w:sz w:val="28"/>
          <w:szCs w:val="28"/>
        </w:rPr>
        <w:t>ón</w:t>
      </w:r>
      <w:r w:rsidRPr="000149EE">
        <w:rPr>
          <w:rFonts w:ascii="Times New Roman" w:hAnsi="Times New Roman" w:cs="Times New Roman"/>
          <w:sz w:val="28"/>
          <w:szCs w:val="28"/>
        </w:rPr>
        <w:t xml:space="preserve"> del legislador. Según el ICDT, para </w:t>
      </w:r>
      <w:r w:rsidRPr="000149EE">
        <w:rPr>
          <w:rFonts w:ascii="Times New Roman" w:hAnsi="Times New Roman" w:cs="Times New Roman"/>
          <w:sz w:val="28"/>
          <w:szCs w:val="28"/>
        </w:rPr>
        <w:t>examinar</w:t>
      </w:r>
      <w:r w:rsidRPr="000149EE">
        <w:rPr>
          <w:rFonts w:ascii="Times New Roman" w:hAnsi="Times New Roman" w:cs="Times New Roman"/>
          <w:sz w:val="28"/>
          <w:szCs w:val="28"/>
        </w:rPr>
        <w:t xml:space="preserve"> la </w:t>
      </w:r>
      <w:r w:rsidRPr="000149EE">
        <w:rPr>
          <w:rFonts w:ascii="Times New Roman" w:hAnsi="Times New Roman" w:cs="Times New Roman"/>
          <w:sz w:val="28"/>
          <w:szCs w:val="28"/>
        </w:rPr>
        <w:t>constitucionalidad</w:t>
      </w:r>
      <w:r w:rsidRPr="000149EE">
        <w:rPr>
          <w:rFonts w:ascii="Times New Roman" w:hAnsi="Times New Roman" w:cs="Times New Roman"/>
          <w:sz w:val="28"/>
          <w:szCs w:val="28"/>
        </w:rPr>
        <w:t xml:space="preserve"> del trato diferente</w:t>
      </w:r>
      <w:r w:rsidRPr="000149EE">
        <w:rPr>
          <w:rFonts w:ascii="Times New Roman" w:hAnsi="Times New Roman" w:cs="Times New Roman"/>
          <w:sz w:val="28"/>
          <w:szCs w:val="28"/>
        </w:rPr>
        <w:t>, la</w:t>
      </w:r>
      <w:r w:rsidRPr="000149EE">
        <w:rPr>
          <w:rFonts w:ascii="Times New Roman" w:hAnsi="Times New Roman" w:cs="Times New Roman"/>
          <w:sz w:val="28"/>
          <w:szCs w:val="28"/>
        </w:rPr>
        <w:t xml:space="preserve"> Corte deb</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 aplicar un juicio de igualdad d</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intensidad</w:t>
      </w:r>
      <w:r w:rsidRPr="000149EE">
        <w:rPr>
          <w:rFonts w:ascii="Times New Roman" w:hAnsi="Times New Roman" w:cs="Times New Roman"/>
          <w:sz w:val="28"/>
          <w:szCs w:val="28"/>
        </w:rPr>
        <w:t xml:space="preserve"> intermedia puesto qu</w:t>
      </w:r>
      <w:r w:rsidRPr="000149EE">
        <w:rPr>
          <w:rFonts w:ascii="Times New Roman" w:hAnsi="Times New Roman" w:cs="Times New Roman"/>
          <w:sz w:val="28"/>
          <w:szCs w:val="28"/>
        </w:rPr>
        <w:t>e exist</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 “un indicio de </w:t>
      </w:r>
      <w:r w:rsidRPr="000149EE">
        <w:rPr>
          <w:rFonts w:ascii="Times New Roman" w:hAnsi="Times New Roman" w:cs="Times New Roman"/>
          <w:sz w:val="28"/>
          <w:szCs w:val="28"/>
        </w:rPr>
        <w:t>trato discriminatorio</w:t>
      </w:r>
      <w:r w:rsidRPr="000149EE">
        <w:rPr>
          <w:rFonts w:ascii="Times New Roman" w:hAnsi="Times New Roman" w:cs="Times New Roman"/>
          <w:sz w:val="28"/>
          <w:szCs w:val="28"/>
        </w:rPr>
        <w:t>”</w:t>
      </w:r>
      <w:r w:rsidRPr="000149EE">
        <w:rPr>
          <w:rStyle w:val="Refdenotaalpie"/>
          <w:rFonts w:ascii="Times New Roman" w:hAnsi="Times New Roman" w:cs="Times New Roman"/>
          <w:sz w:val="28"/>
          <w:szCs w:val="28"/>
        </w:rPr>
        <w:footnoteReference w:id="36"/>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en tanto</w:t>
      </w:r>
      <w:r w:rsidRPr="000149EE">
        <w:rPr>
          <w:rFonts w:ascii="Times New Roman" w:hAnsi="Times New Roman" w:cs="Times New Roman"/>
          <w:sz w:val="28"/>
          <w:szCs w:val="28"/>
        </w:rPr>
        <w:t xml:space="preserve"> la norma </w:t>
      </w:r>
      <w:r w:rsidRPr="000149EE">
        <w:rPr>
          <w:rFonts w:ascii="Times New Roman" w:hAnsi="Times New Roman" w:cs="Times New Roman"/>
          <w:sz w:val="28"/>
          <w:szCs w:val="28"/>
        </w:rPr>
        <w:t>prevé</w:t>
      </w:r>
      <w:r w:rsidRPr="000149EE">
        <w:rPr>
          <w:rFonts w:ascii="Times New Roman" w:hAnsi="Times New Roman" w:cs="Times New Roman"/>
          <w:sz w:val="28"/>
          <w:szCs w:val="28"/>
        </w:rPr>
        <w:t xml:space="preserve"> un beneficio fiscal (menor tarifa del impuesto a la renta) para un grupo de contribuyentes.</w:t>
      </w:r>
      <w:r w:rsidRPr="000149EE">
        <w:rPr>
          <w:rFonts w:ascii="Times New Roman" w:hAnsi="Times New Roman" w:cs="Times New Roman"/>
          <w:sz w:val="28"/>
          <w:szCs w:val="28"/>
        </w:rPr>
        <w:t xml:space="preserve"> </w:t>
      </w:r>
    </w:p>
    <w:p w:rsidR="00CD2AF1" w:rsidRPr="000149EE" w:rsidRDefault="000149EE" w:rsidP="001A47E2">
      <w:pPr>
        <w:pStyle w:val="Prrafodelista"/>
        <w:spacing w:line="240" w:lineRule="auto"/>
        <w:rPr>
          <w:rFonts w:ascii="Times New Roman" w:hAnsi="Times New Roman"/>
          <w:color w:val="auto"/>
          <w:sz w:val="28"/>
        </w:rPr>
      </w:pPr>
    </w:p>
    <w:p w:rsidR="00FB192C"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En criterio del interviniente, la norma demandada satisfa</w:t>
      </w:r>
      <w:r w:rsidRPr="000149EE">
        <w:rPr>
          <w:rFonts w:ascii="Times New Roman" w:hAnsi="Times New Roman" w:cs="Times New Roman"/>
          <w:sz w:val="28"/>
          <w:szCs w:val="28"/>
        </w:rPr>
        <w:t>ce</w:t>
      </w:r>
      <w:r w:rsidRPr="000149EE">
        <w:rPr>
          <w:rFonts w:ascii="Times New Roman" w:hAnsi="Times New Roman" w:cs="Times New Roman"/>
          <w:sz w:val="28"/>
          <w:szCs w:val="28"/>
        </w:rPr>
        <w:t xml:space="preserve"> las exigencias de este juicio. Primero, pers</w:t>
      </w:r>
      <w:r w:rsidRPr="000149EE">
        <w:rPr>
          <w:rFonts w:ascii="Times New Roman" w:hAnsi="Times New Roman" w:cs="Times New Roman"/>
          <w:sz w:val="28"/>
          <w:szCs w:val="28"/>
        </w:rPr>
        <w:t>igue</w:t>
      </w:r>
      <w:r w:rsidRPr="000149EE">
        <w:rPr>
          <w:rFonts w:ascii="Times New Roman" w:hAnsi="Times New Roman" w:cs="Times New Roman"/>
          <w:sz w:val="28"/>
          <w:szCs w:val="28"/>
        </w:rPr>
        <w:t xml:space="preserve"> una finalidad </w:t>
      </w:r>
      <w:r w:rsidRPr="000149EE">
        <w:rPr>
          <w:rFonts w:ascii="Times New Roman" w:hAnsi="Times New Roman" w:cs="Times New Roman"/>
          <w:sz w:val="28"/>
          <w:szCs w:val="28"/>
        </w:rPr>
        <w:t xml:space="preserve">“válida”: promover las exportaciones. Segundo, </w:t>
      </w:r>
      <w:r w:rsidRPr="000149EE">
        <w:rPr>
          <w:rFonts w:ascii="Times New Roman" w:hAnsi="Times New Roman" w:cs="Times New Roman"/>
          <w:sz w:val="28"/>
          <w:szCs w:val="28"/>
        </w:rPr>
        <w:t>existe una relación medio-fin</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porque el “incremento de la tarifa del impuesto sobre la renta resulta un medio adecuado para lograr promover las </w:t>
      </w:r>
      <w:r w:rsidRPr="000149EE">
        <w:rPr>
          <w:rFonts w:ascii="Times New Roman" w:hAnsi="Times New Roman" w:cs="Times New Roman"/>
          <w:sz w:val="28"/>
          <w:szCs w:val="28"/>
        </w:rPr>
        <w:t>exportaciones”</w:t>
      </w:r>
      <w:r w:rsidRPr="000149EE">
        <w:rPr>
          <w:rStyle w:val="Refdenotaalpie"/>
          <w:rFonts w:ascii="Times New Roman" w:hAnsi="Times New Roman" w:cs="Times New Roman"/>
          <w:sz w:val="28"/>
          <w:szCs w:val="28"/>
        </w:rPr>
        <w:footnoteReference w:id="37"/>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Tercero, e</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proporcional en sentido estricto</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porque para “los usuarios industriales de bienes y/o servicios que no alcancen las metas de exportación, la tarifa aplicable es la general, aplicable a los demás contribuyentes personas jurídic</w:t>
      </w:r>
      <w:r w:rsidRPr="000149EE">
        <w:rPr>
          <w:rFonts w:ascii="Times New Roman" w:hAnsi="Times New Roman" w:cs="Times New Roman"/>
          <w:sz w:val="28"/>
          <w:szCs w:val="28"/>
        </w:rPr>
        <w:t xml:space="preserve">as”. Por lo demás, resaltó que </w:t>
      </w:r>
      <w:r w:rsidRPr="000149EE">
        <w:rPr>
          <w:rFonts w:ascii="Times New Roman" w:hAnsi="Times New Roman" w:cs="Times New Roman"/>
          <w:sz w:val="28"/>
          <w:szCs w:val="28"/>
        </w:rPr>
        <w:t>“no se encuentra en la normativa que rige las zonas francas una prohibición de exportar para algunos de los usuarios industriales de bienes y/o servicios”</w:t>
      </w:r>
      <w:r w:rsidRPr="000149EE">
        <w:rPr>
          <w:rStyle w:val="Refdenotaalpie"/>
          <w:rFonts w:ascii="Times New Roman" w:hAnsi="Times New Roman" w:cs="Times New Roman"/>
          <w:sz w:val="28"/>
          <w:szCs w:val="28"/>
        </w:rPr>
        <w:footnoteReference w:id="38"/>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En tales términos, solicitó a la Corte declarar la exequibilidad simple de la norma demandada. </w:t>
      </w:r>
      <w:r w:rsidRPr="000149EE">
        <w:rPr>
          <w:rFonts w:ascii="Times New Roman" w:hAnsi="Times New Roman" w:cs="Times New Roman"/>
          <w:sz w:val="28"/>
          <w:szCs w:val="28"/>
        </w:rPr>
        <w:t xml:space="preserve"> </w:t>
      </w:r>
    </w:p>
    <w:p w:rsidR="00E22540" w:rsidRPr="000149EE" w:rsidRDefault="000149EE" w:rsidP="001A47E2">
      <w:pPr>
        <w:pStyle w:val="Prrafodelista"/>
        <w:widowControl w:val="0"/>
        <w:spacing w:line="240" w:lineRule="auto"/>
        <w:ind w:left="0"/>
        <w:rPr>
          <w:rFonts w:ascii="Times New Roman" w:hAnsi="Times New Roman"/>
          <w:color w:val="auto"/>
          <w:sz w:val="28"/>
        </w:rPr>
      </w:pPr>
    </w:p>
    <w:p w:rsidR="00B43CC2"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ANALDEX</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ANALDEX </w:t>
      </w:r>
      <w:r w:rsidRPr="000149EE">
        <w:rPr>
          <w:rFonts w:ascii="Times New Roman" w:hAnsi="Times New Roman" w:cs="Times New Roman"/>
          <w:sz w:val="28"/>
          <w:szCs w:val="28"/>
        </w:rPr>
        <w:t>a</w:t>
      </w:r>
      <w:r w:rsidRPr="000149EE">
        <w:rPr>
          <w:rFonts w:ascii="Times New Roman" w:hAnsi="Times New Roman" w:cs="Times New Roman"/>
          <w:sz w:val="28"/>
          <w:szCs w:val="28"/>
        </w:rPr>
        <w:t>dvirtió que</w:t>
      </w:r>
      <w:r w:rsidRPr="000149EE">
        <w:rPr>
          <w:rFonts w:ascii="Times New Roman" w:hAnsi="Times New Roman" w:cs="Times New Roman"/>
          <w:sz w:val="28"/>
          <w:szCs w:val="28"/>
        </w:rPr>
        <w:t xml:space="preserve">, en las sentencias </w:t>
      </w:r>
      <w:r w:rsidRPr="000149EE">
        <w:rPr>
          <w:rFonts w:ascii="Times New Roman" w:hAnsi="Times New Roman" w:cs="Times New Roman"/>
          <w:sz w:val="28"/>
          <w:szCs w:val="28"/>
        </w:rPr>
        <w:t>C-384 de 2023 y C-500 de 2023</w:t>
      </w:r>
      <w:r w:rsidRPr="000149EE">
        <w:rPr>
          <w:rFonts w:ascii="Times New Roman" w:hAnsi="Times New Roman" w:cs="Times New Roman"/>
          <w:sz w:val="28"/>
          <w:szCs w:val="28"/>
        </w:rPr>
        <w:t>, la Corte Constitucional</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examinó la constitucionalidad d</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l </w:t>
      </w:r>
      <w:r w:rsidRPr="000149EE">
        <w:rPr>
          <w:rFonts w:ascii="Times New Roman" w:hAnsi="Times New Roman" w:cs="Times New Roman"/>
          <w:sz w:val="28"/>
          <w:szCs w:val="28"/>
        </w:rPr>
        <w:t>artículo</w:t>
      </w:r>
      <w:r w:rsidRPr="000149EE">
        <w:rPr>
          <w:rFonts w:ascii="Times New Roman" w:hAnsi="Times New Roman" w:cs="Times New Roman"/>
          <w:sz w:val="28"/>
          <w:szCs w:val="28"/>
        </w:rPr>
        <w:t xml:space="preserve"> 11 de la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w:t>
      </w:r>
      <w:r w:rsidRPr="000149EE">
        <w:rPr>
          <w:rFonts w:ascii="Times New Roman" w:hAnsi="Times New Roman" w:cs="Times New Roman"/>
          <w:sz w:val="28"/>
          <w:szCs w:val="28"/>
        </w:rPr>
        <w:t>ey 2277 de 2022</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En su criterio, “teniendo en cuenta los presupuestos de cosa juzgada, </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el artículo es exequible, condicionado a los términos de la sentencia C-384 de 2023”.</w:t>
      </w:r>
    </w:p>
    <w:p w:rsidR="009D74FA" w:rsidRPr="000149EE" w:rsidRDefault="000149EE" w:rsidP="001A47E2">
      <w:pPr>
        <w:pStyle w:val="Prrafodelista"/>
        <w:spacing w:line="240" w:lineRule="auto"/>
        <w:rPr>
          <w:rFonts w:ascii="Times New Roman" w:hAnsi="Times New Roman"/>
          <w:sz w:val="28"/>
        </w:rPr>
      </w:pPr>
    </w:p>
    <w:p w:rsidR="009D74FA"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ANDI</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La ANDI solicit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a la Corte proferir un fallo inhibitorio, </w:t>
      </w:r>
      <w:r w:rsidRPr="000149EE">
        <w:rPr>
          <w:rFonts w:ascii="Times New Roman" w:hAnsi="Times New Roman" w:cs="Times New Roman"/>
          <w:sz w:val="28"/>
          <w:szCs w:val="28"/>
        </w:rPr>
        <w:t>al</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considerar que la demanda carece de claridad, especificidad y suficiencia.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Según el interviniente, la demanda n</w:t>
      </w:r>
      <w:r w:rsidRPr="000149EE">
        <w:rPr>
          <w:rFonts w:ascii="Times New Roman" w:hAnsi="Times New Roman" w:cs="Times New Roman"/>
          <w:sz w:val="28"/>
          <w:szCs w:val="28"/>
        </w:rPr>
        <w:t xml:space="preserve">o es </w:t>
      </w:r>
      <w:r w:rsidRPr="000149EE">
        <w:rPr>
          <w:rFonts w:ascii="Times New Roman" w:hAnsi="Times New Roman" w:cs="Times New Roman"/>
          <w:i/>
          <w:iCs/>
          <w:sz w:val="28"/>
          <w:szCs w:val="28"/>
        </w:rPr>
        <w:t>clara</w:t>
      </w:r>
      <w:r w:rsidRPr="000149EE">
        <w:rPr>
          <w:rFonts w:ascii="Times New Roman" w:hAnsi="Times New Roman" w:cs="Times New Roman"/>
          <w:sz w:val="28"/>
          <w:szCs w:val="28"/>
        </w:rPr>
        <w:t xml:space="preserve">, porque se limita a mencionar las actividades de exportación que realizan algunos usuarios industriales y las </w:t>
      </w:r>
      <w:r w:rsidRPr="000149EE">
        <w:rPr>
          <w:rFonts w:ascii="Times New Roman" w:hAnsi="Times New Roman" w:cs="Times New Roman"/>
          <w:sz w:val="28"/>
          <w:szCs w:val="28"/>
        </w:rPr>
        <w:t>que están</w:t>
      </w:r>
      <w:r w:rsidRPr="000149EE">
        <w:rPr>
          <w:rFonts w:ascii="Times New Roman" w:hAnsi="Times New Roman" w:cs="Times New Roman"/>
          <w:sz w:val="28"/>
          <w:szCs w:val="28"/>
        </w:rPr>
        <w:t xml:space="preserve"> destinadas al </w:t>
      </w:r>
      <w:r w:rsidRPr="000149EE">
        <w:rPr>
          <w:rFonts w:ascii="Times New Roman" w:hAnsi="Times New Roman" w:cs="Times New Roman"/>
          <w:sz w:val="28"/>
          <w:szCs w:val="28"/>
        </w:rPr>
        <w:t>mercado local por parte de otros, “pero no tiene en cuenta que hay usuarios que por su naturaleza deben prestar sus servicios o vender sus bienes en el mercado local por mandato legal”</w:t>
      </w:r>
      <w:r w:rsidRPr="000149EE">
        <w:rPr>
          <w:rFonts w:ascii="Times New Roman" w:hAnsi="Times New Roman" w:cs="Times New Roman"/>
          <w:sz w:val="28"/>
          <w:szCs w:val="28"/>
        </w:rPr>
        <w:t xml:space="preserve">. Tampoco </w:t>
      </w:r>
      <w:r w:rsidRPr="000149EE">
        <w:rPr>
          <w:rFonts w:ascii="Times New Roman" w:hAnsi="Times New Roman" w:cs="Times New Roman"/>
          <w:sz w:val="28"/>
          <w:szCs w:val="28"/>
        </w:rPr>
        <w:t xml:space="preserve">es </w:t>
      </w:r>
      <w:r w:rsidRPr="000149EE">
        <w:rPr>
          <w:rFonts w:ascii="Times New Roman" w:hAnsi="Times New Roman" w:cs="Times New Roman"/>
          <w:i/>
          <w:iCs/>
          <w:sz w:val="28"/>
          <w:szCs w:val="28"/>
        </w:rPr>
        <w:t>específica</w:t>
      </w:r>
      <w:r w:rsidRPr="000149EE">
        <w:rPr>
          <w:rFonts w:ascii="Times New Roman" w:hAnsi="Times New Roman" w:cs="Times New Roman"/>
          <w:sz w:val="28"/>
          <w:szCs w:val="28"/>
        </w:rPr>
        <w:t>, por cuanto no tiene en cuenta</w:t>
      </w:r>
      <w:r w:rsidRPr="000149EE">
        <w:rPr>
          <w:rFonts w:ascii="Times New Roman" w:hAnsi="Times New Roman" w:cs="Times New Roman"/>
          <w:sz w:val="28"/>
          <w:szCs w:val="28"/>
        </w:rPr>
        <w:t xml:space="preserve"> a</w:t>
      </w:r>
      <w:r w:rsidRPr="000149EE">
        <w:rPr>
          <w:rFonts w:ascii="Times New Roman" w:hAnsi="Times New Roman" w:cs="Times New Roman"/>
          <w:sz w:val="28"/>
          <w:szCs w:val="28"/>
        </w:rPr>
        <w:t xml:space="preserve"> “los usuarios q</w:t>
      </w:r>
      <w:r w:rsidRPr="000149EE">
        <w:rPr>
          <w:rFonts w:ascii="Times New Roman" w:hAnsi="Times New Roman" w:cs="Times New Roman"/>
          <w:sz w:val="28"/>
          <w:szCs w:val="28"/>
        </w:rPr>
        <w:t xml:space="preserve">ue por su imposibilidad de aplicar parámetros de internacionalización o por realizar actividades estratégicas para el desarrollo del régimen franco tienen un tratamiento diferencial”. </w:t>
      </w:r>
      <w:r w:rsidRPr="000149EE">
        <w:rPr>
          <w:rFonts w:ascii="Times New Roman" w:hAnsi="Times New Roman" w:cs="Times New Roman"/>
          <w:sz w:val="28"/>
          <w:szCs w:val="28"/>
        </w:rPr>
        <w:t>Por último,</w:t>
      </w:r>
      <w:r w:rsidRPr="000149EE">
        <w:rPr>
          <w:rFonts w:ascii="Times New Roman" w:hAnsi="Times New Roman" w:cs="Times New Roman"/>
          <w:sz w:val="28"/>
          <w:szCs w:val="28"/>
        </w:rPr>
        <w:t xml:space="preserve"> no es </w:t>
      </w:r>
      <w:r w:rsidRPr="000149EE">
        <w:rPr>
          <w:rFonts w:ascii="Times New Roman" w:hAnsi="Times New Roman" w:cs="Times New Roman"/>
          <w:i/>
          <w:iCs/>
          <w:sz w:val="28"/>
          <w:szCs w:val="28"/>
        </w:rPr>
        <w:t>suficiente</w:t>
      </w:r>
      <w:r w:rsidRPr="000149EE">
        <w:rPr>
          <w:rFonts w:ascii="Times New Roman" w:hAnsi="Times New Roman" w:cs="Times New Roman"/>
          <w:sz w:val="28"/>
          <w:szCs w:val="28"/>
        </w:rPr>
        <w:t>, porque la ausencia de claridad y especific</w:t>
      </w:r>
      <w:r w:rsidRPr="000149EE">
        <w:rPr>
          <w:rFonts w:ascii="Times New Roman" w:hAnsi="Times New Roman" w:cs="Times New Roman"/>
          <w:sz w:val="28"/>
          <w:szCs w:val="28"/>
        </w:rPr>
        <w:t>idad genera que la Corte “en este caso concreto, no tenga un problema jurídico lo suficientemente estructurado que le permita tomar una decisión acotada a los objetivos de la demandante”.</w:t>
      </w:r>
    </w:p>
    <w:p w:rsidR="00F1476D" w:rsidRPr="000149EE" w:rsidRDefault="000149EE" w:rsidP="001A47E2">
      <w:pPr>
        <w:pStyle w:val="Prrafodelista"/>
        <w:spacing w:line="240" w:lineRule="auto"/>
        <w:rPr>
          <w:rFonts w:ascii="Times New Roman" w:hAnsi="Times New Roman"/>
          <w:sz w:val="28"/>
        </w:rPr>
      </w:pPr>
    </w:p>
    <w:p w:rsidR="00F1476D"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La siguiente tabla sintetiza las solicitudes de los intervinientes:</w:t>
      </w:r>
      <w:r w:rsidRPr="000149EE">
        <w:rPr>
          <w:rFonts w:ascii="Times New Roman" w:hAnsi="Times New Roman" w:cs="Times New Roman"/>
          <w:sz w:val="28"/>
          <w:szCs w:val="28"/>
        </w:rPr>
        <w:t xml:space="preserve"> </w:t>
      </w:r>
    </w:p>
    <w:p w:rsidR="00F1476D" w:rsidRPr="000149EE" w:rsidRDefault="000149EE" w:rsidP="001A47E2">
      <w:pPr>
        <w:pStyle w:val="Prrafodelista"/>
        <w:spacing w:line="240" w:lineRule="auto"/>
        <w:rPr>
          <w:rFonts w:ascii="Times New Roman" w:hAnsi="Times New Roman"/>
          <w:sz w:val="28"/>
        </w:rPr>
      </w:pPr>
    </w:p>
    <w:tbl>
      <w:tblPr>
        <w:tblW w:w="4799"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5782"/>
      </w:tblGrid>
      <w:tr w:rsidR="00A26DB9" w:rsidRPr="000149EE" w:rsidTr="008C1BA3">
        <w:tc>
          <w:tcPr>
            <w:tcW w:w="1589" w:type="pct"/>
            <w:shd w:val="clear" w:color="auto" w:fill="D9D9D9" w:themeFill="background1" w:themeFillShade="D9"/>
          </w:tcPr>
          <w:p w:rsidR="00A26DB9" w:rsidRPr="000149EE" w:rsidRDefault="000149EE" w:rsidP="001A47E2">
            <w:pPr>
              <w:widowControl w:val="0"/>
              <w:jc w:val="center"/>
              <w:rPr>
                <w:rFonts w:ascii="Times New Roman" w:eastAsia="Times New Roman" w:hAnsi="Times New Roman" w:cs="Times New Roman"/>
                <w:b/>
                <w:sz w:val="28"/>
                <w:szCs w:val="24"/>
              </w:rPr>
            </w:pPr>
            <w:r w:rsidRPr="000149EE">
              <w:rPr>
                <w:rFonts w:ascii="Times New Roman" w:eastAsia="Times New Roman" w:hAnsi="Times New Roman" w:cs="Times New Roman"/>
                <w:b/>
                <w:sz w:val="28"/>
                <w:szCs w:val="24"/>
              </w:rPr>
              <w:t xml:space="preserve">Interviniente </w:t>
            </w:r>
          </w:p>
        </w:tc>
        <w:tc>
          <w:tcPr>
            <w:tcW w:w="3411" w:type="pct"/>
            <w:shd w:val="clear" w:color="auto" w:fill="D9D9D9" w:themeFill="background1" w:themeFillShade="D9"/>
          </w:tcPr>
          <w:p w:rsidR="00A26DB9" w:rsidRPr="000149EE" w:rsidRDefault="000149EE" w:rsidP="001A47E2">
            <w:pPr>
              <w:widowControl w:val="0"/>
              <w:jc w:val="center"/>
              <w:rPr>
                <w:rFonts w:ascii="Times New Roman" w:eastAsia="Times New Roman" w:hAnsi="Times New Roman" w:cs="Times New Roman"/>
                <w:b/>
                <w:sz w:val="28"/>
                <w:szCs w:val="24"/>
              </w:rPr>
            </w:pPr>
            <w:r w:rsidRPr="000149EE">
              <w:rPr>
                <w:rFonts w:ascii="Times New Roman" w:eastAsia="Times New Roman" w:hAnsi="Times New Roman" w:cs="Times New Roman"/>
                <w:b/>
                <w:sz w:val="28"/>
                <w:szCs w:val="24"/>
              </w:rPr>
              <w:t xml:space="preserve">Solicitudes </w:t>
            </w:r>
          </w:p>
        </w:tc>
      </w:tr>
      <w:tr w:rsidR="00A26DB9" w:rsidRPr="000149EE" w:rsidTr="008C1BA3">
        <w:tc>
          <w:tcPr>
            <w:tcW w:w="1589" w:type="pct"/>
            <w:shd w:val="clear" w:color="auto" w:fill="D9D9D9" w:themeFill="background1" w:themeFillShade="D9"/>
            <w:vAlign w:val="center"/>
          </w:tcPr>
          <w:p w:rsidR="00A26DB9" w:rsidRPr="000149EE" w:rsidRDefault="000149EE" w:rsidP="001A47E2">
            <w:pPr>
              <w:widowControl w:val="0"/>
              <w:jc w:val="center"/>
              <w:rPr>
                <w:rFonts w:ascii="Times New Roman" w:eastAsia="Times New Roman" w:hAnsi="Times New Roman" w:cs="Times New Roman"/>
                <w:b/>
                <w:bCs/>
                <w:sz w:val="28"/>
                <w:szCs w:val="24"/>
              </w:rPr>
            </w:pPr>
            <w:bookmarkStart w:id="9" w:name="_Hlk141050095"/>
            <w:bookmarkStart w:id="10" w:name="_Hlk117781811"/>
            <w:r w:rsidRPr="000149EE">
              <w:rPr>
                <w:rFonts w:ascii="Times New Roman" w:eastAsia="Times New Roman" w:hAnsi="Times New Roman" w:cs="Times New Roman"/>
                <w:b/>
                <w:bCs/>
                <w:sz w:val="28"/>
                <w:szCs w:val="24"/>
              </w:rPr>
              <w:t xml:space="preserve">DIAN </w:t>
            </w:r>
            <w:bookmarkEnd w:id="9"/>
            <w:bookmarkEnd w:id="10"/>
          </w:p>
        </w:tc>
        <w:tc>
          <w:tcPr>
            <w:tcW w:w="3411" w:type="pct"/>
            <w:shd w:val="clear" w:color="auto" w:fill="auto"/>
          </w:tcPr>
          <w:p w:rsidR="00A26DB9" w:rsidRPr="000149EE" w:rsidRDefault="000149EE" w:rsidP="001A47E2">
            <w:pPr>
              <w:widowControl w:val="0"/>
              <w:jc w:val="center"/>
              <w:rPr>
                <w:rFonts w:ascii="Times New Roman" w:eastAsia="Times New Roman" w:hAnsi="Times New Roman" w:cs="Times New Roman"/>
                <w:sz w:val="28"/>
                <w:szCs w:val="24"/>
              </w:rPr>
            </w:pPr>
            <w:r w:rsidRPr="000149EE">
              <w:rPr>
                <w:rFonts w:ascii="Times New Roman" w:eastAsia="Times New Roman" w:hAnsi="Times New Roman" w:cs="Times New Roman"/>
                <w:sz w:val="28"/>
                <w:szCs w:val="24"/>
              </w:rPr>
              <w:t>Exequibilidad</w:t>
            </w:r>
          </w:p>
        </w:tc>
      </w:tr>
      <w:tr w:rsidR="00A26DB9" w:rsidRPr="000149EE" w:rsidTr="008C1BA3">
        <w:tc>
          <w:tcPr>
            <w:tcW w:w="1589" w:type="pct"/>
            <w:shd w:val="clear" w:color="auto" w:fill="D9D9D9" w:themeFill="background1" w:themeFillShade="D9"/>
            <w:vAlign w:val="center"/>
          </w:tcPr>
          <w:p w:rsidR="00A26DB9" w:rsidRPr="000149EE" w:rsidRDefault="000149EE" w:rsidP="001A47E2">
            <w:pPr>
              <w:widowControl w:val="0"/>
              <w:jc w:val="center"/>
              <w:rPr>
                <w:rFonts w:ascii="Times New Roman" w:eastAsia="Times New Roman" w:hAnsi="Times New Roman" w:cs="Times New Roman"/>
                <w:b/>
                <w:bCs/>
                <w:sz w:val="28"/>
                <w:szCs w:val="24"/>
              </w:rPr>
            </w:pPr>
            <w:r w:rsidRPr="000149EE">
              <w:rPr>
                <w:rFonts w:ascii="Times New Roman" w:eastAsia="Times New Roman" w:hAnsi="Times New Roman" w:cs="Times New Roman"/>
                <w:b/>
                <w:bCs/>
                <w:sz w:val="28"/>
                <w:szCs w:val="24"/>
              </w:rPr>
              <w:t>MHCP y DAPRE</w:t>
            </w:r>
          </w:p>
        </w:tc>
        <w:tc>
          <w:tcPr>
            <w:tcW w:w="3411" w:type="pct"/>
            <w:shd w:val="clear" w:color="auto" w:fill="auto"/>
          </w:tcPr>
          <w:p w:rsidR="00A26DB9" w:rsidRPr="000149EE" w:rsidRDefault="000149EE" w:rsidP="001A47E2">
            <w:pPr>
              <w:widowControl w:val="0"/>
              <w:jc w:val="center"/>
              <w:rPr>
                <w:rFonts w:ascii="Times New Roman" w:eastAsia="Times New Roman" w:hAnsi="Times New Roman" w:cs="Times New Roman"/>
                <w:sz w:val="28"/>
                <w:szCs w:val="24"/>
              </w:rPr>
            </w:pPr>
            <w:r w:rsidRPr="000149EE">
              <w:rPr>
                <w:rFonts w:ascii="Times New Roman" w:eastAsia="Times New Roman" w:hAnsi="Times New Roman" w:cs="Times New Roman"/>
                <w:sz w:val="28"/>
                <w:szCs w:val="24"/>
              </w:rPr>
              <w:t>Exequibilidad</w:t>
            </w:r>
          </w:p>
        </w:tc>
      </w:tr>
      <w:tr w:rsidR="00A26DB9" w:rsidRPr="000149EE" w:rsidTr="008C1BA3">
        <w:tc>
          <w:tcPr>
            <w:tcW w:w="1589" w:type="pct"/>
            <w:shd w:val="clear" w:color="auto" w:fill="D9D9D9" w:themeFill="background1" w:themeFillShade="D9"/>
            <w:vAlign w:val="center"/>
          </w:tcPr>
          <w:p w:rsidR="00A26DB9" w:rsidRPr="000149EE" w:rsidRDefault="000149EE" w:rsidP="001A47E2">
            <w:pPr>
              <w:widowControl w:val="0"/>
              <w:jc w:val="center"/>
              <w:rPr>
                <w:rFonts w:ascii="Times New Roman" w:eastAsia="Times New Roman" w:hAnsi="Times New Roman" w:cs="Times New Roman"/>
                <w:b/>
                <w:bCs/>
                <w:sz w:val="28"/>
                <w:szCs w:val="24"/>
              </w:rPr>
            </w:pPr>
            <w:r w:rsidRPr="000149EE">
              <w:rPr>
                <w:rFonts w:ascii="Times New Roman" w:eastAsia="Times New Roman" w:hAnsi="Times New Roman" w:cs="Times New Roman"/>
                <w:b/>
                <w:bCs/>
                <w:sz w:val="28"/>
                <w:szCs w:val="24"/>
              </w:rPr>
              <w:t>FNM</w:t>
            </w:r>
          </w:p>
        </w:tc>
        <w:tc>
          <w:tcPr>
            <w:tcW w:w="3411" w:type="pct"/>
            <w:shd w:val="clear" w:color="auto" w:fill="auto"/>
          </w:tcPr>
          <w:p w:rsidR="00A26DB9" w:rsidRPr="000149EE" w:rsidRDefault="000149EE" w:rsidP="001A47E2">
            <w:pPr>
              <w:widowControl w:val="0"/>
              <w:jc w:val="center"/>
              <w:rPr>
                <w:rFonts w:ascii="Times New Roman" w:eastAsia="Times New Roman" w:hAnsi="Times New Roman" w:cs="Times New Roman"/>
                <w:sz w:val="28"/>
                <w:szCs w:val="24"/>
              </w:rPr>
            </w:pPr>
            <w:r w:rsidRPr="000149EE">
              <w:rPr>
                <w:rFonts w:ascii="Times New Roman" w:eastAsia="Times New Roman" w:hAnsi="Times New Roman" w:cs="Times New Roman"/>
                <w:sz w:val="28"/>
                <w:szCs w:val="24"/>
              </w:rPr>
              <w:t>Exequibilidad</w:t>
            </w:r>
          </w:p>
        </w:tc>
      </w:tr>
      <w:tr w:rsidR="00A26DB9" w:rsidRPr="000149EE" w:rsidTr="008C1BA3">
        <w:tc>
          <w:tcPr>
            <w:tcW w:w="1589" w:type="pct"/>
            <w:shd w:val="clear" w:color="auto" w:fill="D9D9D9" w:themeFill="background1" w:themeFillShade="D9"/>
            <w:vAlign w:val="center"/>
          </w:tcPr>
          <w:p w:rsidR="00A26DB9" w:rsidRPr="000149EE" w:rsidRDefault="000149EE" w:rsidP="001A47E2">
            <w:pPr>
              <w:widowControl w:val="0"/>
              <w:jc w:val="center"/>
              <w:rPr>
                <w:rFonts w:ascii="Times New Roman" w:eastAsia="Times New Roman" w:hAnsi="Times New Roman" w:cs="Times New Roman"/>
                <w:b/>
                <w:bCs/>
                <w:sz w:val="28"/>
                <w:szCs w:val="24"/>
              </w:rPr>
            </w:pPr>
            <w:r w:rsidRPr="000149EE">
              <w:rPr>
                <w:rFonts w:ascii="Times New Roman" w:eastAsia="Times New Roman" w:hAnsi="Times New Roman" w:cs="Times New Roman"/>
                <w:b/>
                <w:bCs/>
                <w:sz w:val="28"/>
                <w:szCs w:val="24"/>
              </w:rPr>
              <w:t>ICDT</w:t>
            </w:r>
          </w:p>
        </w:tc>
        <w:tc>
          <w:tcPr>
            <w:tcW w:w="3411" w:type="pct"/>
            <w:shd w:val="clear" w:color="auto" w:fill="auto"/>
          </w:tcPr>
          <w:p w:rsidR="00A26DB9" w:rsidRPr="000149EE" w:rsidRDefault="000149EE" w:rsidP="001A47E2">
            <w:pPr>
              <w:widowControl w:val="0"/>
              <w:jc w:val="center"/>
              <w:rPr>
                <w:rFonts w:ascii="Times New Roman" w:eastAsia="Times New Roman" w:hAnsi="Times New Roman" w:cs="Times New Roman"/>
                <w:sz w:val="28"/>
                <w:szCs w:val="24"/>
              </w:rPr>
            </w:pPr>
            <w:r w:rsidRPr="000149EE">
              <w:rPr>
                <w:rFonts w:ascii="Times New Roman" w:eastAsia="Times New Roman" w:hAnsi="Times New Roman" w:cs="Times New Roman"/>
                <w:sz w:val="28"/>
                <w:szCs w:val="24"/>
              </w:rPr>
              <w:t>Exequibilidad</w:t>
            </w:r>
          </w:p>
        </w:tc>
      </w:tr>
      <w:tr w:rsidR="00A26DB9" w:rsidRPr="000149EE" w:rsidTr="008C1BA3">
        <w:tc>
          <w:tcPr>
            <w:tcW w:w="1589" w:type="pct"/>
            <w:shd w:val="clear" w:color="auto" w:fill="D9D9D9" w:themeFill="background1" w:themeFillShade="D9"/>
            <w:vAlign w:val="center"/>
          </w:tcPr>
          <w:p w:rsidR="00A26DB9" w:rsidRPr="000149EE" w:rsidRDefault="000149EE" w:rsidP="001A47E2">
            <w:pPr>
              <w:widowControl w:val="0"/>
              <w:jc w:val="center"/>
              <w:rPr>
                <w:rFonts w:ascii="Times New Roman" w:eastAsia="Times New Roman" w:hAnsi="Times New Roman" w:cs="Times New Roman"/>
                <w:b/>
                <w:bCs/>
                <w:sz w:val="28"/>
                <w:szCs w:val="24"/>
              </w:rPr>
            </w:pPr>
            <w:r w:rsidRPr="000149EE">
              <w:rPr>
                <w:rFonts w:ascii="Times New Roman" w:eastAsia="Times New Roman" w:hAnsi="Times New Roman" w:cs="Times New Roman"/>
                <w:b/>
                <w:bCs/>
                <w:sz w:val="28"/>
                <w:szCs w:val="24"/>
              </w:rPr>
              <w:t>ANALDEX</w:t>
            </w:r>
          </w:p>
        </w:tc>
        <w:tc>
          <w:tcPr>
            <w:tcW w:w="3411" w:type="pct"/>
            <w:shd w:val="clear" w:color="auto" w:fill="auto"/>
          </w:tcPr>
          <w:p w:rsidR="00A26DB9" w:rsidRPr="000149EE" w:rsidRDefault="000149EE" w:rsidP="001A47E2">
            <w:pPr>
              <w:widowControl w:val="0"/>
              <w:jc w:val="center"/>
              <w:rPr>
                <w:rFonts w:ascii="Times New Roman" w:eastAsia="Times New Roman" w:hAnsi="Times New Roman" w:cs="Times New Roman"/>
                <w:sz w:val="28"/>
                <w:szCs w:val="24"/>
              </w:rPr>
            </w:pPr>
            <w:r w:rsidRPr="000149EE">
              <w:rPr>
                <w:rFonts w:ascii="Times New Roman" w:eastAsia="Times New Roman" w:hAnsi="Times New Roman" w:cs="Times New Roman"/>
                <w:sz w:val="28"/>
                <w:szCs w:val="24"/>
              </w:rPr>
              <w:t>Exequibilidad condicionada</w:t>
            </w:r>
          </w:p>
        </w:tc>
      </w:tr>
      <w:tr w:rsidR="00A26DB9" w:rsidRPr="000149EE" w:rsidTr="008C1BA3">
        <w:tc>
          <w:tcPr>
            <w:tcW w:w="1589" w:type="pct"/>
            <w:shd w:val="clear" w:color="auto" w:fill="D9D9D9" w:themeFill="background1" w:themeFillShade="D9"/>
            <w:vAlign w:val="center"/>
          </w:tcPr>
          <w:p w:rsidR="00A26DB9" w:rsidRPr="000149EE" w:rsidRDefault="000149EE" w:rsidP="001A47E2">
            <w:pPr>
              <w:widowControl w:val="0"/>
              <w:jc w:val="center"/>
              <w:rPr>
                <w:rFonts w:ascii="Times New Roman" w:eastAsia="Times New Roman" w:hAnsi="Times New Roman" w:cs="Times New Roman"/>
                <w:b/>
                <w:bCs/>
                <w:sz w:val="28"/>
                <w:szCs w:val="24"/>
              </w:rPr>
            </w:pPr>
            <w:r w:rsidRPr="000149EE">
              <w:rPr>
                <w:rFonts w:ascii="Times New Roman" w:eastAsia="Times New Roman" w:hAnsi="Times New Roman" w:cs="Times New Roman"/>
                <w:b/>
                <w:bCs/>
                <w:sz w:val="28"/>
                <w:szCs w:val="24"/>
              </w:rPr>
              <w:t>ANDI</w:t>
            </w:r>
          </w:p>
        </w:tc>
        <w:tc>
          <w:tcPr>
            <w:tcW w:w="3411" w:type="pct"/>
            <w:shd w:val="clear" w:color="auto" w:fill="auto"/>
          </w:tcPr>
          <w:p w:rsidR="00A26DB9" w:rsidRPr="000149EE" w:rsidRDefault="000149EE" w:rsidP="001A47E2">
            <w:pPr>
              <w:widowControl w:val="0"/>
              <w:jc w:val="center"/>
              <w:rPr>
                <w:rFonts w:ascii="Times New Roman" w:eastAsia="Times New Roman" w:hAnsi="Times New Roman" w:cs="Times New Roman"/>
                <w:sz w:val="28"/>
                <w:szCs w:val="24"/>
              </w:rPr>
            </w:pPr>
            <w:r w:rsidRPr="000149EE">
              <w:rPr>
                <w:rFonts w:ascii="Times New Roman" w:eastAsia="Times New Roman" w:hAnsi="Times New Roman" w:cs="Times New Roman"/>
                <w:sz w:val="28"/>
                <w:szCs w:val="24"/>
              </w:rPr>
              <w:t>Inhi</w:t>
            </w:r>
            <w:r w:rsidRPr="000149EE">
              <w:rPr>
                <w:rFonts w:ascii="Times New Roman" w:eastAsia="Times New Roman" w:hAnsi="Times New Roman" w:cs="Times New Roman"/>
                <w:sz w:val="28"/>
                <w:szCs w:val="24"/>
              </w:rPr>
              <w:t>bición</w:t>
            </w:r>
          </w:p>
        </w:tc>
      </w:tr>
    </w:tbl>
    <w:p w:rsidR="009D74FA" w:rsidRPr="000149EE" w:rsidRDefault="000149EE" w:rsidP="001A47E2">
      <w:pPr>
        <w:pStyle w:val="Prrafodelista"/>
        <w:widowControl w:val="0"/>
        <w:spacing w:line="240" w:lineRule="auto"/>
        <w:ind w:left="0"/>
        <w:rPr>
          <w:rFonts w:ascii="Times New Roman" w:hAnsi="Times New Roman"/>
          <w:sz w:val="28"/>
        </w:rPr>
      </w:pPr>
    </w:p>
    <w:p w:rsidR="00F1476D" w:rsidRPr="000149EE" w:rsidRDefault="000149EE" w:rsidP="001A47E2">
      <w:pPr>
        <w:pStyle w:val="Prrafodelista"/>
        <w:widowControl w:val="0"/>
        <w:numPr>
          <w:ilvl w:val="0"/>
          <w:numId w:val="6"/>
        </w:numPr>
        <w:spacing w:line="240" w:lineRule="auto"/>
        <w:rPr>
          <w:rFonts w:ascii="Times New Roman" w:hAnsi="Times New Roman"/>
          <w:b/>
          <w:bCs/>
          <w:sz w:val="28"/>
        </w:rPr>
      </w:pPr>
      <w:r w:rsidRPr="000149EE">
        <w:rPr>
          <w:rFonts w:ascii="Times New Roman" w:hAnsi="Times New Roman"/>
          <w:b/>
          <w:bCs/>
          <w:sz w:val="28"/>
        </w:rPr>
        <w:t>Concepto de la Procuradora General de la Nación</w:t>
      </w:r>
    </w:p>
    <w:p w:rsidR="00F1476D" w:rsidRPr="000149EE" w:rsidRDefault="000149EE" w:rsidP="001A47E2">
      <w:pPr>
        <w:pStyle w:val="Prrafodelista"/>
        <w:widowControl w:val="0"/>
        <w:spacing w:line="240" w:lineRule="auto"/>
        <w:rPr>
          <w:rFonts w:ascii="Times New Roman" w:hAnsi="Times New Roman"/>
          <w:sz w:val="28"/>
        </w:rPr>
      </w:pPr>
    </w:p>
    <w:p w:rsidR="000D2D11"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lang w:eastAsia="es-ES"/>
        </w:rPr>
        <w:t xml:space="preserve">El </w:t>
      </w:r>
      <w:r w:rsidRPr="000149EE">
        <w:rPr>
          <w:rFonts w:ascii="Times New Roman" w:hAnsi="Times New Roman" w:cs="Times New Roman"/>
          <w:sz w:val="28"/>
          <w:szCs w:val="28"/>
          <w:lang w:eastAsia="es-ES"/>
        </w:rPr>
        <w:t>20 de febrero de 2024</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 xml:space="preserve">la Procuradora General de la Nación </w:t>
      </w:r>
      <w:r w:rsidRPr="000149EE">
        <w:rPr>
          <w:rFonts w:ascii="Times New Roman" w:hAnsi="Times New Roman" w:cs="Times New Roman"/>
          <w:sz w:val="28"/>
          <w:szCs w:val="28"/>
          <w:lang w:eastAsia="es-ES"/>
        </w:rPr>
        <w:t>presentó concepto</w:t>
      </w:r>
      <w:r w:rsidRPr="000149EE">
        <w:rPr>
          <w:rFonts w:ascii="Times New Roman" w:hAnsi="Times New Roman" w:cs="Times New Roman"/>
          <w:sz w:val="28"/>
          <w:szCs w:val="28"/>
          <w:lang w:eastAsia="es-ES"/>
        </w:rPr>
        <w:t>. S</w:t>
      </w:r>
      <w:r w:rsidRPr="000149EE">
        <w:rPr>
          <w:rFonts w:ascii="Times New Roman" w:hAnsi="Times New Roman" w:cs="Times New Roman"/>
          <w:sz w:val="28"/>
          <w:szCs w:val="28"/>
          <w:lang w:eastAsia="es-ES"/>
        </w:rPr>
        <w:t>ostiene</w:t>
      </w:r>
      <w:r w:rsidRPr="000149EE">
        <w:rPr>
          <w:rFonts w:ascii="Times New Roman" w:hAnsi="Times New Roman" w:cs="Times New Roman"/>
          <w:sz w:val="28"/>
          <w:szCs w:val="28"/>
          <w:lang w:eastAsia="es-ES"/>
        </w:rPr>
        <w:t xml:space="preserve"> que </w:t>
      </w:r>
      <w:r w:rsidRPr="000149EE">
        <w:rPr>
          <w:rFonts w:ascii="Times New Roman" w:hAnsi="Times New Roman" w:cs="Times New Roman"/>
          <w:sz w:val="28"/>
          <w:szCs w:val="28"/>
        </w:rPr>
        <w:t>l</w:t>
      </w:r>
      <w:r w:rsidRPr="000149EE">
        <w:rPr>
          <w:rFonts w:ascii="Times New Roman" w:hAnsi="Times New Roman" w:cs="Times New Roman"/>
          <w:sz w:val="28"/>
          <w:szCs w:val="28"/>
        </w:rPr>
        <w:t>os artículos 150.12 y 338</w:t>
      </w:r>
      <w:r w:rsidRPr="000149EE">
        <w:rPr>
          <w:rFonts w:ascii="Times New Roman" w:hAnsi="Times New Roman" w:cs="Times New Roman"/>
          <w:sz w:val="28"/>
          <w:szCs w:val="28"/>
        </w:rPr>
        <w:t xml:space="preserve"> de la Constitución </w:t>
      </w:r>
      <w:r w:rsidRPr="000149EE">
        <w:rPr>
          <w:rFonts w:ascii="Times New Roman" w:hAnsi="Times New Roman" w:cs="Times New Roman"/>
          <w:sz w:val="28"/>
          <w:szCs w:val="28"/>
        </w:rPr>
        <w:t xml:space="preserve">prevén que el </w:t>
      </w:r>
      <w:r w:rsidRPr="000149EE">
        <w:rPr>
          <w:rFonts w:ascii="Times New Roman" w:hAnsi="Times New Roman" w:cs="Times New Roman"/>
          <w:sz w:val="28"/>
          <w:szCs w:val="28"/>
        </w:rPr>
        <w:t>L</w:t>
      </w:r>
      <w:r w:rsidRPr="000149EE">
        <w:rPr>
          <w:rFonts w:ascii="Times New Roman" w:hAnsi="Times New Roman" w:cs="Times New Roman"/>
          <w:sz w:val="28"/>
          <w:szCs w:val="28"/>
        </w:rPr>
        <w:t>egislador cuenta con un amplio margen de configuración normativa en materia tributaria</w:t>
      </w:r>
      <w:r w:rsidRPr="000149EE">
        <w:rPr>
          <w:rFonts w:ascii="Times New Roman" w:hAnsi="Times New Roman" w:cs="Times New Roman"/>
          <w:sz w:val="28"/>
          <w:szCs w:val="28"/>
        </w:rPr>
        <w:t xml:space="preserve">, lo cual le autoriza a crear, modificar </w:t>
      </w:r>
      <w:r w:rsidRPr="000149EE">
        <w:rPr>
          <w:rFonts w:ascii="Times New Roman" w:hAnsi="Times New Roman" w:cs="Times New Roman"/>
          <w:sz w:val="28"/>
          <w:szCs w:val="28"/>
        </w:rPr>
        <w:t xml:space="preserve">y eliminar impuestos, así como </w:t>
      </w:r>
      <w:r w:rsidRPr="000149EE">
        <w:rPr>
          <w:rFonts w:ascii="Times New Roman" w:hAnsi="Times New Roman" w:cs="Times New Roman"/>
          <w:sz w:val="28"/>
          <w:szCs w:val="28"/>
        </w:rPr>
        <w:t>a conceder beneficios o deducciones fiscales</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Este margen, sin embargo, no es absoluto. </w:t>
      </w:r>
      <w:r w:rsidRPr="000149EE">
        <w:rPr>
          <w:rFonts w:ascii="Times New Roman" w:hAnsi="Times New Roman" w:cs="Times New Roman"/>
          <w:sz w:val="28"/>
          <w:szCs w:val="28"/>
        </w:rPr>
        <w:t>De acuerdo con la jurisprudencia constitucional, e</w:t>
      </w:r>
      <w:r w:rsidRPr="000149EE">
        <w:rPr>
          <w:rFonts w:ascii="Times New Roman" w:hAnsi="Times New Roman" w:cs="Times New Roman"/>
          <w:sz w:val="28"/>
          <w:szCs w:val="28"/>
        </w:rPr>
        <w:t>l legislador debe respetar, entre otros, los principios de igualdad y equidad tributari</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los cuales constituyen límites al ejercicio del margen de configuración. </w:t>
      </w:r>
      <w:r w:rsidRPr="000149EE">
        <w:rPr>
          <w:rFonts w:ascii="Times New Roman" w:hAnsi="Times New Roman" w:cs="Times New Roman"/>
          <w:sz w:val="28"/>
          <w:szCs w:val="28"/>
        </w:rPr>
        <w:t>Las posibles afectaciones a los principios d</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 igualdad y equidad tributaria deben examinarse, por regla general, por medio de un test leve de razonabilidad. </w:t>
      </w:r>
    </w:p>
    <w:p w:rsidR="000D2D11" w:rsidRPr="000149EE" w:rsidRDefault="000149EE" w:rsidP="001A47E2">
      <w:pPr>
        <w:pStyle w:val="Prrafodelista"/>
        <w:widowControl w:val="0"/>
        <w:spacing w:line="240" w:lineRule="auto"/>
        <w:ind w:left="0"/>
        <w:rPr>
          <w:rFonts w:ascii="Times New Roman" w:hAnsi="Times New Roman"/>
          <w:color w:val="auto"/>
          <w:sz w:val="28"/>
        </w:rPr>
      </w:pPr>
    </w:p>
    <w:p w:rsidR="00913FD1"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El</w:t>
      </w:r>
      <w:r w:rsidRPr="000149EE">
        <w:rPr>
          <w:rFonts w:ascii="Times New Roman" w:hAnsi="Times New Roman" w:cs="Times New Roman"/>
          <w:sz w:val="28"/>
          <w:szCs w:val="28"/>
        </w:rPr>
        <w:t xml:space="preserve"> Ministerio Público</w:t>
      </w:r>
      <w:r w:rsidRPr="000149EE">
        <w:rPr>
          <w:rFonts w:ascii="Times New Roman" w:hAnsi="Times New Roman" w:cs="Times New Roman"/>
          <w:sz w:val="28"/>
          <w:szCs w:val="28"/>
        </w:rPr>
        <w:t xml:space="preserve"> argumenta</w:t>
      </w:r>
      <w:r w:rsidRPr="000149EE">
        <w:rPr>
          <w:rFonts w:ascii="Times New Roman" w:hAnsi="Times New Roman" w:cs="Times New Roman"/>
          <w:sz w:val="28"/>
          <w:szCs w:val="28"/>
        </w:rPr>
        <w:t xml:space="preserve"> que </w:t>
      </w:r>
      <w:r w:rsidRPr="000149EE">
        <w:rPr>
          <w:rFonts w:ascii="Times New Roman" w:hAnsi="Times New Roman" w:cs="Times New Roman"/>
          <w:sz w:val="28"/>
          <w:szCs w:val="28"/>
        </w:rPr>
        <w:t>la diferencia de trato tributario que la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norma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demandada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prevé</w:t>
      </w:r>
      <w:r w:rsidRPr="000149EE">
        <w:rPr>
          <w:rFonts w:ascii="Times New Roman" w:hAnsi="Times New Roman" w:cs="Times New Roman"/>
          <w:sz w:val="28"/>
          <w:szCs w:val="28"/>
        </w:rPr>
        <w:t>n</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no vulnera los principios de igualdad y equidad </w:t>
      </w:r>
      <w:r w:rsidRPr="000149EE">
        <w:rPr>
          <w:rFonts w:ascii="Times New Roman" w:hAnsi="Times New Roman" w:cs="Times New Roman"/>
          <w:sz w:val="28"/>
          <w:szCs w:val="28"/>
        </w:rPr>
        <w:t>t</w:t>
      </w:r>
      <w:r w:rsidRPr="000149EE">
        <w:rPr>
          <w:rFonts w:ascii="Times New Roman" w:hAnsi="Times New Roman" w:cs="Times New Roman"/>
          <w:sz w:val="28"/>
          <w:szCs w:val="28"/>
        </w:rPr>
        <w:t xml:space="preserve">ributaria. </w:t>
      </w:r>
      <w:r w:rsidRPr="000149EE">
        <w:rPr>
          <w:rFonts w:ascii="Times New Roman" w:hAnsi="Times New Roman" w:cs="Times New Roman"/>
          <w:sz w:val="28"/>
          <w:szCs w:val="28"/>
        </w:rPr>
        <w:t>A su juicio,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w:t>
      </w:r>
      <w:r w:rsidRPr="000149EE">
        <w:rPr>
          <w:rFonts w:ascii="Times New Roman" w:hAnsi="Times New Roman" w:cs="Times New Roman"/>
          <w:sz w:val="28"/>
          <w:szCs w:val="28"/>
        </w:rPr>
        <w:t xml:space="preserve">menor tarifa del impuesto a la renta para los ingresos que provienen de exportaciones </w:t>
      </w:r>
      <w:r w:rsidRPr="000149EE">
        <w:rPr>
          <w:rFonts w:ascii="Times New Roman" w:hAnsi="Times New Roman" w:cs="Times New Roman"/>
          <w:sz w:val="28"/>
          <w:szCs w:val="28"/>
        </w:rPr>
        <w:t>es</w:t>
      </w:r>
      <w:r w:rsidRPr="000149EE">
        <w:rPr>
          <w:rFonts w:ascii="Times New Roman" w:hAnsi="Times New Roman" w:cs="Times New Roman"/>
          <w:sz w:val="28"/>
          <w:szCs w:val="28"/>
        </w:rPr>
        <w:t xml:space="preserve"> “una </w:t>
      </w:r>
      <w:r w:rsidRPr="000149EE">
        <w:rPr>
          <w:rFonts w:ascii="Times New Roman" w:hAnsi="Times New Roman" w:cs="Times New Roman"/>
          <w:sz w:val="28"/>
          <w:szCs w:val="28"/>
        </w:rPr>
        <w:t>mani</w:t>
      </w:r>
      <w:r w:rsidRPr="000149EE">
        <w:rPr>
          <w:rFonts w:ascii="Times New Roman" w:hAnsi="Times New Roman" w:cs="Times New Roman"/>
          <w:sz w:val="28"/>
          <w:szCs w:val="28"/>
        </w:rPr>
        <w:t>festación</w:t>
      </w:r>
      <w:r w:rsidRPr="000149EE">
        <w:rPr>
          <w:rFonts w:ascii="Times New Roman" w:hAnsi="Times New Roman" w:cs="Times New Roman"/>
          <w:sz w:val="28"/>
          <w:szCs w:val="28"/>
        </w:rPr>
        <w:t xml:space="preserve"> legítima de</w:t>
      </w:r>
      <w:r w:rsidRPr="000149EE">
        <w:rPr>
          <w:rFonts w:ascii="Times New Roman" w:hAnsi="Times New Roman" w:cs="Times New Roman"/>
          <w:sz w:val="28"/>
          <w:szCs w:val="28"/>
        </w:rPr>
        <w:t xml:space="preserve"> la libertad de</w:t>
      </w:r>
      <w:r w:rsidRPr="000149EE">
        <w:rPr>
          <w:rFonts w:ascii="Times New Roman" w:hAnsi="Times New Roman" w:cs="Times New Roman"/>
          <w:sz w:val="28"/>
          <w:szCs w:val="28"/>
        </w:rPr>
        <w:t xml:space="preserve"> configuración del legislador en materia fiscal</w:t>
      </w:r>
      <w:r w:rsidRPr="000149EE">
        <w:rPr>
          <w:rFonts w:ascii="Times New Roman" w:hAnsi="Times New Roman" w:cs="Times New Roman"/>
          <w:sz w:val="28"/>
          <w:szCs w:val="28"/>
        </w:rPr>
        <w:t>, dado que supera un test leve de razonabilidad</w:t>
      </w:r>
      <w:r w:rsidRPr="000149EE">
        <w:rPr>
          <w:rFonts w:ascii="Times New Roman" w:hAnsi="Times New Roman" w:cs="Times New Roman"/>
          <w:sz w:val="28"/>
          <w:szCs w:val="28"/>
        </w:rPr>
        <w:t>”</w:t>
      </w:r>
      <w:r w:rsidRPr="000149EE">
        <w:rPr>
          <w:rStyle w:val="Refdenotaalpie"/>
          <w:rFonts w:ascii="Times New Roman" w:hAnsi="Times New Roman" w:cs="Times New Roman"/>
          <w:sz w:val="28"/>
          <w:szCs w:val="28"/>
        </w:rPr>
        <w:footnoteReference w:id="39"/>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Esto, </w:t>
      </w:r>
      <w:r w:rsidRPr="000149EE">
        <w:rPr>
          <w:rFonts w:ascii="Times New Roman" w:hAnsi="Times New Roman" w:cs="Times New Roman"/>
          <w:sz w:val="28"/>
          <w:szCs w:val="28"/>
        </w:rPr>
        <w:t xml:space="preserve">por </w:t>
      </w:r>
      <w:r w:rsidRPr="000149EE">
        <w:rPr>
          <w:rFonts w:ascii="Times New Roman" w:hAnsi="Times New Roman" w:cs="Times New Roman"/>
          <w:sz w:val="28"/>
          <w:szCs w:val="28"/>
        </w:rPr>
        <w:t>tres</w:t>
      </w:r>
      <w:r w:rsidRPr="000149EE">
        <w:rPr>
          <w:rFonts w:ascii="Times New Roman" w:hAnsi="Times New Roman" w:cs="Times New Roman"/>
          <w:sz w:val="28"/>
          <w:szCs w:val="28"/>
        </w:rPr>
        <w:t xml:space="preserve"> razones:</w:t>
      </w:r>
    </w:p>
    <w:p w:rsidR="00913FD1" w:rsidRPr="000149EE" w:rsidRDefault="000149EE" w:rsidP="001A47E2">
      <w:pPr>
        <w:pStyle w:val="Prrafodelista"/>
        <w:spacing w:line="240" w:lineRule="auto"/>
        <w:rPr>
          <w:rFonts w:ascii="Times New Roman" w:hAnsi="Times New Roman"/>
          <w:sz w:val="28"/>
        </w:rPr>
      </w:pPr>
    </w:p>
    <w:p w:rsidR="007B39EA"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sz w:val="28"/>
          <w:szCs w:val="28"/>
        </w:rPr>
        <w:t>La</w:t>
      </w:r>
      <w:r w:rsidRPr="000149EE">
        <w:rPr>
          <w:rFonts w:ascii="Times New Roman" w:hAnsi="Times New Roman" w:cs="Times New Roman"/>
          <w:sz w:val="28"/>
          <w:szCs w:val="28"/>
        </w:rPr>
        <w:t xml:space="preserve"> diferencia tarifaria </w:t>
      </w:r>
      <w:r w:rsidRPr="000149EE">
        <w:rPr>
          <w:rFonts w:ascii="Times New Roman" w:hAnsi="Times New Roman" w:cs="Times New Roman"/>
          <w:sz w:val="28"/>
          <w:szCs w:val="28"/>
        </w:rPr>
        <w:t xml:space="preserve">persigue una finalidad que no se encuentra prohibida por la Constitución Política. </w:t>
      </w:r>
      <w:r w:rsidRPr="000149EE">
        <w:rPr>
          <w:rFonts w:ascii="Times New Roman" w:hAnsi="Times New Roman" w:cs="Times New Roman"/>
          <w:sz w:val="28"/>
          <w:szCs w:val="28"/>
        </w:rPr>
        <w:t xml:space="preserve">De </w:t>
      </w:r>
      <w:r w:rsidRPr="000149EE">
        <w:rPr>
          <w:rFonts w:ascii="Times New Roman" w:hAnsi="Times New Roman" w:cs="Times New Roman"/>
          <w:sz w:val="28"/>
          <w:szCs w:val="28"/>
        </w:rPr>
        <w:t>acuerdo con los antecedentes legislativos</w:t>
      </w:r>
      <w:r w:rsidRPr="000149EE">
        <w:rPr>
          <w:rFonts w:ascii="Times New Roman" w:hAnsi="Times New Roman" w:cs="Times New Roman"/>
          <w:sz w:val="28"/>
          <w:szCs w:val="28"/>
        </w:rPr>
        <w:t xml:space="preserve"> de la Ley 2277 de 2022</w:t>
      </w:r>
      <w:r w:rsidRPr="000149EE">
        <w:rPr>
          <w:rFonts w:ascii="Times New Roman" w:hAnsi="Times New Roman" w:cs="Times New Roman"/>
          <w:sz w:val="28"/>
          <w:szCs w:val="28"/>
        </w:rPr>
        <w:t>, el objetivo del tratamiento preferencial</w:t>
      </w:r>
      <w:r w:rsidRPr="000149EE">
        <w:rPr>
          <w:rFonts w:ascii="Times New Roman" w:hAnsi="Times New Roman" w:cs="Times New Roman"/>
          <w:sz w:val="28"/>
          <w:szCs w:val="28"/>
        </w:rPr>
        <w:t xml:space="preserve"> en la tarifa</w:t>
      </w:r>
      <w:r w:rsidRPr="000149EE">
        <w:rPr>
          <w:rFonts w:ascii="Times New Roman" w:hAnsi="Times New Roman" w:cs="Times New Roman"/>
          <w:sz w:val="28"/>
          <w:szCs w:val="28"/>
        </w:rPr>
        <w:t xml:space="preserve"> del impuesto </w:t>
      </w:r>
      <w:r w:rsidRPr="000149EE">
        <w:rPr>
          <w:rFonts w:ascii="Times New Roman" w:hAnsi="Times New Roman" w:cs="Times New Roman"/>
          <w:sz w:val="28"/>
          <w:szCs w:val="28"/>
        </w:rPr>
        <w:t>sobre</w:t>
      </w:r>
      <w:r w:rsidRPr="000149EE">
        <w:rPr>
          <w:rFonts w:ascii="Times New Roman" w:hAnsi="Times New Roman" w:cs="Times New Roman"/>
          <w:sz w:val="28"/>
          <w:szCs w:val="28"/>
        </w:rPr>
        <w:t xml:space="preserve"> la renta</w:t>
      </w:r>
      <w:r w:rsidRPr="000149EE">
        <w:rPr>
          <w:rFonts w:ascii="Times New Roman" w:hAnsi="Times New Roman" w:cs="Times New Roman"/>
          <w:sz w:val="28"/>
          <w:szCs w:val="28"/>
        </w:rPr>
        <w:t xml:space="preserve"> para los usuarios de z</w:t>
      </w:r>
      <w:r w:rsidRPr="000149EE">
        <w:rPr>
          <w:rFonts w:ascii="Times New Roman" w:hAnsi="Times New Roman" w:cs="Times New Roman"/>
          <w:sz w:val="28"/>
          <w:szCs w:val="28"/>
        </w:rPr>
        <w:t>onas francas es incentivar las exportaciones del segmento productivo</w:t>
      </w:r>
      <w:r w:rsidRPr="000149EE">
        <w:rPr>
          <w:rFonts w:ascii="Times New Roman" w:hAnsi="Times New Roman" w:cs="Times New Roman"/>
          <w:sz w:val="28"/>
          <w:szCs w:val="28"/>
        </w:rPr>
        <w:t xml:space="preserve">. Según la Procuradora General de la Nación, este </w:t>
      </w:r>
      <w:r w:rsidRPr="000149EE">
        <w:rPr>
          <w:rFonts w:ascii="Times New Roman" w:hAnsi="Times New Roman" w:cs="Times New Roman"/>
          <w:sz w:val="28"/>
          <w:szCs w:val="28"/>
        </w:rPr>
        <w:t xml:space="preserve">propósito </w:t>
      </w:r>
      <w:r w:rsidRPr="000149EE">
        <w:rPr>
          <w:rFonts w:ascii="Times New Roman" w:hAnsi="Times New Roman" w:cs="Times New Roman"/>
          <w:sz w:val="28"/>
          <w:szCs w:val="28"/>
        </w:rPr>
        <w:t>se asocia con el mandato superior de promover la internacionalización de las actividades económicas e incentivar determinadas ac</w:t>
      </w:r>
      <w:r w:rsidRPr="000149EE">
        <w:rPr>
          <w:rFonts w:ascii="Times New Roman" w:hAnsi="Times New Roman" w:cs="Times New Roman"/>
          <w:sz w:val="28"/>
          <w:szCs w:val="28"/>
        </w:rPr>
        <w:t>tividades productivas.</w:t>
      </w:r>
      <w:r w:rsidRPr="000149EE">
        <w:rPr>
          <w:rFonts w:ascii="Times New Roman" w:hAnsi="Times New Roman" w:cs="Times New Roman"/>
          <w:sz w:val="28"/>
          <w:szCs w:val="28"/>
        </w:rPr>
        <w:t xml:space="preserve"> Además, </w:t>
      </w:r>
      <w:r w:rsidRPr="000149EE">
        <w:rPr>
          <w:rFonts w:ascii="Times New Roman" w:hAnsi="Times New Roman" w:cs="Times New Roman"/>
          <w:sz w:val="28"/>
          <w:szCs w:val="28"/>
        </w:rPr>
        <w:t xml:space="preserve">compensa las cargas tributarias que causa el impuesto sobre la renta para que </w:t>
      </w:r>
      <w:r w:rsidRPr="000149EE">
        <w:rPr>
          <w:rFonts w:ascii="Times New Roman" w:hAnsi="Times New Roman" w:cs="Times New Roman"/>
          <w:sz w:val="28"/>
          <w:szCs w:val="28"/>
        </w:rPr>
        <w:t>“</w:t>
      </w:r>
      <w:r w:rsidRPr="000149EE">
        <w:rPr>
          <w:rFonts w:ascii="Times New Roman" w:hAnsi="Times New Roman" w:cs="Times New Roman"/>
          <w:sz w:val="28"/>
          <w:szCs w:val="28"/>
        </w:rPr>
        <w:t>la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compañías colombianas puedan competir frente a las extranjeras</w:t>
      </w:r>
      <w:r w:rsidRPr="000149EE">
        <w:rPr>
          <w:rFonts w:ascii="Times New Roman" w:hAnsi="Times New Roman" w:cs="Times New Roman"/>
          <w:sz w:val="28"/>
          <w:szCs w:val="28"/>
        </w:rPr>
        <w:t>”</w:t>
      </w:r>
      <w:r w:rsidRPr="000149EE">
        <w:rPr>
          <w:rStyle w:val="Refdenotaalpie"/>
          <w:rFonts w:ascii="Times New Roman" w:hAnsi="Times New Roman" w:cs="Times New Roman"/>
          <w:sz w:val="28"/>
          <w:szCs w:val="28"/>
        </w:rPr>
        <w:footnoteReference w:id="40"/>
      </w:r>
      <w:r w:rsidRPr="000149EE">
        <w:rPr>
          <w:rFonts w:ascii="Times New Roman" w:hAnsi="Times New Roman" w:cs="Times New Roman"/>
          <w:sz w:val="28"/>
          <w:szCs w:val="28"/>
        </w:rPr>
        <w:t>.</w:t>
      </w:r>
    </w:p>
    <w:p w:rsidR="007B39EA"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sz w:val="28"/>
          <w:szCs w:val="28"/>
        </w:rPr>
        <w:t xml:space="preserve">La </w:t>
      </w:r>
      <w:r w:rsidRPr="000149EE">
        <w:rPr>
          <w:rFonts w:ascii="Times New Roman" w:hAnsi="Times New Roman" w:cs="Times New Roman"/>
          <w:sz w:val="28"/>
          <w:szCs w:val="28"/>
        </w:rPr>
        <w:t xml:space="preserve">reducción de la tarifa del impuesto a la renta </w:t>
      </w:r>
      <w:r w:rsidRPr="000149EE">
        <w:rPr>
          <w:rFonts w:ascii="Times New Roman" w:hAnsi="Times New Roman" w:cs="Times New Roman"/>
          <w:sz w:val="28"/>
          <w:szCs w:val="28"/>
        </w:rPr>
        <w:t xml:space="preserve">para los usuarios industriales </w:t>
      </w:r>
      <w:r w:rsidRPr="000149EE">
        <w:rPr>
          <w:rFonts w:ascii="Times New Roman" w:hAnsi="Times New Roman" w:cs="Times New Roman"/>
          <w:sz w:val="28"/>
          <w:szCs w:val="28"/>
        </w:rPr>
        <w:t>exportadores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es un instrumento adecuado para cumplir con la finalidad de la norma. Esto, porque su aplicación reduce la carga fiscal y permi</w:t>
      </w:r>
      <w:r w:rsidRPr="000149EE">
        <w:rPr>
          <w:rFonts w:ascii="Times New Roman" w:hAnsi="Times New Roman" w:cs="Times New Roman"/>
          <w:sz w:val="28"/>
          <w:szCs w:val="28"/>
        </w:rPr>
        <w:t xml:space="preserve">te mejorar </w:t>
      </w:r>
      <w:r w:rsidRPr="000149EE">
        <w:rPr>
          <w:rFonts w:ascii="Times New Roman" w:hAnsi="Times New Roman" w:cs="Times New Roman"/>
          <w:sz w:val="28"/>
          <w:szCs w:val="28"/>
        </w:rPr>
        <w:t>su</w:t>
      </w:r>
      <w:r w:rsidRPr="000149EE">
        <w:rPr>
          <w:rFonts w:ascii="Times New Roman" w:hAnsi="Times New Roman" w:cs="Times New Roman"/>
          <w:sz w:val="28"/>
          <w:szCs w:val="28"/>
        </w:rPr>
        <w:t xml:space="preserve"> gestión financiera en procura de la competitividad.</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Según el Ministerio</w:t>
      </w:r>
      <w:r w:rsidRPr="000149EE">
        <w:rPr>
          <w:rFonts w:ascii="Times New Roman" w:hAnsi="Times New Roman" w:cs="Times New Roman"/>
          <w:sz w:val="28"/>
          <w:szCs w:val="28"/>
        </w:rPr>
        <w:t xml:space="preserve"> Público, a</w:t>
      </w:r>
      <w:r w:rsidRPr="000149EE">
        <w:rPr>
          <w:rFonts w:ascii="Times New Roman" w:hAnsi="Times New Roman" w:cs="Times New Roman"/>
          <w:sz w:val="28"/>
          <w:szCs w:val="28"/>
        </w:rPr>
        <w:t xml:space="preserve">sí lo reconoció la Corte en la sentencia C-304 de 2019, en la que </w:t>
      </w:r>
      <w:r w:rsidRPr="000149EE">
        <w:rPr>
          <w:rFonts w:ascii="Times New Roman" w:hAnsi="Times New Roman" w:cs="Times New Roman"/>
          <w:sz w:val="28"/>
          <w:szCs w:val="28"/>
        </w:rPr>
        <w:t>explicó que la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tarifas</w:t>
      </w:r>
      <w:r w:rsidRPr="000149EE">
        <w:rPr>
          <w:rFonts w:ascii="Times New Roman" w:hAnsi="Times New Roman" w:cs="Times New Roman"/>
          <w:sz w:val="28"/>
          <w:szCs w:val="28"/>
        </w:rPr>
        <w:t xml:space="preserve"> especiales para el cobro de un impuesto constituye</w:t>
      </w:r>
      <w:r w:rsidRPr="000149EE">
        <w:rPr>
          <w:rFonts w:ascii="Times New Roman" w:hAnsi="Times New Roman" w:cs="Times New Roman"/>
          <w:sz w:val="28"/>
          <w:szCs w:val="28"/>
        </w:rPr>
        <w:t>n</w:t>
      </w:r>
      <w:r w:rsidRPr="000149EE">
        <w:rPr>
          <w:rFonts w:ascii="Times New Roman" w:hAnsi="Times New Roman" w:cs="Times New Roman"/>
          <w:sz w:val="28"/>
          <w:szCs w:val="28"/>
        </w:rPr>
        <w:t xml:space="preserve"> una medida </w:t>
      </w:r>
      <w:r w:rsidRPr="000149EE">
        <w:rPr>
          <w:rFonts w:ascii="Times New Roman" w:hAnsi="Times New Roman" w:cs="Times New Roman"/>
          <w:sz w:val="28"/>
          <w:szCs w:val="28"/>
        </w:rPr>
        <w:t>idónea y razonable para fomentar la inversión e impulsar el crecimiento económico</w:t>
      </w:r>
      <w:r w:rsidRPr="000149EE">
        <w:rPr>
          <w:rFonts w:ascii="Times New Roman" w:hAnsi="Times New Roman" w:cs="Times New Roman"/>
          <w:sz w:val="28"/>
          <w:szCs w:val="28"/>
        </w:rPr>
        <w:t xml:space="preserve">. </w:t>
      </w:r>
    </w:p>
    <w:p w:rsidR="00C07504"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sz w:val="28"/>
          <w:szCs w:val="28"/>
        </w:rPr>
        <w:t>L</w:t>
      </w:r>
      <w:r w:rsidRPr="000149EE">
        <w:rPr>
          <w:rFonts w:ascii="Times New Roman" w:hAnsi="Times New Roman" w:cs="Times New Roman"/>
          <w:sz w:val="28"/>
          <w:szCs w:val="28"/>
        </w:rPr>
        <w:t>a norma</w:t>
      </w:r>
      <w:r w:rsidRPr="000149EE">
        <w:rPr>
          <w:rFonts w:ascii="Times New Roman" w:hAnsi="Times New Roman" w:cs="Times New Roman"/>
          <w:sz w:val="28"/>
          <w:szCs w:val="28"/>
        </w:rPr>
        <w:t xml:space="preserve"> acusada no afecta </w:t>
      </w:r>
      <w:r w:rsidRPr="000149EE">
        <w:rPr>
          <w:rFonts w:ascii="Times New Roman" w:hAnsi="Times New Roman" w:cs="Times New Roman"/>
          <w:sz w:val="28"/>
          <w:szCs w:val="28"/>
        </w:rPr>
        <w:t xml:space="preserve">de forma desproporcionada </w:t>
      </w:r>
      <w:r w:rsidRPr="000149EE">
        <w:rPr>
          <w:rFonts w:ascii="Times New Roman" w:hAnsi="Times New Roman" w:cs="Times New Roman"/>
          <w:sz w:val="28"/>
          <w:szCs w:val="28"/>
        </w:rPr>
        <w:t>la igualdad y equidad tributaria, porque</w:t>
      </w:r>
      <w:r w:rsidRPr="000149EE">
        <w:rPr>
          <w:rFonts w:ascii="Times New Roman" w:hAnsi="Times New Roman" w:cs="Times New Roman"/>
          <w:sz w:val="28"/>
          <w:szCs w:val="28"/>
        </w:rPr>
        <w:t xml:space="preserve"> “no se encuentra en la normativa que rige las zonas francas una prohibición de exportar para los usuarios industriales”</w:t>
      </w:r>
      <w:r w:rsidRPr="000149EE">
        <w:rPr>
          <w:rStyle w:val="Refdenotaalpie"/>
          <w:rFonts w:ascii="Times New Roman" w:hAnsi="Times New Roman" w:cs="Times New Roman"/>
          <w:sz w:val="28"/>
          <w:szCs w:val="28"/>
        </w:rPr>
        <w:footnoteReference w:id="41"/>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 ende, </w:t>
      </w:r>
      <w:r w:rsidRPr="000149EE">
        <w:rPr>
          <w:rFonts w:ascii="Times New Roman" w:hAnsi="Times New Roman" w:cs="Times New Roman"/>
          <w:sz w:val="28"/>
          <w:szCs w:val="28"/>
        </w:rPr>
        <w:t xml:space="preserve">todos los </w:t>
      </w:r>
      <w:r w:rsidRPr="000149EE">
        <w:rPr>
          <w:rFonts w:ascii="Times New Roman" w:hAnsi="Times New Roman" w:cs="Times New Roman"/>
          <w:sz w:val="28"/>
          <w:szCs w:val="28"/>
        </w:rPr>
        <w:t xml:space="preserve">usuarios </w:t>
      </w:r>
      <w:r w:rsidRPr="000149EE">
        <w:rPr>
          <w:rFonts w:ascii="Times New Roman" w:hAnsi="Times New Roman" w:cs="Times New Roman"/>
          <w:sz w:val="28"/>
          <w:szCs w:val="28"/>
        </w:rPr>
        <w:t xml:space="preserve">industriales </w:t>
      </w:r>
      <w:r w:rsidRPr="000149EE">
        <w:rPr>
          <w:rFonts w:ascii="Times New Roman" w:hAnsi="Times New Roman" w:cs="Times New Roman"/>
          <w:sz w:val="28"/>
          <w:szCs w:val="28"/>
        </w:rPr>
        <w:t>pueden</w:t>
      </w:r>
      <w:r w:rsidRPr="000149EE">
        <w:rPr>
          <w:rFonts w:ascii="Times New Roman" w:hAnsi="Times New Roman" w:cs="Times New Roman"/>
          <w:sz w:val="28"/>
          <w:szCs w:val="28"/>
        </w:rPr>
        <w:t xml:space="preserve"> acceder al beneficio tributario si modifican su modelo de negocio con el fin de incorporar</w:t>
      </w:r>
      <w:r w:rsidRPr="000149EE">
        <w:rPr>
          <w:rFonts w:ascii="Times New Roman" w:hAnsi="Times New Roman" w:cs="Times New Roman"/>
          <w:sz w:val="28"/>
          <w:szCs w:val="28"/>
        </w:rPr>
        <w:t xml:space="preserve"> actividades comerciales en el exterior.</w:t>
      </w:r>
    </w:p>
    <w:p w:rsidR="007B39EA" w:rsidRPr="000149EE" w:rsidRDefault="000149EE" w:rsidP="001A47E2">
      <w:pPr>
        <w:widowControl w:val="0"/>
        <w:ind w:left="142"/>
        <w:rPr>
          <w:rFonts w:ascii="Times New Roman" w:hAnsi="Times New Roman" w:cs="Times New Roman"/>
          <w:sz w:val="28"/>
          <w:szCs w:val="28"/>
        </w:rPr>
      </w:pPr>
    </w:p>
    <w:p w:rsidR="007B39EA"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En tales términos, el Ministerio Público solicit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a la Corte declarar la exequibilidad de las disposiciones acusadas. </w:t>
      </w:r>
    </w:p>
    <w:p w:rsidR="00B43CC2" w:rsidRPr="000149EE" w:rsidRDefault="000149EE" w:rsidP="001A47E2">
      <w:pPr>
        <w:pStyle w:val="Prrafodelista"/>
        <w:widowControl w:val="0"/>
        <w:spacing w:line="240" w:lineRule="auto"/>
        <w:ind w:left="0"/>
        <w:rPr>
          <w:rFonts w:ascii="Times New Roman" w:hAnsi="Times New Roman"/>
          <w:sz w:val="28"/>
        </w:rPr>
      </w:pPr>
    </w:p>
    <w:p w:rsidR="001E3493" w:rsidRPr="000149EE" w:rsidRDefault="000149EE" w:rsidP="001A47E2">
      <w:pPr>
        <w:pStyle w:val="Ttulo1"/>
        <w:numPr>
          <w:ilvl w:val="0"/>
          <w:numId w:val="1"/>
        </w:numPr>
        <w:spacing w:before="0"/>
        <w:ind w:hanging="578"/>
        <w:rPr>
          <w:rFonts w:ascii="Times New Roman" w:hAnsi="Times New Roman" w:cs="Times New Roman"/>
          <w:sz w:val="28"/>
          <w:szCs w:val="28"/>
        </w:rPr>
      </w:pPr>
      <w:r w:rsidRPr="000149EE">
        <w:rPr>
          <w:rFonts w:ascii="Times New Roman" w:hAnsi="Times New Roman" w:cs="Times New Roman"/>
          <w:sz w:val="28"/>
          <w:szCs w:val="28"/>
        </w:rPr>
        <w:t>CON</w:t>
      </w:r>
      <w:r w:rsidRPr="000149EE">
        <w:rPr>
          <w:rFonts w:ascii="Times New Roman" w:hAnsi="Times New Roman" w:cs="Times New Roman"/>
          <w:sz w:val="28"/>
          <w:szCs w:val="28"/>
        </w:rPr>
        <w:t>SIDERACIONES</w:t>
      </w:r>
    </w:p>
    <w:p w:rsidR="00576EBE" w:rsidRPr="000149EE" w:rsidRDefault="000149EE" w:rsidP="001A47E2">
      <w:pPr>
        <w:rPr>
          <w:rFonts w:ascii="Times New Roman" w:hAnsi="Times New Roman" w:cs="Times New Roman"/>
          <w:sz w:val="28"/>
          <w:szCs w:val="28"/>
        </w:rPr>
      </w:pPr>
    </w:p>
    <w:p w:rsidR="00576EBE" w:rsidRPr="000149EE" w:rsidRDefault="000149EE" w:rsidP="001A47E2">
      <w:pPr>
        <w:pStyle w:val="Ttulo2"/>
        <w:numPr>
          <w:ilvl w:val="0"/>
          <w:numId w:val="7"/>
        </w:numPr>
        <w:rPr>
          <w:rFonts w:ascii="Times New Roman" w:hAnsi="Times New Roman" w:cs="Times New Roman"/>
          <w:sz w:val="28"/>
          <w:szCs w:val="28"/>
        </w:rPr>
      </w:pPr>
      <w:r w:rsidRPr="000149EE">
        <w:rPr>
          <w:rFonts w:ascii="Times New Roman" w:hAnsi="Times New Roman" w:cs="Times New Roman"/>
          <w:sz w:val="28"/>
          <w:szCs w:val="28"/>
        </w:rPr>
        <w:t>Competencia</w:t>
      </w:r>
    </w:p>
    <w:p w:rsidR="0069275F" w:rsidRPr="000149EE" w:rsidRDefault="000149EE" w:rsidP="001A47E2">
      <w:pPr>
        <w:rPr>
          <w:rFonts w:ascii="Times New Roman" w:hAnsi="Times New Roman" w:cs="Times New Roman"/>
          <w:sz w:val="28"/>
          <w:szCs w:val="28"/>
        </w:rPr>
      </w:pPr>
    </w:p>
    <w:p w:rsidR="00F06D98"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La Corte Constitucional es competente para adelantar el control de constitucionalidad de la presente demanda, de conformidad con lo dispuesto por el numeral 4 del artículo 241 de la Constitución.</w:t>
      </w:r>
    </w:p>
    <w:p w:rsidR="00F06D98" w:rsidRPr="000149EE" w:rsidRDefault="000149EE" w:rsidP="001A47E2">
      <w:pPr>
        <w:rPr>
          <w:rFonts w:ascii="Times New Roman" w:hAnsi="Times New Roman" w:cs="Times New Roman"/>
          <w:sz w:val="28"/>
          <w:szCs w:val="28"/>
        </w:rPr>
      </w:pPr>
    </w:p>
    <w:p w:rsidR="00F06D98" w:rsidRPr="000149EE" w:rsidRDefault="000149EE" w:rsidP="001A47E2">
      <w:pPr>
        <w:pStyle w:val="Ttulo2"/>
        <w:numPr>
          <w:ilvl w:val="0"/>
          <w:numId w:val="7"/>
        </w:numPr>
        <w:rPr>
          <w:rFonts w:ascii="Times New Roman" w:hAnsi="Times New Roman" w:cs="Times New Roman"/>
          <w:b w:val="0"/>
          <w:bCs/>
          <w:sz w:val="28"/>
          <w:szCs w:val="28"/>
        </w:rPr>
      </w:pPr>
      <w:r w:rsidRPr="000149EE">
        <w:rPr>
          <w:rFonts w:ascii="Times New Roman" w:hAnsi="Times New Roman" w:cs="Times New Roman"/>
          <w:bCs/>
          <w:sz w:val="28"/>
          <w:szCs w:val="28"/>
        </w:rPr>
        <w:t>Estructura de la decisión</w:t>
      </w:r>
    </w:p>
    <w:p w:rsidR="006A13E5" w:rsidRPr="000149EE" w:rsidRDefault="000149EE" w:rsidP="001A47E2">
      <w:pPr>
        <w:rPr>
          <w:rFonts w:ascii="Times New Roman" w:hAnsi="Times New Roman" w:cs="Times New Roman"/>
          <w:sz w:val="28"/>
          <w:szCs w:val="28"/>
        </w:rPr>
      </w:pPr>
    </w:p>
    <w:p w:rsidR="006A13E5"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w:t>
      </w:r>
      <w:r w:rsidRPr="000149EE">
        <w:rPr>
          <w:rFonts w:ascii="Times New Roman" w:hAnsi="Times New Roman" w:cs="Times New Roman"/>
          <w:sz w:val="28"/>
          <w:szCs w:val="28"/>
        </w:rPr>
        <w:t>presente decisión tendrá la siguiente estructura.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En primer lugar</w:t>
      </w:r>
      <w:r w:rsidRPr="000149EE">
        <w:rPr>
          <w:rFonts w:ascii="Times New Roman" w:hAnsi="Times New Roman" w:cs="Times New Roman"/>
          <w:sz w:val="28"/>
          <w:szCs w:val="28"/>
        </w:rPr>
        <w:t>, c</w:t>
      </w:r>
      <w:r w:rsidRPr="000149EE">
        <w:rPr>
          <w:rFonts w:ascii="Times New Roman" w:hAnsi="Times New Roman" w:cs="Times New Roman"/>
          <w:sz w:val="28"/>
          <w:szCs w:val="28"/>
        </w:rPr>
        <w:t>omo cuesti</w:t>
      </w:r>
      <w:r w:rsidRPr="000149EE">
        <w:rPr>
          <w:rFonts w:ascii="Times New Roman" w:hAnsi="Times New Roman" w:cs="Times New Roman"/>
          <w:sz w:val="28"/>
          <w:szCs w:val="28"/>
        </w:rPr>
        <w:t>ones</w:t>
      </w:r>
      <w:r w:rsidRPr="000149EE">
        <w:rPr>
          <w:rFonts w:ascii="Times New Roman" w:hAnsi="Times New Roman" w:cs="Times New Roman"/>
          <w:sz w:val="28"/>
          <w:szCs w:val="28"/>
        </w:rPr>
        <w:t xml:space="preserve"> previa</w:t>
      </w:r>
      <w:r w:rsidRPr="000149EE">
        <w:rPr>
          <w:rFonts w:ascii="Times New Roman" w:hAnsi="Times New Roman" w:cs="Times New Roman"/>
          <w:sz w:val="28"/>
          <w:szCs w:val="28"/>
        </w:rPr>
        <w:t>s</w:t>
      </w:r>
      <w:r w:rsidRPr="000149EE">
        <w:rPr>
          <w:rFonts w:ascii="Times New Roman" w:hAnsi="Times New Roman" w:cs="Times New Roman"/>
          <w:sz w:val="28"/>
          <w:szCs w:val="28"/>
        </w:rPr>
        <w:t>, la Sala Plena</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examinará</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si en el presente caso existe cosa juzgada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en relación </w:t>
      </w:r>
      <w:r w:rsidRPr="000149EE">
        <w:rPr>
          <w:rFonts w:ascii="Times New Roman" w:hAnsi="Times New Roman" w:cs="Times New Roman"/>
          <w:bCs/>
          <w:sz w:val="28"/>
          <w:szCs w:val="28"/>
        </w:rPr>
        <w:t xml:space="preserve">con lo decidido en las sentencias </w:t>
      </w:r>
      <w:r w:rsidRPr="000149EE">
        <w:rPr>
          <w:rFonts w:ascii="Times New Roman" w:hAnsi="Times New Roman" w:cs="Times New Roman"/>
          <w:bCs/>
          <w:iCs/>
          <w:sz w:val="28"/>
          <w:szCs w:val="28"/>
        </w:rPr>
        <w:t>C-384 de 2023, C-500 de 2023 y C-073 de 2024</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y </w:t>
      </w:r>
      <w:r w:rsidRPr="000149EE">
        <w:rPr>
          <w:rFonts w:ascii="Times New Roman" w:hAnsi="Times New Roman" w:cs="Times New Roman"/>
          <w:bCs/>
          <w:i/>
          <w:iCs/>
          <w:sz w:val="28"/>
          <w:szCs w:val="28"/>
        </w:rPr>
        <w:t>(ii)</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estudiará </w:t>
      </w:r>
      <w:r w:rsidRPr="000149EE">
        <w:rPr>
          <w:rFonts w:ascii="Times New Roman" w:hAnsi="Times New Roman" w:cs="Times New Roman"/>
          <w:bCs/>
          <w:sz w:val="28"/>
          <w:szCs w:val="28"/>
        </w:rPr>
        <w:t>la aptitud de la demanda</w:t>
      </w:r>
      <w:r w:rsidRPr="000149EE">
        <w:rPr>
          <w:rFonts w:ascii="Times New Roman" w:hAnsi="Times New Roman" w:cs="Times New Roman"/>
          <w:bCs/>
          <w:sz w:val="28"/>
          <w:szCs w:val="28"/>
        </w:rPr>
        <w:t xml:space="preserve"> (</w:t>
      </w:r>
      <w:r w:rsidRPr="000149EE">
        <w:rPr>
          <w:rFonts w:ascii="Times New Roman" w:hAnsi="Times New Roman" w:cs="Times New Roman"/>
          <w:b/>
          <w:sz w:val="28"/>
          <w:szCs w:val="28"/>
        </w:rPr>
        <w:t xml:space="preserve">sección II.3 </w:t>
      </w:r>
      <w:r w:rsidRPr="000149EE">
        <w:rPr>
          <w:rFonts w:ascii="Times New Roman" w:hAnsi="Times New Roman" w:cs="Times New Roman"/>
          <w:b/>
          <w:i/>
          <w:iCs/>
          <w:sz w:val="28"/>
          <w:szCs w:val="28"/>
        </w:rPr>
        <w:t>infra</w:t>
      </w:r>
      <w:r w:rsidRPr="000149EE">
        <w:rPr>
          <w:rFonts w:ascii="Times New Roman" w:hAnsi="Times New Roman" w:cs="Times New Roman"/>
          <w:bCs/>
          <w:sz w:val="28"/>
          <w:szCs w:val="28"/>
        </w:rPr>
        <w:t>)</w:t>
      </w:r>
      <w:r w:rsidRPr="000149EE">
        <w:rPr>
          <w:rFonts w:ascii="Times New Roman" w:hAnsi="Times New Roman" w:cs="Times New Roman"/>
          <w:bCs/>
          <w:sz w:val="28"/>
          <w:szCs w:val="28"/>
        </w:rPr>
        <w:t xml:space="preserve">. </w:t>
      </w:r>
      <w:r w:rsidRPr="000149EE">
        <w:rPr>
          <w:rFonts w:ascii="Times New Roman" w:hAnsi="Times New Roman" w:cs="Times New Roman"/>
          <w:sz w:val="28"/>
          <w:szCs w:val="28"/>
        </w:rPr>
        <w:t>En segundo lugar, de ser procedente</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analizará</w:t>
      </w:r>
      <w:r w:rsidRPr="000149EE">
        <w:rPr>
          <w:rFonts w:ascii="Times New Roman" w:hAnsi="Times New Roman" w:cs="Times New Roman"/>
          <w:sz w:val="28"/>
          <w:szCs w:val="28"/>
        </w:rPr>
        <w:t xml:space="preserve"> si la</w:t>
      </w:r>
      <w:r w:rsidRPr="000149EE">
        <w:rPr>
          <w:rFonts w:ascii="Times New Roman" w:hAnsi="Times New Roman" w:cs="Times New Roman"/>
          <w:sz w:val="28"/>
          <w:szCs w:val="28"/>
        </w:rPr>
        <w:t xml:space="preserve">s disposiciones acusadas </w:t>
      </w:r>
      <w:r w:rsidRPr="000149EE">
        <w:rPr>
          <w:rFonts w:ascii="Times New Roman" w:hAnsi="Times New Roman" w:cs="Times New Roman"/>
          <w:bCs/>
          <w:sz w:val="28"/>
          <w:szCs w:val="28"/>
        </w:rPr>
        <w:t>vulnera</w:t>
      </w:r>
      <w:r w:rsidRPr="000149EE">
        <w:rPr>
          <w:rFonts w:ascii="Times New Roman" w:hAnsi="Times New Roman" w:cs="Times New Roman"/>
          <w:bCs/>
          <w:sz w:val="28"/>
          <w:szCs w:val="28"/>
        </w:rPr>
        <w:t>n</w:t>
      </w:r>
      <w:r w:rsidRPr="000149EE">
        <w:rPr>
          <w:rFonts w:ascii="Times New Roman" w:hAnsi="Times New Roman" w:cs="Times New Roman"/>
          <w:bCs/>
          <w:sz w:val="28"/>
          <w:szCs w:val="28"/>
        </w:rPr>
        <w:t xml:space="preserve"> los </w:t>
      </w:r>
      <w:r w:rsidRPr="000149EE">
        <w:rPr>
          <w:rFonts w:ascii="Times New Roman" w:hAnsi="Times New Roman" w:cs="Times New Roman"/>
          <w:bCs/>
          <w:sz w:val="28"/>
          <w:szCs w:val="28"/>
        </w:rPr>
        <w:t xml:space="preserve">principios de igualdad y equidad tributaria previstos en los </w:t>
      </w:r>
      <w:r w:rsidRPr="000149EE">
        <w:rPr>
          <w:rFonts w:ascii="Times New Roman" w:hAnsi="Times New Roman" w:cs="Times New Roman"/>
          <w:bCs/>
          <w:sz w:val="28"/>
          <w:szCs w:val="28"/>
        </w:rPr>
        <w:t xml:space="preserve">artículos 13 y </w:t>
      </w:r>
      <w:r w:rsidRPr="000149EE">
        <w:rPr>
          <w:rFonts w:ascii="Times New Roman" w:hAnsi="Times New Roman" w:cs="Times New Roman"/>
          <w:bCs/>
          <w:sz w:val="28"/>
          <w:szCs w:val="28"/>
        </w:rPr>
        <w:t>336</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de la Constitución </w:t>
      </w:r>
      <w:r w:rsidRPr="000149EE">
        <w:rPr>
          <w:rFonts w:ascii="Times New Roman" w:hAnsi="Times New Roman" w:cs="Times New Roman"/>
          <w:bCs/>
          <w:sz w:val="28"/>
          <w:szCs w:val="28"/>
        </w:rPr>
        <w:t>Política.</w:t>
      </w:r>
      <w:r w:rsidRPr="000149EE">
        <w:rPr>
          <w:rFonts w:ascii="Times New Roman" w:hAnsi="Times New Roman" w:cs="Times New Roman"/>
          <w:sz w:val="28"/>
          <w:szCs w:val="28"/>
        </w:rPr>
        <w:t xml:space="preserve"> En esta sección, la Sala formulará el problema jurídico de fondo, determinará la metodología para solucionarlo y resolverá el caso concreto (</w:t>
      </w:r>
      <w:r w:rsidRPr="000149EE">
        <w:rPr>
          <w:rFonts w:ascii="Times New Roman" w:hAnsi="Times New Roman" w:cs="Times New Roman"/>
          <w:b/>
          <w:bCs/>
          <w:sz w:val="28"/>
          <w:szCs w:val="28"/>
        </w:rPr>
        <w:t xml:space="preserve">sección II.4 </w:t>
      </w:r>
      <w:r w:rsidRPr="000149EE">
        <w:rPr>
          <w:rFonts w:ascii="Times New Roman" w:hAnsi="Times New Roman" w:cs="Times New Roman"/>
          <w:b/>
          <w:bCs/>
          <w:i/>
          <w:iCs/>
          <w:sz w:val="28"/>
          <w:szCs w:val="28"/>
        </w:rPr>
        <w:t>infra</w:t>
      </w:r>
      <w:r w:rsidRPr="000149EE">
        <w:rPr>
          <w:rFonts w:ascii="Times New Roman" w:hAnsi="Times New Roman" w:cs="Times New Roman"/>
          <w:sz w:val="28"/>
          <w:szCs w:val="28"/>
        </w:rPr>
        <w:t>).</w:t>
      </w:r>
    </w:p>
    <w:p w:rsidR="006A13E5" w:rsidRPr="000149EE" w:rsidRDefault="000149EE" w:rsidP="001A47E2">
      <w:pPr>
        <w:rPr>
          <w:rFonts w:ascii="Times New Roman" w:hAnsi="Times New Roman" w:cs="Times New Roman"/>
          <w:sz w:val="28"/>
          <w:szCs w:val="28"/>
        </w:rPr>
      </w:pPr>
    </w:p>
    <w:p w:rsidR="006A13E5" w:rsidRPr="000149EE" w:rsidRDefault="000149EE" w:rsidP="001A47E2">
      <w:pPr>
        <w:pStyle w:val="Ttulo2"/>
        <w:numPr>
          <w:ilvl w:val="0"/>
          <w:numId w:val="7"/>
        </w:numPr>
        <w:rPr>
          <w:rFonts w:ascii="Times New Roman" w:hAnsi="Times New Roman" w:cs="Times New Roman"/>
          <w:bCs/>
          <w:sz w:val="28"/>
          <w:szCs w:val="28"/>
        </w:rPr>
      </w:pPr>
      <w:r w:rsidRPr="000149EE">
        <w:rPr>
          <w:rFonts w:ascii="Times New Roman" w:hAnsi="Times New Roman" w:cs="Times New Roman"/>
          <w:bCs/>
          <w:sz w:val="28"/>
          <w:szCs w:val="28"/>
        </w:rPr>
        <w:t>Cuestiones previas</w:t>
      </w:r>
    </w:p>
    <w:p w:rsidR="00E23677" w:rsidRPr="000149EE" w:rsidRDefault="000149EE" w:rsidP="001A47E2">
      <w:pPr>
        <w:pStyle w:val="Prrafodelista"/>
        <w:widowControl w:val="0"/>
        <w:spacing w:line="240" w:lineRule="auto"/>
        <w:ind w:left="0"/>
        <w:rPr>
          <w:rFonts w:ascii="Times New Roman" w:hAnsi="Times New Roman"/>
          <w:sz w:val="28"/>
        </w:rPr>
      </w:pPr>
    </w:p>
    <w:p w:rsidR="00F67686" w:rsidRPr="000149EE" w:rsidRDefault="000149EE" w:rsidP="001A47E2">
      <w:pPr>
        <w:pStyle w:val="Ttulo2"/>
        <w:numPr>
          <w:ilvl w:val="1"/>
          <w:numId w:val="7"/>
        </w:numPr>
        <w:rPr>
          <w:rFonts w:ascii="Times New Roman" w:hAnsi="Times New Roman" w:cs="Times New Roman"/>
          <w:bCs/>
          <w:sz w:val="28"/>
          <w:szCs w:val="28"/>
        </w:rPr>
      </w:pP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Cosa juzgada </w:t>
      </w:r>
    </w:p>
    <w:p w:rsidR="00FE0597" w:rsidRPr="000149EE" w:rsidRDefault="000149EE" w:rsidP="001A47E2">
      <w:pPr>
        <w:rPr>
          <w:rFonts w:ascii="Times New Roman" w:hAnsi="Times New Roman" w:cs="Times New Roman"/>
          <w:sz w:val="28"/>
          <w:szCs w:val="28"/>
        </w:rPr>
      </w:pPr>
    </w:p>
    <w:p w:rsidR="008A4D80"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Cs/>
          <w:sz w:val="28"/>
          <w:szCs w:val="28"/>
        </w:rPr>
        <w:t xml:space="preserve">La Sala Plena debe examinar si existe cosa </w:t>
      </w:r>
      <w:r w:rsidRPr="000149EE">
        <w:rPr>
          <w:rFonts w:ascii="Times New Roman" w:hAnsi="Times New Roman" w:cs="Times New Roman"/>
          <w:iCs/>
          <w:sz w:val="28"/>
          <w:szCs w:val="28"/>
        </w:rPr>
        <w:t>juzgada constitucional en relación con lo decidido por la Corte en la</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sentencia</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w:t>
      </w:r>
      <w:r w:rsidRPr="000149EE">
        <w:rPr>
          <w:rFonts w:ascii="Times New Roman" w:hAnsi="Times New Roman" w:cs="Times New Roman"/>
          <w:sz w:val="28"/>
          <w:szCs w:val="28"/>
        </w:rPr>
        <w:t xml:space="preserve">C-384 de 2023, C-500 de 2023 y C-073 de 2024. </w:t>
      </w:r>
      <w:r w:rsidRPr="000149EE">
        <w:rPr>
          <w:rFonts w:ascii="Times New Roman" w:hAnsi="Times New Roman" w:cs="Times New Roman"/>
          <w:iCs/>
          <w:sz w:val="28"/>
          <w:szCs w:val="28"/>
        </w:rPr>
        <w:t xml:space="preserve">Lo anterior, porque en estas decisiones la Corte se pronunció sobre la constitucionalidad de </w:t>
      </w:r>
      <w:r w:rsidRPr="000149EE">
        <w:rPr>
          <w:rFonts w:ascii="Times New Roman" w:hAnsi="Times New Roman" w:cs="Times New Roman"/>
          <w:iCs/>
          <w:sz w:val="28"/>
          <w:szCs w:val="28"/>
        </w:rPr>
        <w:t>los mismos</w:t>
      </w:r>
      <w:r w:rsidRPr="000149EE">
        <w:rPr>
          <w:rFonts w:ascii="Times New Roman" w:hAnsi="Times New Roman" w:cs="Times New Roman"/>
          <w:iCs/>
          <w:sz w:val="28"/>
          <w:szCs w:val="28"/>
        </w:rPr>
        <w:t xml:space="preserve"> apartes normativos del a</w:t>
      </w:r>
      <w:r w:rsidRPr="000149EE">
        <w:rPr>
          <w:rFonts w:ascii="Times New Roman" w:hAnsi="Times New Roman" w:cs="Times New Roman"/>
          <w:iCs/>
          <w:sz w:val="28"/>
          <w:szCs w:val="28"/>
        </w:rPr>
        <w:t>rtículo 11 de la Ley 2277 de 2022</w:t>
      </w:r>
      <w:r w:rsidRPr="000149EE">
        <w:rPr>
          <w:rFonts w:ascii="Times New Roman" w:hAnsi="Times New Roman" w:cs="Times New Roman"/>
          <w:iCs/>
          <w:sz w:val="28"/>
          <w:szCs w:val="28"/>
        </w:rPr>
        <w:t xml:space="preserve"> demandados en el presente caso</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Por lo demás, ANALDEX </w:t>
      </w:r>
      <w:r w:rsidRPr="000149EE">
        <w:rPr>
          <w:rFonts w:ascii="Times New Roman" w:hAnsi="Times New Roman" w:cs="Times New Roman"/>
          <w:iCs/>
          <w:sz w:val="28"/>
          <w:szCs w:val="28"/>
        </w:rPr>
        <w:t>manifestó</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que</w:t>
      </w:r>
      <w:r w:rsidRPr="000149EE">
        <w:rPr>
          <w:rFonts w:ascii="Times New Roman" w:hAnsi="Times New Roman" w:cs="Times New Roman"/>
          <w:sz w:val="28"/>
          <w:szCs w:val="28"/>
        </w:rPr>
        <w:t xml:space="preserve"> “teniendo en cuenta los presupuestos de cosa juzgada, </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el artículo es exequible, condicionado a los términos de la sentencia C-384 de 2023”.</w:t>
      </w:r>
    </w:p>
    <w:p w:rsidR="00AB3615" w:rsidRPr="000149EE" w:rsidRDefault="000149EE" w:rsidP="001A47E2">
      <w:pPr>
        <w:pStyle w:val="Prrafodelista"/>
        <w:widowControl w:val="0"/>
        <w:spacing w:line="240" w:lineRule="auto"/>
        <w:ind w:left="0"/>
        <w:rPr>
          <w:rFonts w:ascii="Times New Roman" w:hAnsi="Times New Roman"/>
          <w:b/>
          <w:bCs/>
          <w:sz w:val="28"/>
        </w:rPr>
      </w:pPr>
    </w:p>
    <w:p w:rsidR="00AB3615" w:rsidRPr="000149EE" w:rsidRDefault="000149EE" w:rsidP="001A47E2">
      <w:pPr>
        <w:pStyle w:val="Prrafodelista"/>
        <w:widowControl w:val="0"/>
        <w:numPr>
          <w:ilvl w:val="0"/>
          <w:numId w:val="8"/>
        </w:numPr>
        <w:spacing w:line="240" w:lineRule="auto"/>
        <w:rPr>
          <w:rFonts w:ascii="Times New Roman" w:hAnsi="Times New Roman"/>
          <w:b/>
          <w:bCs/>
          <w:sz w:val="28"/>
        </w:rPr>
      </w:pPr>
      <w:r w:rsidRPr="000149EE">
        <w:rPr>
          <w:rFonts w:ascii="Times New Roman" w:hAnsi="Times New Roman"/>
          <w:b/>
          <w:bCs/>
          <w:sz w:val="28"/>
        </w:rPr>
        <w:t xml:space="preserve">La cosa </w:t>
      </w:r>
      <w:r w:rsidRPr="000149EE">
        <w:rPr>
          <w:rFonts w:ascii="Times New Roman" w:hAnsi="Times New Roman"/>
          <w:b/>
          <w:bCs/>
          <w:sz w:val="28"/>
        </w:rPr>
        <w:t>juzgada constitucional</w:t>
      </w:r>
      <w:r w:rsidRPr="000149EE">
        <w:rPr>
          <w:rFonts w:ascii="Times New Roman" w:hAnsi="Times New Roman"/>
          <w:b/>
          <w:bCs/>
          <w:sz w:val="28"/>
        </w:rPr>
        <w:t xml:space="preserve">. Reiteración de jurisprudencia </w:t>
      </w:r>
    </w:p>
    <w:p w:rsidR="008A4D80" w:rsidRPr="000149EE" w:rsidRDefault="000149EE" w:rsidP="003827FE">
      <w:pPr>
        <w:rPr>
          <w:rFonts w:ascii="Times New Roman" w:hAnsi="Times New Roman" w:cs="Times New Roman"/>
          <w:sz w:val="28"/>
          <w:szCs w:val="28"/>
        </w:rPr>
      </w:pPr>
    </w:p>
    <w:p w:rsidR="004D5FD3"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sz w:val="28"/>
          <w:szCs w:val="28"/>
        </w:rPr>
        <w:t>El artículo 243 de la Constitución Política prevé que “</w:t>
      </w:r>
      <w:r w:rsidRPr="000149EE">
        <w:rPr>
          <w:rFonts w:ascii="Times New Roman" w:hAnsi="Times New Roman" w:cs="Times New Roman"/>
          <w:iCs/>
          <w:sz w:val="28"/>
          <w:szCs w:val="28"/>
        </w:rPr>
        <w:t>los fallos que la Corte dicte en ejercicio del control jurisdiccional hacen tránsito a cosa juzgada constitucional</w:t>
      </w:r>
      <w:r w:rsidRPr="000149EE">
        <w:rPr>
          <w:rFonts w:ascii="Times New Roman" w:hAnsi="Times New Roman" w:cs="Times New Roman"/>
          <w:sz w:val="28"/>
          <w:szCs w:val="28"/>
        </w:rPr>
        <w:t xml:space="preserve">”. </w:t>
      </w:r>
      <w:r w:rsidRPr="000149EE">
        <w:rPr>
          <w:rFonts w:ascii="Times New Roman" w:hAnsi="Times New Roman" w:cs="Times New Roman"/>
          <w:bCs/>
          <w:iCs/>
          <w:sz w:val="28"/>
          <w:szCs w:val="28"/>
        </w:rPr>
        <w:t xml:space="preserve">La cosa juzgada </w:t>
      </w:r>
      <w:r w:rsidRPr="000149EE">
        <w:rPr>
          <w:rFonts w:ascii="Times New Roman" w:hAnsi="Times New Roman" w:cs="Times New Roman"/>
          <w:bCs/>
          <w:iCs/>
          <w:sz w:val="28"/>
          <w:szCs w:val="28"/>
        </w:rPr>
        <w:t>constitucional es una institución jurídico procesal mediante la cual se otorga a las decisiones judiciales el carácter de “inmutables, vinculantes y definitivas”</w:t>
      </w:r>
      <w:r w:rsidRPr="000149EE">
        <w:rPr>
          <w:rFonts w:ascii="Times New Roman" w:hAnsi="Times New Roman" w:cs="Times New Roman"/>
          <w:bCs/>
          <w:iCs/>
          <w:sz w:val="28"/>
          <w:szCs w:val="28"/>
          <w:vertAlign w:val="superscript"/>
        </w:rPr>
        <w:footnoteReference w:id="42"/>
      </w:r>
      <w:r w:rsidRPr="000149EE">
        <w:rPr>
          <w:rFonts w:ascii="Times New Roman" w:hAnsi="Times New Roman" w:cs="Times New Roman"/>
          <w:bCs/>
          <w:iCs/>
          <w:sz w:val="28"/>
          <w:szCs w:val="28"/>
        </w:rPr>
        <w:t>.</w:t>
      </w:r>
      <w:r w:rsidRPr="000149EE">
        <w:rPr>
          <w:rFonts w:ascii="Times New Roman" w:hAnsi="Times New Roman" w:cs="Times New Roman"/>
          <w:iCs/>
          <w:sz w:val="28"/>
          <w:szCs w:val="28"/>
        </w:rPr>
        <w:t xml:space="preserve"> De acuerdo con la jurisprudencia constitucional, son requisitos de la cosa juzgada </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la id</w:t>
      </w:r>
      <w:r w:rsidRPr="000149EE">
        <w:rPr>
          <w:rFonts w:ascii="Times New Roman" w:hAnsi="Times New Roman" w:cs="Times New Roman"/>
          <w:iCs/>
          <w:sz w:val="28"/>
          <w:szCs w:val="28"/>
        </w:rPr>
        <w:t>entidad de objeto o “contenido normativo”</w:t>
      </w:r>
      <w:r w:rsidRPr="000149EE">
        <w:rPr>
          <w:rStyle w:val="Refdenotaalpie"/>
          <w:rFonts w:ascii="Times New Roman" w:hAnsi="Times New Roman" w:cs="Times New Roman"/>
          <w:iCs/>
          <w:sz w:val="28"/>
          <w:szCs w:val="28"/>
        </w:rPr>
        <w:footnoteReference w:id="43"/>
      </w:r>
      <w:r w:rsidRPr="000149EE">
        <w:rPr>
          <w:rFonts w:ascii="Times New Roman" w:hAnsi="Times New Roman" w:cs="Times New Roman"/>
          <w:iCs/>
          <w:sz w:val="28"/>
          <w:szCs w:val="28"/>
        </w:rPr>
        <w:t xml:space="preserve">,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la identidad de cargos y </w:t>
      </w:r>
      <w:r w:rsidRPr="000149EE">
        <w:rPr>
          <w:rFonts w:ascii="Times New Roman" w:hAnsi="Times New Roman" w:cs="Times New Roman"/>
          <w:i/>
          <w:sz w:val="28"/>
          <w:szCs w:val="28"/>
        </w:rPr>
        <w:t>(iii)</w:t>
      </w:r>
      <w:r w:rsidRPr="000149EE">
        <w:rPr>
          <w:rFonts w:ascii="Times New Roman" w:hAnsi="Times New Roman" w:cs="Times New Roman"/>
          <w:iCs/>
          <w:sz w:val="28"/>
          <w:szCs w:val="28"/>
        </w:rPr>
        <w:t xml:space="preserve"> la</w:t>
      </w:r>
      <w:r w:rsidRPr="000149EE">
        <w:rPr>
          <w:rFonts w:ascii="Times New Roman" w:hAnsi="Times New Roman" w:cs="Times New Roman"/>
          <w:i/>
          <w:sz w:val="28"/>
          <w:szCs w:val="28"/>
        </w:rPr>
        <w:t xml:space="preserve"> </w:t>
      </w:r>
      <w:r w:rsidRPr="000149EE">
        <w:rPr>
          <w:rFonts w:ascii="Times New Roman" w:hAnsi="Times New Roman" w:cs="Times New Roman"/>
          <w:iCs/>
          <w:sz w:val="28"/>
          <w:szCs w:val="28"/>
        </w:rPr>
        <w:t xml:space="preserve">identidad del parámetro de control de constitucionalidad. Estos elementos son, en conjunto, condiciones </w:t>
      </w:r>
      <w:r w:rsidRPr="000149EE">
        <w:rPr>
          <w:rFonts w:ascii="Times New Roman" w:hAnsi="Times New Roman" w:cs="Times New Roman"/>
          <w:sz w:val="28"/>
          <w:szCs w:val="28"/>
        </w:rPr>
        <w:t>necesarias</w:t>
      </w:r>
      <w:r w:rsidRPr="000149EE">
        <w:rPr>
          <w:rFonts w:ascii="Times New Roman" w:hAnsi="Times New Roman" w:cs="Times New Roman"/>
          <w:iCs/>
          <w:sz w:val="28"/>
          <w:szCs w:val="28"/>
        </w:rPr>
        <w:t xml:space="preserve"> y </w:t>
      </w:r>
      <w:r w:rsidRPr="000149EE">
        <w:rPr>
          <w:rFonts w:ascii="Times New Roman" w:hAnsi="Times New Roman" w:cs="Times New Roman"/>
          <w:sz w:val="28"/>
          <w:szCs w:val="28"/>
        </w:rPr>
        <w:t>suficientes</w:t>
      </w:r>
      <w:r w:rsidRPr="000149EE">
        <w:rPr>
          <w:rFonts w:ascii="Times New Roman" w:hAnsi="Times New Roman" w:cs="Times New Roman"/>
          <w:iCs/>
          <w:sz w:val="28"/>
          <w:szCs w:val="28"/>
        </w:rPr>
        <w:t xml:space="preserve"> para declarar la cosa juzgada</w:t>
      </w:r>
      <w:r w:rsidRPr="000149EE">
        <w:rPr>
          <w:rFonts w:ascii="Times New Roman" w:hAnsi="Times New Roman" w:cs="Times New Roman"/>
          <w:iCs/>
          <w:sz w:val="28"/>
          <w:szCs w:val="28"/>
          <w:vertAlign w:val="superscript"/>
        </w:rPr>
        <w:footnoteReference w:id="44"/>
      </w:r>
      <w:r w:rsidRPr="000149EE">
        <w:rPr>
          <w:rFonts w:ascii="Times New Roman" w:hAnsi="Times New Roman" w:cs="Times New Roman"/>
          <w:iCs/>
          <w:sz w:val="28"/>
          <w:szCs w:val="28"/>
        </w:rPr>
        <w:t>.</w:t>
      </w:r>
    </w:p>
    <w:p w:rsidR="004D5FD3" w:rsidRPr="000149EE" w:rsidRDefault="000149EE" w:rsidP="001A47E2">
      <w:pPr>
        <w:ind w:right="-118"/>
        <w:rPr>
          <w:rFonts w:ascii="Times New Roman" w:hAnsi="Times New Roman" w:cs="Times New Roman"/>
          <w:iCs/>
          <w:sz w:val="28"/>
          <w:szCs w:val="28"/>
        </w:rPr>
      </w:pPr>
    </w:p>
    <w:p w:rsidR="004D5FD3"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El principa</w:t>
      </w:r>
      <w:r w:rsidRPr="000149EE">
        <w:rPr>
          <w:rFonts w:ascii="Times New Roman" w:hAnsi="Times New Roman" w:cs="Times New Roman"/>
          <w:iCs/>
          <w:sz w:val="28"/>
          <w:szCs w:val="28"/>
        </w:rPr>
        <w:t xml:space="preserve">l efecto de la cosa juzgada de las sentencias de constitucionalidad es </w:t>
      </w:r>
      <w:r w:rsidRPr="000149EE">
        <w:rPr>
          <w:rFonts w:ascii="Times New Roman" w:hAnsi="Times New Roman" w:cs="Times New Roman"/>
          <w:bCs/>
          <w:iCs/>
          <w:sz w:val="28"/>
          <w:szCs w:val="28"/>
        </w:rPr>
        <w:t>la prohibición e imposibilidad de que la Corte pueda volver a conocer y decidir de fondo sobre un tema ya resuelto</w:t>
      </w:r>
      <w:r w:rsidRPr="000149EE">
        <w:rPr>
          <w:rFonts w:ascii="Times New Roman" w:hAnsi="Times New Roman" w:cs="Times New Roman"/>
          <w:bCs/>
          <w:iCs/>
          <w:sz w:val="28"/>
          <w:szCs w:val="28"/>
          <w:vertAlign w:val="superscript"/>
        </w:rPr>
        <w:footnoteReference w:id="45"/>
      </w:r>
      <w:r w:rsidRPr="000149EE">
        <w:rPr>
          <w:rFonts w:ascii="Times New Roman" w:hAnsi="Times New Roman" w:cs="Times New Roman"/>
          <w:bCs/>
          <w:iCs/>
          <w:sz w:val="28"/>
          <w:szCs w:val="28"/>
        </w:rPr>
        <w:t>.</w:t>
      </w:r>
      <w:r w:rsidRPr="000149EE">
        <w:rPr>
          <w:rFonts w:ascii="Times New Roman" w:hAnsi="Times New Roman" w:cs="Times New Roman"/>
          <w:iCs/>
          <w:sz w:val="28"/>
          <w:szCs w:val="28"/>
        </w:rPr>
        <w:t xml:space="preserve"> La Corte Constitucional ha precisado, sin embargo, que los efectos d</w:t>
      </w:r>
      <w:r w:rsidRPr="000149EE">
        <w:rPr>
          <w:rFonts w:ascii="Times New Roman" w:hAnsi="Times New Roman" w:cs="Times New Roman"/>
          <w:iCs/>
          <w:sz w:val="28"/>
          <w:szCs w:val="28"/>
        </w:rPr>
        <w:t>e cosa juzgada varían dependiendo de si la norma demandada fue declarada exequible o inexequible. En el primer escenario -</w:t>
      </w:r>
      <w:r w:rsidRPr="000149EE">
        <w:rPr>
          <w:rFonts w:ascii="Times New Roman" w:hAnsi="Times New Roman" w:cs="Times New Roman"/>
          <w:i/>
          <w:sz w:val="28"/>
          <w:szCs w:val="28"/>
        </w:rPr>
        <w:t>exequibilidad</w:t>
      </w:r>
      <w:r w:rsidRPr="000149EE">
        <w:rPr>
          <w:rFonts w:ascii="Times New Roman" w:hAnsi="Times New Roman" w:cs="Times New Roman"/>
          <w:iCs/>
          <w:sz w:val="28"/>
          <w:szCs w:val="28"/>
        </w:rPr>
        <w:t>-, en principio la Corte deberá estarse a lo resuelto en la providencia anterior “para garantizar la seguridad jurídica d</w:t>
      </w:r>
      <w:r w:rsidRPr="000149EE">
        <w:rPr>
          <w:rFonts w:ascii="Times New Roman" w:hAnsi="Times New Roman" w:cs="Times New Roman"/>
          <w:iCs/>
          <w:sz w:val="28"/>
          <w:szCs w:val="28"/>
        </w:rPr>
        <w:t>e sus decisiones</w:t>
      </w:r>
      <w:r w:rsidRPr="000149EE">
        <w:rPr>
          <w:rFonts w:ascii="Times New Roman" w:hAnsi="Times New Roman" w:cs="Times New Roman"/>
          <w:sz w:val="28"/>
          <w:szCs w:val="28"/>
        </w:rPr>
        <w:t>”</w:t>
      </w:r>
      <w:r w:rsidRPr="000149EE">
        <w:rPr>
          <w:rFonts w:ascii="Times New Roman" w:hAnsi="Times New Roman" w:cs="Times New Roman"/>
          <w:sz w:val="28"/>
          <w:szCs w:val="28"/>
          <w:vertAlign w:val="superscript"/>
        </w:rPr>
        <w:footnoteReference w:id="46"/>
      </w:r>
      <w:r w:rsidRPr="000149EE">
        <w:rPr>
          <w:rFonts w:ascii="Times New Roman" w:hAnsi="Times New Roman" w:cs="Times New Roman"/>
          <w:iCs/>
          <w:sz w:val="28"/>
          <w:szCs w:val="28"/>
        </w:rPr>
        <w:t>. Lo anterior, salvo que se constate alguna de las excepciones que enervan la cosa juzgada y que permiten adelantar un nuevo estudio de fondo</w:t>
      </w:r>
      <w:r w:rsidRPr="000149EE">
        <w:rPr>
          <w:rFonts w:ascii="Times New Roman" w:hAnsi="Times New Roman" w:cs="Times New Roman"/>
          <w:sz w:val="28"/>
          <w:szCs w:val="28"/>
          <w:vertAlign w:val="superscript"/>
        </w:rPr>
        <w:footnoteReference w:id="47"/>
      </w:r>
      <w:r w:rsidRPr="000149EE">
        <w:rPr>
          <w:rFonts w:ascii="Times New Roman" w:hAnsi="Times New Roman" w:cs="Times New Roman"/>
          <w:iCs/>
          <w:sz w:val="28"/>
          <w:szCs w:val="28"/>
        </w:rPr>
        <w:t>. En el segundo supuesto -</w:t>
      </w:r>
      <w:r w:rsidRPr="000149EE">
        <w:rPr>
          <w:rFonts w:ascii="Times New Roman" w:hAnsi="Times New Roman" w:cs="Times New Roman"/>
          <w:i/>
          <w:sz w:val="28"/>
          <w:szCs w:val="28"/>
        </w:rPr>
        <w:t>inexequibilidad</w:t>
      </w:r>
      <w:r w:rsidRPr="000149EE">
        <w:rPr>
          <w:rFonts w:ascii="Times New Roman" w:hAnsi="Times New Roman" w:cs="Times New Roman"/>
          <w:iCs/>
          <w:sz w:val="28"/>
          <w:szCs w:val="28"/>
        </w:rPr>
        <w:t xml:space="preserve">-, la Corte también deberá estarse a lo resuelto, pero </w:t>
      </w:r>
      <w:r w:rsidRPr="000149EE">
        <w:rPr>
          <w:rFonts w:ascii="Times New Roman" w:hAnsi="Times New Roman" w:cs="Times New Roman"/>
          <w:iCs/>
          <w:sz w:val="28"/>
          <w:szCs w:val="28"/>
        </w:rPr>
        <w:t>en este caso la cosa juzgada es absoluta y no admite excepciones, dado que la declaratoria de inexequibilidad retira la norma demandada del ordenamiento jurídico</w:t>
      </w:r>
      <w:r w:rsidRPr="000149EE">
        <w:rPr>
          <w:rFonts w:ascii="Times New Roman" w:hAnsi="Times New Roman" w:cs="Times New Roman"/>
          <w:sz w:val="28"/>
          <w:szCs w:val="28"/>
          <w:vertAlign w:val="superscript"/>
        </w:rPr>
        <w:footnoteReference w:id="48"/>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p>
    <w:p w:rsidR="00D73496" w:rsidRPr="000149EE" w:rsidRDefault="000149EE" w:rsidP="003827FE">
      <w:pPr>
        <w:rPr>
          <w:rFonts w:ascii="Times New Roman" w:hAnsi="Times New Roman" w:cs="Times New Roman"/>
          <w:iCs/>
          <w:sz w:val="28"/>
          <w:szCs w:val="28"/>
        </w:rPr>
      </w:pPr>
    </w:p>
    <w:p w:rsidR="00D73496"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La jurisprudencia constitucional ha sostenido de forma pacífica que “las decisiones inhibi</w:t>
      </w:r>
      <w:r w:rsidRPr="000149EE">
        <w:rPr>
          <w:rFonts w:ascii="Times New Roman" w:hAnsi="Times New Roman" w:cs="Times New Roman"/>
          <w:iCs/>
          <w:sz w:val="28"/>
          <w:szCs w:val="28"/>
        </w:rPr>
        <w:t>torias que profiere en ejercicio de sus funciones jurisdiccionales, especialmente en el marco de los procesos de control abstracto de constitucionalidad, no hacen tránsito a cosa juzgada”</w:t>
      </w:r>
      <w:r w:rsidRPr="000149EE">
        <w:rPr>
          <w:rFonts w:ascii="Times New Roman" w:hAnsi="Times New Roman" w:cs="Times New Roman"/>
          <w:iCs/>
          <w:sz w:val="28"/>
          <w:szCs w:val="28"/>
          <w:vertAlign w:val="superscript"/>
        </w:rPr>
        <w:footnoteReference w:id="49"/>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Esto es así, porque </w:t>
      </w:r>
      <w:r w:rsidRPr="000149EE">
        <w:rPr>
          <w:rFonts w:ascii="Times New Roman" w:hAnsi="Times New Roman" w:cs="Times New Roman"/>
          <w:iCs/>
          <w:sz w:val="28"/>
          <w:szCs w:val="28"/>
        </w:rPr>
        <w:t>en este tipo de decisiones</w:t>
      </w:r>
      <w:r w:rsidRPr="000149EE">
        <w:rPr>
          <w:rFonts w:ascii="Times New Roman" w:hAnsi="Times New Roman" w:cs="Times New Roman"/>
          <w:iCs/>
          <w:sz w:val="28"/>
          <w:szCs w:val="28"/>
        </w:rPr>
        <w:t xml:space="preserve"> la Corte no lleva a cabo un examen de fondo de las disposiciones demandadas. </w:t>
      </w:r>
      <w:r w:rsidRPr="000149EE">
        <w:rPr>
          <w:rFonts w:ascii="Times New Roman" w:hAnsi="Times New Roman" w:cs="Times New Roman"/>
          <w:iCs/>
          <w:sz w:val="28"/>
          <w:szCs w:val="28"/>
        </w:rPr>
        <w:t>Por el contrario,</w:t>
      </w:r>
      <w:r w:rsidRPr="000149EE">
        <w:rPr>
          <w:rFonts w:ascii="Times New Roman" w:hAnsi="Times New Roman" w:cs="Times New Roman"/>
          <w:iCs/>
          <w:sz w:val="28"/>
          <w:szCs w:val="28"/>
        </w:rPr>
        <w:t xml:space="preserve"> se limita a examinar la aptitud de los cargos formulados en la demanda, conforme a las exigencias argumentativas desarrolladas por la jurisprudencia constitucio</w:t>
      </w:r>
      <w:r w:rsidRPr="000149EE">
        <w:rPr>
          <w:rFonts w:ascii="Times New Roman" w:hAnsi="Times New Roman" w:cs="Times New Roman"/>
          <w:iCs/>
          <w:sz w:val="28"/>
          <w:szCs w:val="28"/>
        </w:rPr>
        <w:t xml:space="preserve">nal. </w:t>
      </w:r>
    </w:p>
    <w:p w:rsidR="00825898" w:rsidRPr="000149EE" w:rsidRDefault="000149EE" w:rsidP="001A47E2">
      <w:pPr>
        <w:rPr>
          <w:rFonts w:ascii="Times New Roman" w:hAnsi="Times New Roman" w:cs="Times New Roman"/>
          <w:iCs/>
          <w:sz w:val="28"/>
          <w:szCs w:val="28"/>
        </w:rPr>
      </w:pPr>
    </w:p>
    <w:p w:rsidR="00825898" w:rsidRPr="000149EE" w:rsidRDefault="000149EE" w:rsidP="001A47E2">
      <w:pPr>
        <w:pStyle w:val="Prrafodelista"/>
        <w:numPr>
          <w:ilvl w:val="0"/>
          <w:numId w:val="8"/>
        </w:numPr>
        <w:tabs>
          <w:tab w:val="left" w:pos="3261"/>
        </w:tabs>
        <w:spacing w:line="240" w:lineRule="auto"/>
        <w:ind w:right="-118"/>
        <w:rPr>
          <w:rFonts w:ascii="Times New Roman" w:hAnsi="Times New Roman"/>
          <w:iCs/>
          <w:sz w:val="28"/>
        </w:rPr>
      </w:pPr>
      <w:r w:rsidRPr="000149EE">
        <w:rPr>
          <w:rFonts w:ascii="Times New Roman" w:hAnsi="Times New Roman"/>
          <w:b/>
          <w:bCs/>
          <w:iCs/>
          <w:sz w:val="28"/>
        </w:rPr>
        <w:t>No existe cosa juzgada en relación con lo decidido por la Corte en la</w:t>
      </w:r>
      <w:r w:rsidRPr="000149EE">
        <w:rPr>
          <w:rFonts w:ascii="Times New Roman" w:hAnsi="Times New Roman"/>
          <w:b/>
          <w:bCs/>
          <w:iCs/>
          <w:sz w:val="28"/>
        </w:rPr>
        <w:t>s</w:t>
      </w:r>
      <w:r w:rsidRPr="000149EE">
        <w:rPr>
          <w:rFonts w:ascii="Times New Roman" w:hAnsi="Times New Roman"/>
          <w:b/>
          <w:bCs/>
          <w:iCs/>
          <w:sz w:val="28"/>
        </w:rPr>
        <w:t xml:space="preserve"> sentencias C-384 de 2024, C-500 de 2023 y C-073 de 2024</w:t>
      </w:r>
    </w:p>
    <w:p w:rsidR="009F7372" w:rsidRPr="000149EE" w:rsidRDefault="000149EE" w:rsidP="001A47E2">
      <w:pPr>
        <w:rPr>
          <w:rFonts w:ascii="Times New Roman" w:hAnsi="Times New Roman" w:cs="Times New Roman"/>
          <w:iCs/>
          <w:sz w:val="28"/>
          <w:szCs w:val="28"/>
        </w:rPr>
      </w:pPr>
    </w:p>
    <w:p w:rsidR="000403E1"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 xml:space="preserve">La Sala </w:t>
      </w:r>
      <w:r w:rsidRPr="000149EE">
        <w:rPr>
          <w:rFonts w:ascii="Times New Roman" w:hAnsi="Times New Roman" w:cs="Times New Roman"/>
          <w:iCs/>
          <w:sz w:val="28"/>
          <w:szCs w:val="28"/>
        </w:rPr>
        <w:t xml:space="preserve">Plena </w:t>
      </w:r>
      <w:r w:rsidRPr="000149EE">
        <w:rPr>
          <w:rFonts w:ascii="Times New Roman" w:hAnsi="Times New Roman" w:cs="Times New Roman"/>
          <w:iCs/>
          <w:sz w:val="28"/>
          <w:szCs w:val="28"/>
        </w:rPr>
        <w:t>constata qu</w:t>
      </w:r>
      <w:r w:rsidRPr="000149EE">
        <w:rPr>
          <w:rFonts w:ascii="Times New Roman" w:hAnsi="Times New Roman" w:cs="Times New Roman"/>
          <w:iCs/>
          <w:sz w:val="28"/>
          <w:szCs w:val="28"/>
        </w:rPr>
        <w:t>e la Corte Constitucional ha examinado la constitucionalidad</w:t>
      </w:r>
      <w:r w:rsidRPr="000149EE">
        <w:rPr>
          <w:rFonts w:ascii="Times New Roman" w:hAnsi="Times New Roman" w:cs="Times New Roman"/>
          <w:iCs/>
          <w:sz w:val="28"/>
          <w:szCs w:val="28"/>
        </w:rPr>
        <w:t xml:space="preserve"> los numerales 1, 2 y 3</w:t>
      </w:r>
      <w:r w:rsidRPr="000149EE">
        <w:rPr>
          <w:rFonts w:ascii="Times New Roman" w:hAnsi="Times New Roman" w:cs="Times New Roman"/>
          <w:iCs/>
          <w:sz w:val="28"/>
          <w:szCs w:val="28"/>
        </w:rPr>
        <w:t xml:space="preserve"> y el parágrafo 6</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d</w:t>
      </w:r>
      <w:r w:rsidRPr="000149EE">
        <w:rPr>
          <w:rFonts w:ascii="Times New Roman" w:hAnsi="Times New Roman" w:cs="Times New Roman"/>
          <w:iCs/>
          <w:sz w:val="28"/>
          <w:szCs w:val="28"/>
        </w:rPr>
        <w:t>el artículo</w:t>
      </w:r>
      <w:r w:rsidRPr="000149EE">
        <w:rPr>
          <w:rFonts w:ascii="Times New Roman" w:hAnsi="Times New Roman" w:cs="Times New Roman"/>
          <w:iCs/>
          <w:sz w:val="28"/>
          <w:szCs w:val="28"/>
        </w:rPr>
        <w:t xml:space="preserve"> 240-1 del ET</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modificado por el artículo</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11 </w:t>
      </w:r>
      <w:r w:rsidRPr="000149EE">
        <w:rPr>
          <w:rFonts w:ascii="Times New Roman" w:hAnsi="Times New Roman" w:cs="Times New Roman"/>
          <w:iCs/>
          <w:sz w:val="28"/>
          <w:szCs w:val="28"/>
        </w:rPr>
        <w:t>de la Ley 2277 de 2022</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en </w:t>
      </w:r>
      <w:r w:rsidRPr="000149EE">
        <w:rPr>
          <w:rFonts w:ascii="Times New Roman" w:hAnsi="Times New Roman" w:cs="Times New Roman"/>
          <w:iCs/>
          <w:sz w:val="28"/>
          <w:szCs w:val="28"/>
        </w:rPr>
        <w:t>las</w:t>
      </w:r>
      <w:r w:rsidRPr="000149EE">
        <w:rPr>
          <w:rFonts w:ascii="Times New Roman" w:hAnsi="Times New Roman" w:cs="Times New Roman"/>
          <w:iCs/>
          <w:sz w:val="28"/>
          <w:szCs w:val="28"/>
        </w:rPr>
        <w:t xml:space="preserve"> sentencias C-384 de 2023, C-500 de 2023 y C-073 de 2024</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No obstante, </w:t>
      </w:r>
      <w:r w:rsidRPr="000149EE">
        <w:rPr>
          <w:rFonts w:ascii="Times New Roman" w:hAnsi="Times New Roman" w:cs="Times New Roman"/>
          <w:iCs/>
          <w:sz w:val="28"/>
          <w:szCs w:val="28"/>
        </w:rPr>
        <w:t xml:space="preserve">la Corte considera que </w:t>
      </w:r>
      <w:r w:rsidRPr="000149EE">
        <w:rPr>
          <w:rFonts w:ascii="Times New Roman" w:hAnsi="Times New Roman" w:cs="Times New Roman"/>
          <w:iCs/>
          <w:sz w:val="28"/>
          <w:szCs w:val="28"/>
        </w:rPr>
        <w:t xml:space="preserve">en el presente asunto </w:t>
      </w:r>
      <w:r w:rsidRPr="000149EE">
        <w:rPr>
          <w:rFonts w:ascii="Times New Roman" w:hAnsi="Times New Roman" w:cs="Times New Roman"/>
          <w:iCs/>
          <w:sz w:val="28"/>
          <w:szCs w:val="28"/>
        </w:rPr>
        <w:t>no se configura cosa juzgada</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porque </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entre la</w:t>
      </w:r>
      <w:r w:rsidRPr="000149EE">
        <w:rPr>
          <w:rFonts w:ascii="Times New Roman" w:hAnsi="Times New Roman" w:cs="Times New Roman"/>
          <w:iCs/>
          <w:sz w:val="28"/>
          <w:szCs w:val="28"/>
        </w:rPr>
        <w:t xml:space="preserve"> demanda</w:t>
      </w:r>
      <w:r w:rsidRPr="000149EE">
        <w:rPr>
          <w:rFonts w:ascii="Times New Roman" w:hAnsi="Times New Roman" w:cs="Times New Roman"/>
          <w:iCs/>
          <w:sz w:val="28"/>
          <w:szCs w:val="28"/>
        </w:rPr>
        <w:t xml:space="preserve"> bajo estudio</w:t>
      </w:r>
      <w:r w:rsidRPr="000149EE">
        <w:rPr>
          <w:rFonts w:ascii="Times New Roman" w:hAnsi="Times New Roman" w:cs="Times New Roman"/>
          <w:iCs/>
          <w:sz w:val="28"/>
          <w:szCs w:val="28"/>
        </w:rPr>
        <w:t xml:space="preserve"> y </w:t>
      </w:r>
      <w:r w:rsidRPr="000149EE">
        <w:rPr>
          <w:rFonts w:ascii="Times New Roman" w:hAnsi="Times New Roman" w:cs="Times New Roman"/>
          <w:iCs/>
          <w:sz w:val="28"/>
          <w:szCs w:val="28"/>
        </w:rPr>
        <w:t xml:space="preserve">las que la Corte resolvió en esas sentencias no existe identidad de </w:t>
      </w:r>
      <w:r w:rsidRPr="000149EE">
        <w:rPr>
          <w:rFonts w:ascii="Times New Roman" w:hAnsi="Times New Roman" w:cs="Times New Roman"/>
          <w:iCs/>
          <w:sz w:val="28"/>
          <w:szCs w:val="28"/>
        </w:rPr>
        <w:t>cargo</w:t>
      </w:r>
      <w:r w:rsidRPr="000149EE">
        <w:rPr>
          <w:rFonts w:ascii="Times New Roman" w:hAnsi="Times New Roman" w:cs="Times New Roman"/>
          <w:iCs/>
          <w:sz w:val="28"/>
          <w:szCs w:val="28"/>
        </w:rPr>
        <w:t xml:space="preserve"> y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en los casos en los que los demandantes formularon cargos por violación al principio de igualdad y equidad tributaria, la Corte se declaró inhibida</w:t>
      </w:r>
      <w:r w:rsidRPr="000149EE">
        <w:rPr>
          <w:rFonts w:ascii="Times New Roman" w:hAnsi="Times New Roman" w:cs="Times New Roman"/>
          <w:iCs/>
          <w:sz w:val="28"/>
          <w:szCs w:val="28"/>
        </w:rPr>
        <w:t>.</w:t>
      </w:r>
    </w:p>
    <w:p w:rsidR="000403E1" w:rsidRPr="000149EE" w:rsidRDefault="000149EE" w:rsidP="001A47E2">
      <w:pPr>
        <w:pStyle w:val="Prrafodelista"/>
        <w:widowControl w:val="0"/>
        <w:spacing w:line="240" w:lineRule="auto"/>
        <w:ind w:left="0"/>
        <w:rPr>
          <w:rFonts w:ascii="Times New Roman" w:hAnsi="Times New Roman"/>
          <w:iCs/>
          <w:sz w:val="28"/>
        </w:rPr>
      </w:pPr>
    </w:p>
    <w:p w:rsidR="00405FD4"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
          <w:sz w:val="28"/>
          <w:szCs w:val="28"/>
        </w:rPr>
        <w:t>Sentencia C-384 de 202</w:t>
      </w:r>
      <w:r w:rsidRPr="000149EE">
        <w:rPr>
          <w:rFonts w:ascii="Times New Roman" w:hAnsi="Times New Roman" w:cs="Times New Roman"/>
          <w:i/>
          <w:sz w:val="28"/>
          <w:szCs w:val="28"/>
        </w:rPr>
        <w:t>3</w:t>
      </w:r>
      <w:r w:rsidRPr="000149EE">
        <w:rPr>
          <w:rFonts w:ascii="Times New Roman" w:hAnsi="Times New Roman" w:cs="Times New Roman"/>
          <w:i/>
          <w:sz w:val="28"/>
          <w:szCs w:val="28"/>
        </w:rPr>
        <w:t xml:space="preserve">. </w:t>
      </w:r>
      <w:r w:rsidRPr="000149EE">
        <w:rPr>
          <w:rFonts w:ascii="Times New Roman" w:hAnsi="Times New Roman" w:cs="Times New Roman"/>
          <w:iCs/>
          <w:sz w:val="28"/>
          <w:szCs w:val="28"/>
        </w:rPr>
        <w:t xml:space="preserve">La </w:t>
      </w:r>
      <w:r w:rsidRPr="000149EE">
        <w:rPr>
          <w:rFonts w:ascii="Times New Roman" w:hAnsi="Times New Roman" w:cs="Times New Roman"/>
          <w:iCs/>
          <w:sz w:val="28"/>
          <w:szCs w:val="28"/>
        </w:rPr>
        <w:t xml:space="preserve">Corte </w:t>
      </w:r>
      <w:r w:rsidRPr="000149EE">
        <w:rPr>
          <w:rFonts w:ascii="Times New Roman" w:hAnsi="Times New Roman" w:cs="Times New Roman"/>
          <w:iCs/>
          <w:sz w:val="28"/>
          <w:szCs w:val="28"/>
        </w:rPr>
        <w:t>examinó una demanda en contra de los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numerales 1, 2 y 3 y el parágrafo </w:t>
      </w:r>
      <w:r w:rsidRPr="000149EE">
        <w:rPr>
          <w:rFonts w:ascii="Times New Roman" w:hAnsi="Times New Roman" w:cs="Times New Roman"/>
          <w:iCs/>
          <w:sz w:val="28"/>
          <w:szCs w:val="28"/>
        </w:rPr>
        <w:t>6 del artículo 11 de la Ley 2277 de 2022</w:t>
      </w:r>
      <w:r w:rsidRPr="000149EE">
        <w:rPr>
          <w:rFonts w:ascii="Times New Roman" w:hAnsi="Times New Roman" w:cs="Times New Roman"/>
          <w:iCs/>
          <w:sz w:val="28"/>
          <w:szCs w:val="28"/>
        </w:rPr>
        <w:t>. El demandante argumentaba que estas disposiciones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violaban</w:t>
      </w:r>
      <w:r w:rsidRPr="000149EE">
        <w:rPr>
          <w:rFonts w:ascii="Times New Roman" w:hAnsi="Times New Roman" w:cs="Times New Roman"/>
          <w:iCs/>
          <w:sz w:val="28"/>
          <w:szCs w:val="28"/>
        </w:rPr>
        <w:t xml:space="preserve"> los principios de legalidad</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certeza tributaria</w:t>
      </w:r>
      <w:r w:rsidRPr="000149EE">
        <w:rPr>
          <w:rFonts w:ascii="Times New Roman" w:hAnsi="Times New Roman" w:cs="Times New Roman"/>
          <w:iCs/>
          <w:sz w:val="28"/>
          <w:szCs w:val="28"/>
        </w:rPr>
        <w:t xml:space="preserve"> y confianza legítima</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La</w:t>
      </w:r>
      <w:r w:rsidRPr="000149EE">
        <w:rPr>
          <w:rFonts w:ascii="Times New Roman" w:hAnsi="Times New Roman" w:cs="Times New Roman"/>
          <w:iCs/>
          <w:sz w:val="28"/>
          <w:szCs w:val="28"/>
        </w:rPr>
        <w:t xml:space="preserve"> Sala Plena </w:t>
      </w:r>
      <w:r w:rsidRPr="000149EE">
        <w:rPr>
          <w:rFonts w:ascii="Times New Roman" w:hAnsi="Times New Roman" w:cs="Times New Roman"/>
          <w:iCs/>
          <w:sz w:val="28"/>
          <w:szCs w:val="28"/>
        </w:rPr>
        <w:t xml:space="preserve">consideró </w:t>
      </w:r>
      <w:r w:rsidRPr="000149EE">
        <w:rPr>
          <w:rFonts w:ascii="Times New Roman" w:hAnsi="Times New Roman" w:cs="Times New Roman"/>
          <w:iCs/>
          <w:sz w:val="28"/>
          <w:szCs w:val="28"/>
        </w:rPr>
        <w:t xml:space="preserve">que </w:t>
      </w:r>
      <w:r w:rsidRPr="000149EE">
        <w:rPr>
          <w:rFonts w:ascii="Times New Roman" w:hAnsi="Times New Roman" w:cs="Times New Roman"/>
          <w:iCs/>
          <w:sz w:val="28"/>
          <w:szCs w:val="28"/>
        </w:rPr>
        <w:t>las</w:t>
      </w:r>
      <w:r w:rsidRPr="000149EE">
        <w:rPr>
          <w:rFonts w:ascii="Times New Roman" w:hAnsi="Times New Roman" w:cs="Times New Roman"/>
          <w:iCs/>
          <w:sz w:val="28"/>
          <w:szCs w:val="28"/>
        </w:rPr>
        <w:t xml:space="preserve"> disposiciones no </w:t>
      </w:r>
      <w:r w:rsidRPr="000149EE">
        <w:rPr>
          <w:rFonts w:ascii="Times New Roman" w:hAnsi="Times New Roman" w:cs="Times New Roman"/>
          <w:iCs/>
          <w:sz w:val="28"/>
          <w:szCs w:val="28"/>
        </w:rPr>
        <w:t>desconocían</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los principios de </w:t>
      </w:r>
      <w:r w:rsidRPr="000149EE">
        <w:rPr>
          <w:rFonts w:ascii="Times New Roman" w:hAnsi="Times New Roman" w:cs="Times New Roman"/>
          <w:iCs/>
          <w:sz w:val="28"/>
          <w:szCs w:val="28"/>
        </w:rPr>
        <w:t>legalidad y de certeza tributaria</w:t>
      </w:r>
      <w:r w:rsidRPr="000149EE">
        <w:rPr>
          <w:rFonts w:ascii="Times New Roman" w:hAnsi="Times New Roman" w:cs="Times New Roman"/>
          <w:iCs/>
          <w:sz w:val="28"/>
          <w:szCs w:val="28"/>
        </w:rPr>
        <w:t xml:space="preserve">, pero sí </w:t>
      </w:r>
      <w:r w:rsidRPr="000149EE">
        <w:rPr>
          <w:rFonts w:ascii="Times New Roman" w:hAnsi="Times New Roman" w:cs="Times New Roman"/>
          <w:iCs/>
          <w:sz w:val="28"/>
          <w:szCs w:val="28"/>
        </w:rPr>
        <w:t>vulneraban</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el principio de buena fe y confianza legítima para </w:t>
      </w:r>
      <w:r w:rsidRPr="000149EE">
        <w:rPr>
          <w:rFonts w:ascii="Times New Roman" w:hAnsi="Times New Roman" w:cs="Times New Roman"/>
          <w:iCs/>
          <w:sz w:val="28"/>
          <w:szCs w:val="28"/>
        </w:rPr>
        <w:t xml:space="preserve">quienes </w:t>
      </w:r>
      <w:r w:rsidRPr="000149EE">
        <w:rPr>
          <w:rFonts w:ascii="Times New Roman" w:hAnsi="Times New Roman" w:cs="Times New Roman"/>
          <w:iCs/>
          <w:sz w:val="28"/>
          <w:szCs w:val="28"/>
        </w:rPr>
        <w:t>habían sido calificados como usuarios industriales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y habían cumplido con l</w:t>
      </w:r>
      <w:r w:rsidRPr="000149EE">
        <w:rPr>
          <w:rFonts w:ascii="Times New Roman" w:hAnsi="Times New Roman" w:cs="Times New Roman"/>
          <w:iCs/>
          <w:sz w:val="28"/>
          <w:szCs w:val="28"/>
        </w:rPr>
        <w:t>os requisitos</w:t>
      </w:r>
      <w:r w:rsidRPr="000149EE">
        <w:rPr>
          <w:rFonts w:ascii="Times New Roman" w:hAnsi="Times New Roman" w:cs="Times New Roman"/>
          <w:iCs/>
          <w:sz w:val="28"/>
          <w:szCs w:val="28"/>
        </w:rPr>
        <w:t xml:space="preserve"> para </w:t>
      </w:r>
      <w:r w:rsidRPr="000149EE">
        <w:rPr>
          <w:rFonts w:ascii="Times New Roman" w:hAnsi="Times New Roman" w:cs="Times New Roman"/>
          <w:iCs/>
          <w:sz w:val="28"/>
          <w:szCs w:val="28"/>
        </w:rPr>
        <w:t>acceder</w:t>
      </w:r>
      <w:r w:rsidRPr="000149EE">
        <w:rPr>
          <w:rFonts w:ascii="Times New Roman" w:hAnsi="Times New Roman" w:cs="Times New Roman"/>
          <w:iCs/>
          <w:sz w:val="28"/>
          <w:szCs w:val="28"/>
        </w:rPr>
        <w:t xml:space="preserve"> a la tarifa preferencial </w:t>
      </w:r>
      <w:r w:rsidRPr="000149EE">
        <w:rPr>
          <w:rFonts w:ascii="Times New Roman" w:hAnsi="Times New Roman" w:cs="Times New Roman"/>
          <w:iCs/>
          <w:sz w:val="28"/>
          <w:szCs w:val="28"/>
        </w:rPr>
        <w:t>del impuesto a la</w:t>
      </w:r>
      <w:r w:rsidRPr="000149EE">
        <w:rPr>
          <w:rFonts w:ascii="Times New Roman" w:hAnsi="Times New Roman" w:cs="Times New Roman"/>
          <w:iCs/>
          <w:sz w:val="28"/>
          <w:szCs w:val="28"/>
        </w:rPr>
        <w:t xml:space="preserve"> renta </w:t>
      </w:r>
      <w:r w:rsidRPr="000149EE">
        <w:rPr>
          <w:rFonts w:ascii="Times New Roman" w:hAnsi="Times New Roman" w:cs="Times New Roman"/>
          <w:iCs/>
          <w:sz w:val="28"/>
          <w:szCs w:val="28"/>
        </w:rPr>
        <w:t xml:space="preserve">que existía </w:t>
      </w:r>
      <w:r w:rsidRPr="000149EE">
        <w:rPr>
          <w:rFonts w:ascii="Times New Roman" w:hAnsi="Times New Roman" w:cs="Times New Roman"/>
          <w:iCs/>
          <w:sz w:val="28"/>
          <w:szCs w:val="28"/>
        </w:rPr>
        <w:t>antes de la entrada en vig</w:t>
      </w:r>
      <w:r w:rsidRPr="000149EE">
        <w:rPr>
          <w:rFonts w:ascii="Times New Roman" w:hAnsi="Times New Roman" w:cs="Times New Roman"/>
          <w:iCs/>
          <w:sz w:val="28"/>
          <w:szCs w:val="28"/>
        </w:rPr>
        <w:t>or</w:t>
      </w:r>
      <w:r w:rsidRPr="000149EE">
        <w:rPr>
          <w:rFonts w:ascii="Times New Roman" w:hAnsi="Times New Roman" w:cs="Times New Roman"/>
          <w:iCs/>
          <w:sz w:val="28"/>
          <w:szCs w:val="28"/>
        </w:rPr>
        <w:t xml:space="preserve"> de la Ley 2277 de 2022</w:t>
      </w:r>
      <w:r w:rsidRPr="000149EE">
        <w:rPr>
          <w:rFonts w:ascii="Times New Roman" w:hAnsi="Times New Roman" w:cs="Times New Roman"/>
          <w:iCs/>
          <w:sz w:val="28"/>
          <w:szCs w:val="28"/>
        </w:rPr>
        <w:t>, esto es, la Ley 1819 de 2016</w:t>
      </w:r>
      <w:r w:rsidRPr="000149EE">
        <w:rPr>
          <w:rFonts w:ascii="Times New Roman" w:hAnsi="Times New Roman" w:cs="Times New Roman"/>
          <w:iCs/>
          <w:sz w:val="28"/>
          <w:szCs w:val="28"/>
        </w:rPr>
        <w:t>. En consecuencia,</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con el propósito de salvaguardar los derechos de estos, </w:t>
      </w:r>
      <w:r w:rsidRPr="000149EE">
        <w:rPr>
          <w:rFonts w:ascii="Times New Roman" w:hAnsi="Times New Roman" w:cs="Times New Roman"/>
          <w:iCs/>
          <w:sz w:val="28"/>
          <w:szCs w:val="28"/>
        </w:rPr>
        <w:t xml:space="preserve">declaró la exequibilidad </w:t>
      </w:r>
      <w:r w:rsidRPr="000149EE">
        <w:rPr>
          <w:rFonts w:ascii="Times New Roman" w:hAnsi="Times New Roman" w:cs="Times New Roman"/>
          <w:iCs/>
          <w:sz w:val="28"/>
          <w:szCs w:val="28"/>
        </w:rPr>
        <w:t>condicion</w:t>
      </w:r>
      <w:r w:rsidRPr="000149EE">
        <w:rPr>
          <w:rFonts w:ascii="Times New Roman" w:hAnsi="Times New Roman" w:cs="Times New Roman"/>
          <w:iCs/>
          <w:sz w:val="28"/>
          <w:szCs w:val="28"/>
        </w:rPr>
        <w:t>ada</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de l</w:t>
      </w:r>
      <w:r w:rsidRPr="000149EE">
        <w:rPr>
          <w:rFonts w:ascii="Times New Roman" w:hAnsi="Times New Roman" w:cs="Times New Roman"/>
          <w:iCs/>
          <w:sz w:val="28"/>
          <w:szCs w:val="28"/>
        </w:rPr>
        <w:t xml:space="preserve">as disposiciones demandadas </w:t>
      </w:r>
      <w:r w:rsidRPr="000149EE">
        <w:rPr>
          <w:rFonts w:ascii="Times New Roman" w:hAnsi="Times New Roman" w:cs="Times New Roman"/>
          <w:iCs/>
          <w:sz w:val="28"/>
          <w:szCs w:val="28"/>
        </w:rPr>
        <w:t>“en el ente</w:t>
      </w:r>
      <w:r w:rsidRPr="000149EE">
        <w:rPr>
          <w:rFonts w:ascii="Times New Roman" w:hAnsi="Times New Roman" w:cs="Times New Roman"/>
          <w:iCs/>
          <w:sz w:val="28"/>
          <w:szCs w:val="28"/>
        </w:rPr>
        <w:t>ndido de que el régimen tarifario del artículo 101 de la Ley 1819 de 2016 continuará rigiendo para los contribuyentes que hubiesen cumplido las condiciones para acceder al mismo antes del 13 de diciembre de 2022, fecha de entrada en vig</w:t>
      </w:r>
      <w:r w:rsidRPr="000149EE">
        <w:rPr>
          <w:rFonts w:ascii="Times New Roman" w:hAnsi="Times New Roman" w:cs="Times New Roman"/>
          <w:iCs/>
          <w:sz w:val="28"/>
          <w:szCs w:val="28"/>
        </w:rPr>
        <w:t xml:space="preserve">or </w:t>
      </w:r>
      <w:r w:rsidRPr="000149EE">
        <w:rPr>
          <w:rFonts w:ascii="Times New Roman" w:hAnsi="Times New Roman" w:cs="Times New Roman"/>
          <w:iCs/>
          <w:sz w:val="28"/>
          <w:szCs w:val="28"/>
        </w:rPr>
        <w:t>de la Ley 2277 de</w:t>
      </w:r>
      <w:r w:rsidRPr="000149EE">
        <w:rPr>
          <w:rFonts w:ascii="Times New Roman" w:hAnsi="Times New Roman" w:cs="Times New Roman"/>
          <w:iCs/>
          <w:sz w:val="28"/>
          <w:szCs w:val="28"/>
        </w:rPr>
        <w:t xml:space="preserve"> 2022”.</w:t>
      </w:r>
      <w:r w:rsidRPr="000149EE">
        <w:rPr>
          <w:rFonts w:ascii="Times New Roman" w:hAnsi="Times New Roman" w:cs="Times New Roman"/>
          <w:iCs/>
          <w:sz w:val="28"/>
          <w:szCs w:val="28"/>
        </w:rPr>
        <w:t xml:space="preserve"> </w:t>
      </w:r>
    </w:p>
    <w:p w:rsidR="00405FD4" w:rsidRPr="000149EE" w:rsidRDefault="000149EE" w:rsidP="00405FD4">
      <w:pPr>
        <w:pStyle w:val="Prrafodelista"/>
        <w:widowControl w:val="0"/>
        <w:spacing w:line="240" w:lineRule="auto"/>
        <w:ind w:left="0"/>
        <w:rPr>
          <w:rFonts w:ascii="Times New Roman" w:hAnsi="Times New Roman"/>
          <w:iCs/>
          <w:sz w:val="28"/>
        </w:rPr>
      </w:pPr>
    </w:p>
    <w:p w:rsidR="000403E1"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En tales términos, la Corte advierte que no existe cosa juzgada en relación con lo decidido</w:t>
      </w:r>
      <w:r w:rsidRPr="000149EE">
        <w:rPr>
          <w:rFonts w:ascii="Times New Roman" w:hAnsi="Times New Roman" w:cs="Times New Roman"/>
          <w:iCs/>
          <w:sz w:val="28"/>
          <w:szCs w:val="28"/>
        </w:rPr>
        <w:t xml:space="preserve"> en la sentencia C-384 de 2023</w:t>
      </w:r>
      <w:r w:rsidRPr="000149EE">
        <w:rPr>
          <w:rFonts w:ascii="Times New Roman" w:hAnsi="Times New Roman" w:cs="Times New Roman"/>
          <w:iCs/>
          <w:sz w:val="28"/>
          <w:szCs w:val="28"/>
        </w:rPr>
        <w:t>. Esto, porque si bien las normas demandadas eran las mismas, lo que implica que existe identidad de objeto,</w:t>
      </w:r>
      <w:r w:rsidRPr="000149EE">
        <w:rPr>
          <w:rFonts w:ascii="Times New Roman" w:hAnsi="Times New Roman" w:cs="Times New Roman"/>
          <w:iCs/>
          <w:sz w:val="28"/>
          <w:szCs w:val="28"/>
        </w:rPr>
        <w:t xml:space="preserve"> la Corte no exam</w:t>
      </w:r>
      <w:r w:rsidRPr="000149EE">
        <w:rPr>
          <w:rFonts w:ascii="Times New Roman" w:hAnsi="Times New Roman" w:cs="Times New Roman"/>
          <w:iCs/>
          <w:sz w:val="28"/>
          <w:szCs w:val="28"/>
        </w:rPr>
        <w:t xml:space="preserve">inó </w:t>
      </w:r>
      <w:r w:rsidRPr="000149EE">
        <w:rPr>
          <w:rFonts w:ascii="Times New Roman" w:hAnsi="Times New Roman" w:cs="Times New Roman"/>
          <w:iCs/>
          <w:sz w:val="28"/>
          <w:szCs w:val="28"/>
        </w:rPr>
        <w:t>la presunta</w:t>
      </w:r>
      <w:r w:rsidRPr="000149EE">
        <w:rPr>
          <w:rFonts w:ascii="Times New Roman" w:hAnsi="Times New Roman" w:cs="Times New Roman"/>
          <w:iCs/>
          <w:sz w:val="28"/>
          <w:szCs w:val="28"/>
        </w:rPr>
        <w:t xml:space="preserve"> violación de los principios de igualdad y equidad tributaria. </w:t>
      </w:r>
      <w:r w:rsidRPr="000149EE">
        <w:rPr>
          <w:rFonts w:ascii="Times New Roman" w:hAnsi="Times New Roman" w:cs="Times New Roman"/>
          <w:iCs/>
          <w:sz w:val="28"/>
          <w:szCs w:val="28"/>
        </w:rPr>
        <w:t xml:space="preserve">Por lo tanto, no se presenta identidad de cargos. </w:t>
      </w:r>
      <w:r w:rsidRPr="000149EE">
        <w:rPr>
          <w:rFonts w:ascii="Times New Roman" w:hAnsi="Times New Roman" w:cs="Times New Roman"/>
          <w:iCs/>
          <w:sz w:val="28"/>
          <w:szCs w:val="28"/>
        </w:rPr>
        <w:t xml:space="preserve"> </w:t>
      </w:r>
    </w:p>
    <w:p w:rsidR="000403E1" w:rsidRPr="000149EE" w:rsidRDefault="000149EE" w:rsidP="001A47E2">
      <w:pPr>
        <w:rPr>
          <w:rFonts w:ascii="Times New Roman" w:hAnsi="Times New Roman" w:cs="Times New Roman"/>
          <w:iCs/>
          <w:sz w:val="28"/>
          <w:szCs w:val="28"/>
        </w:rPr>
      </w:pPr>
    </w:p>
    <w:p w:rsidR="00405FD4"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
          <w:sz w:val="28"/>
          <w:szCs w:val="28"/>
        </w:rPr>
        <w:t xml:space="preserve">Sentencia </w:t>
      </w:r>
      <w:r w:rsidRPr="000149EE">
        <w:rPr>
          <w:rFonts w:ascii="Times New Roman" w:hAnsi="Times New Roman" w:cs="Times New Roman"/>
          <w:i/>
          <w:sz w:val="28"/>
          <w:szCs w:val="28"/>
        </w:rPr>
        <w:t>C-500 de 2023</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L</w:t>
      </w:r>
      <w:r w:rsidRPr="000149EE">
        <w:rPr>
          <w:rFonts w:ascii="Times New Roman" w:hAnsi="Times New Roman" w:cs="Times New Roman"/>
          <w:iCs/>
          <w:sz w:val="28"/>
          <w:szCs w:val="28"/>
        </w:rPr>
        <w:t xml:space="preserve">a Sala </w:t>
      </w:r>
      <w:r w:rsidRPr="000149EE">
        <w:rPr>
          <w:rFonts w:ascii="Times New Roman" w:hAnsi="Times New Roman" w:cs="Times New Roman"/>
          <w:iCs/>
          <w:sz w:val="28"/>
          <w:szCs w:val="28"/>
        </w:rPr>
        <w:t xml:space="preserve">Plena </w:t>
      </w:r>
      <w:r w:rsidRPr="000149EE">
        <w:rPr>
          <w:rFonts w:ascii="Times New Roman" w:hAnsi="Times New Roman" w:cs="Times New Roman"/>
          <w:iCs/>
          <w:sz w:val="28"/>
          <w:szCs w:val="28"/>
        </w:rPr>
        <w:t xml:space="preserve">estudió una demanda de inconstitucionalidad dirigida contra los </w:t>
      </w:r>
      <w:r w:rsidRPr="000149EE">
        <w:rPr>
          <w:rFonts w:ascii="Times New Roman" w:hAnsi="Times New Roman" w:cs="Times New Roman"/>
          <w:iCs/>
          <w:sz w:val="28"/>
          <w:szCs w:val="28"/>
        </w:rPr>
        <w:t>numerales 1, 2 y 3 y l</w:t>
      </w:r>
      <w:r w:rsidRPr="000149EE">
        <w:rPr>
          <w:rFonts w:ascii="Times New Roman" w:hAnsi="Times New Roman" w:cs="Times New Roman"/>
          <w:iCs/>
          <w:sz w:val="28"/>
          <w:szCs w:val="28"/>
        </w:rPr>
        <w:t>os</w:t>
      </w:r>
      <w:r w:rsidRPr="000149EE">
        <w:rPr>
          <w:rFonts w:ascii="Times New Roman" w:hAnsi="Times New Roman" w:cs="Times New Roman"/>
          <w:iCs/>
          <w:sz w:val="28"/>
          <w:szCs w:val="28"/>
        </w:rPr>
        <w:t xml:space="preserve"> parágrafo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5 y </w:t>
      </w:r>
      <w:r w:rsidRPr="000149EE">
        <w:rPr>
          <w:rFonts w:ascii="Times New Roman" w:hAnsi="Times New Roman" w:cs="Times New Roman"/>
          <w:iCs/>
          <w:sz w:val="28"/>
          <w:szCs w:val="28"/>
        </w:rPr>
        <w:t xml:space="preserve">6 </w:t>
      </w:r>
      <w:r w:rsidRPr="000149EE">
        <w:rPr>
          <w:rFonts w:ascii="Times New Roman" w:hAnsi="Times New Roman" w:cs="Times New Roman"/>
          <w:iCs/>
          <w:sz w:val="28"/>
          <w:szCs w:val="28"/>
        </w:rPr>
        <w:t xml:space="preserve">del artículo 240-1 del </w:t>
      </w:r>
      <w:r w:rsidRPr="000149EE">
        <w:rPr>
          <w:rFonts w:ascii="Times New Roman" w:hAnsi="Times New Roman" w:cs="Times New Roman"/>
          <w:iCs/>
          <w:sz w:val="28"/>
          <w:szCs w:val="28"/>
        </w:rPr>
        <w:t>ET</w:t>
      </w:r>
      <w:r w:rsidRPr="000149EE">
        <w:rPr>
          <w:rFonts w:ascii="Times New Roman" w:hAnsi="Times New Roman" w:cs="Times New Roman"/>
          <w:iCs/>
          <w:sz w:val="28"/>
          <w:szCs w:val="28"/>
        </w:rPr>
        <w:t>, modificados por el artículo 11 de la Ley 2277 de 2022</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Los</w:t>
      </w:r>
      <w:r w:rsidRPr="000149EE">
        <w:rPr>
          <w:rFonts w:ascii="Times New Roman" w:hAnsi="Times New Roman" w:cs="Times New Roman"/>
          <w:iCs/>
          <w:sz w:val="28"/>
          <w:szCs w:val="28"/>
        </w:rPr>
        <w:t xml:space="preserve"> demandante</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argumentaba</w:t>
      </w:r>
      <w:r w:rsidRPr="000149EE">
        <w:rPr>
          <w:rFonts w:ascii="Times New Roman" w:hAnsi="Times New Roman" w:cs="Times New Roman"/>
          <w:iCs/>
          <w:sz w:val="28"/>
          <w:szCs w:val="28"/>
        </w:rPr>
        <w:t>n</w:t>
      </w:r>
      <w:r w:rsidRPr="000149EE">
        <w:rPr>
          <w:rFonts w:ascii="Times New Roman" w:hAnsi="Times New Roman" w:cs="Times New Roman"/>
          <w:iCs/>
          <w:sz w:val="28"/>
          <w:szCs w:val="28"/>
        </w:rPr>
        <w:t xml:space="preserve"> que las </w:t>
      </w:r>
      <w:r w:rsidRPr="000149EE">
        <w:rPr>
          <w:rFonts w:ascii="Times New Roman" w:hAnsi="Times New Roman" w:cs="Times New Roman"/>
          <w:iCs/>
          <w:sz w:val="28"/>
          <w:szCs w:val="28"/>
        </w:rPr>
        <w:t>disposiciones</w:t>
      </w:r>
      <w:r w:rsidRPr="000149EE">
        <w:rPr>
          <w:rFonts w:ascii="Times New Roman" w:hAnsi="Times New Roman" w:cs="Times New Roman"/>
          <w:iCs/>
          <w:sz w:val="28"/>
          <w:szCs w:val="28"/>
        </w:rPr>
        <w:t xml:space="preserve"> acusadas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vulneraban</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el derecho a la propiedad privada, así como </w:t>
      </w:r>
      <w:r w:rsidRPr="000149EE">
        <w:rPr>
          <w:rFonts w:ascii="Times New Roman" w:hAnsi="Times New Roman" w:cs="Times New Roman"/>
          <w:iCs/>
          <w:sz w:val="28"/>
          <w:szCs w:val="28"/>
        </w:rPr>
        <w:t>l</w:t>
      </w:r>
      <w:r w:rsidRPr="000149EE">
        <w:rPr>
          <w:rFonts w:ascii="Times New Roman" w:hAnsi="Times New Roman" w:cs="Times New Roman"/>
          <w:iCs/>
          <w:sz w:val="28"/>
          <w:szCs w:val="28"/>
        </w:rPr>
        <w:t>os</w:t>
      </w:r>
      <w:r w:rsidRPr="000149EE">
        <w:rPr>
          <w:rFonts w:ascii="Times New Roman" w:hAnsi="Times New Roman" w:cs="Times New Roman"/>
          <w:iCs/>
          <w:sz w:val="28"/>
          <w:szCs w:val="28"/>
        </w:rPr>
        <w:t xml:space="preserve"> principio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de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buena fe</w:t>
      </w:r>
      <w:r w:rsidRPr="000149EE">
        <w:rPr>
          <w:rFonts w:ascii="Times New Roman" w:hAnsi="Times New Roman" w:cs="Times New Roman"/>
          <w:iCs/>
          <w:sz w:val="28"/>
          <w:szCs w:val="28"/>
        </w:rPr>
        <w:t xml:space="preserve"> y</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equidad </w:t>
      </w:r>
      <w:r w:rsidRPr="000149EE">
        <w:rPr>
          <w:rFonts w:ascii="Times New Roman" w:hAnsi="Times New Roman" w:cs="Times New Roman"/>
          <w:iCs/>
          <w:sz w:val="28"/>
          <w:szCs w:val="28"/>
        </w:rPr>
        <w:t>tributaria</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Lo primero –</w:t>
      </w:r>
      <w:r w:rsidRPr="000149EE">
        <w:rPr>
          <w:rFonts w:ascii="Times New Roman" w:hAnsi="Times New Roman" w:cs="Times New Roman"/>
          <w:i/>
          <w:sz w:val="28"/>
          <w:szCs w:val="28"/>
        </w:rPr>
        <w:t>propiedad privada</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porque la reforma tributaria creó una variación de la tarifa del impuesto de renta de los antiguos usuarios de zona franca que es expropiatoria de derechos adquiridos con justo título. </w:t>
      </w:r>
      <w:r w:rsidRPr="000149EE">
        <w:rPr>
          <w:rFonts w:ascii="Times New Roman" w:hAnsi="Times New Roman" w:cs="Times New Roman"/>
          <w:iCs/>
          <w:sz w:val="28"/>
          <w:szCs w:val="28"/>
        </w:rPr>
        <w:t>Lo segundo</w:t>
      </w:r>
      <w:r w:rsidRPr="000149EE">
        <w:rPr>
          <w:rFonts w:ascii="Times New Roman" w:hAnsi="Times New Roman" w:cs="Times New Roman"/>
          <w:iCs/>
          <w:sz w:val="28"/>
          <w:szCs w:val="28"/>
        </w:rPr>
        <w:t xml:space="preserve"> -</w:t>
      </w:r>
      <w:r w:rsidRPr="000149EE">
        <w:rPr>
          <w:rFonts w:ascii="Times New Roman" w:hAnsi="Times New Roman" w:cs="Times New Roman"/>
          <w:i/>
          <w:sz w:val="28"/>
          <w:szCs w:val="28"/>
        </w:rPr>
        <w:t xml:space="preserve">confianza </w:t>
      </w:r>
      <w:r w:rsidRPr="000149EE">
        <w:rPr>
          <w:rFonts w:ascii="Times New Roman" w:hAnsi="Times New Roman" w:cs="Times New Roman"/>
          <w:i/>
          <w:sz w:val="28"/>
          <w:szCs w:val="28"/>
        </w:rPr>
        <w:t>legítima</w:t>
      </w:r>
      <w:r w:rsidRPr="000149EE">
        <w:rPr>
          <w:rFonts w:ascii="Times New Roman" w:hAnsi="Times New Roman" w:cs="Times New Roman"/>
          <w:iCs/>
          <w:sz w:val="28"/>
          <w:szCs w:val="28"/>
        </w:rPr>
        <w:t xml:space="preserve">-, dado que la modificación de la tarifa desconoce que en vigencia de la Ley 1819 de 2016, los usuarios industriales de zona franca que no exportaban consolidaron una expectativa legítima consistente en que podían acceder a la tarifa preferencial. </w:t>
      </w:r>
      <w:r w:rsidRPr="000149EE">
        <w:rPr>
          <w:rFonts w:ascii="Times New Roman" w:hAnsi="Times New Roman" w:cs="Times New Roman"/>
          <w:iCs/>
          <w:sz w:val="28"/>
          <w:szCs w:val="28"/>
        </w:rPr>
        <w:t>Lo tercer</w:t>
      </w:r>
      <w:r w:rsidRPr="000149EE">
        <w:rPr>
          <w:rFonts w:ascii="Times New Roman" w:hAnsi="Times New Roman" w:cs="Times New Roman"/>
          <w:iCs/>
          <w:sz w:val="28"/>
          <w:szCs w:val="28"/>
        </w:rPr>
        <w:t xml:space="preserve">o </w:t>
      </w:r>
      <w:r w:rsidRPr="000149EE">
        <w:rPr>
          <w:rFonts w:ascii="Times New Roman" w:hAnsi="Times New Roman" w:cs="Times New Roman"/>
          <w:iCs/>
          <w:sz w:val="28"/>
          <w:szCs w:val="28"/>
        </w:rPr>
        <w:t>-</w:t>
      </w:r>
      <w:r w:rsidRPr="000149EE">
        <w:rPr>
          <w:rFonts w:ascii="Times New Roman" w:hAnsi="Times New Roman" w:cs="Times New Roman"/>
          <w:i/>
          <w:sz w:val="28"/>
          <w:szCs w:val="28"/>
        </w:rPr>
        <w:t>equidad tributaria</w:t>
      </w:r>
      <w:r w:rsidRPr="000149EE">
        <w:rPr>
          <w:rFonts w:ascii="Times New Roman" w:hAnsi="Times New Roman" w:cs="Times New Roman"/>
          <w:iCs/>
          <w:sz w:val="28"/>
          <w:szCs w:val="28"/>
        </w:rPr>
        <w:t>-, debido a que “las nuevas condiciones para acceder a los beneficios del régimen de Zonas Francas son discriminatorias y de imposible cumplimiento para usuarios que fueron calificados, autorizados y aprobad</w:t>
      </w:r>
      <w:r w:rsidRPr="000149EE">
        <w:rPr>
          <w:rFonts w:ascii="Times New Roman" w:hAnsi="Times New Roman" w:cs="Times New Roman"/>
          <w:iCs/>
          <w:sz w:val="28"/>
          <w:szCs w:val="28"/>
        </w:rPr>
        <w:t>o</w:t>
      </w:r>
      <w:r w:rsidRPr="000149EE">
        <w:rPr>
          <w:rFonts w:ascii="Times New Roman" w:hAnsi="Times New Roman" w:cs="Times New Roman"/>
          <w:iCs/>
          <w:sz w:val="28"/>
          <w:szCs w:val="28"/>
        </w:rPr>
        <w:t>s para producir pa</w:t>
      </w:r>
      <w:r w:rsidRPr="000149EE">
        <w:rPr>
          <w:rFonts w:ascii="Times New Roman" w:hAnsi="Times New Roman" w:cs="Times New Roman"/>
          <w:iCs/>
          <w:sz w:val="28"/>
          <w:szCs w:val="28"/>
        </w:rPr>
        <w:t xml:space="preserve">ra el mercado nacional- Violación del artículo 13 de la C.P”. </w:t>
      </w:r>
    </w:p>
    <w:p w:rsidR="00405FD4" w:rsidRPr="000149EE" w:rsidRDefault="000149EE" w:rsidP="00405FD4">
      <w:pPr>
        <w:pStyle w:val="Prrafodelista"/>
        <w:rPr>
          <w:rFonts w:ascii="Times New Roman" w:hAnsi="Times New Roman"/>
          <w:iCs/>
          <w:sz w:val="28"/>
        </w:rPr>
      </w:pPr>
    </w:p>
    <w:p w:rsidR="00593E61"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La Corte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decidió</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estarse a lo resuelto en la </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entencia C-384 de 2023 respecto al cargo por violación del artículo 83 de la Constitución. </w:t>
      </w:r>
      <w:r w:rsidRPr="000149EE">
        <w:rPr>
          <w:rFonts w:ascii="Times New Roman" w:hAnsi="Times New Roman" w:cs="Times New Roman"/>
          <w:iCs/>
          <w:sz w:val="28"/>
          <w:szCs w:val="28"/>
        </w:rPr>
        <w:t>De otro</w:t>
      </w:r>
      <w:r w:rsidRPr="000149EE">
        <w:rPr>
          <w:rFonts w:ascii="Times New Roman" w:hAnsi="Times New Roman" w:cs="Times New Roman"/>
          <w:iCs/>
          <w:sz w:val="28"/>
          <w:szCs w:val="28"/>
        </w:rPr>
        <w:t xml:space="preserve"> lado</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se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declaró inhibida para</w:t>
      </w:r>
      <w:r w:rsidRPr="000149EE">
        <w:rPr>
          <w:rFonts w:ascii="Times New Roman" w:hAnsi="Times New Roman" w:cs="Times New Roman"/>
          <w:iCs/>
          <w:sz w:val="28"/>
          <w:szCs w:val="28"/>
        </w:rPr>
        <w:t xml:space="preserve"> analizar los cargos por violación </w:t>
      </w:r>
      <w:r w:rsidRPr="000149EE">
        <w:rPr>
          <w:rFonts w:ascii="Times New Roman" w:hAnsi="Times New Roman" w:cs="Times New Roman"/>
          <w:iCs/>
          <w:sz w:val="28"/>
          <w:szCs w:val="28"/>
        </w:rPr>
        <w:t>al principio de</w:t>
      </w:r>
      <w:r w:rsidRPr="000149EE">
        <w:rPr>
          <w:rFonts w:ascii="Times New Roman" w:hAnsi="Times New Roman" w:cs="Times New Roman"/>
          <w:iCs/>
          <w:sz w:val="28"/>
          <w:szCs w:val="28"/>
        </w:rPr>
        <w:t xml:space="preserve"> equidad tributaria</w:t>
      </w:r>
      <w:r w:rsidRPr="000149EE">
        <w:rPr>
          <w:rFonts w:ascii="Times New Roman" w:hAnsi="Times New Roman" w:cs="Times New Roman"/>
          <w:iCs/>
          <w:sz w:val="28"/>
          <w:szCs w:val="28"/>
        </w:rPr>
        <w:t xml:space="preserve"> y el derecho a la propiedad privada, al considerar que “</w:t>
      </w:r>
      <w:r w:rsidRPr="000149EE">
        <w:rPr>
          <w:rFonts w:ascii="Times New Roman" w:hAnsi="Times New Roman" w:cs="Times New Roman"/>
          <w:iCs/>
          <w:sz w:val="28"/>
          <w:szCs w:val="28"/>
        </w:rPr>
        <w:t>no constituyen cargos de inconstitucionalidad autónomos, sino que expresan presuntas afectaciones o impactos que se generan como c</w:t>
      </w:r>
      <w:r w:rsidRPr="000149EE">
        <w:rPr>
          <w:rFonts w:ascii="Times New Roman" w:hAnsi="Times New Roman" w:cs="Times New Roman"/>
          <w:iCs/>
          <w:sz w:val="28"/>
          <w:szCs w:val="28"/>
        </w:rPr>
        <w:t>onsecuencia de la vulneración al principio de confianza legítima (artículo 83 superior)</w:t>
      </w:r>
      <w:r w:rsidRPr="000149EE">
        <w:rPr>
          <w:rFonts w:ascii="Times New Roman" w:hAnsi="Times New Roman" w:cs="Times New Roman"/>
          <w:iCs/>
          <w:sz w:val="28"/>
          <w:szCs w:val="28"/>
        </w:rPr>
        <w:t xml:space="preserve">”. </w:t>
      </w:r>
    </w:p>
    <w:p w:rsidR="00593E61" w:rsidRPr="000149EE" w:rsidRDefault="000149EE" w:rsidP="00593E61">
      <w:pPr>
        <w:pStyle w:val="Prrafodelista"/>
        <w:rPr>
          <w:rFonts w:ascii="Times New Roman" w:hAnsi="Times New Roman"/>
          <w:iCs/>
          <w:sz w:val="28"/>
        </w:rPr>
      </w:pPr>
    </w:p>
    <w:p w:rsidR="0024016E"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En tales términos, la Sala encuentra que no se configura cosa juzgada</w:t>
      </w:r>
      <w:r w:rsidRPr="000149EE">
        <w:rPr>
          <w:rFonts w:ascii="Times New Roman" w:hAnsi="Times New Roman" w:cs="Times New Roman"/>
          <w:iCs/>
          <w:sz w:val="28"/>
          <w:szCs w:val="28"/>
        </w:rPr>
        <w:t xml:space="preserve"> respecto de lo decidido en la sentencia C-500 de 2023</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porque, </w:t>
      </w:r>
      <w:r w:rsidRPr="000149EE">
        <w:rPr>
          <w:rFonts w:ascii="Times New Roman" w:hAnsi="Times New Roman" w:cs="Times New Roman"/>
          <w:iCs/>
          <w:sz w:val="28"/>
          <w:szCs w:val="28"/>
        </w:rPr>
        <w:t>pese a que</w:t>
      </w:r>
      <w:r w:rsidRPr="000149EE">
        <w:rPr>
          <w:rFonts w:ascii="Times New Roman" w:hAnsi="Times New Roman" w:cs="Times New Roman"/>
          <w:iCs/>
          <w:sz w:val="28"/>
          <w:szCs w:val="28"/>
        </w:rPr>
        <w:t xml:space="preserve"> el demandante formul</w:t>
      </w:r>
      <w:r w:rsidRPr="000149EE">
        <w:rPr>
          <w:rFonts w:ascii="Times New Roman" w:hAnsi="Times New Roman" w:cs="Times New Roman"/>
          <w:iCs/>
          <w:sz w:val="28"/>
          <w:szCs w:val="28"/>
        </w:rPr>
        <w:t xml:space="preserve">ó un cargo por violación al principio de equidad tributaria, la Corte no emitió un pronunciamiento de fondo. </w:t>
      </w:r>
      <w:r w:rsidRPr="000149EE">
        <w:rPr>
          <w:rFonts w:ascii="Times New Roman" w:hAnsi="Times New Roman" w:cs="Times New Roman"/>
          <w:iCs/>
          <w:sz w:val="28"/>
          <w:szCs w:val="28"/>
        </w:rPr>
        <w:t>Por el contrario, se declaró inhibida para pronunciarse sobre el mismo. Por lo demás, la Sala advierte que el cargo por violación al principio de e</w:t>
      </w:r>
      <w:r w:rsidRPr="000149EE">
        <w:rPr>
          <w:rFonts w:ascii="Times New Roman" w:hAnsi="Times New Roman" w:cs="Times New Roman"/>
          <w:iCs/>
          <w:sz w:val="28"/>
          <w:szCs w:val="28"/>
        </w:rPr>
        <w:t xml:space="preserve">quidad tributaria que se examinó en la sentencia C-500 de 2023 tiene un fundamento materialmente distinto al que ahora examina la Sala Plena. Esto </w:t>
      </w:r>
      <w:r w:rsidRPr="000149EE">
        <w:rPr>
          <w:rFonts w:ascii="Times New Roman" w:hAnsi="Times New Roman" w:cs="Times New Roman"/>
          <w:iCs/>
          <w:sz w:val="28"/>
          <w:szCs w:val="28"/>
        </w:rPr>
        <w:t>principal</w:t>
      </w:r>
      <w:r w:rsidRPr="000149EE">
        <w:rPr>
          <w:rFonts w:ascii="Times New Roman" w:hAnsi="Times New Roman" w:cs="Times New Roman"/>
          <w:iCs/>
          <w:sz w:val="28"/>
          <w:szCs w:val="28"/>
        </w:rPr>
        <w:t>mente</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porque los grupos de sujetos comparables son diferentes. </w:t>
      </w:r>
      <w:r w:rsidRPr="000149EE">
        <w:rPr>
          <w:rFonts w:ascii="Times New Roman" w:hAnsi="Times New Roman" w:cs="Times New Roman"/>
          <w:iCs/>
          <w:sz w:val="28"/>
          <w:szCs w:val="28"/>
        </w:rPr>
        <w:t>En la demanda que resolvió la senten</w:t>
      </w:r>
      <w:r w:rsidRPr="000149EE">
        <w:rPr>
          <w:rFonts w:ascii="Times New Roman" w:hAnsi="Times New Roman" w:cs="Times New Roman"/>
          <w:iCs/>
          <w:sz w:val="28"/>
          <w:szCs w:val="28"/>
        </w:rPr>
        <w:t>cia C-500 de 2023, los grupos comparables eran los usuarios de zonas francas calificados con anterioridad a la entrada en vigor de la Ley 2277 de 2022 y aquellos que se califica</w:t>
      </w:r>
      <w:r w:rsidRPr="000149EE">
        <w:rPr>
          <w:rFonts w:ascii="Times New Roman" w:hAnsi="Times New Roman" w:cs="Times New Roman"/>
          <w:iCs/>
          <w:sz w:val="28"/>
          <w:szCs w:val="28"/>
        </w:rPr>
        <w:t>ron</w:t>
      </w:r>
      <w:r w:rsidRPr="000149EE">
        <w:rPr>
          <w:rFonts w:ascii="Times New Roman" w:hAnsi="Times New Roman" w:cs="Times New Roman"/>
          <w:iCs/>
          <w:sz w:val="28"/>
          <w:szCs w:val="28"/>
        </w:rPr>
        <w:t xml:space="preserve"> con posterioridad. En esta demanda, los grupos de sujetos comparables son</w:t>
      </w:r>
      <w:r w:rsidRPr="000149EE">
        <w:rPr>
          <w:rFonts w:ascii="Times New Roman" w:hAnsi="Times New Roman" w:cs="Times New Roman"/>
          <w:iCs/>
          <w:sz w:val="28"/>
          <w:szCs w:val="28"/>
        </w:rPr>
        <w:t xml:space="preserve"> </w:t>
      </w:r>
      <w:r w:rsidRPr="000149EE">
        <w:rPr>
          <w:rFonts w:ascii="Times New Roman" w:hAnsi="Times New Roman" w:cs="Times New Roman"/>
          <w:i/>
          <w:sz w:val="28"/>
          <w:szCs w:val="28"/>
        </w:rPr>
        <w:t>(</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los </w:t>
      </w:r>
      <w:r w:rsidRPr="000149EE">
        <w:rPr>
          <w:rFonts w:ascii="Times New Roman" w:hAnsi="Times New Roman" w:cs="Times New Roman"/>
          <w:bCs/>
          <w:iCs/>
          <w:sz w:val="28"/>
          <w:szCs w:val="28"/>
        </w:rPr>
        <w:t xml:space="preserve">usuarios industriales de zonas francas que perciban ingresos provenientes de la exportación de bienes y servicios y que hayan suscrito y cumplido el PIAV </w:t>
      </w:r>
      <w:r w:rsidRPr="000149EE">
        <w:rPr>
          <w:rFonts w:ascii="Times New Roman" w:hAnsi="Times New Roman" w:cs="Times New Roman"/>
          <w:iCs/>
          <w:sz w:val="28"/>
          <w:szCs w:val="28"/>
        </w:rPr>
        <w:t>y</w:t>
      </w:r>
      <w:r w:rsidRPr="000149EE">
        <w:rPr>
          <w:rFonts w:ascii="Times New Roman" w:hAnsi="Times New Roman" w:cs="Times New Roman"/>
          <w:iCs/>
          <w:sz w:val="28"/>
          <w:szCs w:val="28"/>
        </w:rPr>
        <w:t xml:space="preserve">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los </w:t>
      </w:r>
      <w:r w:rsidRPr="000149EE">
        <w:rPr>
          <w:rFonts w:ascii="Times New Roman" w:hAnsi="Times New Roman" w:cs="Times New Roman"/>
          <w:bCs/>
          <w:iCs/>
          <w:sz w:val="28"/>
          <w:szCs w:val="28"/>
        </w:rPr>
        <w:t xml:space="preserve">usuarios industriales de zonas francas que no perciban ingresos provenientes de la </w:t>
      </w:r>
      <w:r w:rsidRPr="000149EE">
        <w:rPr>
          <w:rFonts w:ascii="Times New Roman" w:hAnsi="Times New Roman" w:cs="Times New Roman"/>
          <w:bCs/>
          <w:iCs/>
          <w:sz w:val="28"/>
          <w:szCs w:val="28"/>
        </w:rPr>
        <w:t>exportación de bienes y servicios o que no hayan suscrito y cumplido el PIAV</w:t>
      </w:r>
      <w:r w:rsidRPr="000149EE">
        <w:rPr>
          <w:rFonts w:ascii="Times New Roman" w:hAnsi="Times New Roman" w:cs="Times New Roman"/>
          <w:iCs/>
          <w:sz w:val="28"/>
          <w:szCs w:val="28"/>
        </w:rPr>
        <w:t xml:space="preserve">. Por lo tanto, en estricto sentido, tampoco existe identidad de cargos. </w:t>
      </w:r>
    </w:p>
    <w:p w:rsidR="00361C00" w:rsidRPr="000149EE" w:rsidRDefault="000149EE" w:rsidP="001A47E2">
      <w:pPr>
        <w:pStyle w:val="Prrafodelista"/>
        <w:widowControl w:val="0"/>
        <w:spacing w:line="240" w:lineRule="auto"/>
        <w:ind w:left="0"/>
        <w:rPr>
          <w:rFonts w:ascii="Times New Roman" w:hAnsi="Times New Roman"/>
          <w:iCs/>
          <w:sz w:val="28"/>
        </w:rPr>
      </w:pPr>
    </w:p>
    <w:p w:rsidR="00AA4F66"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
          <w:sz w:val="28"/>
          <w:szCs w:val="28"/>
        </w:rPr>
        <w:t>Sentencia C-073 de 2024</w:t>
      </w:r>
      <w:r w:rsidRPr="000149EE">
        <w:rPr>
          <w:rFonts w:ascii="Times New Roman" w:hAnsi="Times New Roman" w:cs="Times New Roman"/>
          <w:iCs/>
          <w:sz w:val="28"/>
          <w:szCs w:val="28"/>
        </w:rPr>
        <w:t>. La Corte Constitucional</w:t>
      </w:r>
      <w:r w:rsidRPr="000149EE">
        <w:rPr>
          <w:rFonts w:ascii="Times New Roman" w:hAnsi="Times New Roman" w:cs="Times New Roman"/>
          <w:iCs/>
          <w:sz w:val="28"/>
          <w:szCs w:val="28"/>
        </w:rPr>
        <w:t xml:space="preserve"> revisó una</w:t>
      </w:r>
      <w:r w:rsidRPr="000149EE">
        <w:rPr>
          <w:rFonts w:ascii="Times New Roman" w:hAnsi="Times New Roman" w:cs="Times New Roman"/>
          <w:iCs/>
          <w:sz w:val="28"/>
          <w:szCs w:val="28"/>
        </w:rPr>
        <w:t xml:space="preserve"> demanda en contra de los numerales 1, 2 y 3 y</w:t>
      </w:r>
      <w:r w:rsidRPr="000149EE">
        <w:rPr>
          <w:rFonts w:ascii="Times New Roman" w:hAnsi="Times New Roman" w:cs="Times New Roman"/>
          <w:iCs/>
          <w:sz w:val="28"/>
          <w:szCs w:val="28"/>
        </w:rPr>
        <w:t xml:space="preserve"> el parágrafo 6 del artículo 240-1 del ET, </w:t>
      </w:r>
      <w:r w:rsidRPr="000149EE">
        <w:rPr>
          <w:rFonts w:ascii="Times New Roman" w:hAnsi="Times New Roman" w:cs="Times New Roman"/>
          <w:iCs/>
          <w:sz w:val="28"/>
          <w:szCs w:val="28"/>
        </w:rPr>
        <w:t>modificados por el artíc</w:t>
      </w:r>
      <w:r w:rsidRPr="000149EE">
        <w:rPr>
          <w:rFonts w:ascii="Times New Roman" w:hAnsi="Times New Roman" w:cs="Times New Roman"/>
          <w:iCs/>
          <w:sz w:val="28"/>
          <w:szCs w:val="28"/>
        </w:rPr>
        <w:t>u</w:t>
      </w:r>
      <w:r w:rsidRPr="000149EE">
        <w:rPr>
          <w:rFonts w:ascii="Times New Roman" w:hAnsi="Times New Roman" w:cs="Times New Roman"/>
          <w:iCs/>
          <w:sz w:val="28"/>
          <w:szCs w:val="28"/>
        </w:rPr>
        <w:t>lo 11 de la ley 2277 de 2022. El demandante argumentaba que las normas demandadas vulneraba</w:t>
      </w:r>
      <w:r w:rsidRPr="000149EE">
        <w:rPr>
          <w:rFonts w:ascii="Times New Roman" w:hAnsi="Times New Roman" w:cs="Times New Roman"/>
          <w:iCs/>
          <w:sz w:val="28"/>
          <w:szCs w:val="28"/>
        </w:rPr>
        <w:t>n el</w:t>
      </w:r>
      <w:r w:rsidRPr="000149EE">
        <w:rPr>
          <w:rFonts w:ascii="Times New Roman" w:hAnsi="Times New Roman" w:cs="Times New Roman"/>
          <w:iCs/>
          <w:sz w:val="28"/>
          <w:szCs w:val="28"/>
        </w:rPr>
        <w:t xml:space="preserve"> principio d</w:t>
      </w:r>
      <w:r w:rsidRPr="000149EE">
        <w:rPr>
          <w:rFonts w:ascii="Times New Roman" w:hAnsi="Times New Roman" w:cs="Times New Roman"/>
          <w:iCs/>
          <w:sz w:val="28"/>
          <w:szCs w:val="28"/>
        </w:rPr>
        <w:t>e</w:t>
      </w:r>
      <w:r w:rsidRPr="000149EE">
        <w:rPr>
          <w:rFonts w:ascii="Times New Roman" w:hAnsi="Times New Roman" w:cs="Times New Roman"/>
          <w:iCs/>
          <w:sz w:val="28"/>
          <w:szCs w:val="28"/>
        </w:rPr>
        <w:t xml:space="preserve"> irretroactividad</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Según su criterio, </w:t>
      </w:r>
      <w:r w:rsidRPr="000149EE">
        <w:rPr>
          <w:rFonts w:ascii="Times New Roman" w:hAnsi="Times New Roman" w:cs="Times New Roman"/>
          <w:iCs/>
          <w:sz w:val="28"/>
          <w:szCs w:val="28"/>
        </w:rPr>
        <w:t>estas</w:t>
      </w:r>
      <w:r w:rsidRPr="000149EE">
        <w:rPr>
          <w:rFonts w:ascii="Times New Roman" w:hAnsi="Times New Roman" w:cs="Times New Roman"/>
          <w:iCs/>
          <w:sz w:val="28"/>
          <w:szCs w:val="28"/>
        </w:rPr>
        <w:t xml:space="preserve"> contenía</w:t>
      </w:r>
      <w:r w:rsidRPr="000149EE">
        <w:rPr>
          <w:rFonts w:ascii="Times New Roman" w:hAnsi="Times New Roman" w:cs="Times New Roman"/>
          <w:iCs/>
          <w:sz w:val="28"/>
          <w:szCs w:val="28"/>
        </w:rPr>
        <w:t>n</w:t>
      </w:r>
      <w:r w:rsidRPr="000149EE">
        <w:rPr>
          <w:rFonts w:ascii="Times New Roman" w:hAnsi="Times New Roman" w:cs="Times New Roman"/>
          <w:iCs/>
          <w:sz w:val="28"/>
          <w:szCs w:val="28"/>
        </w:rPr>
        <w:t xml:space="preserve"> una modificación de la tarifa diferencial del impuesto de renta para los usuarios industriales de las zonas francas. Esta modificación, según el demandante, consiste en condicionar ese beneficio a la suscripción del </w:t>
      </w:r>
      <w:r w:rsidRPr="000149EE">
        <w:rPr>
          <w:rFonts w:ascii="Times New Roman" w:hAnsi="Times New Roman" w:cs="Times New Roman"/>
          <w:iCs/>
          <w:sz w:val="28"/>
          <w:szCs w:val="28"/>
        </w:rPr>
        <w:t>PIAV</w:t>
      </w:r>
      <w:r w:rsidRPr="000149EE">
        <w:rPr>
          <w:rFonts w:ascii="Times New Roman" w:hAnsi="Times New Roman" w:cs="Times New Roman"/>
          <w:iCs/>
          <w:sz w:val="28"/>
          <w:szCs w:val="28"/>
        </w:rPr>
        <w:t>, con efectos hacia el pasado, lleg</w:t>
      </w:r>
      <w:r w:rsidRPr="000149EE">
        <w:rPr>
          <w:rFonts w:ascii="Times New Roman" w:hAnsi="Times New Roman" w:cs="Times New Roman"/>
          <w:iCs/>
          <w:sz w:val="28"/>
          <w:szCs w:val="28"/>
        </w:rPr>
        <w:t>ando al punto de afectar a los usuarios que se benefician de ese marco jurídico especial desde antes de la entrada en vig</w:t>
      </w:r>
      <w:r w:rsidRPr="000149EE">
        <w:rPr>
          <w:rFonts w:ascii="Times New Roman" w:hAnsi="Times New Roman" w:cs="Times New Roman"/>
          <w:iCs/>
          <w:sz w:val="28"/>
          <w:szCs w:val="28"/>
        </w:rPr>
        <w:t xml:space="preserve">or </w:t>
      </w:r>
      <w:r w:rsidRPr="000149EE">
        <w:rPr>
          <w:rFonts w:ascii="Times New Roman" w:hAnsi="Times New Roman" w:cs="Times New Roman"/>
          <w:iCs/>
          <w:sz w:val="28"/>
          <w:szCs w:val="28"/>
        </w:rPr>
        <w:t>de la Ley 2277 de 2022.</w:t>
      </w:r>
    </w:p>
    <w:p w:rsidR="00AA4F66" w:rsidRPr="000149EE" w:rsidRDefault="000149EE" w:rsidP="00AA4F66">
      <w:pPr>
        <w:pStyle w:val="Prrafodelista"/>
        <w:rPr>
          <w:rFonts w:ascii="Times New Roman" w:hAnsi="Times New Roman"/>
          <w:iCs/>
          <w:sz w:val="28"/>
        </w:rPr>
      </w:pPr>
    </w:p>
    <w:p w:rsidR="00AA4F66"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sz w:val="28"/>
          <w:szCs w:val="28"/>
        </w:rPr>
        <w:t xml:space="preserve">Previo al análisis de fondo, la Corte evaluó, como cuestión previa, la aptitud de la demanda. Al hacerlo, </w:t>
      </w:r>
      <w:r w:rsidRPr="000149EE">
        <w:rPr>
          <w:rFonts w:ascii="Times New Roman" w:hAnsi="Times New Roman" w:cs="Times New Roman"/>
          <w:sz w:val="28"/>
          <w:szCs w:val="28"/>
        </w:rPr>
        <w:t>c</w:t>
      </w:r>
      <w:r w:rsidRPr="000149EE">
        <w:rPr>
          <w:rFonts w:ascii="Times New Roman" w:hAnsi="Times New Roman" w:cs="Times New Roman"/>
          <w:sz w:val="28"/>
          <w:szCs w:val="28"/>
        </w:rPr>
        <w:t xml:space="preserve">oncluyó que </w:t>
      </w:r>
      <w:r w:rsidRPr="000149EE">
        <w:rPr>
          <w:rFonts w:ascii="Times New Roman" w:hAnsi="Times New Roman" w:cs="Times New Roman"/>
          <w:sz w:val="28"/>
          <w:szCs w:val="28"/>
        </w:rPr>
        <w:t>la demanda era inepta, en razón a que, con posterioridad de la demanda, se expidió la Sentencia C-384 de 2023. En esa sentencia, la Corte declaró exequibles los numerales 1, 2, y 3, y el parágrafo 6 del artículo 11 de la Ley 2277 de 2022, “en e</w:t>
      </w:r>
      <w:r w:rsidRPr="000149EE">
        <w:rPr>
          <w:rFonts w:ascii="Times New Roman" w:hAnsi="Times New Roman" w:cs="Times New Roman"/>
          <w:sz w:val="28"/>
          <w:szCs w:val="28"/>
        </w:rPr>
        <w:t>l entendido de que el régimen tarifario del artículo 101 de la Ley 1819 de 2016 continuará rigiendo para los contribuyentes que hubiesen cumplido las condiciones para acceder al mismo antes del 13 de diciembre de 2022, fecha de entrada en vigencia de la Le</w:t>
      </w:r>
      <w:r w:rsidRPr="000149EE">
        <w:rPr>
          <w:rFonts w:ascii="Times New Roman" w:hAnsi="Times New Roman" w:cs="Times New Roman"/>
          <w:sz w:val="28"/>
          <w:szCs w:val="28"/>
        </w:rPr>
        <w:t>y 2277 de 2022”.</w:t>
      </w:r>
      <w:r w:rsidRPr="000149EE">
        <w:rPr>
          <w:rFonts w:ascii="Times New Roman" w:hAnsi="Times New Roman" w:cs="Times New Roman"/>
          <w:iCs/>
          <w:sz w:val="28"/>
          <w:szCs w:val="28"/>
        </w:rPr>
        <w:t xml:space="preserve"> La Corte consideró que la interpretación del actor, que al momento de la formulación de la demanda era cierta y tenía sustento en la disposición, dejó de existir en el ordenamiento jurídico</w:t>
      </w:r>
      <w:r w:rsidRPr="000149EE">
        <w:rPr>
          <w:rFonts w:ascii="Times New Roman" w:hAnsi="Times New Roman" w:cs="Times New Roman"/>
          <w:iCs/>
          <w:sz w:val="28"/>
          <w:szCs w:val="28"/>
        </w:rPr>
        <w:t>, en virtud del condicionamiento introducido por</w:t>
      </w:r>
      <w:r w:rsidRPr="000149EE">
        <w:rPr>
          <w:rFonts w:ascii="Times New Roman" w:hAnsi="Times New Roman" w:cs="Times New Roman"/>
          <w:iCs/>
          <w:sz w:val="28"/>
          <w:szCs w:val="28"/>
        </w:rPr>
        <w:t xml:space="preserve"> l</w:t>
      </w:r>
      <w:r w:rsidRPr="000149EE">
        <w:rPr>
          <w:rFonts w:ascii="Times New Roman" w:hAnsi="Times New Roman" w:cs="Times New Roman"/>
          <w:iCs/>
          <w:sz w:val="28"/>
          <w:szCs w:val="28"/>
        </w:rPr>
        <w:t>a decisión de la Corte Constitucional. En este contexto, la Sala Plena consideró que se presentó la figura de ineptitud sobreviniente de la demanda y, por ende, resolvió inhibirse de hacer un pronunciamiento de fondo.</w:t>
      </w:r>
    </w:p>
    <w:p w:rsidR="00384529" w:rsidRPr="000149EE" w:rsidRDefault="000149EE" w:rsidP="00384529">
      <w:pPr>
        <w:pStyle w:val="Prrafodelista"/>
        <w:rPr>
          <w:rFonts w:ascii="Times New Roman" w:hAnsi="Times New Roman"/>
          <w:iCs/>
          <w:sz w:val="28"/>
        </w:rPr>
      </w:pPr>
    </w:p>
    <w:p w:rsidR="00384529"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Cs/>
          <w:sz w:val="28"/>
          <w:szCs w:val="28"/>
        </w:rPr>
        <w:t>En este sentido, la Corte concluye qu</w:t>
      </w:r>
      <w:r w:rsidRPr="000149EE">
        <w:rPr>
          <w:rFonts w:ascii="Times New Roman" w:hAnsi="Times New Roman" w:cs="Times New Roman"/>
          <w:iCs/>
          <w:sz w:val="28"/>
          <w:szCs w:val="28"/>
        </w:rPr>
        <w:t>e no se configura cosa juzgada en relación con lo decidido en la sentencia C-07</w:t>
      </w:r>
      <w:r w:rsidRPr="000149EE">
        <w:rPr>
          <w:rFonts w:ascii="Times New Roman" w:hAnsi="Times New Roman" w:cs="Times New Roman"/>
          <w:iCs/>
          <w:sz w:val="28"/>
          <w:szCs w:val="28"/>
        </w:rPr>
        <w:t>3</w:t>
      </w:r>
      <w:r w:rsidRPr="000149EE">
        <w:rPr>
          <w:rFonts w:ascii="Times New Roman" w:hAnsi="Times New Roman" w:cs="Times New Roman"/>
          <w:iCs/>
          <w:sz w:val="28"/>
          <w:szCs w:val="28"/>
        </w:rPr>
        <w:t xml:space="preserve"> de 202</w:t>
      </w:r>
      <w:r w:rsidRPr="000149EE">
        <w:rPr>
          <w:rFonts w:ascii="Times New Roman" w:hAnsi="Times New Roman" w:cs="Times New Roman"/>
          <w:iCs/>
          <w:sz w:val="28"/>
          <w:szCs w:val="28"/>
        </w:rPr>
        <w:t>4,</w:t>
      </w:r>
      <w:r w:rsidRPr="000149EE">
        <w:rPr>
          <w:rFonts w:ascii="Times New Roman" w:hAnsi="Times New Roman" w:cs="Times New Roman"/>
          <w:iCs/>
          <w:sz w:val="28"/>
          <w:szCs w:val="28"/>
        </w:rPr>
        <w:t xml:space="preserve"> porque </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la Corte no emitió un pronunciamiento de fondo y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en todo caso, no existe identidad de cargos, pues en esa decisión la Corte no examinó la presunta vio</w:t>
      </w:r>
      <w:r w:rsidRPr="000149EE">
        <w:rPr>
          <w:rFonts w:ascii="Times New Roman" w:hAnsi="Times New Roman" w:cs="Times New Roman"/>
          <w:iCs/>
          <w:sz w:val="28"/>
          <w:szCs w:val="28"/>
        </w:rPr>
        <w:t xml:space="preserve">lación de los principios de igualdad y equidad tributaria. </w:t>
      </w:r>
    </w:p>
    <w:p w:rsidR="00C20AE9" w:rsidRPr="000149EE" w:rsidRDefault="000149EE" w:rsidP="00AA4F66">
      <w:pPr>
        <w:rPr>
          <w:rFonts w:ascii="Times New Roman" w:hAnsi="Times New Roman" w:cs="Times New Roman"/>
          <w:iCs/>
          <w:sz w:val="28"/>
          <w:szCs w:val="28"/>
        </w:rPr>
      </w:pPr>
    </w:p>
    <w:p w:rsidR="00DA2D9A"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b/>
          <w:bCs/>
          <w:iCs/>
          <w:sz w:val="28"/>
          <w:szCs w:val="28"/>
          <w:u w:val="single"/>
        </w:rPr>
        <w:t>Conclusión</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Con fundamento en las anteriores consideraciones, la Sala Plena concluye que no se configura cosa juzgada respecto de lo decidido por la Corte en las sentencias C-384 de 2023, C-500 de 2023 y C-073 de 2024. </w:t>
      </w:r>
    </w:p>
    <w:p w:rsidR="00CC38FB" w:rsidRPr="000149EE" w:rsidRDefault="000149EE" w:rsidP="001A47E2">
      <w:pPr>
        <w:pStyle w:val="Prrafodelista"/>
        <w:widowControl w:val="0"/>
        <w:spacing w:line="240" w:lineRule="auto"/>
        <w:ind w:left="0"/>
        <w:rPr>
          <w:rFonts w:ascii="Times New Roman" w:hAnsi="Times New Roman"/>
          <w:iCs/>
          <w:sz w:val="28"/>
        </w:rPr>
      </w:pPr>
    </w:p>
    <w:p w:rsidR="006A13E5" w:rsidRPr="000149EE" w:rsidRDefault="000149EE" w:rsidP="001A47E2">
      <w:pPr>
        <w:pStyle w:val="Ttulo2"/>
        <w:numPr>
          <w:ilvl w:val="1"/>
          <w:numId w:val="7"/>
        </w:numPr>
        <w:rPr>
          <w:rFonts w:ascii="Times New Roman" w:hAnsi="Times New Roman" w:cs="Times New Roman"/>
          <w:sz w:val="28"/>
          <w:szCs w:val="28"/>
        </w:rPr>
      </w:pP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Aptitud sustantiva de la demanda</w:t>
      </w:r>
    </w:p>
    <w:p w:rsidR="00FE0597" w:rsidRPr="000149EE" w:rsidRDefault="000149EE" w:rsidP="001A47E2">
      <w:pPr>
        <w:pStyle w:val="Prrafodelista"/>
        <w:widowControl w:val="0"/>
        <w:spacing w:line="240" w:lineRule="auto"/>
        <w:ind w:left="0"/>
        <w:rPr>
          <w:rFonts w:ascii="Times New Roman" w:hAnsi="Times New Roman"/>
          <w:sz w:val="28"/>
        </w:rPr>
      </w:pPr>
    </w:p>
    <w:p w:rsidR="00C91E5C"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La Sala deb</w:t>
      </w:r>
      <w:r w:rsidRPr="000149EE">
        <w:rPr>
          <w:rFonts w:ascii="Times New Roman" w:hAnsi="Times New Roman" w:cs="Times New Roman"/>
          <w:sz w:val="28"/>
          <w:szCs w:val="28"/>
        </w:rPr>
        <w:t xml:space="preserve">e examinar si </w:t>
      </w:r>
      <w:r w:rsidRPr="000149EE">
        <w:rPr>
          <w:rFonts w:ascii="Times New Roman" w:hAnsi="Times New Roman" w:cs="Times New Roman"/>
          <w:sz w:val="28"/>
          <w:szCs w:val="28"/>
        </w:rPr>
        <w:t>la demanda</w:t>
      </w:r>
      <w:r w:rsidRPr="000149EE">
        <w:rPr>
          <w:rFonts w:ascii="Times New Roman" w:hAnsi="Times New Roman" w:cs="Times New Roman"/>
          <w:sz w:val="28"/>
          <w:szCs w:val="28"/>
        </w:rPr>
        <w:t xml:space="preserve"> satisface las exigencias mínimas de argumentación desarrolladas por la jurisprudencia constitucional. Lo anterior, dado que la</w:t>
      </w:r>
      <w:r w:rsidRPr="000149EE">
        <w:rPr>
          <w:rFonts w:ascii="Times New Roman" w:hAnsi="Times New Roman" w:cs="Times New Roman"/>
          <w:sz w:val="28"/>
          <w:szCs w:val="28"/>
        </w:rPr>
        <w:t xml:space="preserve"> ANDI</w:t>
      </w:r>
      <w:r w:rsidRPr="000149EE">
        <w:rPr>
          <w:rFonts w:ascii="Times New Roman" w:hAnsi="Times New Roman" w:cs="Times New Roman"/>
          <w:sz w:val="28"/>
          <w:szCs w:val="28"/>
        </w:rPr>
        <w:t xml:space="preserve"> sostiene que </w:t>
      </w:r>
      <w:r w:rsidRPr="000149EE">
        <w:rPr>
          <w:rFonts w:ascii="Times New Roman" w:hAnsi="Times New Roman" w:cs="Times New Roman"/>
          <w:sz w:val="28"/>
          <w:szCs w:val="28"/>
        </w:rPr>
        <w:t xml:space="preserve">los cargos formulados por la demandante </w:t>
      </w:r>
      <w:r w:rsidRPr="000149EE">
        <w:rPr>
          <w:rFonts w:ascii="Times New Roman" w:hAnsi="Times New Roman" w:cs="Times New Roman"/>
          <w:sz w:val="28"/>
          <w:szCs w:val="28"/>
        </w:rPr>
        <w:t>no satisface</w:t>
      </w:r>
      <w:r w:rsidRPr="000149EE">
        <w:rPr>
          <w:rFonts w:ascii="Times New Roman" w:hAnsi="Times New Roman" w:cs="Times New Roman"/>
          <w:sz w:val="28"/>
          <w:szCs w:val="28"/>
        </w:rPr>
        <w:t>n</w:t>
      </w:r>
      <w:r w:rsidRPr="000149EE">
        <w:rPr>
          <w:rFonts w:ascii="Times New Roman" w:hAnsi="Times New Roman" w:cs="Times New Roman"/>
          <w:sz w:val="28"/>
          <w:szCs w:val="28"/>
        </w:rPr>
        <w:t xml:space="preserve"> las exigencias de claridad</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espe</w:t>
      </w:r>
      <w:r w:rsidRPr="000149EE">
        <w:rPr>
          <w:rFonts w:ascii="Times New Roman" w:hAnsi="Times New Roman" w:cs="Times New Roman"/>
          <w:sz w:val="28"/>
          <w:szCs w:val="28"/>
        </w:rPr>
        <w:t>cificidad</w:t>
      </w:r>
      <w:r w:rsidRPr="000149EE">
        <w:rPr>
          <w:rFonts w:ascii="Times New Roman" w:hAnsi="Times New Roman" w:cs="Times New Roman"/>
          <w:sz w:val="28"/>
          <w:szCs w:val="28"/>
        </w:rPr>
        <w:t xml:space="preserve"> y suficiencia</w:t>
      </w:r>
      <w:r w:rsidRPr="000149EE">
        <w:rPr>
          <w:rFonts w:ascii="Times New Roman" w:hAnsi="Times New Roman" w:cs="Times New Roman"/>
          <w:sz w:val="28"/>
          <w:szCs w:val="28"/>
        </w:rPr>
        <w:t xml:space="preserve"> (ver párr. </w:t>
      </w:r>
      <w:r w:rsidRPr="000149EE">
        <w:rPr>
          <w:rFonts w:ascii="Times New Roman" w:hAnsi="Times New Roman" w:cs="Times New Roman"/>
          <w:sz w:val="28"/>
          <w:szCs w:val="28"/>
        </w:rPr>
        <w:t>3</w:t>
      </w:r>
      <w:r w:rsidRPr="000149EE">
        <w:rPr>
          <w:rFonts w:ascii="Times New Roman" w:hAnsi="Times New Roman" w:cs="Times New Roman"/>
          <w:sz w:val="28"/>
          <w:szCs w:val="28"/>
        </w:rPr>
        <w:t xml:space="preserve">2 </w:t>
      </w:r>
      <w:r w:rsidRPr="000149EE">
        <w:rPr>
          <w:rFonts w:ascii="Times New Roman" w:hAnsi="Times New Roman" w:cs="Times New Roman"/>
          <w:i/>
          <w:iCs/>
          <w:sz w:val="28"/>
          <w:szCs w:val="28"/>
        </w:rPr>
        <w:t>supra</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A estos efectos, </w:t>
      </w:r>
      <w:bookmarkStart w:id="11" w:name="_Hlk172187182"/>
      <w:r w:rsidRPr="000149EE">
        <w:rPr>
          <w:rFonts w:ascii="Times New Roman" w:hAnsi="Times New Roman" w:cs="Times New Roman"/>
          <w:sz w:val="28"/>
          <w:szCs w:val="28"/>
        </w:rPr>
        <w:t>la Sala estudiará la aptitud de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la presunta vulneración de los principios de igualdad y equidad tributaria, </w:t>
      </w:r>
      <w:r w:rsidRPr="000149EE">
        <w:rPr>
          <w:rFonts w:ascii="Times New Roman" w:hAnsi="Times New Roman" w:cs="Times New Roman"/>
          <w:sz w:val="28"/>
          <w:szCs w:val="28"/>
        </w:rPr>
        <w:t>en forma conjunta</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Esto, por cuanto </w:t>
      </w:r>
      <w:r w:rsidRPr="000149EE">
        <w:rPr>
          <w:rFonts w:ascii="Times New Roman" w:hAnsi="Times New Roman" w:cs="Times New Roman"/>
          <w:sz w:val="28"/>
          <w:szCs w:val="28"/>
        </w:rPr>
        <w:t xml:space="preserve">los cuestionamientos de la demanda están </w:t>
      </w:r>
      <w:r w:rsidRPr="000149EE">
        <w:rPr>
          <w:rFonts w:ascii="Times New Roman" w:hAnsi="Times New Roman" w:cs="Times New Roman"/>
          <w:sz w:val="28"/>
          <w:szCs w:val="28"/>
        </w:rPr>
        <w:t>dirigidos contra la</w:t>
      </w:r>
      <w:r w:rsidRPr="000149EE">
        <w:rPr>
          <w:rFonts w:ascii="Times New Roman" w:hAnsi="Times New Roman" w:cs="Times New Roman"/>
          <w:sz w:val="28"/>
          <w:szCs w:val="28"/>
        </w:rPr>
        <w:t xml:space="preserve">s mismas disposiciones </w:t>
      </w:r>
      <w:r w:rsidRPr="000149EE">
        <w:rPr>
          <w:rFonts w:ascii="Times New Roman" w:hAnsi="Times New Roman" w:cs="Times New Roman"/>
          <w:sz w:val="28"/>
          <w:szCs w:val="28"/>
        </w:rPr>
        <w:t>demanda</w:t>
      </w:r>
      <w:r w:rsidRPr="000149EE">
        <w:rPr>
          <w:rFonts w:ascii="Times New Roman" w:hAnsi="Times New Roman" w:cs="Times New Roman"/>
          <w:sz w:val="28"/>
          <w:szCs w:val="28"/>
        </w:rPr>
        <w:t>das</w:t>
      </w:r>
      <w:r w:rsidRPr="000149EE">
        <w:rPr>
          <w:rFonts w:ascii="Times New Roman" w:hAnsi="Times New Roman" w:cs="Times New Roman"/>
          <w:sz w:val="28"/>
          <w:szCs w:val="28"/>
        </w:rPr>
        <w:t xml:space="preserve">. Además, </w:t>
      </w:r>
      <w:r w:rsidRPr="000149EE">
        <w:rPr>
          <w:rFonts w:ascii="Times New Roman" w:hAnsi="Times New Roman" w:cs="Times New Roman"/>
          <w:sz w:val="28"/>
          <w:szCs w:val="28"/>
        </w:rPr>
        <w:t xml:space="preserve">la Sala </w:t>
      </w:r>
      <w:r w:rsidRPr="000149EE">
        <w:rPr>
          <w:rFonts w:ascii="Times New Roman" w:hAnsi="Times New Roman" w:cs="Times New Roman"/>
          <w:sz w:val="28"/>
          <w:szCs w:val="28"/>
        </w:rPr>
        <w:t xml:space="preserve">advierte que, </w:t>
      </w:r>
      <w:r w:rsidRPr="000149EE">
        <w:rPr>
          <w:rFonts w:ascii="Times New Roman" w:hAnsi="Times New Roman" w:cs="Times New Roman"/>
          <w:sz w:val="28"/>
          <w:szCs w:val="28"/>
        </w:rPr>
        <w:t xml:space="preserve">aun cuando la demandante formuló dos cargos y los principios de igualdad y equidad </w:t>
      </w:r>
      <w:r w:rsidRPr="000149EE">
        <w:rPr>
          <w:rFonts w:ascii="Times New Roman" w:hAnsi="Times New Roman" w:cs="Times New Roman"/>
          <w:sz w:val="28"/>
          <w:szCs w:val="28"/>
        </w:rPr>
        <w:t>t</w:t>
      </w:r>
      <w:r w:rsidRPr="000149EE">
        <w:rPr>
          <w:rFonts w:ascii="Times New Roman" w:hAnsi="Times New Roman" w:cs="Times New Roman"/>
          <w:sz w:val="28"/>
          <w:szCs w:val="28"/>
        </w:rPr>
        <w:t>ributaria tienen autonomía conceptual, lo cierto es que el fundamento de las acusaciones</w:t>
      </w:r>
      <w:r w:rsidRPr="000149EE">
        <w:rPr>
          <w:rFonts w:ascii="Times New Roman" w:hAnsi="Times New Roman" w:cs="Times New Roman"/>
          <w:sz w:val="28"/>
          <w:szCs w:val="28"/>
        </w:rPr>
        <w:t xml:space="preserve"> es el mismo</w:t>
      </w:r>
      <w:r w:rsidRPr="000149EE">
        <w:rPr>
          <w:rFonts w:ascii="Times New Roman" w:hAnsi="Times New Roman" w:cs="Times New Roman"/>
          <w:sz w:val="28"/>
          <w:szCs w:val="28"/>
        </w:rPr>
        <w:t xml:space="preserve">: el presunto trato disímil </w:t>
      </w:r>
      <w:r w:rsidRPr="000149EE">
        <w:rPr>
          <w:rFonts w:ascii="Times New Roman" w:hAnsi="Times New Roman" w:cs="Times New Roman"/>
          <w:sz w:val="28"/>
          <w:szCs w:val="28"/>
        </w:rPr>
        <w:t xml:space="preserve">injustificado entre usuarios industriales de zona franca en cuanto a la tarifa aplicable al impuesto </w:t>
      </w:r>
      <w:r w:rsidRPr="000149EE">
        <w:rPr>
          <w:rFonts w:ascii="Times New Roman" w:hAnsi="Times New Roman" w:cs="Times New Roman"/>
          <w:sz w:val="28"/>
          <w:szCs w:val="28"/>
        </w:rPr>
        <w:t>sobre</w:t>
      </w:r>
      <w:r w:rsidRPr="000149EE">
        <w:rPr>
          <w:rFonts w:ascii="Times New Roman" w:hAnsi="Times New Roman" w:cs="Times New Roman"/>
          <w:sz w:val="28"/>
          <w:szCs w:val="28"/>
        </w:rPr>
        <w:t xml:space="preserve"> la renta.</w:t>
      </w:r>
    </w:p>
    <w:bookmarkEnd w:id="11"/>
    <w:p w:rsidR="00503CF1" w:rsidRPr="000149EE" w:rsidRDefault="000149EE" w:rsidP="001A47E2">
      <w:pPr>
        <w:pStyle w:val="Prrafodelista"/>
        <w:widowControl w:val="0"/>
        <w:spacing w:line="240" w:lineRule="auto"/>
        <w:ind w:left="0"/>
        <w:rPr>
          <w:rFonts w:ascii="Times New Roman" w:hAnsi="Times New Roman"/>
          <w:b/>
          <w:bCs/>
          <w:sz w:val="28"/>
        </w:rPr>
      </w:pPr>
    </w:p>
    <w:p w:rsidR="00C91E5C" w:rsidRPr="000149EE" w:rsidRDefault="000149EE" w:rsidP="001A47E2">
      <w:pPr>
        <w:pStyle w:val="Prrafodelista"/>
        <w:widowControl w:val="0"/>
        <w:numPr>
          <w:ilvl w:val="0"/>
          <w:numId w:val="9"/>
        </w:numPr>
        <w:spacing w:line="240" w:lineRule="auto"/>
        <w:ind w:right="-118"/>
        <w:rPr>
          <w:rFonts w:ascii="Times New Roman" w:hAnsi="Times New Roman"/>
          <w:b/>
          <w:bCs/>
          <w:sz w:val="28"/>
          <w:shd w:val="clear" w:color="auto" w:fill="FFFFFF"/>
        </w:rPr>
      </w:pPr>
      <w:r w:rsidRPr="000149EE">
        <w:rPr>
          <w:rFonts w:ascii="Times New Roman" w:hAnsi="Times New Roman"/>
          <w:b/>
          <w:bCs/>
          <w:sz w:val="28"/>
          <w:shd w:val="clear" w:color="auto" w:fill="FFFFFF"/>
        </w:rPr>
        <w:t>Requisitos generales de las demandas de inconstitucionalidad y exigencias argumentativas</w:t>
      </w:r>
    </w:p>
    <w:p w:rsidR="00C91E5C" w:rsidRPr="000149EE" w:rsidRDefault="000149EE" w:rsidP="001A47E2">
      <w:pPr>
        <w:rPr>
          <w:rFonts w:ascii="Times New Roman" w:hAnsi="Times New Roman" w:cs="Times New Roman"/>
          <w:sz w:val="28"/>
          <w:szCs w:val="28"/>
          <w:shd w:val="clear" w:color="auto" w:fill="FFFFFF"/>
        </w:rPr>
      </w:pPr>
    </w:p>
    <w:p w:rsidR="00C91E5C" w:rsidRPr="000149EE" w:rsidRDefault="000149EE" w:rsidP="009D4F8D">
      <w:pPr>
        <w:numPr>
          <w:ilvl w:val="0"/>
          <w:numId w:val="3"/>
        </w:numPr>
        <w:tabs>
          <w:tab w:val="left" w:pos="567"/>
        </w:tabs>
        <w:ind w:left="0" w:firstLine="0"/>
        <w:rPr>
          <w:rFonts w:ascii="Times New Roman" w:hAnsi="Times New Roman" w:cs="Times New Roman"/>
          <w:sz w:val="28"/>
          <w:szCs w:val="28"/>
          <w:shd w:val="clear" w:color="auto" w:fill="FFFFFF"/>
        </w:rPr>
      </w:pPr>
      <w:r w:rsidRPr="000149EE">
        <w:rPr>
          <w:rFonts w:ascii="Times New Roman" w:hAnsi="Times New Roman" w:cs="Times New Roman"/>
          <w:sz w:val="28"/>
          <w:szCs w:val="28"/>
          <w:shd w:val="clear" w:color="auto" w:fill="FFFFFF"/>
        </w:rPr>
        <w:t>El artíc</w:t>
      </w:r>
      <w:r w:rsidRPr="000149EE">
        <w:rPr>
          <w:rFonts w:ascii="Times New Roman" w:hAnsi="Times New Roman" w:cs="Times New Roman"/>
          <w:sz w:val="28"/>
          <w:szCs w:val="28"/>
          <w:shd w:val="clear" w:color="auto" w:fill="FFFFFF"/>
        </w:rPr>
        <w:t xml:space="preserve">ulo 2º del Decreto 2067 de 1991 prevé que uno de los requisitos de las demandas de inconstitucionalidad es la formulación del concepto de la violación. Esto implica que el demandante debe </w:t>
      </w:r>
      <w:r w:rsidRPr="000149EE">
        <w:rPr>
          <w:rFonts w:ascii="Times New Roman" w:hAnsi="Times New Roman" w:cs="Times New Roman"/>
          <w:i/>
          <w:sz w:val="28"/>
          <w:szCs w:val="28"/>
          <w:shd w:val="clear" w:color="auto" w:fill="FFFFFF"/>
        </w:rPr>
        <w:t>(i)</w:t>
      </w:r>
      <w:r w:rsidRPr="000149EE">
        <w:rPr>
          <w:rFonts w:ascii="Times New Roman" w:hAnsi="Times New Roman" w:cs="Times New Roman"/>
          <w:sz w:val="28"/>
          <w:szCs w:val="28"/>
          <w:shd w:val="clear" w:color="auto" w:fill="FFFFFF"/>
        </w:rPr>
        <w:t xml:space="preserve"> identificar las normas constitucionales vulneradas, </w:t>
      </w:r>
      <w:r w:rsidRPr="000149EE">
        <w:rPr>
          <w:rFonts w:ascii="Times New Roman" w:hAnsi="Times New Roman" w:cs="Times New Roman"/>
          <w:i/>
          <w:sz w:val="28"/>
          <w:szCs w:val="28"/>
          <w:shd w:val="clear" w:color="auto" w:fill="FFFFFF"/>
        </w:rPr>
        <w:t>(ii)</w:t>
      </w:r>
      <w:r w:rsidRPr="000149EE">
        <w:rPr>
          <w:rFonts w:ascii="Times New Roman" w:hAnsi="Times New Roman" w:cs="Times New Roman"/>
          <w:sz w:val="28"/>
          <w:szCs w:val="28"/>
          <w:shd w:val="clear" w:color="auto" w:fill="FFFFFF"/>
        </w:rPr>
        <w:t xml:space="preserve"> exponer</w:t>
      </w:r>
      <w:r w:rsidRPr="000149EE">
        <w:rPr>
          <w:rFonts w:ascii="Times New Roman" w:hAnsi="Times New Roman" w:cs="Times New Roman"/>
          <w:sz w:val="28"/>
          <w:szCs w:val="28"/>
          <w:shd w:val="clear" w:color="auto" w:fill="FFFFFF"/>
        </w:rPr>
        <w:t xml:space="preserve"> el contenido normativo de las disposiciones acusadas</w:t>
      </w:r>
      <w:r w:rsidRPr="000149EE">
        <w:rPr>
          <w:rFonts w:ascii="Times New Roman" w:hAnsi="Times New Roman" w:cs="Times New Roman"/>
          <w:sz w:val="28"/>
          <w:szCs w:val="28"/>
          <w:shd w:val="clear" w:color="auto" w:fill="FFFFFF"/>
          <w:vertAlign w:val="superscript"/>
        </w:rPr>
        <w:footnoteReference w:id="50"/>
      </w:r>
      <w:r w:rsidRPr="000149EE">
        <w:rPr>
          <w:rFonts w:ascii="Times New Roman" w:hAnsi="Times New Roman" w:cs="Times New Roman"/>
          <w:sz w:val="28"/>
          <w:szCs w:val="28"/>
          <w:shd w:val="clear" w:color="auto" w:fill="FFFFFF"/>
        </w:rPr>
        <w:t xml:space="preserve"> y </w:t>
      </w:r>
      <w:r w:rsidRPr="000149EE">
        <w:rPr>
          <w:rFonts w:ascii="Times New Roman" w:hAnsi="Times New Roman" w:cs="Times New Roman"/>
          <w:i/>
          <w:sz w:val="28"/>
          <w:szCs w:val="28"/>
          <w:shd w:val="clear" w:color="auto" w:fill="FFFFFF"/>
        </w:rPr>
        <w:t>(iii)</w:t>
      </w:r>
      <w:r w:rsidRPr="000149EE">
        <w:rPr>
          <w:rFonts w:ascii="Times New Roman" w:hAnsi="Times New Roman" w:cs="Times New Roman"/>
          <w:sz w:val="28"/>
          <w:szCs w:val="28"/>
          <w:shd w:val="clear" w:color="auto" w:fill="FFFFFF"/>
        </w:rPr>
        <w:t xml:space="preserve"> expresar las razones por las cuales los textos demandados violan la Constitución. A partir de la sentencia C-1052 de 2001, la jurisprudencia constitucional ha sostenido que las razones que fundamentan el concepto de la violación deben satisfacer cinco </w:t>
      </w:r>
      <w:r w:rsidRPr="000149EE">
        <w:rPr>
          <w:rFonts w:ascii="Times New Roman" w:hAnsi="Times New Roman" w:cs="Times New Roman"/>
          <w:iCs/>
          <w:sz w:val="28"/>
          <w:szCs w:val="28"/>
          <w:shd w:val="clear" w:color="auto" w:fill="FFFFFF"/>
        </w:rPr>
        <w:t>exi</w:t>
      </w:r>
      <w:r w:rsidRPr="000149EE">
        <w:rPr>
          <w:rFonts w:ascii="Times New Roman" w:hAnsi="Times New Roman" w:cs="Times New Roman"/>
          <w:iCs/>
          <w:sz w:val="28"/>
          <w:szCs w:val="28"/>
          <w:shd w:val="clear" w:color="auto" w:fill="FFFFFF"/>
        </w:rPr>
        <w:t>gencias mínimas de argumentación:</w:t>
      </w:r>
      <w:r w:rsidRPr="000149EE">
        <w:rPr>
          <w:rFonts w:ascii="Times New Roman" w:hAnsi="Times New Roman" w:cs="Times New Roman"/>
          <w:sz w:val="28"/>
          <w:szCs w:val="28"/>
          <w:shd w:val="clear" w:color="auto" w:fill="FFFFFF"/>
        </w:rPr>
        <w:t xml:space="preserve"> certeza, claridad, especificidad, pertinencia y suficiencia</w:t>
      </w:r>
      <w:r w:rsidRPr="000149EE">
        <w:rPr>
          <w:rFonts w:ascii="Times New Roman" w:hAnsi="Times New Roman" w:cs="Times New Roman"/>
          <w:sz w:val="28"/>
          <w:szCs w:val="28"/>
          <w:shd w:val="clear" w:color="auto" w:fill="FFFFFF"/>
          <w:vertAlign w:val="superscript"/>
        </w:rPr>
        <w:footnoteReference w:id="51"/>
      </w:r>
      <w:r w:rsidRPr="000149EE">
        <w:rPr>
          <w:rFonts w:ascii="Times New Roman" w:hAnsi="Times New Roman" w:cs="Times New Roman"/>
          <w:sz w:val="28"/>
          <w:szCs w:val="28"/>
          <w:shd w:val="clear" w:color="auto" w:fill="FFFFFF"/>
        </w:rPr>
        <w:t xml:space="preserve">. </w:t>
      </w:r>
    </w:p>
    <w:p w:rsidR="00C91E5C" w:rsidRPr="000149EE" w:rsidRDefault="000149EE" w:rsidP="001A47E2">
      <w:pPr>
        <w:rPr>
          <w:rFonts w:ascii="Times New Roman" w:hAnsi="Times New Roman" w:cs="Times New Roman"/>
          <w:sz w:val="28"/>
          <w:szCs w:val="28"/>
          <w:shd w:val="clear" w:color="auto" w:fill="FFFFFF"/>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7103"/>
      </w:tblGrid>
      <w:tr w:rsidR="00C91E5C" w:rsidRPr="000149EE" w:rsidTr="008163D2">
        <w:tc>
          <w:tcPr>
            <w:tcW w:w="1559" w:type="dxa"/>
            <w:shd w:val="clear" w:color="auto" w:fill="D9D9D9" w:themeFill="background1" w:themeFillShade="D9"/>
          </w:tcPr>
          <w:p w:rsidR="00C91E5C" w:rsidRPr="000149EE" w:rsidRDefault="000149EE" w:rsidP="001A47E2">
            <w:pPr>
              <w:widowControl w:val="0"/>
              <w:jc w:val="center"/>
              <w:rPr>
                <w:rFonts w:ascii="Times New Roman" w:hAnsi="Times New Roman" w:cs="Times New Roman"/>
                <w:b/>
                <w:sz w:val="28"/>
                <w:szCs w:val="24"/>
              </w:rPr>
            </w:pPr>
            <w:r w:rsidRPr="000149EE">
              <w:rPr>
                <w:rFonts w:ascii="Times New Roman" w:hAnsi="Times New Roman" w:cs="Times New Roman"/>
                <w:b/>
                <w:sz w:val="28"/>
                <w:szCs w:val="24"/>
              </w:rPr>
              <w:t>Carga</w:t>
            </w:r>
          </w:p>
        </w:tc>
        <w:tc>
          <w:tcPr>
            <w:tcW w:w="7134" w:type="dxa"/>
            <w:shd w:val="clear" w:color="auto" w:fill="D9D9D9" w:themeFill="background1" w:themeFillShade="D9"/>
          </w:tcPr>
          <w:p w:rsidR="00C91E5C" w:rsidRPr="000149EE" w:rsidRDefault="000149EE" w:rsidP="001A47E2">
            <w:pPr>
              <w:widowControl w:val="0"/>
              <w:jc w:val="center"/>
              <w:rPr>
                <w:rFonts w:ascii="Times New Roman" w:hAnsi="Times New Roman" w:cs="Times New Roman"/>
                <w:b/>
                <w:sz w:val="28"/>
                <w:szCs w:val="24"/>
              </w:rPr>
            </w:pPr>
            <w:r w:rsidRPr="000149EE">
              <w:rPr>
                <w:rFonts w:ascii="Times New Roman" w:hAnsi="Times New Roman" w:cs="Times New Roman"/>
                <w:b/>
                <w:sz w:val="28"/>
                <w:szCs w:val="24"/>
              </w:rPr>
              <w:t>Contenido</w:t>
            </w:r>
          </w:p>
        </w:tc>
      </w:tr>
      <w:tr w:rsidR="00C91E5C" w:rsidRPr="000149EE" w:rsidTr="008163D2">
        <w:tc>
          <w:tcPr>
            <w:tcW w:w="1559" w:type="dxa"/>
            <w:shd w:val="clear" w:color="auto" w:fill="D9D9D9" w:themeFill="background1" w:themeFillShade="D9"/>
            <w:vAlign w:val="center"/>
          </w:tcPr>
          <w:p w:rsidR="00C91E5C" w:rsidRPr="000149EE" w:rsidRDefault="000149EE" w:rsidP="001A47E2">
            <w:pPr>
              <w:widowControl w:val="0"/>
              <w:jc w:val="center"/>
              <w:rPr>
                <w:rFonts w:ascii="Times New Roman" w:hAnsi="Times New Roman" w:cs="Times New Roman"/>
                <w:b/>
                <w:bCs/>
                <w:sz w:val="28"/>
                <w:szCs w:val="24"/>
              </w:rPr>
            </w:pPr>
            <w:r w:rsidRPr="000149EE">
              <w:rPr>
                <w:rFonts w:ascii="Times New Roman" w:hAnsi="Times New Roman" w:cs="Times New Roman"/>
                <w:b/>
                <w:bCs/>
                <w:sz w:val="28"/>
                <w:szCs w:val="24"/>
              </w:rPr>
              <w:t>Certeza</w:t>
            </w:r>
          </w:p>
        </w:tc>
        <w:tc>
          <w:tcPr>
            <w:tcW w:w="7134" w:type="dxa"/>
            <w:shd w:val="clear" w:color="auto" w:fill="auto"/>
          </w:tcPr>
          <w:p w:rsidR="00C91E5C" w:rsidRPr="000149EE" w:rsidRDefault="000149EE" w:rsidP="001A47E2">
            <w:pPr>
              <w:widowControl w:val="0"/>
              <w:rPr>
                <w:rFonts w:ascii="Times New Roman" w:hAnsi="Times New Roman" w:cs="Times New Roman"/>
                <w:sz w:val="28"/>
                <w:szCs w:val="24"/>
              </w:rPr>
            </w:pPr>
            <w:r w:rsidRPr="000149EE">
              <w:rPr>
                <w:rFonts w:ascii="Times New Roman" w:hAnsi="Times New Roman" w:cs="Times New Roman"/>
                <w:bCs/>
                <w:sz w:val="28"/>
                <w:szCs w:val="24"/>
              </w:rPr>
              <w:t>Exige que la acusación recaiga sobre una “</w:t>
            </w:r>
            <w:r w:rsidRPr="000149EE">
              <w:rPr>
                <w:rFonts w:ascii="Times New Roman" w:hAnsi="Times New Roman" w:cs="Times New Roman"/>
                <w:bCs/>
                <w:iCs/>
                <w:sz w:val="28"/>
                <w:szCs w:val="24"/>
              </w:rPr>
              <w:t>proposición jurídica real y existente</w:t>
            </w:r>
            <w:r w:rsidRPr="000149EE">
              <w:rPr>
                <w:rFonts w:ascii="Times New Roman" w:hAnsi="Times New Roman" w:cs="Times New Roman"/>
                <w:bCs/>
                <w:sz w:val="28"/>
                <w:szCs w:val="24"/>
              </w:rPr>
              <w:t>”</w:t>
            </w:r>
            <w:r w:rsidRPr="000149EE">
              <w:rPr>
                <w:rFonts w:ascii="Times New Roman" w:hAnsi="Times New Roman" w:cs="Times New Roman"/>
                <w:bCs/>
                <w:sz w:val="28"/>
                <w:szCs w:val="24"/>
                <w:vertAlign w:val="superscript"/>
              </w:rPr>
              <w:footnoteReference w:id="52"/>
            </w:r>
            <w:r w:rsidRPr="000149EE">
              <w:rPr>
                <w:rFonts w:ascii="Times New Roman" w:hAnsi="Times New Roman" w:cs="Times New Roman"/>
                <w:bCs/>
                <w:sz w:val="28"/>
                <w:szCs w:val="24"/>
              </w:rPr>
              <w:t xml:space="preserve"> y no esté basada en “interpretaciones puramente subjetivas, caprichosas o irrazonables de los textos demandados”</w:t>
            </w:r>
            <w:r w:rsidRPr="000149EE">
              <w:rPr>
                <w:rFonts w:ascii="Times New Roman" w:hAnsi="Times New Roman" w:cs="Times New Roman"/>
                <w:bCs/>
                <w:sz w:val="28"/>
                <w:szCs w:val="24"/>
                <w:vertAlign w:val="superscript"/>
              </w:rPr>
              <w:footnoteReference w:id="53"/>
            </w:r>
            <w:r w:rsidRPr="000149EE">
              <w:rPr>
                <w:rFonts w:ascii="Times New Roman" w:hAnsi="Times New Roman" w:cs="Times New Roman"/>
                <w:bCs/>
                <w:sz w:val="28"/>
                <w:szCs w:val="24"/>
              </w:rPr>
              <w:t>.</w:t>
            </w:r>
          </w:p>
        </w:tc>
      </w:tr>
      <w:tr w:rsidR="00C91E5C" w:rsidRPr="000149EE" w:rsidTr="008163D2">
        <w:tc>
          <w:tcPr>
            <w:tcW w:w="1559" w:type="dxa"/>
            <w:shd w:val="clear" w:color="auto" w:fill="D9D9D9" w:themeFill="background1" w:themeFillShade="D9"/>
            <w:vAlign w:val="center"/>
          </w:tcPr>
          <w:p w:rsidR="00C91E5C" w:rsidRPr="000149EE" w:rsidRDefault="000149EE" w:rsidP="001A47E2">
            <w:pPr>
              <w:widowControl w:val="0"/>
              <w:jc w:val="center"/>
              <w:rPr>
                <w:rFonts w:ascii="Times New Roman" w:hAnsi="Times New Roman" w:cs="Times New Roman"/>
                <w:b/>
                <w:bCs/>
                <w:sz w:val="28"/>
                <w:szCs w:val="24"/>
              </w:rPr>
            </w:pPr>
            <w:r w:rsidRPr="000149EE">
              <w:rPr>
                <w:rFonts w:ascii="Times New Roman" w:hAnsi="Times New Roman" w:cs="Times New Roman"/>
                <w:b/>
                <w:bCs/>
                <w:sz w:val="28"/>
                <w:szCs w:val="24"/>
              </w:rPr>
              <w:t>Claridad</w:t>
            </w:r>
          </w:p>
        </w:tc>
        <w:tc>
          <w:tcPr>
            <w:tcW w:w="7134" w:type="dxa"/>
            <w:shd w:val="clear" w:color="auto" w:fill="auto"/>
          </w:tcPr>
          <w:p w:rsidR="00C91E5C" w:rsidRPr="000149EE" w:rsidRDefault="000149EE" w:rsidP="001A47E2">
            <w:pPr>
              <w:widowControl w:val="0"/>
              <w:rPr>
                <w:rFonts w:ascii="Times New Roman" w:hAnsi="Times New Roman" w:cs="Times New Roman"/>
                <w:sz w:val="28"/>
                <w:szCs w:val="24"/>
              </w:rPr>
            </w:pPr>
            <w:r w:rsidRPr="000149EE">
              <w:rPr>
                <w:rFonts w:ascii="Times New Roman" w:hAnsi="Times New Roman" w:cs="Times New Roman"/>
                <w:bCs/>
                <w:sz w:val="28"/>
                <w:szCs w:val="24"/>
              </w:rPr>
              <w:t>Las palabras empleadas para formular los argumentos deben ser inteligibles o comprensibles</w:t>
            </w:r>
            <w:r w:rsidRPr="000149EE">
              <w:rPr>
                <w:rFonts w:ascii="Times New Roman" w:hAnsi="Times New Roman" w:cs="Times New Roman"/>
                <w:bCs/>
                <w:sz w:val="28"/>
                <w:szCs w:val="24"/>
                <w:vertAlign w:val="superscript"/>
              </w:rPr>
              <w:footnoteReference w:id="54"/>
            </w:r>
            <w:r w:rsidRPr="000149EE">
              <w:rPr>
                <w:rFonts w:ascii="Times New Roman" w:hAnsi="Times New Roman" w:cs="Times New Roman"/>
                <w:bCs/>
                <w:sz w:val="28"/>
                <w:szCs w:val="24"/>
              </w:rPr>
              <w:t>. Además, la exposición argumentativa d</w:t>
            </w:r>
            <w:r w:rsidRPr="000149EE">
              <w:rPr>
                <w:rFonts w:ascii="Times New Roman" w:hAnsi="Times New Roman" w:cs="Times New Roman"/>
                <w:bCs/>
                <w:sz w:val="28"/>
                <w:szCs w:val="24"/>
              </w:rPr>
              <w:t>ebe seguir un hilo conductor lógico</w:t>
            </w:r>
            <w:r w:rsidRPr="000149EE">
              <w:rPr>
                <w:rFonts w:ascii="Times New Roman" w:hAnsi="Times New Roman" w:cs="Times New Roman"/>
                <w:bCs/>
                <w:sz w:val="28"/>
                <w:szCs w:val="24"/>
                <w:vertAlign w:val="superscript"/>
              </w:rPr>
              <w:footnoteReference w:id="55"/>
            </w:r>
            <w:r w:rsidRPr="000149EE">
              <w:rPr>
                <w:rFonts w:ascii="Times New Roman" w:hAnsi="Times New Roman" w:cs="Times New Roman"/>
                <w:bCs/>
                <w:sz w:val="28"/>
                <w:szCs w:val="24"/>
              </w:rPr>
              <w:t xml:space="preserve"> que “permita al lector comprender el contenido de su demanda y las justificaciones en las que se basa”</w:t>
            </w:r>
            <w:r w:rsidRPr="000149EE">
              <w:rPr>
                <w:rFonts w:ascii="Times New Roman" w:hAnsi="Times New Roman" w:cs="Times New Roman"/>
                <w:bCs/>
                <w:sz w:val="28"/>
                <w:szCs w:val="24"/>
                <w:vertAlign w:val="superscript"/>
              </w:rPr>
              <w:footnoteReference w:id="56"/>
            </w:r>
            <w:r w:rsidRPr="000149EE">
              <w:rPr>
                <w:rFonts w:ascii="Times New Roman" w:hAnsi="Times New Roman" w:cs="Times New Roman"/>
                <w:bCs/>
                <w:sz w:val="28"/>
                <w:szCs w:val="24"/>
              </w:rPr>
              <w:t>.</w:t>
            </w:r>
          </w:p>
        </w:tc>
      </w:tr>
      <w:tr w:rsidR="00C91E5C" w:rsidRPr="000149EE" w:rsidTr="008163D2">
        <w:tc>
          <w:tcPr>
            <w:tcW w:w="1559" w:type="dxa"/>
            <w:shd w:val="clear" w:color="auto" w:fill="D9D9D9" w:themeFill="background1" w:themeFillShade="D9"/>
            <w:vAlign w:val="center"/>
          </w:tcPr>
          <w:p w:rsidR="00C91E5C" w:rsidRPr="000149EE" w:rsidRDefault="000149EE" w:rsidP="001A47E2">
            <w:pPr>
              <w:widowControl w:val="0"/>
              <w:jc w:val="center"/>
              <w:rPr>
                <w:rFonts w:ascii="Times New Roman" w:hAnsi="Times New Roman" w:cs="Times New Roman"/>
                <w:b/>
                <w:bCs/>
                <w:sz w:val="28"/>
                <w:szCs w:val="24"/>
              </w:rPr>
            </w:pPr>
            <w:r w:rsidRPr="000149EE">
              <w:rPr>
                <w:rFonts w:ascii="Times New Roman" w:hAnsi="Times New Roman" w:cs="Times New Roman"/>
                <w:b/>
                <w:bCs/>
                <w:sz w:val="28"/>
                <w:szCs w:val="24"/>
              </w:rPr>
              <w:t xml:space="preserve">Especificidad </w:t>
            </w:r>
          </w:p>
        </w:tc>
        <w:tc>
          <w:tcPr>
            <w:tcW w:w="7134" w:type="dxa"/>
            <w:shd w:val="clear" w:color="auto" w:fill="auto"/>
          </w:tcPr>
          <w:p w:rsidR="00C91E5C" w:rsidRPr="000149EE" w:rsidRDefault="000149EE" w:rsidP="001A47E2">
            <w:pPr>
              <w:widowControl w:val="0"/>
              <w:rPr>
                <w:rFonts w:ascii="Times New Roman" w:hAnsi="Times New Roman" w:cs="Times New Roman"/>
                <w:bCs/>
                <w:sz w:val="28"/>
                <w:szCs w:val="24"/>
              </w:rPr>
            </w:pPr>
            <w:r w:rsidRPr="000149EE">
              <w:rPr>
                <w:rFonts w:ascii="Times New Roman" w:hAnsi="Times New Roman" w:cs="Times New Roman"/>
                <w:bCs/>
                <w:iCs/>
                <w:sz w:val="28"/>
                <w:szCs w:val="24"/>
              </w:rPr>
              <w:t>Impone al demandante la carga de exponer argumentos concretos y precisos que sustent</w:t>
            </w:r>
            <w:r w:rsidRPr="000149EE">
              <w:rPr>
                <w:rFonts w:ascii="Times New Roman" w:hAnsi="Times New Roman" w:cs="Times New Roman"/>
                <w:bCs/>
                <w:iCs/>
                <w:sz w:val="28"/>
                <w:szCs w:val="24"/>
              </w:rPr>
              <w:t>e</w:t>
            </w:r>
            <w:r w:rsidRPr="000149EE">
              <w:rPr>
                <w:rFonts w:ascii="Times New Roman" w:hAnsi="Times New Roman" w:cs="Times New Roman"/>
                <w:bCs/>
                <w:iCs/>
                <w:sz w:val="28"/>
                <w:szCs w:val="24"/>
              </w:rPr>
              <w:t xml:space="preserve">n la </w:t>
            </w:r>
            <w:r w:rsidRPr="000149EE">
              <w:rPr>
                <w:rFonts w:ascii="Times New Roman" w:hAnsi="Times New Roman" w:cs="Times New Roman"/>
                <w:bCs/>
                <w:iCs/>
                <w:sz w:val="28"/>
                <w:szCs w:val="24"/>
              </w:rPr>
              <w:t>solicitud de inconstitucionalidad, no</w:t>
            </w:r>
            <w:r w:rsidRPr="000149EE">
              <w:rPr>
                <w:rFonts w:ascii="Times New Roman" w:hAnsi="Times New Roman" w:cs="Times New Roman"/>
                <w:bCs/>
                <w:i/>
                <w:iCs/>
                <w:sz w:val="28"/>
                <w:szCs w:val="24"/>
              </w:rPr>
              <w:t xml:space="preserve"> </w:t>
            </w:r>
            <w:r w:rsidRPr="000149EE">
              <w:rPr>
                <w:rFonts w:ascii="Times New Roman" w:hAnsi="Times New Roman" w:cs="Times New Roman"/>
                <w:bCs/>
                <w:sz w:val="28"/>
                <w:szCs w:val="24"/>
              </w:rPr>
              <w:t>“genéricos o excesivamente vagos</w:t>
            </w:r>
            <w:r w:rsidRPr="000149EE">
              <w:rPr>
                <w:rFonts w:ascii="Times New Roman" w:hAnsi="Times New Roman" w:cs="Times New Roman"/>
                <w:bCs/>
                <w:iCs/>
                <w:sz w:val="28"/>
                <w:szCs w:val="24"/>
              </w:rPr>
              <w:t>”</w:t>
            </w:r>
            <w:r w:rsidRPr="000149EE">
              <w:rPr>
                <w:rFonts w:ascii="Times New Roman" w:hAnsi="Times New Roman" w:cs="Times New Roman"/>
                <w:bCs/>
                <w:sz w:val="28"/>
                <w:szCs w:val="24"/>
                <w:vertAlign w:val="superscript"/>
              </w:rPr>
              <w:footnoteReference w:id="57"/>
            </w:r>
            <w:r w:rsidRPr="000149EE">
              <w:rPr>
                <w:rFonts w:ascii="Times New Roman" w:hAnsi="Times New Roman" w:cs="Times New Roman"/>
                <w:bCs/>
                <w:sz w:val="28"/>
                <w:szCs w:val="24"/>
              </w:rPr>
              <w:t>.</w:t>
            </w:r>
          </w:p>
        </w:tc>
      </w:tr>
      <w:tr w:rsidR="00C91E5C" w:rsidRPr="000149EE" w:rsidTr="008163D2">
        <w:tc>
          <w:tcPr>
            <w:tcW w:w="1559" w:type="dxa"/>
            <w:shd w:val="clear" w:color="auto" w:fill="D9D9D9" w:themeFill="background1" w:themeFillShade="D9"/>
            <w:vAlign w:val="center"/>
          </w:tcPr>
          <w:p w:rsidR="00C91E5C" w:rsidRPr="000149EE" w:rsidRDefault="000149EE" w:rsidP="001A47E2">
            <w:pPr>
              <w:widowControl w:val="0"/>
              <w:jc w:val="center"/>
              <w:rPr>
                <w:rFonts w:ascii="Times New Roman" w:hAnsi="Times New Roman" w:cs="Times New Roman"/>
                <w:b/>
                <w:bCs/>
                <w:sz w:val="28"/>
                <w:szCs w:val="24"/>
              </w:rPr>
            </w:pPr>
            <w:r w:rsidRPr="000149EE">
              <w:rPr>
                <w:rFonts w:ascii="Times New Roman" w:hAnsi="Times New Roman" w:cs="Times New Roman"/>
                <w:b/>
                <w:bCs/>
                <w:sz w:val="28"/>
                <w:szCs w:val="24"/>
              </w:rPr>
              <w:t xml:space="preserve">Pertinencia </w:t>
            </w:r>
          </w:p>
        </w:tc>
        <w:tc>
          <w:tcPr>
            <w:tcW w:w="7134" w:type="dxa"/>
            <w:shd w:val="clear" w:color="auto" w:fill="auto"/>
          </w:tcPr>
          <w:p w:rsidR="00C91E5C" w:rsidRPr="000149EE" w:rsidRDefault="000149EE" w:rsidP="001A47E2">
            <w:pPr>
              <w:widowControl w:val="0"/>
              <w:rPr>
                <w:rFonts w:ascii="Times New Roman" w:hAnsi="Times New Roman" w:cs="Times New Roman"/>
                <w:bCs/>
                <w:sz w:val="28"/>
                <w:szCs w:val="24"/>
              </w:rPr>
            </w:pPr>
            <w:r w:rsidRPr="000149EE">
              <w:rPr>
                <w:rFonts w:ascii="Times New Roman" w:hAnsi="Times New Roman" w:cs="Times New Roman"/>
                <w:bCs/>
                <w:sz w:val="28"/>
                <w:szCs w:val="24"/>
              </w:rPr>
              <w:t>La acusación debe estar fundada en la transgresión de una disposición constitucional</w:t>
            </w:r>
            <w:r w:rsidRPr="000149EE">
              <w:rPr>
                <w:rFonts w:ascii="Times New Roman" w:hAnsi="Times New Roman" w:cs="Times New Roman"/>
                <w:bCs/>
                <w:sz w:val="28"/>
                <w:szCs w:val="24"/>
                <w:vertAlign w:val="superscript"/>
              </w:rPr>
              <w:footnoteReference w:id="58"/>
            </w:r>
            <w:r w:rsidRPr="000149EE">
              <w:rPr>
                <w:rFonts w:ascii="Times New Roman" w:hAnsi="Times New Roman" w:cs="Times New Roman"/>
                <w:bCs/>
                <w:sz w:val="28"/>
                <w:szCs w:val="24"/>
              </w:rPr>
              <w:t>. El demandante debe plantear argumentos de “</w:t>
            </w:r>
            <w:r w:rsidRPr="000149EE">
              <w:rPr>
                <w:rFonts w:ascii="Times New Roman" w:hAnsi="Times New Roman" w:cs="Times New Roman"/>
                <w:bCs/>
                <w:iCs/>
                <w:sz w:val="28"/>
                <w:szCs w:val="24"/>
              </w:rPr>
              <w:t>naturaleza estrictamente constituciona</w:t>
            </w:r>
            <w:r w:rsidRPr="000149EE">
              <w:rPr>
                <w:rFonts w:ascii="Times New Roman" w:hAnsi="Times New Roman" w:cs="Times New Roman"/>
                <w:bCs/>
                <w:iCs/>
                <w:sz w:val="28"/>
                <w:szCs w:val="24"/>
              </w:rPr>
              <w:t>l</w:t>
            </w:r>
            <w:r w:rsidRPr="000149EE">
              <w:rPr>
                <w:rFonts w:ascii="Times New Roman" w:hAnsi="Times New Roman" w:cs="Times New Roman"/>
                <w:bCs/>
                <w:sz w:val="28"/>
                <w:szCs w:val="24"/>
              </w:rPr>
              <w:t>”</w:t>
            </w:r>
            <w:r w:rsidRPr="000149EE">
              <w:rPr>
                <w:rFonts w:ascii="Times New Roman" w:hAnsi="Times New Roman" w:cs="Times New Roman"/>
                <w:bCs/>
                <w:sz w:val="28"/>
                <w:szCs w:val="24"/>
                <w:vertAlign w:val="superscript"/>
              </w:rPr>
              <w:footnoteReference w:id="59"/>
            </w:r>
            <w:r w:rsidRPr="000149EE">
              <w:rPr>
                <w:rFonts w:ascii="Times New Roman" w:hAnsi="Times New Roman" w:cs="Times New Roman"/>
                <w:bCs/>
                <w:sz w:val="28"/>
                <w:szCs w:val="24"/>
              </w:rPr>
              <w:t xml:space="preserve"> </w:t>
            </w:r>
            <w:r w:rsidRPr="000149EE">
              <w:rPr>
                <w:rFonts w:ascii="Times New Roman" w:hAnsi="Times New Roman" w:cs="Times New Roman"/>
                <w:bCs/>
                <w:iCs/>
                <w:sz w:val="28"/>
                <w:szCs w:val="24"/>
              </w:rPr>
              <w:t>y no de legalidad</w:t>
            </w:r>
            <w:r w:rsidRPr="000149EE">
              <w:rPr>
                <w:rFonts w:ascii="Times New Roman" w:hAnsi="Times New Roman" w:cs="Times New Roman"/>
                <w:bCs/>
                <w:sz w:val="28"/>
                <w:szCs w:val="24"/>
              </w:rPr>
              <w:t>,</w:t>
            </w:r>
            <w:r w:rsidRPr="000149EE">
              <w:rPr>
                <w:rFonts w:ascii="Times New Roman" w:hAnsi="Times New Roman" w:cs="Times New Roman"/>
                <w:bCs/>
                <w:i/>
                <w:iCs/>
                <w:sz w:val="28"/>
                <w:szCs w:val="24"/>
              </w:rPr>
              <w:t xml:space="preserve"> </w:t>
            </w:r>
            <w:r w:rsidRPr="000149EE">
              <w:rPr>
                <w:rFonts w:ascii="Times New Roman" w:hAnsi="Times New Roman" w:cs="Times New Roman"/>
                <w:bCs/>
                <w:iCs/>
                <w:sz w:val="28"/>
                <w:szCs w:val="24"/>
              </w:rPr>
              <w:t>“</w:t>
            </w:r>
            <w:r w:rsidRPr="000149EE">
              <w:rPr>
                <w:rFonts w:ascii="Times New Roman" w:hAnsi="Times New Roman" w:cs="Times New Roman"/>
                <w:bCs/>
                <w:sz w:val="28"/>
                <w:szCs w:val="24"/>
              </w:rPr>
              <w:t>conveniencia o corrección de las decisiones legislativas”</w:t>
            </w:r>
            <w:r w:rsidRPr="000149EE">
              <w:rPr>
                <w:rFonts w:ascii="Times New Roman" w:hAnsi="Times New Roman" w:cs="Times New Roman"/>
                <w:bCs/>
                <w:sz w:val="28"/>
                <w:szCs w:val="24"/>
                <w:vertAlign w:val="superscript"/>
              </w:rPr>
              <w:footnoteReference w:id="60"/>
            </w:r>
            <w:r w:rsidRPr="000149EE">
              <w:rPr>
                <w:rFonts w:ascii="Times New Roman" w:hAnsi="Times New Roman" w:cs="Times New Roman"/>
                <w:bCs/>
                <w:sz w:val="28"/>
                <w:szCs w:val="24"/>
              </w:rPr>
              <w:t>.</w:t>
            </w:r>
          </w:p>
        </w:tc>
      </w:tr>
      <w:tr w:rsidR="00C91E5C" w:rsidRPr="000149EE" w:rsidTr="008163D2">
        <w:tc>
          <w:tcPr>
            <w:tcW w:w="1559" w:type="dxa"/>
            <w:shd w:val="clear" w:color="auto" w:fill="D9D9D9" w:themeFill="background1" w:themeFillShade="D9"/>
            <w:vAlign w:val="center"/>
          </w:tcPr>
          <w:p w:rsidR="00C91E5C" w:rsidRPr="000149EE" w:rsidRDefault="000149EE" w:rsidP="001A47E2">
            <w:pPr>
              <w:widowControl w:val="0"/>
              <w:jc w:val="center"/>
              <w:rPr>
                <w:rFonts w:ascii="Times New Roman" w:hAnsi="Times New Roman" w:cs="Times New Roman"/>
                <w:b/>
                <w:bCs/>
                <w:sz w:val="28"/>
                <w:szCs w:val="24"/>
              </w:rPr>
            </w:pPr>
            <w:r w:rsidRPr="000149EE">
              <w:rPr>
                <w:rFonts w:ascii="Times New Roman" w:hAnsi="Times New Roman" w:cs="Times New Roman"/>
                <w:b/>
                <w:bCs/>
                <w:sz w:val="28"/>
                <w:szCs w:val="24"/>
              </w:rPr>
              <w:t>Suficiencia</w:t>
            </w:r>
          </w:p>
        </w:tc>
        <w:tc>
          <w:tcPr>
            <w:tcW w:w="7134" w:type="dxa"/>
            <w:shd w:val="clear" w:color="auto" w:fill="auto"/>
          </w:tcPr>
          <w:p w:rsidR="00C91E5C" w:rsidRPr="000149EE" w:rsidRDefault="000149EE" w:rsidP="001A47E2">
            <w:pPr>
              <w:widowControl w:val="0"/>
              <w:rPr>
                <w:rFonts w:ascii="Times New Roman" w:hAnsi="Times New Roman" w:cs="Times New Roman"/>
                <w:sz w:val="28"/>
                <w:szCs w:val="24"/>
              </w:rPr>
            </w:pPr>
            <w:r w:rsidRPr="000149EE">
              <w:rPr>
                <w:rFonts w:ascii="Times New Roman" w:hAnsi="Times New Roman" w:cs="Times New Roman"/>
                <w:bCs/>
                <w:sz w:val="28"/>
                <w:szCs w:val="24"/>
              </w:rPr>
              <w:t>Exige que los argumentos formulados generen “una duda inicial sobre la constitucionalidad de la disposición demandada”</w:t>
            </w:r>
            <w:r w:rsidRPr="000149EE">
              <w:rPr>
                <w:rFonts w:ascii="Times New Roman" w:hAnsi="Times New Roman" w:cs="Times New Roman"/>
                <w:bCs/>
                <w:sz w:val="28"/>
                <w:szCs w:val="24"/>
                <w:vertAlign w:val="superscript"/>
              </w:rPr>
              <w:footnoteReference w:id="61"/>
            </w:r>
            <w:r w:rsidRPr="000149EE">
              <w:rPr>
                <w:rFonts w:ascii="Times New Roman" w:hAnsi="Times New Roman" w:cs="Times New Roman"/>
                <w:bCs/>
                <w:sz w:val="28"/>
                <w:szCs w:val="24"/>
              </w:rPr>
              <w:t xml:space="preserve">. La carga de suficiencia es un </w:t>
            </w:r>
            <w:r w:rsidRPr="000149EE">
              <w:rPr>
                <w:rFonts w:ascii="Times New Roman" w:hAnsi="Times New Roman" w:cs="Times New Roman"/>
                <w:bCs/>
                <w:sz w:val="28"/>
                <w:szCs w:val="24"/>
              </w:rPr>
              <w:t>“criterio de cierre para definir la aptitud del cargo”</w:t>
            </w:r>
            <w:r w:rsidRPr="000149EE">
              <w:rPr>
                <w:rFonts w:ascii="Times New Roman" w:hAnsi="Times New Roman" w:cs="Times New Roman"/>
                <w:bCs/>
                <w:sz w:val="28"/>
                <w:szCs w:val="24"/>
                <w:vertAlign w:val="superscript"/>
              </w:rPr>
              <w:footnoteReference w:id="62"/>
            </w:r>
            <w:r w:rsidRPr="000149EE">
              <w:rPr>
                <w:rFonts w:ascii="Times New Roman" w:hAnsi="Times New Roman" w:cs="Times New Roman"/>
                <w:bCs/>
                <w:sz w:val="28"/>
                <w:szCs w:val="24"/>
              </w:rPr>
              <w:t>.</w:t>
            </w:r>
          </w:p>
        </w:tc>
      </w:tr>
    </w:tbl>
    <w:p w:rsidR="00C91E5C" w:rsidRPr="000149EE" w:rsidRDefault="000149EE" w:rsidP="001A47E2">
      <w:pPr>
        <w:rPr>
          <w:rFonts w:ascii="Times New Roman" w:hAnsi="Times New Roman" w:cs="Times New Roman"/>
          <w:sz w:val="28"/>
          <w:szCs w:val="28"/>
          <w:shd w:val="clear" w:color="auto" w:fill="FFFFFF"/>
        </w:rPr>
      </w:pPr>
    </w:p>
    <w:p w:rsidR="00C91E5C" w:rsidRPr="000149EE" w:rsidRDefault="000149EE" w:rsidP="009D4F8D">
      <w:pPr>
        <w:numPr>
          <w:ilvl w:val="0"/>
          <w:numId w:val="3"/>
        </w:numPr>
        <w:tabs>
          <w:tab w:val="left" w:pos="567"/>
        </w:tabs>
        <w:ind w:left="0" w:firstLine="0"/>
        <w:rPr>
          <w:rFonts w:ascii="Times New Roman" w:hAnsi="Times New Roman" w:cs="Times New Roman"/>
          <w:sz w:val="28"/>
          <w:szCs w:val="28"/>
          <w:shd w:val="clear" w:color="auto" w:fill="FFFFFF"/>
        </w:rPr>
      </w:pPr>
      <w:r w:rsidRPr="000149EE">
        <w:rPr>
          <w:rFonts w:ascii="Times New Roman" w:hAnsi="Times New Roman" w:cs="Times New Roman"/>
          <w:sz w:val="28"/>
          <w:szCs w:val="28"/>
          <w:shd w:val="clear" w:color="auto" w:fill="FFFFFF"/>
        </w:rPr>
        <w:t>De otro lado, esta Corte ha precisado que</w:t>
      </w:r>
      <w:r w:rsidRPr="000149EE">
        <w:rPr>
          <w:rFonts w:ascii="Times New Roman" w:hAnsi="Times New Roman" w:cs="Times New Roman"/>
          <w:sz w:val="28"/>
          <w:szCs w:val="28"/>
          <w:shd w:val="clear" w:color="auto" w:fill="FFFFFF"/>
        </w:rPr>
        <w:t>,</w:t>
      </w:r>
      <w:r w:rsidRPr="000149EE">
        <w:rPr>
          <w:rFonts w:ascii="Times New Roman" w:hAnsi="Times New Roman" w:cs="Times New Roman"/>
          <w:sz w:val="28"/>
          <w:szCs w:val="28"/>
          <w:shd w:val="clear" w:color="auto" w:fill="FFFFFF"/>
        </w:rPr>
        <w:t xml:space="preserve"> </w:t>
      </w:r>
      <w:r w:rsidRPr="000149EE">
        <w:rPr>
          <w:rFonts w:ascii="Times New Roman" w:hAnsi="Times New Roman" w:cs="Times New Roman"/>
          <w:sz w:val="28"/>
          <w:szCs w:val="28"/>
        </w:rPr>
        <w:t xml:space="preserve">si la demanda busca demostrar la vulneración del derecho a la igualdad, el actor debe satisfacer exigencias argumentativas específicas </w:t>
      </w:r>
      <w:r w:rsidRPr="000149EE">
        <w:rPr>
          <w:rFonts w:ascii="Times New Roman" w:hAnsi="Times New Roman" w:cs="Times New Roman"/>
          <w:sz w:val="28"/>
          <w:szCs w:val="28"/>
        </w:rPr>
        <w:t>para este tipo de c</w:t>
      </w:r>
      <w:r w:rsidRPr="000149EE">
        <w:rPr>
          <w:rFonts w:ascii="Times New Roman" w:hAnsi="Times New Roman" w:cs="Times New Roman"/>
          <w:sz w:val="28"/>
          <w:szCs w:val="28"/>
        </w:rPr>
        <w:t>argos</w:t>
      </w:r>
      <w:r w:rsidRPr="000149EE">
        <w:rPr>
          <w:rFonts w:ascii="Times New Roman" w:hAnsi="Times New Roman" w:cs="Times New Roman"/>
          <w:bCs/>
          <w:sz w:val="28"/>
          <w:szCs w:val="28"/>
          <w:vertAlign w:val="superscript"/>
        </w:rPr>
        <w:footnoteReference w:id="63"/>
      </w:r>
      <w:r w:rsidRPr="000149EE">
        <w:rPr>
          <w:rFonts w:ascii="Times New Roman" w:hAnsi="Times New Roman" w:cs="Times New Roman"/>
          <w:sz w:val="28"/>
          <w:szCs w:val="28"/>
          <w:shd w:val="clear" w:color="auto" w:fill="FFFFFF"/>
        </w:rPr>
        <w:t xml:space="preserve">. </w:t>
      </w:r>
      <w:r w:rsidRPr="000149EE">
        <w:rPr>
          <w:rFonts w:ascii="Times New Roman" w:hAnsi="Times New Roman" w:cs="Times New Roman"/>
          <w:bCs/>
          <w:sz w:val="28"/>
          <w:szCs w:val="28"/>
          <w:shd w:val="clear" w:color="auto" w:fill="FFFFFF"/>
        </w:rPr>
        <w:t xml:space="preserve">En concreto, debe: </w:t>
      </w:r>
      <w:r w:rsidRPr="000149EE">
        <w:rPr>
          <w:rFonts w:ascii="Times New Roman" w:hAnsi="Times New Roman" w:cs="Times New Roman"/>
          <w:bCs/>
          <w:i/>
          <w:sz w:val="28"/>
          <w:szCs w:val="28"/>
          <w:shd w:val="clear" w:color="auto" w:fill="FFFFFF"/>
        </w:rPr>
        <w:t>(i)</w:t>
      </w:r>
      <w:r w:rsidRPr="000149EE">
        <w:rPr>
          <w:rFonts w:ascii="Times New Roman" w:hAnsi="Times New Roman" w:cs="Times New Roman"/>
          <w:bCs/>
          <w:sz w:val="28"/>
          <w:szCs w:val="28"/>
          <w:shd w:val="clear" w:color="auto" w:fill="FFFFFF"/>
        </w:rPr>
        <w:t xml:space="preserve"> identificar el criterio de comparación (patrón de igualdad o </w:t>
      </w:r>
      <w:r w:rsidRPr="000149EE">
        <w:rPr>
          <w:rFonts w:ascii="Times New Roman" w:hAnsi="Times New Roman" w:cs="Times New Roman"/>
          <w:bCs/>
          <w:i/>
          <w:iCs/>
          <w:sz w:val="28"/>
          <w:szCs w:val="28"/>
          <w:shd w:val="clear" w:color="auto" w:fill="FFFFFF"/>
        </w:rPr>
        <w:t>tertium comparationis</w:t>
      </w:r>
      <w:r w:rsidRPr="000149EE">
        <w:rPr>
          <w:rFonts w:ascii="Times New Roman" w:hAnsi="Times New Roman" w:cs="Times New Roman"/>
          <w:bCs/>
          <w:sz w:val="28"/>
          <w:szCs w:val="28"/>
          <w:shd w:val="clear" w:color="auto" w:fill="FFFFFF"/>
        </w:rPr>
        <w:t>),</w:t>
      </w:r>
      <w:r w:rsidRPr="000149EE">
        <w:rPr>
          <w:rFonts w:ascii="Times New Roman" w:hAnsi="Times New Roman" w:cs="Times New Roman"/>
          <w:bCs/>
          <w:i/>
          <w:iCs/>
          <w:sz w:val="28"/>
          <w:szCs w:val="28"/>
          <w:shd w:val="clear" w:color="auto" w:fill="FFFFFF"/>
        </w:rPr>
        <w:t xml:space="preserve"> </w:t>
      </w:r>
      <w:r w:rsidRPr="000149EE">
        <w:rPr>
          <w:rFonts w:ascii="Times New Roman" w:hAnsi="Times New Roman" w:cs="Times New Roman"/>
          <w:bCs/>
          <w:sz w:val="28"/>
          <w:szCs w:val="28"/>
          <w:shd w:val="clear" w:color="auto" w:fill="FFFFFF"/>
        </w:rPr>
        <w:t xml:space="preserve">para saber si los supuestos son susceptibles de comparación y si se comparan sujetos de la misma naturaleza; </w:t>
      </w:r>
      <w:r w:rsidRPr="000149EE">
        <w:rPr>
          <w:rFonts w:ascii="Times New Roman" w:hAnsi="Times New Roman" w:cs="Times New Roman"/>
          <w:bCs/>
          <w:i/>
          <w:sz w:val="28"/>
          <w:szCs w:val="28"/>
          <w:shd w:val="clear" w:color="auto" w:fill="FFFFFF"/>
        </w:rPr>
        <w:t xml:space="preserve">(ii) </w:t>
      </w:r>
      <w:r w:rsidRPr="000149EE">
        <w:rPr>
          <w:rFonts w:ascii="Times New Roman" w:hAnsi="Times New Roman" w:cs="Times New Roman"/>
          <w:bCs/>
          <w:iCs/>
          <w:sz w:val="28"/>
          <w:szCs w:val="28"/>
          <w:shd w:val="clear" w:color="auto" w:fill="FFFFFF"/>
        </w:rPr>
        <w:t xml:space="preserve">exponer las razones por las cuales </w:t>
      </w:r>
      <w:r w:rsidRPr="000149EE">
        <w:rPr>
          <w:rFonts w:ascii="Times New Roman" w:hAnsi="Times New Roman" w:cs="Times New Roman"/>
          <w:bCs/>
          <w:sz w:val="28"/>
          <w:szCs w:val="28"/>
          <w:shd w:val="clear" w:color="auto" w:fill="FFFFFF"/>
        </w:rPr>
        <w:t xml:space="preserve">la norma prevé un tratamiento desigual entre iguales o igual entre disímiles que afecte prima facie el derecho a la igualdad y, por último, </w:t>
      </w:r>
      <w:r w:rsidRPr="000149EE">
        <w:rPr>
          <w:rFonts w:ascii="Times New Roman" w:hAnsi="Times New Roman" w:cs="Times New Roman"/>
          <w:bCs/>
          <w:i/>
          <w:sz w:val="28"/>
          <w:szCs w:val="28"/>
          <w:shd w:val="clear" w:color="auto" w:fill="FFFFFF"/>
        </w:rPr>
        <w:t>(iii)</w:t>
      </w:r>
      <w:r w:rsidRPr="000149EE">
        <w:rPr>
          <w:rFonts w:ascii="Times New Roman" w:hAnsi="Times New Roman" w:cs="Times New Roman"/>
          <w:bCs/>
          <w:sz w:val="28"/>
          <w:szCs w:val="28"/>
          <w:shd w:val="clear" w:color="auto" w:fill="FFFFFF"/>
        </w:rPr>
        <w:t xml:space="preserve"> explicar las razones por las cuales considera que dicho trato </w:t>
      </w:r>
      <w:r w:rsidRPr="000149EE">
        <w:rPr>
          <w:rFonts w:ascii="Times New Roman" w:hAnsi="Times New Roman" w:cs="Times New Roman"/>
          <w:bCs/>
          <w:i/>
          <w:iCs/>
          <w:sz w:val="28"/>
          <w:szCs w:val="28"/>
          <w:shd w:val="clear" w:color="auto" w:fill="FFFFFF"/>
        </w:rPr>
        <w:t>prima facie</w:t>
      </w:r>
      <w:r w:rsidRPr="000149EE">
        <w:rPr>
          <w:rFonts w:ascii="Times New Roman" w:hAnsi="Times New Roman" w:cs="Times New Roman"/>
          <w:bCs/>
          <w:sz w:val="28"/>
          <w:szCs w:val="28"/>
          <w:shd w:val="clear" w:color="auto" w:fill="FFFFFF"/>
        </w:rPr>
        <w:t xml:space="preserve"> c</w:t>
      </w:r>
      <w:r w:rsidRPr="000149EE">
        <w:rPr>
          <w:rFonts w:ascii="Times New Roman" w:hAnsi="Times New Roman" w:cs="Times New Roman"/>
          <w:bCs/>
          <w:sz w:val="28"/>
          <w:szCs w:val="28"/>
          <w:shd w:val="clear" w:color="auto" w:fill="FFFFFF"/>
        </w:rPr>
        <w:t>arece de justificación constitucional</w:t>
      </w:r>
      <w:r w:rsidRPr="000149EE">
        <w:rPr>
          <w:rFonts w:ascii="Times New Roman" w:hAnsi="Times New Roman" w:cs="Times New Roman"/>
          <w:bCs/>
          <w:sz w:val="28"/>
          <w:szCs w:val="28"/>
          <w:shd w:val="clear" w:color="auto" w:fill="FFFFFF"/>
          <w:vertAlign w:val="superscript"/>
        </w:rPr>
        <w:footnoteReference w:id="64"/>
      </w:r>
      <w:r w:rsidRPr="000149EE">
        <w:rPr>
          <w:rFonts w:ascii="Times New Roman" w:hAnsi="Times New Roman" w:cs="Times New Roman"/>
          <w:bCs/>
          <w:sz w:val="28"/>
          <w:szCs w:val="28"/>
          <w:shd w:val="clear" w:color="auto" w:fill="FFFFFF"/>
        </w:rPr>
        <w:t>.</w:t>
      </w:r>
    </w:p>
    <w:p w:rsidR="00C91E5C" w:rsidRPr="000149EE" w:rsidRDefault="000149EE" w:rsidP="001A47E2">
      <w:pPr>
        <w:rPr>
          <w:rFonts w:ascii="Times New Roman" w:hAnsi="Times New Roman" w:cs="Times New Roman"/>
          <w:sz w:val="28"/>
          <w:szCs w:val="28"/>
          <w:shd w:val="clear" w:color="auto" w:fill="FFFFFF"/>
        </w:rPr>
      </w:pPr>
    </w:p>
    <w:p w:rsidR="00C91E5C" w:rsidRPr="000149EE" w:rsidRDefault="000149EE" w:rsidP="009D4F8D">
      <w:pPr>
        <w:numPr>
          <w:ilvl w:val="0"/>
          <w:numId w:val="3"/>
        </w:numPr>
        <w:tabs>
          <w:tab w:val="left" w:pos="567"/>
        </w:tabs>
        <w:ind w:left="0" w:firstLine="0"/>
        <w:rPr>
          <w:rFonts w:ascii="Times New Roman" w:hAnsi="Times New Roman" w:cs="Times New Roman"/>
          <w:sz w:val="28"/>
          <w:szCs w:val="28"/>
          <w:shd w:val="clear" w:color="auto" w:fill="FFFFFF"/>
        </w:rPr>
      </w:pPr>
      <w:r w:rsidRPr="000149EE">
        <w:rPr>
          <w:rFonts w:ascii="Times New Roman" w:hAnsi="Times New Roman" w:cs="Times New Roman"/>
          <w:sz w:val="28"/>
          <w:szCs w:val="28"/>
          <w:shd w:val="clear" w:color="auto" w:fill="FFFFFF"/>
        </w:rPr>
        <w:t xml:space="preserve">El </w:t>
      </w:r>
      <w:r w:rsidRPr="000149EE">
        <w:rPr>
          <w:rFonts w:ascii="Times New Roman" w:hAnsi="Times New Roman" w:cs="Times New Roman"/>
          <w:sz w:val="28"/>
          <w:szCs w:val="28"/>
        </w:rPr>
        <w:t>cumplimiento de estas exigencias argumentativas</w:t>
      </w:r>
      <w:r w:rsidRPr="000149EE">
        <w:rPr>
          <w:rFonts w:ascii="Times New Roman" w:hAnsi="Times New Roman" w:cs="Times New Roman"/>
          <w:sz w:val="28"/>
          <w:szCs w:val="28"/>
        </w:rPr>
        <w:t xml:space="preserve"> -generales y específicas- no debe ser excesivamente riguroso,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habida cuenta</w:t>
      </w:r>
      <w:r w:rsidRPr="000149EE">
        <w:rPr>
          <w:rFonts w:ascii="Times New Roman" w:hAnsi="Times New Roman" w:cs="Times New Roman"/>
          <w:sz w:val="28"/>
          <w:szCs w:val="28"/>
        </w:rPr>
        <w:t xml:space="preserve"> de </w:t>
      </w:r>
      <w:r w:rsidRPr="000149EE">
        <w:rPr>
          <w:rFonts w:ascii="Times New Roman" w:hAnsi="Times New Roman" w:cs="Times New Roman"/>
          <w:sz w:val="28"/>
          <w:szCs w:val="28"/>
        </w:rPr>
        <w:t>la naturaleza pública e informal de la acción de inconstitucionalidad</w:t>
      </w:r>
      <w:r w:rsidRPr="000149EE">
        <w:rPr>
          <w:rFonts w:ascii="Times New Roman" w:hAnsi="Times New Roman" w:cs="Times New Roman"/>
          <w:sz w:val="28"/>
          <w:szCs w:val="28"/>
          <w:vertAlign w:val="superscript"/>
        </w:rPr>
        <w:footnoteReference w:id="65"/>
      </w:r>
      <w:r w:rsidRPr="000149EE">
        <w:rPr>
          <w:rFonts w:ascii="Times New Roman" w:hAnsi="Times New Roman" w:cs="Times New Roman"/>
          <w:sz w:val="28"/>
          <w:szCs w:val="28"/>
        </w:rPr>
        <w:t xml:space="preserve">. No obstante, la Corte debe evitar admitir demandas abiertamente ineptas cuyo análisis de fondo exigiría a la Corte construir el cargo y llevar a </w:t>
      </w:r>
      <w:r w:rsidRPr="000149EE">
        <w:rPr>
          <w:rFonts w:ascii="Times New Roman" w:hAnsi="Times New Roman" w:cs="Times New Roman"/>
          <w:sz w:val="28"/>
          <w:szCs w:val="28"/>
        </w:rPr>
        <w:t xml:space="preserve">cabo </w:t>
      </w:r>
      <w:r w:rsidRPr="000149EE">
        <w:rPr>
          <w:rFonts w:ascii="Times New Roman" w:hAnsi="Times New Roman" w:cs="Times New Roman"/>
          <w:sz w:val="28"/>
          <w:szCs w:val="28"/>
        </w:rPr>
        <w:t>un control oficioso de las normas demandadas, lo cual afectaría el principio democrático</w:t>
      </w:r>
      <w:r w:rsidRPr="000149EE">
        <w:rPr>
          <w:rFonts w:ascii="Times New Roman" w:hAnsi="Times New Roman" w:cs="Times New Roman"/>
          <w:sz w:val="28"/>
          <w:szCs w:val="28"/>
          <w:vertAlign w:val="superscript"/>
        </w:rPr>
        <w:footnoteReference w:id="66"/>
      </w:r>
      <w:r w:rsidRPr="000149EE">
        <w:rPr>
          <w:rFonts w:ascii="Times New Roman" w:hAnsi="Times New Roman" w:cs="Times New Roman"/>
          <w:sz w:val="28"/>
          <w:szCs w:val="28"/>
        </w:rPr>
        <w:t>. La constataci</w:t>
      </w:r>
      <w:r w:rsidRPr="000149EE">
        <w:rPr>
          <w:rFonts w:ascii="Times New Roman" w:hAnsi="Times New Roman" w:cs="Times New Roman"/>
          <w:sz w:val="28"/>
          <w:szCs w:val="28"/>
        </w:rPr>
        <w:t>ón de falencias argumentativas en la formulación del concepto de violación impide que la Corte adelante un estudio de fondo y, en consecuencia, conduce a un fallo inhibitorio.</w:t>
      </w:r>
    </w:p>
    <w:p w:rsidR="00C91E5C" w:rsidRPr="000149EE" w:rsidRDefault="000149EE" w:rsidP="001A47E2">
      <w:pPr>
        <w:pStyle w:val="Prrafodelista"/>
        <w:tabs>
          <w:tab w:val="left" w:pos="567"/>
        </w:tabs>
        <w:spacing w:line="240" w:lineRule="auto"/>
        <w:ind w:left="0"/>
        <w:rPr>
          <w:rFonts w:ascii="Times New Roman" w:hAnsi="Times New Roman"/>
          <w:sz w:val="28"/>
          <w:shd w:val="clear" w:color="auto" w:fill="FFFFFF"/>
        </w:rPr>
      </w:pPr>
    </w:p>
    <w:p w:rsidR="00794921" w:rsidRPr="000149EE" w:rsidRDefault="000149EE" w:rsidP="001A47E2">
      <w:pPr>
        <w:pStyle w:val="Prrafodelista"/>
        <w:tabs>
          <w:tab w:val="left" w:pos="567"/>
        </w:tabs>
        <w:spacing w:line="240" w:lineRule="auto"/>
        <w:ind w:left="0"/>
        <w:rPr>
          <w:rFonts w:ascii="Times New Roman" w:hAnsi="Times New Roman"/>
          <w:sz w:val="28"/>
          <w:shd w:val="clear" w:color="auto" w:fill="FFFFFF"/>
        </w:rPr>
      </w:pPr>
    </w:p>
    <w:p w:rsidR="00C91E5C" w:rsidRPr="000149EE" w:rsidRDefault="000149EE" w:rsidP="001A47E2">
      <w:pPr>
        <w:pStyle w:val="Prrafodelista"/>
        <w:widowControl w:val="0"/>
        <w:numPr>
          <w:ilvl w:val="0"/>
          <w:numId w:val="9"/>
        </w:numPr>
        <w:spacing w:line="240" w:lineRule="auto"/>
        <w:rPr>
          <w:rFonts w:ascii="Times New Roman" w:hAnsi="Times New Roman"/>
          <w:b/>
          <w:bCs/>
          <w:sz w:val="28"/>
        </w:rPr>
      </w:pPr>
      <w:r w:rsidRPr="000149EE">
        <w:rPr>
          <w:rFonts w:ascii="Times New Roman" w:hAnsi="Times New Roman"/>
          <w:b/>
          <w:bCs/>
          <w:sz w:val="28"/>
        </w:rPr>
        <w:t>Examen de aptitud del cargo</w:t>
      </w:r>
    </w:p>
    <w:p w:rsidR="00C91E5C" w:rsidRPr="000149EE" w:rsidRDefault="000149EE" w:rsidP="00543819">
      <w:pPr>
        <w:rPr>
          <w:rFonts w:ascii="Times New Roman" w:hAnsi="Times New Roman" w:cs="Times New Roman"/>
          <w:sz w:val="28"/>
          <w:szCs w:val="28"/>
        </w:rPr>
      </w:pPr>
    </w:p>
    <w:p w:rsidR="00C91E5C"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Sala Plena encuentra que </w:t>
      </w:r>
      <w:r w:rsidRPr="000149EE">
        <w:rPr>
          <w:rFonts w:ascii="Times New Roman" w:hAnsi="Times New Roman" w:cs="Times New Roman"/>
          <w:sz w:val="28"/>
          <w:szCs w:val="28"/>
        </w:rPr>
        <w:t>el</w:t>
      </w:r>
      <w:r w:rsidRPr="000149EE">
        <w:rPr>
          <w:rFonts w:ascii="Times New Roman" w:hAnsi="Times New Roman" w:cs="Times New Roman"/>
          <w:sz w:val="28"/>
          <w:szCs w:val="28"/>
        </w:rPr>
        <w:t xml:space="preserve"> cargo</w:t>
      </w:r>
      <w:r w:rsidRPr="000149EE">
        <w:rPr>
          <w:rFonts w:ascii="Times New Roman" w:hAnsi="Times New Roman" w:cs="Times New Roman"/>
          <w:sz w:val="28"/>
          <w:szCs w:val="28"/>
        </w:rPr>
        <w:t xml:space="preserve"> por la presu</w:t>
      </w:r>
      <w:r w:rsidRPr="000149EE">
        <w:rPr>
          <w:rFonts w:ascii="Times New Roman" w:hAnsi="Times New Roman" w:cs="Times New Roman"/>
          <w:sz w:val="28"/>
          <w:szCs w:val="28"/>
        </w:rPr>
        <w:t>nta vulneración de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w:t>
      </w:r>
      <w:r w:rsidRPr="000149EE">
        <w:rPr>
          <w:rFonts w:ascii="Times New Roman" w:hAnsi="Times New Roman" w:cs="Times New Roman"/>
          <w:sz w:val="28"/>
          <w:szCs w:val="28"/>
        </w:rPr>
        <w:t>os</w:t>
      </w:r>
      <w:r w:rsidRPr="000149EE">
        <w:rPr>
          <w:rFonts w:ascii="Times New Roman" w:hAnsi="Times New Roman" w:cs="Times New Roman"/>
          <w:sz w:val="28"/>
          <w:szCs w:val="28"/>
        </w:rPr>
        <w:t xml:space="preserve"> principio</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de igualdad</w:t>
      </w:r>
      <w:r w:rsidRPr="000149EE">
        <w:rPr>
          <w:rFonts w:ascii="Times New Roman" w:hAnsi="Times New Roman" w:cs="Times New Roman"/>
          <w:sz w:val="28"/>
          <w:szCs w:val="28"/>
        </w:rPr>
        <w:t xml:space="preserve"> y equidad tributaria</w:t>
      </w:r>
      <w:r w:rsidRPr="000149EE">
        <w:rPr>
          <w:rFonts w:ascii="Times New Roman" w:hAnsi="Times New Roman" w:cs="Times New Roman"/>
          <w:sz w:val="28"/>
          <w:szCs w:val="28"/>
        </w:rPr>
        <w:t xml:space="preserve"> (art</w:t>
      </w:r>
      <w:r w:rsidRPr="000149EE">
        <w:rPr>
          <w:rFonts w:ascii="Times New Roman" w:hAnsi="Times New Roman" w:cs="Times New Roman"/>
          <w:sz w:val="28"/>
          <w:szCs w:val="28"/>
        </w:rPr>
        <w:t>s</w:t>
      </w:r>
      <w:r w:rsidRPr="000149EE">
        <w:rPr>
          <w:rFonts w:ascii="Times New Roman" w:hAnsi="Times New Roman" w:cs="Times New Roman"/>
          <w:sz w:val="28"/>
          <w:szCs w:val="28"/>
        </w:rPr>
        <w:t>. 13</w:t>
      </w:r>
      <w:r w:rsidRPr="000149EE">
        <w:rPr>
          <w:rFonts w:ascii="Times New Roman" w:hAnsi="Times New Roman" w:cs="Times New Roman"/>
          <w:sz w:val="28"/>
          <w:szCs w:val="28"/>
        </w:rPr>
        <w:t xml:space="preserve"> y 363 de la</w:t>
      </w:r>
      <w:r w:rsidRPr="000149EE">
        <w:rPr>
          <w:rFonts w:ascii="Times New Roman" w:hAnsi="Times New Roman" w:cs="Times New Roman"/>
          <w:sz w:val="28"/>
          <w:szCs w:val="28"/>
        </w:rPr>
        <w:t xml:space="preserve"> CP)</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es</w:t>
      </w:r>
      <w:r w:rsidRPr="000149EE">
        <w:rPr>
          <w:rFonts w:ascii="Times New Roman" w:hAnsi="Times New Roman" w:cs="Times New Roman"/>
          <w:sz w:val="28"/>
          <w:szCs w:val="28"/>
        </w:rPr>
        <w:t xml:space="preserve"> apto</w:t>
      </w:r>
      <w:r w:rsidRPr="000149EE">
        <w:rPr>
          <w:rFonts w:ascii="Times New Roman" w:hAnsi="Times New Roman" w:cs="Times New Roman"/>
          <w:bCs/>
          <w:sz w:val="28"/>
          <w:szCs w:val="28"/>
        </w:rPr>
        <w:t xml:space="preserve">. Esto, porque satisface </w:t>
      </w:r>
      <w:r w:rsidRPr="000149EE">
        <w:rPr>
          <w:rFonts w:ascii="Times New Roman" w:hAnsi="Times New Roman" w:cs="Times New Roman"/>
          <w:bCs/>
          <w:i/>
          <w:iCs/>
          <w:sz w:val="28"/>
          <w:szCs w:val="28"/>
        </w:rPr>
        <w:t>(a)</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las exigencias generales de argumentación desarrolladas por la Corte Constitucional, así como </w:t>
      </w:r>
      <w:r w:rsidRPr="000149EE">
        <w:rPr>
          <w:rFonts w:ascii="Times New Roman" w:hAnsi="Times New Roman" w:cs="Times New Roman"/>
          <w:bCs/>
          <w:i/>
          <w:iCs/>
          <w:sz w:val="28"/>
          <w:szCs w:val="28"/>
        </w:rPr>
        <w:t>(b)</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las exigencias específicas aplicables a los cargos por vulneración </w:t>
      </w:r>
      <w:r w:rsidRPr="000149EE">
        <w:rPr>
          <w:rFonts w:ascii="Times New Roman" w:hAnsi="Times New Roman" w:cs="Times New Roman"/>
          <w:bCs/>
          <w:sz w:val="28"/>
          <w:szCs w:val="28"/>
        </w:rPr>
        <w:t>de los principios</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de</w:t>
      </w:r>
      <w:r w:rsidRPr="000149EE">
        <w:rPr>
          <w:rFonts w:ascii="Times New Roman" w:hAnsi="Times New Roman" w:cs="Times New Roman"/>
          <w:bCs/>
          <w:sz w:val="28"/>
          <w:szCs w:val="28"/>
        </w:rPr>
        <w:t xml:space="preserve"> igualdad</w:t>
      </w:r>
      <w:r w:rsidRPr="000149EE">
        <w:rPr>
          <w:rFonts w:ascii="Times New Roman" w:hAnsi="Times New Roman" w:cs="Times New Roman"/>
          <w:bCs/>
          <w:sz w:val="28"/>
          <w:szCs w:val="28"/>
        </w:rPr>
        <w:t xml:space="preserve"> y equidad tributaria</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Por lo demás, </w:t>
      </w:r>
      <w:r w:rsidRPr="000149EE">
        <w:rPr>
          <w:rFonts w:ascii="Times New Roman" w:hAnsi="Times New Roman" w:cs="Times New Roman"/>
          <w:bCs/>
          <w:i/>
          <w:iCs/>
          <w:sz w:val="28"/>
          <w:szCs w:val="28"/>
        </w:rPr>
        <w:t>(c)</w:t>
      </w:r>
      <w:r w:rsidRPr="000149EE">
        <w:rPr>
          <w:rFonts w:ascii="Times New Roman" w:hAnsi="Times New Roman" w:cs="Times New Roman"/>
          <w:bCs/>
          <w:sz w:val="28"/>
          <w:szCs w:val="28"/>
        </w:rPr>
        <w:t xml:space="preserve"> en este caso no se presenta el fenómeno de </w:t>
      </w:r>
      <w:r w:rsidRPr="000149EE">
        <w:rPr>
          <w:rFonts w:ascii="Times New Roman" w:hAnsi="Times New Roman" w:cs="Times New Roman"/>
          <w:bCs/>
          <w:i/>
          <w:iCs/>
          <w:sz w:val="28"/>
          <w:szCs w:val="28"/>
        </w:rPr>
        <w:t>ineptitud sobreviniente</w:t>
      </w:r>
      <w:r w:rsidRPr="000149EE">
        <w:rPr>
          <w:rFonts w:ascii="Times New Roman" w:hAnsi="Times New Roman" w:cs="Times New Roman"/>
          <w:bCs/>
          <w:sz w:val="28"/>
          <w:szCs w:val="28"/>
        </w:rPr>
        <w:t xml:space="preserve">, en los términos de la sentencia C-073 de 2024. </w:t>
      </w:r>
    </w:p>
    <w:p w:rsidR="00AF6A43" w:rsidRPr="000149EE" w:rsidRDefault="000149EE" w:rsidP="001A47E2">
      <w:pPr>
        <w:pStyle w:val="Prrafodelista"/>
        <w:widowControl w:val="0"/>
        <w:spacing w:line="240" w:lineRule="auto"/>
        <w:ind w:left="0"/>
        <w:rPr>
          <w:rFonts w:ascii="Times New Roman" w:hAnsi="Times New Roman"/>
          <w:sz w:val="28"/>
        </w:rPr>
      </w:pPr>
    </w:p>
    <w:p w:rsidR="00B80094"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w:t>
      </w:r>
      <w:r w:rsidRPr="000149EE">
        <w:rPr>
          <w:rFonts w:ascii="Times New Roman" w:hAnsi="Times New Roman" w:cs="Times New Roman"/>
          <w:sz w:val="28"/>
          <w:szCs w:val="28"/>
          <w:u w:val="single"/>
        </w:rPr>
        <w:t>Exigencias argumentativas generales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El</w:t>
      </w:r>
      <w:r w:rsidRPr="000149EE">
        <w:rPr>
          <w:rFonts w:ascii="Times New Roman" w:hAnsi="Times New Roman" w:cs="Times New Roman"/>
          <w:sz w:val="28"/>
          <w:szCs w:val="28"/>
        </w:rPr>
        <w:t xml:space="preserve"> cargo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formulado por la demandante </w:t>
      </w:r>
      <w:r w:rsidRPr="000149EE">
        <w:rPr>
          <w:rFonts w:ascii="Times New Roman" w:hAnsi="Times New Roman" w:cs="Times New Roman"/>
          <w:sz w:val="28"/>
          <w:szCs w:val="28"/>
        </w:rPr>
        <w:t>satisface las exigencias generales de argumentación</w:t>
      </w:r>
      <w:r w:rsidRPr="000149EE">
        <w:rPr>
          <w:rFonts w:ascii="Times New Roman" w:hAnsi="Times New Roman" w:cs="Times New Roman"/>
          <w:sz w:val="28"/>
          <w:szCs w:val="28"/>
        </w:rPr>
        <w:t>:</w:t>
      </w:r>
    </w:p>
    <w:p w:rsidR="00B80094" w:rsidRPr="000149EE" w:rsidRDefault="000149EE" w:rsidP="001A47E2">
      <w:pPr>
        <w:pStyle w:val="Prrafodelista"/>
        <w:spacing w:line="240" w:lineRule="auto"/>
        <w:rPr>
          <w:rFonts w:ascii="Times New Roman" w:hAnsi="Times New Roman"/>
          <w:sz w:val="28"/>
        </w:rPr>
      </w:pPr>
    </w:p>
    <w:p w:rsidR="00B80094"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Certeza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El cargo satisface la carga de certeza, porque las acusaciones recaen sobre proposiciones jurídicas reales y existentes. Tal y como lo </w:t>
      </w:r>
      <w:r w:rsidRPr="000149EE">
        <w:rPr>
          <w:rFonts w:ascii="Times New Roman" w:hAnsi="Times New Roman" w:cs="Times New Roman"/>
          <w:sz w:val="28"/>
          <w:szCs w:val="28"/>
        </w:rPr>
        <w:t>explica la</w:t>
      </w:r>
      <w:r w:rsidRPr="000149EE">
        <w:rPr>
          <w:rFonts w:ascii="Times New Roman" w:hAnsi="Times New Roman" w:cs="Times New Roman"/>
          <w:sz w:val="28"/>
          <w:szCs w:val="28"/>
        </w:rPr>
        <w:t xml:space="preserve"> demandante,</w:t>
      </w:r>
      <w:r w:rsidRPr="000149EE">
        <w:rPr>
          <w:rFonts w:ascii="Times New Roman" w:hAnsi="Times New Roman" w:cs="Times New Roman"/>
          <w:sz w:val="28"/>
          <w:szCs w:val="28"/>
        </w:rPr>
        <w:t xml:space="preserve"> los numerales</w:t>
      </w:r>
      <w:r w:rsidRPr="000149EE">
        <w:rPr>
          <w:rFonts w:ascii="Times New Roman" w:hAnsi="Times New Roman" w:cs="Times New Roman"/>
          <w:iCs/>
          <w:sz w:val="28"/>
          <w:szCs w:val="28"/>
        </w:rPr>
        <w:t xml:space="preserve"> 1</w:t>
      </w:r>
      <w:r w:rsidRPr="000149EE">
        <w:rPr>
          <w:rFonts w:ascii="Times New Roman" w:hAnsi="Times New Roman" w:cs="Times New Roman"/>
          <w:iCs/>
          <w:sz w:val="28"/>
          <w:szCs w:val="28"/>
        </w:rPr>
        <w:t xml:space="preserve"> y </w:t>
      </w:r>
      <w:r w:rsidRPr="000149EE">
        <w:rPr>
          <w:rFonts w:ascii="Times New Roman" w:hAnsi="Times New Roman" w:cs="Times New Roman"/>
          <w:iCs/>
          <w:sz w:val="28"/>
          <w:szCs w:val="28"/>
        </w:rPr>
        <w:t>2 del artículo 240-1 del ET</w:t>
      </w:r>
      <w:r w:rsidRPr="000149EE">
        <w:rPr>
          <w:rFonts w:ascii="Times New Roman" w:hAnsi="Times New Roman" w:cs="Times New Roman"/>
          <w:iCs/>
          <w:sz w:val="28"/>
          <w:szCs w:val="28"/>
        </w:rPr>
        <w:t xml:space="preserve">, modificados por el </w:t>
      </w:r>
      <w:r w:rsidRPr="000149EE">
        <w:rPr>
          <w:rFonts w:ascii="Times New Roman" w:hAnsi="Times New Roman" w:cs="Times New Roman"/>
          <w:iCs/>
          <w:sz w:val="28"/>
          <w:szCs w:val="28"/>
        </w:rPr>
        <w:t>artículo 11 de la Ley 2277 de 20</w:t>
      </w:r>
      <w:r w:rsidRPr="000149EE">
        <w:rPr>
          <w:rFonts w:ascii="Times New Roman" w:hAnsi="Times New Roman" w:cs="Times New Roman"/>
          <w:iCs/>
          <w:sz w:val="28"/>
          <w:szCs w:val="28"/>
        </w:rPr>
        <w:t>22,</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establecen un</w:t>
      </w:r>
      <w:r w:rsidRPr="000149EE">
        <w:rPr>
          <w:rFonts w:ascii="Times New Roman" w:hAnsi="Times New Roman" w:cs="Times New Roman"/>
          <w:iCs/>
          <w:sz w:val="28"/>
          <w:szCs w:val="28"/>
        </w:rPr>
        <w:t>a</w:t>
      </w:r>
      <w:r w:rsidRPr="000149EE">
        <w:rPr>
          <w:rFonts w:ascii="Times New Roman" w:hAnsi="Times New Roman" w:cs="Times New Roman"/>
          <w:iCs/>
          <w:sz w:val="28"/>
          <w:szCs w:val="28"/>
        </w:rPr>
        <w:t xml:space="preserve"> tarifa diferencia</w:t>
      </w:r>
      <w:r w:rsidRPr="000149EE">
        <w:rPr>
          <w:rFonts w:ascii="Times New Roman" w:hAnsi="Times New Roman" w:cs="Times New Roman"/>
          <w:iCs/>
          <w:sz w:val="28"/>
          <w:szCs w:val="28"/>
        </w:rPr>
        <w:t>l</w:t>
      </w:r>
      <w:r w:rsidRPr="000149EE">
        <w:rPr>
          <w:rFonts w:ascii="Times New Roman" w:hAnsi="Times New Roman" w:cs="Times New Roman"/>
          <w:iCs/>
          <w:sz w:val="28"/>
          <w:szCs w:val="28"/>
        </w:rPr>
        <w:t xml:space="preserve"> del impuesto a la renta de los usuarios industriales en función de la proveniencia de los ingresos: 20% para los ingresos que provienen</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de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exportaciones</w:t>
      </w:r>
      <w:r w:rsidRPr="000149EE">
        <w:rPr>
          <w:rFonts w:ascii="Times New Roman" w:hAnsi="Times New Roman" w:cs="Times New Roman"/>
          <w:iCs/>
          <w:sz w:val="28"/>
          <w:szCs w:val="28"/>
        </w:rPr>
        <w:t xml:space="preserve"> y </w:t>
      </w:r>
      <w:r w:rsidRPr="000149EE">
        <w:rPr>
          <w:rFonts w:ascii="Times New Roman" w:hAnsi="Times New Roman" w:cs="Times New Roman"/>
          <w:iCs/>
          <w:sz w:val="28"/>
          <w:szCs w:val="28"/>
        </w:rPr>
        <w:t>35% para los ingresos que no provengan de exportaciones</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Asimismo, es cierto que, como lo afirma la demanda, el parágrafo 6º dispone que únicamente podrían aplicar a la tarifa preferencial </w:t>
      </w:r>
      <w:r w:rsidRPr="000149EE">
        <w:rPr>
          <w:rFonts w:ascii="Times New Roman" w:hAnsi="Times New Roman" w:cs="Times New Roman"/>
          <w:iCs/>
          <w:sz w:val="28"/>
          <w:szCs w:val="28"/>
        </w:rPr>
        <w:t>l</w:t>
      </w:r>
      <w:r w:rsidRPr="000149EE">
        <w:rPr>
          <w:rFonts w:ascii="Times New Roman" w:hAnsi="Times New Roman" w:cs="Times New Roman"/>
          <w:iCs/>
          <w:sz w:val="28"/>
          <w:szCs w:val="28"/>
        </w:rPr>
        <w:t xml:space="preserve">os usuarios industriales de zona franca que </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acuerden su </w:t>
      </w:r>
      <w:r w:rsidRPr="000149EE">
        <w:rPr>
          <w:rFonts w:ascii="Times New Roman" w:hAnsi="Times New Roman" w:cs="Times New Roman"/>
          <w:iCs/>
          <w:sz w:val="28"/>
          <w:szCs w:val="28"/>
        </w:rPr>
        <w:t>PIAV</w:t>
      </w:r>
      <w:r w:rsidRPr="000149EE">
        <w:rPr>
          <w:rFonts w:ascii="Times New Roman" w:hAnsi="Times New Roman" w:cs="Times New Roman"/>
          <w:iCs/>
          <w:sz w:val="28"/>
          <w:szCs w:val="28"/>
        </w:rPr>
        <w:t xml:space="preserve"> con el Gobierno Nacional</w:t>
      </w:r>
      <w:r w:rsidRPr="000149EE">
        <w:rPr>
          <w:rFonts w:ascii="Times New Roman" w:hAnsi="Times New Roman" w:cs="Times New Roman"/>
          <w:iCs/>
          <w:sz w:val="28"/>
          <w:szCs w:val="28"/>
        </w:rPr>
        <w:t xml:space="preserve"> y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cumplan con los objetivos </w:t>
      </w:r>
      <w:r w:rsidRPr="000149EE">
        <w:rPr>
          <w:rFonts w:ascii="Times New Roman" w:hAnsi="Times New Roman" w:cs="Times New Roman"/>
          <w:iCs/>
          <w:sz w:val="28"/>
          <w:szCs w:val="28"/>
        </w:rPr>
        <w:t xml:space="preserve">máximos de ingresos. </w:t>
      </w:r>
    </w:p>
    <w:p w:rsidR="00B80094"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Claridad</w:t>
      </w:r>
      <w:r w:rsidRPr="000149EE">
        <w:rPr>
          <w:rFonts w:ascii="Times New Roman" w:hAnsi="Times New Roman" w:cs="Times New Roman"/>
          <w:sz w:val="28"/>
          <w:szCs w:val="28"/>
        </w:rPr>
        <w:t xml:space="preserve">. El </w:t>
      </w:r>
      <w:r w:rsidRPr="000149EE">
        <w:rPr>
          <w:rFonts w:ascii="Times New Roman" w:hAnsi="Times New Roman" w:cs="Times New Roman"/>
          <w:sz w:val="28"/>
          <w:szCs w:val="28"/>
        </w:rPr>
        <w:t>cargo es claro,</w:t>
      </w:r>
      <w:r w:rsidRPr="000149EE">
        <w:rPr>
          <w:rFonts w:ascii="Times New Roman" w:hAnsi="Times New Roman" w:cs="Times New Roman"/>
          <w:i/>
          <w:iCs/>
          <w:sz w:val="28"/>
          <w:szCs w:val="28"/>
        </w:rPr>
        <w:t xml:space="preserve"> </w:t>
      </w:r>
      <w:r w:rsidRPr="000149EE">
        <w:rPr>
          <w:rFonts w:ascii="Times New Roman" w:hAnsi="Times New Roman" w:cs="Times New Roman"/>
          <w:sz w:val="28"/>
          <w:szCs w:val="28"/>
        </w:rPr>
        <w:t xml:space="preserve">porque sigue un hilo de argumentación lógico. </w:t>
      </w:r>
      <w:r w:rsidRPr="000149EE">
        <w:rPr>
          <w:rFonts w:ascii="Times New Roman" w:hAnsi="Times New Roman" w:cs="Times New Roman"/>
          <w:sz w:val="28"/>
          <w:szCs w:val="28"/>
        </w:rPr>
        <w:t xml:space="preserve">Una simple lectura de la demanda permite comprender que la demandante considera que </w:t>
      </w:r>
      <w:r w:rsidRPr="000149EE">
        <w:rPr>
          <w:rFonts w:ascii="Times New Roman" w:hAnsi="Times New Roman" w:cs="Times New Roman"/>
          <w:sz w:val="28"/>
          <w:szCs w:val="28"/>
        </w:rPr>
        <w:t xml:space="preserve">de </w:t>
      </w:r>
      <w:r w:rsidRPr="000149EE">
        <w:rPr>
          <w:rFonts w:ascii="Times New Roman" w:hAnsi="Times New Roman" w:cs="Times New Roman"/>
          <w:sz w:val="28"/>
          <w:szCs w:val="28"/>
        </w:rPr>
        <w:t xml:space="preserve">las disposiciones acusadas </w:t>
      </w:r>
      <w:r w:rsidRPr="000149EE">
        <w:rPr>
          <w:rFonts w:ascii="Times New Roman" w:hAnsi="Times New Roman" w:cs="Times New Roman"/>
          <w:sz w:val="28"/>
          <w:szCs w:val="28"/>
        </w:rPr>
        <w:t xml:space="preserve">se deriva un trato desfavorable </w:t>
      </w:r>
      <w:r w:rsidRPr="000149EE">
        <w:rPr>
          <w:rFonts w:ascii="Times New Roman" w:hAnsi="Times New Roman" w:cs="Times New Roman"/>
          <w:sz w:val="28"/>
          <w:szCs w:val="28"/>
        </w:rPr>
        <w:t xml:space="preserve">injustificado </w:t>
      </w:r>
      <w:r w:rsidRPr="000149EE">
        <w:rPr>
          <w:rFonts w:ascii="Times New Roman" w:hAnsi="Times New Roman" w:cs="Times New Roman"/>
          <w:sz w:val="28"/>
          <w:szCs w:val="28"/>
        </w:rPr>
        <w:t>que consiste en que</w:t>
      </w:r>
      <w:r w:rsidRPr="000149EE">
        <w:rPr>
          <w:rFonts w:ascii="Times New Roman" w:hAnsi="Times New Roman" w:cs="Times New Roman"/>
          <w:sz w:val="28"/>
          <w:szCs w:val="28"/>
        </w:rPr>
        <w:t xml:space="preserve"> a</w:t>
      </w:r>
      <w:r w:rsidRPr="000149EE">
        <w:rPr>
          <w:rFonts w:ascii="Times New Roman" w:hAnsi="Times New Roman" w:cs="Times New Roman"/>
          <w:sz w:val="28"/>
          <w:szCs w:val="28"/>
        </w:rPr>
        <w:t xml:space="preserve"> los usuarios industriales de zona franca que </w:t>
      </w:r>
      <w:r w:rsidRPr="000149EE">
        <w:rPr>
          <w:rFonts w:ascii="Times New Roman" w:hAnsi="Times New Roman" w:cs="Times New Roman"/>
          <w:bCs/>
          <w:iCs/>
          <w:sz w:val="28"/>
          <w:szCs w:val="28"/>
        </w:rPr>
        <w:t xml:space="preserve">no perciban ingresos provenientes de exportación o no hayan suscrito y cumplido el PIAV </w:t>
      </w:r>
      <w:r w:rsidRPr="000149EE">
        <w:rPr>
          <w:rFonts w:ascii="Times New Roman" w:hAnsi="Times New Roman" w:cs="Times New Roman"/>
          <w:sz w:val="28"/>
          <w:szCs w:val="28"/>
        </w:rPr>
        <w:t xml:space="preserve">les </w:t>
      </w:r>
      <w:r w:rsidRPr="000149EE">
        <w:rPr>
          <w:rFonts w:ascii="Times New Roman" w:hAnsi="Times New Roman" w:cs="Times New Roman"/>
          <w:sz w:val="28"/>
          <w:szCs w:val="28"/>
        </w:rPr>
        <w:t xml:space="preserve">es </w:t>
      </w:r>
      <w:r w:rsidRPr="000149EE">
        <w:rPr>
          <w:rFonts w:ascii="Times New Roman" w:hAnsi="Times New Roman" w:cs="Times New Roman"/>
          <w:sz w:val="28"/>
          <w:szCs w:val="28"/>
        </w:rPr>
        <w:t>aplicable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la</w:t>
      </w:r>
      <w:r w:rsidRPr="000149EE">
        <w:rPr>
          <w:rFonts w:ascii="Times New Roman" w:hAnsi="Times New Roman" w:cs="Times New Roman"/>
          <w:sz w:val="28"/>
          <w:szCs w:val="28"/>
        </w:rPr>
        <w:t xml:space="preserve"> tarifa </w:t>
      </w:r>
      <w:r w:rsidRPr="000149EE">
        <w:rPr>
          <w:rFonts w:ascii="Times New Roman" w:hAnsi="Times New Roman" w:cs="Times New Roman"/>
          <w:sz w:val="28"/>
          <w:szCs w:val="28"/>
        </w:rPr>
        <w:t xml:space="preserve">general (35%) </w:t>
      </w:r>
      <w:r w:rsidRPr="000149EE">
        <w:rPr>
          <w:rFonts w:ascii="Times New Roman" w:hAnsi="Times New Roman" w:cs="Times New Roman"/>
          <w:sz w:val="28"/>
          <w:szCs w:val="28"/>
        </w:rPr>
        <w:t>del impuest</w:t>
      </w:r>
      <w:r w:rsidRPr="000149EE">
        <w:rPr>
          <w:rFonts w:ascii="Times New Roman" w:hAnsi="Times New Roman" w:cs="Times New Roman"/>
          <w:sz w:val="28"/>
          <w:szCs w:val="28"/>
        </w:rPr>
        <w:t>o</w:t>
      </w:r>
      <w:r w:rsidRPr="000149EE">
        <w:rPr>
          <w:rFonts w:ascii="Times New Roman" w:hAnsi="Times New Roman" w:cs="Times New Roman"/>
          <w:sz w:val="28"/>
          <w:szCs w:val="28"/>
        </w:rPr>
        <w:t xml:space="preserve"> a la rent</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En contraste, </w:t>
      </w:r>
      <w:r w:rsidRPr="000149EE">
        <w:rPr>
          <w:rFonts w:ascii="Times New Roman" w:hAnsi="Times New Roman" w:cs="Times New Roman"/>
          <w:sz w:val="28"/>
          <w:szCs w:val="28"/>
        </w:rPr>
        <w:t>a los q</w:t>
      </w:r>
      <w:r w:rsidRPr="000149EE">
        <w:rPr>
          <w:rFonts w:ascii="Times New Roman" w:hAnsi="Times New Roman" w:cs="Times New Roman"/>
          <w:sz w:val="28"/>
          <w:szCs w:val="28"/>
        </w:rPr>
        <w:t xml:space="preserve">ue </w:t>
      </w:r>
      <w:r w:rsidRPr="000149EE">
        <w:rPr>
          <w:rFonts w:ascii="Times New Roman" w:hAnsi="Times New Roman" w:cs="Times New Roman"/>
          <w:sz w:val="28"/>
          <w:szCs w:val="28"/>
        </w:rPr>
        <w:t>perciban ingresos provenientes de exportación</w:t>
      </w:r>
      <w:r w:rsidRPr="000149EE">
        <w:rPr>
          <w:rFonts w:ascii="Times New Roman" w:hAnsi="Times New Roman" w:cs="Times New Roman"/>
          <w:sz w:val="28"/>
          <w:szCs w:val="28"/>
        </w:rPr>
        <w:t xml:space="preserve"> y</w:t>
      </w:r>
      <w:r w:rsidRPr="000149EE">
        <w:rPr>
          <w:rFonts w:ascii="Times New Roman" w:hAnsi="Times New Roman" w:cs="Times New Roman"/>
          <w:sz w:val="28"/>
          <w:szCs w:val="28"/>
        </w:rPr>
        <w:t xml:space="preserve"> hayan suscrito y cumplido el PIAV </w:t>
      </w:r>
      <w:r w:rsidRPr="000149EE">
        <w:rPr>
          <w:rFonts w:ascii="Times New Roman" w:hAnsi="Times New Roman" w:cs="Times New Roman"/>
          <w:sz w:val="28"/>
          <w:szCs w:val="28"/>
        </w:rPr>
        <w:t xml:space="preserve">les aplica una tarifa </w:t>
      </w:r>
      <w:r w:rsidRPr="000149EE">
        <w:rPr>
          <w:rFonts w:ascii="Times New Roman" w:hAnsi="Times New Roman" w:cs="Times New Roman"/>
          <w:sz w:val="28"/>
          <w:szCs w:val="28"/>
        </w:rPr>
        <w:t>inferior</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del 20%. </w:t>
      </w:r>
    </w:p>
    <w:p w:rsidR="00B80094"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Especificidad y pert</w:t>
      </w:r>
      <w:r w:rsidRPr="000149EE">
        <w:rPr>
          <w:rFonts w:ascii="Times New Roman" w:hAnsi="Times New Roman" w:cs="Times New Roman"/>
          <w:i/>
          <w:iCs/>
          <w:sz w:val="28"/>
          <w:szCs w:val="28"/>
        </w:rPr>
        <w:t>i</w:t>
      </w:r>
      <w:r w:rsidRPr="000149EE">
        <w:rPr>
          <w:rFonts w:ascii="Times New Roman" w:hAnsi="Times New Roman" w:cs="Times New Roman"/>
          <w:i/>
          <w:iCs/>
          <w:sz w:val="28"/>
          <w:szCs w:val="28"/>
        </w:rPr>
        <w:t>nencia</w:t>
      </w:r>
      <w:r w:rsidRPr="000149EE">
        <w:rPr>
          <w:rFonts w:ascii="Times New Roman" w:hAnsi="Times New Roman" w:cs="Times New Roman"/>
          <w:sz w:val="28"/>
          <w:szCs w:val="28"/>
        </w:rPr>
        <w:t>. El</w:t>
      </w:r>
      <w:r w:rsidRPr="000149EE">
        <w:rPr>
          <w:rFonts w:ascii="Times New Roman" w:hAnsi="Times New Roman" w:cs="Times New Roman"/>
          <w:sz w:val="28"/>
          <w:szCs w:val="28"/>
        </w:rPr>
        <w:t xml:space="preserve"> cargo </w:t>
      </w:r>
      <w:r w:rsidRPr="000149EE">
        <w:rPr>
          <w:rFonts w:ascii="Times New Roman" w:hAnsi="Times New Roman" w:cs="Times New Roman"/>
          <w:sz w:val="28"/>
          <w:szCs w:val="28"/>
        </w:rPr>
        <w:t xml:space="preserve">también es </w:t>
      </w:r>
      <w:r w:rsidRPr="000149EE">
        <w:rPr>
          <w:rFonts w:ascii="Times New Roman" w:hAnsi="Times New Roman" w:cs="Times New Roman"/>
          <w:sz w:val="28"/>
          <w:szCs w:val="28"/>
        </w:rPr>
        <w:t>específico</w:t>
      </w:r>
      <w:r w:rsidRPr="000149EE">
        <w:rPr>
          <w:rFonts w:ascii="Times New Roman" w:hAnsi="Times New Roman" w:cs="Times New Roman"/>
          <w:sz w:val="28"/>
          <w:szCs w:val="28"/>
        </w:rPr>
        <w:t xml:space="preserve"> y pertinente</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porque </w:t>
      </w:r>
      <w:r w:rsidRPr="000149EE">
        <w:rPr>
          <w:rFonts w:ascii="Times New Roman" w:hAnsi="Times New Roman" w:cs="Times New Roman"/>
          <w:sz w:val="28"/>
          <w:szCs w:val="28"/>
        </w:rPr>
        <w:t>se sustenta</w:t>
      </w:r>
      <w:r w:rsidRPr="000149EE">
        <w:rPr>
          <w:rFonts w:ascii="Times New Roman" w:hAnsi="Times New Roman" w:cs="Times New Roman"/>
          <w:sz w:val="28"/>
          <w:szCs w:val="28"/>
        </w:rPr>
        <w:t xml:space="preserve"> en argumentos precisos </w:t>
      </w:r>
      <w:r w:rsidRPr="000149EE">
        <w:rPr>
          <w:rFonts w:ascii="Times New Roman" w:hAnsi="Times New Roman" w:cs="Times New Roman"/>
          <w:sz w:val="28"/>
          <w:szCs w:val="28"/>
        </w:rPr>
        <w:t xml:space="preserve">de </w:t>
      </w:r>
      <w:r w:rsidRPr="000149EE">
        <w:rPr>
          <w:rFonts w:ascii="Times New Roman" w:hAnsi="Times New Roman" w:cs="Times New Roman"/>
          <w:sz w:val="28"/>
          <w:szCs w:val="28"/>
        </w:rPr>
        <w:t>constitucionalidad</w:t>
      </w:r>
      <w:r w:rsidRPr="000149EE">
        <w:rPr>
          <w:rFonts w:ascii="Times New Roman" w:hAnsi="Times New Roman" w:cs="Times New Roman"/>
          <w:sz w:val="28"/>
          <w:szCs w:val="28"/>
        </w:rPr>
        <w:t xml:space="preserve"> fundados en la jurisprudencia constitucional</w:t>
      </w:r>
      <w:r w:rsidRPr="000149EE">
        <w:rPr>
          <w:rStyle w:val="Refdenotaalpie"/>
          <w:rFonts w:ascii="Times New Roman" w:hAnsi="Times New Roman" w:cs="Times New Roman"/>
          <w:sz w:val="28"/>
          <w:szCs w:val="28"/>
        </w:rPr>
        <w:footnoteReference w:id="67"/>
      </w:r>
      <w:r w:rsidRPr="000149EE">
        <w:rPr>
          <w:rFonts w:ascii="Times New Roman" w:hAnsi="Times New Roman" w:cs="Times New Roman"/>
          <w:sz w:val="28"/>
          <w:szCs w:val="28"/>
        </w:rPr>
        <w:t xml:space="preserve"> -no de conveniencia o legalidad- </w:t>
      </w:r>
      <w:r w:rsidRPr="000149EE">
        <w:rPr>
          <w:rFonts w:ascii="Times New Roman" w:hAnsi="Times New Roman" w:cs="Times New Roman"/>
          <w:sz w:val="28"/>
          <w:szCs w:val="28"/>
        </w:rPr>
        <w:t xml:space="preserve">que, por lo menos </w:t>
      </w:r>
      <w:r w:rsidRPr="000149EE">
        <w:rPr>
          <w:rFonts w:ascii="Times New Roman" w:hAnsi="Times New Roman" w:cs="Times New Roman"/>
          <w:i/>
          <w:iCs/>
          <w:sz w:val="28"/>
          <w:szCs w:val="28"/>
        </w:rPr>
        <w:t>prima facie</w:t>
      </w:r>
      <w:r w:rsidRPr="000149EE">
        <w:rPr>
          <w:rFonts w:ascii="Times New Roman" w:hAnsi="Times New Roman" w:cs="Times New Roman"/>
          <w:sz w:val="28"/>
          <w:szCs w:val="28"/>
        </w:rPr>
        <w:t>, dan cuenta de una oposición entre la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disposiciones</w:t>
      </w:r>
      <w:r w:rsidRPr="000149EE">
        <w:rPr>
          <w:rFonts w:ascii="Times New Roman" w:hAnsi="Times New Roman" w:cs="Times New Roman"/>
          <w:sz w:val="28"/>
          <w:szCs w:val="28"/>
        </w:rPr>
        <w:t xml:space="preserve"> demandada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y los artículos 13</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y </w:t>
      </w:r>
      <w:r w:rsidRPr="000149EE">
        <w:rPr>
          <w:rFonts w:ascii="Times New Roman" w:hAnsi="Times New Roman" w:cs="Times New Roman"/>
          <w:sz w:val="28"/>
          <w:szCs w:val="28"/>
        </w:rPr>
        <w:t>363</w:t>
      </w:r>
      <w:r w:rsidRPr="000149EE">
        <w:rPr>
          <w:rFonts w:ascii="Times New Roman" w:hAnsi="Times New Roman" w:cs="Times New Roman"/>
          <w:sz w:val="28"/>
          <w:szCs w:val="28"/>
        </w:rPr>
        <w:t xml:space="preserve"> de la Constitución. </w:t>
      </w:r>
    </w:p>
    <w:p w:rsidR="00C91E5C"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Suficiencia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Por ú</w:t>
      </w:r>
      <w:r w:rsidRPr="000149EE">
        <w:rPr>
          <w:rFonts w:ascii="Times New Roman" w:hAnsi="Times New Roman" w:cs="Times New Roman"/>
          <w:sz w:val="28"/>
          <w:szCs w:val="28"/>
        </w:rPr>
        <w:t xml:space="preserve">ltimo, </w:t>
      </w:r>
      <w:r w:rsidRPr="000149EE">
        <w:rPr>
          <w:rFonts w:ascii="Times New Roman" w:hAnsi="Times New Roman" w:cs="Times New Roman"/>
          <w:sz w:val="28"/>
          <w:szCs w:val="28"/>
        </w:rPr>
        <w:t xml:space="preserve">la demanda satisface la carga de suficiencia </w:t>
      </w:r>
      <w:r w:rsidRPr="000149EE">
        <w:rPr>
          <w:rFonts w:ascii="Times New Roman" w:hAnsi="Times New Roman" w:cs="Times New Roman"/>
          <w:sz w:val="28"/>
          <w:szCs w:val="28"/>
        </w:rPr>
        <w:t>puesto que, por las razones expuestas, logra generar una duda mínima de constitucionalidad de la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disposiciones</w:t>
      </w:r>
      <w:r w:rsidRPr="000149EE">
        <w:rPr>
          <w:rFonts w:ascii="Times New Roman" w:hAnsi="Times New Roman" w:cs="Times New Roman"/>
          <w:sz w:val="28"/>
          <w:szCs w:val="28"/>
        </w:rPr>
        <w:t xml:space="preserve"> demandada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w:t>
      </w:r>
    </w:p>
    <w:p w:rsidR="00C91E5C" w:rsidRPr="000149EE" w:rsidRDefault="000149EE" w:rsidP="001A47E2">
      <w:pPr>
        <w:rPr>
          <w:rFonts w:ascii="Times New Roman" w:hAnsi="Times New Roman" w:cs="Times New Roman"/>
          <w:sz w:val="28"/>
          <w:szCs w:val="28"/>
        </w:rPr>
      </w:pPr>
    </w:p>
    <w:p w:rsidR="0059745B" w:rsidRPr="000149EE" w:rsidRDefault="000149EE" w:rsidP="009D4F8D">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sz w:val="28"/>
          <w:szCs w:val="28"/>
          <w:lang w:eastAsia="es-ES"/>
        </w:rPr>
        <w:t>Ahora bien,</w:t>
      </w:r>
      <w:r w:rsidRPr="000149EE">
        <w:rPr>
          <w:rFonts w:ascii="Times New Roman" w:hAnsi="Times New Roman" w:cs="Times New Roman"/>
          <w:sz w:val="28"/>
          <w:szCs w:val="28"/>
          <w:lang w:eastAsia="es-ES"/>
        </w:rPr>
        <w:t xml:space="preserve"> la Sala advierte que</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 xml:space="preserve"> para</w:t>
      </w:r>
      <w:r w:rsidRPr="000149EE">
        <w:rPr>
          <w:rFonts w:ascii="Times New Roman" w:hAnsi="Times New Roman" w:cs="Times New Roman"/>
          <w:sz w:val="28"/>
          <w:szCs w:val="28"/>
          <w:lang w:eastAsia="es-ES"/>
        </w:rPr>
        <w:t xml:space="preserve"> la ANDI</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 xml:space="preserve">la demanda </w:t>
      </w:r>
      <w:r w:rsidRPr="000149EE">
        <w:rPr>
          <w:rFonts w:ascii="Times New Roman" w:hAnsi="Times New Roman" w:cs="Times New Roman"/>
          <w:sz w:val="28"/>
          <w:szCs w:val="28"/>
          <w:lang w:eastAsia="es-ES"/>
        </w:rPr>
        <w:t>no es apta</w:t>
      </w:r>
      <w:r w:rsidRPr="000149EE">
        <w:rPr>
          <w:rFonts w:ascii="Times New Roman" w:hAnsi="Times New Roman" w:cs="Times New Roman"/>
          <w:sz w:val="28"/>
          <w:szCs w:val="28"/>
          <w:lang w:eastAsia="es-ES"/>
        </w:rPr>
        <w:t>. Esto,</w:t>
      </w:r>
      <w:r w:rsidRPr="000149EE">
        <w:rPr>
          <w:rFonts w:ascii="Times New Roman" w:hAnsi="Times New Roman" w:cs="Times New Roman"/>
          <w:sz w:val="28"/>
          <w:szCs w:val="28"/>
          <w:lang w:eastAsia="es-ES"/>
        </w:rPr>
        <w:t xml:space="preserve"> porque</w:t>
      </w:r>
      <w:r w:rsidRPr="000149EE">
        <w:rPr>
          <w:rFonts w:ascii="Times New Roman" w:hAnsi="Times New Roman" w:cs="Times New Roman"/>
          <w:sz w:val="28"/>
          <w:szCs w:val="28"/>
          <w:lang w:eastAsia="es-ES"/>
        </w:rPr>
        <w:t xml:space="preserve"> no tiene en cuenta que hay usuarios que por su naturaleza </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deben prestar sus servicios o vender sus bienes en el mercado local por mandato legal</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 xml:space="preserve">, de manera que </w:t>
      </w:r>
      <w:r w:rsidRPr="000149EE">
        <w:rPr>
          <w:rFonts w:ascii="Times New Roman" w:hAnsi="Times New Roman" w:cs="Times New Roman"/>
          <w:sz w:val="28"/>
          <w:szCs w:val="28"/>
          <w:lang w:eastAsia="es-ES"/>
        </w:rPr>
        <w:t>están imposibilitados para “aplicar parámetros de internacionalización”</w:t>
      </w:r>
      <w:r w:rsidRPr="000149EE">
        <w:rPr>
          <w:rFonts w:ascii="Times New Roman" w:hAnsi="Times New Roman" w:cs="Times New Roman"/>
          <w:sz w:val="28"/>
          <w:szCs w:val="28"/>
          <w:lang w:eastAsia="es-ES"/>
        </w:rPr>
        <w:t xml:space="preserve">. Además, </w:t>
      </w:r>
      <w:r w:rsidRPr="000149EE">
        <w:rPr>
          <w:rFonts w:ascii="Times New Roman" w:hAnsi="Times New Roman" w:cs="Times New Roman"/>
          <w:sz w:val="28"/>
          <w:szCs w:val="28"/>
          <w:lang w:eastAsia="es-ES"/>
        </w:rPr>
        <w:t xml:space="preserve">según </w:t>
      </w:r>
      <w:r w:rsidRPr="000149EE">
        <w:rPr>
          <w:rFonts w:ascii="Times New Roman" w:hAnsi="Times New Roman" w:cs="Times New Roman"/>
          <w:sz w:val="28"/>
          <w:szCs w:val="28"/>
          <w:lang w:eastAsia="es-ES"/>
        </w:rPr>
        <w:t xml:space="preserve">la interviniente, ignora que </w:t>
      </w:r>
      <w:r w:rsidRPr="000149EE">
        <w:rPr>
          <w:rFonts w:ascii="Times New Roman" w:hAnsi="Times New Roman" w:cs="Times New Roman"/>
          <w:sz w:val="28"/>
          <w:szCs w:val="28"/>
          <w:lang w:eastAsia="es-ES"/>
        </w:rPr>
        <w:t>algunos usuarios</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realizan “</w:t>
      </w:r>
      <w:r w:rsidRPr="000149EE">
        <w:rPr>
          <w:rFonts w:ascii="Times New Roman" w:hAnsi="Times New Roman" w:cs="Times New Roman"/>
          <w:sz w:val="28"/>
          <w:szCs w:val="28"/>
          <w:lang w:eastAsia="es-ES"/>
        </w:rPr>
        <w:t>actividades estratégicas para el desarrollo del régimen franco</w:t>
      </w:r>
      <w:r w:rsidRPr="000149EE">
        <w:rPr>
          <w:rFonts w:ascii="Times New Roman" w:hAnsi="Times New Roman" w:cs="Times New Roman"/>
          <w:sz w:val="28"/>
          <w:szCs w:val="28"/>
          <w:lang w:eastAsia="es-ES"/>
        </w:rPr>
        <w:t xml:space="preserve"> [por lo que]</w:t>
      </w:r>
      <w:r w:rsidRPr="000149EE">
        <w:rPr>
          <w:rFonts w:ascii="Times New Roman" w:hAnsi="Times New Roman" w:cs="Times New Roman"/>
          <w:sz w:val="28"/>
          <w:szCs w:val="28"/>
          <w:lang w:eastAsia="es-ES"/>
        </w:rPr>
        <w:t xml:space="preserve"> tienen un tratamiento diferencial</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 xml:space="preserve">La Sala no comparte el argumento de la interviniente por </w:t>
      </w:r>
      <w:r w:rsidRPr="000149EE">
        <w:rPr>
          <w:rFonts w:ascii="Times New Roman" w:hAnsi="Times New Roman" w:cs="Times New Roman"/>
          <w:sz w:val="28"/>
          <w:szCs w:val="28"/>
          <w:lang w:eastAsia="es-ES"/>
        </w:rPr>
        <w:t xml:space="preserve">dos razones. Primero, </w:t>
      </w:r>
      <w:r w:rsidRPr="000149EE">
        <w:rPr>
          <w:rFonts w:ascii="Times New Roman" w:hAnsi="Times New Roman" w:cs="Times New Roman"/>
          <w:sz w:val="28"/>
          <w:szCs w:val="28"/>
          <w:lang w:eastAsia="es-ES"/>
        </w:rPr>
        <w:t xml:space="preserve">la ANDI </w:t>
      </w:r>
      <w:r w:rsidRPr="000149EE">
        <w:rPr>
          <w:rFonts w:ascii="Times New Roman" w:hAnsi="Times New Roman" w:cs="Times New Roman"/>
          <w:sz w:val="28"/>
          <w:szCs w:val="28"/>
          <w:lang w:eastAsia="es-ES"/>
        </w:rPr>
        <w:t>n</w:t>
      </w:r>
      <w:r w:rsidRPr="000149EE">
        <w:rPr>
          <w:rFonts w:ascii="Times New Roman" w:hAnsi="Times New Roman" w:cs="Times New Roman"/>
          <w:sz w:val="28"/>
          <w:szCs w:val="28"/>
          <w:lang w:eastAsia="es-ES"/>
        </w:rPr>
        <w:t xml:space="preserve">o </w:t>
      </w:r>
      <w:r w:rsidRPr="000149EE">
        <w:rPr>
          <w:rFonts w:ascii="Times New Roman" w:hAnsi="Times New Roman" w:cs="Times New Roman"/>
          <w:sz w:val="28"/>
          <w:szCs w:val="28"/>
          <w:lang w:eastAsia="es-ES"/>
        </w:rPr>
        <w:t>indicó</w:t>
      </w:r>
      <w:r w:rsidRPr="000149EE">
        <w:rPr>
          <w:rFonts w:ascii="Times New Roman" w:hAnsi="Times New Roman" w:cs="Times New Roman"/>
          <w:i/>
          <w:iCs/>
          <w:sz w:val="28"/>
          <w:szCs w:val="28"/>
          <w:lang w:eastAsia="es-ES"/>
        </w:rPr>
        <w:t xml:space="preserve"> </w:t>
      </w:r>
      <w:r w:rsidRPr="000149EE">
        <w:rPr>
          <w:rFonts w:ascii="Times New Roman" w:hAnsi="Times New Roman" w:cs="Times New Roman"/>
          <w:sz w:val="28"/>
          <w:szCs w:val="28"/>
          <w:lang w:eastAsia="es-ES"/>
        </w:rPr>
        <w:t>cuáles son los mandatos legales que</w:t>
      </w:r>
      <w:r w:rsidRPr="000149EE">
        <w:rPr>
          <w:rFonts w:ascii="Times New Roman" w:hAnsi="Times New Roman" w:cs="Times New Roman"/>
          <w:sz w:val="28"/>
          <w:szCs w:val="28"/>
          <w:lang w:eastAsia="es-ES"/>
        </w:rPr>
        <w:t>, según afirma,</w:t>
      </w:r>
      <w:r w:rsidRPr="000149EE">
        <w:rPr>
          <w:rFonts w:ascii="Times New Roman" w:hAnsi="Times New Roman" w:cs="Times New Roman"/>
          <w:sz w:val="28"/>
          <w:szCs w:val="28"/>
          <w:lang w:eastAsia="es-ES"/>
        </w:rPr>
        <w:t xml:space="preserve"> impiden que alg</w:t>
      </w:r>
      <w:r w:rsidRPr="000149EE">
        <w:rPr>
          <w:rFonts w:ascii="Times New Roman" w:hAnsi="Times New Roman" w:cs="Times New Roman"/>
          <w:sz w:val="28"/>
          <w:szCs w:val="28"/>
          <w:lang w:eastAsia="es-ES"/>
        </w:rPr>
        <w:t>u</w:t>
      </w:r>
      <w:r w:rsidRPr="000149EE">
        <w:rPr>
          <w:rFonts w:ascii="Times New Roman" w:hAnsi="Times New Roman" w:cs="Times New Roman"/>
          <w:sz w:val="28"/>
          <w:szCs w:val="28"/>
          <w:lang w:eastAsia="es-ES"/>
        </w:rPr>
        <w:t>n</w:t>
      </w:r>
      <w:r w:rsidRPr="000149EE">
        <w:rPr>
          <w:rFonts w:ascii="Times New Roman" w:hAnsi="Times New Roman" w:cs="Times New Roman"/>
          <w:sz w:val="28"/>
          <w:szCs w:val="28"/>
          <w:lang w:eastAsia="es-ES"/>
        </w:rPr>
        <w:t>os</w:t>
      </w:r>
      <w:r w:rsidRPr="000149EE">
        <w:rPr>
          <w:rFonts w:ascii="Times New Roman" w:hAnsi="Times New Roman" w:cs="Times New Roman"/>
          <w:sz w:val="28"/>
          <w:szCs w:val="28"/>
          <w:lang w:eastAsia="es-ES"/>
        </w:rPr>
        <w:t xml:space="preserve"> usuario</w:t>
      </w:r>
      <w:r w:rsidRPr="000149EE">
        <w:rPr>
          <w:rFonts w:ascii="Times New Roman" w:hAnsi="Times New Roman" w:cs="Times New Roman"/>
          <w:sz w:val="28"/>
          <w:szCs w:val="28"/>
          <w:lang w:eastAsia="es-ES"/>
        </w:rPr>
        <w:t>s</w:t>
      </w:r>
      <w:r w:rsidRPr="000149EE">
        <w:rPr>
          <w:rFonts w:ascii="Times New Roman" w:hAnsi="Times New Roman" w:cs="Times New Roman"/>
          <w:sz w:val="28"/>
          <w:szCs w:val="28"/>
          <w:lang w:eastAsia="es-ES"/>
        </w:rPr>
        <w:t xml:space="preserve"> industrial</w:t>
      </w:r>
      <w:r w:rsidRPr="000149EE">
        <w:rPr>
          <w:rFonts w:ascii="Times New Roman" w:hAnsi="Times New Roman" w:cs="Times New Roman"/>
          <w:sz w:val="28"/>
          <w:szCs w:val="28"/>
          <w:lang w:eastAsia="es-ES"/>
        </w:rPr>
        <w:t>es</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exporte</w:t>
      </w:r>
      <w:r w:rsidRPr="000149EE">
        <w:rPr>
          <w:rFonts w:ascii="Times New Roman" w:hAnsi="Times New Roman" w:cs="Times New Roman"/>
          <w:sz w:val="28"/>
          <w:szCs w:val="28"/>
          <w:lang w:eastAsia="es-ES"/>
        </w:rPr>
        <w:t>n</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tampoco</w:t>
      </w:r>
      <w:r w:rsidRPr="000149EE">
        <w:rPr>
          <w:rFonts w:ascii="Times New Roman" w:hAnsi="Times New Roman" w:cs="Times New Roman"/>
          <w:sz w:val="28"/>
          <w:szCs w:val="28"/>
          <w:lang w:eastAsia="es-ES"/>
        </w:rPr>
        <w:t xml:space="preserve"> explicó cuáles son los parámetros </w:t>
      </w:r>
      <w:r w:rsidRPr="000149EE">
        <w:rPr>
          <w:rFonts w:ascii="Times New Roman" w:hAnsi="Times New Roman" w:cs="Times New Roman"/>
          <w:sz w:val="28"/>
          <w:szCs w:val="28"/>
          <w:lang w:eastAsia="es-ES"/>
        </w:rPr>
        <w:t xml:space="preserve">de internacionalización que no podrían </w:t>
      </w:r>
      <w:r w:rsidRPr="000149EE">
        <w:rPr>
          <w:rFonts w:ascii="Times New Roman" w:hAnsi="Times New Roman" w:cs="Times New Roman"/>
          <w:sz w:val="28"/>
          <w:szCs w:val="28"/>
          <w:lang w:eastAsia="es-ES"/>
        </w:rPr>
        <w:t xml:space="preserve">aplicar. Segundo, incluso de aceptar que la alegación que </w:t>
      </w:r>
      <w:r w:rsidRPr="000149EE">
        <w:rPr>
          <w:rFonts w:ascii="Times New Roman" w:hAnsi="Times New Roman" w:cs="Times New Roman"/>
          <w:sz w:val="28"/>
          <w:szCs w:val="28"/>
          <w:lang w:eastAsia="es-ES"/>
        </w:rPr>
        <w:t>sostiene es cierta, ello no demuestra la ineptitud del cargo. Por el contrario, da cuenta de</w:t>
      </w:r>
      <w:r w:rsidRPr="000149EE">
        <w:rPr>
          <w:rFonts w:ascii="Times New Roman" w:hAnsi="Times New Roman" w:cs="Times New Roman"/>
          <w:sz w:val="28"/>
          <w:szCs w:val="28"/>
          <w:lang w:eastAsia="es-ES"/>
        </w:rPr>
        <w:t xml:space="preserve"> que las disposiciones acusadas prevén un trato diferenciado que </w:t>
      </w:r>
      <w:r w:rsidRPr="000149EE">
        <w:rPr>
          <w:rFonts w:ascii="Times New Roman" w:hAnsi="Times New Roman" w:cs="Times New Roman"/>
          <w:sz w:val="28"/>
          <w:szCs w:val="28"/>
          <w:lang w:eastAsia="es-ES"/>
        </w:rPr>
        <w:t xml:space="preserve">podría </w:t>
      </w:r>
      <w:r w:rsidRPr="000149EE">
        <w:rPr>
          <w:rFonts w:ascii="Times New Roman" w:hAnsi="Times New Roman" w:cs="Times New Roman"/>
          <w:sz w:val="28"/>
          <w:szCs w:val="28"/>
          <w:lang w:eastAsia="es-ES"/>
        </w:rPr>
        <w:t>perjudica</w:t>
      </w:r>
      <w:r w:rsidRPr="000149EE">
        <w:rPr>
          <w:rFonts w:ascii="Times New Roman" w:hAnsi="Times New Roman" w:cs="Times New Roman"/>
          <w:sz w:val="28"/>
          <w:szCs w:val="28"/>
          <w:lang w:eastAsia="es-ES"/>
        </w:rPr>
        <w:t>r</w:t>
      </w:r>
      <w:r w:rsidRPr="000149EE">
        <w:rPr>
          <w:rFonts w:ascii="Times New Roman" w:hAnsi="Times New Roman" w:cs="Times New Roman"/>
          <w:sz w:val="28"/>
          <w:szCs w:val="28"/>
          <w:lang w:eastAsia="es-ES"/>
        </w:rPr>
        <w:t xml:space="preserve"> a</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 xml:space="preserve">los </w:t>
      </w:r>
      <w:r w:rsidRPr="000149EE">
        <w:rPr>
          <w:rFonts w:ascii="Times New Roman" w:hAnsi="Times New Roman" w:cs="Times New Roman"/>
          <w:sz w:val="28"/>
          <w:szCs w:val="28"/>
          <w:lang w:eastAsia="es-ES"/>
        </w:rPr>
        <w:t xml:space="preserve">usuarios </w:t>
      </w:r>
      <w:r w:rsidRPr="000149EE">
        <w:rPr>
          <w:rFonts w:ascii="Times New Roman" w:hAnsi="Times New Roman" w:cs="Times New Roman"/>
          <w:sz w:val="28"/>
          <w:szCs w:val="28"/>
          <w:lang w:eastAsia="es-ES"/>
        </w:rPr>
        <w:t>que se encuentran imposibilitados</w:t>
      </w:r>
      <w:r w:rsidRPr="000149EE">
        <w:rPr>
          <w:rFonts w:ascii="Times New Roman" w:hAnsi="Times New Roman" w:cs="Times New Roman"/>
          <w:sz w:val="28"/>
          <w:szCs w:val="28"/>
          <w:lang w:eastAsia="es-ES"/>
        </w:rPr>
        <w:t xml:space="preserve"> para exportar</w:t>
      </w:r>
      <w:r w:rsidRPr="000149EE">
        <w:rPr>
          <w:rFonts w:ascii="Times New Roman" w:hAnsi="Times New Roman" w:cs="Times New Roman"/>
          <w:sz w:val="28"/>
          <w:szCs w:val="28"/>
          <w:lang w:eastAsia="es-ES"/>
        </w:rPr>
        <w:t>.</w:t>
      </w:r>
    </w:p>
    <w:p w:rsidR="0059745B" w:rsidRPr="000149EE" w:rsidRDefault="000149EE" w:rsidP="001A47E2">
      <w:pPr>
        <w:pStyle w:val="Prrafodelista"/>
        <w:widowControl w:val="0"/>
        <w:spacing w:line="240" w:lineRule="auto"/>
        <w:ind w:left="0"/>
        <w:rPr>
          <w:rFonts w:ascii="Times New Roman" w:hAnsi="Times New Roman"/>
          <w:sz w:val="28"/>
          <w:lang w:eastAsia="es-ES"/>
        </w:rPr>
      </w:pPr>
    </w:p>
    <w:p w:rsidR="006264D2" w:rsidRPr="000149EE" w:rsidRDefault="000149EE" w:rsidP="009D4F8D">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sz w:val="28"/>
          <w:szCs w:val="28"/>
        </w:rPr>
        <w:t xml:space="preserve">(b) </w:t>
      </w:r>
      <w:r w:rsidRPr="000149EE">
        <w:rPr>
          <w:rFonts w:ascii="Times New Roman" w:hAnsi="Times New Roman" w:cs="Times New Roman"/>
          <w:sz w:val="28"/>
          <w:szCs w:val="28"/>
          <w:u w:val="single"/>
        </w:rPr>
        <w:t xml:space="preserve">Exigencias </w:t>
      </w:r>
      <w:r w:rsidRPr="000149EE">
        <w:rPr>
          <w:rFonts w:ascii="Times New Roman" w:hAnsi="Times New Roman" w:cs="Times New Roman"/>
          <w:sz w:val="28"/>
          <w:szCs w:val="28"/>
          <w:u w:val="single"/>
        </w:rPr>
        <w:t>argumentativas específicas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La</w:t>
      </w:r>
      <w:r w:rsidRPr="000149EE">
        <w:rPr>
          <w:rFonts w:ascii="Times New Roman" w:hAnsi="Times New Roman" w:cs="Times New Roman"/>
          <w:sz w:val="28"/>
          <w:szCs w:val="28"/>
        </w:rPr>
        <w:t xml:space="preserve"> Sala Plena considera que la demanda satisface las exigencias específicas de los cargos por vulneración </w:t>
      </w:r>
      <w:r w:rsidRPr="000149EE">
        <w:rPr>
          <w:rFonts w:ascii="Times New Roman" w:hAnsi="Times New Roman" w:cs="Times New Roman"/>
          <w:sz w:val="28"/>
          <w:szCs w:val="28"/>
        </w:rPr>
        <w:t>de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l</w:t>
      </w:r>
      <w:r w:rsidRPr="000149EE">
        <w:rPr>
          <w:rFonts w:ascii="Times New Roman" w:hAnsi="Times New Roman" w:cs="Times New Roman"/>
          <w:sz w:val="28"/>
          <w:szCs w:val="28"/>
        </w:rPr>
        <w:t>os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principios</w:t>
      </w:r>
      <w:r w:rsidRPr="000149EE">
        <w:rPr>
          <w:rFonts w:ascii="Times New Roman" w:hAnsi="Times New Roman" w:cs="Times New Roman"/>
          <w:sz w:val="28"/>
          <w:szCs w:val="28"/>
        </w:rPr>
        <w:t xml:space="preserve"> de igualdad</w:t>
      </w:r>
      <w:r w:rsidRPr="000149EE">
        <w:rPr>
          <w:rFonts w:ascii="Times New Roman" w:hAnsi="Times New Roman" w:cs="Times New Roman"/>
          <w:sz w:val="28"/>
          <w:szCs w:val="28"/>
        </w:rPr>
        <w:t xml:space="preserve"> y equidad tributaria. Esto, porque</w:t>
      </w:r>
      <w:r w:rsidRPr="000149EE">
        <w:rPr>
          <w:rFonts w:ascii="Times New Roman" w:hAnsi="Times New Roman" w:cs="Times New Roman"/>
          <w:sz w:val="28"/>
          <w:szCs w:val="28"/>
        </w:rPr>
        <w:t xml:space="preserve"> l</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demandante identificó los sujetos </w:t>
      </w:r>
      <w:r w:rsidRPr="000149EE">
        <w:rPr>
          <w:rFonts w:ascii="Times New Roman" w:hAnsi="Times New Roman" w:cs="Times New Roman"/>
          <w:sz w:val="28"/>
          <w:szCs w:val="28"/>
        </w:rPr>
        <w:t xml:space="preserve">comparables y el </w:t>
      </w:r>
      <w:r w:rsidRPr="000149EE">
        <w:rPr>
          <w:rFonts w:ascii="Times New Roman" w:hAnsi="Times New Roman" w:cs="Times New Roman"/>
          <w:i/>
          <w:iCs/>
          <w:sz w:val="28"/>
          <w:szCs w:val="28"/>
        </w:rPr>
        <w:t>ter</w:t>
      </w:r>
      <w:r w:rsidRPr="000149EE">
        <w:rPr>
          <w:rFonts w:ascii="Times New Roman" w:hAnsi="Times New Roman" w:cs="Times New Roman"/>
          <w:i/>
          <w:iCs/>
          <w:sz w:val="28"/>
          <w:szCs w:val="28"/>
        </w:rPr>
        <w:t>tium comparationis</w:t>
      </w:r>
      <w:r w:rsidRPr="000149EE">
        <w:rPr>
          <w:rFonts w:ascii="Times New Roman" w:hAnsi="Times New Roman" w:cs="Times New Roman"/>
          <w:sz w:val="28"/>
          <w:szCs w:val="28"/>
        </w:rPr>
        <w:t>, señaló</w:t>
      </w:r>
      <w:r w:rsidRPr="000149EE">
        <w:rPr>
          <w:rFonts w:ascii="Times New Roman" w:hAnsi="Times New Roman" w:cs="Times New Roman"/>
          <w:sz w:val="28"/>
          <w:szCs w:val="28"/>
        </w:rPr>
        <w:t xml:space="preserve"> el trato diferente </w:t>
      </w:r>
      <w:r w:rsidRPr="000149EE">
        <w:rPr>
          <w:rFonts w:ascii="Times New Roman" w:hAnsi="Times New Roman" w:cs="Times New Roman"/>
          <w:sz w:val="28"/>
          <w:szCs w:val="28"/>
        </w:rPr>
        <w:t xml:space="preserve">denunciado y expuso las razones por las cuales considera que carece de justificación constitucional: </w:t>
      </w:r>
    </w:p>
    <w:p w:rsidR="006264D2" w:rsidRPr="000149EE" w:rsidRDefault="000149EE" w:rsidP="001A47E2">
      <w:pPr>
        <w:pStyle w:val="Prrafodelista"/>
        <w:widowControl w:val="0"/>
        <w:spacing w:line="240" w:lineRule="auto"/>
        <w:ind w:left="0"/>
        <w:rPr>
          <w:rFonts w:ascii="Times New Roman" w:hAnsi="Times New Roman"/>
          <w:sz w:val="28"/>
          <w:lang w:eastAsia="es-ES"/>
        </w:rPr>
      </w:pPr>
    </w:p>
    <w:p w:rsidR="00070252" w:rsidRPr="000149EE" w:rsidRDefault="000149EE" w:rsidP="009D4F8D">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i/>
          <w:iCs/>
          <w:sz w:val="28"/>
          <w:szCs w:val="28"/>
        </w:rPr>
        <w:t>Sujetos comparables</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En e</w:t>
      </w:r>
      <w:r w:rsidRPr="000149EE">
        <w:rPr>
          <w:rFonts w:ascii="Times New Roman" w:hAnsi="Times New Roman" w:cs="Times New Roman"/>
          <w:sz w:val="28"/>
          <w:szCs w:val="28"/>
        </w:rPr>
        <w:t>l escrito de</w:t>
      </w:r>
      <w:r w:rsidRPr="000149EE">
        <w:rPr>
          <w:rFonts w:ascii="Times New Roman" w:hAnsi="Times New Roman" w:cs="Times New Roman"/>
          <w:sz w:val="28"/>
          <w:szCs w:val="28"/>
        </w:rPr>
        <w:t xml:space="preserve"> demanda, así como en el de</w:t>
      </w:r>
      <w:r w:rsidRPr="000149EE">
        <w:rPr>
          <w:rFonts w:ascii="Times New Roman" w:hAnsi="Times New Roman" w:cs="Times New Roman"/>
          <w:sz w:val="28"/>
          <w:szCs w:val="28"/>
        </w:rPr>
        <w:t xml:space="preserve"> corrección, l</w:t>
      </w:r>
      <w:r w:rsidRPr="000149EE">
        <w:rPr>
          <w:rFonts w:ascii="Times New Roman" w:hAnsi="Times New Roman" w:cs="Times New Roman"/>
          <w:sz w:val="28"/>
          <w:szCs w:val="28"/>
        </w:rPr>
        <w:t>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actora</w:t>
      </w:r>
      <w:r w:rsidRPr="000149EE">
        <w:rPr>
          <w:rFonts w:ascii="Times New Roman" w:hAnsi="Times New Roman" w:cs="Times New Roman"/>
          <w:sz w:val="28"/>
          <w:szCs w:val="28"/>
        </w:rPr>
        <w:t xml:space="preserve"> </w:t>
      </w:r>
      <w:r w:rsidRPr="000149EE">
        <w:rPr>
          <w:rFonts w:ascii="Times New Roman" w:hAnsi="Times New Roman" w:cs="Times New Roman"/>
          <w:sz w:val="28"/>
          <w:szCs w:val="28"/>
          <w:lang w:eastAsia="es-ES"/>
        </w:rPr>
        <w:t>identific</w:t>
      </w:r>
      <w:r w:rsidRPr="000149EE">
        <w:rPr>
          <w:rFonts w:ascii="Times New Roman" w:hAnsi="Times New Roman" w:cs="Times New Roman"/>
          <w:sz w:val="28"/>
          <w:szCs w:val="28"/>
          <w:lang w:eastAsia="es-ES"/>
        </w:rPr>
        <w:t>ó</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 xml:space="preserve">los </w:t>
      </w:r>
      <w:r w:rsidRPr="000149EE">
        <w:rPr>
          <w:rFonts w:ascii="Times New Roman" w:hAnsi="Times New Roman" w:cs="Times New Roman"/>
          <w:sz w:val="28"/>
          <w:szCs w:val="28"/>
          <w:lang w:eastAsia="es-ES"/>
        </w:rPr>
        <w:t>sujetos comparables</w:t>
      </w:r>
      <w:r w:rsidRPr="000149EE">
        <w:rPr>
          <w:rFonts w:ascii="Times New Roman" w:hAnsi="Times New Roman" w:cs="Times New Roman"/>
          <w:sz w:val="28"/>
          <w:szCs w:val="28"/>
          <w:lang w:eastAsia="es-ES"/>
        </w:rPr>
        <w:t xml:space="preserve">: usuarios industriales de zona franca que exportan y usuarios industriales de zona franca que no tienen “vocación exportadora”. Asimismo, identificó el </w:t>
      </w:r>
      <w:r w:rsidRPr="000149EE">
        <w:rPr>
          <w:rFonts w:ascii="Times New Roman" w:hAnsi="Times New Roman" w:cs="Times New Roman"/>
          <w:i/>
          <w:iCs/>
          <w:sz w:val="28"/>
          <w:szCs w:val="28"/>
          <w:lang w:eastAsia="es-ES"/>
        </w:rPr>
        <w:t>tertium comparationis</w:t>
      </w:r>
      <w:r w:rsidRPr="000149EE">
        <w:rPr>
          <w:rFonts w:ascii="Times New Roman" w:hAnsi="Times New Roman" w:cs="Times New Roman"/>
          <w:sz w:val="28"/>
          <w:szCs w:val="28"/>
          <w:lang w:eastAsia="es-ES"/>
        </w:rPr>
        <w:t>, en la medida en que indicó que</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los criterios de comparación r</w:t>
      </w:r>
      <w:r w:rsidRPr="000149EE">
        <w:rPr>
          <w:rFonts w:ascii="Times New Roman" w:hAnsi="Times New Roman" w:cs="Times New Roman"/>
          <w:sz w:val="28"/>
          <w:szCs w:val="28"/>
          <w:lang w:eastAsia="es-ES"/>
        </w:rPr>
        <w:t>elevantes entre estos sujetos eran</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 xml:space="preserve">su </w:t>
      </w:r>
      <w:r w:rsidRPr="000149EE">
        <w:rPr>
          <w:rFonts w:ascii="Times New Roman" w:hAnsi="Times New Roman" w:cs="Times New Roman"/>
          <w:sz w:val="28"/>
          <w:szCs w:val="28"/>
          <w:lang w:eastAsia="es-ES"/>
        </w:rPr>
        <w:t>naturaleza, actividad económica y régimen jurídico aplicable</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(ver párr. 11</w:t>
      </w:r>
      <w:r w:rsidRPr="000149EE">
        <w:rPr>
          <w:rFonts w:ascii="Times New Roman" w:hAnsi="Times New Roman" w:cs="Times New Roman"/>
          <w:sz w:val="28"/>
          <w:szCs w:val="28"/>
          <w:lang w:eastAsia="es-ES"/>
        </w:rPr>
        <w:t xml:space="preserve"> a 14</w:t>
      </w:r>
      <w:r w:rsidRPr="000149EE">
        <w:rPr>
          <w:rFonts w:ascii="Times New Roman" w:hAnsi="Times New Roman" w:cs="Times New Roman"/>
          <w:sz w:val="28"/>
          <w:szCs w:val="28"/>
          <w:lang w:eastAsia="es-ES"/>
        </w:rPr>
        <w:t xml:space="preserve"> </w:t>
      </w:r>
      <w:r w:rsidRPr="000149EE">
        <w:rPr>
          <w:rFonts w:ascii="Times New Roman" w:hAnsi="Times New Roman" w:cs="Times New Roman"/>
          <w:i/>
          <w:iCs/>
          <w:sz w:val="28"/>
          <w:szCs w:val="28"/>
          <w:lang w:eastAsia="es-ES"/>
        </w:rPr>
        <w:t>supra</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 xml:space="preserve"> </w:t>
      </w:r>
    </w:p>
    <w:p w:rsidR="00070252" w:rsidRPr="000149EE" w:rsidRDefault="000149EE" w:rsidP="001A47E2">
      <w:pPr>
        <w:pStyle w:val="Prrafodelista"/>
        <w:widowControl w:val="0"/>
        <w:spacing w:line="240" w:lineRule="auto"/>
        <w:ind w:left="0"/>
        <w:rPr>
          <w:rFonts w:ascii="Times New Roman" w:hAnsi="Times New Roman"/>
          <w:sz w:val="28"/>
          <w:lang w:eastAsia="es-ES"/>
        </w:rPr>
      </w:pPr>
    </w:p>
    <w:p w:rsidR="004525C3" w:rsidRPr="000149EE" w:rsidRDefault="000149EE" w:rsidP="009D4F8D">
      <w:pPr>
        <w:numPr>
          <w:ilvl w:val="0"/>
          <w:numId w:val="3"/>
        </w:numPr>
        <w:tabs>
          <w:tab w:val="left" w:pos="567"/>
        </w:tabs>
        <w:ind w:left="0" w:firstLine="0"/>
        <w:rPr>
          <w:rFonts w:ascii="Times New Roman" w:hAnsi="Times New Roman" w:cs="Times New Roman"/>
          <w:iCs/>
          <w:sz w:val="28"/>
          <w:szCs w:val="28"/>
        </w:rPr>
      </w:pPr>
      <w:r w:rsidRPr="000149EE">
        <w:rPr>
          <w:rFonts w:ascii="Times New Roman" w:hAnsi="Times New Roman" w:cs="Times New Roman"/>
          <w:i/>
          <w:iCs/>
          <w:sz w:val="28"/>
          <w:szCs w:val="28"/>
          <w:lang w:eastAsia="es-ES"/>
        </w:rPr>
        <w:t>Trato diferente</w:t>
      </w:r>
      <w:r w:rsidRPr="000149EE">
        <w:rPr>
          <w:rFonts w:ascii="Times New Roman" w:hAnsi="Times New Roman" w:cs="Times New Roman"/>
          <w:sz w:val="28"/>
          <w:szCs w:val="28"/>
          <w:lang w:eastAsia="es-ES"/>
        </w:rPr>
        <w:t>. La</w:t>
      </w:r>
      <w:r w:rsidRPr="000149EE">
        <w:rPr>
          <w:rFonts w:ascii="Times New Roman" w:hAnsi="Times New Roman" w:cs="Times New Roman"/>
          <w:sz w:val="28"/>
          <w:szCs w:val="28"/>
          <w:lang w:eastAsia="es-ES"/>
        </w:rPr>
        <w:t xml:space="preserve"> demandante </w:t>
      </w:r>
      <w:r w:rsidRPr="000149EE">
        <w:rPr>
          <w:rFonts w:ascii="Times New Roman" w:hAnsi="Times New Roman" w:cs="Times New Roman"/>
          <w:sz w:val="28"/>
          <w:szCs w:val="28"/>
          <w:lang w:eastAsia="es-ES"/>
        </w:rPr>
        <w:t xml:space="preserve">identificó el trato </w:t>
      </w:r>
      <w:r w:rsidRPr="000149EE">
        <w:rPr>
          <w:rFonts w:ascii="Times New Roman" w:hAnsi="Times New Roman" w:cs="Times New Roman"/>
          <w:sz w:val="28"/>
          <w:szCs w:val="28"/>
          <w:lang w:eastAsia="es-ES"/>
        </w:rPr>
        <w:t>d</w:t>
      </w:r>
      <w:r w:rsidRPr="000149EE">
        <w:rPr>
          <w:rFonts w:ascii="Times New Roman" w:hAnsi="Times New Roman" w:cs="Times New Roman"/>
          <w:sz w:val="28"/>
          <w:szCs w:val="28"/>
          <w:lang w:eastAsia="es-ES"/>
        </w:rPr>
        <w:t>esfavorable</w:t>
      </w:r>
      <w:r w:rsidRPr="000149EE">
        <w:rPr>
          <w:rFonts w:ascii="Times New Roman" w:hAnsi="Times New Roman" w:cs="Times New Roman"/>
          <w:sz w:val="28"/>
          <w:szCs w:val="28"/>
          <w:lang w:eastAsia="es-ES"/>
        </w:rPr>
        <w:t xml:space="preserve"> </w:t>
      </w:r>
      <w:r w:rsidRPr="000149EE">
        <w:rPr>
          <w:rFonts w:ascii="Times New Roman" w:hAnsi="Times New Roman" w:cs="Times New Roman"/>
          <w:i/>
          <w:iCs/>
          <w:sz w:val="28"/>
          <w:szCs w:val="28"/>
          <w:lang w:eastAsia="es-ES"/>
        </w:rPr>
        <w:t>prima facie</w:t>
      </w:r>
      <w:r w:rsidRPr="000149EE">
        <w:rPr>
          <w:rFonts w:ascii="Times New Roman" w:hAnsi="Times New Roman" w:cs="Times New Roman"/>
          <w:sz w:val="28"/>
          <w:szCs w:val="28"/>
          <w:lang w:eastAsia="es-ES"/>
        </w:rPr>
        <w:t xml:space="preserve"> contrario a los principios de igualdad y equidad tributaria</w:t>
      </w:r>
      <w:r w:rsidRPr="000149EE">
        <w:rPr>
          <w:rFonts w:ascii="Times New Roman" w:hAnsi="Times New Roman" w:cs="Times New Roman"/>
          <w:sz w:val="28"/>
          <w:szCs w:val="28"/>
          <w:lang w:eastAsia="es-ES"/>
        </w:rPr>
        <w:t xml:space="preserve">: la </w:t>
      </w:r>
      <w:r w:rsidRPr="000149EE">
        <w:rPr>
          <w:rFonts w:ascii="Times New Roman" w:hAnsi="Times New Roman" w:cs="Times New Roman"/>
          <w:sz w:val="28"/>
          <w:szCs w:val="28"/>
          <w:lang w:eastAsia="es-ES"/>
        </w:rPr>
        <w:t xml:space="preserve">mayor tarifa del impuesto a la renta con la que la norma grava a los usuarios industriales </w:t>
      </w:r>
      <w:r w:rsidRPr="000149EE">
        <w:rPr>
          <w:rFonts w:ascii="Times New Roman" w:hAnsi="Times New Roman" w:cs="Times New Roman"/>
          <w:sz w:val="28"/>
          <w:szCs w:val="28"/>
          <w:lang w:eastAsia="es-ES"/>
        </w:rPr>
        <w:t xml:space="preserve">de zona franca </w:t>
      </w:r>
      <w:r w:rsidRPr="000149EE">
        <w:rPr>
          <w:rFonts w:ascii="Times New Roman" w:hAnsi="Times New Roman" w:cs="Times New Roman"/>
          <w:sz w:val="28"/>
          <w:szCs w:val="28"/>
          <w:lang w:eastAsia="es-ES"/>
        </w:rPr>
        <w:t>que</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no tienen vocación exportadora</w:t>
      </w:r>
      <w:r w:rsidRPr="000149EE">
        <w:rPr>
          <w:rFonts w:ascii="Times New Roman" w:hAnsi="Times New Roman" w:cs="Times New Roman"/>
          <w:sz w:val="28"/>
          <w:szCs w:val="28"/>
          <w:lang w:eastAsia="es-ES"/>
        </w:rPr>
        <w:t>”</w:t>
      </w:r>
      <w:r w:rsidRPr="000149EE">
        <w:rPr>
          <w:rFonts w:ascii="Times New Roman" w:hAnsi="Times New Roman" w:cs="Times New Roman"/>
          <w:sz w:val="28"/>
          <w:szCs w:val="28"/>
          <w:lang w:eastAsia="es-ES"/>
        </w:rPr>
        <w:t xml:space="preserve">, en comparación con </w:t>
      </w:r>
      <w:r w:rsidRPr="000149EE">
        <w:rPr>
          <w:rFonts w:ascii="Times New Roman" w:hAnsi="Times New Roman" w:cs="Times New Roman"/>
          <w:sz w:val="28"/>
          <w:szCs w:val="28"/>
          <w:lang w:eastAsia="es-ES"/>
        </w:rPr>
        <w:t>aquellos que obtienen sus in</w:t>
      </w:r>
      <w:r w:rsidRPr="000149EE">
        <w:rPr>
          <w:rFonts w:ascii="Times New Roman" w:hAnsi="Times New Roman" w:cs="Times New Roman"/>
          <w:sz w:val="28"/>
          <w:szCs w:val="28"/>
          <w:lang w:eastAsia="es-ES"/>
        </w:rPr>
        <w:t xml:space="preserve">gresos de </w:t>
      </w:r>
      <w:r w:rsidRPr="000149EE">
        <w:rPr>
          <w:rFonts w:ascii="Times New Roman" w:hAnsi="Times New Roman" w:cs="Times New Roman"/>
          <w:sz w:val="28"/>
          <w:szCs w:val="28"/>
          <w:lang w:eastAsia="es-ES"/>
        </w:rPr>
        <w:t xml:space="preserve">la </w:t>
      </w:r>
      <w:r w:rsidRPr="000149EE">
        <w:rPr>
          <w:rFonts w:ascii="Times New Roman" w:hAnsi="Times New Roman" w:cs="Times New Roman"/>
          <w:sz w:val="28"/>
          <w:szCs w:val="28"/>
          <w:lang w:eastAsia="es-ES"/>
        </w:rPr>
        <w:t>exportación</w:t>
      </w:r>
      <w:r w:rsidRPr="000149EE">
        <w:rPr>
          <w:rFonts w:ascii="Times New Roman" w:hAnsi="Times New Roman" w:cs="Times New Roman"/>
          <w:sz w:val="28"/>
          <w:szCs w:val="28"/>
          <w:lang w:eastAsia="es-ES"/>
        </w:rPr>
        <w:t xml:space="preserve"> de bienes y servicios</w:t>
      </w:r>
      <w:r w:rsidRPr="000149EE">
        <w:rPr>
          <w:rFonts w:ascii="Times New Roman" w:hAnsi="Times New Roman" w:cs="Times New Roman"/>
          <w:sz w:val="28"/>
          <w:szCs w:val="28"/>
          <w:lang w:eastAsia="es-ES"/>
        </w:rPr>
        <w:t xml:space="preserve">. </w:t>
      </w:r>
      <w:r w:rsidRPr="000149EE">
        <w:rPr>
          <w:rFonts w:ascii="Times New Roman" w:hAnsi="Times New Roman" w:cs="Times New Roman"/>
          <w:iCs/>
          <w:sz w:val="28"/>
          <w:szCs w:val="28"/>
        </w:rPr>
        <w:t>Ahora bien,</w:t>
      </w:r>
      <w:r w:rsidRPr="000149EE">
        <w:rPr>
          <w:rFonts w:ascii="Times New Roman" w:hAnsi="Times New Roman" w:cs="Times New Roman"/>
          <w:iCs/>
          <w:sz w:val="28"/>
          <w:szCs w:val="28"/>
        </w:rPr>
        <w:t xml:space="preserve"> l</w:t>
      </w:r>
      <w:r w:rsidRPr="000149EE">
        <w:rPr>
          <w:rFonts w:ascii="Times New Roman" w:hAnsi="Times New Roman" w:cs="Times New Roman"/>
          <w:iCs/>
          <w:sz w:val="28"/>
          <w:szCs w:val="28"/>
        </w:rPr>
        <w:t xml:space="preserve">a Sala </w:t>
      </w:r>
      <w:r w:rsidRPr="000149EE">
        <w:rPr>
          <w:rFonts w:ascii="Times New Roman" w:hAnsi="Times New Roman" w:cs="Times New Roman"/>
          <w:iCs/>
          <w:sz w:val="28"/>
          <w:szCs w:val="28"/>
        </w:rPr>
        <w:t>reconoce que, tal y como lo anotaron</w:t>
      </w:r>
      <w:r w:rsidRPr="000149EE">
        <w:rPr>
          <w:rFonts w:ascii="Times New Roman" w:hAnsi="Times New Roman" w:cs="Times New Roman"/>
          <w:iCs/>
          <w:sz w:val="28"/>
          <w:szCs w:val="28"/>
        </w:rPr>
        <w:t xml:space="preserve"> la DIAN, el MHCP y el DAPRE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en estricto sentido </w:t>
      </w:r>
      <w:r w:rsidRPr="000149EE">
        <w:rPr>
          <w:rFonts w:ascii="Times New Roman" w:hAnsi="Times New Roman" w:cs="Times New Roman"/>
          <w:iCs/>
          <w:sz w:val="28"/>
          <w:szCs w:val="28"/>
        </w:rPr>
        <w:t>la</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norma</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demandada</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no prevé</w:t>
      </w:r>
      <w:r w:rsidRPr="000149EE">
        <w:rPr>
          <w:rFonts w:ascii="Times New Roman" w:hAnsi="Times New Roman" w:cs="Times New Roman"/>
          <w:iCs/>
          <w:sz w:val="28"/>
          <w:szCs w:val="28"/>
        </w:rPr>
        <w:t>n</w:t>
      </w:r>
      <w:r w:rsidRPr="000149EE">
        <w:rPr>
          <w:rFonts w:ascii="Times New Roman" w:hAnsi="Times New Roman" w:cs="Times New Roman"/>
          <w:iCs/>
          <w:sz w:val="28"/>
          <w:szCs w:val="28"/>
        </w:rPr>
        <w:t xml:space="preserve"> una diferencia tarifaria entre usuarios industriales exportadores y no exportadores. </w:t>
      </w:r>
      <w:r w:rsidRPr="000149EE">
        <w:rPr>
          <w:rFonts w:ascii="Times New Roman" w:hAnsi="Times New Roman" w:cs="Times New Roman"/>
          <w:iCs/>
          <w:sz w:val="28"/>
          <w:szCs w:val="28"/>
        </w:rPr>
        <w:t>Esto, porque l</w:t>
      </w:r>
      <w:r w:rsidRPr="000149EE">
        <w:rPr>
          <w:rFonts w:ascii="Times New Roman" w:hAnsi="Times New Roman" w:cs="Times New Roman"/>
          <w:iCs/>
          <w:sz w:val="28"/>
          <w:szCs w:val="28"/>
        </w:rPr>
        <w:t xml:space="preserve">a </w:t>
      </w:r>
      <w:r w:rsidRPr="000149EE">
        <w:rPr>
          <w:rFonts w:ascii="Times New Roman" w:hAnsi="Times New Roman" w:cs="Times New Roman"/>
          <w:iCs/>
          <w:sz w:val="28"/>
          <w:szCs w:val="28"/>
        </w:rPr>
        <w:t>diferencia tarifaria está prevista en función de la proveniencia del ingreso</w:t>
      </w:r>
      <w:r w:rsidRPr="000149EE">
        <w:rPr>
          <w:rFonts w:ascii="Times New Roman" w:hAnsi="Times New Roman" w:cs="Times New Roman"/>
          <w:iCs/>
          <w:sz w:val="28"/>
          <w:szCs w:val="28"/>
        </w:rPr>
        <w:t xml:space="preserve"> (exportación o no exportación)</w:t>
      </w:r>
      <w:r w:rsidRPr="000149EE">
        <w:rPr>
          <w:rFonts w:ascii="Times New Roman" w:hAnsi="Times New Roman" w:cs="Times New Roman"/>
          <w:iCs/>
          <w:sz w:val="28"/>
          <w:szCs w:val="28"/>
        </w:rPr>
        <w:t xml:space="preserve">, no de la naturaleza o calidad del usuario </w:t>
      </w:r>
      <w:r w:rsidRPr="000149EE">
        <w:rPr>
          <w:rFonts w:ascii="Times New Roman" w:hAnsi="Times New Roman" w:cs="Times New Roman"/>
          <w:iCs/>
          <w:sz w:val="28"/>
          <w:szCs w:val="28"/>
        </w:rPr>
        <w:t>ind</w:t>
      </w:r>
      <w:r w:rsidRPr="000149EE">
        <w:rPr>
          <w:rFonts w:ascii="Times New Roman" w:hAnsi="Times New Roman" w:cs="Times New Roman"/>
          <w:iCs/>
          <w:sz w:val="28"/>
          <w:szCs w:val="28"/>
        </w:rPr>
        <w:t>ustrial de zona franca</w:t>
      </w:r>
      <w:r w:rsidRPr="000149EE">
        <w:rPr>
          <w:rFonts w:ascii="Times New Roman" w:hAnsi="Times New Roman" w:cs="Times New Roman"/>
          <w:iCs/>
          <w:sz w:val="28"/>
          <w:szCs w:val="28"/>
        </w:rPr>
        <w:t xml:space="preserve">. </w:t>
      </w:r>
    </w:p>
    <w:p w:rsidR="004525C3" w:rsidRPr="000149EE" w:rsidRDefault="000149EE" w:rsidP="00543819">
      <w:pPr>
        <w:rPr>
          <w:rFonts w:ascii="Times New Roman" w:hAnsi="Times New Roman" w:cs="Times New Roman"/>
          <w:iCs/>
          <w:sz w:val="28"/>
          <w:szCs w:val="28"/>
        </w:rPr>
      </w:pPr>
    </w:p>
    <w:p w:rsidR="00D8006C" w:rsidRPr="000149EE" w:rsidRDefault="000149EE" w:rsidP="009D4F8D">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iCs/>
          <w:sz w:val="28"/>
          <w:szCs w:val="28"/>
        </w:rPr>
        <w:t>La</w:t>
      </w:r>
      <w:r w:rsidRPr="000149EE">
        <w:rPr>
          <w:rFonts w:ascii="Times New Roman" w:hAnsi="Times New Roman" w:cs="Times New Roman"/>
          <w:iCs/>
          <w:sz w:val="28"/>
          <w:szCs w:val="28"/>
        </w:rPr>
        <w:t xml:space="preserve"> Corte considera</w:t>
      </w:r>
      <w:r w:rsidRPr="000149EE">
        <w:rPr>
          <w:rFonts w:ascii="Times New Roman" w:hAnsi="Times New Roman" w:cs="Times New Roman"/>
          <w:iCs/>
          <w:sz w:val="28"/>
          <w:szCs w:val="28"/>
        </w:rPr>
        <w:t>, sin embargo,</w:t>
      </w:r>
      <w:r w:rsidRPr="000149EE">
        <w:rPr>
          <w:rFonts w:ascii="Times New Roman" w:hAnsi="Times New Roman" w:cs="Times New Roman"/>
          <w:iCs/>
          <w:sz w:val="28"/>
          <w:szCs w:val="28"/>
        </w:rPr>
        <w:t xml:space="preserve"> que esto no implica que </w:t>
      </w:r>
      <w:r w:rsidRPr="000149EE">
        <w:rPr>
          <w:rFonts w:ascii="Times New Roman" w:hAnsi="Times New Roman" w:cs="Times New Roman"/>
          <w:iCs/>
          <w:sz w:val="28"/>
          <w:szCs w:val="28"/>
        </w:rPr>
        <w:t>los</w:t>
      </w:r>
      <w:r w:rsidRPr="000149EE">
        <w:rPr>
          <w:rFonts w:ascii="Times New Roman" w:hAnsi="Times New Roman" w:cs="Times New Roman"/>
          <w:iCs/>
          <w:sz w:val="28"/>
          <w:szCs w:val="28"/>
        </w:rPr>
        <w:t xml:space="preserve"> cargo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por violación </w:t>
      </w:r>
      <w:r w:rsidRPr="000149EE">
        <w:rPr>
          <w:rFonts w:ascii="Times New Roman" w:hAnsi="Times New Roman" w:cs="Times New Roman"/>
          <w:iCs/>
          <w:sz w:val="28"/>
          <w:szCs w:val="28"/>
        </w:rPr>
        <w:t>de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l</w:t>
      </w:r>
      <w:r w:rsidRPr="000149EE">
        <w:rPr>
          <w:rFonts w:ascii="Times New Roman" w:hAnsi="Times New Roman" w:cs="Times New Roman"/>
          <w:iCs/>
          <w:sz w:val="28"/>
          <w:szCs w:val="28"/>
        </w:rPr>
        <w:t>os</w:t>
      </w:r>
      <w:r w:rsidRPr="000149EE">
        <w:rPr>
          <w:rFonts w:ascii="Times New Roman" w:hAnsi="Times New Roman" w:cs="Times New Roman"/>
          <w:iCs/>
          <w:sz w:val="28"/>
          <w:szCs w:val="28"/>
        </w:rPr>
        <w:t xml:space="preserve"> principio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de igualdad y equidad tributaria</w:t>
      </w:r>
      <w:r w:rsidRPr="000149EE">
        <w:rPr>
          <w:rFonts w:ascii="Times New Roman" w:hAnsi="Times New Roman" w:cs="Times New Roman"/>
          <w:iCs/>
          <w:sz w:val="28"/>
          <w:szCs w:val="28"/>
        </w:rPr>
        <w:t xml:space="preserve"> sea</w:t>
      </w:r>
      <w:r w:rsidRPr="000149EE">
        <w:rPr>
          <w:rFonts w:ascii="Times New Roman" w:hAnsi="Times New Roman" w:cs="Times New Roman"/>
          <w:iCs/>
          <w:sz w:val="28"/>
          <w:szCs w:val="28"/>
        </w:rPr>
        <w:t>n</w:t>
      </w:r>
      <w:r w:rsidRPr="000149EE">
        <w:rPr>
          <w:rFonts w:ascii="Times New Roman" w:hAnsi="Times New Roman" w:cs="Times New Roman"/>
          <w:iCs/>
          <w:sz w:val="28"/>
          <w:szCs w:val="28"/>
        </w:rPr>
        <w:t xml:space="preserve"> inepto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Esto, </w:t>
      </w:r>
      <w:r w:rsidRPr="000149EE">
        <w:rPr>
          <w:rFonts w:ascii="Times New Roman" w:hAnsi="Times New Roman" w:cs="Times New Roman"/>
          <w:iCs/>
          <w:sz w:val="28"/>
          <w:szCs w:val="28"/>
        </w:rPr>
        <w:t xml:space="preserve">puesto que </w:t>
      </w:r>
      <w:r w:rsidRPr="000149EE">
        <w:rPr>
          <w:rFonts w:ascii="Times New Roman" w:hAnsi="Times New Roman" w:cs="Times New Roman"/>
          <w:iCs/>
          <w:sz w:val="28"/>
          <w:szCs w:val="28"/>
        </w:rPr>
        <w:t xml:space="preserve">la demandante reconoció que la norma demandada fija la diferencia de trato </w:t>
      </w:r>
      <w:r w:rsidRPr="000149EE">
        <w:rPr>
          <w:rFonts w:ascii="Times New Roman" w:hAnsi="Times New Roman" w:cs="Times New Roman"/>
          <w:iCs/>
          <w:sz w:val="28"/>
          <w:szCs w:val="28"/>
        </w:rPr>
        <w:t xml:space="preserve">tarifario </w:t>
      </w:r>
      <w:r w:rsidRPr="000149EE">
        <w:rPr>
          <w:rFonts w:ascii="Times New Roman" w:hAnsi="Times New Roman" w:cs="Times New Roman"/>
          <w:iCs/>
          <w:sz w:val="28"/>
          <w:szCs w:val="28"/>
        </w:rPr>
        <w:t xml:space="preserve">en función de la proveniencia del ingreso. </w:t>
      </w:r>
      <w:r w:rsidRPr="000149EE">
        <w:rPr>
          <w:rFonts w:ascii="Times New Roman" w:hAnsi="Times New Roman" w:cs="Times New Roman"/>
          <w:iCs/>
          <w:sz w:val="28"/>
          <w:szCs w:val="28"/>
        </w:rPr>
        <w:t>No obstante,</w:t>
      </w:r>
      <w:r w:rsidRPr="000149EE">
        <w:rPr>
          <w:rFonts w:ascii="Times New Roman" w:hAnsi="Times New Roman" w:cs="Times New Roman"/>
          <w:iCs/>
          <w:sz w:val="28"/>
          <w:szCs w:val="28"/>
        </w:rPr>
        <w:t xml:space="preserve"> ex</w:t>
      </w:r>
      <w:r w:rsidRPr="000149EE">
        <w:rPr>
          <w:rFonts w:ascii="Times New Roman" w:hAnsi="Times New Roman" w:cs="Times New Roman"/>
          <w:iCs/>
          <w:sz w:val="28"/>
          <w:szCs w:val="28"/>
        </w:rPr>
        <w:t>puso</w:t>
      </w:r>
      <w:r w:rsidRPr="000149EE">
        <w:rPr>
          <w:rFonts w:ascii="Times New Roman" w:hAnsi="Times New Roman" w:cs="Times New Roman"/>
          <w:iCs/>
          <w:sz w:val="28"/>
          <w:szCs w:val="28"/>
        </w:rPr>
        <w:t xml:space="preserve"> las razones por las cuales considera que</w:t>
      </w:r>
      <w:r w:rsidRPr="000149EE">
        <w:rPr>
          <w:rFonts w:ascii="Times New Roman" w:hAnsi="Times New Roman" w:cs="Times New Roman"/>
          <w:iCs/>
          <w:sz w:val="28"/>
          <w:szCs w:val="28"/>
        </w:rPr>
        <w:t>, en todo caso,</w:t>
      </w:r>
      <w:r w:rsidRPr="000149EE">
        <w:rPr>
          <w:rFonts w:ascii="Times New Roman" w:hAnsi="Times New Roman" w:cs="Times New Roman"/>
          <w:iCs/>
          <w:sz w:val="28"/>
          <w:szCs w:val="28"/>
        </w:rPr>
        <w:t xml:space="preserve"> de</w:t>
      </w:r>
      <w:r w:rsidRPr="000149EE">
        <w:rPr>
          <w:rFonts w:ascii="Times New Roman" w:hAnsi="Times New Roman" w:cs="Times New Roman"/>
          <w:iCs/>
          <w:sz w:val="28"/>
          <w:szCs w:val="28"/>
        </w:rPr>
        <w:t xml:space="preserve"> las normas demandadas</w:t>
      </w:r>
      <w:r w:rsidRPr="000149EE">
        <w:rPr>
          <w:rFonts w:ascii="Times New Roman" w:hAnsi="Times New Roman" w:cs="Times New Roman"/>
          <w:iCs/>
          <w:sz w:val="28"/>
          <w:szCs w:val="28"/>
        </w:rPr>
        <w:t xml:space="preserve"> se deriva</w:t>
      </w:r>
      <w:r w:rsidRPr="000149EE">
        <w:rPr>
          <w:rFonts w:ascii="Times New Roman" w:hAnsi="Times New Roman" w:cs="Times New Roman"/>
          <w:iCs/>
          <w:sz w:val="28"/>
          <w:szCs w:val="28"/>
        </w:rPr>
        <w:t>, necesariamente,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una diferencia de trato </w:t>
      </w:r>
      <w:r w:rsidRPr="000149EE">
        <w:rPr>
          <w:rFonts w:ascii="Times New Roman" w:hAnsi="Times New Roman" w:cs="Times New Roman"/>
          <w:iCs/>
          <w:sz w:val="28"/>
          <w:szCs w:val="28"/>
        </w:rPr>
        <w:t xml:space="preserve">tributario </w:t>
      </w:r>
      <w:r w:rsidRPr="000149EE">
        <w:rPr>
          <w:rFonts w:ascii="Times New Roman" w:hAnsi="Times New Roman" w:cs="Times New Roman"/>
          <w:iCs/>
          <w:sz w:val="28"/>
          <w:szCs w:val="28"/>
        </w:rPr>
        <w:t xml:space="preserve">entre </w:t>
      </w:r>
      <w:r w:rsidRPr="000149EE">
        <w:rPr>
          <w:rFonts w:ascii="Times New Roman" w:hAnsi="Times New Roman" w:cs="Times New Roman"/>
          <w:iCs/>
          <w:sz w:val="28"/>
          <w:szCs w:val="28"/>
        </w:rPr>
        <w:t>los usuarios industriales de zona franca</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En </w:t>
      </w:r>
      <w:r w:rsidRPr="000149EE">
        <w:rPr>
          <w:rFonts w:ascii="Times New Roman" w:hAnsi="Times New Roman" w:cs="Times New Roman"/>
          <w:iCs/>
          <w:sz w:val="28"/>
          <w:szCs w:val="28"/>
        </w:rPr>
        <w:t>criterio de</w:t>
      </w:r>
      <w:r w:rsidRPr="000149EE">
        <w:rPr>
          <w:rFonts w:ascii="Times New Roman" w:hAnsi="Times New Roman" w:cs="Times New Roman"/>
          <w:iCs/>
          <w:sz w:val="28"/>
          <w:szCs w:val="28"/>
        </w:rPr>
        <w:t xml:space="preserve"> la demandante esto es así</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porque existen usuarios industriales de zona franca que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no</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reciben ingresos por operaciones de exportación</w:t>
      </w:r>
      <w:r w:rsidRPr="000149EE">
        <w:rPr>
          <w:rFonts w:ascii="Times New Roman" w:hAnsi="Times New Roman" w:cs="Times New Roman"/>
          <w:iCs/>
          <w:sz w:val="28"/>
          <w:szCs w:val="28"/>
        </w:rPr>
        <w:t xml:space="preserve">. Por lo demás, la </w:t>
      </w:r>
      <w:r w:rsidRPr="000149EE">
        <w:rPr>
          <w:rFonts w:ascii="Times New Roman" w:hAnsi="Times New Roman" w:cs="Times New Roman"/>
          <w:iCs/>
          <w:sz w:val="28"/>
          <w:szCs w:val="28"/>
        </w:rPr>
        <w:t>demanda resalta que, aun cuando es cierto que la diferencia tarifaria está fijada en función del ingreso, el parágrafo 6º del artículo</w:t>
      </w:r>
      <w:r w:rsidRPr="000149EE">
        <w:rPr>
          <w:rFonts w:ascii="Times New Roman" w:hAnsi="Times New Roman" w:cs="Times New Roman"/>
          <w:iCs/>
          <w:sz w:val="28"/>
          <w:szCs w:val="28"/>
        </w:rPr>
        <w:t xml:space="preserve"> 11</w:t>
      </w:r>
      <w:r w:rsidRPr="000149EE">
        <w:rPr>
          <w:rFonts w:ascii="Times New Roman" w:hAnsi="Times New Roman" w:cs="Times New Roman"/>
          <w:iCs/>
          <w:sz w:val="28"/>
          <w:szCs w:val="28"/>
        </w:rPr>
        <w:t xml:space="preserve"> de la Ley 2277 de 2022 dispone de forma expresa que sólo podrán acceder a la tarifa preferencial del 20% los usuarios </w:t>
      </w:r>
      <w:r w:rsidRPr="000149EE">
        <w:rPr>
          <w:rFonts w:ascii="Times New Roman" w:hAnsi="Times New Roman" w:cs="Times New Roman"/>
          <w:iCs/>
          <w:sz w:val="28"/>
          <w:szCs w:val="28"/>
        </w:rPr>
        <w:t>industriales</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que acuerden y suscriban</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un PIAV. </w:t>
      </w:r>
      <w:r w:rsidRPr="000149EE">
        <w:rPr>
          <w:rFonts w:ascii="Times New Roman" w:hAnsi="Times New Roman" w:cs="Times New Roman"/>
          <w:iCs/>
          <w:sz w:val="28"/>
          <w:szCs w:val="28"/>
        </w:rPr>
        <w:t xml:space="preserve">Sin perjuicio del examen sobre la existencia del trato diferente que </w:t>
      </w:r>
      <w:r w:rsidRPr="000149EE">
        <w:rPr>
          <w:rFonts w:ascii="Times New Roman" w:hAnsi="Times New Roman" w:cs="Times New Roman"/>
          <w:iCs/>
          <w:sz w:val="28"/>
          <w:szCs w:val="28"/>
        </w:rPr>
        <w:t>se</w:t>
      </w:r>
      <w:r w:rsidRPr="000149EE">
        <w:rPr>
          <w:rFonts w:ascii="Times New Roman" w:hAnsi="Times New Roman" w:cs="Times New Roman"/>
          <w:iCs/>
          <w:sz w:val="28"/>
          <w:szCs w:val="28"/>
        </w:rPr>
        <w:t xml:space="preserve"> efectué en el fondo, </w:t>
      </w:r>
      <w:r w:rsidRPr="000149EE">
        <w:rPr>
          <w:rFonts w:ascii="Times New Roman" w:hAnsi="Times New Roman" w:cs="Times New Roman"/>
          <w:iCs/>
          <w:sz w:val="28"/>
          <w:szCs w:val="28"/>
        </w:rPr>
        <w:t>a</w:t>
      </w:r>
      <w:r w:rsidRPr="000149EE">
        <w:rPr>
          <w:rFonts w:ascii="Times New Roman" w:hAnsi="Times New Roman" w:cs="Times New Roman"/>
          <w:iCs/>
          <w:sz w:val="28"/>
          <w:szCs w:val="28"/>
        </w:rPr>
        <w:t xml:space="preserve"> juicio de la Sala Plena </w:t>
      </w:r>
      <w:r w:rsidRPr="000149EE">
        <w:rPr>
          <w:rFonts w:ascii="Times New Roman" w:hAnsi="Times New Roman" w:cs="Times New Roman"/>
          <w:iCs/>
          <w:sz w:val="28"/>
          <w:szCs w:val="28"/>
        </w:rPr>
        <w:t>esta argumentación es suficiente en sede de a</w:t>
      </w:r>
      <w:r w:rsidRPr="000149EE">
        <w:rPr>
          <w:rFonts w:ascii="Times New Roman" w:hAnsi="Times New Roman" w:cs="Times New Roman"/>
          <w:iCs/>
          <w:sz w:val="28"/>
          <w:szCs w:val="28"/>
        </w:rPr>
        <w:t>ptitud</w:t>
      </w:r>
      <w:r w:rsidRPr="000149EE">
        <w:rPr>
          <w:rFonts w:ascii="Times New Roman" w:hAnsi="Times New Roman" w:cs="Times New Roman"/>
          <w:iCs/>
          <w:sz w:val="28"/>
          <w:szCs w:val="28"/>
        </w:rPr>
        <w:t xml:space="preserve">. </w:t>
      </w:r>
    </w:p>
    <w:p w:rsidR="004D0094" w:rsidRPr="000149EE" w:rsidRDefault="000149EE" w:rsidP="001A47E2">
      <w:pPr>
        <w:pStyle w:val="Prrafodelista"/>
        <w:widowControl w:val="0"/>
        <w:spacing w:line="240" w:lineRule="auto"/>
        <w:ind w:left="0"/>
        <w:rPr>
          <w:rFonts w:ascii="Times New Roman" w:hAnsi="Times New Roman"/>
          <w:sz w:val="28"/>
          <w:lang w:eastAsia="es-ES"/>
        </w:rPr>
      </w:pPr>
    </w:p>
    <w:p w:rsidR="009629A6" w:rsidRPr="000149EE" w:rsidRDefault="000149EE" w:rsidP="009629A6">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i/>
          <w:iCs/>
          <w:sz w:val="28"/>
          <w:szCs w:val="28"/>
          <w:lang w:eastAsia="es-ES"/>
        </w:rPr>
        <w:t>Justificación constitucional</w:t>
      </w:r>
      <w:r w:rsidRPr="000149EE">
        <w:rPr>
          <w:rFonts w:ascii="Times New Roman" w:hAnsi="Times New Roman" w:cs="Times New Roman"/>
          <w:sz w:val="28"/>
          <w:szCs w:val="28"/>
          <w:lang w:eastAsia="es-ES"/>
        </w:rPr>
        <w:t>. La</w:t>
      </w:r>
      <w:r w:rsidRPr="000149EE">
        <w:rPr>
          <w:rFonts w:ascii="Times New Roman" w:hAnsi="Times New Roman" w:cs="Times New Roman"/>
          <w:sz w:val="28"/>
          <w:szCs w:val="28"/>
          <w:lang w:eastAsia="es-ES"/>
        </w:rPr>
        <w:t xml:space="preserve"> de</w:t>
      </w:r>
      <w:r w:rsidRPr="000149EE">
        <w:rPr>
          <w:rFonts w:ascii="Times New Roman" w:hAnsi="Times New Roman" w:cs="Times New Roman"/>
          <w:sz w:val="28"/>
          <w:szCs w:val="28"/>
          <w:lang w:eastAsia="es-ES"/>
        </w:rPr>
        <w:t xml:space="preserve">mandante </w:t>
      </w:r>
      <w:r w:rsidRPr="000149EE">
        <w:rPr>
          <w:rFonts w:ascii="Times New Roman" w:hAnsi="Times New Roman" w:cs="Times New Roman"/>
          <w:sz w:val="28"/>
          <w:szCs w:val="28"/>
          <w:lang w:eastAsia="es-ES"/>
        </w:rPr>
        <w:t>expus</w:t>
      </w:r>
      <w:r w:rsidRPr="000149EE">
        <w:rPr>
          <w:rFonts w:ascii="Times New Roman" w:hAnsi="Times New Roman" w:cs="Times New Roman"/>
          <w:sz w:val="28"/>
          <w:szCs w:val="28"/>
          <w:lang w:eastAsia="es-ES"/>
        </w:rPr>
        <w:t>o</w:t>
      </w:r>
      <w:r w:rsidRPr="000149EE">
        <w:rPr>
          <w:rFonts w:ascii="Times New Roman" w:hAnsi="Times New Roman" w:cs="Times New Roman"/>
          <w:sz w:val="28"/>
          <w:szCs w:val="28"/>
          <w:lang w:eastAsia="es-ES"/>
        </w:rPr>
        <w:t xml:space="preserve"> las razones por las cuales, en su criterio, dicho trato </w:t>
      </w:r>
      <w:r w:rsidRPr="000149EE">
        <w:rPr>
          <w:rFonts w:ascii="Times New Roman" w:hAnsi="Times New Roman" w:cs="Times New Roman"/>
          <w:sz w:val="28"/>
          <w:szCs w:val="28"/>
          <w:lang w:eastAsia="es-ES"/>
        </w:rPr>
        <w:t xml:space="preserve">diferenciado </w:t>
      </w:r>
      <w:r w:rsidRPr="000149EE">
        <w:rPr>
          <w:rFonts w:ascii="Times New Roman" w:hAnsi="Times New Roman" w:cs="Times New Roman"/>
          <w:sz w:val="28"/>
          <w:szCs w:val="28"/>
          <w:lang w:eastAsia="es-ES"/>
        </w:rPr>
        <w:t xml:space="preserve">es injustificado. En concreto, precisó las razones por las cuales considera que </w:t>
      </w:r>
      <w:r w:rsidRPr="000149EE">
        <w:rPr>
          <w:rFonts w:ascii="Times New Roman" w:hAnsi="Times New Roman" w:cs="Times New Roman"/>
          <w:sz w:val="28"/>
          <w:szCs w:val="28"/>
          <w:lang w:eastAsia="es-ES"/>
        </w:rPr>
        <w:t xml:space="preserve">la </w:t>
      </w:r>
      <w:r w:rsidRPr="000149EE">
        <w:rPr>
          <w:rFonts w:ascii="Times New Roman" w:hAnsi="Times New Roman" w:cs="Times New Roman"/>
          <w:sz w:val="28"/>
          <w:szCs w:val="28"/>
          <w:lang w:eastAsia="es-ES"/>
        </w:rPr>
        <w:t>vocación</w:t>
      </w:r>
      <w:r w:rsidRPr="000149EE">
        <w:rPr>
          <w:rFonts w:ascii="Times New Roman" w:hAnsi="Times New Roman" w:cs="Times New Roman"/>
          <w:sz w:val="28"/>
          <w:szCs w:val="28"/>
          <w:lang w:eastAsia="es-ES"/>
        </w:rPr>
        <w:t xml:space="preserve"> exportadora no es un criterio relevante para el otorgamiento de beneficios tributarios</w:t>
      </w:r>
      <w:r w:rsidRPr="000149EE">
        <w:rPr>
          <w:rFonts w:ascii="Times New Roman" w:hAnsi="Times New Roman" w:cs="Times New Roman"/>
          <w:sz w:val="28"/>
          <w:szCs w:val="28"/>
          <w:lang w:eastAsia="es-ES"/>
        </w:rPr>
        <w:t xml:space="preserve">. Asimismo, sostuvo que </w:t>
      </w:r>
      <w:r w:rsidRPr="000149EE">
        <w:rPr>
          <w:rFonts w:ascii="Times New Roman" w:hAnsi="Times New Roman" w:cs="Times New Roman"/>
          <w:sz w:val="28"/>
          <w:szCs w:val="28"/>
          <w:lang w:eastAsia="es-ES"/>
        </w:rPr>
        <w:t>el trato diferente desnaturaliza el régimen exceptivo de las zonas francas.</w:t>
      </w:r>
      <w:r w:rsidRPr="000149EE">
        <w:rPr>
          <w:rFonts w:ascii="Times New Roman" w:hAnsi="Times New Roman" w:cs="Times New Roman"/>
          <w:sz w:val="28"/>
          <w:szCs w:val="28"/>
          <w:lang w:eastAsia="es-ES"/>
        </w:rPr>
        <w:t xml:space="preserve"> </w:t>
      </w:r>
    </w:p>
    <w:p w:rsidR="009629A6" w:rsidRPr="000149EE" w:rsidRDefault="000149EE" w:rsidP="009629A6">
      <w:pPr>
        <w:pStyle w:val="Prrafodelista"/>
        <w:rPr>
          <w:rFonts w:ascii="Times New Roman" w:hAnsi="Times New Roman"/>
          <w:sz w:val="28"/>
          <w:lang w:eastAsia="es-ES"/>
        </w:rPr>
      </w:pPr>
    </w:p>
    <w:p w:rsidR="009629A6" w:rsidRPr="000149EE" w:rsidRDefault="000149EE" w:rsidP="009629A6">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sz w:val="28"/>
          <w:szCs w:val="28"/>
          <w:lang w:eastAsia="es-ES"/>
        </w:rPr>
        <w:t xml:space="preserve">(c) </w:t>
      </w:r>
      <w:r w:rsidRPr="000149EE">
        <w:rPr>
          <w:rFonts w:ascii="Times New Roman" w:hAnsi="Times New Roman" w:cs="Times New Roman"/>
          <w:sz w:val="28"/>
          <w:szCs w:val="28"/>
          <w:u w:val="single"/>
          <w:lang w:eastAsia="es-ES"/>
        </w:rPr>
        <w:t>In</w:t>
      </w:r>
      <w:r w:rsidRPr="000149EE">
        <w:rPr>
          <w:rFonts w:ascii="Times New Roman" w:hAnsi="Times New Roman" w:cs="Times New Roman"/>
          <w:sz w:val="28"/>
          <w:szCs w:val="28"/>
          <w:u w:val="single"/>
          <w:lang w:eastAsia="es-ES"/>
        </w:rPr>
        <w:t>eptitud</w:t>
      </w:r>
      <w:r w:rsidRPr="000149EE">
        <w:rPr>
          <w:rFonts w:ascii="Times New Roman" w:hAnsi="Times New Roman" w:cs="Times New Roman"/>
          <w:sz w:val="28"/>
          <w:szCs w:val="28"/>
          <w:u w:val="single"/>
          <w:lang w:eastAsia="es-ES"/>
        </w:rPr>
        <w:t xml:space="preserve"> sobreviniente</w:t>
      </w:r>
      <w:r w:rsidRPr="000149EE">
        <w:rPr>
          <w:rFonts w:ascii="Times New Roman" w:hAnsi="Times New Roman" w:cs="Times New Roman"/>
          <w:sz w:val="28"/>
          <w:szCs w:val="28"/>
          <w:lang w:eastAsia="es-ES"/>
        </w:rPr>
        <w:t xml:space="preserve">. </w:t>
      </w:r>
      <w:r w:rsidRPr="000149EE">
        <w:rPr>
          <w:rFonts w:ascii="Times New Roman" w:hAnsi="Times New Roman" w:cs="Times New Roman"/>
          <w:sz w:val="28"/>
          <w:szCs w:val="28"/>
          <w:shd w:val="clear" w:color="auto" w:fill="FFFFFF"/>
        </w:rPr>
        <w:t>La jurisprudencia de esta Corte ha rec</w:t>
      </w:r>
      <w:r w:rsidRPr="000149EE">
        <w:rPr>
          <w:rFonts w:ascii="Times New Roman" w:hAnsi="Times New Roman" w:cs="Times New Roman"/>
          <w:sz w:val="28"/>
          <w:szCs w:val="28"/>
          <w:shd w:val="clear" w:color="auto" w:fill="FFFFFF"/>
        </w:rPr>
        <w:t>onocido que en algunos casos es posible que modificaciones en el ordenamiento jurídico generen la ineptitud sobreviniente de demandas de inconstitucionalidad admitidas</w:t>
      </w:r>
      <w:r w:rsidRPr="000149EE">
        <w:rPr>
          <w:rStyle w:val="Refdenotaalpie"/>
          <w:rFonts w:ascii="Times New Roman" w:hAnsi="Times New Roman" w:cs="Times New Roman"/>
          <w:sz w:val="28"/>
          <w:szCs w:val="28"/>
          <w:shd w:val="clear" w:color="auto" w:fill="FFFFFF"/>
        </w:rPr>
        <w:footnoteReference w:id="68"/>
      </w:r>
      <w:r w:rsidRPr="000149EE">
        <w:rPr>
          <w:rFonts w:ascii="Times New Roman" w:hAnsi="Times New Roman" w:cs="Times New Roman"/>
          <w:sz w:val="28"/>
          <w:szCs w:val="28"/>
          <w:shd w:val="clear" w:color="auto" w:fill="FFFFFF"/>
        </w:rPr>
        <w:t xml:space="preserve">. Esto ocurre cuando, como resultado de la modificación de la norma objeto de control o del contexto normativo en el que se inscribe, el concepto de la violación original pierde su razón de ser y la demanda se torna inepta. </w:t>
      </w:r>
    </w:p>
    <w:p w:rsidR="009629A6" w:rsidRPr="000149EE" w:rsidRDefault="000149EE" w:rsidP="009629A6">
      <w:pPr>
        <w:tabs>
          <w:tab w:val="left" w:pos="567"/>
        </w:tabs>
        <w:rPr>
          <w:rFonts w:ascii="Times New Roman" w:hAnsi="Times New Roman" w:cs="Times New Roman"/>
          <w:sz w:val="28"/>
          <w:szCs w:val="28"/>
          <w:lang w:eastAsia="es-ES"/>
        </w:rPr>
      </w:pPr>
    </w:p>
    <w:p w:rsidR="00384529" w:rsidRPr="000149EE" w:rsidRDefault="000149EE" w:rsidP="009D4F8D">
      <w:pPr>
        <w:numPr>
          <w:ilvl w:val="0"/>
          <w:numId w:val="3"/>
        </w:numPr>
        <w:tabs>
          <w:tab w:val="left" w:pos="567"/>
        </w:tabs>
        <w:ind w:left="0" w:firstLine="0"/>
        <w:rPr>
          <w:rFonts w:ascii="Times New Roman" w:hAnsi="Times New Roman" w:cs="Times New Roman"/>
          <w:sz w:val="28"/>
          <w:szCs w:val="28"/>
          <w:lang w:eastAsia="es-ES"/>
        </w:rPr>
      </w:pPr>
      <w:r w:rsidRPr="000149EE">
        <w:rPr>
          <w:rFonts w:ascii="Times New Roman" w:hAnsi="Times New Roman" w:cs="Times New Roman"/>
          <w:sz w:val="28"/>
          <w:szCs w:val="28"/>
        </w:rPr>
        <w:t>La</w:t>
      </w:r>
      <w:r w:rsidRPr="000149EE">
        <w:rPr>
          <w:rFonts w:ascii="Times New Roman" w:hAnsi="Times New Roman" w:cs="Times New Roman"/>
          <w:sz w:val="28"/>
          <w:szCs w:val="28"/>
        </w:rPr>
        <w:t xml:space="preserve"> Sala considera que en este </w:t>
      </w:r>
      <w:r w:rsidRPr="000149EE">
        <w:rPr>
          <w:rFonts w:ascii="Times New Roman" w:hAnsi="Times New Roman" w:cs="Times New Roman"/>
          <w:sz w:val="28"/>
          <w:szCs w:val="28"/>
        </w:rPr>
        <w:t>caso no se presentó una ineptitud sobreviniente de la demanda como consecuencia del condicionamiento que la Corte efectuó en la sentencia C-384 de 2023. La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demanda </w:t>
      </w:r>
      <w:r w:rsidRPr="000149EE">
        <w:rPr>
          <w:rFonts w:ascii="Times New Roman" w:hAnsi="Times New Roman" w:cs="Times New Roman"/>
          <w:i/>
          <w:iCs/>
          <w:sz w:val="28"/>
          <w:szCs w:val="28"/>
        </w:rPr>
        <w:t>sub examine</w:t>
      </w:r>
      <w:r w:rsidRPr="000149EE">
        <w:rPr>
          <w:rFonts w:ascii="Times New Roman" w:hAnsi="Times New Roman" w:cs="Times New Roman"/>
          <w:sz w:val="28"/>
          <w:szCs w:val="28"/>
        </w:rPr>
        <w:t xml:space="preserve"> fue presentada </w:t>
      </w:r>
      <w:r w:rsidRPr="000149EE">
        <w:rPr>
          <w:rFonts w:ascii="Times New Roman" w:hAnsi="Times New Roman" w:cs="Times New Roman"/>
          <w:sz w:val="28"/>
          <w:szCs w:val="28"/>
        </w:rPr>
        <w:t xml:space="preserve">el 21 de septiembre de 2023. </w:t>
      </w:r>
      <w:r w:rsidRPr="000149EE">
        <w:rPr>
          <w:rFonts w:ascii="Times New Roman" w:hAnsi="Times New Roman" w:cs="Times New Roman"/>
          <w:sz w:val="28"/>
          <w:szCs w:val="28"/>
        </w:rPr>
        <w:t>Luego,</w:t>
      </w:r>
      <w:r w:rsidRPr="000149EE">
        <w:rPr>
          <w:rFonts w:ascii="Times New Roman" w:hAnsi="Times New Roman" w:cs="Times New Roman"/>
          <w:sz w:val="28"/>
          <w:szCs w:val="28"/>
        </w:rPr>
        <w:t xml:space="preserve"> </w:t>
      </w:r>
      <w:r w:rsidRPr="000149EE">
        <w:rPr>
          <w:rFonts w:ascii="Times New Roman" w:hAnsi="Times New Roman" w:cs="Times New Roman"/>
          <w:iCs/>
          <w:sz w:val="28"/>
          <w:szCs w:val="28"/>
        </w:rPr>
        <w:t>el 2 de octubre de 2023, la C</w:t>
      </w:r>
      <w:r w:rsidRPr="000149EE">
        <w:rPr>
          <w:rFonts w:ascii="Times New Roman" w:hAnsi="Times New Roman" w:cs="Times New Roman"/>
          <w:iCs/>
          <w:sz w:val="28"/>
          <w:szCs w:val="28"/>
        </w:rPr>
        <w:t>orte profirió la sentencia C-384 de 2023</w:t>
      </w:r>
      <w:r w:rsidRPr="000149EE">
        <w:rPr>
          <w:rFonts w:ascii="Times New Roman" w:hAnsi="Times New Roman" w:cs="Times New Roman"/>
          <w:iCs/>
          <w:sz w:val="28"/>
          <w:szCs w:val="28"/>
        </w:rPr>
        <w:t>, mediante la cual condicionó la exequibilidad de los numerales 1, 2 y 3, así como el parágrafo 6º</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del artículo 11 de la </w:t>
      </w:r>
      <w:r w:rsidRPr="000149EE">
        <w:rPr>
          <w:rFonts w:ascii="Times New Roman" w:hAnsi="Times New Roman" w:cs="Times New Roman"/>
          <w:iCs/>
          <w:sz w:val="28"/>
          <w:szCs w:val="28"/>
        </w:rPr>
        <w:t xml:space="preserve">Ley </w:t>
      </w:r>
      <w:r w:rsidRPr="000149EE">
        <w:rPr>
          <w:rFonts w:ascii="Times New Roman" w:hAnsi="Times New Roman" w:cs="Times New Roman"/>
          <w:iCs/>
          <w:sz w:val="28"/>
          <w:szCs w:val="28"/>
        </w:rPr>
        <w:t>2277 de 2022. La Sala</w:t>
      </w:r>
      <w:r w:rsidRPr="000149EE">
        <w:rPr>
          <w:rFonts w:ascii="Times New Roman" w:hAnsi="Times New Roman" w:cs="Times New Roman"/>
          <w:iCs/>
          <w:sz w:val="28"/>
          <w:szCs w:val="28"/>
        </w:rPr>
        <w:t xml:space="preserve"> Plena</w:t>
      </w:r>
      <w:r w:rsidRPr="000149EE">
        <w:rPr>
          <w:rFonts w:ascii="Times New Roman" w:hAnsi="Times New Roman" w:cs="Times New Roman"/>
          <w:iCs/>
          <w:sz w:val="28"/>
          <w:szCs w:val="28"/>
        </w:rPr>
        <w:t xml:space="preserve"> reconoce que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el condicionamiento modificó</w:t>
      </w:r>
      <w:r w:rsidRPr="000149EE">
        <w:rPr>
          <w:rFonts w:ascii="Times New Roman" w:hAnsi="Times New Roman" w:cs="Times New Roman"/>
          <w:iCs/>
          <w:sz w:val="28"/>
          <w:szCs w:val="28"/>
        </w:rPr>
        <w:t xml:space="preserve"> el ámbito de aplicaci</w:t>
      </w:r>
      <w:r w:rsidRPr="000149EE">
        <w:rPr>
          <w:rFonts w:ascii="Times New Roman" w:hAnsi="Times New Roman" w:cs="Times New Roman"/>
          <w:iCs/>
          <w:sz w:val="28"/>
          <w:szCs w:val="28"/>
        </w:rPr>
        <w:t xml:space="preserve">ón temporal y material de las disposiciones demandadas. En efecto, esta sentencia determinó que el régimen tarifario </w:t>
      </w:r>
      <w:r w:rsidRPr="000149EE">
        <w:rPr>
          <w:rFonts w:ascii="Times New Roman" w:hAnsi="Times New Roman" w:cs="Times New Roman"/>
          <w:iCs/>
          <w:sz w:val="28"/>
          <w:szCs w:val="28"/>
        </w:rPr>
        <w:t xml:space="preserve">preferencial </w:t>
      </w:r>
      <w:r w:rsidRPr="000149EE">
        <w:rPr>
          <w:rFonts w:ascii="Times New Roman" w:hAnsi="Times New Roman" w:cs="Times New Roman"/>
          <w:iCs/>
          <w:sz w:val="28"/>
          <w:szCs w:val="28"/>
        </w:rPr>
        <w:t xml:space="preserve">del </w:t>
      </w:r>
      <w:r w:rsidRPr="000149EE">
        <w:rPr>
          <w:rFonts w:ascii="Times New Roman" w:hAnsi="Times New Roman" w:cs="Times New Roman"/>
          <w:iCs/>
          <w:sz w:val="28"/>
          <w:szCs w:val="28"/>
        </w:rPr>
        <w:t xml:space="preserve">impuesto a la renta previsto </w:t>
      </w:r>
      <w:r w:rsidRPr="000149EE">
        <w:rPr>
          <w:rFonts w:ascii="Times New Roman" w:hAnsi="Times New Roman" w:cs="Times New Roman"/>
          <w:iCs/>
          <w:sz w:val="28"/>
          <w:szCs w:val="28"/>
        </w:rPr>
        <w:t xml:space="preserve">en el </w:t>
      </w:r>
      <w:r w:rsidRPr="000149EE">
        <w:rPr>
          <w:rFonts w:ascii="Times New Roman" w:hAnsi="Times New Roman" w:cs="Times New Roman"/>
          <w:iCs/>
          <w:sz w:val="28"/>
          <w:szCs w:val="28"/>
        </w:rPr>
        <w:t>artículo 101 de la Ley 1819 de 2016 continuaría rigiendo para</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los </w:t>
      </w:r>
      <w:r w:rsidRPr="000149EE">
        <w:rPr>
          <w:rFonts w:ascii="Times New Roman" w:hAnsi="Times New Roman" w:cs="Times New Roman"/>
          <w:iCs/>
          <w:sz w:val="28"/>
          <w:szCs w:val="28"/>
        </w:rPr>
        <w:t>usuarios industriales</w:t>
      </w:r>
      <w:r w:rsidRPr="000149EE">
        <w:rPr>
          <w:rFonts w:ascii="Times New Roman" w:hAnsi="Times New Roman" w:cs="Times New Roman"/>
          <w:iCs/>
          <w:sz w:val="28"/>
          <w:szCs w:val="28"/>
        </w:rPr>
        <w:t xml:space="preserve"> de zona franca</w:t>
      </w:r>
      <w:r w:rsidRPr="000149EE">
        <w:rPr>
          <w:rFonts w:ascii="Times New Roman" w:hAnsi="Times New Roman" w:cs="Times New Roman"/>
          <w:iCs/>
          <w:sz w:val="28"/>
          <w:szCs w:val="28"/>
        </w:rPr>
        <w:t xml:space="preserve"> que hubiesen cumplido las condiciones para acceder al mismo antes del 13 de diciembre de 2022.</w:t>
      </w:r>
      <w:r w:rsidRPr="000149EE">
        <w:rPr>
          <w:rFonts w:ascii="Times New Roman" w:hAnsi="Times New Roman" w:cs="Times New Roman"/>
          <w:iCs/>
          <w:sz w:val="28"/>
          <w:szCs w:val="28"/>
        </w:rPr>
        <w:t xml:space="preserve"> Con independencia de la </w:t>
      </w:r>
      <w:r w:rsidRPr="000149EE">
        <w:rPr>
          <w:rFonts w:ascii="Times New Roman" w:hAnsi="Times New Roman" w:cs="Times New Roman"/>
          <w:iCs/>
          <w:sz w:val="28"/>
          <w:szCs w:val="28"/>
        </w:rPr>
        <w:t>procedencia de sus ingresos</w:t>
      </w:r>
      <w:r w:rsidRPr="000149EE">
        <w:rPr>
          <w:rFonts w:ascii="Times New Roman" w:hAnsi="Times New Roman" w:cs="Times New Roman"/>
          <w:iCs/>
          <w:sz w:val="28"/>
          <w:szCs w:val="28"/>
        </w:rPr>
        <w:t>, estos usuarios seguir</w:t>
      </w:r>
      <w:r w:rsidRPr="000149EE">
        <w:rPr>
          <w:rFonts w:ascii="Times New Roman" w:hAnsi="Times New Roman" w:cs="Times New Roman"/>
          <w:iCs/>
          <w:sz w:val="28"/>
          <w:szCs w:val="28"/>
        </w:rPr>
        <w:t>ía</w:t>
      </w:r>
      <w:r w:rsidRPr="000149EE">
        <w:rPr>
          <w:rFonts w:ascii="Times New Roman" w:hAnsi="Times New Roman" w:cs="Times New Roman"/>
          <w:iCs/>
          <w:sz w:val="28"/>
          <w:szCs w:val="28"/>
        </w:rPr>
        <w:t xml:space="preserve">n tributando </w:t>
      </w:r>
      <w:r w:rsidRPr="000149EE">
        <w:rPr>
          <w:rFonts w:ascii="Times New Roman" w:hAnsi="Times New Roman" w:cs="Times New Roman"/>
          <w:iCs/>
          <w:sz w:val="28"/>
          <w:szCs w:val="28"/>
        </w:rPr>
        <w:t>sobre la</w:t>
      </w:r>
      <w:r w:rsidRPr="000149EE">
        <w:rPr>
          <w:rFonts w:ascii="Times New Roman" w:hAnsi="Times New Roman" w:cs="Times New Roman"/>
          <w:iCs/>
          <w:sz w:val="28"/>
          <w:szCs w:val="28"/>
        </w:rPr>
        <w:t xml:space="preserve"> renta con la tarifa del 20% que la Ley 1819 de 2016</w:t>
      </w:r>
      <w:r w:rsidRPr="000149EE">
        <w:rPr>
          <w:rFonts w:ascii="Times New Roman" w:hAnsi="Times New Roman" w:cs="Times New Roman"/>
          <w:iCs/>
          <w:sz w:val="28"/>
          <w:szCs w:val="28"/>
        </w:rPr>
        <w:t xml:space="preserve"> preveía</w:t>
      </w:r>
      <w:r w:rsidRPr="000149EE">
        <w:rPr>
          <w:rFonts w:ascii="Times New Roman" w:hAnsi="Times New Roman" w:cs="Times New Roman"/>
          <w:iCs/>
          <w:sz w:val="28"/>
          <w:szCs w:val="28"/>
        </w:rPr>
        <w:t xml:space="preserve">. </w:t>
      </w:r>
    </w:p>
    <w:p w:rsidR="00384529" w:rsidRPr="000149EE" w:rsidRDefault="000149EE" w:rsidP="00C925B5">
      <w:pPr>
        <w:rPr>
          <w:rFonts w:ascii="Times New Roman" w:hAnsi="Times New Roman" w:cs="Times New Roman"/>
          <w:iCs/>
          <w:sz w:val="28"/>
          <w:szCs w:val="28"/>
        </w:rPr>
      </w:pPr>
    </w:p>
    <w:p w:rsidR="00384529"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Sala </w:t>
      </w:r>
      <w:r w:rsidRPr="000149EE">
        <w:rPr>
          <w:rFonts w:ascii="Times New Roman" w:hAnsi="Times New Roman" w:cs="Times New Roman"/>
          <w:sz w:val="28"/>
          <w:szCs w:val="28"/>
        </w:rPr>
        <w:t xml:space="preserve">Plena </w:t>
      </w:r>
      <w:r w:rsidRPr="000149EE">
        <w:rPr>
          <w:rFonts w:ascii="Times New Roman" w:hAnsi="Times New Roman" w:cs="Times New Roman"/>
          <w:sz w:val="28"/>
          <w:szCs w:val="28"/>
        </w:rPr>
        <w:t>reitera</w:t>
      </w:r>
      <w:r w:rsidRPr="000149EE">
        <w:rPr>
          <w:rFonts w:ascii="Times New Roman" w:hAnsi="Times New Roman" w:cs="Times New Roman"/>
          <w:sz w:val="28"/>
          <w:szCs w:val="28"/>
        </w:rPr>
        <w:t xml:space="preserve"> que el condicionamiento ciertamente implicó una modificación de la norma objeto de control y, en concreto, de los contribuyentes que serán destinatarios del nuevo régimen</w:t>
      </w:r>
      <w:r w:rsidRPr="000149EE">
        <w:rPr>
          <w:rFonts w:ascii="Times New Roman" w:hAnsi="Times New Roman" w:cs="Times New Roman"/>
          <w:sz w:val="28"/>
          <w:szCs w:val="28"/>
        </w:rPr>
        <w:t xml:space="preserve"> tarifari</w:t>
      </w:r>
      <w:r w:rsidRPr="000149EE">
        <w:rPr>
          <w:rFonts w:ascii="Times New Roman" w:hAnsi="Times New Roman" w:cs="Times New Roman"/>
          <w:sz w:val="28"/>
          <w:szCs w:val="28"/>
        </w:rPr>
        <w:t>o que</w:t>
      </w:r>
      <w:r w:rsidRPr="000149EE">
        <w:rPr>
          <w:rFonts w:ascii="Times New Roman" w:hAnsi="Times New Roman" w:cs="Times New Roman"/>
          <w:sz w:val="28"/>
          <w:szCs w:val="28"/>
        </w:rPr>
        <w:t xml:space="preserve"> implementó</w:t>
      </w:r>
      <w:r w:rsidRPr="000149EE">
        <w:rPr>
          <w:rFonts w:ascii="Times New Roman" w:hAnsi="Times New Roman" w:cs="Times New Roman"/>
          <w:sz w:val="28"/>
          <w:szCs w:val="28"/>
        </w:rPr>
        <w:t xml:space="preserve"> el artíc</w:t>
      </w:r>
      <w:r w:rsidRPr="000149EE">
        <w:rPr>
          <w:rFonts w:ascii="Times New Roman" w:hAnsi="Times New Roman" w:cs="Times New Roman"/>
          <w:sz w:val="28"/>
          <w:szCs w:val="28"/>
        </w:rPr>
        <w:t>u</w:t>
      </w:r>
      <w:r w:rsidRPr="000149EE">
        <w:rPr>
          <w:rFonts w:ascii="Times New Roman" w:hAnsi="Times New Roman" w:cs="Times New Roman"/>
          <w:sz w:val="28"/>
          <w:szCs w:val="28"/>
        </w:rPr>
        <w:t>lo 11 de la Ley 2277 de 2022</w:t>
      </w:r>
      <w:r w:rsidRPr="000149EE">
        <w:rPr>
          <w:rFonts w:ascii="Times New Roman" w:hAnsi="Times New Roman" w:cs="Times New Roman"/>
          <w:sz w:val="28"/>
          <w:szCs w:val="28"/>
        </w:rPr>
        <w:t xml:space="preserve">. En efecto, tras el condicionamiento efectuado por la Corte en la sentencia C-384 de 2023, </w:t>
      </w:r>
      <w:r w:rsidRPr="000149EE">
        <w:rPr>
          <w:rFonts w:ascii="Times New Roman" w:hAnsi="Times New Roman" w:cs="Times New Roman"/>
          <w:iCs/>
          <w:sz w:val="28"/>
          <w:szCs w:val="28"/>
        </w:rPr>
        <w:t xml:space="preserve">existen </w:t>
      </w:r>
      <w:r w:rsidRPr="000149EE">
        <w:rPr>
          <w:rFonts w:ascii="Times New Roman" w:hAnsi="Times New Roman" w:cs="Times New Roman"/>
          <w:iCs/>
          <w:sz w:val="28"/>
          <w:szCs w:val="28"/>
        </w:rPr>
        <w:t xml:space="preserve">dos regímenes tarifarios que aplican a diferentes </w:t>
      </w:r>
      <w:r w:rsidRPr="000149EE">
        <w:rPr>
          <w:rFonts w:ascii="Times New Roman" w:hAnsi="Times New Roman" w:cs="Times New Roman"/>
          <w:iCs/>
          <w:sz w:val="28"/>
          <w:szCs w:val="28"/>
        </w:rPr>
        <w:t xml:space="preserve">grupos de sujetos de usuarios </w:t>
      </w:r>
      <w:r w:rsidRPr="000149EE">
        <w:rPr>
          <w:rFonts w:ascii="Times New Roman" w:hAnsi="Times New Roman" w:cs="Times New Roman"/>
          <w:iCs/>
          <w:sz w:val="28"/>
          <w:szCs w:val="28"/>
        </w:rPr>
        <w:t xml:space="preserve">industriales </w:t>
      </w:r>
      <w:r w:rsidRPr="000149EE">
        <w:rPr>
          <w:rFonts w:ascii="Times New Roman" w:hAnsi="Times New Roman" w:cs="Times New Roman"/>
          <w:iCs/>
          <w:sz w:val="28"/>
          <w:szCs w:val="28"/>
        </w:rPr>
        <w:t>de zona franca</w:t>
      </w:r>
      <w:r w:rsidRPr="000149EE">
        <w:rPr>
          <w:rFonts w:ascii="Times New Roman" w:hAnsi="Times New Roman" w:cs="Times New Roman"/>
          <w:iCs/>
          <w:sz w:val="28"/>
          <w:szCs w:val="28"/>
        </w:rPr>
        <w:t xml:space="preserve">: </w:t>
      </w:r>
    </w:p>
    <w:p w:rsidR="00384529" w:rsidRPr="000149EE" w:rsidRDefault="000149EE" w:rsidP="00D416CC">
      <w:pPr>
        <w:rPr>
          <w:rFonts w:ascii="Times New Roman" w:hAnsi="Times New Roman" w:cs="Times New Roman"/>
          <w:iCs/>
          <w:sz w:val="28"/>
          <w:szCs w:val="28"/>
        </w:rPr>
      </w:pPr>
    </w:p>
    <w:p w:rsidR="009D4F8D"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Cs/>
          <w:sz w:val="28"/>
          <w:szCs w:val="28"/>
          <w:u w:val="single"/>
        </w:rPr>
        <w:t>Régimen tarifario 1</w:t>
      </w:r>
      <w:r w:rsidRPr="000149EE">
        <w:rPr>
          <w:rFonts w:ascii="Times New Roman" w:hAnsi="Times New Roman" w:cs="Times New Roman"/>
          <w:iCs/>
          <w:sz w:val="28"/>
          <w:szCs w:val="28"/>
        </w:rPr>
        <w:t>: artículo 101 de la Ley 1819 de 2016.</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Este régimen es aplicable a l</w:t>
      </w:r>
      <w:r w:rsidRPr="000149EE">
        <w:rPr>
          <w:rFonts w:ascii="Times New Roman" w:hAnsi="Times New Roman" w:cs="Times New Roman"/>
          <w:iCs/>
          <w:sz w:val="28"/>
          <w:szCs w:val="28"/>
        </w:rPr>
        <w:t xml:space="preserve">os usuarios industriales que cumplieron las condiciones para acceder al régimen tarifario del artículo 101 de la Ley 1819 de 2016 antes del 13 de diciembre de 2022. </w:t>
      </w:r>
      <w:r w:rsidRPr="000149EE">
        <w:rPr>
          <w:rFonts w:ascii="Times New Roman" w:hAnsi="Times New Roman" w:cs="Times New Roman"/>
          <w:iCs/>
          <w:sz w:val="28"/>
          <w:szCs w:val="28"/>
        </w:rPr>
        <w:t>De acuerdo con el artíc</w:t>
      </w:r>
      <w:r w:rsidRPr="000149EE">
        <w:rPr>
          <w:rFonts w:ascii="Times New Roman" w:hAnsi="Times New Roman" w:cs="Times New Roman"/>
          <w:iCs/>
          <w:sz w:val="28"/>
          <w:szCs w:val="28"/>
        </w:rPr>
        <w:t>u</w:t>
      </w:r>
      <w:r w:rsidRPr="000149EE">
        <w:rPr>
          <w:rFonts w:ascii="Times New Roman" w:hAnsi="Times New Roman" w:cs="Times New Roman"/>
          <w:iCs/>
          <w:sz w:val="28"/>
          <w:szCs w:val="28"/>
        </w:rPr>
        <w:t>lo 101 de la Ley 1819 de 2016, la tarifa aplicable para liquidar el</w:t>
      </w:r>
      <w:r w:rsidRPr="000149EE">
        <w:rPr>
          <w:rFonts w:ascii="Times New Roman" w:hAnsi="Times New Roman" w:cs="Times New Roman"/>
          <w:iCs/>
          <w:sz w:val="28"/>
          <w:szCs w:val="28"/>
        </w:rPr>
        <w:t xml:space="preserve"> impuesto a la renta de estos </w:t>
      </w:r>
      <w:r w:rsidRPr="000149EE">
        <w:rPr>
          <w:rFonts w:ascii="Times New Roman" w:hAnsi="Times New Roman" w:cs="Times New Roman"/>
          <w:iCs/>
          <w:sz w:val="28"/>
          <w:szCs w:val="28"/>
        </w:rPr>
        <w:t xml:space="preserve">usuarios </w:t>
      </w:r>
      <w:r w:rsidRPr="000149EE">
        <w:rPr>
          <w:rFonts w:ascii="Times New Roman" w:hAnsi="Times New Roman" w:cs="Times New Roman"/>
          <w:iCs/>
          <w:sz w:val="28"/>
          <w:szCs w:val="28"/>
        </w:rPr>
        <w:t xml:space="preserve">es del 20%. </w:t>
      </w:r>
      <w:r w:rsidRPr="000149EE">
        <w:rPr>
          <w:rFonts w:ascii="Times New Roman" w:hAnsi="Times New Roman" w:cs="Times New Roman"/>
          <w:iCs/>
          <w:sz w:val="28"/>
          <w:szCs w:val="28"/>
        </w:rPr>
        <w:t xml:space="preserve"> </w:t>
      </w:r>
    </w:p>
    <w:p w:rsidR="00D54B2B"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Cs/>
          <w:sz w:val="28"/>
          <w:szCs w:val="28"/>
          <w:u w:val="single"/>
        </w:rPr>
        <w:t>Régimen tarifario 2</w:t>
      </w:r>
      <w:r w:rsidRPr="000149EE">
        <w:rPr>
          <w:rFonts w:ascii="Times New Roman" w:hAnsi="Times New Roman" w:cs="Times New Roman"/>
          <w:iCs/>
          <w:sz w:val="28"/>
          <w:szCs w:val="28"/>
        </w:rPr>
        <w:t>: artículo 11 de la Ley 2277 de 2022.</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 xml:space="preserve">Este régimen es aplicable </w:t>
      </w:r>
      <w:r w:rsidRPr="000149EE">
        <w:rPr>
          <w:rFonts w:ascii="Times New Roman" w:hAnsi="Times New Roman" w:cs="Times New Roman"/>
          <w:iCs/>
          <w:sz w:val="28"/>
          <w:szCs w:val="28"/>
        </w:rPr>
        <w:t>los usuarios industriales</w:t>
      </w:r>
      <w:r w:rsidRPr="000149EE">
        <w:rPr>
          <w:rFonts w:ascii="Times New Roman" w:hAnsi="Times New Roman" w:cs="Times New Roman"/>
          <w:iCs/>
          <w:sz w:val="28"/>
          <w:szCs w:val="28"/>
        </w:rPr>
        <w:t xml:space="preserve"> de zona franca </w:t>
      </w:r>
      <w:r w:rsidRPr="000149EE">
        <w:rPr>
          <w:rFonts w:ascii="Times New Roman" w:hAnsi="Times New Roman" w:cs="Times New Roman"/>
          <w:iCs/>
          <w:sz w:val="28"/>
          <w:szCs w:val="28"/>
        </w:rPr>
        <w:t>calificados después del 13 de diciembre de 2022</w:t>
      </w:r>
      <w:r w:rsidRPr="000149EE">
        <w:rPr>
          <w:rFonts w:ascii="Times New Roman" w:hAnsi="Times New Roman" w:cs="Times New Roman"/>
          <w:iCs/>
          <w:sz w:val="28"/>
          <w:szCs w:val="28"/>
        </w:rPr>
        <w:t>. Sin embargo, la norma establec</w:t>
      </w:r>
      <w:r w:rsidRPr="000149EE">
        <w:rPr>
          <w:rFonts w:ascii="Times New Roman" w:hAnsi="Times New Roman" w:cs="Times New Roman"/>
          <w:iCs/>
          <w:sz w:val="28"/>
          <w:szCs w:val="28"/>
        </w:rPr>
        <w:t>e tarifas diferenciadas a dos grupos de sujetos:</w:t>
      </w:r>
    </w:p>
    <w:p w:rsidR="00D54B2B" w:rsidRPr="000149EE" w:rsidRDefault="000149EE" w:rsidP="00D54B2B">
      <w:pPr>
        <w:pStyle w:val="Prrafodelista"/>
        <w:numPr>
          <w:ilvl w:val="0"/>
          <w:numId w:val="10"/>
        </w:numPr>
        <w:tabs>
          <w:tab w:val="left" w:pos="567"/>
        </w:tabs>
        <w:spacing w:line="240" w:lineRule="auto"/>
        <w:ind w:left="1276" w:hanging="425"/>
        <w:rPr>
          <w:rFonts w:ascii="Times New Roman" w:hAnsi="Times New Roman"/>
          <w:sz w:val="28"/>
        </w:rPr>
      </w:pPr>
      <w:r w:rsidRPr="000149EE">
        <w:rPr>
          <w:rFonts w:ascii="Times New Roman" w:hAnsi="Times New Roman"/>
          <w:iCs/>
          <w:sz w:val="28"/>
          <w:u w:val="single"/>
        </w:rPr>
        <w:t>Grupo 1</w:t>
      </w:r>
      <w:r w:rsidRPr="000149EE">
        <w:rPr>
          <w:rFonts w:ascii="Times New Roman" w:hAnsi="Times New Roman"/>
          <w:iCs/>
          <w:sz w:val="28"/>
        </w:rPr>
        <w:t>: los usuarios industriales</w:t>
      </w:r>
      <w:r w:rsidRPr="000149EE">
        <w:rPr>
          <w:rFonts w:ascii="Times New Roman" w:hAnsi="Times New Roman"/>
          <w:iCs/>
          <w:sz w:val="28"/>
        </w:rPr>
        <w:t xml:space="preserve"> de zonas francas que percib</w:t>
      </w:r>
      <w:r w:rsidRPr="000149EE">
        <w:rPr>
          <w:rFonts w:ascii="Times New Roman" w:hAnsi="Times New Roman"/>
          <w:iCs/>
          <w:sz w:val="28"/>
        </w:rPr>
        <w:t>e</w:t>
      </w:r>
      <w:r w:rsidRPr="000149EE">
        <w:rPr>
          <w:rFonts w:ascii="Times New Roman" w:hAnsi="Times New Roman"/>
          <w:iCs/>
          <w:sz w:val="28"/>
        </w:rPr>
        <w:t xml:space="preserve">n ingresos provenientes de la exportación de bienes y servicios y que </w:t>
      </w:r>
      <w:r w:rsidRPr="000149EE">
        <w:rPr>
          <w:rFonts w:ascii="Times New Roman" w:hAnsi="Times New Roman"/>
          <w:iCs/>
          <w:sz w:val="28"/>
        </w:rPr>
        <w:t>suscribieron</w:t>
      </w:r>
      <w:r w:rsidRPr="000149EE">
        <w:rPr>
          <w:rFonts w:ascii="Times New Roman" w:hAnsi="Times New Roman"/>
          <w:iCs/>
          <w:sz w:val="28"/>
        </w:rPr>
        <w:t xml:space="preserve"> y cumpli</w:t>
      </w:r>
      <w:r w:rsidRPr="000149EE">
        <w:rPr>
          <w:rFonts w:ascii="Times New Roman" w:hAnsi="Times New Roman"/>
          <w:iCs/>
          <w:sz w:val="28"/>
        </w:rPr>
        <w:t>eron</w:t>
      </w:r>
      <w:r w:rsidRPr="000149EE">
        <w:rPr>
          <w:rFonts w:ascii="Times New Roman" w:hAnsi="Times New Roman"/>
          <w:iCs/>
          <w:sz w:val="28"/>
        </w:rPr>
        <w:t xml:space="preserve"> el PIAV</w:t>
      </w:r>
      <w:r w:rsidRPr="000149EE">
        <w:rPr>
          <w:rFonts w:ascii="Times New Roman" w:hAnsi="Times New Roman"/>
          <w:iCs/>
          <w:sz w:val="28"/>
        </w:rPr>
        <w:t xml:space="preserve">. </w:t>
      </w:r>
      <w:r w:rsidRPr="000149EE">
        <w:rPr>
          <w:rFonts w:ascii="Times New Roman" w:hAnsi="Times New Roman"/>
          <w:iCs/>
          <w:sz w:val="28"/>
        </w:rPr>
        <w:t>De acuerdo con el numeral 1º del artíc</w:t>
      </w:r>
      <w:r w:rsidRPr="000149EE">
        <w:rPr>
          <w:rFonts w:ascii="Times New Roman" w:hAnsi="Times New Roman"/>
          <w:iCs/>
          <w:sz w:val="28"/>
        </w:rPr>
        <w:t>u</w:t>
      </w:r>
      <w:r w:rsidRPr="000149EE">
        <w:rPr>
          <w:rFonts w:ascii="Times New Roman" w:hAnsi="Times New Roman"/>
          <w:iCs/>
          <w:sz w:val="28"/>
        </w:rPr>
        <w:t xml:space="preserve">lo 11 de la </w:t>
      </w:r>
      <w:r w:rsidRPr="000149EE">
        <w:rPr>
          <w:rFonts w:ascii="Times New Roman" w:hAnsi="Times New Roman"/>
          <w:iCs/>
          <w:sz w:val="28"/>
        </w:rPr>
        <w:t>L</w:t>
      </w:r>
      <w:r w:rsidRPr="000149EE">
        <w:rPr>
          <w:rFonts w:ascii="Times New Roman" w:hAnsi="Times New Roman"/>
          <w:iCs/>
          <w:sz w:val="28"/>
        </w:rPr>
        <w:t xml:space="preserve">ey 2277 de 2022, a los ingresos provenientes de exportación de estos usuarios les será aplicable la tarifa preferencial </w:t>
      </w:r>
      <w:r w:rsidRPr="000149EE">
        <w:rPr>
          <w:rFonts w:ascii="Times New Roman" w:hAnsi="Times New Roman"/>
          <w:iCs/>
          <w:sz w:val="28"/>
        </w:rPr>
        <w:t>del 20%.</w:t>
      </w:r>
    </w:p>
    <w:p w:rsidR="00384529" w:rsidRPr="000149EE" w:rsidRDefault="000149EE" w:rsidP="00D54B2B">
      <w:pPr>
        <w:pStyle w:val="Prrafodelista"/>
        <w:numPr>
          <w:ilvl w:val="0"/>
          <w:numId w:val="10"/>
        </w:numPr>
        <w:tabs>
          <w:tab w:val="left" w:pos="567"/>
        </w:tabs>
        <w:spacing w:line="240" w:lineRule="auto"/>
        <w:ind w:left="1276" w:hanging="425"/>
        <w:rPr>
          <w:rFonts w:ascii="Times New Roman" w:hAnsi="Times New Roman"/>
          <w:sz w:val="28"/>
        </w:rPr>
      </w:pPr>
      <w:r w:rsidRPr="000149EE">
        <w:rPr>
          <w:rFonts w:ascii="Times New Roman" w:hAnsi="Times New Roman"/>
          <w:iCs/>
          <w:sz w:val="28"/>
          <w:u w:val="single"/>
        </w:rPr>
        <w:t>Grupo 2</w:t>
      </w:r>
      <w:r w:rsidRPr="000149EE">
        <w:rPr>
          <w:rFonts w:ascii="Times New Roman" w:hAnsi="Times New Roman"/>
          <w:iCs/>
          <w:sz w:val="28"/>
        </w:rPr>
        <w:t xml:space="preserve">: </w:t>
      </w:r>
      <w:r w:rsidRPr="000149EE">
        <w:rPr>
          <w:rFonts w:ascii="Times New Roman" w:hAnsi="Times New Roman"/>
          <w:iCs/>
          <w:sz w:val="28"/>
        </w:rPr>
        <w:t xml:space="preserve">los usuarios industriales de zonas francas que no perciben ingresos provenientes de la exportación de </w:t>
      </w:r>
      <w:r w:rsidRPr="000149EE">
        <w:rPr>
          <w:rFonts w:ascii="Times New Roman" w:hAnsi="Times New Roman"/>
          <w:iCs/>
          <w:sz w:val="28"/>
        </w:rPr>
        <w:t>bienes y servicios o no suscribieron y cumplieron el PIAV</w:t>
      </w:r>
      <w:r w:rsidRPr="000149EE">
        <w:rPr>
          <w:rFonts w:ascii="Times New Roman" w:hAnsi="Times New Roman"/>
          <w:iCs/>
          <w:sz w:val="28"/>
        </w:rPr>
        <w:t xml:space="preserve">. </w:t>
      </w:r>
      <w:r w:rsidRPr="000149EE">
        <w:rPr>
          <w:rFonts w:ascii="Times New Roman" w:hAnsi="Times New Roman"/>
          <w:iCs/>
          <w:sz w:val="28"/>
        </w:rPr>
        <w:t xml:space="preserve">Conforme al numeral 2 del artículo 11 de la Ley 2277 de 2022, </w:t>
      </w:r>
      <w:r w:rsidRPr="000149EE">
        <w:rPr>
          <w:rFonts w:ascii="Times New Roman" w:hAnsi="Times New Roman"/>
          <w:iCs/>
          <w:sz w:val="28"/>
        </w:rPr>
        <w:t xml:space="preserve">los ingresos </w:t>
      </w:r>
      <w:r w:rsidRPr="000149EE">
        <w:rPr>
          <w:rFonts w:ascii="Times New Roman" w:hAnsi="Times New Roman"/>
          <w:iCs/>
          <w:sz w:val="28"/>
        </w:rPr>
        <w:t xml:space="preserve">de estos sujetos serán gravados a una tarifa del 35% (tarifa general del impuesto </w:t>
      </w:r>
      <w:r w:rsidRPr="000149EE">
        <w:rPr>
          <w:rFonts w:ascii="Times New Roman" w:hAnsi="Times New Roman"/>
          <w:iCs/>
          <w:sz w:val="28"/>
        </w:rPr>
        <w:t>sobre</w:t>
      </w:r>
      <w:r w:rsidRPr="000149EE">
        <w:rPr>
          <w:rFonts w:ascii="Times New Roman" w:hAnsi="Times New Roman"/>
          <w:iCs/>
          <w:sz w:val="28"/>
        </w:rPr>
        <w:t xml:space="preserve"> la renta </w:t>
      </w:r>
      <w:r w:rsidRPr="000149EE">
        <w:rPr>
          <w:rFonts w:ascii="Times New Roman" w:hAnsi="Times New Roman"/>
          <w:iCs/>
          <w:sz w:val="28"/>
        </w:rPr>
        <w:t>para</w:t>
      </w:r>
      <w:r w:rsidRPr="000149EE">
        <w:rPr>
          <w:rFonts w:ascii="Times New Roman" w:hAnsi="Times New Roman"/>
          <w:iCs/>
          <w:sz w:val="28"/>
        </w:rPr>
        <w:t xml:space="preserve"> personas jurídicas).</w:t>
      </w:r>
    </w:p>
    <w:p w:rsidR="00384529" w:rsidRPr="000149EE" w:rsidRDefault="000149EE" w:rsidP="00384529">
      <w:pPr>
        <w:pStyle w:val="Prrafodelista"/>
        <w:spacing w:line="240" w:lineRule="auto"/>
        <w:rPr>
          <w:rFonts w:ascii="Times New Roman" w:hAnsi="Times New Roman"/>
          <w:iCs/>
          <w:sz w:val="28"/>
        </w:rPr>
      </w:pPr>
    </w:p>
    <w:p w:rsidR="00412719"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La Sala advierte, sin embargo, que el cambi</w:t>
      </w:r>
      <w:r w:rsidRPr="000149EE">
        <w:rPr>
          <w:rFonts w:ascii="Times New Roman" w:hAnsi="Times New Roman" w:cs="Times New Roman"/>
          <w:sz w:val="28"/>
          <w:szCs w:val="28"/>
        </w:rPr>
        <w:t>o</w:t>
      </w:r>
      <w:r w:rsidRPr="000149EE">
        <w:rPr>
          <w:rFonts w:ascii="Times New Roman" w:hAnsi="Times New Roman" w:cs="Times New Roman"/>
          <w:sz w:val="28"/>
          <w:szCs w:val="28"/>
        </w:rPr>
        <w:t xml:space="preserve"> en el ámbito de aplicación temporal y subjetivo de las normas demandadas, </w:t>
      </w:r>
      <w:r w:rsidRPr="000149EE">
        <w:rPr>
          <w:rFonts w:ascii="Times New Roman" w:hAnsi="Times New Roman" w:cs="Times New Roman"/>
          <w:sz w:val="28"/>
          <w:szCs w:val="28"/>
        </w:rPr>
        <w:t>que se deriva</w:t>
      </w:r>
      <w:r w:rsidRPr="000149EE">
        <w:rPr>
          <w:rFonts w:ascii="Times New Roman" w:hAnsi="Times New Roman" w:cs="Times New Roman"/>
          <w:sz w:val="28"/>
          <w:szCs w:val="28"/>
        </w:rPr>
        <w:t xml:space="preserve"> del condicionamiento efectuado por la Corte en la sentencia C</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384 de 2023, no condujo a la </w:t>
      </w:r>
      <w:r w:rsidRPr="000149EE">
        <w:rPr>
          <w:rFonts w:ascii="Times New Roman" w:hAnsi="Times New Roman" w:cs="Times New Roman"/>
          <w:sz w:val="28"/>
          <w:szCs w:val="28"/>
        </w:rPr>
        <w:t>ineptitud</w:t>
      </w:r>
      <w:r w:rsidRPr="000149EE">
        <w:rPr>
          <w:rFonts w:ascii="Times New Roman" w:hAnsi="Times New Roman" w:cs="Times New Roman"/>
          <w:sz w:val="28"/>
          <w:szCs w:val="28"/>
        </w:rPr>
        <w:t xml:space="preserve"> sobreviniente de la </w:t>
      </w:r>
      <w:r w:rsidRPr="000149EE">
        <w:rPr>
          <w:rFonts w:ascii="Times New Roman" w:hAnsi="Times New Roman" w:cs="Times New Roman"/>
          <w:sz w:val="28"/>
          <w:szCs w:val="28"/>
        </w:rPr>
        <w:t xml:space="preserve">presente </w:t>
      </w:r>
      <w:r w:rsidRPr="000149EE">
        <w:rPr>
          <w:rFonts w:ascii="Times New Roman" w:hAnsi="Times New Roman" w:cs="Times New Roman"/>
          <w:sz w:val="28"/>
          <w:szCs w:val="28"/>
        </w:rPr>
        <w:t xml:space="preserve">demanda. Esto es así, por dos razones. Primero, la interpretación de las normas demandadas </w:t>
      </w:r>
      <w:r w:rsidRPr="000149EE">
        <w:rPr>
          <w:rFonts w:ascii="Times New Roman" w:hAnsi="Times New Roman" w:cs="Times New Roman"/>
          <w:sz w:val="28"/>
          <w:szCs w:val="28"/>
        </w:rPr>
        <w:t xml:space="preserve">que propone la actora </w:t>
      </w:r>
      <w:r w:rsidRPr="000149EE">
        <w:rPr>
          <w:rFonts w:ascii="Times New Roman" w:hAnsi="Times New Roman" w:cs="Times New Roman"/>
          <w:sz w:val="28"/>
          <w:szCs w:val="28"/>
        </w:rPr>
        <w:t>sigue siendo ciert</w:t>
      </w:r>
      <w:r w:rsidRPr="000149EE">
        <w:rPr>
          <w:rFonts w:ascii="Times New Roman" w:hAnsi="Times New Roman" w:cs="Times New Roman"/>
          <w:sz w:val="28"/>
          <w:szCs w:val="28"/>
        </w:rPr>
        <w:t xml:space="preserve">a. </w:t>
      </w:r>
      <w:r w:rsidRPr="000149EE">
        <w:rPr>
          <w:rFonts w:ascii="Times New Roman" w:hAnsi="Times New Roman" w:cs="Times New Roman"/>
          <w:sz w:val="28"/>
          <w:szCs w:val="28"/>
        </w:rPr>
        <w:t xml:space="preserve">En efecto, </w:t>
      </w:r>
      <w:r w:rsidRPr="000149EE">
        <w:rPr>
          <w:rFonts w:ascii="Times New Roman" w:hAnsi="Times New Roman" w:cs="Times New Roman"/>
          <w:sz w:val="28"/>
          <w:szCs w:val="28"/>
        </w:rPr>
        <w:t>los numerales 1, 2 y 3, así como el parágrafo 6º del artículo 11 de la Ley 2277 de 2022,</w:t>
      </w:r>
      <w:r w:rsidRPr="000149EE">
        <w:rPr>
          <w:rFonts w:ascii="Times New Roman" w:hAnsi="Times New Roman" w:cs="Times New Roman"/>
          <w:sz w:val="28"/>
          <w:szCs w:val="28"/>
        </w:rPr>
        <w:t xml:space="preserve"> establecen </w:t>
      </w:r>
      <w:r w:rsidRPr="000149EE">
        <w:rPr>
          <w:rFonts w:ascii="Times New Roman" w:hAnsi="Times New Roman" w:cs="Times New Roman"/>
          <w:sz w:val="28"/>
          <w:szCs w:val="28"/>
        </w:rPr>
        <w:t>do</w:t>
      </w:r>
      <w:r w:rsidRPr="000149EE">
        <w:rPr>
          <w:rFonts w:ascii="Times New Roman" w:hAnsi="Times New Roman" w:cs="Times New Roman"/>
          <w:sz w:val="28"/>
          <w:szCs w:val="28"/>
        </w:rPr>
        <w:t>s tarifas -preferencial y general- para la liquidación del impuesto a la renta de los usuarios industriales de zonas francas calificados después del 13 de diciembre de 2022</w:t>
      </w:r>
      <w:r w:rsidRPr="000149EE">
        <w:rPr>
          <w:rStyle w:val="Refdenotaalpie"/>
          <w:rFonts w:ascii="Times New Roman" w:hAnsi="Times New Roman" w:cs="Times New Roman"/>
          <w:sz w:val="28"/>
          <w:szCs w:val="28"/>
        </w:rPr>
        <w:footnoteReference w:id="69"/>
      </w:r>
      <w:r w:rsidRPr="000149EE">
        <w:rPr>
          <w:rFonts w:ascii="Times New Roman" w:hAnsi="Times New Roman" w:cs="Times New Roman"/>
          <w:sz w:val="28"/>
          <w:szCs w:val="28"/>
        </w:rPr>
        <w:t>. Segundo, la demandante denuncia que este régimen tarifario conduce a una diferenc</w:t>
      </w:r>
      <w:r w:rsidRPr="000149EE">
        <w:rPr>
          <w:rFonts w:ascii="Times New Roman" w:hAnsi="Times New Roman" w:cs="Times New Roman"/>
          <w:sz w:val="28"/>
          <w:szCs w:val="28"/>
        </w:rPr>
        <w:t xml:space="preserve">ia de trato tributario entre los grupos de sujetos </w:t>
      </w:r>
      <w:r w:rsidRPr="000149EE">
        <w:rPr>
          <w:rFonts w:ascii="Times New Roman" w:hAnsi="Times New Roman" w:cs="Times New Roman"/>
          <w:sz w:val="28"/>
          <w:szCs w:val="28"/>
        </w:rPr>
        <w:t>1</w:t>
      </w:r>
      <w:r w:rsidRPr="000149EE">
        <w:rPr>
          <w:rFonts w:ascii="Times New Roman" w:hAnsi="Times New Roman" w:cs="Times New Roman"/>
          <w:sz w:val="28"/>
          <w:szCs w:val="28"/>
        </w:rPr>
        <w:t xml:space="preserve"> y </w:t>
      </w:r>
      <w:r w:rsidRPr="000149EE">
        <w:rPr>
          <w:rFonts w:ascii="Times New Roman" w:hAnsi="Times New Roman" w:cs="Times New Roman"/>
          <w:sz w:val="28"/>
          <w:szCs w:val="28"/>
        </w:rPr>
        <w:t>2</w:t>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supra</w:t>
      </w:r>
      <w:r w:rsidRPr="000149EE">
        <w:rPr>
          <w:rFonts w:ascii="Times New Roman" w:hAnsi="Times New Roman" w:cs="Times New Roman"/>
          <w:sz w:val="28"/>
          <w:szCs w:val="28"/>
        </w:rPr>
        <w:t>, a quienes les es aplicable el régimen tarifario que el artíc</w:t>
      </w:r>
      <w:r w:rsidRPr="000149EE">
        <w:rPr>
          <w:rFonts w:ascii="Times New Roman" w:hAnsi="Times New Roman" w:cs="Times New Roman"/>
          <w:sz w:val="28"/>
          <w:szCs w:val="28"/>
        </w:rPr>
        <w:t>u</w:t>
      </w:r>
      <w:r w:rsidRPr="000149EE">
        <w:rPr>
          <w:rFonts w:ascii="Times New Roman" w:hAnsi="Times New Roman" w:cs="Times New Roman"/>
          <w:sz w:val="28"/>
          <w:szCs w:val="28"/>
        </w:rPr>
        <w:t xml:space="preserve">lo 11 de la Ley 2277 de 2022 introdujo. </w:t>
      </w:r>
      <w:r w:rsidRPr="000149EE">
        <w:rPr>
          <w:rFonts w:ascii="Times New Roman" w:hAnsi="Times New Roman" w:cs="Times New Roman"/>
          <w:sz w:val="28"/>
          <w:szCs w:val="28"/>
        </w:rPr>
        <w:t xml:space="preserve">La sentencia C-384 de 2023 no modificó la situación jurídica de estos grupos de sujetos, </w:t>
      </w:r>
      <w:r w:rsidRPr="000149EE">
        <w:rPr>
          <w:rFonts w:ascii="Times New Roman" w:hAnsi="Times New Roman" w:cs="Times New Roman"/>
          <w:sz w:val="28"/>
          <w:szCs w:val="28"/>
        </w:rPr>
        <w:t>ni</w:t>
      </w:r>
      <w:r w:rsidRPr="000149EE">
        <w:rPr>
          <w:rFonts w:ascii="Times New Roman" w:hAnsi="Times New Roman" w:cs="Times New Roman"/>
          <w:sz w:val="28"/>
          <w:szCs w:val="28"/>
        </w:rPr>
        <w:t xml:space="preserve"> las condiciones para acceder a la tarifa preferencial</w:t>
      </w:r>
      <w:r w:rsidRPr="000149EE">
        <w:rPr>
          <w:rFonts w:ascii="Times New Roman" w:hAnsi="Times New Roman" w:cs="Times New Roman"/>
          <w:sz w:val="28"/>
          <w:szCs w:val="28"/>
        </w:rPr>
        <w:t xml:space="preserve"> prevista en el numeral 1º de la norma demandada</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 xml:space="preserve">por lo que </w:t>
      </w:r>
      <w:r w:rsidRPr="000149EE">
        <w:rPr>
          <w:rFonts w:ascii="Times New Roman" w:hAnsi="Times New Roman" w:cs="Times New Roman"/>
          <w:sz w:val="28"/>
          <w:szCs w:val="28"/>
        </w:rPr>
        <w:t xml:space="preserve">persiste la </w:t>
      </w:r>
      <w:r w:rsidRPr="000149EE">
        <w:rPr>
          <w:rFonts w:ascii="Times New Roman" w:hAnsi="Times New Roman" w:cs="Times New Roman"/>
          <w:sz w:val="28"/>
          <w:szCs w:val="28"/>
        </w:rPr>
        <w:t>diferencia de trato que</w:t>
      </w:r>
      <w:r w:rsidRPr="000149EE">
        <w:rPr>
          <w:rFonts w:ascii="Times New Roman" w:hAnsi="Times New Roman" w:cs="Times New Roman"/>
          <w:sz w:val="28"/>
          <w:szCs w:val="28"/>
        </w:rPr>
        <w:t xml:space="preserve">, según la </w:t>
      </w:r>
      <w:r w:rsidRPr="000149EE">
        <w:rPr>
          <w:rFonts w:ascii="Times New Roman" w:hAnsi="Times New Roman" w:cs="Times New Roman"/>
          <w:sz w:val="28"/>
          <w:szCs w:val="28"/>
        </w:rPr>
        <w:t>demandante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contrar</w:t>
      </w:r>
      <w:r w:rsidRPr="000149EE">
        <w:rPr>
          <w:rFonts w:ascii="Times New Roman" w:hAnsi="Times New Roman" w:cs="Times New Roman"/>
          <w:sz w:val="28"/>
          <w:szCs w:val="28"/>
        </w:rPr>
        <w:t>í</w:t>
      </w:r>
      <w:r w:rsidRPr="000149EE">
        <w:rPr>
          <w:rFonts w:ascii="Times New Roman" w:hAnsi="Times New Roman" w:cs="Times New Roman"/>
          <w:sz w:val="28"/>
          <w:szCs w:val="28"/>
        </w:rPr>
        <w:t xml:space="preserve">a a los principios de igualdad y equidad tributaria. </w:t>
      </w:r>
    </w:p>
    <w:p w:rsidR="00C746F6" w:rsidRPr="000149EE" w:rsidRDefault="000149EE" w:rsidP="00BF6876">
      <w:pPr>
        <w:pStyle w:val="Prrafodelista"/>
        <w:widowControl w:val="0"/>
        <w:spacing w:line="240" w:lineRule="auto"/>
        <w:ind w:left="0"/>
        <w:rPr>
          <w:rFonts w:ascii="Times New Roman" w:hAnsi="Times New Roman"/>
          <w:sz w:val="28"/>
        </w:rPr>
      </w:pPr>
    </w:p>
    <w:p w:rsidR="003003BB" w:rsidRPr="000149EE" w:rsidRDefault="000149EE" w:rsidP="003F0FC3">
      <w:pPr>
        <w:pStyle w:val="Ttulo2"/>
        <w:numPr>
          <w:ilvl w:val="0"/>
          <w:numId w:val="7"/>
        </w:numPr>
        <w:ind w:left="709" w:hanging="425"/>
        <w:rPr>
          <w:rFonts w:ascii="Times New Roman" w:hAnsi="Times New Roman" w:cs="Times New Roman"/>
          <w:sz w:val="28"/>
          <w:szCs w:val="28"/>
        </w:rPr>
      </w:pPr>
      <w:r w:rsidRPr="000149EE">
        <w:rPr>
          <w:rFonts w:ascii="Times New Roman" w:hAnsi="Times New Roman" w:cs="Times New Roman"/>
          <w:bCs/>
          <w:sz w:val="28"/>
          <w:szCs w:val="28"/>
        </w:rPr>
        <w:t>Examen de constituci</w:t>
      </w:r>
      <w:r w:rsidRPr="000149EE">
        <w:rPr>
          <w:rFonts w:ascii="Times New Roman" w:hAnsi="Times New Roman" w:cs="Times New Roman"/>
          <w:bCs/>
          <w:sz w:val="28"/>
          <w:szCs w:val="28"/>
        </w:rPr>
        <w:t>onalidad de la norma demandada</w:t>
      </w:r>
    </w:p>
    <w:p w:rsidR="00273EF6" w:rsidRPr="000149EE" w:rsidRDefault="000149EE" w:rsidP="001A47E2">
      <w:pPr>
        <w:rPr>
          <w:rFonts w:ascii="Times New Roman" w:hAnsi="Times New Roman" w:cs="Times New Roman"/>
          <w:sz w:val="28"/>
          <w:szCs w:val="28"/>
        </w:rPr>
      </w:pPr>
    </w:p>
    <w:p w:rsidR="00DE6B9A"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Problema jurídico</w:t>
      </w:r>
      <w:r w:rsidRPr="000149EE">
        <w:rPr>
          <w:rFonts w:ascii="Times New Roman" w:hAnsi="Times New Roman" w:cs="Times New Roman"/>
          <w:sz w:val="28"/>
          <w:szCs w:val="28"/>
        </w:rPr>
        <w:t>. La Sala Plena resolverá el siguiente problema jurídico:</w:t>
      </w:r>
    </w:p>
    <w:p w:rsidR="00DE6B9A" w:rsidRPr="000149EE" w:rsidRDefault="000149EE" w:rsidP="001A47E2">
      <w:pPr>
        <w:pStyle w:val="Prrafodelista"/>
        <w:tabs>
          <w:tab w:val="left" w:pos="709"/>
        </w:tabs>
        <w:spacing w:line="240" w:lineRule="auto"/>
        <w:ind w:left="0" w:right="307"/>
        <w:rPr>
          <w:rFonts w:ascii="Times New Roman" w:hAnsi="Times New Roman"/>
          <w:bCs/>
          <w:sz w:val="28"/>
        </w:rPr>
      </w:pPr>
    </w:p>
    <w:p w:rsidR="00DE6B9A" w:rsidRPr="000149EE" w:rsidRDefault="000149EE" w:rsidP="007D5C33">
      <w:pPr>
        <w:pStyle w:val="Prrafodelista"/>
        <w:tabs>
          <w:tab w:val="left" w:pos="709"/>
        </w:tabs>
        <w:spacing w:line="240" w:lineRule="auto"/>
        <w:ind w:left="709" w:right="307" w:hanging="29"/>
        <w:rPr>
          <w:rFonts w:ascii="Times New Roman" w:hAnsi="Times New Roman"/>
          <w:sz w:val="28"/>
        </w:rPr>
      </w:pPr>
      <w:r w:rsidRPr="000149EE">
        <w:rPr>
          <w:rFonts w:ascii="Times New Roman" w:hAnsi="Times New Roman"/>
          <w:sz w:val="28"/>
        </w:rPr>
        <w:tab/>
        <w:t>¿</w:t>
      </w:r>
      <w:r w:rsidRPr="000149EE">
        <w:rPr>
          <w:rFonts w:ascii="Times New Roman" w:eastAsiaTheme="minorHAnsi" w:hAnsi="Times New Roman"/>
          <w:color w:val="auto"/>
          <w:sz w:val="28"/>
        </w:rPr>
        <w:t>L</w:t>
      </w:r>
      <w:r w:rsidRPr="000149EE">
        <w:rPr>
          <w:rFonts w:ascii="Times New Roman" w:hAnsi="Times New Roman"/>
          <w:sz w:val="28"/>
        </w:rPr>
        <w:t>os numerales 1, 2 y 3 y el parágrafo 6° del artículo 240-1 del E</w:t>
      </w:r>
      <w:r w:rsidRPr="000149EE">
        <w:rPr>
          <w:rFonts w:ascii="Times New Roman" w:hAnsi="Times New Roman"/>
          <w:sz w:val="28"/>
        </w:rPr>
        <w:t xml:space="preserve">statuto </w:t>
      </w:r>
      <w:r w:rsidRPr="000149EE">
        <w:rPr>
          <w:rFonts w:ascii="Times New Roman" w:hAnsi="Times New Roman"/>
          <w:sz w:val="28"/>
        </w:rPr>
        <w:t>T</w:t>
      </w:r>
      <w:r w:rsidRPr="000149EE">
        <w:rPr>
          <w:rFonts w:ascii="Times New Roman" w:hAnsi="Times New Roman"/>
          <w:sz w:val="28"/>
        </w:rPr>
        <w:t>ributario</w:t>
      </w:r>
      <w:r w:rsidRPr="000149EE">
        <w:rPr>
          <w:rFonts w:ascii="Times New Roman" w:hAnsi="Times New Roman"/>
          <w:sz w:val="28"/>
        </w:rPr>
        <w:t>, modificados por el artículo 11 de la Ley 2277 de 2022</w:t>
      </w:r>
      <w:r w:rsidRPr="000149EE">
        <w:rPr>
          <w:rFonts w:ascii="Times New Roman" w:hAnsi="Times New Roman"/>
          <w:bCs/>
          <w:sz w:val="28"/>
        </w:rPr>
        <w:t>,</w:t>
      </w:r>
      <w:r w:rsidRPr="000149EE">
        <w:rPr>
          <w:rFonts w:ascii="Times New Roman" w:hAnsi="Times New Roman"/>
          <w:sz w:val="28"/>
        </w:rPr>
        <w:t xml:space="preserve"> vulneran los principios de igualdad y equidad tributaria (arts. 13 y 363 de la CP)</w:t>
      </w:r>
      <w:r w:rsidRPr="000149EE">
        <w:rPr>
          <w:rFonts w:ascii="Times New Roman" w:hAnsi="Times New Roman"/>
          <w:sz w:val="28"/>
        </w:rPr>
        <w:t xml:space="preserve">, al disponer que, para efectos de la liquidación del impuesto a la renta, </w:t>
      </w:r>
      <w:r w:rsidRPr="000149EE">
        <w:rPr>
          <w:rFonts w:ascii="Times New Roman" w:hAnsi="Times New Roman"/>
          <w:sz w:val="28"/>
        </w:rPr>
        <w:t>los ingresos provenientes de exportaciones</w:t>
      </w:r>
      <w:r w:rsidRPr="000149EE">
        <w:rPr>
          <w:rFonts w:ascii="Times New Roman" w:hAnsi="Times New Roman"/>
          <w:sz w:val="28"/>
        </w:rPr>
        <w:t xml:space="preserve"> de los usuarios industriales que suscribieron y cumplie</w:t>
      </w:r>
      <w:r w:rsidRPr="000149EE">
        <w:rPr>
          <w:rFonts w:ascii="Times New Roman" w:hAnsi="Times New Roman"/>
          <w:sz w:val="28"/>
        </w:rPr>
        <w:t xml:space="preserve">ron el </w:t>
      </w:r>
      <w:r w:rsidRPr="000149EE">
        <w:rPr>
          <w:rFonts w:ascii="Times New Roman" w:hAnsi="Times New Roman"/>
          <w:sz w:val="28"/>
        </w:rPr>
        <w:t>PIAV</w:t>
      </w:r>
      <w:r w:rsidRPr="000149EE">
        <w:rPr>
          <w:rFonts w:ascii="Times New Roman" w:hAnsi="Times New Roman"/>
          <w:sz w:val="28"/>
        </w:rPr>
        <w:t xml:space="preserve"> serán gravados a una </w:t>
      </w:r>
      <w:r w:rsidRPr="000149EE">
        <w:rPr>
          <w:rFonts w:ascii="Times New Roman" w:hAnsi="Times New Roman"/>
          <w:sz w:val="28"/>
        </w:rPr>
        <w:t xml:space="preserve">tarifa preferencial (20%) y, en contraste, </w:t>
      </w:r>
      <w:r w:rsidRPr="000149EE">
        <w:rPr>
          <w:rFonts w:ascii="Times New Roman" w:hAnsi="Times New Roman"/>
          <w:sz w:val="28"/>
        </w:rPr>
        <w:t xml:space="preserve">a los ingresos de los usuarios industriales </w:t>
      </w:r>
      <w:r w:rsidRPr="000149EE">
        <w:rPr>
          <w:rFonts w:ascii="Times New Roman" w:hAnsi="Times New Roman"/>
          <w:sz w:val="28"/>
        </w:rPr>
        <w:t xml:space="preserve">-con independencia del origen- </w:t>
      </w:r>
      <w:r w:rsidRPr="000149EE">
        <w:rPr>
          <w:rFonts w:ascii="Times New Roman" w:hAnsi="Times New Roman"/>
          <w:sz w:val="28"/>
        </w:rPr>
        <w:t>que</w:t>
      </w:r>
      <w:r w:rsidRPr="000149EE">
        <w:rPr>
          <w:rFonts w:ascii="Times New Roman" w:hAnsi="Times New Roman"/>
          <w:sz w:val="28"/>
        </w:rPr>
        <w:t xml:space="preserve"> </w:t>
      </w:r>
      <w:r w:rsidRPr="000149EE">
        <w:rPr>
          <w:rFonts w:ascii="Times New Roman" w:hAnsi="Times New Roman"/>
          <w:iCs/>
          <w:sz w:val="28"/>
        </w:rPr>
        <w:t xml:space="preserve">no suscribieron y cumplieron el PIAV </w:t>
      </w:r>
      <w:r w:rsidRPr="000149EE">
        <w:rPr>
          <w:rFonts w:ascii="Times New Roman" w:hAnsi="Times New Roman"/>
          <w:sz w:val="28"/>
        </w:rPr>
        <w:t>se les aplicará</w:t>
      </w:r>
      <w:r w:rsidRPr="000149EE">
        <w:rPr>
          <w:rFonts w:ascii="Times New Roman" w:hAnsi="Times New Roman"/>
          <w:sz w:val="28"/>
        </w:rPr>
        <w:t xml:space="preserve"> la tarifa general de las personas jurídicas (35%</w:t>
      </w:r>
      <w:r w:rsidRPr="000149EE">
        <w:rPr>
          <w:rFonts w:ascii="Times New Roman" w:hAnsi="Times New Roman"/>
          <w:sz w:val="28"/>
        </w:rPr>
        <w:t>)?</w:t>
      </w:r>
      <w:r w:rsidRPr="000149EE">
        <w:rPr>
          <w:rFonts w:ascii="Times New Roman" w:hAnsi="Times New Roman"/>
          <w:sz w:val="28"/>
        </w:rPr>
        <w:t xml:space="preserve"> </w:t>
      </w:r>
    </w:p>
    <w:p w:rsidR="00DE6B9A" w:rsidRPr="000149EE" w:rsidRDefault="000149EE" w:rsidP="001A47E2">
      <w:pPr>
        <w:pStyle w:val="Prrafodelista"/>
        <w:spacing w:line="240" w:lineRule="auto"/>
        <w:rPr>
          <w:rFonts w:ascii="Times New Roman" w:hAnsi="Times New Roman"/>
          <w:sz w:val="28"/>
        </w:rPr>
      </w:pPr>
    </w:p>
    <w:p w:rsidR="00DE6B9A"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Metodología de decisión</w:t>
      </w:r>
      <w:r w:rsidRPr="000149EE">
        <w:rPr>
          <w:rFonts w:ascii="Times New Roman" w:hAnsi="Times New Roman" w:cs="Times New Roman"/>
          <w:sz w:val="28"/>
          <w:szCs w:val="28"/>
        </w:rPr>
        <w:t>. Para resolver el problema jurídico planteado</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la Sala Plena </w:t>
      </w:r>
      <w:r w:rsidRPr="000149EE">
        <w:rPr>
          <w:rFonts w:ascii="Times New Roman" w:hAnsi="Times New Roman" w:cs="Times New Roman"/>
          <w:sz w:val="28"/>
          <w:szCs w:val="28"/>
        </w:rPr>
        <w:t>utilizará</w:t>
      </w:r>
      <w:r w:rsidRPr="000149EE">
        <w:rPr>
          <w:rFonts w:ascii="Times New Roman" w:hAnsi="Times New Roman" w:cs="Times New Roman"/>
          <w:sz w:val="28"/>
          <w:szCs w:val="28"/>
        </w:rPr>
        <w:t xml:space="preserve"> la siguiente metodología de decisión. </w:t>
      </w:r>
      <w:r w:rsidRPr="000149EE">
        <w:rPr>
          <w:rFonts w:ascii="Times New Roman" w:hAnsi="Times New Roman" w:cs="Times New Roman"/>
          <w:sz w:val="28"/>
          <w:szCs w:val="28"/>
        </w:rPr>
        <w:t>En primer lugar, delimitará el contenido normativo de las disposiciones acusadas del artículo 11 de la Ley 2277 de 202</w:t>
      </w:r>
      <w:r w:rsidRPr="000149EE">
        <w:rPr>
          <w:rFonts w:ascii="Times New Roman" w:hAnsi="Times New Roman" w:cs="Times New Roman"/>
          <w:sz w:val="28"/>
          <w:szCs w:val="28"/>
        </w:rPr>
        <w:t xml:space="preserve">2 y describirá el contexto normativo en el que se inscriben. A dichos efectos, se referirá al régimen </w:t>
      </w:r>
      <w:r w:rsidRPr="000149EE">
        <w:rPr>
          <w:rFonts w:ascii="Times New Roman" w:hAnsi="Times New Roman" w:cs="Times New Roman"/>
          <w:sz w:val="28"/>
          <w:szCs w:val="28"/>
        </w:rPr>
        <w:t>especial y excepcional</w:t>
      </w:r>
      <w:r w:rsidRPr="000149EE">
        <w:rPr>
          <w:rFonts w:ascii="Times New Roman" w:hAnsi="Times New Roman" w:cs="Times New Roman"/>
          <w:sz w:val="28"/>
          <w:szCs w:val="28"/>
        </w:rPr>
        <w:t xml:space="preserve"> de las zonas francas, con especial énfasis en las medidas </w:t>
      </w:r>
      <w:r w:rsidRPr="000149EE">
        <w:rPr>
          <w:rFonts w:ascii="Times New Roman" w:hAnsi="Times New Roman" w:cs="Times New Roman"/>
          <w:sz w:val="28"/>
          <w:szCs w:val="28"/>
        </w:rPr>
        <w:t xml:space="preserve">preferenciales </w:t>
      </w:r>
      <w:r w:rsidRPr="000149EE">
        <w:rPr>
          <w:rFonts w:ascii="Times New Roman" w:hAnsi="Times New Roman" w:cs="Times New Roman"/>
          <w:sz w:val="28"/>
          <w:szCs w:val="28"/>
        </w:rPr>
        <w:t>de trato tributario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w:t>
      </w:r>
      <w:r w:rsidRPr="000149EE">
        <w:rPr>
          <w:rFonts w:ascii="Times New Roman" w:hAnsi="Times New Roman" w:cs="Times New Roman"/>
          <w:b/>
          <w:bCs/>
          <w:sz w:val="28"/>
          <w:szCs w:val="28"/>
        </w:rPr>
        <w:t xml:space="preserve">sección 4.1 </w:t>
      </w:r>
      <w:r w:rsidRPr="000149EE">
        <w:rPr>
          <w:rFonts w:ascii="Times New Roman" w:hAnsi="Times New Roman" w:cs="Times New Roman"/>
          <w:b/>
          <w:bCs/>
          <w:i/>
          <w:iCs/>
          <w:sz w:val="28"/>
          <w:szCs w:val="28"/>
        </w:rPr>
        <w:t>infra</w:t>
      </w:r>
      <w:r w:rsidRPr="000149EE">
        <w:rPr>
          <w:rFonts w:ascii="Times New Roman" w:hAnsi="Times New Roman" w:cs="Times New Roman"/>
          <w:sz w:val="28"/>
          <w:szCs w:val="28"/>
        </w:rPr>
        <w:t>). En segundo lugar,</w:t>
      </w:r>
      <w:r w:rsidRPr="000149EE">
        <w:rPr>
          <w:rFonts w:ascii="Times New Roman" w:hAnsi="Times New Roman" w:cs="Times New Roman"/>
          <w:sz w:val="28"/>
          <w:szCs w:val="28"/>
        </w:rPr>
        <w:t xml:space="preserve"> </w:t>
      </w:r>
      <w:r w:rsidRPr="000149EE">
        <w:rPr>
          <w:rFonts w:ascii="Times New Roman" w:hAnsi="Times New Roman" w:cs="Times New Roman"/>
          <w:iCs/>
          <w:sz w:val="28"/>
          <w:szCs w:val="28"/>
        </w:rPr>
        <w:t>reiterará</w:t>
      </w:r>
      <w:r w:rsidRPr="000149EE">
        <w:rPr>
          <w:rFonts w:ascii="Times New Roman" w:hAnsi="Times New Roman" w:cs="Times New Roman"/>
          <w:sz w:val="28"/>
          <w:szCs w:val="28"/>
        </w:rPr>
        <w:t xml:space="preserve"> la jurisprudencia constitucional en relación con el contenido</w:t>
      </w:r>
      <w:r w:rsidRPr="000149EE">
        <w:rPr>
          <w:rFonts w:ascii="Times New Roman" w:hAnsi="Times New Roman" w:cs="Times New Roman"/>
          <w:sz w:val="28"/>
          <w:szCs w:val="28"/>
        </w:rPr>
        <w:t xml:space="preserve"> y alcance </w:t>
      </w:r>
      <w:r w:rsidRPr="000149EE">
        <w:rPr>
          <w:rFonts w:ascii="Times New Roman" w:hAnsi="Times New Roman" w:cs="Times New Roman"/>
          <w:sz w:val="28"/>
          <w:szCs w:val="28"/>
        </w:rPr>
        <w:t xml:space="preserve">del amplio margen de libertad configurativa del legislador en materia tributaria. En esta sección, hará especial énfasis en los principios de igualdad y equidad tributaria </w:t>
      </w:r>
      <w:r w:rsidRPr="000149EE">
        <w:rPr>
          <w:rFonts w:ascii="Times New Roman" w:hAnsi="Times New Roman" w:cs="Times New Roman"/>
          <w:sz w:val="28"/>
          <w:szCs w:val="28"/>
        </w:rPr>
        <w:t>como límites al margen de libertad configurativa del legislador en materia tributaria (</w:t>
      </w:r>
      <w:r w:rsidRPr="000149EE">
        <w:rPr>
          <w:rFonts w:ascii="Times New Roman" w:hAnsi="Times New Roman" w:cs="Times New Roman"/>
          <w:b/>
          <w:bCs/>
          <w:sz w:val="28"/>
          <w:szCs w:val="28"/>
        </w:rPr>
        <w:t xml:space="preserve">sección 4.2 </w:t>
      </w:r>
      <w:r w:rsidRPr="000149EE">
        <w:rPr>
          <w:rFonts w:ascii="Times New Roman" w:hAnsi="Times New Roman" w:cs="Times New Roman"/>
          <w:b/>
          <w:bCs/>
          <w:i/>
          <w:iCs/>
          <w:sz w:val="28"/>
          <w:szCs w:val="28"/>
        </w:rPr>
        <w:t>infra</w:t>
      </w:r>
      <w:r w:rsidRPr="000149EE">
        <w:rPr>
          <w:rFonts w:ascii="Times New Roman" w:hAnsi="Times New Roman" w:cs="Times New Roman"/>
          <w:sz w:val="28"/>
          <w:szCs w:val="28"/>
        </w:rPr>
        <w:t xml:space="preserve">). Por último, con fundamento en tales consideraciones, resolverá </w:t>
      </w:r>
      <w:r w:rsidRPr="000149EE">
        <w:rPr>
          <w:rFonts w:ascii="Times New Roman" w:hAnsi="Times New Roman" w:cs="Times New Roman"/>
          <w:sz w:val="28"/>
          <w:szCs w:val="28"/>
        </w:rPr>
        <w:t>el</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c</w:t>
      </w:r>
      <w:r w:rsidRPr="000149EE">
        <w:rPr>
          <w:rFonts w:ascii="Times New Roman" w:hAnsi="Times New Roman" w:cs="Times New Roman"/>
          <w:sz w:val="28"/>
          <w:szCs w:val="28"/>
        </w:rPr>
        <w:t xml:space="preserve">argo </w:t>
      </w:r>
      <w:r w:rsidRPr="000149EE">
        <w:rPr>
          <w:rFonts w:ascii="Times New Roman" w:hAnsi="Times New Roman" w:cs="Times New Roman"/>
          <w:sz w:val="28"/>
          <w:szCs w:val="28"/>
        </w:rPr>
        <w:t>de</w:t>
      </w:r>
      <w:r w:rsidRPr="000149EE">
        <w:rPr>
          <w:rFonts w:ascii="Times New Roman" w:hAnsi="Times New Roman" w:cs="Times New Roman"/>
          <w:sz w:val="28"/>
          <w:szCs w:val="28"/>
        </w:rPr>
        <w:t xml:space="preserve"> la demanda</w:t>
      </w:r>
      <w:r w:rsidRPr="000149EE">
        <w:rPr>
          <w:rFonts w:ascii="Times New Roman" w:hAnsi="Times New Roman" w:cs="Times New Roman"/>
          <w:sz w:val="28"/>
          <w:szCs w:val="28"/>
        </w:rPr>
        <w:t xml:space="preserve"> (</w:t>
      </w:r>
      <w:r w:rsidRPr="000149EE">
        <w:rPr>
          <w:rFonts w:ascii="Times New Roman" w:hAnsi="Times New Roman" w:cs="Times New Roman"/>
          <w:b/>
          <w:bCs/>
          <w:sz w:val="28"/>
          <w:szCs w:val="28"/>
        </w:rPr>
        <w:t xml:space="preserve">sección 4.3 </w:t>
      </w:r>
      <w:r w:rsidRPr="000149EE">
        <w:rPr>
          <w:rFonts w:ascii="Times New Roman" w:hAnsi="Times New Roman" w:cs="Times New Roman"/>
          <w:b/>
          <w:bCs/>
          <w:i/>
          <w:iCs/>
          <w:sz w:val="28"/>
          <w:szCs w:val="28"/>
        </w:rPr>
        <w:t>infra</w:t>
      </w:r>
      <w:r w:rsidRPr="000149EE">
        <w:rPr>
          <w:rFonts w:ascii="Times New Roman" w:hAnsi="Times New Roman" w:cs="Times New Roman"/>
          <w:sz w:val="28"/>
          <w:szCs w:val="28"/>
        </w:rPr>
        <w:t>).</w:t>
      </w:r>
    </w:p>
    <w:p w:rsidR="00DE6B9A" w:rsidRPr="000149EE" w:rsidRDefault="000149EE" w:rsidP="001A47E2">
      <w:pPr>
        <w:rPr>
          <w:rFonts w:ascii="Times New Roman" w:hAnsi="Times New Roman" w:cs="Times New Roman"/>
          <w:sz w:val="28"/>
          <w:szCs w:val="28"/>
        </w:rPr>
      </w:pPr>
    </w:p>
    <w:p w:rsidR="00DE6B9A" w:rsidRPr="000149EE" w:rsidRDefault="000149EE" w:rsidP="00211F9A">
      <w:pPr>
        <w:pStyle w:val="Ttulo2"/>
        <w:numPr>
          <w:ilvl w:val="1"/>
          <w:numId w:val="7"/>
        </w:numPr>
        <w:ind w:hanging="650"/>
        <w:rPr>
          <w:rFonts w:ascii="Times New Roman" w:hAnsi="Times New Roman" w:cs="Times New Roman"/>
          <w:sz w:val="28"/>
          <w:szCs w:val="28"/>
        </w:rPr>
      </w:pPr>
      <w:r w:rsidRPr="000149EE">
        <w:rPr>
          <w:rFonts w:ascii="Times New Roman" w:hAnsi="Times New Roman" w:cs="Times New Roman"/>
          <w:sz w:val="28"/>
          <w:szCs w:val="28"/>
        </w:rPr>
        <w:t xml:space="preserve">Contexto y contenido normativo del </w:t>
      </w:r>
      <w:r w:rsidRPr="000149EE">
        <w:rPr>
          <w:rFonts w:ascii="Times New Roman" w:hAnsi="Times New Roman" w:cs="Times New Roman"/>
          <w:sz w:val="28"/>
          <w:szCs w:val="28"/>
        </w:rPr>
        <w:t>artículo 11 de la Ley 2277 de 2022</w:t>
      </w:r>
      <w:r w:rsidRPr="000149EE">
        <w:rPr>
          <w:rFonts w:ascii="Times New Roman" w:hAnsi="Times New Roman" w:cs="Times New Roman"/>
          <w:sz w:val="28"/>
          <w:szCs w:val="28"/>
        </w:rPr>
        <w:t xml:space="preserve"> </w:t>
      </w:r>
    </w:p>
    <w:p w:rsidR="00FE0597" w:rsidRPr="000149EE" w:rsidRDefault="000149EE" w:rsidP="001A47E2">
      <w:pPr>
        <w:pStyle w:val="Prrafodelista"/>
        <w:widowControl w:val="0"/>
        <w:spacing w:line="240" w:lineRule="auto"/>
        <w:ind w:left="0"/>
        <w:rPr>
          <w:rFonts w:ascii="Times New Roman" w:hAnsi="Times New Roman"/>
          <w:sz w:val="28"/>
        </w:rPr>
      </w:pPr>
    </w:p>
    <w:p w:rsidR="002A24BF" w:rsidRPr="000149EE" w:rsidRDefault="000149EE" w:rsidP="006D7E49">
      <w:pPr>
        <w:pStyle w:val="Prrafodelista"/>
        <w:widowControl w:val="0"/>
        <w:numPr>
          <w:ilvl w:val="0"/>
          <w:numId w:val="11"/>
        </w:numPr>
        <w:spacing w:line="240" w:lineRule="auto"/>
        <w:ind w:left="851"/>
        <w:rPr>
          <w:rFonts w:ascii="Times New Roman" w:hAnsi="Times New Roman"/>
          <w:b/>
          <w:bCs/>
          <w:sz w:val="28"/>
        </w:rPr>
      </w:pPr>
      <w:r w:rsidRPr="000149EE">
        <w:rPr>
          <w:rFonts w:ascii="Times New Roman" w:hAnsi="Times New Roman"/>
          <w:b/>
          <w:bCs/>
          <w:sz w:val="28"/>
        </w:rPr>
        <w:t xml:space="preserve">Las zonas francas. Régimen legal y desarrollo </w:t>
      </w:r>
      <w:r w:rsidRPr="000149EE">
        <w:rPr>
          <w:rFonts w:ascii="Times New Roman" w:hAnsi="Times New Roman"/>
          <w:b/>
          <w:bCs/>
          <w:sz w:val="28"/>
        </w:rPr>
        <w:t xml:space="preserve">jurisprudencial </w:t>
      </w:r>
    </w:p>
    <w:p w:rsidR="002A24BF" w:rsidRPr="000149EE" w:rsidRDefault="000149EE" w:rsidP="001A47E2">
      <w:pPr>
        <w:widowControl w:val="0"/>
        <w:rPr>
          <w:rFonts w:ascii="Times New Roman" w:hAnsi="Times New Roman" w:cs="Times New Roman"/>
          <w:sz w:val="28"/>
          <w:szCs w:val="28"/>
        </w:rPr>
      </w:pPr>
    </w:p>
    <w:p w:rsidR="00C95EA7" w:rsidRPr="000149EE" w:rsidRDefault="000149EE" w:rsidP="009D4F8D">
      <w:pPr>
        <w:numPr>
          <w:ilvl w:val="0"/>
          <w:numId w:val="3"/>
        </w:numPr>
        <w:tabs>
          <w:tab w:val="left" w:pos="567"/>
        </w:tabs>
        <w:ind w:left="0" w:firstLine="0"/>
        <w:rPr>
          <w:rFonts w:ascii="Times New Roman" w:eastAsia="Times New Roman" w:hAnsi="Times New Roman" w:cs="Times New Roman"/>
          <w:i/>
          <w:iCs/>
          <w:sz w:val="28"/>
          <w:szCs w:val="28"/>
          <w:lang w:eastAsia="es-ES_tradnl"/>
        </w:rPr>
      </w:pPr>
      <w:r w:rsidRPr="000149EE">
        <w:rPr>
          <w:rFonts w:ascii="Times New Roman" w:eastAsia="Times New Roman" w:hAnsi="Times New Roman" w:cs="Times New Roman"/>
          <w:sz w:val="28"/>
          <w:szCs w:val="28"/>
          <w:lang w:eastAsia="es-ES_tradnl"/>
        </w:rPr>
        <w:t xml:space="preserve">Las zonas francas se encuentran actualmente reguladas, principalmente, en la Ley 1004 de 2005, reglamentada por el </w:t>
      </w:r>
      <w:r w:rsidRPr="000149EE">
        <w:rPr>
          <w:rFonts w:ascii="Times New Roman" w:eastAsia="Times New Roman" w:hAnsi="Times New Roman" w:cs="Times New Roman"/>
          <w:bCs/>
          <w:sz w:val="28"/>
          <w:szCs w:val="28"/>
          <w:lang w:eastAsia="es-ES_tradnl"/>
        </w:rPr>
        <w:t>Decreto 2147 de 2016</w:t>
      </w:r>
      <w:r w:rsidRPr="000149EE">
        <w:rPr>
          <w:rStyle w:val="Refdenotaalpie"/>
          <w:rFonts w:ascii="Times New Roman" w:eastAsia="Times New Roman" w:hAnsi="Times New Roman" w:cs="Times New Roman"/>
          <w:bCs/>
          <w:sz w:val="28"/>
          <w:szCs w:val="28"/>
          <w:lang w:eastAsia="es-ES_tradnl"/>
        </w:rPr>
        <w:footnoteReference w:id="70"/>
      </w:r>
      <w:r w:rsidRPr="000149EE">
        <w:rPr>
          <w:rFonts w:ascii="Times New Roman" w:eastAsia="Times New Roman" w:hAnsi="Times New Roman" w:cs="Times New Roman"/>
          <w:sz w:val="28"/>
          <w:szCs w:val="28"/>
          <w:lang w:eastAsia="es-ES_tradnl"/>
        </w:rPr>
        <w:t>. El artículo 1º de la Ley 1004 de 2005 define las zonas francas como “el área geográfica delimitada dentro del territorio nacional, en donde se desarrollan actividades industriales de bienes y de servicios, o actividades comerciales, bajo una normatividad</w:t>
      </w:r>
      <w:r w:rsidRPr="000149EE">
        <w:rPr>
          <w:rFonts w:ascii="Times New Roman" w:eastAsia="Times New Roman" w:hAnsi="Times New Roman" w:cs="Times New Roman"/>
          <w:sz w:val="28"/>
          <w:szCs w:val="28"/>
          <w:lang w:eastAsia="es-ES_tradnl"/>
        </w:rPr>
        <w:t xml:space="preserve"> especial en materia tributaria, aduanera y de comercio exterior”. </w:t>
      </w:r>
    </w:p>
    <w:p w:rsidR="00C95EA7" w:rsidRPr="000149EE" w:rsidRDefault="000149EE" w:rsidP="001A47E2">
      <w:pPr>
        <w:rPr>
          <w:rFonts w:ascii="Times New Roman" w:eastAsia="Times New Roman" w:hAnsi="Times New Roman" w:cs="Times New Roman"/>
          <w:sz w:val="28"/>
          <w:szCs w:val="28"/>
          <w:lang w:eastAsia="es-ES_tradnl"/>
        </w:rPr>
      </w:pPr>
    </w:p>
    <w:p w:rsidR="00C95EA7" w:rsidRPr="000149EE" w:rsidRDefault="000149EE" w:rsidP="009D4F8D">
      <w:pPr>
        <w:numPr>
          <w:ilvl w:val="0"/>
          <w:numId w:val="3"/>
        </w:numPr>
        <w:tabs>
          <w:tab w:val="left" w:pos="567"/>
        </w:tabs>
        <w:ind w:left="0" w:firstLine="0"/>
        <w:rPr>
          <w:rFonts w:ascii="Times New Roman" w:eastAsia="Times New Roman" w:hAnsi="Times New Roman" w:cs="Times New Roman"/>
          <w:i/>
          <w:iCs/>
          <w:sz w:val="28"/>
          <w:szCs w:val="28"/>
          <w:lang w:eastAsia="es-ES_tradnl"/>
        </w:rPr>
      </w:pPr>
      <w:r w:rsidRPr="000149EE">
        <w:rPr>
          <w:rFonts w:ascii="Times New Roman" w:eastAsia="Times New Roman" w:hAnsi="Times New Roman" w:cs="Times New Roman"/>
          <w:sz w:val="28"/>
          <w:szCs w:val="28"/>
          <w:lang w:eastAsia="es-ES_tradnl"/>
        </w:rPr>
        <w:t xml:space="preserve">La Corte Constitucional ha señalado que, conforme a la Ley 1004 de 2005, las zonas francas tienen cuatro características definitorias: </w:t>
      </w:r>
      <w:r w:rsidRPr="000149EE">
        <w:rPr>
          <w:rFonts w:ascii="Times New Roman" w:eastAsia="Times New Roman" w:hAnsi="Times New Roman" w:cs="Times New Roman"/>
          <w:i/>
          <w:iCs/>
          <w:sz w:val="28"/>
          <w:szCs w:val="28"/>
          <w:lang w:eastAsia="es-ES_tradnl"/>
        </w:rPr>
        <w:t>(i)</w:t>
      </w:r>
      <w:r w:rsidRPr="000149EE">
        <w:rPr>
          <w:rFonts w:ascii="Times New Roman" w:eastAsia="Times New Roman" w:hAnsi="Times New Roman" w:cs="Times New Roman"/>
          <w:sz w:val="28"/>
          <w:szCs w:val="28"/>
          <w:lang w:eastAsia="es-ES_tradnl"/>
        </w:rPr>
        <w:t xml:space="preserve"> exclusividad, </w:t>
      </w:r>
      <w:r w:rsidRPr="000149EE">
        <w:rPr>
          <w:rFonts w:ascii="Times New Roman" w:eastAsia="Times New Roman" w:hAnsi="Times New Roman" w:cs="Times New Roman"/>
          <w:i/>
          <w:iCs/>
          <w:sz w:val="28"/>
          <w:szCs w:val="28"/>
          <w:lang w:eastAsia="es-ES_tradnl"/>
        </w:rPr>
        <w:t>(ii)</w:t>
      </w:r>
      <w:r w:rsidRPr="000149EE">
        <w:rPr>
          <w:rFonts w:ascii="Times New Roman" w:eastAsia="Times New Roman" w:hAnsi="Times New Roman" w:cs="Times New Roman"/>
          <w:sz w:val="28"/>
          <w:szCs w:val="28"/>
          <w:lang w:eastAsia="es-ES_tradnl"/>
        </w:rPr>
        <w:t xml:space="preserve"> extraterritorialidad, </w:t>
      </w:r>
      <w:r w:rsidRPr="000149EE">
        <w:rPr>
          <w:rFonts w:ascii="Times New Roman" w:eastAsia="Times New Roman" w:hAnsi="Times New Roman" w:cs="Times New Roman"/>
          <w:i/>
          <w:iCs/>
          <w:sz w:val="28"/>
          <w:szCs w:val="28"/>
          <w:lang w:eastAsia="es-ES_tradnl"/>
        </w:rPr>
        <w:t>(iii)</w:t>
      </w:r>
      <w:r w:rsidRPr="000149EE">
        <w:rPr>
          <w:rFonts w:ascii="Times New Roman" w:eastAsia="Times New Roman" w:hAnsi="Times New Roman" w:cs="Times New Roman"/>
          <w:sz w:val="28"/>
          <w:szCs w:val="28"/>
          <w:lang w:eastAsia="es-ES_tradnl"/>
        </w:rPr>
        <w:t xml:space="preserve"> r</w:t>
      </w:r>
      <w:r w:rsidRPr="000149EE">
        <w:rPr>
          <w:rFonts w:ascii="Times New Roman" w:eastAsia="Times New Roman" w:hAnsi="Times New Roman" w:cs="Times New Roman"/>
          <w:sz w:val="28"/>
          <w:szCs w:val="28"/>
          <w:lang w:eastAsia="es-ES_tradnl"/>
        </w:rPr>
        <w:t>égimen especial y excepcional y</w:t>
      </w:r>
      <w:r w:rsidRPr="000149EE">
        <w:rPr>
          <w:rFonts w:ascii="Times New Roman" w:eastAsia="Times New Roman" w:hAnsi="Times New Roman" w:cs="Times New Roman"/>
          <w:sz w:val="28"/>
          <w:szCs w:val="28"/>
          <w:lang w:eastAsia="es-ES_tradnl"/>
        </w:rPr>
        <w:t>, por último,</w:t>
      </w:r>
      <w:r w:rsidRPr="000149EE">
        <w:rPr>
          <w:rFonts w:ascii="Times New Roman" w:eastAsia="Times New Roman" w:hAnsi="Times New Roman" w:cs="Times New Roman"/>
          <w:sz w:val="28"/>
          <w:szCs w:val="28"/>
          <w:lang w:eastAsia="es-ES_tradnl"/>
        </w:rPr>
        <w:t xml:space="preserve"> </w:t>
      </w:r>
      <w:r w:rsidRPr="000149EE">
        <w:rPr>
          <w:rFonts w:ascii="Times New Roman" w:eastAsia="Times New Roman" w:hAnsi="Times New Roman" w:cs="Times New Roman"/>
          <w:i/>
          <w:iCs/>
          <w:sz w:val="28"/>
          <w:szCs w:val="28"/>
          <w:lang w:eastAsia="es-ES_tradnl"/>
        </w:rPr>
        <w:t>(iv)</w:t>
      </w:r>
      <w:r w:rsidRPr="000149EE">
        <w:rPr>
          <w:rFonts w:ascii="Times New Roman" w:eastAsia="Times New Roman" w:hAnsi="Times New Roman" w:cs="Times New Roman"/>
          <w:sz w:val="28"/>
          <w:szCs w:val="28"/>
          <w:lang w:eastAsia="es-ES_tradnl"/>
        </w:rPr>
        <w:t xml:space="preserve"> </w:t>
      </w:r>
      <w:r w:rsidRPr="000149EE">
        <w:rPr>
          <w:rFonts w:ascii="Times New Roman" w:eastAsia="Times New Roman" w:hAnsi="Times New Roman" w:cs="Times New Roman"/>
          <w:sz w:val="28"/>
          <w:szCs w:val="28"/>
          <w:lang w:eastAsia="es-ES_tradnl"/>
        </w:rPr>
        <w:t xml:space="preserve">son </w:t>
      </w:r>
      <w:r w:rsidRPr="000149EE">
        <w:rPr>
          <w:rFonts w:ascii="Times New Roman" w:eastAsia="Times New Roman" w:hAnsi="Times New Roman" w:cs="Times New Roman"/>
          <w:sz w:val="28"/>
          <w:szCs w:val="28"/>
          <w:lang w:eastAsia="es-ES_tradnl"/>
        </w:rPr>
        <w:t>instrumento de atracción de las inversiones y fomento de las exportaciones:</w:t>
      </w:r>
    </w:p>
    <w:p w:rsidR="00C95EA7" w:rsidRPr="000149EE" w:rsidRDefault="000149EE" w:rsidP="001A47E2">
      <w:pPr>
        <w:pStyle w:val="Prrafodelista"/>
        <w:widowControl w:val="0"/>
        <w:spacing w:line="240" w:lineRule="auto"/>
        <w:ind w:left="0"/>
        <w:rPr>
          <w:rFonts w:ascii="Times New Roman" w:eastAsia="Times New Roman" w:hAnsi="Times New Roman"/>
          <w:sz w:val="28"/>
          <w:lang w:eastAsia="es-ES_tradnl"/>
        </w:rPr>
      </w:pPr>
    </w:p>
    <w:p w:rsidR="009D4F8D" w:rsidRPr="000149EE" w:rsidRDefault="000149EE" w:rsidP="009D4F8D">
      <w:pPr>
        <w:numPr>
          <w:ilvl w:val="1"/>
          <w:numId w:val="3"/>
        </w:numPr>
        <w:tabs>
          <w:tab w:val="left" w:pos="567"/>
        </w:tabs>
        <w:ind w:left="851" w:hanging="650"/>
        <w:rPr>
          <w:rFonts w:ascii="Times New Roman" w:eastAsia="Times New Roman" w:hAnsi="Times New Roman" w:cs="Times New Roman"/>
          <w:i/>
          <w:iCs/>
          <w:sz w:val="28"/>
          <w:szCs w:val="28"/>
          <w:lang w:eastAsia="es-ES_tradnl"/>
        </w:rPr>
      </w:pPr>
      <w:r w:rsidRPr="000149EE">
        <w:rPr>
          <w:rFonts w:ascii="Times New Roman" w:eastAsia="Times New Roman" w:hAnsi="Times New Roman" w:cs="Times New Roman"/>
          <w:i/>
          <w:iCs/>
          <w:sz w:val="28"/>
          <w:szCs w:val="28"/>
          <w:lang w:eastAsia="es-ES_tradnl"/>
        </w:rPr>
        <w:t>Exclusividad</w:t>
      </w:r>
      <w:r w:rsidRPr="000149EE">
        <w:rPr>
          <w:rFonts w:ascii="Times New Roman" w:eastAsia="Times New Roman" w:hAnsi="Times New Roman" w:cs="Times New Roman"/>
          <w:sz w:val="28"/>
          <w:szCs w:val="28"/>
          <w:lang w:eastAsia="es-ES_tradnl"/>
        </w:rPr>
        <w:t xml:space="preserve">. El artículo 6º del Decreto </w:t>
      </w:r>
      <w:r w:rsidRPr="000149EE">
        <w:rPr>
          <w:rFonts w:ascii="Times New Roman" w:eastAsia="Times New Roman" w:hAnsi="Times New Roman" w:cs="Times New Roman"/>
          <w:bCs/>
          <w:sz w:val="28"/>
          <w:szCs w:val="28"/>
          <w:lang w:eastAsia="es-ES_tradnl"/>
        </w:rPr>
        <w:t>2147 de 2016 prevé la regla de exclusividad</w:t>
      </w:r>
      <w:r w:rsidRPr="000149EE">
        <w:rPr>
          <w:rFonts w:ascii="Times New Roman" w:eastAsia="Times New Roman" w:hAnsi="Times New Roman" w:cs="Times New Roman"/>
          <w:sz w:val="28"/>
          <w:szCs w:val="28"/>
          <w:vertAlign w:val="superscript"/>
          <w:lang w:eastAsia="es-ES_tradnl"/>
        </w:rPr>
        <w:footnoteReference w:id="71"/>
      </w:r>
      <w:r w:rsidRPr="000149EE">
        <w:rPr>
          <w:rFonts w:ascii="Times New Roman" w:eastAsia="Times New Roman" w:hAnsi="Times New Roman" w:cs="Times New Roman"/>
          <w:sz w:val="28"/>
          <w:szCs w:val="28"/>
          <w:lang w:eastAsia="es-ES_tradnl"/>
        </w:rPr>
        <w:t xml:space="preserve">. En virtud de esta regla, los usuarios </w:t>
      </w:r>
      <w:r w:rsidRPr="000149EE">
        <w:rPr>
          <w:rFonts w:ascii="Times New Roman" w:eastAsia="Times New Roman" w:hAnsi="Times New Roman" w:cs="Times New Roman"/>
          <w:sz w:val="28"/>
          <w:szCs w:val="28"/>
          <w:lang w:eastAsia="es-ES_tradnl"/>
        </w:rPr>
        <w:t>de las zonas francas “deben instalarse dentro del área geográfica que fue delimitada y desarrollar en ese espacio las actividades industriales”</w:t>
      </w:r>
      <w:r w:rsidRPr="000149EE">
        <w:rPr>
          <w:rStyle w:val="Refdenotaalpie"/>
          <w:rFonts w:ascii="Times New Roman" w:eastAsia="Times New Roman" w:hAnsi="Times New Roman" w:cs="Times New Roman"/>
          <w:sz w:val="28"/>
          <w:szCs w:val="28"/>
          <w:lang w:eastAsia="es-ES_tradnl"/>
        </w:rPr>
        <w:footnoteReference w:id="72"/>
      </w:r>
      <w:r w:rsidRPr="000149EE">
        <w:rPr>
          <w:rFonts w:ascii="Times New Roman" w:eastAsia="Times New Roman" w:hAnsi="Times New Roman" w:cs="Times New Roman"/>
          <w:sz w:val="28"/>
          <w:szCs w:val="28"/>
          <w:lang w:eastAsia="es-ES_tradnl"/>
        </w:rPr>
        <w:t xml:space="preserve">. </w:t>
      </w:r>
      <w:r w:rsidRPr="000149EE">
        <w:rPr>
          <w:rFonts w:ascii="Times New Roman" w:eastAsia="Times New Roman" w:hAnsi="Times New Roman" w:cs="Times New Roman"/>
          <w:bCs/>
          <w:sz w:val="28"/>
          <w:szCs w:val="28"/>
          <w:lang w:eastAsia="es-ES_tradnl"/>
        </w:rPr>
        <w:t xml:space="preserve">La regla de exclusividad “busca darle preponderancia a una de las características de las zonas francas, </w:t>
      </w:r>
      <w:r w:rsidRPr="000149EE">
        <w:rPr>
          <w:rFonts w:ascii="Times New Roman" w:eastAsia="Times New Roman" w:hAnsi="Times New Roman" w:cs="Times New Roman"/>
          <w:bCs/>
          <w:sz w:val="28"/>
          <w:szCs w:val="28"/>
          <w:lang w:eastAsia="es-ES_tradnl"/>
        </w:rPr>
        <w:t>consistente en que su operación tiene lugar dentro de un área geográfica delimitada, por lo que los terrenos tienen que cumplir con ciertas condiciones”</w:t>
      </w:r>
      <w:r w:rsidRPr="000149EE">
        <w:rPr>
          <w:rStyle w:val="Refdenotaalpie"/>
          <w:rFonts w:ascii="Times New Roman" w:eastAsia="Times New Roman" w:hAnsi="Times New Roman" w:cs="Times New Roman"/>
          <w:bCs/>
          <w:sz w:val="28"/>
          <w:szCs w:val="28"/>
          <w:lang w:eastAsia="es-ES_tradnl"/>
        </w:rPr>
        <w:footnoteReference w:id="73"/>
      </w:r>
      <w:r w:rsidRPr="000149EE">
        <w:rPr>
          <w:rFonts w:ascii="Times New Roman" w:eastAsia="Times New Roman" w:hAnsi="Times New Roman" w:cs="Times New Roman"/>
          <w:bCs/>
          <w:sz w:val="28"/>
          <w:szCs w:val="28"/>
          <w:lang w:eastAsia="es-ES_tradnl"/>
        </w:rPr>
        <w:t>.</w:t>
      </w:r>
    </w:p>
    <w:p w:rsidR="009D4F8D" w:rsidRPr="000149EE" w:rsidRDefault="000149EE" w:rsidP="009D4F8D">
      <w:pPr>
        <w:numPr>
          <w:ilvl w:val="1"/>
          <w:numId w:val="3"/>
        </w:numPr>
        <w:tabs>
          <w:tab w:val="left" w:pos="567"/>
        </w:tabs>
        <w:ind w:left="851" w:hanging="650"/>
        <w:rPr>
          <w:rFonts w:ascii="Times New Roman" w:eastAsia="Times New Roman" w:hAnsi="Times New Roman" w:cs="Times New Roman"/>
          <w:i/>
          <w:iCs/>
          <w:sz w:val="28"/>
          <w:szCs w:val="28"/>
          <w:lang w:eastAsia="es-ES_tradnl"/>
        </w:rPr>
      </w:pPr>
      <w:r w:rsidRPr="000149EE">
        <w:rPr>
          <w:rFonts w:ascii="Times New Roman" w:eastAsia="Times New Roman" w:hAnsi="Times New Roman" w:cs="Times New Roman"/>
          <w:i/>
          <w:iCs/>
          <w:sz w:val="28"/>
          <w:szCs w:val="28"/>
          <w:lang w:eastAsia="es-ES_tradnl"/>
        </w:rPr>
        <w:t xml:space="preserve">Extraterritorialidad. </w:t>
      </w:r>
      <w:r w:rsidRPr="000149EE">
        <w:rPr>
          <w:rFonts w:ascii="Times New Roman" w:eastAsia="Times New Roman" w:hAnsi="Times New Roman" w:cs="Times New Roman"/>
          <w:sz w:val="28"/>
          <w:szCs w:val="28"/>
          <w:lang w:eastAsia="es-ES_tradnl"/>
        </w:rPr>
        <w:t>El artículo 1º de la Ley 1004 de 2005 prevé la regla de extraterritorialidad. D</w:t>
      </w:r>
      <w:r w:rsidRPr="000149EE">
        <w:rPr>
          <w:rFonts w:ascii="Times New Roman" w:eastAsia="Times New Roman" w:hAnsi="Times New Roman" w:cs="Times New Roman"/>
          <w:sz w:val="28"/>
          <w:szCs w:val="28"/>
          <w:lang w:eastAsia="es-ES_tradnl"/>
        </w:rPr>
        <w:t xml:space="preserve">e acuerdo con </w:t>
      </w:r>
      <w:r w:rsidRPr="000149EE">
        <w:rPr>
          <w:rFonts w:ascii="Times New Roman" w:eastAsia="Times New Roman" w:hAnsi="Times New Roman" w:cs="Times New Roman"/>
          <w:sz w:val="28"/>
          <w:szCs w:val="28"/>
          <w:lang w:eastAsia="es-ES_tradnl"/>
        </w:rPr>
        <w:t>esta</w:t>
      </w:r>
      <w:r w:rsidRPr="000149EE">
        <w:rPr>
          <w:rFonts w:ascii="Times New Roman" w:eastAsia="Times New Roman" w:hAnsi="Times New Roman" w:cs="Times New Roman"/>
          <w:sz w:val="28"/>
          <w:szCs w:val="28"/>
          <w:lang w:eastAsia="es-ES_tradnl"/>
        </w:rPr>
        <w:t xml:space="preserve"> regla</w:t>
      </w:r>
      <w:r w:rsidRPr="000149EE">
        <w:rPr>
          <w:rFonts w:ascii="Times New Roman" w:eastAsia="Times New Roman" w:hAnsi="Times New Roman" w:cs="Times New Roman"/>
          <w:sz w:val="28"/>
          <w:szCs w:val="28"/>
          <w:lang w:eastAsia="es-ES_tradnl"/>
        </w:rPr>
        <w:t xml:space="preserve">, </w:t>
      </w:r>
      <w:r w:rsidRPr="000149EE">
        <w:rPr>
          <w:rFonts w:ascii="Times New Roman" w:eastAsia="Times New Roman" w:hAnsi="Times New Roman" w:cs="Times New Roman"/>
          <w:bCs/>
          <w:sz w:val="28"/>
          <w:szCs w:val="28"/>
          <w:lang w:eastAsia="es-ES_tradnl"/>
        </w:rPr>
        <w:t>la mercancía almacenada en zona franca “se entiende jurídicamente fuera del país para efectos aduaneros, esto es, o bien que no ha llegado al Territorio Aduanero Nacional (TAN) o que salió del mismo para todos los supuestos propio</w:t>
      </w:r>
      <w:r w:rsidRPr="000149EE">
        <w:rPr>
          <w:rFonts w:ascii="Times New Roman" w:eastAsia="Times New Roman" w:hAnsi="Times New Roman" w:cs="Times New Roman"/>
          <w:bCs/>
          <w:sz w:val="28"/>
          <w:szCs w:val="28"/>
          <w:lang w:eastAsia="es-ES_tradnl"/>
        </w:rPr>
        <w:t>s de dicho régimen”</w:t>
      </w:r>
      <w:r w:rsidRPr="000149EE">
        <w:rPr>
          <w:rStyle w:val="Refdenotaalpie"/>
          <w:rFonts w:ascii="Times New Roman" w:eastAsia="Times New Roman" w:hAnsi="Times New Roman" w:cs="Times New Roman"/>
          <w:bCs/>
          <w:sz w:val="28"/>
          <w:szCs w:val="28"/>
          <w:lang w:eastAsia="es-ES_tradnl"/>
        </w:rPr>
        <w:footnoteReference w:id="74"/>
      </w:r>
      <w:r w:rsidRPr="000149EE">
        <w:rPr>
          <w:rFonts w:ascii="Times New Roman" w:eastAsia="Times New Roman" w:hAnsi="Times New Roman" w:cs="Times New Roman"/>
          <w:bCs/>
          <w:sz w:val="28"/>
          <w:szCs w:val="28"/>
          <w:lang w:eastAsia="es-ES_tradnl"/>
        </w:rPr>
        <w:t>.</w:t>
      </w:r>
    </w:p>
    <w:p w:rsidR="009D4F8D" w:rsidRPr="000149EE" w:rsidRDefault="000149EE" w:rsidP="009D4F8D">
      <w:pPr>
        <w:numPr>
          <w:ilvl w:val="1"/>
          <w:numId w:val="3"/>
        </w:numPr>
        <w:tabs>
          <w:tab w:val="left" w:pos="567"/>
        </w:tabs>
        <w:ind w:left="851" w:hanging="650"/>
        <w:rPr>
          <w:rFonts w:ascii="Times New Roman" w:eastAsia="Times New Roman" w:hAnsi="Times New Roman" w:cs="Times New Roman"/>
          <w:i/>
          <w:iCs/>
          <w:sz w:val="28"/>
          <w:szCs w:val="28"/>
          <w:lang w:eastAsia="es-ES_tradnl"/>
        </w:rPr>
      </w:pPr>
      <w:r w:rsidRPr="000149EE">
        <w:rPr>
          <w:rFonts w:ascii="Times New Roman" w:eastAsia="Times New Roman" w:hAnsi="Times New Roman" w:cs="Times New Roman"/>
          <w:i/>
          <w:iCs/>
          <w:sz w:val="28"/>
          <w:szCs w:val="28"/>
          <w:lang w:eastAsia="es-ES_tradnl"/>
        </w:rPr>
        <w:t>Régimen especial y excepcional.</w:t>
      </w:r>
      <w:r w:rsidRPr="000149EE">
        <w:rPr>
          <w:rFonts w:ascii="Times New Roman" w:eastAsia="Times New Roman" w:hAnsi="Times New Roman" w:cs="Times New Roman"/>
          <w:sz w:val="28"/>
          <w:szCs w:val="28"/>
          <w:lang w:eastAsia="es-ES_tradnl"/>
        </w:rPr>
        <w:t xml:space="preserve"> Las zonas francas gozan de un régimen jurídico especial</w:t>
      </w:r>
      <w:r w:rsidRPr="000149EE">
        <w:rPr>
          <w:rFonts w:ascii="Times New Roman" w:eastAsia="Times New Roman" w:hAnsi="Times New Roman" w:cs="Times New Roman"/>
          <w:sz w:val="28"/>
          <w:szCs w:val="28"/>
          <w:lang w:eastAsia="es-ES_tradnl"/>
        </w:rPr>
        <w:t xml:space="preserve"> y</w:t>
      </w:r>
      <w:r w:rsidRPr="000149EE">
        <w:rPr>
          <w:rFonts w:ascii="Times New Roman" w:eastAsia="Times New Roman" w:hAnsi="Times New Roman" w:cs="Times New Roman"/>
          <w:sz w:val="28"/>
          <w:szCs w:val="28"/>
          <w:lang w:eastAsia="es-ES_tradnl"/>
        </w:rPr>
        <w:t xml:space="preserve"> excepcional “</w:t>
      </w:r>
      <w:r w:rsidRPr="000149EE">
        <w:rPr>
          <w:rFonts w:ascii="Times New Roman" w:eastAsia="Times New Roman" w:hAnsi="Times New Roman" w:cs="Times New Roman"/>
          <w:bCs/>
          <w:sz w:val="28"/>
          <w:szCs w:val="28"/>
          <w:lang w:eastAsia="es-ES_tradnl"/>
        </w:rPr>
        <w:t>en materia tributaria, aduanera y de comercio exterior, a partir del cual solo se debe recurrir a las normas generales que se aplic</w:t>
      </w:r>
      <w:r w:rsidRPr="000149EE">
        <w:rPr>
          <w:rFonts w:ascii="Times New Roman" w:eastAsia="Times New Roman" w:hAnsi="Times New Roman" w:cs="Times New Roman"/>
          <w:bCs/>
          <w:sz w:val="28"/>
          <w:szCs w:val="28"/>
          <w:lang w:eastAsia="es-ES_tradnl"/>
        </w:rPr>
        <w:t>an en esas materias, siempre que de forma expresa no se disponga a su favor de una excepción o trato especial</w:t>
      </w:r>
      <w:r w:rsidRPr="000149EE">
        <w:rPr>
          <w:rFonts w:ascii="Times New Roman" w:eastAsia="Times New Roman" w:hAnsi="Times New Roman" w:cs="Times New Roman"/>
          <w:sz w:val="28"/>
          <w:szCs w:val="28"/>
          <w:lang w:eastAsia="es-ES_tradnl"/>
        </w:rPr>
        <w:t>”</w:t>
      </w:r>
      <w:r w:rsidRPr="000149EE">
        <w:rPr>
          <w:rFonts w:ascii="Times New Roman" w:hAnsi="Times New Roman" w:cs="Times New Roman"/>
          <w:sz w:val="28"/>
          <w:szCs w:val="28"/>
          <w:vertAlign w:val="superscript"/>
          <w:lang w:eastAsia="es-ES_tradnl"/>
        </w:rPr>
        <w:footnoteReference w:id="75"/>
      </w:r>
      <w:r w:rsidRPr="000149EE">
        <w:rPr>
          <w:rFonts w:ascii="Times New Roman" w:eastAsia="Times New Roman" w:hAnsi="Times New Roman" w:cs="Times New Roman"/>
          <w:sz w:val="28"/>
          <w:szCs w:val="28"/>
          <w:lang w:eastAsia="es-ES_tradnl"/>
        </w:rPr>
        <w:t xml:space="preserve">. </w:t>
      </w:r>
    </w:p>
    <w:p w:rsidR="00C95EA7" w:rsidRPr="000149EE" w:rsidRDefault="000149EE" w:rsidP="009D4F8D">
      <w:pPr>
        <w:numPr>
          <w:ilvl w:val="1"/>
          <w:numId w:val="3"/>
        </w:numPr>
        <w:tabs>
          <w:tab w:val="left" w:pos="567"/>
        </w:tabs>
        <w:ind w:left="851" w:hanging="650"/>
        <w:rPr>
          <w:rFonts w:ascii="Times New Roman" w:eastAsia="Times New Roman" w:hAnsi="Times New Roman" w:cs="Times New Roman"/>
          <w:i/>
          <w:iCs/>
          <w:sz w:val="28"/>
          <w:szCs w:val="28"/>
          <w:lang w:eastAsia="es-ES_tradnl"/>
        </w:rPr>
      </w:pPr>
      <w:r w:rsidRPr="000149EE">
        <w:rPr>
          <w:rFonts w:ascii="Times New Roman" w:eastAsia="Times New Roman" w:hAnsi="Times New Roman" w:cs="Times New Roman"/>
          <w:i/>
          <w:iCs/>
          <w:sz w:val="28"/>
          <w:szCs w:val="28"/>
          <w:lang w:eastAsia="es-ES_tradnl"/>
        </w:rPr>
        <w:t>Instrumento de atracción de inversiones e impulso de las exportaciones</w:t>
      </w:r>
      <w:r w:rsidRPr="000149EE">
        <w:rPr>
          <w:rFonts w:ascii="Times New Roman" w:eastAsia="Times New Roman" w:hAnsi="Times New Roman" w:cs="Times New Roman"/>
          <w:sz w:val="28"/>
          <w:szCs w:val="28"/>
          <w:lang w:eastAsia="es-ES_tradnl"/>
        </w:rPr>
        <w:t>. Las zonas francas son un instrumento de “atracción de inversiones e im</w:t>
      </w:r>
      <w:r w:rsidRPr="000149EE">
        <w:rPr>
          <w:rFonts w:ascii="Times New Roman" w:eastAsia="Times New Roman" w:hAnsi="Times New Roman" w:cs="Times New Roman"/>
          <w:sz w:val="28"/>
          <w:szCs w:val="28"/>
          <w:lang w:eastAsia="es-ES_tradnl"/>
        </w:rPr>
        <w:t>pulso de exportaciones”</w:t>
      </w:r>
      <w:r w:rsidRPr="000149EE">
        <w:rPr>
          <w:rFonts w:ascii="Times New Roman" w:hAnsi="Times New Roman" w:cs="Times New Roman"/>
          <w:sz w:val="28"/>
          <w:szCs w:val="28"/>
          <w:vertAlign w:val="superscript"/>
          <w:lang w:eastAsia="es-ES_tradnl"/>
        </w:rPr>
        <w:footnoteReference w:id="76"/>
      </w:r>
      <w:r w:rsidRPr="000149EE">
        <w:rPr>
          <w:rFonts w:ascii="Times New Roman" w:eastAsia="Times New Roman" w:hAnsi="Times New Roman" w:cs="Times New Roman"/>
          <w:sz w:val="28"/>
          <w:szCs w:val="28"/>
          <w:lang w:eastAsia="es-ES_tradnl"/>
        </w:rPr>
        <w:t xml:space="preserve">. En este sentido, cuentan con </w:t>
      </w:r>
      <w:r w:rsidRPr="000149EE">
        <w:rPr>
          <w:rFonts w:ascii="Times New Roman" w:eastAsia="Times New Roman" w:hAnsi="Times New Roman" w:cs="Times New Roman"/>
          <w:bCs/>
          <w:sz w:val="28"/>
          <w:szCs w:val="28"/>
          <w:lang w:eastAsia="es-ES_tradnl"/>
        </w:rPr>
        <w:t>reglas especiales que facilitan la nacionalización de productos, la negociación con el Territorio Aduanero Nacional y la industria de exportación</w:t>
      </w:r>
      <w:r w:rsidRPr="000149EE">
        <w:rPr>
          <w:rFonts w:ascii="Times New Roman" w:hAnsi="Times New Roman" w:cs="Times New Roman"/>
          <w:bCs/>
          <w:sz w:val="28"/>
          <w:szCs w:val="28"/>
          <w:vertAlign w:val="superscript"/>
          <w:lang w:eastAsia="es-ES_tradnl"/>
        </w:rPr>
        <w:footnoteReference w:id="77"/>
      </w:r>
      <w:r w:rsidRPr="000149EE">
        <w:rPr>
          <w:rFonts w:ascii="Times New Roman" w:eastAsia="Times New Roman" w:hAnsi="Times New Roman" w:cs="Times New Roman"/>
          <w:sz w:val="28"/>
          <w:szCs w:val="28"/>
          <w:lang w:eastAsia="es-ES_tradnl"/>
        </w:rPr>
        <w:t>.</w:t>
      </w:r>
    </w:p>
    <w:p w:rsidR="00BB27F6" w:rsidRPr="000149EE" w:rsidRDefault="000149EE" w:rsidP="001A47E2">
      <w:pPr>
        <w:shd w:val="clear" w:color="auto" w:fill="FFFFFF"/>
        <w:tabs>
          <w:tab w:val="left" w:pos="0"/>
          <w:tab w:val="left" w:pos="567"/>
          <w:tab w:val="left" w:pos="709"/>
          <w:tab w:val="left" w:pos="851"/>
        </w:tabs>
        <w:ind w:right="-91"/>
        <w:contextualSpacing/>
        <w:rPr>
          <w:rFonts w:ascii="Times New Roman" w:eastAsia="Times New Roman" w:hAnsi="Times New Roman" w:cs="Times New Roman"/>
          <w:sz w:val="28"/>
          <w:szCs w:val="28"/>
          <w:lang w:eastAsia="es-ES_tradnl"/>
        </w:rPr>
      </w:pPr>
    </w:p>
    <w:p w:rsidR="00BB27F6" w:rsidRPr="000149EE" w:rsidRDefault="000149EE" w:rsidP="009D4F8D">
      <w:pPr>
        <w:numPr>
          <w:ilvl w:val="0"/>
          <w:numId w:val="3"/>
        </w:numPr>
        <w:tabs>
          <w:tab w:val="left" w:pos="567"/>
        </w:tabs>
        <w:ind w:left="0" w:firstLine="0"/>
        <w:rPr>
          <w:rFonts w:ascii="Times New Roman" w:eastAsia="Times New Roman" w:hAnsi="Times New Roman" w:cs="Times New Roman"/>
          <w:sz w:val="28"/>
          <w:szCs w:val="28"/>
          <w:lang w:eastAsia="es-ES_tradnl"/>
        </w:rPr>
      </w:pPr>
      <w:r w:rsidRPr="000149EE">
        <w:rPr>
          <w:rFonts w:ascii="Times New Roman" w:eastAsia="Times New Roman" w:hAnsi="Times New Roman" w:cs="Times New Roman"/>
          <w:sz w:val="28"/>
          <w:szCs w:val="28"/>
          <w:lang w:eastAsia="es-ES_tradnl"/>
        </w:rPr>
        <w:t xml:space="preserve">Existen tres clases de zonas francas: </w:t>
      </w:r>
      <w:r w:rsidRPr="000149EE">
        <w:rPr>
          <w:rFonts w:ascii="Times New Roman" w:eastAsia="Times New Roman" w:hAnsi="Times New Roman" w:cs="Times New Roman"/>
          <w:bCs/>
          <w:sz w:val="28"/>
          <w:szCs w:val="28"/>
          <w:lang w:eastAsia="es-ES_tradnl"/>
        </w:rPr>
        <w:t xml:space="preserve">permanentes, </w:t>
      </w:r>
      <w:r w:rsidRPr="000149EE">
        <w:rPr>
          <w:rFonts w:ascii="Times New Roman" w:eastAsia="Times New Roman" w:hAnsi="Times New Roman" w:cs="Times New Roman"/>
          <w:bCs/>
          <w:sz w:val="28"/>
          <w:szCs w:val="28"/>
          <w:lang w:eastAsia="es-ES_tradnl"/>
        </w:rPr>
        <w:t>permanentes especiales</w:t>
      </w:r>
      <w:r w:rsidRPr="000149EE">
        <w:rPr>
          <w:rFonts w:ascii="Times New Roman" w:eastAsia="Times New Roman" w:hAnsi="Times New Roman" w:cs="Times New Roman"/>
          <w:bCs/>
          <w:sz w:val="28"/>
          <w:szCs w:val="28"/>
          <w:vertAlign w:val="superscript"/>
          <w:lang w:eastAsia="es-ES_tradnl"/>
        </w:rPr>
        <w:t xml:space="preserve"> </w:t>
      </w:r>
      <w:r w:rsidRPr="000149EE">
        <w:rPr>
          <w:rFonts w:ascii="Times New Roman" w:eastAsia="Times New Roman" w:hAnsi="Times New Roman" w:cs="Times New Roman"/>
          <w:bCs/>
          <w:sz w:val="28"/>
          <w:szCs w:val="28"/>
          <w:lang w:eastAsia="es-ES_tradnl"/>
        </w:rPr>
        <w:t>y transitorias (art. 3 del Decreto 2147 de 2016). De acuerdo con el artículo 4 del Decreto 2147 de 2016, en cada una de estas se sitúan diversos tipos de usuarios, como se sintetiza en la siguiente tabla:</w:t>
      </w:r>
    </w:p>
    <w:p w:rsidR="00BB27F6" w:rsidRPr="000149EE" w:rsidRDefault="000149EE" w:rsidP="001A47E2">
      <w:pPr>
        <w:shd w:val="clear" w:color="auto" w:fill="FFFFFF"/>
        <w:tabs>
          <w:tab w:val="left" w:pos="0"/>
          <w:tab w:val="left" w:pos="567"/>
          <w:tab w:val="left" w:pos="709"/>
          <w:tab w:val="left" w:pos="851"/>
        </w:tabs>
        <w:ind w:right="-91"/>
        <w:contextualSpacing/>
        <w:rPr>
          <w:rFonts w:ascii="Times New Roman" w:eastAsia="Times New Roman" w:hAnsi="Times New Roman" w:cs="Times New Roman"/>
          <w:sz w:val="28"/>
          <w:szCs w:val="28"/>
          <w:lang w:eastAsia="es-ES_tradnl"/>
        </w:rPr>
      </w:pPr>
    </w:p>
    <w:tbl>
      <w:tblPr>
        <w:tblStyle w:val="Tablaconcuadrcula12"/>
        <w:tblW w:w="8789" w:type="dxa"/>
        <w:tblInd w:w="137" w:type="dxa"/>
        <w:tblLook w:val="04A0" w:firstRow="1" w:lastRow="0" w:firstColumn="1" w:lastColumn="0" w:noHBand="0" w:noVBand="1"/>
      </w:tblPr>
      <w:tblGrid>
        <w:gridCol w:w="1696"/>
        <w:gridCol w:w="7093"/>
      </w:tblGrid>
      <w:tr w:rsidR="00BB27F6" w:rsidRPr="000149EE" w:rsidTr="007906CD">
        <w:tc>
          <w:tcPr>
            <w:tcW w:w="1418" w:type="dxa"/>
            <w:shd w:val="clear" w:color="auto" w:fill="D9D9D9" w:themeFill="background1" w:themeFillShade="D9"/>
            <w:vAlign w:val="center"/>
          </w:tcPr>
          <w:p w:rsidR="00BB27F6" w:rsidRPr="000149EE" w:rsidRDefault="000149EE" w:rsidP="007D5C33">
            <w:pPr>
              <w:jc w:val="center"/>
              <w:rPr>
                <w:rFonts w:ascii="Times New Roman" w:eastAsia="Times New Roman" w:hAnsi="Times New Roman" w:cs="Times New Roman"/>
                <w:b/>
                <w:bCs/>
                <w:sz w:val="28"/>
                <w:szCs w:val="24"/>
                <w:lang w:eastAsia="es-MX"/>
              </w:rPr>
            </w:pPr>
            <w:r w:rsidRPr="000149EE">
              <w:rPr>
                <w:rFonts w:ascii="Times New Roman" w:eastAsia="Times New Roman" w:hAnsi="Times New Roman" w:cs="Times New Roman"/>
                <w:b/>
                <w:bCs/>
                <w:sz w:val="28"/>
                <w:szCs w:val="24"/>
                <w:lang w:eastAsia="es-MX"/>
              </w:rPr>
              <w:t>Tipología</w:t>
            </w:r>
          </w:p>
        </w:tc>
        <w:tc>
          <w:tcPr>
            <w:tcW w:w="7371" w:type="dxa"/>
            <w:shd w:val="clear" w:color="auto" w:fill="D9D9D9" w:themeFill="background1" w:themeFillShade="D9"/>
            <w:vAlign w:val="center"/>
          </w:tcPr>
          <w:p w:rsidR="00BB27F6" w:rsidRPr="000149EE" w:rsidRDefault="000149EE" w:rsidP="007D5C33">
            <w:pPr>
              <w:jc w:val="center"/>
              <w:rPr>
                <w:rFonts w:ascii="Times New Roman" w:eastAsia="Times New Roman" w:hAnsi="Times New Roman" w:cs="Times New Roman"/>
                <w:b/>
                <w:bCs/>
                <w:sz w:val="28"/>
                <w:szCs w:val="24"/>
                <w:lang w:eastAsia="es-MX"/>
              </w:rPr>
            </w:pPr>
            <w:r w:rsidRPr="000149EE">
              <w:rPr>
                <w:rFonts w:ascii="Times New Roman" w:eastAsia="Times New Roman" w:hAnsi="Times New Roman" w:cs="Times New Roman"/>
                <w:b/>
                <w:bCs/>
                <w:sz w:val="28"/>
                <w:szCs w:val="24"/>
                <w:lang w:eastAsia="es-MX"/>
              </w:rPr>
              <w:t>Usuarios</w:t>
            </w:r>
          </w:p>
        </w:tc>
      </w:tr>
      <w:tr w:rsidR="00BB27F6" w:rsidRPr="000149EE" w:rsidTr="007906CD">
        <w:tc>
          <w:tcPr>
            <w:tcW w:w="1418" w:type="dxa"/>
            <w:shd w:val="clear" w:color="auto" w:fill="D9D9D9" w:themeFill="background1" w:themeFillShade="D9"/>
            <w:vAlign w:val="center"/>
          </w:tcPr>
          <w:p w:rsidR="00BB27F6" w:rsidRPr="000149EE" w:rsidRDefault="000149EE" w:rsidP="007D5C33">
            <w:pPr>
              <w:jc w:val="center"/>
              <w:rPr>
                <w:rFonts w:ascii="Times New Roman" w:eastAsia="Times New Roman" w:hAnsi="Times New Roman" w:cs="Times New Roman"/>
                <w:b/>
                <w:bCs/>
                <w:sz w:val="28"/>
                <w:szCs w:val="24"/>
                <w:lang w:eastAsia="es-MX"/>
              </w:rPr>
            </w:pPr>
            <w:r w:rsidRPr="000149EE">
              <w:rPr>
                <w:rFonts w:ascii="Times New Roman" w:eastAsia="Times New Roman" w:hAnsi="Times New Roman" w:cs="Times New Roman"/>
                <w:b/>
                <w:bCs/>
                <w:sz w:val="28"/>
                <w:szCs w:val="24"/>
                <w:lang w:eastAsia="es-MX"/>
              </w:rPr>
              <w:t xml:space="preserve">Zonas </w:t>
            </w:r>
            <w:r w:rsidRPr="000149EE">
              <w:rPr>
                <w:rFonts w:ascii="Times New Roman" w:eastAsia="Times New Roman" w:hAnsi="Times New Roman" w:cs="Times New Roman"/>
                <w:b/>
                <w:bCs/>
                <w:sz w:val="28"/>
                <w:szCs w:val="24"/>
                <w:lang w:eastAsia="es-MX"/>
              </w:rPr>
              <w:t>francas permanentes</w:t>
            </w:r>
            <w:r w:rsidRPr="000149EE">
              <w:rPr>
                <w:rStyle w:val="Refdenotaalpie"/>
                <w:rFonts w:ascii="Times New Roman" w:eastAsia="Times New Roman" w:hAnsi="Times New Roman" w:cs="Times New Roman"/>
                <w:b/>
                <w:bCs/>
                <w:sz w:val="28"/>
                <w:szCs w:val="24"/>
                <w:lang w:eastAsia="es-MX"/>
              </w:rPr>
              <w:footnoteReference w:id="78"/>
            </w:r>
          </w:p>
        </w:tc>
        <w:tc>
          <w:tcPr>
            <w:tcW w:w="7371" w:type="dxa"/>
            <w:vAlign w:val="center"/>
          </w:tcPr>
          <w:p w:rsidR="007906CD" w:rsidRPr="000149EE" w:rsidRDefault="000149EE" w:rsidP="007D5C33">
            <w:pPr>
              <w:pStyle w:val="Prrafodelista"/>
              <w:numPr>
                <w:ilvl w:val="0"/>
                <w:numId w:val="12"/>
              </w:numPr>
              <w:spacing w:line="240" w:lineRule="auto"/>
              <w:ind w:left="321" w:hanging="284"/>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Definición</w:t>
            </w:r>
            <w:r w:rsidRPr="000149EE">
              <w:rPr>
                <w:rFonts w:ascii="Times New Roman" w:eastAsia="Times New Roman" w:hAnsi="Times New Roman"/>
                <w:bCs/>
                <w:sz w:val="28"/>
                <w:szCs w:val="24"/>
                <w:lang w:eastAsia="es-MX"/>
              </w:rPr>
              <w:t xml:space="preserve">. </w:t>
            </w:r>
            <w:r w:rsidRPr="000149EE">
              <w:rPr>
                <w:rFonts w:ascii="Times New Roman" w:eastAsia="Times New Roman" w:hAnsi="Times New Roman"/>
                <w:bCs/>
                <w:sz w:val="28"/>
                <w:szCs w:val="24"/>
                <w:lang w:eastAsia="es-MX"/>
              </w:rPr>
              <w:t>L</w:t>
            </w:r>
            <w:r w:rsidRPr="000149EE">
              <w:rPr>
                <w:rFonts w:ascii="Times New Roman" w:eastAsia="Times New Roman" w:hAnsi="Times New Roman"/>
                <w:bCs/>
                <w:sz w:val="28"/>
                <w:szCs w:val="24"/>
                <w:lang w:eastAsia="es-MX"/>
              </w:rPr>
              <w:t>a z</w:t>
            </w:r>
            <w:r w:rsidRPr="000149EE">
              <w:rPr>
                <w:rFonts w:ascii="Times New Roman" w:eastAsia="Times New Roman" w:hAnsi="Times New Roman"/>
                <w:bCs/>
                <w:sz w:val="28"/>
                <w:szCs w:val="24"/>
                <w:lang w:eastAsia="es-MX"/>
              </w:rPr>
              <w:t>ona franca permanente</w:t>
            </w:r>
            <w:r w:rsidRPr="000149EE">
              <w:rPr>
                <w:rFonts w:ascii="Times New Roman" w:eastAsia="Times New Roman" w:hAnsi="Times New Roman"/>
                <w:bCs/>
                <w:sz w:val="28"/>
                <w:szCs w:val="24"/>
                <w:lang w:eastAsia="es-MX"/>
              </w:rPr>
              <w:t xml:space="preserve"> </w:t>
            </w:r>
            <w:r w:rsidRPr="000149EE">
              <w:rPr>
                <w:rFonts w:ascii="Times New Roman" w:eastAsia="Times New Roman" w:hAnsi="Times New Roman"/>
                <w:bCs/>
                <w:sz w:val="28"/>
                <w:szCs w:val="24"/>
                <w:lang w:eastAsia="es-MX"/>
              </w:rPr>
              <w:t xml:space="preserve">es </w:t>
            </w:r>
            <w:r w:rsidRPr="000149EE">
              <w:rPr>
                <w:rFonts w:ascii="Times New Roman" w:eastAsia="Times New Roman" w:hAnsi="Times New Roman"/>
                <w:bCs/>
                <w:sz w:val="28"/>
                <w:szCs w:val="24"/>
                <w:lang w:eastAsia="es-MX"/>
              </w:rPr>
              <w:t>“</w:t>
            </w:r>
            <w:r w:rsidRPr="000149EE">
              <w:rPr>
                <w:rFonts w:ascii="Times New Roman" w:eastAsia="Times New Roman" w:hAnsi="Times New Roman"/>
                <w:bCs/>
                <w:sz w:val="28"/>
                <w:szCs w:val="24"/>
                <w:lang w:eastAsia="es-MX"/>
              </w:rPr>
              <w:t xml:space="preserve">el área delimitada del territorio nacional en la que se instalan múltiples usuarios industriales o comerciales, los cuales gozan de un tratamiento tributario, aduanero y de comercio exterior </w:t>
            </w:r>
            <w:r w:rsidRPr="000149EE">
              <w:rPr>
                <w:rFonts w:ascii="Times New Roman" w:eastAsia="Times New Roman" w:hAnsi="Times New Roman"/>
                <w:bCs/>
                <w:sz w:val="28"/>
                <w:szCs w:val="24"/>
                <w:lang w:eastAsia="es-MX"/>
              </w:rPr>
              <w:t>especial, según sea el caso”.</w:t>
            </w:r>
          </w:p>
          <w:p w:rsidR="00255BC6" w:rsidRPr="000149EE" w:rsidRDefault="000149EE" w:rsidP="007D5C33">
            <w:pPr>
              <w:pStyle w:val="Prrafodelista"/>
              <w:numPr>
                <w:ilvl w:val="0"/>
                <w:numId w:val="12"/>
              </w:numPr>
              <w:spacing w:line="240" w:lineRule="auto"/>
              <w:ind w:left="321" w:hanging="284"/>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Usuarios</w:t>
            </w:r>
            <w:r w:rsidRPr="000149EE">
              <w:rPr>
                <w:rFonts w:ascii="Times New Roman" w:eastAsia="Times New Roman" w:hAnsi="Times New Roman"/>
                <w:bCs/>
                <w:sz w:val="28"/>
                <w:szCs w:val="24"/>
                <w:lang w:eastAsia="es-MX"/>
              </w:rPr>
              <w:t xml:space="preserve">. </w:t>
            </w:r>
            <w:r w:rsidRPr="000149EE">
              <w:rPr>
                <w:rFonts w:ascii="Times New Roman" w:eastAsia="Times New Roman" w:hAnsi="Times New Roman"/>
                <w:bCs/>
                <w:sz w:val="28"/>
                <w:szCs w:val="24"/>
                <w:lang w:eastAsia="es-MX"/>
              </w:rPr>
              <w:t>Existen cuatro tipos de usuarios:</w:t>
            </w:r>
          </w:p>
          <w:p w:rsidR="00B970B2" w:rsidRPr="000149EE" w:rsidRDefault="000149EE" w:rsidP="007D5C33">
            <w:pPr>
              <w:pStyle w:val="Prrafodelista"/>
              <w:numPr>
                <w:ilvl w:val="0"/>
                <w:numId w:val="13"/>
              </w:numPr>
              <w:spacing w:line="240" w:lineRule="auto"/>
              <w:ind w:left="745" w:hanging="425"/>
              <w:rPr>
                <w:rFonts w:ascii="Times New Roman" w:eastAsia="Times New Roman" w:hAnsi="Times New Roman"/>
                <w:bCs/>
                <w:sz w:val="28"/>
                <w:szCs w:val="24"/>
                <w:lang w:eastAsia="es-MX"/>
              </w:rPr>
            </w:pPr>
            <w:r w:rsidRPr="000149EE">
              <w:rPr>
                <w:rFonts w:ascii="Times New Roman" w:eastAsia="Times New Roman" w:hAnsi="Times New Roman"/>
                <w:bCs/>
                <w:i/>
                <w:sz w:val="28"/>
                <w:szCs w:val="24"/>
                <w:lang w:eastAsia="es-MX"/>
              </w:rPr>
              <w:t>U</w:t>
            </w:r>
            <w:r w:rsidRPr="000149EE">
              <w:rPr>
                <w:rFonts w:ascii="Times New Roman" w:eastAsia="Times New Roman" w:hAnsi="Times New Roman"/>
                <w:bCs/>
                <w:i/>
                <w:iCs/>
                <w:sz w:val="28"/>
                <w:szCs w:val="24"/>
                <w:lang w:eastAsia="es-MX"/>
              </w:rPr>
              <w:t>suario operador</w:t>
            </w:r>
            <w:r w:rsidRPr="000149EE">
              <w:rPr>
                <w:rFonts w:ascii="Times New Roman" w:eastAsia="Times New Roman" w:hAnsi="Times New Roman"/>
                <w:bCs/>
                <w:sz w:val="28"/>
                <w:szCs w:val="24"/>
                <w:lang w:eastAsia="es-MX"/>
              </w:rPr>
              <w:t>: persona jurídica autorizada para dirigir, administrar, supervisar o desarrollar una o varias zonas francas, así como para calificar a sus usuarios</w:t>
            </w:r>
            <w:r w:rsidRPr="000149EE">
              <w:rPr>
                <w:rFonts w:ascii="Times New Roman" w:eastAsia="Times New Roman" w:hAnsi="Times New Roman"/>
                <w:bCs/>
                <w:sz w:val="28"/>
                <w:szCs w:val="24"/>
                <w:lang w:eastAsia="es-MX"/>
              </w:rPr>
              <w:t xml:space="preserve">. </w:t>
            </w:r>
          </w:p>
          <w:p w:rsidR="00B970B2" w:rsidRPr="000149EE" w:rsidRDefault="000149EE" w:rsidP="007D5C33">
            <w:pPr>
              <w:pStyle w:val="Prrafodelista"/>
              <w:numPr>
                <w:ilvl w:val="0"/>
                <w:numId w:val="13"/>
              </w:numPr>
              <w:spacing w:line="240" w:lineRule="auto"/>
              <w:ind w:left="745" w:hanging="425"/>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 xml:space="preserve">Usuario </w:t>
            </w:r>
            <w:r w:rsidRPr="000149EE">
              <w:rPr>
                <w:rFonts w:ascii="Times New Roman" w:eastAsia="Times New Roman" w:hAnsi="Times New Roman"/>
                <w:bCs/>
                <w:i/>
                <w:iCs/>
                <w:sz w:val="28"/>
                <w:szCs w:val="24"/>
                <w:lang w:eastAsia="es-MX"/>
              </w:rPr>
              <w:t>industrial de bienes</w:t>
            </w:r>
            <w:r w:rsidRPr="000149EE">
              <w:rPr>
                <w:rFonts w:ascii="Times New Roman" w:eastAsia="Times New Roman" w:hAnsi="Times New Roman"/>
                <w:bCs/>
                <w:sz w:val="28"/>
                <w:szCs w:val="24"/>
                <w:lang w:eastAsia="es-MX"/>
              </w:rPr>
              <w:t>: persona jurídica instalada exclusivamente en una o varias zonas francas, autorizada para producir, transformar o ensamblar bienes, a través del procesamiento de materias primas o de productos semielaborados</w:t>
            </w:r>
            <w:r w:rsidRPr="000149EE">
              <w:rPr>
                <w:rFonts w:ascii="Times New Roman" w:eastAsia="Times New Roman" w:hAnsi="Times New Roman"/>
                <w:bCs/>
                <w:i/>
                <w:sz w:val="28"/>
                <w:szCs w:val="24"/>
                <w:lang w:eastAsia="es-MX"/>
              </w:rPr>
              <w:t>.</w:t>
            </w:r>
          </w:p>
          <w:p w:rsidR="00B970B2" w:rsidRPr="000149EE" w:rsidRDefault="000149EE" w:rsidP="007D5C33">
            <w:pPr>
              <w:pStyle w:val="Prrafodelista"/>
              <w:numPr>
                <w:ilvl w:val="0"/>
                <w:numId w:val="13"/>
              </w:numPr>
              <w:spacing w:line="240" w:lineRule="auto"/>
              <w:ind w:left="745" w:hanging="425"/>
              <w:rPr>
                <w:rFonts w:ascii="Times New Roman" w:eastAsia="Times New Roman" w:hAnsi="Times New Roman"/>
                <w:bCs/>
                <w:sz w:val="28"/>
                <w:szCs w:val="24"/>
                <w:lang w:eastAsia="es-MX"/>
              </w:rPr>
            </w:pPr>
            <w:r w:rsidRPr="000149EE">
              <w:rPr>
                <w:rFonts w:ascii="Times New Roman" w:eastAsia="Times New Roman" w:hAnsi="Times New Roman"/>
                <w:bCs/>
                <w:i/>
                <w:sz w:val="28"/>
                <w:szCs w:val="24"/>
                <w:lang w:eastAsia="es-MX"/>
              </w:rPr>
              <w:t>U</w:t>
            </w:r>
            <w:r w:rsidRPr="000149EE">
              <w:rPr>
                <w:rFonts w:ascii="Times New Roman" w:eastAsia="Times New Roman" w:hAnsi="Times New Roman"/>
                <w:bCs/>
                <w:i/>
                <w:iCs/>
                <w:sz w:val="28"/>
                <w:szCs w:val="24"/>
                <w:lang w:eastAsia="es-MX"/>
              </w:rPr>
              <w:t>suario industrial de serv</w:t>
            </w:r>
            <w:r w:rsidRPr="000149EE">
              <w:rPr>
                <w:rFonts w:ascii="Times New Roman" w:eastAsia="Times New Roman" w:hAnsi="Times New Roman"/>
                <w:bCs/>
                <w:i/>
                <w:iCs/>
                <w:sz w:val="28"/>
                <w:szCs w:val="24"/>
                <w:lang w:eastAsia="es-MX"/>
              </w:rPr>
              <w:t>icios</w:t>
            </w:r>
            <w:r w:rsidRPr="000149EE">
              <w:rPr>
                <w:rFonts w:ascii="Times New Roman" w:eastAsia="Times New Roman" w:hAnsi="Times New Roman"/>
                <w:bCs/>
                <w:sz w:val="28"/>
                <w:szCs w:val="24"/>
                <w:lang w:eastAsia="es-MX"/>
              </w:rPr>
              <w:t>: persona jurídica autorizada para desarrollar, de forma exclusiva, en una o varias zonas francas, actividades de logística, transporte, telecomunicaciones, envase, empaque, turismo, asistencia médica y de salud, reparación, soporte de maquinaria, adm</w:t>
            </w:r>
            <w:r w:rsidRPr="000149EE">
              <w:rPr>
                <w:rFonts w:ascii="Times New Roman" w:eastAsia="Times New Roman" w:hAnsi="Times New Roman"/>
                <w:bCs/>
                <w:sz w:val="28"/>
                <w:szCs w:val="24"/>
                <w:lang w:eastAsia="es-MX"/>
              </w:rPr>
              <w:t>inistración, corretaje, entre otras</w:t>
            </w:r>
            <w:r w:rsidRPr="000149EE">
              <w:rPr>
                <w:rFonts w:ascii="Times New Roman" w:hAnsi="Times New Roman"/>
                <w:sz w:val="28"/>
                <w:szCs w:val="24"/>
                <w:vertAlign w:val="superscript"/>
                <w:lang w:eastAsia="es-MX"/>
              </w:rPr>
              <w:footnoteReference w:id="79"/>
            </w:r>
            <w:r w:rsidRPr="000149EE">
              <w:rPr>
                <w:rFonts w:ascii="Times New Roman" w:eastAsia="Times New Roman" w:hAnsi="Times New Roman"/>
                <w:bCs/>
                <w:sz w:val="28"/>
                <w:szCs w:val="24"/>
                <w:lang w:eastAsia="es-MX"/>
              </w:rPr>
              <w:t>.</w:t>
            </w:r>
          </w:p>
          <w:p w:rsidR="00BB27F6" w:rsidRPr="000149EE" w:rsidRDefault="000149EE" w:rsidP="007D5C33">
            <w:pPr>
              <w:pStyle w:val="Prrafodelista"/>
              <w:numPr>
                <w:ilvl w:val="0"/>
                <w:numId w:val="13"/>
              </w:numPr>
              <w:spacing w:line="240" w:lineRule="auto"/>
              <w:ind w:left="745" w:hanging="425"/>
              <w:rPr>
                <w:rFonts w:ascii="Times New Roman" w:eastAsia="Times New Roman" w:hAnsi="Times New Roman"/>
                <w:bCs/>
                <w:sz w:val="28"/>
                <w:szCs w:val="24"/>
                <w:lang w:eastAsia="es-MX"/>
              </w:rPr>
            </w:pPr>
            <w:r w:rsidRPr="000149EE">
              <w:rPr>
                <w:rFonts w:ascii="Times New Roman" w:eastAsia="Times New Roman" w:hAnsi="Times New Roman"/>
                <w:bCs/>
                <w:i/>
                <w:sz w:val="28"/>
                <w:szCs w:val="24"/>
                <w:lang w:eastAsia="es-MX"/>
              </w:rPr>
              <w:t>U</w:t>
            </w:r>
            <w:r w:rsidRPr="000149EE">
              <w:rPr>
                <w:rFonts w:ascii="Times New Roman" w:eastAsia="Times New Roman" w:hAnsi="Times New Roman"/>
                <w:bCs/>
                <w:i/>
                <w:iCs/>
                <w:sz w:val="28"/>
                <w:szCs w:val="24"/>
                <w:lang w:eastAsia="es-MX"/>
              </w:rPr>
              <w:t>suario comercial</w:t>
            </w:r>
            <w:r w:rsidRPr="000149EE">
              <w:rPr>
                <w:rFonts w:ascii="Times New Roman" w:eastAsia="Times New Roman" w:hAnsi="Times New Roman"/>
                <w:bCs/>
                <w:sz w:val="28"/>
                <w:szCs w:val="24"/>
                <w:lang w:eastAsia="es-MX"/>
              </w:rPr>
              <w:t>: persona jurídica autorizada para desarrollar actividades de mercadeo, comercialización, almacenamiento o conservación de bienes, en una o varias zonas francas.</w:t>
            </w:r>
          </w:p>
        </w:tc>
      </w:tr>
      <w:tr w:rsidR="00BB27F6" w:rsidRPr="000149EE" w:rsidTr="007906CD">
        <w:tc>
          <w:tcPr>
            <w:tcW w:w="1418" w:type="dxa"/>
            <w:shd w:val="clear" w:color="auto" w:fill="D9D9D9" w:themeFill="background1" w:themeFillShade="D9"/>
            <w:vAlign w:val="center"/>
          </w:tcPr>
          <w:p w:rsidR="00BB27F6" w:rsidRPr="000149EE" w:rsidRDefault="000149EE" w:rsidP="007D5C33">
            <w:pPr>
              <w:jc w:val="center"/>
              <w:rPr>
                <w:rFonts w:ascii="Times New Roman" w:eastAsia="Times New Roman" w:hAnsi="Times New Roman" w:cs="Times New Roman"/>
                <w:b/>
                <w:bCs/>
                <w:sz w:val="28"/>
                <w:szCs w:val="24"/>
                <w:lang w:eastAsia="es-MX"/>
              </w:rPr>
            </w:pPr>
            <w:r w:rsidRPr="000149EE">
              <w:rPr>
                <w:rFonts w:ascii="Times New Roman" w:eastAsia="Times New Roman" w:hAnsi="Times New Roman" w:cs="Times New Roman"/>
                <w:b/>
                <w:bCs/>
                <w:sz w:val="28"/>
                <w:szCs w:val="24"/>
                <w:lang w:eastAsia="es-MX"/>
              </w:rPr>
              <w:t>Zonas francas permanentes especiales</w:t>
            </w:r>
          </w:p>
        </w:tc>
        <w:tc>
          <w:tcPr>
            <w:tcW w:w="7371" w:type="dxa"/>
            <w:vAlign w:val="center"/>
          </w:tcPr>
          <w:p w:rsidR="007906CD" w:rsidRPr="000149EE" w:rsidRDefault="000149EE" w:rsidP="007D5C33">
            <w:pPr>
              <w:pStyle w:val="Prrafodelista"/>
              <w:numPr>
                <w:ilvl w:val="0"/>
                <w:numId w:val="14"/>
              </w:numPr>
              <w:spacing w:line="240" w:lineRule="auto"/>
              <w:ind w:left="321"/>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Definición</w:t>
            </w:r>
            <w:r w:rsidRPr="000149EE">
              <w:rPr>
                <w:rFonts w:ascii="Times New Roman" w:eastAsia="Times New Roman" w:hAnsi="Times New Roman"/>
                <w:bCs/>
                <w:sz w:val="28"/>
                <w:szCs w:val="24"/>
                <w:lang w:eastAsia="es-MX"/>
              </w:rPr>
              <w:t xml:space="preserve">. </w:t>
            </w:r>
            <w:r w:rsidRPr="000149EE">
              <w:rPr>
                <w:rFonts w:ascii="Times New Roman" w:eastAsia="Times New Roman" w:hAnsi="Times New Roman"/>
                <w:bCs/>
                <w:sz w:val="28"/>
                <w:szCs w:val="24"/>
                <w:lang w:eastAsia="es-MX"/>
              </w:rPr>
              <w:t>La</w:t>
            </w:r>
            <w:r w:rsidRPr="000149EE">
              <w:rPr>
                <w:rFonts w:ascii="Times New Roman" w:eastAsia="Times New Roman" w:hAnsi="Times New Roman"/>
                <w:bCs/>
                <w:sz w:val="28"/>
                <w:szCs w:val="24"/>
                <w:lang w:eastAsia="es-MX"/>
              </w:rPr>
              <w:t xml:space="preserve"> zona franca permanente especial </w:t>
            </w:r>
            <w:r w:rsidRPr="000149EE">
              <w:rPr>
                <w:rFonts w:ascii="Times New Roman" w:eastAsia="Times New Roman" w:hAnsi="Times New Roman"/>
                <w:bCs/>
                <w:sz w:val="28"/>
                <w:szCs w:val="24"/>
                <w:lang w:eastAsia="es-MX"/>
              </w:rPr>
              <w:t xml:space="preserve">es </w:t>
            </w:r>
            <w:r w:rsidRPr="000149EE">
              <w:rPr>
                <w:rFonts w:ascii="Times New Roman" w:eastAsia="Times New Roman" w:hAnsi="Times New Roman"/>
                <w:bCs/>
                <w:sz w:val="28"/>
                <w:szCs w:val="24"/>
                <w:lang w:eastAsia="es-MX"/>
              </w:rPr>
              <w:t>“el área delimitada del territorio nacional en la que se instala un único usuario industrial, el cual goza de un tratamiento tributario, aduanero y de comercio exterior especial”</w:t>
            </w:r>
            <w:r w:rsidRPr="000149EE">
              <w:rPr>
                <w:rFonts w:ascii="Times New Roman" w:eastAsia="Times New Roman" w:hAnsi="Times New Roman"/>
                <w:bCs/>
                <w:sz w:val="28"/>
                <w:szCs w:val="24"/>
                <w:lang w:eastAsia="es-MX"/>
              </w:rPr>
              <w:t>.</w:t>
            </w:r>
          </w:p>
          <w:p w:rsidR="00BB27F6" w:rsidRPr="000149EE" w:rsidRDefault="000149EE" w:rsidP="007D5C33">
            <w:pPr>
              <w:pStyle w:val="Prrafodelista"/>
              <w:numPr>
                <w:ilvl w:val="0"/>
                <w:numId w:val="14"/>
              </w:numPr>
              <w:spacing w:line="240" w:lineRule="auto"/>
              <w:ind w:left="321"/>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Usuarios</w:t>
            </w:r>
            <w:r w:rsidRPr="000149EE">
              <w:rPr>
                <w:rFonts w:ascii="Times New Roman" w:eastAsia="Times New Roman" w:hAnsi="Times New Roman"/>
                <w:bCs/>
                <w:sz w:val="28"/>
                <w:szCs w:val="24"/>
                <w:lang w:eastAsia="es-MX"/>
              </w:rPr>
              <w:t xml:space="preserve">. </w:t>
            </w:r>
            <w:r w:rsidRPr="000149EE">
              <w:rPr>
                <w:rFonts w:ascii="Times New Roman" w:eastAsia="Times New Roman" w:hAnsi="Times New Roman"/>
                <w:bCs/>
                <w:sz w:val="28"/>
                <w:szCs w:val="24"/>
                <w:lang w:eastAsia="es-MX"/>
              </w:rPr>
              <w:t xml:space="preserve">En </w:t>
            </w:r>
            <w:r w:rsidRPr="000149EE">
              <w:rPr>
                <w:rFonts w:ascii="Times New Roman" w:eastAsia="Times New Roman" w:hAnsi="Times New Roman"/>
                <w:bCs/>
                <w:sz w:val="28"/>
                <w:szCs w:val="24"/>
                <w:lang w:eastAsia="es-MX"/>
              </w:rPr>
              <w:t xml:space="preserve">este tipo </w:t>
            </w:r>
            <w:r w:rsidRPr="000149EE">
              <w:rPr>
                <w:rFonts w:ascii="Times New Roman" w:eastAsia="Times New Roman" w:hAnsi="Times New Roman"/>
                <w:bCs/>
                <w:sz w:val="28"/>
                <w:szCs w:val="24"/>
                <w:lang w:eastAsia="es-MX"/>
              </w:rPr>
              <w:t xml:space="preserve">se </w:t>
            </w:r>
            <w:r w:rsidRPr="000149EE">
              <w:rPr>
                <w:rFonts w:ascii="Times New Roman" w:eastAsia="Times New Roman" w:hAnsi="Times New Roman"/>
                <w:bCs/>
                <w:sz w:val="28"/>
                <w:szCs w:val="24"/>
                <w:lang w:eastAsia="es-MX"/>
              </w:rPr>
              <w:t>pueden ubicar los mismos usuarios de las zonas francas permanentes, salvo por los usuarios comerciales</w:t>
            </w:r>
            <w:r w:rsidRPr="000149EE">
              <w:rPr>
                <w:rFonts w:ascii="Times New Roman" w:hAnsi="Times New Roman"/>
                <w:sz w:val="28"/>
                <w:szCs w:val="24"/>
                <w:vertAlign w:val="superscript"/>
                <w:lang w:eastAsia="es-MX"/>
              </w:rPr>
              <w:footnoteReference w:id="80"/>
            </w:r>
            <w:r w:rsidRPr="000149EE">
              <w:rPr>
                <w:rFonts w:ascii="Times New Roman" w:eastAsia="Times New Roman" w:hAnsi="Times New Roman"/>
                <w:bCs/>
                <w:sz w:val="28"/>
                <w:szCs w:val="24"/>
                <w:lang w:eastAsia="es-MX"/>
              </w:rPr>
              <w:t>.</w:t>
            </w:r>
          </w:p>
        </w:tc>
      </w:tr>
      <w:tr w:rsidR="00BB27F6" w:rsidRPr="000149EE" w:rsidTr="007906CD">
        <w:tc>
          <w:tcPr>
            <w:tcW w:w="1418" w:type="dxa"/>
            <w:shd w:val="clear" w:color="auto" w:fill="D9D9D9" w:themeFill="background1" w:themeFillShade="D9"/>
            <w:vAlign w:val="center"/>
          </w:tcPr>
          <w:p w:rsidR="00BB27F6" w:rsidRPr="000149EE" w:rsidRDefault="000149EE" w:rsidP="007D5C33">
            <w:pPr>
              <w:jc w:val="center"/>
              <w:rPr>
                <w:rFonts w:ascii="Times New Roman" w:eastAsia="Times New Roman" w:hAnsi="Times New Roman" w:cs="Times New Roman"/>
                <w:b/>
                <w:bCs/>
                <w:sz w:val="28"/>
                <w:szCs w:val="24"/>
                <w:lang w:eastAsia="es-MX"/>
              </w:rPr>
            </w:pPr>
            <w:r w:rsidRPr="000149EE">
              <w:rPr>
                <w:rFonts w:ascii="Times New Roman" w:eastAsia="Times New Roman" w:hAnsi="Times New Roman" w:cs="Times New Roman"/>
                <w:b/>
                <w:bCs/>
                <w:sz w:val="28"/>
                <w:szCs w:val="24"/>
                <w:lang w:eastAsia="es-MX"/>
              </w:rPr>
              <w:t>Zonas francas transitorias</w:t>
            </w:r>
          </w:p>
        </w:tc>
        <w:tc>
          <w:tcPr>
            <w:tcW w:w="7371" w:type="dxa"/>
            <w:vAlign w:val="center"/>
          </w:tcPr>
          <w:p w:rsidR="007906CD" w:rsidRPr="000149EE" w:rsidRDefault="000149EE" w:rsidP="007D5C33">
            <w:pPr>
              <w:pStyle w:val="Prrafodelista"/>
              <w:numPr>
                <w:ilvl w:val="0"/>
                <w:numId w:val="15"/>
              </w:numPr>
              <w:spacing w:line="240" w:lineRule="auto"/>
              <w:ind w:left="321"/>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Definición</w:t>
            </w:r>
            <w:r w:rsidRPr="000149EE">
              <w:rPr>
                <w:rFonts w:ascii="Times New Roman" w:eastAsia="Times New Roman" w:hAnsi="Times New Roman"/>
                <w:bCs/>
                <w:sz w:val="28"/>
                <w:szCs w:val="24"/>
                <w:lang w:eastAsia="es-MX"/>
              </w:rPr>
              <w:t xml:space="preserve">. </w:t>
            </w:r>
            <w:r w:rsidRPr="000149EE">
              <w:rPr>
                <w:rFonts w:ascii="Times New Roman" w:eastAsia="Times New Roman" w:hAnsi="Times New Roman"/>
                <w:bCs/>
                <w:sz w:val="28"/>
                <w:szCs w:val="24"/>
                <w:lang w:eastAsia="es-MX"/>
              </w:rPr>
              <w:t>La</w:t>
            </w:r>
            <w:r w:rsidRPr="000149EE">
              <w:rPr>
                <w:rFonts w:ascii="Times New Roman" w:eastAsia="Times New Roman" w:hAnsi="Times New Roman"/>
                <w:bCs/>
                <w:sz w:val="28"/>
                <w:szCs w:val="24"/>
                <w:lang w:eastAsia="es-MX"/>
              </w:rPr>
              <w:t xml:space="preserve"> zona franca transitoria </w:t>
            </w:r>
            <w:r w:rsidRPr="000149EE">
              <w:rPr>
                <w:rFonts w:ascii="Times New Roman" w:eastAsia="Times New Roman" w:hAnsi="Times New Roman"/>
                <w:bCs/>
                <w:sz w:val="28"/>
                <w:szCs w:val="24"/>
                <w:lang w:eastAsia="es-MX"/>
              </w:rPr>
              <w:t>es</w:t>
            </w:r>
            <w:r w:rsidRPr="000149EE">
              <w:rPr>
                <w:rFonts w:ascii="Times New Roman" w:eastAsia="Times New Roman" w:hAnsi="Times New Roman"/>
                <w:bCs/>
                <w:sz w:val="28"/>
                <w:szCs w:val="24"/>
                <w:lang w:eastAsia="es-MX"/>
              </w:rPr>
              <w:t xml:space="preserve"> “el área delimitada del territorio nacional donde se celebran ferias, exposiciones, congresos y seminarios de carácter nacional o internacional que revistan importancia para la economía y/o el comercio internacional, y que gozan de un tratamiento tributar</w:t>
            </w:r>
            <w:r w:rsidRPr="000149EE">
              <w:rPr>
                <w:rFonts w:ascii="Times New Roman" w:eastAsia="Times New Roman" w:hAnsi="Times New Roman"/>
                <w:bCs/>
                <w:sz w:val="28"/>
                <w:szCs w:val="24"/>
                <w:lang w:eastAsia="es-MX"/>
              </w:rPr>
              <w:t>io, aduanero y de comercio exterior especial”.</w:t>
            </w:r>
          </w:p>
          <w:p w:rsidR="00D57EB5" w:rsidRPr="000149EE" w:rsidRDefault="000149EE" w:rsidP="007D5C33">
            <w:pPr>
              <w:pStyle w:val="Prrafodelista"/>
              <w:numPr>
                <w:ilvl w:val="0"/>
                <w:numId w:val="15"/>
              </w:numPr>
              <w:spacing w:line="240" w:lineRule="auto"/>
              <w:ind w:left="321"/>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Usuarios</w:t>
            </w:r>
            <w:r w:rsidRPr="000149EE">
              <w:rPr>
                <w:rFonts w:ascii="Times New Roman" w:eastAsia="Times New Roman" w:hAnsi="Times New Roman"/>
                <w:bCs/>
                <w:sz w:val="28"/>
                <w:szCs w:val="24"/>
                <w:lang w:eastAsia="es-MX"/>
              </w:rPr>
              <w:t>.</w:t>
            </w:r>
          </w:p>
          <w:p w:rsidR="002D2E49" w:rsidRPr="000149EE" w:rsidRDefault="000149EE" w:rsidP="007D5C33">
            <w:pPr>
              <w:pStyle w:val="Prrafodelista"/>
              <w:numPr>
                <w:ilvl w:val="0"/>
                <w:numId w:val="16"/>
              </w:numPr>
              <w:spacing w:line="240" w:lineRule="auto"/>
              <w:ind w:left="745" w:hanging="425"/>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Usuario administrador</w:t>
            </w:r>
            <w:r w:rsidRPr="000149EE">
              <w:rPr>
                <w:rFonts w:ascii="Times New Roman" w:eastAsia="Times New Roman" w:hAnsi="Times New Roman"/>
                <w:bCs/>
                <w:sz w:val="28"/>
                <w:szCs w:val="24"/>
                <w:lang w:eastAsia="es-MX"/>
              </w:rPr>
              <w:t>: persona jurídica que administra y organiza un evento de carácter nacional o internacional.</w:t>
            </w:r>
          </w:p>
          <w:p w:rsidR="00BB27F6" w:rsidRPr="000149EE" w:rsidRDefault="000149EE" w:rsidP="007D5C33">
            <w:pPr>
              <w:pStyle w:val="Prrafodelista"/>
              <w:numPr>
                <w:ilvl w:val="0"/>
                <w:numId w:val="16"/>
              </w:numPr>
              <w:spacing w:line="240" w:lineRule="auto"/>
              <w:ind w:left="745" w:hanging="425"/>
              <w:rPr>
                <w:rFonts w:ascii="Times New Roman" w:eastAsia="Times New Roman" w:hAnsi="Times New Roman"/>
                <w:bCs/>
                <w:sz w:val="28"/>
                <w:szCs w:val="24"/>
                <w:lang w:eastAsia="es-MX"/>
              </w:rPr>
            </w:pPr>
            <w:r w:rsidRPr="000149EE">
              <w:rPr>
                <w:rFonts w:ascii="Times New Roman" w:eastAsia="Times New Roman" w:hAnsi="Times New Roman"/>
                <w:bCs/>
                <w:i/>
                <w:iCs/>
                <w:sz w:val="28"/>
                <w:szCs w:val="24"/>
                <w:lang w:eastAsia="es-MX"/>
              </w:rPr>
              <w:t>Usuario expositor</w:t>
            </w:r>
            <w:r w:rsidRPr="000149EE">
              <w:rPr>
                <w:rFonts w:ascii="Times New Roman" w:eastAsia="Times New Roman" w:hAnsi="Times New Roman"/>
                <w:bCs/>
                <w:sz w:val="28"/>
                <w:szCs w:val="24"/>
                <w:lang w:eastAsia="es-MX"/>
              </w:rPr>
              <w:t>: le corresponde el papel de asistir o participar en el certamen med</w:t>
            </w:r>
            <w:r w:rsidRPr="000149EE">
              <w:rPr>
                <w:rFonts w:ascii="Times New Roman" w:eastAsia="Times New Roman" w:hAnsi="Times New Roman"/>
                <w:bCs/>
                <w:sz w:val="28"/>
                <w:szCs w:val="24"/>
                <w:lang w:eastAsia="es-MX"/>
              </w:rPr>
              <w:t>iante la presentación de una exposición a su cargo.</w:t>
            </w:r>
          </w:p>
        </w:tc>
      </w:tr>
    </w:tbl>
    <w:p w:rsidR="002A24BF" w:rsidRPr="000149EE" w:rsidRDefault="000149EE" w:rsidP="001A47E2">
      <w:pPr>
        <w:widowControl w:val="0"/>
        <w:rPr>
          <w:rFonts w:ascii="Times New Roman" w:hAnsi="Times New Roman" w:cs="Times New Roman"/>
          <w:sz w:val="28"/>
          <w:szCs w:val="28"/>
        </w:rPr>
      </w:pPr>
    </w:p>
    <w:p w:rsidR="00580621" w:rsidRPr="000149EE" w:rsidRDefault="000149EE" w:rsidP="001A47E2">
      <w:pPr>
        <w:pStyle w:val="Prrafodelista"/>
        <w:widowControl w:val="0"/>
        <w:numPr>
          <w:ilvl w:val="0"/>
          <w:numId w:val="11"/>
        </w:numPr>
        <w:spacing w:line="240" w:lineRule="auto"/>
        <w:ind w:left="993" w:hanging="709"/>
        <w:rPr>
          <w:rFonts w:ascii="Times New Roman" w:hAnsi="Times New Roman"/>
          <w:b/>
          <w:bCs/>
          <w:sz w:val="28"/>
        </w:rPr>
      </w:pPr>
      <w:r w:rsidRPr="000149EE">
        <w:rPr>
          <w:rFonts w:ascii="Times New Roman" w:hAnsi="Times New Roman"/>
          <w:b/>
          <w:bCs/>
          <w:sz w:val="28"/>
        </w:rPr>
        <w:t>El régimen tributario excepcional, especial y preferencial de las zonas francas</w:t>
      </w:r>
    </w:p>
    <w:p w:rsidR="00580621" w:rsidRPr="000149EE" w:rsidRDefault="000149EE" w:rsidP="007D5C33">
      <w:pPr>
        <w:widowControl w:val="0"/>
        <w:rPr>
          <w:rFonts w:ascii="Times New Roman" w:hAnsi="Times New Roman" w:cs="Times New Roman"/>
          <w:b/>
          <w:bCs/>
          <w:sz w:val="28"/>
          <w:szCs w:val="28"/>
        </w:rPr>
      </w:pPr>
    </w:p>
    <w:p w:rsidR="002A24BF" w:rsidRPr="000149EE" w:rsidRDefault="000149EE" w:rsidP="006D7E49">
      <w:pPr>
        <w:pStyle w:val="Prrafodelista"/>
        <w:widowControl w:val="0"/>
        <w:numPr>
          <w:ilvl w:val="1"/>
          <w:numId w:val="11"/>
        </w:numPr>
        <w:spacing w:line="240" w:lineRule="auto"/>
        <w:ind w:left="993" w:hanging="709"/>
        <w:rPr>
          <w:rFonts w:ascii="Times New Roman" w:hAnsi="Times New Roman"/>
          <w:b/>
          <w:bCs/>
          <w:sz w:val="28"/>
        </w:rPr>
      </w:pPr>
      <w:r w:rsidRPr="000149EE">
        <w:rPr>
          <w:rFonts w:ascii="Times New Roman" w:hAnsi="Times New Roman"/>
          <w:b/>
          <w:bCs/>
          <w:sz w:val="28"/>
        </w:rPr>
        <w:t xml:space="preserve">Evolución normativa y desarrollo jurisprudencial  </w:t>
      </w:r>
    </w:p>
    <w:p w:rsidR="002A24BF" w:rsidRPr="000149EE" w:rsidRDefault="000149EE" w:rsidP="001A47E2">
      <w:pPr>
        <w:widowControl w:val="0"/>
        <w:rPr>
          <w:rFonts w:ascii="Times New Roman" w:hAnsi="Times New Roman" w:cs="Times New Roman"/>
          <w:sz w:val="28"/>
          <w:szCs w:val="28"/>
        </w:rPr>
      </w:pPr>
    </w:p>
    <w:p w:rsidR="00E468E5" w:rsidRPr="000149EE" w:rsidRDefault="000149EE" w:rsidP="009D4F8D">
      <w:pPr>
        <w:numPr>
          <w:ilvl w:val="0"/>
          <w:numId w:val="3"/>
        </w:numPr>
        <w:tabs>
          <w:tab w:val="left" w:pos="567"/>
        </w:tabs>
        <w:ind w:left="0" w:firstLine="0"/>
        <w:rPr>
          <w:rFonts w:ascii="Times New Roman" w:hAnsi="Times New Roman" w:cs="Times New Roman"/>
          <w:bCs/>
          <w:sz w:val="28"/>
          <w:szCs w:val="28"/>
        </w:rPr>
      </w:pPr>
      <w:r w:rsidRPr="000149EE">
        <w:rPr>
          <w:rFonts w:ascii="Times New Roman" w:hAnsi="Times New Roman" w:cs="Times New Roman"/>
          <w:sz w:val="28"/>
          <w:szCs w:val="28"/>
        </w:rPr>
        <w:t xml:space="preserve">Una de las características esenciales de las zonas francas es que están sometidas a un régimen jurídico especial, excepcional y </w:t>
      </w:r>
      <w:r w:rsidRPr="000149EE">
        <w:rPr>
          <w:rFonts w:ascii="Times New Roman" w:hAnsi="Times New Roman" w:cs="Times New Roman"/>
          <w:bCs/>
          <w:sz w:val="28"/>
          <w:szCs w:val="28"/>
        </w:rPr>
        <w:t xml:space="preserve">preferencial en materia tributaria, aduanera y de comercio exterior. En materia tributaria, este régimen especial se traduce en </w:t>
      </w:r>
      <w:r w:rsidRPr="000149EE">
        <w:rPr>
          <w:rFonts w:ascii="Times New Roman" w:hAnsi="Times New Roman" w:cs="Times New Roman"/>
          <w:bCs/>
          <w:sz w:val="28"/>
          <w:szCs w:val="28"/>
        </w:rPr>
        <w:t>“una regla de trato más favorable a partir de la cual solo se debe acudir a las normas generales de naturaleza tributaria siempre que de forma expresa no se disponga de una excepción o trato especial”</w:t>
      </w:r>
      <w:r w:rsidRPr="000149EE">
        <w:rPr>
          <w:rStyle w:val="Refdenotaalpie"/>
          <w:rFonts w:ascii="Times New Roman" w:hAnsi="Times New Roman" w:cs="Times New Roman"/>
          <w:bCs/>
          <w:sz w:val="28"/>
          <w:szCs w:val="28"/>
        </w:rPr>
        <w:footnoteReference w:id="81"/>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Las</w:t>
      </w:r>
      <w:r w:rsidRPr="000149EE">
        <w:rPr>
          <w:rFonts w:ascii="Times New Roman" w:hAnsi="Times New Roman" w:cs="Times New Roman"/>
          <w:bCs/>
          <w:sz w:val="28"/>
          <w:szCs w:val="28"/>
        </w:rPr>
        <w:t xml:space="preserve"> ventajas en materia tributaria </w:t>
      </w:r>
      <w:r w:rsidRPr="000149EE">
        <w:rPr>
          <w:rFonts w:ascii="Times New Roman" w:hAnsi="Times New Roman" w:cs="Times New Roman"/>
          <w:bCs/>
          <w:sz w:val="28"/>
          <w:szCs w:val="28"/>
        </w:rPr>
        <w:t>previstas en el ré</w:t>
      </w:r>
      <w:r w:rsidRPr="000149EE">
        <w:rPr>
          <w:rFonts w:ascii="Times New Roman" w:hAnsi="Times New Roman" w:cs="Times New Roman"/>
          <w:bCs/>
          <w:sz w:val="28"/>
          <w:szCs w:val="28"/>
        </w:rPr>
        <w:t xml:space="preserve">gimen franco </w:t>
      </w:r>
      <w:r w:rsidRPr="000149EE">
        <w:rPr>
          <w:rFonts w:ascii="Times New Roman" w:hAnsi="Times New Roman" w:cs="Times New Roman"/>
          <w:bCs/>
          <w:sz w:val="28"/>
          <w:szCs w:val="28"/>
        </w:rPr>
        <w:t xml:space="preserve">incluyen, entre otras: </w:t>
      </w:r>
      <w:r w:rsidRPr="000149EE">
        <w:rPr>
          <w:rFonts w:ascii="Times New Roman" w:hAnsi="Times New Roman" w:cs="Times New Roman"/>
          <w:bCs/>
          <w:i/>
          <w:iCs/>
          <w:sz w:val="28"/>
          <w:szCs w:val="28"/>
        </w:rPr>
        <w:t>(i)</w:t>
      </w:r>
      <w:r w:rsidRPr="000149EE">
        <w:rPr>
          <w:rFonts w:ascii="Times New Roman" w:hAnsi="Times New Roman" w:cs="Times New Roman"/>
          <w:bCs/>
          <w:sz w:val="28"/>
          <w:szCs w:val="28"/>
        </w:rPr>
        <w:t xml:space="preserve"> los contratos de estabilidad jurídica para algunos usuarios</w:t>
      </w:r>
      <w:r w:rsidRPr="000149EE">
        <w:rPr>
          <w:rStyle w:val="Refdenotaalpie"/>
          <w:rFonts w:ascii="Times New Roman" w:hAnsi="Times New Roman" w:cs="Times New Roman"/>
          <w:bCs/>
          <w:sz w:val="28"/>
          <w:szCs w:val="28"/>
        </w:rPr>
        <w:footnoteReference w:id="82"/>
      </w:r>
      <w:r w:rsidRPr="000149EE">
        <w:rPr>
          <w:rFonts w:ascii="Times New Roman" w:hAnsi="Times New Roman" w:cs="Times New Roman"/>
          <w:bCs/>
          <w:sz w:val="28"/>
          <w:szCs w:val="28"/>
        </w:rPr>
        <w:t xml:space="preserve">, </w:t>
      </w:r>
      <w:r w:rsidRPr="000149EE">
        <w:rPr>
          <w:rFonts w:ascii="Times New Roman" w:hAnsi="Times New Roman" w:cs="Times New Roman"/>
          <w:bCs/>
          <w:i/>
          <w:iCs/>
          <w:sz w:val="28"/>
          <w:szCs w:val="28"/>
        </w:rPr>
        <w:t>(ii)</w:t>
      </w:r>
      <w:r w:rsidRPr="000149EE">
        <w:rPr>
          <w:rFonts w:ascii="Times New Roman" w:hAnsi="Times New Roman" w:cs="Times New Roman"/>
          <w:bCs/>
          <w:sz w:val="28"/>
          <w:szCs w:val="28"/>
        </w:rPr>
        <w:t xml:space="preserve"> la eliminación de los parafiscales y el CREE</w:t>
      </w:r>
      <w:r w:rsidRPr="000149EE">
        <w:rPr>
          <w:rStyle w:val="Refdenotaalpie"/>
          <w:rFonts w:ascii="Times New Roman" w:hAnsi="Times New Roman" w:cs="Times New Roman"/>
          <w:bCs/>
          <w:sz w:val="28"/>
          <w:szCs w:val="28"/>
        </w:rPr>
        <w:footnoteReference w:id="83"/>
      </w:r>
      <w:r w:rsidRPr="000149EE">
        <w:rPr>
          <w:rFonts w:ascii="Times New Roman" w:hAnsi="Times New Roman" w:cs="Times New Roman"/>
          <w:bCs/>
          <w:sz w:val="28"/>
          <w:szCs w:val="28"/>
        </w:rPr>
        <w:t xml:space="preserve">, </w:t>
      </w:r>
      <w:r w:rsidRPr="000149EE">
        <w:rPr>
          <w:rFonts w:ascii="Times New Roman" w:hAnsi="Times New Roman" w:cs="Times New Roman"/>
          <w:bCs/>
          <w:i/>
          <w:iCs/>
          <w:sz w:val="28"/>
          <w:szCs w:val="28"/>
        </w:rPr>
        <w:t>(iii)</w:t>
      </w:r>
      <w:r w:rsidRPr="000149EE">
        <w:rPr>
          <w:rFonts w:ascii="Times New Roman" w:hAnsi="Times New Roman" w:cs="Times New Roman"/>
          <w:bCs/>
          <w:sz w:val="28"/>
          <w:szCs w:val="28"/>
        </w:rPr>
        <w:t xml:space="preserve"> la no causación de IVA y aranceles sobre bienes extranjeros y materias primas, que ingresan a la</w:t>
      </w:r>
      <w:r w:rsidRPr="000149EE">
        <w:rPr>
          <w:rFonts w:ascii="Times New Roman" w:hAnsi="Times New Roman" w:cs="Times New Roman"/>
          <w:bCs/>
          <w:sz w:val="28"/>
          <w:szCs w:val="28"/>
        </w:rPr>
        <w:t xml:space="preserve"> zona franca</w:t>
      </w:r>
      <w:r w:rsidRPr="000149EE">
        <w:rPr>
          <w:rStyle w:val="Refdenotaalpie"/>
          <w:rFonts w:ascii="Times New Roman" w:hAnsi="Times New Roman" w:cs="Times New Roman"/>
          <w:bCs/>
          <w:sz w:val="28"/>
          <w:szCs w:val="28"/>
        </w:rPr>
        <w:footnoteReference w:id="84"/>
      </w:r>
      <w:r w:rsidRPr="000149EE">
        <w:rPr>
          <w:rFonts w:ascii="Times New Roman" w:hAnsi="Times New Roman" w:cs="Times New Roman"/>
          <w:bCs/>
          <w:sz w:val="28"/>
          <w:szCs w:val="28"/>
        </w:rPr>
        <w:t xml:space="preserve"> y </w:t>
      </w:r>
      <w:r w:rsidRPr="000149EE">
        <w:rPr>
          <w:rFonts w:ascii="Times New Roman" w:hAnsi="Times New Roman" w:cs="Times New Roman"/>
          <w:bCs/>
          <w:i/>
          <w:iCs/>
          <w:sz w:val="28"/>
          <w:szCs w:val="28"/>
        </w:rPr>
        <w:t>(iv)</w:t>
      </w:r>
      <w:r w:rsidRPr="000149EE">
        <w:rPr>
          <w:rFonts w:ascii="Times New Roman" w:hAnsi="Times New Roman" w:cs="Times New Roman"/>
          <w:bCs/>
          <w:sz w:val="28"/>
          <w:szCs w:val="28"/>
        </w:rPr>
        <w:t xml:space="preserve"> la tarifa </w:t>
      </w:r>
      <w:r w:rsidRPr="000149EE">
        <w:rPr>
          <w:rFonts w:ascii="Times New Roman" w:hAnsi="Times New Roman" w:cs="Times New Roman"/>
          <w:bCs/>
          <w:sz w:val="28"/>
          <w:szCs w:val="28"/>
        </w:rPr>
        <w:t>preferencial para liquidar</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el</w:t>
      </w:r>
      <w:r w:rsidRPr="000149EE">
        <w:rPr>
          <w:rFonts w:ascii="Times New Roman" w:hAnsi="Times New Roman" w:cs="Times New Roman"/>
          <w:bCs/>
          <w:sz w:val="28"/>
          <w:szCs w:val="28"/>
        </w:rPr>
        <w:t xml:space="preserve"> impuesto de renta.</w:t>
      </w:r>
    </w:p>
    <w:p w:rsidR="00E468E5" w:rsidRPr="000149EE" w:rsidRDefault="000149EE" w:rsidP="00E468E5">
      <w:pPr>
        <w:tabs>
          <w:tab w:val="left" w:pos="567"/>
        </w:tabs>
        <w:rPr>
          <w:rFonts w:ascii="Times New Roman" w:hAnsi="Times New Roman" w:cs="Times New Roman"/>
          <w:bCs/>
          <w:sz w:val="28"/>
          <w:szCs w:val="28"/>
        </w:rPr>
      </w:pPr>
    </w:p>
    <w:p w:rsidR="00D2268E" w:rsidRPr="000149EE" w:rsidRDefault="000149EE" w:rsidP="00D2268E">
      <w:pPr>
        <w:numPr>
          <w:ilvl w:val="0"/>
          <w:numId w:val="3"/>
        </w:numPr>
        <w:tabs>
          <w:tab w:val="left" w:pos="567"/>
        </w:tabs>
        <w:ind w:left="0" w:firstLine="0"/>
        <w:rPr>
          <w:rFonts w:ascii="Times New Roman" w:hAnsi="Times New Roman" w:cs="Times New Roman"/>
          <w:bCs/>
          <w:sz w:val="28"/>
          <w:szCs w:val="28"/>
        </w:rPr>
      </w:pPr>
      <w:r w:rsidRPr="000149EE">
        <w:rPr>
          <w:rFonts w:ascii="Times New Roman" w:hAnsi="Times New Roman" w:cs="Times New Roman"/>
          <w:bCs/>
          <w:sz w:val="28"/>
          <w:szCs w:val="28"/>
        </w:rPr>
        <w:t>El</w:t>
      </w:r>
      <w:r w:rsidRPr="000149EE">
        <w:rPr>
          <w:rFonts w:ascii="Times New Roman" w:hAnsi="Times New Roman" w:cs="Times New Roman"/>
          <w:bCs/>
          <w:sz w:val="28"/>
          <w:szCs w:val="28"/>
        </w:rPr>
        <w:t xml:space="preserve"> régimen jurídico especial, excepcional y preferencial del que gozan las zonas francas se concreta en una regla de trato más favorable que comprende una serie de beneficios </w:t>
      </w:r>
      <w:r w:rsidRPr="000149EE">
        <w:rPr>
          <w:rFonts w:ascii="Times New Roman" w:hAnsi="Times New Roman" w:cs="Times New Roman"/>
          <w:bCs/>
          <w:i/>
          <w:iCs/>
          <w:sz w:val="28"/>
          <w:szCs w:val="28"/>
        </w:rPr>
        <w:t>genéricos</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De acuerdo con la jurisprudencia constitucional</w:t>
      </w:r>
      <w:r w:rsidRPr="000149EE">
        <w:rPr>
          <w:rFonts w:ascii="Times New Roman" w:hAnsi="Times New Roman" w:cs="Times New Roman"/>
          <w:bCs/>
          <w:sz w:val="28"/>
          <w:szCs w:val="28"/>
        </w:rPr>
        <w:t>, “el trato diferencial que se otorga, no responde a un incentivo concreto, sino a varios estímulos que se brindan como parte de una regulación separada y particular, que da respuesta a su caracteri</w:t>
      </w:r>
      <w:r w:rsidRPr="000149EE">
        <w:rPr>
          <w:rFonts w:ascii="Times New Roman" w:hAnsi="Times New Roman" w:cs="Times New Roman"/>
          <w:bCs/>
          <w:sz w:val="28"/>
          <w:szCs w:val="28"/>
        </w:rPr>
        <w:t>zación como instrumento de promoción de la actividad económica”</w:t>
      </w:r>
      <w:r w:rsidRPr="000149EE">
        <w:rPr>
          <w:rStyle w:val="Refdenotaalpie"/>
          <w:rFonts w:ascii="Times New Roman" w:hAnsi="Times New Roman" w:cs="Times New Roman"/>
          <w:bCs/>
          <w:sz w:val="28"/>
          <w:szCs w:val="28"/>
        </w:rPr>
        <w:footnoteReference w:id="85"/>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En estos términos, “lo que concede entonces el régimen de zonas francas es el derecho a tener un tratamiento más favorable para el contribuyente en materia aduanera, tributaria y de comercio</w:t>
      </w:r>
      <w:r w:rsidRPr="000149EE">
        <w:rPr>
          <w:rFonts w:ascii="Times New Roman" w:hAnsi="Times New Roman" w:cs="Times New Roman"/>
          <w:bCs/>
          <w:sz w:val="28"/>
          <w:szCs w:val="28"/>
        </w:rPr>
        <w:t xml:space="preserve"> exterior, que da lugar a múltiples ventajas genéricas, cuyo alcance es susceptible de valoración, cambios y ajustes por parte del Congreso, siempre que no se suprima o desnaturalice la especialidad que le es propia, conforme a los principios de razonabili</w:t>
      </w:r>
      <w:r w:rsidRPr="000149EE">
        <w:rPr>
          <w:rFonts w:ascii="Times New Roman" w:hAnsi="Times New Roman" w:cs="Times New Roman"/>
          <w:bCs/>
          <w:sz w:val="28"/>
          <w:szCs w:val="28"/>
        </w:rPr>
        <w:t>dad y proporcionalidad que rigen la labor del legislador”</w:t>
      </w:r>
      <w:r w:rsidRPr="000149EE">
        <w:rPr>
          <w:rStyle w:val="Refdenotaalpie"/>
          <w:rFonts w:ascii="Times New Roman" w:hAnsi="Times New Roman" w:cs="Times New Roman"/>
          <w:bCs/>
          <w:sz w:val="28"/>
          <w:szCs w:val="28"/>
        </w:rPr>
        <w:footnoteReference w:id="86"/>
      </w:r>
      <w:r w:rsidRPr="000149EE">
        <w:rPr>
          <w:rFonts w:ascii="Times New Roman" w:hAnsi="Times New Roman" w:cs="Times New Roman"/>
          <w:bCs/>
          <w:sz w:val="28"/>
          <w:szCs w:val="28"/>
        </w:rPr>
        <w:t>.</w:t>
      </w:r>
    </w:p>
    <w:p w:rsidR="00B429B8" w:rsidRPr="000149EE" w:rsidRDefault="000149EE" w:rsidP="00B429B8">
      <w:pPr>
        <w:pStyle w:val="Prrafodelista"/>
        <w:rPr>
          <w:rFonts w:ascii="Times New Roman" w:hAnsi="Times New Roman"/>
          <w:bCs/>
          <w:sz w:val="28"/>
        </w:rPr>
      </w:pPr>
    </w:p>
    <w:p w:rsidR="0047528E" w:rsidRPr="000149EE" w:rsidRDefault="000149EE" w:rsidP="00386101">
      <w:pPr>
        <w:numPr>
          <w:ilvl w:val="0"/>
          <w:numId w:val="3"/>
        </w:numPr>
        <w:tabs>
          <w:tab w:val="left" w:pos="567"/>
        </w:tabs>
        <w:ind w:left="0" w:firstLine="0"/>
        <w:rPr>
          <w:rFonts w:ascii="Times New Roman" w:hAnsi="Times New Roman" w:cs="Times New Roman"/>
          <w:bCs/>
          <w:sz w:val="28"/>
          <w:szCs w:val="28"/>
        </w:rPr>
      </w:pPr>
      <w:r w:rsidRPr="000149EE">
        <w:rPr>
          <w:rFonts w:ascii="Times New Roman" w:hAnsi="Times New Roman" w:cs="Times New Roman"/>
          <w:bCs/>
          <w:sz w:val="28"/>
          <w:szCs w:val="28"/>
        </w:rPr>
        <w:t>La</w:t>
      </w:r>
      <w:r w:rsidRPr="000149EE">
        <w:rPr>
          <w:rFonts w:ascii="Times New Roman" w:hAnsi="Times New Roman" w:cs="Times New Roman"/>
          <w:bCs/>
          <w:sz w:val="28"/>
          <w:szCs w:val="28"/>
        </w:rPr>
        <w:t xml:space="preserve"> Corte Constitucional ha reiterado que, en abstracto, la</w:t>
      </w:r>
      <w:r w:rsidRPr="000149EE">
        <w:rPr>
          <w:rFonts w:ascii="Times New Roman" w:hAnsi="Times New Roman" w:cs="Times New Roman"/>
          <w:bCs/>
          <w:sz w:val="28"/>
          <w:szCs w:val="28"/>
        </w:rPr>
        <w:t xml:space="preserve">s ventajas que ofrece el régimen </w:t>
      </w:r>
      <w:r w:rsidRPr="000149EE">
        <w:rPr>
          <w:rFonts w:ascii="Times New Roman" w:hAnsi="Times New Roman" w:cs="Times New Roman"/>
          <w:bCs/>
          <w:sz w:val="28"/>
          <w:szCs w:val="28"/>
        </w:rPr>
        <w:t xml:space="preserve">especial, excepcional y preferencial de las zonas </w:t>
      </w:r>
      <w:r w:rsidRPr="000149EE">
        <w:rPr>
          <w:rFonts w:ascii="Times New Roman" w:hAnsi="Times New Roman" w:cs="Times New Roman"/>
          <w:bCs/>
          <w:sz w:val="28"/>
          <w:szCs w:val="28"/>
        </w:rPr>
        <w:t>franc</w:t>
      </w:r>
      <w:r w:rsidRPr="000149EE">
        <w:rPr>
          <w:rFonts w:ascii="Times New Roman" w:hAnsi="Times New Roman" w:cs="Times New Roman"/>
          <w:bCs/>
          <w:sz w:val="28"/>
          <w:szCs w:val="28"/>
        </w:rPr>
        <w:t>as</w:t>
      </w:r>
      <w:r w:rsidRPr="000149EE">
        <w:rPr>
          <w:rFonts w:ascii="Times New Roman" w:hAnsi="Times New Roman" w:cs="Times New Roman"/>
          <w:bCs/>
          <w:sz w:val="28"/>
          <w:szCs w:val="28"/>
        </w:rPr>
        <w:t xml:space="preserve"> se encuentran justificadas, </w:t>
      </w:r>
      <w:r w:rsidRPr="000149EE">
        <w:rPr>
          <w:rFonts w:ascii="Times New Roman" w:hAnsi="Times New Roman" w:cs="Times New Roman"/>
          <w:bCs/>
          <w:sz w:val="28"/>
          <w:szCs w:val="28"/>
        </w:rPr>
        <w:t>habida cuenta de q</w:t>
      </w:r>
      <w:r w:rsidRPr="000149EE">
        <w:rPr>
          <w:rFonts w:ascii="Times New Roman" w:hAnsi="Times New Roman" w:cs="Times New Roman"/>
          <w:bCs/>
          <w:sz w:val="28"/>
          <w:szCs w:val="28"/>
        </w:rPr>
        <w:t xml:space="preserve">ue contribuyen al desarrollo económico y comercial del país. </w:t>
      </w:r>
      <w:r w:rsidRPr="000149EE">
        <w:rPr>
          <w:rFonts w:ascii="Times New Roman" w:hAnsi="Times New Roman" w:cs="Times New Roman"/>
          <w:bCs/>
          <w:sz w:val="28"/>
          <w:szCs w:val="28"/>
        </w:rPr>
        <w:t>Al respecto, ha señalado</w:t>
      </w:r>
      <w:r w:rsidRPr="000149EE">
        <w:rPr>
          <w:rFonts w:ascii="Times New Roman" w:hAnsi="Times New Roman" w:cs="Times New Roman"/>
          <w:bCs/>
          <w:sz w:val="28"/>
          <w:szCs w:val="28"/>
        </w:rPr>
        <w:t xml:space="preserve"> que “</w:t>
      </w:r>
      <w:r w:rsidRPr="000149EE">
        <w:rPr>
          <w:rFonts w:ascii="Times New Roman" w:hAnsi="Times New Roman" w:cs="Times New Roman"/>
          <w:bCs/>
          <w:sz w:val="28"/>
          <w:szCs w:val="28"/>
        </w:rPr>
        <w:t>el régimen de zonas francas en Colombia ha tenido una sólida evolución como mecanismo de estímulo de inversión y generación de empleo, así como de fortalecimiento de</w:t>
      </w:r>
      <w:r w:rsidRPr="000149EE">
        <w:rPr>
          <w:rFonts w:ascii="Times New Roman" w:hAnsi="Times New Roman" w:cs="Times New Roman"/>
          <w:bCs/>
          <w:sz w:val="28"/>
          <w:szCs w:val="28"/>
        </w:rPr>
        <w:t xml:space="preserve"> mercados en cuanto a la competitividad y desarrollo de economías de escala</w:t>
      </w:r>
      <w:r w:rsidRPr="000149EE">
        <w:rPr>
          <w:rFonts w:ascii="Times New Roman" w:hAnsi="Times New Roman" w:cs="Times New Roman"/>
          <w:bCs/>
          <w:sz w:val="28"/>
          <w:szCs w:val="28"/>
        </w:rPr>
        <w:t>”</w:t>
      </w:r>
      <w:r w:rsidRPr="000149EE">
        <w:rPr>
          <w:rStyle w:val="Refdenotaalpie"/>
          <w:rFonts w:ascii="Times New Roman" w:hAnsi="Times New Roman" w:cs="Times New Roman"/>
          <w:bCs/>
          <w:sz w:val="28"/>
          <w:szCs w:val="28"/>
        </w:rPr>
        <w:footnoteReference w:id="87"/>
      </w:r>
      <w:r w:rsidRPr="000149EE">
        <w:rPr>
          <w:rFonts w:ascii="Times New Roman" w:hAnsi="Times New Roman" w:cs="Times New Roman"/>
          <w:bCs/>
          <w:sz w:val="28"/>
          <w:szCs w:val="28"/>
        </w:rPr>
        <w:t>.</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De igual modo</w:t>
      </w:r>
      <w:r w:rsidRPr="000149EE">
        <w:rPr>
          <w:rFonts w:ascii="Times New Roman" w:hAnsi="Times New Roman" w:cs="Times New Roman"/>
          <w:bCs/>
          <w:sz w:val="28"/>
          <w:szCs w:val="28"/>
        </w:rPr>
        <w:t xml:space="preserve">, el tratamiento preferencial ha permitido que las zonas francas </w:t>
      </w:r>
      <w:r w:rsidRPr="000149EE">
        <w:rPr>
          <w:rFonts w:ascii="Times New Roman" w:hAnsi="Times New Roman" w:cs="Times New Roman"/>
          <w:bCs/>
          <w:sz w:val="28"/>
          <w:szCs w:val="28"/>
        </w:rPr>
        <w:t>contribuyan</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a la “generación, construcción y transformación de la infraestructura física </w:t>
      </w:r>
      <w:r w:rsidRPr="000149EE">
        <w:rPr>
          <w:rFonts w:ascii="Times New Roman" w:hAnsi="Times New Roman" w:cs="Times New Roman"/>
          <w:bCs/>
          <w:sz w:val="28"/>
          <w:szCs w:val="28"/>
        </w:rPr>
        <w:t>(…)</w:t>
      </w:r>
      <w:r w:rsidRPr="000149EE">
        <w:rPr>
          <w:rFonts w:ascii="Times New Roman" w:hAnsi="Times New Roman" w:cs="Times New Roman"/>
          <w:bCs/>
          <w:sz w:val="28"/>
          <w:szCs w:val="28"/>
        </w:rPr>
        <w:t xml:space="preserve"> y </w:t>
      </w:r>
      <w:r w:rsidRPr="000149EE">
        <w:rPr>
          <w:rFonts w:ascii="Times New Roman" w:hAnsi="Times New Roman" w:cs="Times New Roman"/>
          <w:bCs/>
          <w:sz w:val="28"/>
          <w:szCs w:val="28"/>
        </w:rPr>
        <w:t>[al]</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desarrollo de procesos industriales de bienes y de servicios”</w:t>
      </w:r>
      <w:r w:rsidRPr="000149EE">
        <w:rPr>
          <w:rStyle w:val="Refdenotaalpie"/>
          <w:rFonts w:ascii="Times New Roman" w:hAnsi="Times New Roman" w:cs="Times New Roman"/>
          <w:bCs/>
          <w:sz w:val="28"/>
          <w:szCs w:val="28"/>
        </w:rPr>
        <w:footnoteReference w:id="88"/>
      </w:r>
      <w:r w:rsidRPr="000149EE">
        <w:rPr>
          <w:rFonts w:ascii="Times New Roman" w:hAnsi="Times New Roman" w:cs="Times New Roman"/>
          <w:bCs/>
          <w:sz w:val="28"/>
          <w:szCs w:val="28"/>
        </w:rPr>
        <w:t>.</w:t>
      </w:r>
      <w:r w:rsidRPr="000149EE">
        <w:rPr>
          <w:rFonts w:ascii="Times New Roman" w:hAnsi="Times New Roman" w:cs="Times New Roman"/>
          <w:bCs/>
          <w:sz w:val="28"/>
          <w:szCs w:val="28"/>
        </w:rPr>
        <w:t xml:space="preserve"> </w:t>
      </w:r>
    </w:p>
    <w:p w:rsidR="0047528E" w:rsidRPr="000149EE" w:rsidRDefault="000149EE" w:rsidP="001277A5">
      <w:pPr>
        <w:rPr>
          <w:rFonts w:ascii="Times New Roman" w:hAnsi="Times New Roman" w:cs="Times New Roman"/>
          <w:bCs/>
          <w:sz w:val="28"/>
          <w:szCs w:val="28"/>
        </w:rPr>
      </w:pPr>
    </w:p>
    <w:p w:rsidR="00DB53AA" w:rsidRPr="000149EE" w:rsidRDefault="000149EE" w:rsidP="0047528E">
      <w:pPr>
        <w:numPr>
          <w:ilvl w:val="0"/>
          <w:numId w:val="3"/>
        </w:numPr>
        <w:tabs>
          <w:tab w:val="left" w:pos="567"/>
        </w:tabs>
        <w:ind w:left="0" w:firstLine="0"/>
        <w:rPr>
          <w:rFonts w:ascii="Times New Roman" w:hAnsi="Times New Roman" w:cs="Times New Roman"/>
          <w:bCs/>
          <w:sz w:val="28"/>
          <w:szCs w:val="28"/>
        </w:rPr>
      </w:pPr>
      <w:r w:rsidRPr="000149EE">
        <w:rPr>
          <w:rFonts w:ascii="Times New Roman" w:hAnsi="Times New Roman" w:cs="Times New Roman"/>
          <w:bCs/>
          <w:sz w:val="28"/>
          <w:szCs w:val="28"/>
        </w:rPr>
        <w:t>En atención al objeto de la presente demanda, a continuación, la Corte se referirá a</w:t>
      </w:r>
      <w:r w:rsidRPr="000149EE">
        <w:rPr>
          <w:rFonts w:ascii="Times New Roman" w:hAnsi="Times New Roman" w:cs="Times New Roman"/>
          <w:bCs/>
          <w:sz w:val="28"/>
          <w:szCs w:val="28"/>
        </w:rPr>
        <w:t xml:space="preserve"> una ventaja tributaria específica del régimen franco:</w:t>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el régimen preferencial</w:t>
      </w:r>
      <w:r w:rsidRPr="000149EE">
        <w:rPr>
          <w:rFonts w:ascii="Times New Roman" w:hAnsi="Times New Roman" w:cs="Times New Roman"/>
          <w:bCs/>
          <w:sz w:val="28"/>
          <w:szCs w:val="28"/>
        </w:rPr>
        <w:t xml:space="preserve"> del impuesto a la renta. </w:t>
      </w:r>
      <w:r w:rsidRPr="000149EE">
        <w:rPr>
          <w:rFonts w:ascii="Times New Roman" w:hAnsi="Times New Roman" w:cs="Times New Roman"/>
          <w:sz w:val="28"/>
          <w:szCs w:val="28"/>
        </w:rPr>
        <w:t xml:space="preserve">De acuerdo con el </w:t>
      </w:r>
      <w:r w:rsidRPr="000149EE">
        <w:rPr>
          <w:rFonts w:ascii="Times New Roman" w:hAnsi="Times New Roman" w:cs="Times New Roman"/>
          <w:sz w:val="28"/>
          <w:szCs w:val="28"/>
        </w:rPr>
        <w:t>artículo</w:t>
      </w:r>
      <w:r w:rsidRPr="000149EE">
        <w:rPr>
          <w:rFonts w:ascii="Times New Roman" w:hAnsi="Times New Roman" w:cs="Times New Roman"/>
          <w:sz w:val="28"/>
          <w:szCs w:val="28"/>
        </w:rPr>
        <w:t xml:space="preserve"> 26 del Estatuto Tributario, el impuesto sobre la renta es un tributo nacional y directo, que grava la obtención de “ingresos susceptibles de producir incremento neto del patrimonio al momento de su percepción, esto es, de producir enriquecimiento”</w:t>
      </w:r>
      <w:r w:rsidRPr="000149EE">
        <w:rPr>
          <w:rFonts w:ascii="Times New Roman" w:hAnsi="Times New Roman" w:cs="Times New Roman"/>
          <w:sz w:val="28"/>
          <w:szCs w:val="28"/>
          <w:vertAlign w:val="superscript"/>
        </w:rPr>
        <w:footnoteReference w:id="89"/>
      </w:r>
      <w:r w:rsidRPr="000149EE">
        <w:rPr>
          <w:rFonts w:ascii="Times New Roman" w:hAnsi="Times New Roman" w:cs="Times New Roman"/>
          <w:sz w:val="28"/>
          <w:szCs w:val="28"/>
        </w:rPr>
        <w:t>.</w:t>
      </w:r>
      <w:r w:rsidRPr="000149EE">
        <w:rPr>
          <w:rFonts w:ascii="Times New Roman" w:eastAsia="Times New Roman" w:hAnsi="Times New Roman" w:cs="Times New Roman"/>
          <w:bCs/>
          <w:sz w:val="28"/>
          <w:szCs w:val="28"/>
          <w:lang w:eastAsia="es-ES"/>
        </w:rPr>
        <w:t xml:space="preserve"> </w:t>
      </w:r>
      <w:r w:rsidRPr="000149EE">
        <w:rPr>
          <w:rFonts w:ascii="Times New Roman" w:hAnsi="Times New Roman" w:cs="Times New Roman"/>
          <w:bCs/>
          <w:sz w:val="28"/>
          <w:szCs w:val="28"/>
        </w:rPr>
        <w:t>Desde</w:t>
      </w:r>
      <w:r w:rsidRPr="000149EE">
        <w:rPr>
          <w:rFonts w:ascii="Times New Roman" w:hAnsi="Times New Roman" w:cs="Times New Roman"/>
          <w:bCs/>
          <w:sz w:val="28"/>
          <w:szCs w:val="28"/>
        </w:rPr>
        <w:t xml:space="preserve"> su creación, las zonas francas han estado sujetas a un régimen preferencial </w:t>
      </w:r>
      <w:r w:rsidRPr="000149EE">
        <w:rPr>
          <w:rFonts w:ascii="Times New Roman" w:hAnsi="Times New Roman" w:cs="Times New Roman"/>
          <w:bCs/>
          <w:sz w:val="28"/>
          <w:szCs w:val="28"/>
        </w:rPr>
        <w:t>respecto del</w:t>
      </w:r>
      <w:r w:rsidRPr="000149EE">
        <w:rPr>
          <w:rFonts w:ascii="Times New Roman" w:hAnsi="Times New Roman" w:cs="Times New Roman"/>
          <w:bCs/>
          <w:sz w:val="28"/>
          <w:szCs w:val="28"/>
        </w:rPr>
        <w:t xml:space="preserve"> impuesto de renta: </w:t>
      </w:r>
    </w:p>
    <w:p w:rsidR="00DB53AA" w:rsidRPr="000149EE" w:rsidRDefault="000149EE" w:rsidP="00BA1FCB">
      <w:pPr>
        <w:rPr>
          <w:rFonts w:ascii="Times New Roman" w:hAnsi="Times New Roman" w:cs="Times New Roman"/>
          <w:sz w:val="28"/>
          <w:szCs w:val="28"/>
        </w:rPr>
      </w:pPr>
    </w:p>
    <w:p w:rsidR="00DB53AA"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Ley 109 de 1985</w:t>
      </w:r>
      <w:r w:rsidRPr="000149EE">
        <w:rPr>
          <w:rFonts w:ascii="Times New Roman" w:hAnsi="Times New Roman" w:cs="Times New Roman"/>
          <w:sz w:val="28"/>
          <w:szCs w:val="28"/>
        </w:rPr>
        <w:t xml:space="preserve">. El artículo 15 de la Ley 109 de 1985 </w:t>
      </w:r>
      <w:r w:rsidRPr="000149EE">
        <w:rPr>
          <w:rFonts w:ascii="Times New Roman" w:hAnsi="Times New Roman" w:cs="Times New Roman"/>
          <w:bCs/>
          <w:sz w:val="28"/>
          <w:szCs w:val="28"/>
        </w:rPr>
        <w:t>“[p]or la cual se establece el estatuto de zonas francas”, consagró un régimen de exención,</w:t>
      </w:r>
      <w:r w:rsidRPr="000149EE">
        <w:rPr>
          <w:rFonts w:ascii="Times New Roman" w:hAnsi="Times New Roman" w:cs="Times New Roman"/>
          <w:bCs/>
          <w:sz w:val="28"/>
          <w:szCs w:val="28"/>
        </w:rPr>
        <w:t xml:space="preserve"> conforme al cual </w:t>
      </w:r>
      <w:r w:rsidRPr="000149EE">
        <w:rPr>
          <w:rFonts w:ascii="Times New Roman" w:hAnsi="Times New Roman" w:cs="Times New Roman"/>
          <w:sz w:val="28"/>
          <w:szCs w:val="28"/>
        </w:rPr>
        <w:t>las personas jurídicas usuarias de zonas francas industriales estaban exentas</w:t>
      </w:r>
      <w:r w:rsidRPr="000149EE">
        <w:rPr>
          <w:rFonts w:ascii="Times New Roman" w:hAnsi="Times New Roman" w:cs="Times New Roman"/>
          <w:i/>
          <w:iCs/>
          <w:sz w:val="28"/>
          <w:szCs w:val="28"/>
        </w:rPr>
        <w:t xml:space="preserve"> </w:t>
      </w:r>
      <w:r w:rsidRPr="000149EE">
        <w:rPr>
          <w:rFonts w:ascii="Times New Roman" w:hAnsi="Times New Roman" w:cs="Times New Roman"/>
          <w:sz w:val="28"/>
          <w:szCs w:val="28"/>
        </w:rPr>
        <w:t xml:space="preserve">del impuesto de renta y complementarios. </w:t>
      </w:r>
    </w:p>
    <w:p w:rsidR="009D4F8D"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Ley 1004 de 2005</w:t>
      </w:r>
      <w:r w:rsidRPr="000149EE">
        <w:rPr>
          <w:rFonts w:ascii="Times New Roman" w:hAnsi="Times New Roman" w:cs="Times New Roman"/>
          <w:sz w:val="28"/>
          <w:szCs w:val="28"/>
        </w:rPr>
        <w:t>. La Ley 1004 de 2005 implementó una tarifa preferencial. En particular, el artículo 5º dispuso una ad</w:t>
      </w:r>
      <w:r w:rsidRPr="000149EE">
        <w:rPr>
          <w:rFonts w:ascii="Times New Roman" w:hAnsi="Times New Roman" w:cs="Times New Roman"/>
          <w:sz w:val="28"/>
          <w:szCs w:val="28"/>
        </w:rPr>
        <w:t>ición al artículo 240-1 del Estatuto Tributario, en el sentido de indicar que la tarifa única del impuesto a la renta para los usuarios de zonas franca</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a partir del 1° de enero de 2007 sería </w:t>
      </w:r>
      <w:r w:rsidRPr="000149EE">
        <w:rPr>
          <w:rFonts w:ascii="Times New Roman" w:hAnsi="Times New Roman" w:cs="Times New Roman"/>
          <w:sz w:val="28"/>
          <w:szCs w:val="28"/>
        </w:rPr>
        <w:t>d</w:t>
      </w:r>
      <w:r w:rsidRPr="000149EE">
        <w:rPr>
          <w:rFonts w:ascii="Times New Roman" w:hAnsi="Times New Roman" w:cs="Times New Roman"/>
          <w:sz w:val="28"/>
          <w:szCs w:val="28"/>
        </w:rPr>
        <w:t xml:space="preserve">el 15%, sin hacer distinción de acuerdo con la proveniencia de </w:t>
      </w:r>
      <w:r w:rsidRPr="000149EE">
        <w:rPr>
          <w:rFonts w:ascii="Times New Roman" w:hAnsi="Times New Roman" w:cs="Times New Roman"/>
          <w:sz w:val="28"/>
          <w:szCs w:val="28"/>
        </w:rPr>
        <w:t>los ingresos o el tipo de usuario.</w:t>
      </w:r>
    </w:p>
    <w:p w:rsidR="00DB53AA"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i/>
          <w:iCs/>
          <w:sz w:val="28"/>
          <w:szCs w:val="28"/>
        </w:rPr>
        <w:t>Ley 1819 de 2016</w:t>
      </w:r>
      <w:r w:rsidRPr="000149EE">
        <w:rPr>
          <w:rFonts w:ascii="Times New Roman" w:eastAsia="Times New Roman" w:hAnsi="Times New Roman" w:cs="Times New Roman"/>
          <w:bCs/>
          <w:sz w:val="28"/>
          <w:szCs w:val="28"/>
          <w:lang w:eastAsia="es-ES"/>
        </w:rPr>
        <w:t>. El artículo 240-1 del Estatuto Tributario fue nuevamente modificado por la Ley 1819 de 2016, “[p]or medio de la cual se adopta una reforma tributaria estructural, se fortalecen los mecanismos para la luc</w:t>
      </w:r>
      <w:r w:rsidRPr="000149EE">
        <w:rPr>
          <w:rFonts w:ascii="Times New Roman" w:eastAsia="Times New Roman" w:hAnsi="Times New Roman" w:cs="Times New Roman"/>
          <w:bCs/>
          <w:sz w:val="28"/>
          <w:szCs w:val="28"/>
          <w:lang w:eastAsia="es-ES"/>
        </w:rPr>
        <w:t xml:space="preserve">ha contra la evasión y la elusión fiscal, y se dictan otras disposiciones”. En concreto, el inciso 1º del artículo 101 estableció una tarifa del 20% para los </w:t>
      </w:r>
      <w:r w:rsidRPr="000149EE">
        <w:rPr>
          <w:rFonts w:ascii="Times New Roman" w:eastAsia="Times New Roman" w:hAnsi="Times New Roman" w:cs="Times New Roman"/>
          <w:iCs/>
          <w:sz w:val="28"/>
          <w:szCs w:val="28"/>
          <w:lang w:eastAsia="es-ES"/>
        </w:rPr>
        <w:t>usuarios industriales de bienes, usuarios industriales de servicios y usuarios operadores</w:t>
      </w:r>
      <w:r w:rsidRPr="000149EE">
        <w:rPr>
          <w:rFonts w:ascii="Times New Roman" w:eastAsia="Times New Roman" w:hAnsi="Times New Roman" w:cs="Times New Roman"/>
          <w:bCs/>
          <w:sz w:val="28"/>
          <w:szCs w:val="28"/>
          <w:lang w:eastAsia="es-ES"/>
        </w:rPr>
        <w:t xml:space="preserve">. Aunque </w:t>
      </w:r>
      <w:r w:rsidRPr="000149EE">
        <w:rPr>
          <w:rFonts w:ascii="Times New Roman" w:eastAsia="Times New Roman" w:hAnsi="Times New Roman" w:cs="Times New Roman"/>
          <w:bCs/>
          <w:sz w:val="28"/>
          <w:szCs w:val="28"/>
          <w:lang w:eastAsia="es-ES"/>
        </w:rPr>
        <w:t xml:space="preserve">esta modificación implicó un incremento del 5%, la tarifa para los usuarios de zonas francas seguía siendo inferior a la general, </w:t>
      </w:r>
      <w:r w:rsidRPr="000149EE">
        <w:rPr>
          <w:rFonts w:ascii="Times New Roman" w:eastAsia="Times New Roman" w:hAnsi="Times New Roman" w:cs="Times New Roman"/>
          <w:bCs/>
          <w:sz w:val="28"/>
          <w:szCs w:val="28"/>
          <w:lang w:eastAsia="es-ES"/>
        </w:rPr>
        <w:t>que</w:t>
      </w:r>
      <w:r w:rsidRPr="000149EE">
        <w:rPr>
          <w:rFonts w:ascii="Times New Roman" w:eastAsia="Times New Roman" w:hAnsi="Times New Roman" w:cs="Times New Roman"/>
          <w:bCs/>
          <w:sz w:val="28"/>
          <w:szCs w:val="28"/>
          <w:lang w:eastAsia="es-ES"/>
        </w:rPr>
        <w:t xml:space="preserve"> ascendía a</w:t>
      </w:r>
      <w:r w:rsidRPr="000149EE">
        <w:rPr>
          <w:rFonts w:ascii="Times New Roman" w:eastAsia="Times New Roman" w:hAnsi="Times New Roman" w:cs="Times New Roman"/>
          <w:bCs/>
          <w:sz w:val="28"/>
          <w:szCs w:val="28"/>
          <w:lang w:eastAsia="es-ES"/>
        </w:rPr>
        <w:t>l 35%</w:t>
      </w:r>
      <w:r w:rsidRPr="000149EE">
        <w:rPr>
          <w:rStyle w:val="Refdenotaalpie"/>
          <w:rFonts w:ascii="Times New Roman" w:eastAsia="Times New Roman" w:hAnsi="Times New Roman" w:cs="Times New Roman"/>
          <w:bCs/>
          <w:sz w:val="28"/>
          <w:szCs w:val="28"/>
          <w:lang w:eastAsia="es-ES"/>
        </w:rPr>
        <w:footnoteReference w:id="90"/>
      </w:r>
      <w:r w:rsidRPr="000149EE">
        <w:rPr>
          <w:rFonts w:ascii="Times New Roman" w:eastAsia="Times New Roman" w:hAnsi="Times New Roman" w:cs="Times New Roman"/>
          <w:bCs/>
          <w:sz w:val="28"/>
          <w:szCs w:val="28"/>
          <w:lang w:eastAsia="es-ES"/>
        </w:rPr>
        <w:t>. Por otra parte, la norma excluyó como beneficiarios de esta tarifa preferencial a: “</w:t>
      </w:r>
      <w:r w:rsidRPr="000149EE">
        <w:rPr>
          <w:rFonts w:ascii="Times New Roman" w:eastAsia="Times New Roman" w:hAnsi="Times New Roman" w:cs="Times New Roman"/>
          <w:bCs/>
          <w:i/>
          <w:iCs/>
          <w:sz w:val="28"/>
          <w:szCs w:val="28"/>
          <w:lang w:eastAsia="es-ES"/>
        </w:rPr>
        <w:t>(i)</w:t>
      </w:r>
      <w:r w:rsidRPr="000149EE">
        <w:rPr>
          <w:rFonts w:ascii="Times New Roman" w:eastAsia="Times New Roman" w:hAnsi="Times New Roman" w:cs="Times New Roman"/>
          <w:bCs/>
          <w:sz w:val="28"/>
          <w:szCs w:val="28"/>
          <w:lang w:eastAsia="es-ES"/>
        </w:rPr>
        <w:t xml:space="preserve"> los usuarios comerciales que tributaban a la tarifa general (33% para el año 2017 en el que comenzaba a tener efectos la Ley 1819 de 2016); </w:t>
      </w:r>
      <w:r w:rsidRPr="000149EE">
        <w:rPr>
          <w:rFonts w:ascii="Times New Roman" w:eastAsia="Times New Roman" w:hAnsi="Times New Roman" w:cs="Times New Roman"/>
          <w:bCs/>
          <w:i/>
          <w:iCs/>
          <w:sz w:val="28"/>
          <w:szCs w:val="28"/>
          <w:lang w:eastAsia="es-ES"/>
        </w:rPr>
        <w:t>(ii)</w:t>
      </w:r>
      <w:r w:rsidRPr="000149EE">
        <w:rPr>
          <w:rFonts w:ascii="Times New Roman" w:eastAsia="Times New Roman" w:hAnsi="Times New Roman" w:cs="Times New Roman"/>
          <w:bCs/>
          <w:sz w:val="28"/>
          <w:szCs w:val="28"/>
          <w:lang w:eastAsia="es-ES"/>
        </w:rPr>
        <w:t xml:space="preserve"> los usuarios con contratos de estabilidad jurídica, a los que se les asignó una tarifa del 15%; y </w:t>
      </w:r>
      <w:r w:rsidRPr="000149EE">
        <w:rPr>
          <w:rFonts w:ascii="Times New Roman" w:eastAsia="Times New Roman" w:hAnsi="Times New Roman" w:cs="Times New Roman"/>
          <w:bCs/>
          <w:i/>
          <w:iCs/>
          <w:sz w:val="28"/>
          <w:szCs w:val="28"/>
          <w:lang w:eastAsia="es-ES"/>
        </w:rPr>
        <w:t xml:space="preserve">(iii) </w:t>
      </w:r>
      <w:r w:rsidRPr="000149EE">
        <w:rPr>
          <w:rFonts w:ascii="Times New Roman" w:eastAsia="Times New Roman" w:hAnsi="Times New Roman" w:cs="Times New Roman"/>
          <w:bCs/>
          <w:sz w:val="28"/>
          <w:szCs w:val="28"/>
          <w:lang w:eastAsia="es-ES"/>
        </w:rPr>
        <w:t>los us</w:t>
      </w:r>
      <w:r w:rsidRPr="000149EE">
        <w:rPr>
          <w:rFonts w:ascii="Times New Roman" w:eastAsia="Times New Roman" w:hAnsi="Times New Roman" w:cs="Times New Roman"/>
          <w:bCs/>
          <w:sz w:val="28"/>
          <w:szCs w:val="28"/>
          <w:lang w:eastAsia="es-ES"/>
        </w:rPr>
        <w:t>uarios de nuevas zonas francas, creadas entre los años 2017 a 2019 en el municipio de Cúcuta (tarifa del 15%), siempre que ellas (a) contaran con más de 80 hectáreas y (b) se garantizara que tuvieran más de 40 usuarios entre empresas nacionales y extranjer</w:t>
      </w:r>
      <w:r w:rsidRPr="000149EE">
        <w:rPr>
          <w:rFonts w:ascii="Times New Roman" w:eastAsia="Times New Roman" w:hAnsi="Times New Roman" w:cs="Times New Roman"/>
          <w:bCs/>
          <w:sz w:val="28"/>
          <w:szCs w:val="28"/>
          <w:lang w:eastAsia="es-ES"/>
        </w:rPr>
        <w:t>as”</w:t>
      </w:r>
      <w:r w:rsidRPr="000149EE">
        <w:rPr>
          <w:rStyle w:val="Refdenotaalpie"/>
          <w:rFonts w:ascii="Times New Roman" w:eastAsia="Times New Roman" w:hAnsi="Times New Roman" w:cs="Times New Roman"/>
          <w:bCs/>
          <w:sz w:val="28"/>
          <w:szCs w:val="28"/>
          <w:lang w:eastAsia="es-ES"/>
        </w:rPr>
        <w:footnoteReference w:id="91"/>
      </w:r>
      <w:r w:rsidRPr="000149EE">
        <w:rPr>
          <w:rFonts w:ascii="Times New Roman" w:eastAsia="Times New Roman" w:hAnsi="Times New Roman" w:cs="Times New Roman"/>
          <w:bCs/>
          <w:sz w:val="28"/>
          <w:szCs w:val="28"/>
          <w:lang w:eastAsia="es-ES"/>
        </w:rPr>
        <w:t>.</w:t>
      </w:r>
    </w:p>
    <w:p w:rsidR="00DB53AA" w:rsidRPr="000149EE" w:rsidRDefault="000149EE" w:rsidP="001A47E2">
      <w:pPr>
        <w:widowControl w:val="0"/>
        <w:rPr>
          <w:rFonts w:ascii="Times New Roman" w:hAnsi="Times New Roman" w:cs="Times New Roman"/>
          <w:sz w:val="28"/>
          <w:szCs w:val="28"/>
        </w:rPr>
      </w:pPr>
    </w:p>
    <w:p w:rsidR="00DB53AA"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hAnsi="Times New Roman" w:cs="Times New Roman"/>
          <w:sz w:val="28"/>
          <w:szCs w:val="28"/>
        </w:rPr>
        <w:t xml:space="preserve">En la sentencia C-304 de 2019, la Corte Constitucional examinó la constitucionalidad del inciso 1º del artículo 101 de la </w:t>
      </w:r>
      <w:r w:rsidRPr="000149EE">
        <w:rPr>
          <w:rFonts w:ascii="Times New Roman" w:hAnsi="Times New Roman" w:cs="Times New Roman"/>
          <w:bCs/>
          <w:sz w:val="28"/>
          <w:szCs w:val="28"/>
        </w:rPr>
        <w:t>Ley 1819 de 2016. La demandante argumentaba que el incremento de la tarifa preferencial del impuesto sobre la renta y complemen</w:t>
      </w:r>
      <w:r w:rsidRPr="000149EE">
        <w:rPr>
          <w:rFonts w:ascii="Times New Roman" w:hAnsi="Times New Roman" w:cs="Times New Roman"/>
          <w:bCs/>
          <w:sz w:val="28"/>
          <w:szCs w:val="28"/>
        </w:rPr>
        <w:t>tarios de 15% a 20%, aplicable a ciertos usuarios, violaba, entre otros, los principios constitucionales de irretroactividad de la ley y confianza legítima.</w:t>
      </w:r>
      <w:r w:rsidRPr="000149EE">
        <w:rPr>
          <w:rFonts w:ascii="Times New Roman" w:eastAsia="Times New Roman" w:hAnsi="Times New Roman" w:cs="Times New Roman"/>
          <w:bCs/>
          <w:sz w:val="28"/>
          <w:szCs w:val="28"/>
          <w:lang w:eastAsia="es-ES"/>
        </w:rPr>
        <w:t xml:space="preserve"> </w:t>
      </w:r>
      <w:r w:rsidRPr="000149EE">
        <w:rPr>
          <w:rFonts w:ascii="Times New Roman" w:hAnsi="Times New Roman" w:cs="Times New Roman"/>
          <w:bCs/>
          <w:sz w:val="28"/>
          <w:szCs w:val="28"/>
        </w:rPr>
        <w:t>A juicio de la demandante, los usuarios de zonas francas que se hubiesen calificado antes del 1</w:t>
      </w:r>
      <w:r w:rsidRPr="000149EE">
        <w:rPr>
          <w:rFonts w:ascii="Times New Roman" w:hAnsi="Times New Roman" w:cs="Times New Roman"/>
          <w:bCs/>
          <w:sz w:val="28"/>
          <w:szCs w:val="28"/>
        </w:rPr>
        <w:t>º</w:t>
      </w:r>
      <w:r w:rsidRPr="000149EE">
        <w:rPr>
          <w:rFonts w:ascii="Times New Roman" w:hAnsi="Times New Roman" w:cs="Times New Roman"/>
          <w:bCs/>
          <w:sz w:val="28"/>
          <w:szCs w:val="28"/>
        </w:rPr>
        <w:t xml:space="preserve"> de</w:t>
      </w:r>
      <w:r w:rsidRPr="000149EE">
        <w:rPr>
          <w:rFonts w:ascii="Times New Roman" w:hAnsi="Times New Roman" w:cs="Times New Roman"/>
          <w:bCs/>
          <w:sz w:val="28"/>
          <w:szCs w:val="28"/>
        </w:rPr>
        <w:t xml:space="preserve"> enero de 2017, así como las zonas francas ya reconocidas y en operación, tenían derecho a </w:t>
      </w:r>
      <w:r w:rsidRPr="000149EE">
        <w:rPr>
          <w:rFonts w:ascii="Times New Roman" w:hAnsi="Times New Roman" w:cs="Times New Roman"/>
          <w:bCs/>
          <w:sz w:val="28"/>
          <w:szCs w:val="28"/>
        </w:rPr>
        <w:t xml:space="preserve">la </w:t>
      </w:r>
      <w:r w:rsidRPr="000149EE">
        <w:rPr>
          <w:rFonts w:ascii="Times New Roman" w:hAnsi="Times New Roman" w:cs="Times New Roman"/>
          <w:bCs/>
          <w:sz w:val="28"/>
          <w:szCs w:val="28"/>
        </w:rPr>
        <w:t>aplicación de la tarifa del 15%. Por lo tanto, el legislador no estaba facultado para modificarla al tratarse de un “beneficio tributario consolidado” que materia</w:t>
      </w:r>
      <w:r w:rsidRPr="000149EE">
        <w:rPr>
          <w:rFonts w:ascii="Times New Roman" w:hAnsi="Times New Roman" w:cs="Times New Roman"/>
          <w:bCs/>
          <w:sz w:val="28"/>
          <w:szCs w:val="28"/>
        </w:rPr>
        <w:t>lizaba el trato especial, excepcional y preferencial de las zonas francas. En este sentido, consideraba que cualquier modificación sólo podía tener efectos prospectivos, esto es, respecto de las zonas francas autorizadas con posterioridad a su entrada en v</w:t>
      </w:r>
      <w:r w:rsidRPr="000149EE">
        <w:rPr>
          <w:rFonts w:ascii="Times New Roman" w:hAnsi="Times New Roman" w:cs="Times New Roman"/>
          <w:bCs/>
          <w:sz w:val="28"/>
          <w:szCs w:val="28"/>
        </w:rPr>
        <w:t xml:space="preserve">igor.   </w:t>
      </w:r>
    </w:p>
    <w:p w:rsidR="00DB53AA" w:rsidRPr="000149EE" w:rsidRDefault="000149EE" w:rsidP="001A47E2">
      <w:pPr>
        <w:pStyle w:val="Prrafodelista"/>
        <w:widowControl w:val="0"/>
        <w:spacing w:line="240" w:lineRule="auto"/>
        <w:ind w:left="0"/>
        <w:rPr>
          <w:rFonts w:ascii="Times New Roman" w:hAnsi="Times New Roman"/>
          <w:sz w:val="28"/>
        </w:rPr>
      </w:pPr>
    </w:p>
    <w:p w:rsidR="00DB53AA" w:rsidRPr="000149EE" w:rsidRDefault="000149EE" w:rsidP="009D4F8D">
      <w:pPr>
        <w:numPr>
          <w:ilvl w:val="0"/>
          <w:numId w:val="3"/>
        </w:numPr>
        <w:tabs>
          <w:tab w:val="left" w:pos="567"/>
        </w:tabs>
        <w:ind w:left="0" w:firstLine="0"/>
        <w:rPr>
          <w:rFonts w:ascii="Times New Roman" w:hAnsi="Times New Roman" w:cs="Times New Roman"/>
          <w:bCs/>
          <w:sz w:val="28"/>
          <w:szCs w:val="28"/>
        </w:rPr>
      </w:pPr>
      <w:r w:rsidRPr="000149EE">
        <w:rPr>
          <w:rFonts w:ascii="Times New Roman" w:hAnsi="Times New Roman" w:cs="Times New Roman"/>
          <w:sz w:val="28"/>
          <w:szCs w:val="28"/>
        </w:rPr>
        <w:t xml:space="preserve">La Corte Constitucional consideró que la norma demandada no desconocía los principios de irretroactividad y confianza legítima. </w:t>
      </w:r>
      <w:r w:rsidRPr="000149EE">
        <w:rPr>
          <w:rFonts w:ascii="Times New Roman" w:hAnsi="Times New Roman" w:cs="Times New Roman"/>
          <w:bCs/>
          <w:iCs/>
          <w:sz w:val="28"/>
          <w:szCs w:val="28"/>
        </w:rPr>
        <w:t>Esta conclusión estuvo fundada en, principalmente, tres premisas:</w:t>
      </w:r>
    </w:p>
    <w:p w:rsidR="00DB53AA" w:rsidRPr="000149EE" w:rsidRDefault="000149EE" w:rsidP="001A47E2">
      <w:pPr>
        <w:pStyle w:val="Prrafodelista"/>
        <w:spacing w:line="240" w:lineRule="auto"/>
        <w:rPr>
          <w:rFonts w:ascii="Times New Roman" w:hAnsi="Times New Roman"/>
          <w:bCs/>
          <w:iCs/>
          <w:sz w:val="28"/>
        </w:rPr>
      </w:pPr>
    </w:p>
    <w:p w:rsidR="009D4F8D" w:rsidRPr="000149EE" w:rsidRDefault="000149EE" w:rsidP="009D4F8D">
      <w:pPr>
        <w:numPr>
          <w:ilvl w:val="1"/>
          <w:numId w:val="3"/>
        </w:numPr>
        <w:tabs>
          <w:tab w:val="left" w:pos="567"/>
        </w:tabs>
        <w:ind w:left="851" w:hanging="650"/>
        <w:rPr>
          <w:rFonts w:ascii="Times New Roman" w:hAnsi="Times New Roman" w:cs="Times New Roman"/>
          <w:bCs/>
          <w:sz w:val="28"/>
          <w:szCs w:val="28"/>
        </w:rPr>
      </w:pPr>
      <w:r w:rsidRPr="000149EE">
        <w:rPr>
          <w:rFonts w:ascii="Times New Roman" w:hAnsi="Times New Roman" w:cs="Times New Roman"/>
          <w:bCs/>
          <w:iCs/>
          <w:sz w:val="28"/>
          <w:szCs w:val="28"/>
        </w:rPr>
        <w:t xml:space="preserve">La tarifa preferencial del impuesto de renta y </w:t>
      </w:r>
      <w:r w:rsidRPr="000149EE">
        <w:rPr>
          <w:rFonts w:ascii="Times New Roman" w:hAnsi="Times New Roman" w:cs="Times New Roman"/>
          <w:bCs/>
          <w:iCs/>
          <w:sz w:val="28"/>
          <w:szCs w:val="28"/>
        </w:rPr>
        <w:t>complementarios para los usuarios operarios, industriales de bienes e industriales de servicios de las zonas francas e</w:t>
      </w:r>
      <w:r w:rsidRPr="000149EE">
        <w:rPr>
          <w:rFonts w:ascii="Times New Roman" w:hAnsi="Times New Roman" w:cs="Times New Roman"/>
          <w:bCs/>
          <w:iCs/>
          <w:sz w:val="28"/>
          <w:szCs w:val="28"/>
        </w:rPr>
        <w:t>ra</w:t>
      </w:r>
      <w:r w:rsidRPr="000149EE">
        <w:rPr>
          <w:rFonts w:ascii="Times New Roman" w:hAnsi="Times New Roman" w:cs="Times New Roman"/>
          <w:bCs/>
          <w:iCs/>
          <w:sz w:val="28"/>
          <w:szCs w:val="28"/>
        </w:rPr>
        <w:t xml:space="preserve"> un beneficio tributario que no daba lugar a una “situación jurídica consolidada”. Esto, porque </w:t>
      </w:r>
      <w:r w:rsidRPr="000149EE">
        <w:rPr>
          <w:rFonts w:ascii="Times New Roman" w:hAnsi="Times New Roman" w:cs="Times New Roman"/>
          <w:bCs/>
          <w:sz w:val="28"/>
          <w:szCs w:val="28"/>
        </w:rPr>
        <w:t>no era un estímulo específico, ni consti</w:t>
      </w:r>
      <w:r w:rsidRPr="000149EE">
        <w:rPr>
          <w:rFonts w:ascii="Times New Roman" w:hAnsi="Times New Roman" w:cs="Times New Roman"/>
          <w:bCs/>
          <w:sz w:val="28"/>
          <w:szCs w:val="28"/>
        </w:rPr>
        <w:t xml:space="preserve">tuía una retribución directa al contribuyente, con ocasión del cumplimiento de unas exigencias individuales o concretas que se impusieran a su cargo. </w:t>
      </w:r>
    </w:p>
    <w:p w:rsidR="009D4F8D" w:rsidRPr="000149EE" w:rsidRDefault="000149EE" w:rsidP="009D4F8D">
      <w:pPr>
        <w:numPr>
          <w:ilvl w:val="1"/>
          <w:numId w:val="3"/>
        </w:numPr>
        <w:tabs>
          <w:tab w:val="left" w:pos="567"/>
        </w:tabs>
        <w:ind w:left="851" w:hanging="650"/>
        <w:rPr>
          <w:rFonts w:ascii="Times New Roman" w:hAnsi="Times New Roman" w:cs="Times New Roman"/>
          <w:bCs/>
          <w:sz w:val="28"/>
          <w:szCs w:val="28"/>
        </w:rPr>
      </w:pPr>
      <w:r w:rsidRPr="000149EE">
        <w:rPr>
          <w:rFonts w:ascii="Times New Roman" w:hAnsi="Times New Roman" w:cs="Times New Roman"/>
          <w:bCs/>
          <w:sz w:val="28"/>
          <w:szCs w:val="28"/>
        </w:rPr>
        <w:t>La Constitución permite que el legislador modifique las ventajas que el régimen especial</w:t>
      </w:r>
      <w:r w:rsidRPr="000149EE">
        <w:rPr>
          <w:rFonts w:ascii="Times New Roman" w:hAnsi="Times New Roman" w:cs="Times New Roman"/>
          <w:bCs/>
          <w:sz w:val="28"/>
          <w:szCs w:val="28"/>
        </w:rPr>
        <w:t>,</w:t>
      </w:r>
      <w:r w:rsidRPr="000149EE">
        <w:rPr>
          <w:rFonts w:ascii="Times New Roman" w:hAnsi="Times New Roman" w:cs="Times New Roman"/>
          <w:bCs/>
          <w:sz w:val="28"/>
          <w:szCs w:val="28"/>
        </w:rPr>
        <w:t xml:space="preserve"> excepcional </w:t>
      </w:r>
      <w:r w:rsidRPr="000149EE">
        <w:rPr>
          <w:rFonts w:ascii="Times New Roman" w:hAnsi="Times New Roman" w:cs="Times New Roman"/>
          <w:bCs/>
          <w:sz w:val="28"/>
          <w:szCs w:val="28"/>
        </w:rPr>
        <w:t>y p</w:t>
      </w:r>
      <w:r w:rsidRPr="000149EE">
        <w:rPr>
          <w:rFonts w:ascii="Times New Roman" w:hAnsi="Times New Roman" w:cs="Times New Roman"/>
          <w:bCs/>
          <w:sz w:val="28"/>
          <w:szCs w:val="28"/>
        </w:rPr>
        <w:t xml:space="preserve">referencial </w:t>
      </w:r>
      <w:r w:rsidRPr="000149EE">
        <w:rPr>
          <w:rFonts w:ascii="Times New Roman" w:hAnsi="Times New Roman" w:cs="Times New Roman"/>
          <w:bCs/>
          <w:sz w:val="28"/>
          <w:szCs w:val="28"/>
        </w:rPr>
        <w:t xml:space="preserve">de las zonas francas otorga a los usuarios que no hayan dado lugar a situaciones jurídicas consolidadas. Lo anterior, </w:t>
      </w:r>
      <w:r w:rsidRPr="000149EE">
        <w:rPr>
          <w:rFonts w:ascii="Times New Roman" w:hAnsi="Times New Roman" w:cs="Times New Roman"/>
          <w:bCs/>
          <w:iCs/>
          <w:sz w:val="28"/>
          <w:szCs w:val="28"/>
        </w:rPr>
        <w:t>siempre que no se suprima o desnaturalice la especialidad que le es propia</w:t>
      </w:r>
      <w:r w:rsidRPr="000149EE">
        <w:rPr>
          <w:rFonts w:ascii="Times New Roman" w:hAnsi="Times New Roman" w:cs="Times New Roman"/>
          <w:bCs/>
          <w:sz w:val="28"/>
          <w:szCs w:val="28"/>
        </w:rPr>
        <w:t>, conforme a los principios de razonabilidad y propo</w:t>
      </w:r>
      <w:r w:rsidRPr="000149EE">
        <w:rPr>
          <w:rFonts w:ascii="Times New Roman" w:hAnsi="Times New Roman" w:cs="Times New Roman"/>
          <w:bCs/>
          <w:sz w:val="28"/>
          <w:szCs w:val="28"/>
        </w:rPr>
        <w:t xml:space="preserve">rcionalidad. </w:t>
      </w:r>
    </w:p>
    <w:p w:rsidR="00DB53AA" w:rsidRPr="000149EE" w:rsidRDefault="000149EE" w:rsidP="00C042BB">
      <w:pPr>
        <w:numPr>
          <w:ilvl w:val="1"/>
          <w:numId w:val="3"/>
        </w:numPr>
        <w:tabs>
          <w:tab w:val="left" w:pos="567"/>
        </w:tabs>
        <w:ind w:left="851" w:hanging="650"/>
        <w:rPr>
          <w:rFonts w:ascii="Times New Roman" w:hAnsi="Times New Roman" w:cs="Times New Roman"/>
          <w:bCs/>
          <w:sz w:val="28"/>
          <w:szCs w:val="28"/>
        </w:rPr>
      </w:pPr>
      <w:r w:rsidRPr="000149EE">
        <w:rPr>
          <w:rFonts w:ascii="Times New Roman" w:hAnsi="Times New Roman" w:cs="Times New Roman"/>
          <w:bCs/>
          <w:sz w:val="28"/>
          <w:szCs w:val="28"/>
        </w:rPr>
        <w:t>El régimen especial, excepcional y preferencial de las zonas francas en materia tributaria está compuesto por múltiples ventajas y tratos preferenciales en materia aduanera, tributaria y de comercio exterior. El trato preferencial no se reduc</w:t>
      </w:r>
      <w:r w:rsidRPr="000149EE">
        <w:rPr>
          <w:rFonts w:ascii="Times New Roman" w:hAnsi="Times New Roman" w:cs="Times New Roman"/>
          <w:bCs/>
          <w:sz w:val="28"/>
          <w:szCs w:val="28"/>
        </w:rPr>
        <w:t>e a la tarifa del impuesto sobre la renta y complementarios. En es</w:t>
      </w:r>
      <w:r w:rsidRPr="000149EE">
        <w:rPr>
          <w:rFonts w:ascii="Times New Roman" w:hAnsi="Times New Roman" w:cs="Times New Roman"/>
          <w:bCs/>
          <w:sz w:val="28"/>
          <w:szCs w:val="28"/>
        </w:rPr>
        <w:t>e</w:t>
      </w:r>
      <w:r w:rsidRPr="000149EE">
        <w:rPr>
          <w:rFonts w:ascii="Times New Roman" w:hAnsi="Times New Roman" w:cs="Times New Roman"/>
          <w:bCs/>
          <w:sz w:val="28"/>
          <w:szCs w:val="28"/>
        </w:rPr>
        <w:t xml:space="preserve"> caso, si bien el legislador incrementó en 5% la tarifa del impuesto a la renta de los usuarios de zona franca, en todo caso </w:t>
      </w:r>
      <w:r w:rsidRPr="000149EE">
        <w:rPr>
          <w:rFonts w:ascii="Times New Roman" w:hAnsi="Times New Roman" w:cs="Times New Roman"/>
          <w:bCs/>
          <w:i/>
          <w:iCs/>
          <w:sz w:val="28"/>
          <w:szCs w:val="28"/>
        </w:rPr>
        <w:t>(i)</w:t>
      </w:r>
      <w:r w:rsidRPr="000149EE">
        <w:rPr>
          <w:rFonts w:ascii="Times New Roman" w:hAnsi="Times New Roman" w:cs="Times New Roman"/>
          <w:bCs/>
          <w:sz w:val="28"/>
          <w:szCs w:val="28"/>
        </w:rPr>
        <w:t xml:space="preserve"> la tarifa seguía siendo inferior a la general y </w:t>
      </w:r>
      <w:r w:rsidRPr="000149EE">
        <w:rPr>
          <w:rFonts w:ascii="Times New Roman" w:hAnsi="Times New Roman" w:cs="Times New Roman"/>
          <w:bCs/>
          <w:i/>
          <w:iCs/>
          <w:sz w:val="28"/>
          <w:szCs w:val="28"/>
        </w:rPr>
        <w:t>(ii)</w:t>
      </w:r>
      <w:r w:rsidRPr="000149EE">
        <w:rPr>
          <w:rFonts w:ascii="Times New Roman" w:hAnsi="Times New Roman" w:cs="Times New Roman"/>
          <w:bCs/>
          <w:sz w:val="28"/>
          <w:szCs w:val="28"/>
        </w:rPr>
        <w:t xml:space="preserve"> mantuvo</w:t>
      </w:r>
      <w:r w:rsidRPr="000149EE">
        <w:rPr>
          <w:rFonts w:ascii="Times New Roman" w:hAnsi="Times New Roman" w:cs="Times New Roman"/>
          <w:bCs/>
          <w:sz w:val="28"/>
          <w:szCs w:val="28"/>
        </w:rPr>
        <w:t xml:space="preserve"> vigentes las otras ventajas tributarias, aduaneras y de comercio exterior. </w:t>
      </w:r>
    </w:p>
    <w:p w:rsidR="00DB53AA" w:rsidRPr="000149EE" w:rsidRDefault="000149EE" w:rsidP="00C042BB">
      <w:pPr>
        <w:pStyle w:val="Prrafodelista"/>
        <w:spacing w:line="240" w:lineRule="auto"/>
        <w:rPr>
          <w:rFonts w:ascii="Times New Roman" w:hAnsi="Times New Roman"/>
          <w:sz w:val="28"/>
        </w:rPr>
      </w:pPr>
    </w:p>
    <w:p w:rsidR="00A9389B" w:rsidRPr="000149EE" w:rsidRDefault="000149EE" w:rsidP="00C042BB">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En tales términos, concluyó que el inciso 1</w:t>
      </w:r>
      <w:r w:rsidRPr="000149EE">
        <w:rPr>
          <w:rFonts w:ascii="Times New Roman" w:hAnsi="Times New Roman" w:cs="Times New Roman"/>
          <w:sz w:val="28"/>
          <w:szCs w:val="28"/>
        </w:rPr>
        <w:t>º</w:t>
      </w:r>
      <w:r w:rsidRPr="000149EE">
        <w:rPr>
          <w:rFonts w:ascii="Times New Roman" w:hAnsi="Times New Roman" w:cs="Times New Roman"/>
          <w:sz w:val="28"/>
          <w:szCs w:val="28"/>
        </w:rPr>
        <w:t xml:space="preserve"> del artículo 101 de la Ley 1819 de 2016 era exequible.</w:t>
      </w:r>
    </w:p>
    <w:p w:rsidR="00DB53AA" w:rsidRPr="000149EE" w:rsidRDefault="000149EE" w:rsidP="001A47E2">
      <w:pPr>
        <w:widowControl w:val="0"/>
        <w:rPr>
          <w:rFonts w:ascii="Times New Roman" w:hAnsi="Times New Roman" w:cs="Times New Roman"/>
          <w:sz w:val="28"/>
          <w:szCs w:val="28"/>
        </w:rPr>
      </w:pPr>
    </w:p>
    <w:p w:rsidR="00DB53AA" w:rsidRPr="000149EE" w:rsidRDefault="000149EE" w:rsidP="0099265D">
      <w:pPr>
        <w:pStyle w:val="Prrafodelista"/>
        <w:widowControl w:val="0"/>
        <w:numPr>
          <w:ilvl w:val="1"/>
          <w:numId w:val="11"/>
        </w:numPr>
        <w:spacing w:line="240" w:lineRule="auto"/>
        <w:ind w:left="1276" w:hanging="589"/>
        <w:rPr>
          <w:rFonts w:ascii="Times New Roman" w:hAnsi="Times New Roman"/>
          <w:b/>
          <w:bCs/>
          <w:sz w:val="28"/>
        </w:rPr>
      </w:pPr>
      <w:r w:rsidRPr="000149EE">
        <w:rPr>
          <w:rFonts w:ascii="Times New Roman" w:hAnsi="Times New Roman"/>
          <w:sz w:val="28"/>
        </w:rPr>
        <w:t xml:space="preserve"> </w:t>
      </w:r>
      <w:r w:rsidRPr="000149EE">
        <w:rPr>
          <w:rFonts w:ascii="Times New Roman" w:hAnsi="Times New Roman"/>
          <w:b/>
          <w:bCs/>
          <w:sz w:val="28"/>
        </w:rPr>
        <w:t xml:space="preserve">El artículo 11 de la Ley 2277 de 2022 </w:t>
      </w:r>
      <w:r w:rsidRPr="000149EE">
        <w:rPr>
          <w:rFonts w:ascii="Times New Roman" w:hAnsi="Times New Roman"/>
          <w:b/>
          <w:bCs/>
          <w:sz w:val="28"/>
        </w:rPr>
        <w:t>-</w:t>
      </w:r>
      <w:r w:rsidRPr="000149EE">
        <w:rPr>
          <w:rFonts w:ascii="Times New Roman" w:hAnsi="Times New Roman"/>
          <w:b/>
          <w:bCs/>
          <w:sz w:val="28"/>
        </w:rPr>
        <w:t>norma demandada</w:t>
      </w:r>
      <w:r w:rsidRPr="000149EE">
        <w:rPr>
          <w:rFonts w:ascii="Times New Roman" w:hAnsi="Times New Roman"/>
          <w:b/>
          <w:bCs/>
          <w:sz w:val="28"/>
        </w:rPr>
        <w:t>-</w:t>
      </w:r>
      <w:r w:rsidRPr="000149EE">
        <w:rPr>
          <w:rFonts w:ascii="Times New Roman" w:hAnsi="Times New Roman"/>
          <w:b/>
          <w:bCs/>
          <w:sz w:val="28"/>
        </w:rPr>
        <w:t xml:space="preserve"> </w:t>
      </w:r>
    </w:p>
    <w:p w:rsidR="00DB53AA" w:rsidRPr="000149EE" w:rsidRDefault="000149EE" w:rsidP="001A47E2">
      <w:pPr>
        <w:widowControl w:val="0"/>
        <w:rPr>
          <w:rFonts w:ascii="Times New Roman" w:hAnsi="Times New Roman" w:cs="Times New Roman"/>
          <w:sz w:val="28"/>
          <w:szCs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El 13 de diciembre</w:t>
      </w:r>
      <w:r w:rsidRPr="000149EE">
        <w:rPr>
          <w:rFonts w:ascii="Times New Roman" w:hAnsi="Times New Roman" w:cs="Times New Roman"/>
          <w:sz w:val="28"/>
          <w:szCs w:val="28"/>
        </w:rPr>
        <w:t xml:space="preserve"> de 2022, el legislador expidió la Ley 2277 de 2022</w:t>
      </w:r>
      <w:r w:rsidRPr="000149EE">
        <w:rPr>
          <w:rStyle w:val="Refdenotaalpie"/>
          <w:rFonts w:ascii="Times New Roman" w:hAnsi="Times New Roman" w:cs="Times New Roman"/>
          <w:sz w:val="28"/>
          <w:szCs w:val="28"/>
        </w:rPr>
        <w:footnoteReference w:id="92"/>
      </w:r>
      <w:r w:rsidRPr="000149EE">
        <w:rPr>
          <w:rFonts w:ascii="Times New Roman" w:hAnsi="Times New Roman" w:cs="Times New Roman"/>
          <w:sz w:val="28"/>
          <w:szCs w:val="28"/>
        </w:rPr>
        <w:t>. De acuerdo con el artículo 1º, esta ley tiene como objeto “adoptar una reforma tributaria que contribuya a la equidad, progresividad y eficiencia del sistema impositivo”. Lo anterior “a partir de la imp</w:t>
      </w:r>
      <w:r w:rsidRPr="000149EE">
        <w:rPr>
          <w:rFonts w:ascii="Times New Roman" w:hAnsi="Times New Roman" w:cs="Times New Roman"/>
          <w:sz w:val="28"/>
          <w:szCs w:val="28"/>
        </w:rPr>
        <w:t>lementación de un conjunto de medidas dirigidas a fortalecer la tributación de los sujetos con mayor capacidad contributiva, robustecer los ingresos del Estado, reforzar la lucha contra la evasión, el abuso y la elusión, y promover el mejoramiento de la sa</w:t>
      </w:r>
      <w:r w:rsidRPr="000149EE">
        <w:rPr>
          <w:rFonts w:ascii="Times New Roman" w:hAnsi="Times New Roman" w:cs="Times New Roman"/>
          <w:sz w:val="28"/>
          <w:szCs w:val="28"/>
        </w:rPr>
        <w:t xml:space="preserve">lud pública y el medio ambiente”. A dichos efectos la reforma contempla, entre otras, la eliminación y limitación de múltiples beneficios tributarios. </w:t>
      </w:r>
    </w:p>
    <w:p w:rsidR="00983CE3" w:rsidRPr="000149EE" w:rsidRDefault="000149EE" w:rsidP="001A47E2">
      <w:pPr>
        <w:pStyle w:val="Prrafodelista"/>
        <w:widowControl w:val="0"/>
        <w:spacing w:line="240" w:lineRule="auto"/>
        <w:ind w:left="0"/>
        <w:rPr>
          <w:rFonts w:ascii="Times New Roman" w:hAnsi="Times New Roman"/>
          <w:sz w:val="28"/>
        </w:rPr>
      </w:pPr>
    </w:p>
    <w:p w:rsidR="00821EDE"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El artículo 11 de la Ley 2277 de 2022 modificó la tarifa del impuesto a la renta que estaba prevista en</w:t>
      </w:r>
      <w:r w:rsidRPr="000149EE">
        <w:rPr>
          <w:rFonts w:ascii="Times New Roman" w:hAnsi="Times New Roman" w:cs="Times New Roman"/>
          <w:sz w:val="28"/>
          <w:szCs w:val="28"/>
        </w:rPr>
        <w:t xml:space="preserve"> el inciso 1 del artículo 101 de la Ley 1819 de 2016. En </w:t>
      </w:r>
      <w:r w:rsidRPr="000149EE">
        <w:rPr>
          <w:rFonts w:ascii="Times New Roman" w:hAnsi="Times New Roman" w:cs="Times New Roman"/>
          <w:sz w:val="28"/>
          <w:szCs w:val="28"/>
        </w:rPr>
        <w:t>particular</w:t>
      </w:r>
      <w:r w:rsidRPr="000149EE">
        <w:rPr>
          <w:rFonts w:ascii="Times New Roman" w:hAnsi="Times New Roman" w:cs="Times New Roman"/>
          <w:sz w:val="28"/>
          <w:szCs w:val="28"/>
        </w:rPr>
        <w:t>, creó “un sistema mixto de dos tarifas”</w:t>
      </w:r>
      <w:r w:rsidRPr="000149EE">
        <w:rPr>
          <w:rStyle w:val="Refdenotaalpie"/>
          <w:rFonts w:ascii="Times New Roman" w:hAnsi="Times New Roman" w:cs="Times New Roman"/>
          <w:sz w:val="28"/>
          <w:szCs w:val="28"/>
        </w:rPr>
        <w:footnoteReference w:id="93"/>
      </w:r>
      <w:r w:rsidRPr="000149EE">
        <w:rPr>
          <w:rFonts w:ascii="Times New Roman" w:hAnsi="Times New Roman" w:cs="Times New Roman"/>
          <w:sz w:val="28"/>
          <w:szCs w:val="28"/>
        </w:rPr>
        <w:t xml:space="preserve">, que aplican dependiendo </w:t>
      </w:r>
      <w:r w:rsidRPr="000149EE">
        <w:rPr>
          <w:rFonts w:ascii="Times New Roman" w:hAnsi="Times New Roman" w:cs="Times New Roman"/>
          <w:sz w:val="28"/>
          <w:szCs w:val="28"/>
        </w:rPr>
        <w:t xml:space="preserve">de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el origen de las rentas objeto de gravamen</w:t>
      </w:r>
      <w:r w:rsidRPr="000149EE">
        <w:rPr>
          <w:rFonts w:ascii="Times New Roman" w:hAnsi="Times New Roman" w:cs="Times New Roman"/>
          <w:sz w:val="28"/>
          <w:szCs w:val="28"/>
        </w:rPr>
        <w:t xml:space="preserve"> y </w:t>
      </w:r>
      <w:r w:rsidRPr="000149EE">
        <w:rPr>
          <w:rFonts w:ascii="Times New Roman" w:hAnsi="Times New Roman" w:cs="Times New Roman"/>
          <w:i/>
          <w:iCs/>
          <w:sz w:val="28"/>
          <w:szCs w:val="28"/>
        </w:rPr>
        <w:t>(ii)</w:t>
      </w:r>
      <w:r w:rsidRPr="000149EE">
        <w:rPr>
          <w:rFonts w:ascii="Times New Roman" w:hAnsi="Times New Roman" w:cs="Times New Roman"/>
          <w:sz w:val="28"/>
          <w:szCs w:val="28"/>
        </w:rPr>
        <w:t xml:space="preserve"> el cumplimiento de las condiciones previstas en el parágrafo 6º</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De acuerdo con el numeral 1º, l</w:t>
      </w:r>
      <w:r w:rsidRPr="000149EE">
        <w:rPr>
          <w:rFonts w:ascii="Times New Roman" w:hAnsi="Times New Roman" w:cs="Times New Roman"/>
          <w:sz w:val="28"/>
          <w:szCs w:val="28"/>
        </w:rPr>
        <w:t>os ingresos provenientes de operaciones de exportación están sujetos a una tarifa preferencial del 20%. Por su parte,</w:t>
      </w:r>
      <w:r w:rsidRPr="000149EE">
        <w:rPr>
          <w:rFonts w:ascii="Times New Roman" w:hAnsi="Times New Roman" w:cs="Times New Roman"/>
          <w:sz w:val="28"/>
          <w:szCs w:val="28"/>
        </w:rPr>
        <w:t xml:space="preserve"> el numeral 2º dispone que</w:t>
      </w:r>
      <w:r w:rsidRPr="000149EE">
        <w:rPr>
          <w:rFonts w:ascii="Times New Roman" w:hAnsi="Times New Roman" w:cs="Times New Roman"/>
          <w:sz w:val="28"/>
          <w:szCs w:val="28"/>
        </w:rPr>
        <w:t xml:space="preserve"> los ingresos que provengan de operaciones en el territorio aduanero nacional está</w:t>
      </w:r>
      <w:r w:rsidRPr="000149EE">
        <w:rPr>
          <w:rFonts w:ascii="Times New Roman" w:hAnsi="Times New Roman" w:cs="Times New Roman"/>
          <w:sz w:val="28"/>
          <w:szCs w:val="28"/>
        </w:rPr>
        <w:t xml:space="preserve">n sujetos a la tarifa general prevista en el </w:t>
      </w:r>
      <w:r w:rsidRPr="000149EE">
        <w:rPr>
          <w:rFonts w:ascii="Times New Roman" w:hAnsi="Times New Roman" w:cs="Times New Roman"/>
          <w:sz w:val="28"/>
          <w:szCs w:val="28"/>
        </w:rPr>
        <w:t>artículo</w:t>
      </w:r>
      <w:r w:rsidRPr="000149EE">
        <w:rPr>
          <w:rFonts w:ascii="Times New Roman" w:hAnsi="Times New Roman" w:cs="Times New Roman"/>
          <w:sz w:val="28"/>
          <w:szCs w:val="28"/>
        </w:rPr>
        <w:t xml:space="preserve"> 240 del ET</w:t>
      </w:r>
      <w:r w:rsidRPr="000149EE">
        <w:rPr>
          <w:rFonts w:ascii="Times New Roman" w:hAnsi="Times New Roman" w:cs="Times New Roman"/>
          <w:sz w:val="28"/>
          <w:szCs w:val="28"/>
        </w:rPr>
        <w:t xml:space="preserve">, la cual asciende al 35%. </w:t>
      </w:r>
      <w:r w:rsidRPr="000149EE">
        <w:rPr>
          <w:rFonts w:ascii="Times New Roman" w:hAnsi="Times New Roman" w:cs="Times New Roman"/>
          <w:sz w:val="28"/>
          <w:szCs w:val="28"/>
        </w:rPr>
        <w:t xml:space="preserve">El numeral 3º, </w:t>
      </w:r>
      <w:r w:rsidRPr="000149EE">
        <w:rPr>
          <w:rFonts w:ascii="Times New Roman" w:hAnsi="Times New Roman" w:cs="Times New Roman"/>
          <w:sz w:val="28"/>
          <w:szCs w:val="28"/>
        </w:rPr>
        <w:t>a su turno</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prevé que la suma que resulte de la aplicación de la tarifa a los ingresos, conforme a los numeral</w:t>
      </w:r>
      <w:r w:rsidRPr="000149EE">
        <w:rPr>
          <w:rFonts w:ascii="Times New Roman" w:hAnsi="Times New Roman" w:cs="Times New Roman"/>
          <w:sz w:val="28"/>
          <w:szCs w:val="28"/>
        </w:rPr>
        <w:t>es</w:t>
      </w:r>
      <w:r w:rsidRPr="000149EE">
        <w:rPr>
          <w:rFonts w:ascii="Times New Roman" w:hAnsi="Times New Roman" w:cs="Times New Roman"/>
          <w:sz w:val="28"/>
          <w:szCs w:val="28"/>
        </w:rPr>
        <w:t xml:space="preserve"> 1º y 2º, corresponde al impuesto sobr</w:t>
      </w:r>
      <w:r w:rsidRPr="000149EE">
        <w:rPr>
          <w:rFonts w:ascii="Times New Roman" w:hAnsi="Times New Roman" w:cs="Times New Roman"/>
          <w:sz w:val="28"/>
          <w:szCs w:val="28"/>
        </w:rPr>
        <w:t>e la renta</w:t>
      </w:r>
      <w:r w:rsidRPr="000149EE">
        <w:rPr>
          <w:rFonts w:ascii="Times New Roman" w:hAnsi="Times New Roman" w:cs="Times New Roman"/>
          <w:sz w:val="28"/>
          <w:szCs w:val="28"/>
        </w:rPr>
        <w:t>.</w:t>
      </w:r>
    </w:p>
    <w:p w:rsidR="00821EDE" w:rsidRPr="000149EE" w:rsidRDefault="000149EE" w:rsidP="00965EFB">
      <w:pPr>
        <w:rPr>
          <w:rFonts w:ascii="Times New Roman" w:hAnsi="Times New Roman" w:cs="Times New Roman"/>
          <w:sz w:val="28"/>
          <w:szCs w:val="28"/>
        </w:rPr>
      </w:pPr>
    </w:p>
    <w:p w:rsidR="00821EDE"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El parágrafo 6 del artículo 11 de la Ley 2277 de 2023 condiciona la aplicación de la tarifa del 20% a los ingresos provenientes de exportaciones</w:t>
      </w:r>
      <w:r w:rsidRPr="000149EE">
        <w:rPr>
          <w:rFonts w:ascii="Times New Roman" w:hAnsi="Times New Roman" w:cs="Times New Roman"/>
          <w:sz w:val="28"/>
          <w:szCs w:val="28"/>
        </w:rPr>
        <w:t>, prevista en el numeral 1º</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En particular,</w:t>
      </w:r>
      <w:r w:rsidRPr="000149EE">
        <w:rPr>
          <w:rFonts w:ascii="Times New Roman" w:hAnsi="Times New Roman" w:cs="Times New Roman"/>
          <w:sz w:val="28"/>
          <w:szCs w:val="28"/>
        </w:rPr>
        <w:t xml:space="preserve"> prescribe que quienes pretendan aplicar dicha tarifa deberán acordar un plan de internacionalización y anual de ventas (PIAV) con el Gobierno nacional. El PIAV debe satisfacer las siguientes exigencias</w:t>
      </w:r>
      <w:r w:rsidRPr="000149EE">
        <w:rPr>
          <w:rStyle w:val="Refdenotaalpie"/>
          <w:rFonts w:ascii="Times New Roman" w:hAnsi="Times New Roman" w:cs="Times New Roman"/>
          <w:sz w:val="28"/>
          <w:szCs w:val="28"/>
        </w:rPr>
        <w:footnoteReference w:id="94"/>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ser presentado por usuarios industriales de zon</w:t>
      </w:r>
      <w:r w:rsidRPr="000149EE">
        <w:rPr>
          <w:rFonts w:ascii="Times New Roman" w:hAnsi="Times New Roman" w:cs="Times New Roman"/>
          <w:sz w:val="28"/>
          <w:szCs w:val="28"/>
        </w:rPr>
        <w:t xml:space="preserve">a franca; </w:t>
      </w:r>
      <w:r w:rsidRPr="000149EE">
        <w:rPr>
          <w:rFonts w:ascii="Times New Roman" w:hAnsi="Times New Roman" w:cs="Times New Roman"/>
          <w:i/>
          <w:iCs/>
          <w:sz w:val="28"/>
          <w:szCs w:val="28"/>
        </w:rPr>
        <w:t>(ii)</w:t>
      </w:r>
      <w:r w:rsidRPr="000149EE">
        <w:rPr>
          <w:rFonts w:ascii="Times New Roman" w:hAnsi="Times New Roman" w:cs="Times New Roman"/>
          <w:sz w:val="28"/>
          <w:szCs w:val="28"/>
        </w:rPr>
        <w:t xml:space="preserve"> celebrarse a más tardar en el año 2024</w:t>
      </w:r>
      <w:r w:rsidRPr="000149EE">
        <w:rPr>
          <w:rStyle w:val="Refdenotaalpie"/>
          <w:rFonts w:ascii="Times New Roman" w:hAnsi="Times New Roman" w:cs="Times New Roman"/>
          <w:sz w:val="28"/>
          <w:szCs w:val="28"/>
        </w:rPr>
        <w:footnoteReference w:id="95"/>
      </w:r>
      <w:r w:rsidRPr="000149EE">
        <w:rPr>
          <w:rFonts w:ascii="Times New Roman" w:hAnsi="Times New Roman" w:cs="Times New Roman"/>
          <w:sz w:val="28"/>
          <w:szCs w:val="28"/>
        </w:rPr>
        <w:t xml:space="preserve">; </w:t>
      </w:r>
      <w:r w:rsidRPr="000149EE">
        <w:rPr>
          <w:rFonts w:ascii="Times New Roman" w:hAnsi="Times New Roman" w:cs="Times New Roman"/>
          <w:i/>
          <w:iCs/>
          <w:sz w:val="28"/>
          <w:szCs w:val="28"/>
        </w:rPr>
        <w:t>(iii)</w:t>
      </w:r>
      <w:r w:rsidRPr="000149EE">
        <w:rPr>
          <w:rFonts w:ascii="Times New Roman" w:hAnsi="Times New Roman" w:cs="Times New Roman"/>
          <w:sz w:val="28"/>
          <w:szCs w:val="28"/>
        </w:rPr>
        <w:t xml:space="preserve"> establecer “objetivos máximos” de ingresos netos</w:t>
      </w:r>
      <w:r w:rsidRPr="000149EE">
        <w:rPr>
          <w:rStyle w:val="Refdenotaalpie"/>
          <w:rFonts w:ascii="Times New Roman" w:hAnsi="Times New Roman" w:cs="Times New Roman"/>
          <w:sz w:val="28"/>
          <w:szCs w:val="28"/>
        </w:rPr>
        <w:footnoteReference w:id="96"/>
      </w:r>
      <w:r w:rsidRPr="000149EE">
        <w:rPr>
          <w:rFonts w:ascii="Times New Roman" w:hAnsi="Times New Roman" w:cs="Times New Roman"/>
          <w:sz w:val="28"/>
          <w:szCs w:val="28"/>
        </w:rPr>
        <w:t xml:space="preserve"> por operaciones en el territorio aduanero nacional y otros ingresos de actividades distintas a las autorizadas, reconocidas</w:t>
      </w:r>
      <w:r w:rsidRPr="000149EE">
        <w:rPr>
          <w:rFonts w:ascii="Times New Roman" w:hAnsi="Times New Roman" w:cs="Times New Roman"/>
          <w:sz w:val="28"/>
          <w:szCs w:val="28"/>
        </w:rPr>
        <w:t xml:space="preserve"> y</w:t>
      </w:r>
      <w:r w:rsidRPr="000149EE">
        <w:rPr>
          <w:rFonts w:ascii="Times New Roman" w:hAnsi="Times New Roman" w:cs="Times New Roman"/>
          <w:sz w:val="28"/>
          <w:szCs w:val="28"/>
        </w:rPr>
        <w:t xml:space="preserve"> calificadas en el </w:t>
      </w:r>
      <w:r w:rsidRPr="000149EE">
        <w:rPr>
          <w:rFonts w:ascii="Times New Roman" w:hAnsi="Times New Roman" w:cs="Times New Roman"/>
          <w:sz w:val="28"/>
          <w:szCs w:val="28"/>
        </w:rPr>
        <w:t xml:space="preserve">año fiscal correspondiente y </w:t>
      </w:r>
      <w:r w:rsidRPr="000149EE">
        <w:rPr>
          <w:rFonts w:ascii="Times New Roman" w:hAnsi="Times New Roman" w:cs="Times New Roman"/>
          <w:i/>
          <w:iCs/>
          <w:sz w:val="28"/>
          <w:szCs w:val="28"/>
        </w:rPr>
        <w:t>(iv)</w:t>
      </w:r>
      <w:r w:rsidRPr="000149EE">
        <w:rPr>
          <w:rFonts w:ascii="Times New Roman" w:hAnsi="Times New Roman" w:cs="Times New Roman"/>
          <w:sz w:val="28"/>
          <w:szCs w:val="28"/>
        </w:rPr>
        <w:t xml:space="preserve"> suscribirse con el Ministerio de Comercio, Industria y Turismo en cada uno de los años gravables. En caso de que el usuario industrial no suscriba el acuerdo o incumpla sus objetivos máximos de ingreso, el parágrafo establ</w:t>
      </w:r>
      <w:r w:rsidRPr="000149EE">
        <w:rPr>
          <w:rFonts w:ascii="Times New Roman" w:hAnsi="Times New Roman" w:cs="Times New Roman"/>
          <w:sz w:val="28"/>
          <w:szCs w:val="28"/>
        </w:rPr>
        <w:t xml:space="preserve">ece que la tarifa del impuesto de renta aplicable a sus ingresos será la general prevista en el artículo 240 del ET, la cual asciende al 35%.  </w:t>
      </w:r>
    </w:p>
    <w:p w:rsidR="00821EDE" w:rsidRPr="000149EE" w:rsidRDefault="000149EE" w:rsidP="00821EDE">
      <w:pPr>
        <w:pStyle w:val="Prrafodelista"/>
        <w:widowControl w:val="0"/>
        <w:spacing w:line="240" w:lineRule="auto"/>
        <w:ind w:left="0"/>
        <w:rPr>
          <w:rFonts w:ascii="Times New Roman" w:hAnsi="Times New Roman"/>
          <w:sz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De acuerdo con la exposición de motivos y el trámite legislativo de aprobación de la Ley 2277 de 2022, </w:t>
      </w:r>
      <w:r w:rsidRPr="000149EE">
        <w:rPr>
          <w:rFonts w:ascii="Times New Roman" w:hAnsi="Times New Roman" w:cs="Times New Roman"/>
          <w:sz w:val="28"/>
          <w:szCs w:val="28"/>
        </w:rPr>
        <w:t>la modif</w:t>
      </w:r>
      <w:r w:rsidRPr="000149EE">
        <w:rPr>
          <w:rFonts w:ascii="Times New Roman" w:hAnsi="Times New Roman" w:cs="Times New Roman"/>
          <w:sz w:val="28"/>
          <w:szCs w:val="28"/>
        </w:rPr>
        <w:t>icación en el régimen tarifario del impuesto a la renta de los us</w:t>
      </w:r>
      <w:r w:rsidRPr="000149EE">
        <w:rPr>
          <w:rFonts w:ascii="Times New Roman" w:hAnsi="Times New Roman" w:cs="Times New Roman"/>
          <w:sz w:val="28"/>
          <w:szCs w:val="28"/>
        </w:rPr>
        <w:t>uari</w:t>
      </w:r>
      <w:r w:rsidRPr="000149EE">
        <w:rPr>
          <w:rFonts w:ascii="Times New Roman" w:hAnsi="Times New Roman" w:cs="Times New Roman"/>
          <w:sz w:val="28"/>
          <w:szCs w:val="28"/>
        </w:rPr>
        <w:t xml:space="preserve">os industriales de zona franca </w:t>
      </w:r>
      <w:r w:rsidRPr="000149EE">
        <w:rPr>
          <w:rFonts w:ascii="Times New Roman" w:hAnsi="Times New Roman" w:cs="Times New Roman"/>
          <w:sz w:val="28"/>
          <w:szCs w:val="28"/>
        </w:rPr>
        <w:t xml:space="preserve">perseguía principalmente dos propósitos: </w:t>
      </w:r>
      <w:r w:rsidRPr="000149EE">
        <w:rPr>
          <w:rFonts w:ascii="Times New Roman" w:hAnsi="Times New Roman" w:cs="Times New Roman"/>
          <w:i/>
          <w:iCs/>
          <w:sz w:val="28"/>
          <w:szCs w:val="28"/>
        </w:rPr>
        <w:t>(i)</w:t>
      </w:r>
      <w:r w:rsidRPr="000149EE">
        <w:rPr>
          <w:rFonts w:ascii="Times New Roman" w:hAnsi="Times New Roman" w:cs="Times New Roman"/>
          <w:sz w:val="28"/>
          <w:szCs w:val="28"/>
        </w:rPr>
        <w:t xml:space="preserve"> fomentar la exportación y </w:t>
      </w:r>
      <w:r w:rsidRPr="000149EE">
        <w:rPr>
          <w:rFonts w:ascii="Times New Roman" w:hAnsi="Times New Roman" w:cs="Times New Roman"/>
          <w:i/>
          <w:iCs/>
          <w:sz w:val="28"/>
          <w:szCs w:val="28"/>
        </w:rPr>
        <w:t>(ii)</w:t>
      </w:r>
      <w:r w:rsidRPr="000149EE">
        <w:rPr>
          <w:rFonts w:ascii="Times New Roman" w:hAnsi="Times New Roman" w:cs="Times New Roman"/>
          <w:sz w:val="28"/>
          <w:szCs w:val="28"/>
        </w:rPr>
        <w:t xml:space="preserve"> corregir asimetrías tributarias:</w:t>
      </w:r>
    </w:p>
    <w:p w:rsidR="00983CE3" w:rsidRPr="000149EE" w:rsidRDefault="000149EE" w:rsidP="001A47E2">
      <w:pPr>
        <w:rPr>
          <w:rFonts w:ascii="Times New Roman" w:hAnsi="Times New Roman" w:cs="Times New Roman"/>
          <w:sz w:val="28"/>
          <w:szCs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Fomentar la exportación</w:t>
      </w:r>
      <w:r w:rsidRPr="000149EE">
        <w:rPr>
          <w:rFonts w:ascii="Times New Roman" w:hAnsi="Times New Roman" w:cs="Times New Roman"/>
          <w:sz w:val="28"/>
          <w:szCs w:val="28"/>
        </w:rPr>
        <w:t xml:space="preserve">. </w:t>
      </w:r>
      <w:r w:rsidRPr="000149EE">
        <w:rPr>
          <w:rFonts w:ascii="Times New Roman" w:hAnsi="Times New Roman" w:cs="Times New Roman"/>
          <w:bCs/>
          <w:sz w:val="28"/>
          <w:szCs w:val="28"/>
        </w:rPr>
        <w:t>De acuerdo con la exp</w:t>
      </w:r>
      <w:r w:rsidRPr="000149EE">
        <w:rPr>
          <w:rFonts w:ascii="Times New Roman" w:hAnsi="Times New Roman" w:cs="Times New Roman"/>
          <w:bCs/>
          <w:sz w:val="28"/>
          <w:szCs w:val="28"/>
        </w:rPr>
        <w:t>osición de motivos, el principal objetivo de la modificación a la tarifa del impuesto a la renta para los usuarios industriales de zona franca es “incentivar la inversión en Colombia y promover las exportaciones por parte de estas áreas económicas especial</w:t>
      </w:r>
      <w:r w:rsidRPr="000149EE">
        <w:rPr>
          <w:rFonts w:ascii="Times New Roman" w:hAnsi="Times New Roman" w:cs="Times New Roman"/>
          <w:bCs/>
          <w:sz w:val="28"/>
          <w:szCs w:val="28"/>
        </w:rPr>
        <w:t>es que genera</w:t>
      </w:r>
      <w:r w:rsidRPr="000149EE">
        <w:rPr>
          <w:rFonts w:ascii="Times New Roman" w:hAnsi="Times New Roman" w:cs="Times New Roman"/>
          <w:bCs/>
          <w:sz w:val="28"/>
          <w:szCs w:val="28"/>
        </w:rPr>
        <w:t>n</w:t>
      </w:r>
      <w:r w:rsidRPr="000149EE">
        <w:rPr>
          <w:rFonts w:ascii="Times New Roman" w:hAnsi="Times New Roman" w:cs="Times New Roman"/>
          <w:bCs/>
          <w:sz w:val="28"/>
          <w:szCs w:val="28"/>
        </w:rPr>
        <w:t xml:space="preserve"> valor agregado en el país”</w:t>
      </w:r>
      <w:r w:rsidRPr="000149EE">
        <w:rPr>
          <w:rFonts w:ascii="Times New Roman" w:hAnsi="Times New Roman" w:cs="Times New Roman"/>
          <w:sz w:val="28"/>
          <w:szCs w:val="28"/>
          <w:vertAlign w:val="superscript"/>
        </w:rPr>
        <w:footnoteReference w:id="97"/>
      </w:r>
      <w:r w:rsidRPr="000149EE">
        <w:rPr>
          <w:rFonts w:ascii="Times New Roman" w:hAnsi="Times New Roman" w:cs="Times New Roman"/>
          <w:bCs/>
          <w:sz w:val="28"/>
          <w:szCs w:val="28"/>
        </w:rPr>
        <w:t>. En</w:t>
      </w:r>
      <w:r w:rsidRPr="000149EE">
        <w:rPr>
          <w:rFonts w:ascii="Times New Roman" w:hAnsi="Times New Roman" w:cs="Times New Roman"/>
          <w:bCs/>
          <w:sz w:val="28"/>
          <w:szCs w:val="28"/>
        </w:rPr>
        <w:t xml:space="preserve"> la exposición de motivos </w:t>
      </w:r>
      <w:r w:rsidRPr="000149EE">
        <w:rPr>
          <w:rFonts w:ascii="Times New Roman" w:hAnsi="Times New Roman" w:cs="Times New Roman"/>
          <w:bCs/>
          <w:iCs/>
          <w:sz w:val="28"/>
          <w:szCs w:val="28"/>
        </w:rPr>
        <w:t>del proyecto de ley</w:t>
      </w:r>
      <w:r w:rsidRPr="000149EE">
        <w:rPr>
          <w:rStyle w:val="Refdenotaalpie"/>
          <w:rFonts w:ascii="Times New Roman" w:hAnsi="Times New Roman" w:cs="Times New Roman"/>
          <w:bCs/>
          <w:iCs/>
          <w:sz w:val="28"/>
          <w:szCs w:val="28"/>
        </w:rPr>
        <w:footnoteReference w:id="98"/>
      </w:r>
      <w:r w:rsidRPr="000149EE">
        <w:rPr>
          <w:rFonts w:ascii="Times New Roman" w:hAnsi="Times New Roman" w:cs="Times New Roman"/>
          <w:bCs/>
          <w:iCs/>
          <w:sz w:val="28"/>
          <w:szCs w:val="28"/>
        </w:rPr>
        <w:t xml:space="preserve"> que dio origen a la Ley 2277 de 2022, el MHCP explicó que</w:t>
      </w:r>
      <w:r w:rsidRPr="000149EE">
        <w:rPr>
          <w:rFonts w:ascii="Times New Roman" w:hAnsi="Times New Roman" w:cs="Times New Roman"/>
          <w:bCs/>
          <w:sz w:val="28"/>
          <w:szCs w:val="28"/>
        </w:rPr>
        <w:t xml:space="preserve">: </w:t>
      </w:r>
    </w:p>
    <w:p w:rsidR="00983CE3" w:rsidRPr="000149EE" w:rsidRDefault="000149EE" w:rsidP="001A47E2">
      <w:pPr>
        <w:rPr>
          <w:rFonts w:ascii="Times New Roman" w:hAnsi="Times New Roman" w:cs="Times New Roman"/>
          <w:sz w:val="28"/>
          <w:szCs w:val="28"/>
        </w:rPr>
      </w:pPr>
    </w:p>
    <w:p w:rsidR="00983CE3" w:rsidRPr="000149EE" w:rsidRDefault="000149EE" w:rsidP="001A47E2">
      <w:pPr>
        <w:ind w:left="737" w:right="567"/>
        <w:contextualSpacing/>
        <w:rPr>
          <w:rFonts w:ascii="Times New Roman" w:eastAsia="Times New Roman" w:hAnsi="Times New Roman" w:cs="Times New Roman"/>
          <w:bCs/>
          <w:iCs/>
          <w:sz w:val="28"/>
          <w:szCs w:val="24"/>
          <w:lang w:eastAsia="es-ES"/>
        </w:rPr>
      </w:pPr>
      <w:r w:rsidRPr="000149EE">
        <w:rPr>
          <w:rFonts w:ascii="Times New Roman" w:eastAsia="Times New Roman" w:hAnsi="Times New Roman" w:cs="Times New Roman"/>
          <w:bCs/>
          <w:iCs/>
          <w:sz w:val="28"/>
          <w:szCs w:val="24"/>
          <w:lang w:eastAsia="es-ES"/>
        </w:rPr>
        <w:t xml:space="preserve">“Ahora bien, de acuerdo con la Comisión de Expertos en Beneficios Tributarios (2021) el impacto sobre </w:t>
      </w:r>
      <w:r w:rsidRPr="000149EE">
        <w:rPr>
          <w:rFonts w:ascii="Times New Roman" w:eastAsia="Times New Roman" w:hAnsi="Times New Roman" w:cs="Times New Roman"/>
          <w:bCs/>
          <w:iCs/>
          <w:sz w:val="28"/>
          <w:szCs w:val="24"/>
          <w:lang w:eastAsia="es-ES"/>
        </w:rPr>
        <w:t>la productividad de las ZF no parece ser considerable. Lo anterior se explica en que 3 de cada 4 compañías que utilizan este tratamiento especial son nacionales, sin vocación exportadora, lo que ha limitado el éxito de la existencia de este tratamiento pre</w:t>
      </w:r>
      <w:r w:rsidRPr="000149EE">
        <w:rPr>
          <w:rFonts w:ascii="Times New Roman" w:eastAsia="Times New Roman" w:hAnsi="Times New Roman" w:cs="Times New Roman"/>
          <w:bCs/>
          <w:iCs/>
          <w:sz w:val="28"/>
          <w:szCs w:val="24"/>
          <w:lang w:eastAsia="es-ES"/>
        </w:rPr>
        <w:t>ferencial. (…)</w:t>
      </w:r>
    </w:p>
    <w:p w:rsidR="00983CE3" w:rsidRPr="000149EE" w:rsidRDefault="000149EE" w:rsidP="001A47E2">
      <w:pPr>
        <w:ind w:left="737" w:right="567"/>
        <w:contextualSpacing/>
        <w:rPr>
          <w:rFonts w:ascii="Times New Roman" w:eastAsia="Times New Roman" w:hAnsi="Times New Roman" w:cs="Times New Roman"/>
          <w:bCs/>
          <w:iCs/>
          <w:sz w:val="28"/>
          <w:szCs w:val="24"/>
          <w:lang w:eastAsia="es-ES"/>
        </w:rPr>
      </w:pPr>
    </w:p>
    <w:p w:rsidR="00983CE3" w:rsidRPr="000149EE" w:rsidRDefault="000149EE" w:rsidP="001A47E2">
      <w:pPr>
        <w:ind w:left="737" w:right="567"/>
        <w:contextualSpacing/>
        <w:rPr>
          <w:rFonts w:ascii="Times New Roman" w:eastAsia="Times New Roman" w:hAnsi="Times New Roman" w:cs="Times New Roman"/>
          <w:bCs/>
          <w:iCs/>
          <w:sz w:val="28"/>
          <w:szCs w:val="24"/>
          <w:lang w:eastAsia="es-ES"/>
        </w:rPr>
      </w:pPr>
      <w:r w:rsidRPr="000149EE">
        <w:rPr>
          <w:rFonts w:ascii="Times New Roman" w:eastAsia="Times New Roman" w:hAnsi="Times New Roman" w:cs="Times New Roman"/>
          <w:bCs/>
          <w:iCs/>
          <w:sz w:val="28"/>
          <w:szCs w:val="24"/>
          <w:lang w:eastAsia="es-ES"/>
        </w:rPr>
        <w:t>Por otro lado, se resalta la experiencia internacional en la medida que las ZF son implementadas con el fin último de estimular las exportaciones del país en que estos tratamientos especiales operan, y, en consecuencia, estimular el crecimiento económico d</w:t>
      </w:r>
      <w:r w:rsidRPr="000149EE">
        <w:rPr>
          <w:rFonts w:ascii="Times New Roman" w:eastAsia="Times New Roman" w:hAnsi="Times New Roman" w:cs="Times New Roman"/>
          <w:bCs/>
          <w:iCs/>
          <w:sz w:val="28"/>
          <w:szCs w:val="24"/>
          <w:lang w:eastAsia="es-ES"/>
        </w:rPr>
        <w:t>e los países. República Dominicana se esgrime como un referente regional en esta materia, lo que parece guardar relación con el hecho de que un requisito establecido en ese país es que las empresas beneficiadas de este instrumento deben exportar por lo men</w:t>
      </w:r>
      <w:r w:rsidRPr="000149EE">
        <w:rPr>
          <w:rFonts w:ascii="Times New Roman" w:eastAsia="Times New Roman" w:hAnsi="Times New Roman" w:cs="Times New Roman"/>
          <w:bCs/>
          <w:iCs/>
          <w:sz w:val="28"/>
          <w:szCs w:val="24"/>
          <w:lang w:eastAsia="es-ES"/>
        </w:rPr>
        <w:t>os el 80% de su producción. De acuerdo con el Informe General de Avances en Competitividad Sistémica de la República Dominicana (Consejo Nacional de Competitividad, 2008), gracias a esta regulación, estas zonas permitieron que se consolidaran las actividad</w:t>
      </w:r>
      <w:r w:rsidRPr="000149EE">
        <w:rPr>
          <w:rFonts w:ascii="Times New Roman" w:eastAsia="Times New Roman" w:hAnsi="Times New Roman" w:cs="Times New Roman"/>
          <w:bCs/>
          <w:iCs/>
          <w:sz w:val="28"/>
          <w:szCs w:val="24"/>
          <w:lang w:eastAsia="es-ES"/>
        </w:rPr>
        <w:t xml:space="preserve">es exportadoras de seis (6) sectores de la industria local. </w:t>
      </w:r>
    </w:p>
    <w:p w:rsidR="00983CE3" w:rsidRPr="000149EE" w:rsidRDefault="000149EE" w:rsidP="001A47E2">
      <w:pPr>
        <w:ind w:left="737" w:right="567"/>
        <w:contextualSpacing/>
        <w:rPr>
          <w:rFonts w:ascii="Times New Roman" w:eastAsia="Times New Roman" w:hAnsi="Times New Roman" w:cs="Times New Roman"/>
          <w:bCs/>
          <w:iCs/>
          <w:sz w:val="28"/>
          <w:szCs w:val="24"/>
          <w:lang w:eastAsia="es-ES"/>
        </w:rPr>
      </w:pPr>
    </w:p>
    <w:p w:rsidR="00983CE3" w:rsidRPr="000149EE" w:rsidRDefault="000149EE" w:rsidP="001A47E2">
      <w:pPr>
        <w:ind w:left="737" w:right="567"/>
        <w:contextualSpacing/>
        <w:rPr>
          <w:rFonts w:ascii="Times New Roman" w:eastAsia="Times New Roman" w:hAnsi="Times New Roman" w:cs="Times New Roman"/>
          <w:bCs/>
          <w:iCs/>
          <w:sz w:val="28"/>
          <w:szCs w:val="24"/>
          <w:lang w:eastAsia="es-ES"/>
        </w:rPr>
      </w:pPr>
      <w:r w:rsidRPr="000149EE">
        <w:rPr>
          <w:rFonts w:ascii="Times New Roman" w:eastAsia="Times New Roman" w:hAnsi="Times New Roman" w:cs="Times New Roman"/>
          <w:bCs/>
          <w:iCs/>
          <w:sz w:val="28"/>
          <w:szCs w:val="24"/>
          <w:lang w:eastAsia="es-ES"/>
        </w:rPr>
        <w:t>Considerando lo anterior, y las potencialidades que tiene este instrumento en la formulación de política para la promoción del comercio exterior y el desarrollo de la competitividad y productivi</w:t>
      </w:r>
      <w:r w:rsidRPr="000149EE">
        <w:rPr>
          <w:rFonts w:ascii="Times New Roman" w:eastAsia="Times New Roman" w:hAnsi="Times New Roman" w:cs="Times New Roman"/>
          <w:bCs/>
          <w:iCs/>
          <w:sz w:val="28"/>
          <w:szCs w:val="24"/>
          <w:lang w:eastAsia="es-ES"/>
        </w:rPr>
        <w:t>dad del país, será importante seguir las directrices del plan de internacionalización con el objetivo de que las ZF cumplan requisitos de desempeño en materia de exportaciones”</w:t>
      </w:r>
      <w:r w:rsidRPr="000149EE">
        <w:rPr>
          <w:rFonts w:ascii="Times New Roman" w:eastAsia="Times New Roman" w:hAnsi="Times New Roman" w:cs="Times New Roman"/>
          <w:bCs/>
          <w:iCs/>
          <w:sz w:val="28"/>
          <w:szCs w:val="24"/>
          <w:vertAlign w:val="superscript"/>
          <w:lang w:eastAsia="es-ES"/>
        </w:rPr>
        <w:footnoteReference w:id="99"/>
      </w:r>
      <w:r w:rsidRPr="000149EE">
        <w:rPr>
          <w:rFonts w:ascii="Times New Roman" w:eastAsia="Times New Roman" w:hAnsi="Times New Roman" w:cs="Times New Roman"/>
          <w:bCs/>
          <w:iCs/>
          <w:sz w:val="28"/>
          <w:szCs w:val="24"/>
          <w:lang w:eastAsia="es-ES"/>
        </w:rPr>
        <w:t xml:space="preserve">. </w:t>
      </w:r>
    </w:p>
    <w:p w:rsidR="00983CE3" w:rsidRPr="000149EE" w:rsidRDefault="000149EE" w:rsidP="001A47E2">
      <w:pPr>
        <w:rPr>
          <w:rFonts w:ascii="Times New Roman" w:hAnsi="Times New Roman" w:cs="Times New Roman"/>
          <w:bCs/>
          <w:sz w:val="28"/>
          <w:szCs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En este sentido, l</w:t>
      </w:r>
      <w:r w:rsidRPr="000149EE">
        <w:rPr>
          <w:rFonts w:ascii="Times New Roman" w:hAnsi="Times New Roman" w:cs="Times New Roman"/>
          <w:sz w:val="28"/>
          <w:szCs w:val="28"/>
        </w:rPr>
        <w:t>a</w:t>
      </w:r>
      <w:r w:rsidRPr="000149EE">
        <w:rPr>
          <w:rFonts w:ascii="Times New Roman" w:hAnsi="Times New Roman" w:cs="Times New Roman"/>
          <w:bCs/>
          <w:sz w:val="28"/>
          <w:szCs w:val="28"/>
        </w:rPr>
        <w:t xml:space="preserve"> tarifa preferencial para los ingresos que provienen de </w:t>
      </w:r>
      <w:r w:rsidRPr="000149EE">
        <w:rPr>
          <w:rFonts w:ascii="Times New Roman" w:hAnsi="Times New Roman" w:cs="Times New Roman"/>
          <w:bCs/>
          <w:sz w:val="28"/>
          <w:szCs w:val="28"/>
        </w:rPr>
        <w:t>exportación busca reducir la carga tributaria que causa el impuesto de renta para que las compañías colombianas exportadoras “puedan competir frente a compañías de países latinoamericanos que se benefician de impuestos corporativos inferiores”</w:t>
      </w:r>
      <w:r w:rsidRPr="000149EE">
        <w:rPr>
          <w:rStyle w:val="Refdenotaalpie"/>
          <w:rFonts w:ascii="Times New Roman" w:hAnsi="Times New Roman" w:cs="Times New Roman"/>
          <w:bCs/>
          <w:sz w:val="28"/>
          <w:szCs w:val="28"/>
        </w:rPr>
        <w:footnoteReference w:id="100"/>
      </w:r>
      <w:r w:rsidRPr="000149EE">
        <w:rPr>
          <w:rFonts w:ascii="Times New Roman" w:hAnsi="Times New Roman" w:cs="Times New Roman"/>
          <w:bCs/>
          <w:sz w:val="28"/>
          <w:szCs w:val="28"/>
        </w:rPr>
        <w:t xml:space="preserve">. </w:t>
      </w:r>
    </w:p>
    <w:p w:rsidR="00983CE3" w:rsidRPr="000149EE" w:rsidRDefault="000149EE" w:rsidP="001A47E2">
      <w:pPr>
        <w:rPr>
          <w:rFonts w:ascii="Times New Roman" w:hAnsi="Times New Roman" w:cs="Times New Roman"/>
          <w:sz w:val="28"/>
          <w:szCs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i/>
          <w:iCs/>
          <w:sz w:val="28"/>
          <w:szCs w:val="28"/>
        </w:rPr>
        <w:t>Correcci</w:t>
      </w:r>
      <w:r w:rsidRPr="000149EE">
        <w:rPr>
          <w:rFonts w:ascii="Times New Roman" w:hAnsi="Times New Roman" w:cs="Times New Roman"/>
          <w:i/>
          <w:iCs/>
          <w:sz w:val="28"/>
          <w:szCs w:val="28"/>
        </w:rPr>
        <w:t>ón de asimetrías tributarias</w:t>
      </w:r>
      <w:r w:rsidRPr="000149EE">
        <w:rPr>
          <w:rFonts w:ascii="Times New Roman" w:hAnsi="Times New Roman" w:cs="Times New Roman"/>
          <w:sz w:val="28"/>
          <w:szCs w:val="28"/>
        </w:rPr>
        <w:t xml:space="preserve">. La Ley 1004 de 2005 </w:t>
      </w:r>
      <w:r w:rsidRPr="000149EE">
        <w:rPr>
          <w:rFonts w:ascii="Times New Roman" w:hAnsi="Times New Roman" w:cs="Times New Roman"/>
          <w:sz w:val="28"/>
          <w:szCs w:val="28"/>
        </w:rPr>
        <w:t xml:space="preserve">autorizó </w:t>
      </w:r>
      <w:r w:rsidRPr="000149EE">
        <w:rPr>
          <w:rFonts w:ascii="Times New Roman" w:hAnsi="Times New Roman" w:cs="Times New Roman"/>
          <w:sz w:val="28"/>
          <w:szCs w:val="28"/>
        </w:rPr>
        <w:t>que algunos usuarios de zona franca produjeran bienes y servicios para el mercado interno. De acuerdo con la exposición de motivos</w:t>
      </w:r>
      <w:r w:rsidRPr="000149EE">
        <w:rPr>
          <w:rFonts w:ascii="Times New Roman" w:hAnsi="Times New Roman" w:cs="Times New Roman"/>
          <w:sz w:val="28"/>
          <w:szCs w:val="28"/>
        </w:rPr>
        <w:t xml:space="preserve"> de la Ley </w:t>
      </w:r>
      <w:r w:rsidRPr="000149EE">
        <w:rPr>
          <w:rFonts w:ascii="Times New Roman" w:hAnsi="Times New Roman" w:cs="Times New Roman"/>
          <w:sz w:val="28"/>
          <w:szCs w:val="28"/>
        </w:rPr>
        <w:t>2</w:t>
      </w:r>
      <w:r w:rsidRPr="000149EE">
        <w:rPr>
          <w:rFonts w:ascii="Times New Roman" w:hAnsi="Times New Roman" w:cs="Times New Roman"/>
          <w:sz w:val="28"/>
          <w:szCs w:val="28"/>
        </w:rPr>
        <w:t>277 de 2022 esta autorización condujo a que</w:t>
      </w:r>
      <w:r w:rsidRPr="000149EE">
        <w:rPr>
          <w:rFonts w:ascii="Times New Roman" w:hAnsi="Times New Roman" w:cs="Times New Roman"/>
          <w:sz w:val="28"/>
          <w:szCs w:val="28"/>
        </w:rPr>
        <w:t xml:space="preserve">, </w:t>
      </w:r>
      <w:r w:rsidRPr="000149EE">
        <w:rPr>
          <w:rFonts w:ascii="Times New Roman" w:hAnsi="Times New Roman" w:cs="Times New Roman"/>
          <w:bCs/>
          <w:iCs/>
          <w:sz w:val="28"/>
          <w:szCs w:val="28"/>
        </w:rPr>
        <w:t xml:space="preserve">3 de cada 4 usuarios industriales que se beneficiaban de la tarifa preferencial del impuesto a la renta que estaba prevista en la Ley 1819 de 2016, eran nacionales, </w:t>
      </w:r>
      <w:r w:rsidRPr="000149EE">
        <w:rPr>
          <w:rFonts w:ascii="Times New Roman" w:hAnsi="Times New Roman" w:cs="Times New Roman"/>
          <w:bCs/>
          <w:iCs/>
          <w:sz w:val="28"/>
          <w:szCs w:val="28"/>
        </w:rPr>
        <w:t>“</w:t>
      </w:r>
      <w:r w:rsidRPr="000149EE">
        <w:rPr>
          <w:rFonts w:ascii="Times New Roman" w:hAnsi="Times New Roman" w:cs="Times New Roman"/>
          <w:bCs/>
          <w:iCs/>
          <w:sz w:val="28"/>
          <w:szCs w:val="28"/>
        </w:rPr>
        <w:t>sin vocación exportadora</w:t>
      </w:r>
      <w:r w:rsidRPr="000149EE">
        <w:rPr>
          <w:rFonts w:ascii="Times New Roman" w:hAnsi="Times New Roman" w:cs="Times New Roman"/>
          <w:bCs/>
          <w:iCs/>
          <w:sz w:val="28"/>
          <w:szCs w:val="28"/>
        </w:rPr>
        <w:t>”</w:t>
      </w:r>
      <w:r w:rsidRPr="000149EE">
        <w:rPr>
          <w:rFonts w:ascii="Times New Roman" w:hAnsi="Times New Roman" w:cs="Times New Roman"/>
          <w:bCs/>
          <w:iCs/>
          <w:sz w:val="28"/>
          <w:szCs w:val="28"/>
        </w:rPr>
        <w:t>. Esto</w:t>
      </w:r>
      <w:r w:rsidRPr="000149EE">
        <w:rPr>
          <w:rFonts w:ascii="Times New Roman" w:hAnsi="Times New Roman" w:cs="Times New Roman"/>
          <w:sz w:val="28"/>
          <w:szCs w:val="28"/>
        </w:rPr>
        <w:t xml:space="preserve"> generaba “una competencia desigual [frente] a compañías qu</w:t>
      </w:r>
      <w:r w:rsidRPr="000149EE">
        <w:rPr>
          <w:rFonts w:ascii="Times New Roman" w:hAnsi="Times New Roman" w:cs="Times New Roman"/>
          <w:sz w:val="28"/>
          <w:szCs w:val="28"/>
        </w:rPr>
        <w:t>e, al estar por fuera del régimen, pagan la tarifa general del 35%, vale decir 15% más que las compañías ubicadas en zona franca”</w:t>
      </w:r>
      <w:r w:rsidRPr="000149EE">
        <w:rPr>
          <w:rStyle w:val="Refdenotaalpie"/>
          <w:rFonts w:ascii="Times New Roman" w:hAnsi="Times New Roman" w:cs="Times New Roman"/>
          <w:sz w:val="28"/>
          <w:szCs w:val="28"/>
        </w:rPr>
        <w:footnoteReference w:id="101"/>
      </w:r>
      <w:r w:rsidRPr="000149EE">
        <w:rPr>
          <w:rFonts w:ascii="Times New Roman" w:hAnsi="Times New Roman" w:cs="Times New Roman"/>
          <w:sz w:val="28"/>
          <w:szCs w:val="28"/>
        </w:rPr>
        <w:t xml:space="preserve">. </w:t>
      </w:r>
      <w:r w:rsidRPr="000149EE">
        <w:rPr>
          <w:rFonts w:ascii="Times New Roman" w:hAnsi="Times New Roman" w:cs="Times New Roman"/>
          <w:bCs/>
          <w:sz w:val="28"/>
          <w:szCs w:val="28"/>
        </w:rPr>
        <w:t>El informe de</w:t>
      </w:r>
      <w:r w:rsidRPr="000149EE">
        <w:rPr>
          <w:rFonts w:ascii="Times New Roman" w:hAnsi="Times New Roman" w:cs="Times New Roman"/>
          <w:bCs/>
          <w:sz w:val="28"/>
          <w:szCs w:val="28"/>
        </w:rPr>
        <w:t xml:space="preserve"> la</w:t>
      </w:r>
      <w:r w:rsidRPr="000149EE">
        <w:rPr>
          <w:rFonts w:ascii="Times New Roman" w:hAnsi="Times New Roman" w:cs="Times New Roman"/>
          <w:bCs/>
          <w:sz w:val="28"/>
          <w:szCs w:val="28"/>
        </w:rPr>
        <w:t xml:space="preserve"> Comisión de Expertos en Beneficios Tributarios de 2021 consideró que la posibilidad de que los usuarios ind</w:t>
      </w:r>
      <w:r w:rsidRPr="000149EE">
        <w:rPr>
          <w:rFonts w:ascii="Times New Roman" w:hAnsi="Times New Roman" w:cs="Times New Roman"/>
          <w:bCs/>
          <w:sz w:val="28"/>
          <w:szCs w:val="28"/>
        </w:rPr>
        <w:t>ustriales sin vocación de exportación se beneficiaran de la tarifa preferencial del impuesto a la renta genera</w:t>
      </w:r>
      <w:r w:rsidRPr="000149EE">
        <w:rPr>
          <w:rFonts w:ascii="Times New Roman" w:hAnsi="Times New Roman" w:cs="Times New Roman"/>
          <w:bCs/>
          <w:sz w:val="28"/>
          <w:szCs w:val="28"/>
        </w:rPr>
        <w:t>ba</w:t>
      </w:r>
      <w:r w:rsidRPr="000149EE">
        <w:rPr>
          <w:rFonts w:ascii="Times New Roman" w:hAnsi="Times New Roman" w:cs="Times New Roman"/>
          <w:bCs/>
          <w:sz w:val="28"/>
          <w:szCs w:val="28"/>
        </w:rPr>
        <w:t xml:space="preserve"> una distribución inequitativa de cargas tributarias que recomendaba corregir</w:t>
      </w:r>
      <w:r w:rsidRPr="000149EE">
        <w:rPr>
          <w:rStyle w:val="Refdenotaalpie"/>
          <w:rFonts w:ascii="Times New Roman" w:hAnsi="Times New Roman" w:cs="Times New Roman"/>
          <w:bCs/>
          <w:sz w:val="28"/>
          <w:szCs w:val="28"/>
        </w:rPr>
        <w:footnoteReference w:id="102"/>
      </w:r>
      <w:r w:rsidRPr="000149EE">
        <w:rPr>
          <w:rFonts w:ascii="Times New Roman" w:hAnsi="Times New Roman" w:cs="Times New Roman"/>
          <w:bCs/>
          <w:sz w:val="28"/>
          <w:szCs w:val="28"/>
        </w:rPr>
        <w:t xml:space="preserve">. </w:t>
      </w:r>
      <w:r w:rsidRPr="000149EE">
        <w:rPr>
          <w:rFonts w:ascii="Times New Roman" w:hAnsi="Times New Roman" w:cs="Times New Roman"/>
          <w:bCs/>
          <w:sz w:val="28"/>
          <w:szCs w:val="28"/>
        </w:rPr>
        <w:t xml:space="preserve">En tales términos, al </w:t>
      </w:r>
      <w:r w:rsidRPr="000149EE">
        <w:rPr>
          <w:rFonts w:ascii="Times New Roman" w:hAnsi="Times New Roman" w:cs="Times New Roman"/>
          <w:bCs/>
          <w:i/>
          <w:iCs/>
          <w:sz w:val="28"/>
          <w:szCs w:val="28"/>
        </w:rPr>
        <w:t>(i)</w:t>
      </w:r>
      <w:r w:rsidRPr="000149EE">
        <w:rPr>
          <w:rFonts w:ascii="Times New Roman" w:hAnsi="Times New Roman" w:cs="Times New Roman"/>
          <w:bCs/>
          <w:sz w:val="28"/>
          <w:szCs w:val="28"/>
        </w:rPr>
        <w:t xml:space="preserve"> condicionar la aplicación de la tarifa</w:t>
      </w:r>
      <w:r w:rsidRPr="000149EE">
        <w:rPr>
          <w:rFonts w:ascii="Times New Roman" w:hAnsi="Times New Roman" w:cs="Times New Roman"/>
          <w:bCs/>
          <w:sz w:val="28"/>
          <w:szCs w:val="28"/>
        </w:rPr>
        <w:t xml:space="preserve"> preferencial a la suscripción del PIAV y </w:t>
      </w:r>
      <w:r w:rsidRPr="000149EE">
        <w:rPr>
          <w:rFonts w:ascii="Times New Roman" w:hAnsi="Times New Roman" w:cs="Times New Roman"/>
          <w:bCs/>
          <w:i/>
          <w:iCs/>
          <w:sz w:val="28"/>
          <w:szCs w:val="28"/>
        </w:rPr>
        <w:t>(ii)</w:t>
      </w:r>
      <w:r w:rsidRPr="000149EE">
        <w:rPr>
          <w:rFonts w:ascii="Times New Roman" w:hAnsi="Times New Roman" w:cs="Times New Roman"/>
          <w:bCs/>
          <w:sz w:val="28"/>
          <w:szCs w:val="28"/>
        </w:rPr>
        <w:t xml:space="preserve"> disponer que esta tarifa sólo aplicaría a los ingresos provenientes de operaciones de exportación, el </w:t>
      </w:r>
      <w:r w:rsidRPr="000149EE">
        <w:rPr>
          <w:rFonts w:ascii="Times New Roman" w:hAnsi="Times New Roman" w:cs="Times New Roman"/>
          <w:bCs/>
          <w:sz w:val="28"/>
          <w:szCs w:val="28"/>
        </w:rPr>
        <w:t>legislador</w:t>
      </w:r>
      <w:r w:rsidRPr="000149EE">
        <w:rPr>
          <w:rFonts w:ascii="Times New Roman" w:hAnsi="Times New Roman" w:cs="Times New Roman"/>
          <w:bCs/>
          <w:sz w:val="28"/>
          <w:szCs w:val="28"/>
        </w:rPr>
        <w:t xml:space="preserve"> buscaba eliminar el beneficio tributario para los usuarios que no</w:t>
      </w:r>
      <w:r w:rsidRPr="000149EE">
        <w:rPr>
          <w:rFonts w:ascii="Times New Roman" w:hAnsi="Times New Roman" w:cs="Times New Roman"/>
          <w:bCs/>
          <w:sz w:val="28"/>
          <w:szCs w:val="28"/>
        </w:rPr>
        <w:t xml:space="preserve"> exportan </w:t>
      </w:r>
      <w:r w:rsidRPr="000149EE">
        <w:rPr>
          <w:rFonts w:ascii="Times New Roman" w:hAnsi="Times New Roman" w:cs="Times New Roman"/>
          <w:bCs/>
          <w:sz w:val="28"/>
          <w:szCs w:val="28"/>
        </w:rPr>
        <w:t>y, de esta forma, cor</w:t>
      </w:r>
      <w:r w:rsidRPr="000149EE">
        <w:rPr>
          <w:rFonts w:ascii="Times New Roman" w:hAnsi="Times New Roman" w:cs="Times New Roman"/>
          <w:bCs/>
          <w:sz w:val="28"/>
          <w:szCs w:val="28"/>
        </w:rPr>
        <w:t xml:space="preserve">regir la asimetría tributaria identificada. </w:t>
      </w:r>
    </w:p>
    <w:p w:rsidR="00983CE3" w:rsidRPr="000149EE" w:rsidRDefault="000149EE" w:rsidP="001A47E2">
      <w:pPr>
        <w:rPr>
          <w:rFonts w:ascii="Times New Roman" w:hAnsi="Times New Roman" w:cs="Times New Roman"/>
          <w:sz w:val="28"/>
          <w:szCs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Como se expuso, en la sentencia C-384 de 2023 la Corte Constitucional precisó que la modificación a la tarifa del impuesto sobre la renta que </w:t>
      </w:r>
      <w:r w:rsidRPr="000149EE">
        <w:rPr>
          <w:rFonts w:ascii="Times New Roman" w:hAnsi="Times New Roman" w:cs="Times New Roman"/>
          <w:sz w:val="28"/>
          <w:szCs w:val="28"/>
        </w:rPr>
        <w:t xml:space="preserve">previó </w:t>
      </w:r>
      <w:r w:rsidRPr="000149EE">
        <w:rPr>
          <w:rFonts w:ascii="Times New Roman" w:hAnsi="Times New Roman" w:cs="Times New Roman"/>
          <w:sz w:val="28"/>
          <w:szCs w:val="28"/>
        </w:rPr>
        <w:t xml:space="preserve">el artículo 11 de la Ley 2277 de 2022 solo tendría efectos </w:t>
      </w:r>
      <w:r w:rsidRPr="000149EE">
        <w:rPr>
          <w:rFonts w:ascii="Times New Roman" w:hAnsi="Times New Roman" w:cs="Times New Roman"/>
          <w:sz w:val="28"/>
          <w:szCs w:val="28"/>
        </w:rPr>
        <w:t>hacia el futuro. En concreto, dicha sentencia condicionó la exequibilidad de los numerales 1, 2 y 3 y el parágrafo 6 del artículo 11 de la Ley 2277 de 2022, en el entendido de que “el régimen tarifario del artículo 101 de la Ley 1819 de 2016 continuará rig</w:t>
      </w:r>
      <w:r w:rsidRPr="000149EE">
        <w:rPr>
          <w:rFonts w:ascii="Times New Roman" w:hAnsi="Times New Roman" w:cs="Times New Roman"/>
          <w:sz w:val="28"/>
          <w:szCs w:val="28"/>
        </w:rPr>
        <w:t xml:space="preserve">iendo para los contribuyentes que hubiesen cumplido las condiciones para acceder al mismo antes del 13 de diciembre de 2022, fecha de entrada en vigor de la Ley 2277 de 2022”. De esta manera, las referidas disposiciones del artículo 11 no tendrían efectos </w:t>
      </w:r>
      <w:r w:rsidRPr="000149EE">
        <w:rPr>
          <w:rFonts w:ascii="Times New Roman" w:hAnsi="Times New Roman" w:cs="Times New Roman"/>
          <w:sz w:val="28"/>
          <w:szCs w:val="28"/>
        </w:rPr>
        <w:t>para los usuarios industriales que cumplieron las condiciones para acceder al régimen tributario especial de zonas francas antes del 13 de diciembre de 2022. Para estos sujetos, el régimen que preveía la Ley 1819 de 2016 continuar</w:t>
      </w:r>
      <w:r w:rsidRPr="000149EE">
        <w:rPr>
          <w:rFonts w:ascii="Times New Roman" w:hAnsi="Times New Roman" w:cs="Times New Roman"/>
          <w:sz w:val="28"/>
          <w:szCs w:val="28"/>
        </w:rPr>
        <w:t>ía</w:t>
      </w:r>
      <w:r w:rsidRPr="000149EE">
        <w:rPr>
          <w:rFonts w:ascii="Times New Roman" w:hAnsi="Times New Roman" w:cs="Times New Roman"/>
          <w:sz w:val="28"/>
          <w:szCs w:val="28"/>
        </w:rPr>
        <w:t xml:space="preserve"> surtiendo efectos</w:t>
      </w:r>
      <w:r w:rsidRPr="000149EE">
        <w:rPr>
          <w:rStyle w:val="Refdenotaalpie"/>
          <w:rFonts w:ascii="Times New Roman" w:hAnsi="Times New Roman" w:cs="Times New Roman"/>
          <w:sz w:val="28"/>
          <w:szCs w:val="28"/>
        </w:rPr>
        <w:footnoteReference w:id="103"/>
      </w:r>
      <w:r w:rsidRPr="000149EE">
        <w:rPr>
          <w:rFonts w:ascii="Times New Roman" w:hAnsi="Times New Roman" w:cs="Times New Roman"/>
          <w:sz w:val="28"/>
          <w:szCs w:val="28"/>
        </w:rPr>
        <w:t>.</w:t>
      </w:r>
    </w:p>
    <w:p w:rsidR="00983CE3" w:rsidRPr="000149EE" w:rsidRDefault="000149EE" w:rsidP="001A47E2">
      <w:pPr>
        <w:rPr>
          <w:rFonts w:ascii="Times New Roman" w:hAnsi="Times New Roman" w:cs="Times New Roman"/>
          <w:sz w:val="28"/>
          <w:szCs w:val="28"/>
        </w:rPr>
      </w:pPr>
    </w:p>
    <w:p w:rsidR="00983CE3"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En</w:t>
      </w:r>
      <w:r w:rsidRPr="000149EE">
        <w:rPr>
          <w:rFonts w:ascii="Times New Roman" w:hAnsi="Times New Roman" w:cs="Times New Roman"/>
          <w:sz w:val="28"/>
          <w:szCs w:val="28"/>
        </w:rPr>
        <w:t xml:space="preserve"> virtud de la sentencia C-384 de 2023, actualmente existen dos regímenes tarifarios vigentes sobre el impuesto a la renta de los usuarios industriales de zona franca: </w:t>
      </w:r>
    </w:p>
    <w:p w:rsidR="00983CE3" w:rsidRPr="000149EE" w:rsidRDefault="000149EE" w:rsidP="001A47E2">
      <w:pPr>
        <w:rPr>
          <w:rFonts w:ascii="Times New Roman" w:hAnsi="Times New Roman" w:cs="Times New Roman"/>
          <w:sz w:val="28"/>
          <w:szCs w:val="28"/>
        </w:rPr>
      </w:pPr>
    </w:p>
    <w:p w:rsidR="009D4F8D"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sz w:val="28"/>
          <w:szCs w:val="28"/>
          <w:u w:val="single"/>
        </w:rPr>
        <w:t>Régimen tarifario 1</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el régimen</w:t>
      </w:r>
      <w:r w:rsidRPr="000149EE">
        <w:rPr>
          <w:rFonts w:ascii="Times New Roman" w:hAnsi="Times New Roman" w:cs="Times New Roman"/>
          <w:sz w:val="28"/>
          <w:szCs w:val="28"/>
        </w:rPr>
        <w:t xml:space="preserve"> previst</w:t>
      </w:r>
      <w:r w:rsidRPr="000149EE">
        <w:rPr>
          <w:rFonts w:ascii="Times New Roman" w:hAnsi="Times New Roman" w:cs="Times New Roman"/>
          <w:sz w:val="28"/>
          <w:szCs w:val="28"/>
        </w:rPr>
        <w:t>o</w:t>
      </w:r>
      <w:r w:rsidRPr="000149EE">
        <w:rPr>
          <w:rFonts w:ascii="Times New Roman" w:hAnsi="Times New Roman" w:cs="Times New Roman"/>
          <w:sz w:val="28"/>
          <w:szCs w:val="28"/>
        </w:rPr>
        <w:t xml:space="preserve"> en el inciso 1º del artículo 101 de la Ley 181</w:t>
      </w:r>
      <w:r w:rsidRPr="000149EE">
        <w:rPr>
          <w:rFonts w:ascii="Times New Roman" w:hAnsi="Times New Roman" w:cs="Times New Roman"/>
          <w:sz w:val="28"/>
          <w:szCs w:val="28"/>
        </w:rPr>
        <w:t xml:space="preserve">9 de 2016, conforme a la cual </w:t>
      </w:r>
      <w:r w:rsidRPr="000149EE">
        <w:rPr>
          <w:rFonts w:ascii="Times New Roman" w:hAnsi="Times New Roman" w:cs="Times New Roman"/>
          <w:sz w:val="28"/>
          <w:szCs w:val="28"/>
        </w:rPr>
        <w:t>“a partir del 1o de enero de 2017, la tarifa del impuesto sobre la renta y complementarios para las personas jurídicas que sean usuarios de zona franca será del 20%”</w:t>
      </w:r>
      <w:r w:rsidRPr="000149EE">
        <w:rPr>
          <w:rFonts w:ascii="Times New Roman" w:hAnsi="Times New Roman" w:cs="Times New Roman"/>
          <w:sz w:val="28"/>
          <w:szCs w:val="28"/>
        </w:rPr>
        <w:t>. Est</w:t>
      </w:r>
      <w:r w:rsidRPr="000149EE">
        <w:rPr>
          <w:rFonts w:ascii="Times New Roman" w:hAnsi="Times New Roman" w:cs="Times New Roman"/>
          <w:sz w:val="28"/>
          <w:szCs w:val="28"/>
        </w:rPr>
        <w:t>e</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régimen</w:t>
      </w:r>
      <w:r w:rsidRPr="000149EE">
        <w:rPr>
          <w:rFonts w:ascii="Times New Roman" w:hAnsi="Times New Roman" w:cs="Times New Roman"/>
          <w:sz w:val="28"/>
          <w:szCs w:val="28"/>
        </w:rPr>
        <w:t xml:space="preserve"> aplica a los usuarios de zona franca que, ante</w:t>
      </w:r>
      <w:r w:rsidRPr="000149EE">
        <w:rPr>
          <w:rFonts w:ascii="Times New Roman" w:hAnsi="Times New Roman" w:cs="Times New Roman"/>
          <w:sz w:val="28"/>
          <w:szCs w:val="28"/>
        </w:rPr>
        <w:t xml:space="preserve">s de la entrada en vigor de la Ley 2277 de 2022, hubiesen cumplido las condiciones para acceder a la tarifa preferencial del impuesto a la renta. </w:t>
      </w:r>
    </w:p>
    <w:p w:rsidR="00983CE3" w:rsidRPr="000149EE" w:rsidRDefault="000149EE" w:rsidP="009D4F8D">
      <w:pPr>
        <w:numPr>
          <w:ilvl w:val="1"/>
          <w:numId w:val="3"/>
        </w:numPr>
        <w:tabs>
          <w:tab w:val="left" w:pos="567"/>
        </w:tabs>
        <w:ind w:left="851" w:hanging="650"/>
        <w:rPr>
          <w:rFonts w:ascii="Times New Roman" w:hAnsi="Times New Roman" w:cs="Times New Roman"/>
          <w:sz w:val="28"/>
          <w:szCs w:val="28"/>
        </w:rPr>
      </w:pPr>
      <w:r w:rsidRPr="000149EE">
        <w:rPr>
          <w:rFonts w:ascii="Times New Roman" w:hAnsi="Times New Roman" w:cs="Times New Roman"/>
          <w:sz w:val="28"/>
          <w:szCs w:val="28"/>
          <w:u w:val="single"/>
        </w:rPr>
        <w:t>Régimen tarifario 2</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el sistema mixto de dos tarifas previsto en el artículo 11 de la Ley 2277 de 2022, que a</w:t>
      </w:r>
      <w:r w:rsidRPr="000149EE">
        <w:rPr>
          <w:rFonts w:ascii="Times New Roman" w:hAnsi="Times New Roman" w:cs="Times New Roman"/>
          <w:sz w:val="28"/>
          <w:szCs w:val="28"/>
        </w:rPr>
        <w:t>plica en función del origen de las rentas objeto de gravamen, así como de la suscripción y cumplimiento del PIAV. El numeral 1º dispone que a los ingresos provenientes de la exportación de bienes y servicios les aplicará una tarifa del 20%. Por su parte, e</w:t>
      </w:r>
      <w:r w:rsidRPr="000149EE">
        <w:rPr>
          <w:rFonts w:ascii="Times New Roman" w:hAnsi="Times New Roman" w:cs="Times New Roman"/>
          <w:sz w:val="28"/>
          <w:szCs w:val="28"/>
        </w:rPr>
        <w:t>l numeral 2º dispone que a los ingresos que no provengan de operaciones de exportación les aplicará la tarifa general del impuesto para las personas jurídicas, que asciende a 35%. Conforme al parágrafo 6º, sólo podrán acceder a la tarifa preferencial del 2</w:t>
      </w:r>
      <w:r w:rsidRPr="000149EE">
        <w:rPr>
          <w:rFonts w:ascii="Times New Roman" w:hAnsi="Times New Roman" w:cs="Times New Roman"/>
          <w:sz w:val="28"/>
          <w:szCs w:val="28"/>
        </w:rPr>
        <w:t>0% los usuarios industriales de zona franca que</w:t>
      </w:r>
      <w:r w:rsidRPr="000149EE">
        <w:rPr>
          <w:rFonts w:ascii="Times New Roman" w:hAnsi="Times New Roman" w:cs="Times New Roman"/>
          <w:bCs/>
          <w:iCs/>
          <w:sz w:val="28"/>
          <w:szCs w:val="28"/>
        </w:rPr>
        <w:t xml:space="preserve"> suscriban y cumplan el PIAV</w:t>
      </w:r>
      <w:r w:rsidRPr="000149EE">
        <w:rPr>
          <w:rFonts w:ascii="Times New Roman" w:hAnsi="Times New Roman" w:cs="Times New Roman"/>
          <w:sz w:val="28"/>
          <w:szCs w:val="28"/>
        </w:rPr>
        <w:t>.</w:t>
      </w:r>
    </w:p>
    <w:p w:rsidR="00983CE3" w:rsidRPr="000149EE" w:rsidRDefault="000149EE" w:rsidP="001A47E2">
      <w:pPr>
        <w:widowControl w:val="0"/>
        <w:tabs>
          <w:tab w:val="left" w:pos="851"/>
        </w:tabs>
        <w:rPr>
          <w:rFonts w:ascii="Times New Roman" w:hAnsi="Times New Roman" w:cs="Times New Roman"/>
          <w:sz w:val="28"/>
          <w:szCs w:val="28"/>
        </w:rPr>
      </w:pPr>
    </w:p>
    <w:p w:rsidR="00492494"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La demandante sostiene que el régimen tarifario 2 </w:t>
      </w:r>
      <w:r w:rsidRPr="000149EE">
        <w:rPr>
          <w:rFonts w:ascii="Times New Roman" w:hAnsi="Times New Roman" w:cs="Times New Roman"/>
          <w:i/>
          <w:iCs/>
          <w:sz w:val="28"/>
          <w:szCs w:val="28"/>
        </w:rPr>
        <w:t>supra</w:t>
      </w:r>
      <w:r w:rsidRPr="000149EE">
        <w:rPr>
          <w:rFonts w:ascii="Times New Roman" w:hAnsi="Times New Roman" w:cs="Times New Roman"/>
          <w:sz w:val="28"/>
          <w:szCs w:val="28"/>
        </w:rPr>
        <w:t xml:space="preserve"> es inequitativ</w:t>
      </w:r>
      <w:r w:rsidRPr="000149EE">
        <w:rPr>
          <w:rFonts w:ascii="Times New Roman" w:hAnsi="Times New Roman" w:cs="Times New Roman"/>
          <w:sz w:val="28"/>
          <w:szCs w:val="28"/>
        </w:rPr>
        <w:t>o</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porque otorga a los usuarios industriales de zona franca con vocación exportadora un beneficio tributario</w:t>
      </w:r>
      <w:r w:rsidRPr="000149EE">
        <w:rPr>
          <w:rFonts w:ascii="Times New Roman" w:hAnsi="Times New Roman" w:cs="Times New Roman"/>
          <w:sz w:val="28"/>
          <w:szCs w:val="28"/>
        </w:rPr>
        <w:t xml:space="preserve"> (la tarifa preferencial prevista en el numeral 1º) al que no pueden acceder los usuarios que no exportan. En tales términos, a continuación, la Sala Plena se referirá al margen de configuración del legislador en materia impositiva, así como</w:t>
      </w:r>
      <w:r w:rsidRPr="000149EE">
        <w:rPr>
          <w:rFonts w:ascii="Times New Roman" w:hAnsi="Times New Roman" w:cs="Times New Roman"/>
          <w:sz w:val="28"/>
          <w:szCs w:val="28"/>
        </w:rPr>
        <w:t xml:space="preserve"> a</w:t>
      </w:r>
      <w:r w:rsidRPr="000149EE">
        <w:rPr>
          <w:rFonts w:ascii="Times New Roman" w:hAnsi="Times New Roman" w:cs="Times New Roman"/>
          <w:sz w:val="28"/>
          <w:szCs w:val="28"/>
        </w:rPr>
        <w:t xml:space="preserve"> los principios de igualdad y equidad tributaria, los cuales constituyen límites a dicho margen.</w:t>
      </w:r>
    </w:p>
    <w:p w:rsidR="00492494" w:rsidRPr="000149EE" w:rsidRDefault="000149EE" w:rsidP="001A47E2">
      <w:pPr>
        <w:widowControl w:val="0"/>
        <w:rPr>
          <w:rFonts w:ascii="Times New Roman" w:hAnsi="Times New Roman" w:cs="Times New Roman"/>
          <w:sz w:val="28"/>
          <w:szCs w:val="28"/>
        </w:rPr>
      </w:pPr>
    </w:p>
    <w:p w:rsidR="00983CE3" w:rsidRPr="000149EE" w:rsidRDefault="000149EE" w:rsidP="00273467">
      <w:pPr>
        <w:pStyle w:val="Ttulo2"/>
        <w:numPr>
          <w:ilvl w:val="1"/>
          <w:numId w:val="7"/>
        </w:numPr>
        <w:ind w:hanging="650"/>
        <w:rPr>
          <w:rFonts w:ascii="Times New Roman" w:hAnsi="Times New Roman" w:cs="Times New Roman"/>
          <w:bCs/>
          <w:sz w:val="28"/>
          <w:szCs w:val="28"/>
        </w:rPr>
      </w:pPr>
      <w:r w:rsidRPr="000149EE">
        <w:rPr>
          <w:rFonts w:ascii="Times New Roman" w:hAnsi="Times New Roman" w:cs="Times New Roman"/>
          <w:bCs/>
          <w:sz w:val="28"/>
          <w:szCs w:val="28"/>
        </w:rPr>
        <w:t>El amplio margen de configuración legislativa en materia tributaria. Contenido y límites constitucionales. Reiteración de jurisprudencia</w:t>
      </w:r>
    </w:p>
    <w:p w:rsidR="00495B82" w:rsidRPr="000149EE" w:rsidRDefault="000149EE" w:rsidP="001A47E2">
      <w:pPr>
        <w:rPr>
          <w:rFonts w:ascii="Times New Roman" w:hAnsi="Times New Roman" w:cs="Times New Roman"/>
          <w:sz w:val="28"/>
          <w:szCs w:val="28"/>
        </w:rPr>
      </w:pPr>
    </w:p>
    <w:p w:rsidR="00495B82" w:rsidRPr="000149EE" w:rsidRDefault="000149EE" w:rsidP="00273467">
      <w:pPr>
        <w:pStyle w:val="Prrafodelista"/>
        <w:widowControl w:val="0"/>
        <w:numPr>
          <w:ilvl w:val="0"/>
          <w:numId w:val="17"/>
        </w:numPr>
        <w:spacing w:line="240" w:lineRule="auto"/>
        <w:ind w:left="851"/>
        <w:rPr>
          <w:rFonts w:ascii="Times New Roman" w:hAnsi="Times New Roman"/>
          <w:sz w:val="28"/>
        </w:rPr>
      </w:pPr>
      <w:r w:rsidRPr="000149EE">
        <w:rPr>
          <w:rFonts w:ascii="Times New Roman" w:hAnsi="Times New Roman"/>
          <w:b/>
          <w:bCs/>
          <w:sz w:val="28"/>
        </w:rPr>
        <w:t xml:space="preserve">Fundamento </w:t>
      </w:r>
      <w:r w:rsidRPr="000149EE">
        <w:rPr>
          <w:rFonts w:ascii="Times New Roman" w:hAnsi="Times New Roman"/>
          <w:b/>
          <w:bCs/>
          <w:sz w:val="28"/>
        </w:rPr>
        <w:t>constitucional y contenido</w:t>
      </w:r>
    </w:p>
    <w:p w:rsidR="0045349C" w:rsidRPr="000149EE" w:rsidRDefault="000149EE" w:rsidP="001A47E2">
      <w:pPr>
        <w:pStyle w:val="Prrafodelista"/>
        <w:widowControl w:val="0"/>
        <w:spacing w:line="240" w:lineRule="auto"/>
        <w:ind w:left="0"/>
        <w:rPr>
          <w:rFonts w:ascii="Times New Roman" w:hAnsi="Times New Roman"/>
          <w:b/>
          <w:bCs/>
          <w:sz w:val="28"/>
        </w:rPr>
      </w:pPr>
    </w:p>
    <w:p w:rsidR="00596F41"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 xml:space="preserve">Los artículos 150.12, 154 y 338 de la Constitución Política conceden al </w:t>
      </w:r>
      <w:r w:rsidRPr="000149EE">
        <w:rPr>
          <w:rFonts w:ascii="Times New Roman" w:hAnsi="Times New Roman" w:cs="Times New Roman"/>
          <w:iCs/>
          <w:sz w:val="28"/>
          <w:szCs w:val="28"/>
        </w:rPr>
        <w:t>Congreso de la República “una amplia competencia para establecer impuestos, para determinar quiénes habrán de pagarlos y para decidir, según su libre apreci</w:t>
      </w:r>
      <w:r w:rsidRPr="000149EE">
        <w:rPr>
          <w:rFonts w:ascii="Times New Roman" w:hAnsi="Times New Roman" w:cs="Times New Roman"/>
          <w:iCs/>
          <w:sz w:val="28"/>
          <w:szCs w:val="28"/>
        </w:rPr>
        <w:t>ación, cuáles serán los casos de exención o exclusión aplicables”</w:t>
      </w:r>
      <w:r w:rsidRPr="000149EE">
        <w:rPr>
          <w:rStyle w:val="Refdenotaalpie"/>
          <w:rFonts w:ascii="Times New Roman" w:eastAsiaTheme="majorEastAsia" w:hAnsi="Times New Roman" w:cs="Times New Roman"/>
          <w:iCs/>
          <w:sz w:val="28"/>
          <w:szCs w:val="28"/>
        </w:rPr>
        <w:footnoteReference w:id="104"/>
      </w:r>
      <w:r w:rsidRPr="000149EE">
        <w:rPr>
          <w:rFonts w:ascii="Times New Roman" w:hAnsi="Times New Roman" w:cs="Times New Roman"/>
          <w:iCs/>
          <w:sz w:val="28"/>
          <w:szCs w:val="28"/>
        </w:rPr>
        <w:t xml:space="preserve">. </w:t>
      </w:r>
      <w:r w:rsidRPr="000149EE">
        <w:rPr>
          <w:rFonts w:ascii="Times New Roman" w:hAnsi="Times New Roman" w:cs="Times New Roman"/>
          <w:sz w:val="28"/>
          <w:szCs w:val="28"/>
        </w:rPr>
        <w:t xml:space="preserve">El amplio margen de libertad de configuración normativa permite al </w:t>
      </w:r>
      <w:r w:rsidRPr="000149EE">
        <w:rPr>
          <w:rFonts w:ascii="Times New Roman" w:hAnsi="Times New Roman" w:cs="Times New Roman"/>
          <w:sz w:val="28"/>
          <w:szCs w:val="28"/>
        </w:rPr>
        <w:t>L</w:t>
      </w:r>
      <w:r w:rsidRPr="000149EE">
        <w:rPr>
          <w:rFonts w:ascii="Times New Roman" w:hAnsi="Times New Roman" w:cs="Times New Roman"/>
          <w:sz w:val="28"/>
          <w:szCs w:val="28"/>
        </w:rPr>
        <w:t>egislador “determinar la clase de tributo a imponer, los sujetos activos y pasivos de la obligación, el señalamiento del</w:t>
      </w:r>
      <w:r w:rsidRPr="000149EE">
        <w:rPr>
          <w:rFonts w:ascii="Times New Roman" w:hAnsi="Times New Roman" w:cs="Times New Roman"/>
          <w:sz w:val="28"/>
          <w:szCs w:val="28"/>
        </w:rPr>
        <w:t xml:space="preserve"> hecho y la base gravable, las tarifas aplicables, la fecha a partir de la cual se iniciará su cobro, así como la forma de recaudo [y] las condiciones en que ello se llevará a cabo”</w:t>
      </w:r>
      <w:r w:rsidRPr="000149EE">
        <w:rPr>
          <w:rStyle w:val="Refdenotaalpie"/>
          <w:rFonts w:ascii="Times New Roman" w:eastAsiaTheme="majorEastAsia" w:hAnsi="Times New Roman" w:cs="Times New Roman"/>
          <w:sz w:val="28"/>
          <w:szCs w:val="28"/>
        </w:rPr>
        <w:footnoteReference w:id="105"/>
      </w:r>
      <w:r w:rsidRPr="000149EE">
        <w:rPr>
          <w:rFonts w:ascii="Times New Roman" w:hAnsi="Times New Roman" w:cs="Times New Roman"/>
          <w:sz w:val="28"/>
          <w:szCs w:val="28"/>
        </w:rPr>
        <w:t>.</w:t>
      </w:r>
      <w:r w:rsidRPr="000149EE">
        <w:rPr>
          <w:rFonts w:ascii="Times New Roman" w:hAnsi="Times New Roman" w:cs="Times New Roman"/>
          <w:i/>
          <w:sz w:val="28"/>
          <w:szCs w:val="28"/>
        </w:rPr>
        <w:t xml:space="preserve"> </w:t>
      </w:r>
      <w:r w:rsidRPr="000149EE">
        <w:rPr>
          <w:rFonts w:ascii="Times New Roman" w:hAnsi="Times New Roman" w:cs="Times New Roman"/>
          <w:iCs/>
          <w:sz w:val="28"/>
          <w:szCs w:val="28"/>
        </w:rPr>
        <w:t xml:space="preserve">Al ejercerlo, el legislador deberá </w:t>
      </w:r>
      <w:r w:rsidRPr="000149EE">
        <w:rPr>
          <w:rFonts w:ascii="Times New Roman" w:hAnsi="Times New Roman" w:cs="Times New Roman"/>
          <w:sz w:val="28"/>
          <w:szCs w:val="28"/>
        </w:rPr>
        <w:t xml:space="preserve">“guiarse por sus propios criterios y </w:t>
      </w:r>
      <w:r w:rsidRPr="000149EE">
        <w:rPr>
          <w:rFonts w:ascii="Times New Roman" w:hAnsi="Times New Roman" w:cs="Times New Roman"/>
          <w:sz w:val="28"/>
          <w:szCs w:val="28"/>
        </w:rPr>
        <w:t>orientaciones, atendiendo la realidad social y evaluando razones de conveniencia, necesidad, justicia, equidad e igualdad”</w:t>
      </w:r>
      <w:r w:rsidRPr="000149EE">
        <w:rPr>
          <w:rStyle w:val="Refdenotaalpie"/>
          <w:rFonts w:ascii="Times New Roman" w:eastAsiaTheme="majorEastAsia" w:hAnsi="Times New Roman" w:cs="Times New Roman"/>
          <w:sz w:val="28"/>
          <w:szCs w:val="28"/>
        </w:rPr>
        <w:footnoteReference w:id="106"/>
      </w:r>
      <w:r w:rsidRPr="000149EE">
        <w:rPr>
          <w:rFonts w:ascii="Times New Roman" w:hAnsi="Times New Roman" w:cs="Times New Roman"/>
          <w:sz w:val="28"/>
          <w:szCs w:val="28"/>
        </w:rPr>
        <w:t>.</w:t>
      </w:r>
      <w:r w:rsidRPr="000149EE">
        <w:rPr>
          <w:rFonts w:ascii="Times New Roman" w:hAnsi="Times New Roman" w:cs="Times New Roman"/>
          <w:i/>
          <w:sz w:val="28"/>
          <w:szCs w:val="28"/>
        </w:rPr>
        <w:t xml:space="preserve"> </w:t>
      </w:r>
    </w:p>
    <w:p w:rsidR="00596F41" w:rsidRPr="000149EE" w:rsidRDefault="000149EE" w:rsidP="001A47E2">
      <w:pPr>
        <w:pStyle w:val="Prrafodelista"/>
        <w:spacing w:line="240" w:lineRule="auto"/>
        <w:ind w:left="0"/>
        <w:rPr>
          <w:rFonts w:ascii="Times New Roman" w:hAnsi="Times New Roman"/>
          <w:sz w:val="28"/>
        </w:rPr>
      </w:pPr>
    </w:p>
    <w:p w:rsidR="00543819" w:rsidRPr="000149EE" w:rsidRDefault="000149EE" w:rsidP="009D4F8D">
      <w:pPr>
        <w:numPr>
          <w:ilvl w:val="0"/>
          <w:numId w:val="3"/>
        </w:numPr>
        <w:tabs>
          <w:tab w:val="left" w:pos="567"/>
        </w:tabs>
        <w:ind w:left="0" w:firstLine="0"/>
        <w:rPr>
          <w:rFonts w:ascii="Times New Roman" w:hAnsi="Times New Roman" w:cs="Times New Roman"/>
          <w:bCs/>
          <w:i/>
          <w:iCs/>
          <w:sz w:val="28"/>
          <w:szCs w:val="28"/>
        </w:rPr>
      </w:pPr>
      <w:r w:rsidRPr="000149EE">
        <w:rPr>
          <w:rFonts w:ascii="Times New Roman" w:hAnsi="Times New Roman" w:cs="Times New Roman"/>
          <w:sz w:val="28"/>
          <w:szCs w:val="28"/>
        </w:rPr>
        <w:t xml:space="preserve">La Corte Constitucional ha reiterado </w:t>
      </w:r>
      <w:r w:rsidRPr="000149EE">
        <w:rPr>
          <w:rFonts w:ascii="Times New Roman" w:hAnsi="Times New Roman" w:cs="Times New Roman"/>
          <w:sz w:val="28"/>
          <w:szCs w:val="28"/>
        </w:rPr>
        <w:t xml:space="preserve">que el </w:t>
      </w:r>
      <w:r w:rsidRPr="000149EE">
        <w:rPr>
          <w:rFonts w:ascii="Times New Roman" w:hAnsi="Times New Roman" w:cs="Times New Roman"/>
          <w:bCs/>
          <w:sz w:val="28"/>
          <w:szCs w:val="28"/>
        </w:rPr>
        <w:t xml:space="preserve">amplio margen de configuración del legislador en materia tributaria cobija la </w:t>
      </w:r>
      <w:r w:rsidRPr="000149EE">
        <w:rPr>
          <w:rFonts w:ascii="Times New Roman" w:hAnsi="Times New Roman" w:cs="Times New Roman"/>
          <w:bCs/>
          <w:sz w:val="28"/>
          <w:szCs w:val="28"/>
        </w:rPr>
        <w:t>facultad de conceder beneficios tributarios</w:t>
      </w:r>
      <w:r w:rsidRPr="000149EE">
        <w:rPr>
          <w:rStyle w:val="Refdenotaalpie"/>
          <w:rFonts w:ascii="Times New Roman" w:hAnsi="Times New Roman" w:cs="Times New Roman"/>
          <w:bCs/>
          <w:sz w:val="28"/>
          <w:szCs w:val="28"/>
        </w:rPr>
        <w:footnoteReference w:id="107"/>
      </w:r>
      <w:r w:rsidRPr="000149EE">
        <w:rPr>
          <w:rFonts w:ascii="Times New Roman" w:hAnsi="Times New Roman" w:cs="Times New Roman"/>
          <w:bCs/>
          <w:sz w:val="28"/>
          <w:szCs w:val="28"/>
        </w:rPr>
        <w:t>.</w:t>
      </w:r>
      <w:r w:rsidRPr="000149EE">
        <w:rPr>
          <w:rFonts w:ascii="Times New Roman" w:hAnsi="Times New Roman" w:cs="Times New Roman"/>
          <w:sz w:val="28"/>
          <w:szCs w:val="28"/>
          <w:lang w:eastAsia="es-MX"/>
        </w:rPr>
        <w:t xml:space="preserve"> </w:t>
      </w:r>
      <w:r w:rsidRPr="000149EE">
        <w:rPr>
          <w:rFonts w:ascii="Times New Roman" w:hAnsi="Times New Roman" w:cs="Times New Roman"/>
          <w:bCs/>
          <w:sz w:val="28"/>
          <w:szCs w:val="28"/>
        </w:rPr>
        <w:t>Los beneficios tributarios son aquellas disposiciones tributarias que tienen “esencialmente el propósito de colocar al sujeto o actividad destinataria de la misma, en una situación preferencial o de privilegio,</w:t>
      </w:r>
      <w:r w:rsidRPr="000149EE">
        <w:rPr>
          <w:rFonts w:ascii="Times New Roman" w:hAnsi="Times New Roman" w:cs="Times New Roman"/>
          <w:bCs/>
          <w:sz w:val="28"/>
          <w:szCs w:val="28"/>
        </w:rPr>
        <w:t xml:space="preserve"> con fines esencialmente extrafiscales”</w:t>
      </w:r>
      <w:r w:rsidRPr="000149EE">
        <w:rPr>
          <w:rFonts w:ascii="Times New Roman" w:hAnsi="Times New Roman" w:cs="Times New Roman"/>
          <w:bCs/>
          <w:sz w:val="28"/>
          <w:szCs w:val="28"/>
          <w:vertAlign w:val="superscript"/>
        </w:rPr>
        <w:footnoteReference w:id="108"/>
      </w:r>
      <w:r w:rsidRPr="000149EE">
        <w:rPr>
          <w:rFonts w:ascii="Times New Roman" w:hAnsi="Times New Roman" w:cs="Times New Roman"/>
          <w:bCs/>
          <w:sz w:val="28"/>
          <w:szCs w:val="28"/>
        </w:rPr>
        <w:t xml:space="preserve">. Estos incluyen, entre otros, las </w:t>
      </w:r>
      <w:r w:rsidRPr="000149EE">
        <w:rPr>
          <w:rFonts w:ascii="Times New Roman" w:hAnsi="Times New Roman" w:cs="Times New Roman"/>
          <w:bCs/>
          <w:sz w:val="28"/>
          <w:szCs w:val="28"/>
        </w:rPr>
        <w:t xml:space="preserve">exenciones, exclusiones y tarifas preferenciales para la liquidación de los impuestos. De acuerdo con la jurisprudencia constitucional, </w:t>
      </w:r>
      <w:r w:rsidRPr="000149EE">
        <w:rPr>
          <w:rFonts w:ascii="Times New Roman" w:hAnsi="Times New Roman" w:cs="Times New Roman"/>
          <w:bCs/>
          <w:sz w:val="28"/>
          <w:szCs w:val="28"/>
        </w:rPr>
        <w:t>los beneficios tributarios “</w:t>
      </w:r>
      <w:r w:rsidRPr="000149EE">
        <w:rPr>
          <w:rFonts w:ascii="Times New Roman" w:hAnsi="Times New Roman" w:cs="Times New Roman"/>
          <w:sz w:val="28"/>
          <w:szCs w:val="28"/>
        </w:rPr>
        <w:t>pueden estar insp</w:t>
      </w:r>
      <w:r w:rsidRPr="000149EE">
        <w:rPr>
          <w:rFonts w:ascii="Times New Roman" w:hAnsi="Times New Roman" w:cs="Times New Roman"/>
          <w:sz w:val="28"/>
          <w:szCs w:val="28"/>
        </w:rPr>
        <w:t xml:space="preserve">irados en razones diferentes, de orden tributario, económicas o sociales, tales como: </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(i) la recuperación y desarrollo de áreas geográficas deprimidas por desastres naturales o provocados por el hombre, (ii) el fortalecimiento patrimonial de las empresas </w:t>
      </w:r>
      <w:r w:rsidRPr="000149EE">
        <w:rPr>
          <w:rFonts w:ascii="Times New Roman" w:hAnsi="Times New Roman" w:cs="Times New Roman"/>
          <w:sz w:val="28"/>
          <w:szCs w:val="28"/>
        </w:rPr>
        <w:t>que ofrecen bienes o servicios de gran sensibilidad social, (iii) el incremento de la inversión en sectores vinculados a la generación de empleo masivo, (iv) la protección de ciertos ingresos laborales y de las prestaciones de la seguridad social, así como</w:t>
      </w:r>
      <w:r w:rsidRPr="000149EE">
        <w:rPr>
          <w:rFonts w:ascii="Times New Roman" w:hAnsi="Times New Roman" w:cs="Times New Roman"/>
          <w:sz w:val="28"/>
          <w:szCs w:val="28"/>
        </w:rPr>
        <w:t xml:space="preserve"> (v) una mejor redistribución de la renta global</w:t>
      </w:r>
      <w:r w:rsidRPr="000149EE">
        <w:rPr>
          <w:rFonts w:ascii="Times New Roman" w:hAnsi="Times New Roman" w:cs="Times New Roman"/>
          <w:sz w:val="28"/>
          <w:szCs w:val="28"/>
        </w:rPr>
        <w:t>’</w:t>
      </w:r>
      <w:r w:rsidRPr="000149EE">
        <w:rPr>
          <w:rFonts w:ascii="Times New Roman" w:hAnsi="Times New Roman" w:cs="Times New Roman"/>
          <w:sz w:val="28"/>
          <w:szCs w:val="28"/>
        </w:rPr>
        <w:t>”</w:t>
      </w:r>
      <w:r w:rsidRPr="000149EE">
        <w:rPr>
          <w:rFonts w:ascii="Times New Roman" w:hAnsi="Times New Roman" w:cs="Times New Roman"/>
          <w:sz w:val="28"/>
          <w:szCs w:val="28"/>
          <w:vertAlign w:val="superscript"/>
        </w:rPr>
        <w:footnoteReference w:id="109"/>
      </w:r>
      <w:r w:rsidRPr="000149EE">
        <w:rPr>
          <w:rFonts w:ascii="Times New Roman" w:hAnsi="Times New Roman" w:cs="Times New Roman"/>
          <w:i/>
          <w:iCs/>
          <w:sz w:val="28"/>
          <w:szCs w:val="28"/>
        </w:rPr>
        <w:t>.</w:t>
      </w:r>
    </w:p>
    <w:p w:rsidR="00821EDE" w:rsidRPr="000149EE" w:rsidRDefault="000149EE" w:rsidP="00DB5F7C">
      <w:pPr>
        <w:pStyle w:val="Prrafodelista"/>
        <w:widowControl w:val="0"/>
        <w:tabs>
          <w:tab w:val="left" w:pos="0"/>
          <w:tab w:val="left" w:pos="567"/>
          <w:tab w:val="left" w:pos="709"/>
          <w:tab w:val="left" w:pos="851"/>
        </w:tabs>
        <w:spacing w:line="240" w:lineRule="auto"/>
        <w:ind w:left="0"/>
        <w:rPr>
          <w:rFonts w:ascii="Times New Roman" w:hAnsi="Times New Roman"/>
          <w:sz w:val="28"/>
        </w:rPr>
      </w:pPr>
    </w:p>
    <w:p w:rsidR="0045349C"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hAnsi="Times New Roman" w:cs="Times New Roman"/>
          <w:sz w:val="28"/>
          <w:szCs w:val="28"/>
        </w:rPr>
        <w:t>Con todo, la Corte Constitucional ha reiterado y enfatizado que l</w:t>
      </w:r>
      <w:r w:rsidRPr="000149EE">
        <w:rPr>
          <w:rFonts w:ascii="Times New Roman" w:hAnsi="Times New Roman" w:cs="Times New Roman"/>
          <w:sz w:val="28"/>
          <w:szCs w:val="28"/>
        </w:rPr>
        <w:t>a potestad</w:t>
      </w:r>
      <w:r w:rsidRPr="000149EE">
        <w:rPr>
          <w:rFonts w:ascii="Times New Roman" w:hAnsi="Times New Roman" w:cs="Times New Roman"/>
          <w:sz w:val="28"/>
          <w:szCs w:val="28"/>
          <w:lang w:eastAsia="es-MX"/>
        </w:rPr>
        <w:t xml:space="preserve"> de configuración legislativa en materia tributaria, </w:t>
      </w:r>
      <w:r w:rsidRPr="000149EE">
        <w:rPr>
          <w:rFonts w:ascii="Times New Roman" w:hAnsi="Times New Roman" w:cs="Times New Roman"/>
          <w:sz w:val="28"/>
          <w:szCs w:val="28"/>
          <w:lang w:eastAsia="es-MX"/>
        </w:rPr>
        <w:t xml:space="preserve">que cobija el diseño y concesión de los beneficios tributarios, </w:t>
      </w:r>
      <w:r w:rsidRPr="000149EE">
        <w:rPr>
          <w:rFonts w:ascii="Times New Roman" w:hAnsi="Times New Roman" w:cs="Times New Roman"/>
          <w:sz w:val="28"/>
          <w:szCs w:val="28"/>
          <w:lang w:eastAsia="es-MX"/>
        </w:rPr>
        <w:t xml:space="preserve">“no es </w:t>
      </w:r>
      <w:r w:rsidRPr="000149EE">
        <w:rPr>
          <w:rFonts w:ascii="Times New Roman" w:hAnsi="Times New Roman" w:cs="Times New Roman"/>
          <w:sz w:val="28"/>
          <w:szCs w:val="28"/>
          <w:lang w:eastAsia="es-MX"/>
        </w:rPr>
        <w:t>ilimitada”</w:t>
      </w:r>
      <w:r w:rsidRPr="000149EE">
        <w:rPr>
          <w:rFonts w:ascii="Times New Roman" w:hAnsi="Times New Roman" w:cs="Times New Roman"/>
          <w:sz w:val="28"/>
          <w:szCs w:val="28"/>
          <w:vertAlign w:val="superscript"/>
          <w:lang w:eastAsia="es-MX"/>
        </w:rPr>
        <w:footnoteReference w:id="110"/>
      </w:r>
      <w:r w:rsidRPr="000149EE">
        <w:rPr>
          <w:rFonts w:ascii="Times New Roman" w:hAnsi="Times New Roman" w:cs="Times New Roman"/>
          <w:sz w:val="28"/>
          <w:szCs w:val="28"/>
          <w:lang w:eastAsia="es-MX"/>
        </w:rPr>
        <w:t xml:space="preserve"> o absoluta.</w:t>
      </w:r>
      <w:r w:rsidRPr="000149EE">
        <w:rPr>
          <w:rFonts w:ascii="Times New Roman" w:hAnsi="Times New Roman" w:cs="Times New Roman"/>
          <w:sz w:val="28"/>
          <w:szCs w:val="28"/>
          <w:lang w:eastAsia="es-MX"/>
        </w:rPr>
        <w:t xml:space="preserve"> Por el contrario, “está sujeta a límites constitucionales”</w:t>
      </w:r>
      <w:r w:rsidRPr="000149EE">
        <w:rPr>
          <w:rStyle w:val="Refdenotaalpie"/>
          <w:rFonts w:ascii="Times New Roman" w:eastAsiaTheme="majorEastAsia" w:hAnsi="Times New Roman" w:cs="Times New Roman"/>
          <w:sz w:val="28"/>
          <w:szCs w:val="28"/>
          <w:lang w:eastAsia="es-MX"/>
        </w:rPr>
        <w:footnoteReference w:id="111"/>
      </w:r>
      <w:r w:rsidRPr="000149EE">
        <w:rPr>
          <w:rFonts w:ascii="Times New Roman" w:hAnsi="Times New Roman" w:cs="Times New Roman"/>
          <w:sz w:val="28"/>
          <w:szCs w:val="28"/>
          <w:lang w:eastAsia="es-MX"/>
        </w:rPr>
        <w:t xml:space="preserve">. Al respecto, la jurisprudencia constitucional ha señalado que </w:t>
      </w:r>
      <w:r w:rsidRPr="000149EE">
        <w:rPr>
          <w:rFonts w:ascii="Times New Roman" w:hAnsi="Times New Roman" w:cs="Times New Roman"/>
          <w:iCs/>
          <w:sz w:val="28"/>
          <w:szCs w:val="28"/>
        </w:rPr>
        <w:t xml:space="preserve">“los poderes constituidos, así dispongan de un amplio margen de configuración de políticas y de articulación </w:t>
      </w:r>
      <w:r w:rsidRPr="000149EE">
        <w:rPr>
          <w:rFonts w:ascii="Times New Roman" w:hAnsi="Times New Roman" w:cs="Times New Roman"/>
          <w:iCs/>
          <w:sz w:val="28"/>
          <w:szCs w:val="28"/>
        </w:rPr>
        <w:t>jurídica de las mismas, se han de ejercer respetando los límites trazados por el ordenamiento constitucional”</w:t>
      </w:r>
      <w:r w:rsidRPr="000149EE">
        <w:rPr>
          <w:rStyle w:val="Refdenotaalpie"/>
          <w:rFonts w:ascii="Times New Roman" w:eastAsiaTheme="majorEastAsia" w:hAnsi="Times New Roman" w:cs="Times New Roman"/>
          <w:iCs/>
          <w:sz w:val="28"/>
          <w:szCs w:val="28"/>
        </w:rPr>
        <w:footnoteReference w:id="112"/>
      </w:r>
      <w:r w:rsidRPr="000149EE">
        <w:rPr>
          <w:rFonts w:ascii="Times New Roman" w:hAnsi="Times New Roman" w:cs="Times New Roman"/>
          <w:iCs/>
          <w:sz w:val="28"/>
          <w:szCs w:val="28"/>
        </w:rPr>
        <w:t>. En consecuencia, el legislador tiene la facultad de “crear, modificar, aumentar, disminuir y suprimir tributos, determinando a quiénes se cobrar</w:t>
      </w:r>
      <w:r w:rsidRPr="000149EE">
        <w:rPr>
          <w:rFonts w:ascii="Times New Roman" w:hAnsi="Times New Roman" w:cs="Times New Roman"/>
          <w:iCs/>
          <w:sz w:val="28"/>
          <w:szCs w:val="28"/>
        </w:rPr>
        <w:t>á, así como las reglas y excepciones”</w:t>
      </w:r>
      <w:r w:rsidRPr="000149EE">
        <w:rPr>
          <w:rStyle w:val="Refdenotaalpie"/>
          <w:rFonts w:ascii="Times New Roman" w:eastAsiaTheme="majorEastAsia" w:hAnsi="Times New Roman" w:cs="Times New Roman"/>
          <w:iCs/>
          <w:sz w:val="28"/>
          <w:szCs w:val="28"/>
        </w:rPr>
        <w:t xml:space="preserve"> </w:t>
      </w:r>
      <w:r w:rsidRPr="000149EE">
        <w:rPr>
          <w:rStyle w:val="Refdenotaalpie"/>
          <w:rFonts w:ascii="Times New Roman" w:eastAsiaTheme="majorEastAsia" w:hAnsi="Times New Roman" w:cs="Times New Roman"/>
          <w:iCs/>
          <w:sz w:val="28"/>
          <w:szCs w:val="28"/>
        </w:rPr>
        <w:footnoteReference w:id="113"/>
      </w:r>
      <w:r w:rsidRPr="000149EE">
        <w:rPr>
          <w:rFonts w:ascii="Times New Roman" w:hAnsi="Times New Roman" w:cs="Times New Roman"/>
          <w:iCs/>
          <w:sz w:val="28"/>
          <w:szCs w:val="28"/>
        </w:rPr>
        <w:t>, siempre que “se ejerza dentro de los parámetros superiores”</w:t>
      </w:r>
      <w:r w:rsidRPr="000149EE">
        <w:rPr>
          <w:rStyle w:val="Refdenotaalpie"/>
          <w:rFonts w:ascii="Times New Roman" w:eastAsiaTheme="majorEastAsia" w:hAnsi="Times New Roman" w:cs="Times New Roman"/>
          <w:iCs/>
          <w:sz w:val="28"/>
          <w:szCs w:val="28"/>
        </w:rPr>
        <w:footnoteReference w:id="114"/>
      </w:r>
      <w:r w:rsidRPr="000149EE">
        <w:rPr>
          <w:rFonts w:ascii="Times New Roman" w:hAnsi="Times New Roman" w:cs="Times New Roman"/>
          <w:iCs/>
          <w:sz w:val="28"/>
          <w:szCs w:val="28"/>
        </w:rPr>
        <w:t>,</w:t>
      </w:r>
      <w:r w:rsidRPr="000149EE">
        <w:rPr>
          <w:rFonts w:ascii="Times New Roman" w:hAnsi="Times New Roman" w:cs="Times New Roman"/>
          <w:iCs/>
          <w:sz w:val="28"/>
          <w:szCs w:val="28"/>
          <w:lang w:eastAsia="es-MX"/>
        </w:rPr>
        <w:t xml:space="preserve"> en particular, los previstos por los “artículos 95.9 y 363 de la Constitución, que consagran los principios de justicia, equidad, eficiencia y progresivi</w:t>
      </w:r>
      <w:r w:rsidRPr="000149EE">
        <w:rPr>
          <w:rFonts w:ascii="Times New Roman" w:hAnsi="Times New Roman" w:cs="Times New Roman"/>
          <w:iCs/>
          <w:sz w:val="28"/>
          <w:szCs w:val="28"/>
          <w:lang w:eastAsia="es-MX"/>
        </w:rPr>
        <w:t>dad”</w:t>
      </w:r>
      <w:r w:rsidRPr="000149EE">
        <w:rPr>
          <w:rStyle w:val="Refdenotaalpie"/>
          <w:rFonts w:ascii="Times New Roman" w:eastAsiaTheme="majorEastAsia" w:hAnsi="Times New Roman" w:cs="Times New Roman"/>
          <w:iCs/>
          <w:sz w:val="28"/>
          <w:szCs w:val="28"/>
          <w:lang w:eastAsia="es-MX"/>
        </w:rPr>
        <w:footnoteReference w:id="115"/>
      </w:r>
      <w:r w:rsidRPr="000149EE">
        <w:rPr>
          <w:rFonts w:ascii="Times New Roman" w:hAnsi="Times New Roman" w:cs="Times New Roman"/>
          <w:iCs/>
          <w:sz w:val="28"/>
          <w:szCs w:val="28"/>
          <w:lang w:eastAsia="es-MX"/>
        </w:rPr>
        <w:t xml:space="preserve">. Esto, a juicio de la Corte, </w:t>
      </w:r>
      <w:r w:rsidRPr="000149EE">
        <w:rPr>
          <w:rFonts w:ascii="Times New Roman" w:hAnsi="Times New Roman" w:cs="Times New Roman"/>
          <w:iCs/>
          <w:sz w:val="28"/>
          <w:szCs w:val="28"/>
          <w:shd w:val="clear" w:color="auto" w:fill="FFFFFF"/>
          <w:lang w:eastAsia="es-MX"/>
        </w:rPr>
        <w:t>“tiene un vínculo intrínseco con el tratamiento equitativo entre contribuyentes y hechos generadores del tributo, así como con la eficacia en el recaudo fiscal”</w:t>
      </w:r>
      <w:r w:rsidRPr="000149EE">
        <w:rPr>
          <w:rStyle w:val="Refdenotaalpie"/>
          <w:rFonts w:ascii="Times New Roman" w:eastAsiaTheme="majorEastAsia" w:hAnsi="Times New Roman" w:cs="Times New Roman"/>
          <w:iCs/>
          <w:sz w:val="28"/>
          <w:szCs w:val="28"/>
          <w:shd w:val="clear" w:color="auto" w:fill="FFFFFF"/>
          <w:lang w:eastAsia="es-MX"/>
        </w:rPr>
        <w:footnoteReference w:id="116"/>
      </w:r>
      <w:r w:rsidRPr="000149EE">
        <w:rPr>
          <w:rFonts w:ascii="Times New Roman" w:hAnsi="Times New Roman" w:cs="Times New Roman"/>
          <w:iCs/>
          <w:sz w:val="28"/>
          <w:szCs w:val="28"/>
          <w:shd w:val="clear" w:color="auto" w:fill="FFFFFF"/>
          <w:lang w:eastAsia="es-MX"/>
        </w:rPr>
        <w:t>.</w:t>
      </w:r>
    </w:p>
    <w:p w:rsidR="00596F41" w:rsidRPr="000149EE" w:rsidRDefault="000149EE" w:rsidP="001A47E2">
      <w:pPr>
        <w:pStyle w:val="Prrafodelista"/>
        <w:spacing w:line="240" w:lineRule="auto"/>
        <w:ind w:left="0"/>
        <w:rPr>
          <w:rFonts w:ascii="Times New Roman" w:hAnsi="Times New Roman"/>
          <w:sz w:val="28"/>
        </w:rPr>
      </w:pPr>
    </w:p>
    <w:p w:rsidR="00596F41" w:rsidRPr="000149EE" w:rsidRDefault="000149EE" w:rsidP="001A47E2">
      <w:pPr>
        <w:pStyle w:val="Prrafodelista"/>
        <w:widowControl w:val="0"/>
        <w:numPr>
          <w:ilvl w:val="0"/>
          <w:numId w:val="17"/>
        </w:numPr>
        <w:spacing w:line="240" w:lineRule="auto"/>
        <w:rPr>
          <w:rFonts w:ascii="Times New Roman" w:hAnsi="Times New Roman"/>
          <w:b/>
          <w:sz w:val="28"/>
        </w:rPr>
      </w:pPr>
      <w:r w:rsidRPr="000149EE">
        <w:rPr>
          <w:rFonts w:ascii="Times New Roman" w:hAnsi="Times New Roman"/>
          <w:b/>
          <w:sz w:val="28"/>
        </w:rPr>
        <w:t xml:space="preserve">Los principios de igualdad y equidad tributaria como </w:t>
      </w:r>
      <w:r w:rsidRPr="000149EE">
        <w:rPr>
          <w:rFonts w:ascii="Times New Roman" w:hAnsi="Times New Roman"/>
          <w:b/>
          <w:sz w:val="28"/>
        </w:rPr>
        <w:t>límites al margen de configuración del legislador</w:t>
      </w:r>
    </w:p>
    <w:p w:rsidR="00596F41" w:rsidRPr="000149EE" w:rsidRDefault="000149EE" w:rsidP="001A47E2">
      <w:pPr>
        <w:pStyle w:val="Prrafodelista"/>
        <w:widowControl w:val="0"/>
        <w:tabs>
          <w:tab w:val="left" w:pos="0"/>
          <w:tab w:val="left" w:pos="567"/>
          <w:tab w:val="left" w:pos="709"/>
          <w:tab w:val="left" w:pos="851"/>
        </w:tabs>
        <w:spacing w:line="240" w:lineRule="auto"/>
        <w:ind w:left="0"/>
        <w:rPr>
          <w:rFonts w:ascii="Times New Roman" w:hAnsi="Times New Roman"/>
          <w:sz w:val="28"/>
        </w:rPr>
      </w:pPr>
    </w:p>
    <w:p w:rsidR="00147463"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eastAsia="Times New Roman" w:hAnsi="Times New Roman" w:cs="Times New Roman"/>
          <w:bCs/>
          <w:i/>
          <w:iCs/>
          <w:sz w:val="28"/>
          <w:szCs w:val="28"/>
          <w:bdr w:val="none" w:sz="0" w:space="0" w:color="auto" w:frame="1"/>
          <w:shd w:val="clear" w:color="auto" w:fill="FFFFFF"/>
          <w:lang w:eastAsia="es-ES_tradnl"/>
        </w:rPr>
        <w:t>El principio de igualdad</w:t>
      </w:r>
      <w:r w:rsidRPr="000149EE">
        <w:rPr>
          <w:rFonts w:ascii="Times New Roman" w:eastAsia="Times New Roman" w:hAnsi="Times New Roman" w:cs="Times New Roman"/>
          <w:bCs/>
          <w:sz w:val="28"/>
          <w:szCs w:val="28"/>
          <w:bdr w:val="none" w:sz="0" w:space="0" w:color="auto" w:frame="1"/>
          <w:shd w:val="clear" w:color="auto" w:fill="FFFFFF"/>
          <w:lang w:eastAsia="es-ES_tradnl"/>
        </w:rPr>
        <w:t>. El artículo 13 de la Constitución Política prevé el principio de igualdad</w:t>
      </w:r>
      <w:r w:rsidRPr="000149EE">
        <w:rPr>
          <w:rStyle w:val="Refdenotaalpie"/>
          <w:rFonts w:ascii="Times New Roman" w:hAnsi="Times New Roman" w:cs="Times New Roman"/>
          <w:bCs/>
          <w:sz w:val="28"/>
          <w:szCs w:val="28"/>
          <w:bdr w:val="none" w:sz="0" w:space="0" w:color="auto" w:frame="1"/>
        </w:rPr>
        <w:footnoteReference w:id="117"/>
      </w:r>
      <w:r w:rsidRPr="000149EE">
        <w:rPr>
          <w:rFonts w:ascii="Times New Roman" w:hAnsi="Times New Roman" w:cs="Times New Roman"/>
          <w:bCs/>
          <w:sz w:val="28"/>
          <w:szCs w:val="28"/>
          <w:bdr w:val="none" w:sz="0" w:space="0" w:color="auto" w:frame="1"/>
          <w:shd w:val="clear" w:color="auto" w:fill="FFFFFF"/>
        </w:rPr>
        <w:t xml:space="preserve">. El inciso 1º de </w:t>
      </w:r>
      <w:r w:rsidRPr="000149EE">
        <w:rPr>
          <w:rFonts w:ascii="Times New Roman" w:hAnsi="Times New Roman" w:cs="Times New Roman"/>
          <w:bCs/>
          <w:sz w:val="28"/>
          <w:szCs w:val="28"/>
        </w:rPr>
        <w:t>este</w:t>
      </w:r>
      <w:r w:rsidRPr="000149EE">
        <w:rPr>
          <w:rFonts w:ascii="Times New Roman" w:hAnsi="Times New Roman" w:cs="Times New Roman"/>
          <w:bCs/>
          <w:sz w:val="28"/>
          <w:szCs w:val="28"/>
          <w:bdr w:val="none" w:sz="0" w:space="0" w:color="auto" w:frame="1"/>
          <w:shd w:val="clear" w:color="auto" w:fill="FFFFFF"/>
        </w:rPr>
        <w:t xml:space="preserve"> artículo dispone que todas las personas “</w:t>
      </w:r>
      <w:r w:rsidRPr="000149EE">
        <w:rPr>
          <w:rFonts w:ascii="Times New Roman" w:hAnsi="Times New Roman" w:cs="Times New Roman"/>
          <w:bCs/>
          <w:iCs/>
          <w:sz w:val="28"/>
          <w:szCs w:val="28"/>
          <w:bdr w:val="none" w:sz="0" w:space="0" w:color="auto" w:frame="1"/>
          <w:shd w:val="clear" w:color="auto" w:fill="FFFFFF"/>
        </w:rPr>
        <w:t xml:space="preserve">recibirán la misma protección y trato de </w:t>
      </w:r>
      <w:r w:rsidRPr="000149EE">
        <w:rPr>
          <w:rFonts w:ascii="Times New Roman" w:hAnsi="Times New Roman" w:cs="Times New Roman"/>
          <w:bCs/>
          <w:iCs/>
          <w:sz w:val="28"/>
          <w:szCs w:val="28"/>
          <w:bdr w:val="none" w:sz="0" w:space="0" w:color="auto" w:frame="1"/>
          <w:shd w:val="clear" w:color="auto" w:fill="FFFFFF"/>
        </w:rPr>
        <w:t>las autoridades y gozarán de los mismos derechos libertades y oportunidades</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Igualmente</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prohíbe la discriminación</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por razones de sexo, raza, origen nacional o familiar, lengua, religión, opinión política o filosófica</w:t>
      </w:r>
      <w:r w:rsidRPr="000149EE">
        <w:rPr>
          <w:rFonts w:ascii="Times New Roman" w:hAnsi="Times New Roman" w:cs="Times New Roman"/>
          <w:bCs/>
          <w:sz w:val="28"/>
          <w:szCs w:val="28"/>
          <w:bdr w:val="none" w:sz="0" w:space="0" w:color="auto" w:frame="1"/>
          <w:shd w:val="clear" w:color="auto" w:fill="FFFFFF"/>
        </w:rPr>
        <w:t>”. El inciso 2º prescribe que el Esta</w:t>
      </w:r>
      <w:r w:rsidRPr="000149EE">
        <w:rPr>
          <w:rFonts w:ascii="Times New Roman" w:hAnsi="Times New Roman" w:cs="Times New Roman"/>
          <w:bCs/>
          <w:sz w:val="28"/>
          <w:szCs w:val="28"/>
          <w:bdr w:val="none" w:sz="0" w:space="0" w:color="auto" w:frame="1"/>
          <w:shd w:val="clear" w:color="auto" w:fill="FFFFFF"/>
        </w:rPr>
        <w:t>do debe promover las condiciones para que</w:t>
      </w:r>
      <w:r w:rsidRPr="000149EE">
        <w:rPr>
          <w:rFonts w:ascii="Times New Roman" w:hAnsi="Times New Roman" w:cs="Times New Roman"/>
          <w:bCs/>
          <w:iCs/>
          <w:sz w:val="28"/>
          <w:szCs w:val="28"/>
          <w:bdr w:val="none" w:sz="0" w:space="0" w:color="auto" w:frame="1"/>
          <w:shd w:val="clear" w:color="auto" w:fill="FFFFFF"/>
        </w:rPr>
        <w:t xml:space="preserve"> “la igualdad sea real y efectiva</w:t>
      </w:r>
      <w:r w:rsidRPr="000149EE">
        <w:rPr>
          <w:rFonts w:ascii="Times New Roman" w:hAnsi="Times New Roman" w:cs="Times New Roman"/>
          <w:bCs/>
          <w:sz w:val="28"/>
          <w:szCs w:val="28"/>
          <w:bdr w:val="none" w:sz="0" w:space="0" w:color="auto" w:frame="1"/>
          <w:shd w:val="clear" w:color="auto" w:fill="FFFFFF"/>
        </w:rPr>
        <w:t>”. Por último, el inciso 3º prevé que el Estado protegerá especialmente a “</w:t>
      </w:r>
      <w:r w:rsidRPr="000149EE">
        <w:rPr>
          <w:rFonts w:ascii="Times New Roman" w:hAnsi="Times New Roman" w:cs="Times New Roman"/>
          <w:bCs/>
          <w:iCs/>
          <w:sz w:val="28"/>
          <w:szCs w:val="28"/>
          <w:bdr w:val="none" w:sz="0" w:space="0" w:color="auto" w:frame="1"/>
          <w:shd w:val="clear" w:color="auto" w:fill="FFFFFF"/>
        </w:rPr>
        <w:t xml:space="preserve">aquellas personas que, por su condición económica, física o mental, se encuentren en circunstancia de </w:t>
      </w:r>
      <w:r w:rsidRPr="000149EE">
        <w:rPr>
          <w:rFonts w:ascii="Times New Roman" w:hAnsi="Times New Roman" w:cs="Times New Roman"/>
          <w:bCs/>
          <w:iCs/>
          <w:sz w:val="28"/>
          <w:szCs w:val="28"/>
          <w:bdr w:val="none" w:sz="0" w:space="0" w:color="auto" w:frame="1"/>
          <w:shd w:val="clear" w:color="auto" w:fill="FFFFFF"/>
        </w:rPr>
        <w:t>debilidad manifiesta</w:t>
      </w:r>
      <w:r w:rsidRPr="000149EE">
        <w:rPr>
          <w:rFonts w:ascii="Times New Roman" w:hAnsi="Times New Roman" w:cs="Times New Roman"/>
          <w:bCs/>
          <w:sz w:val="28"/>
          <w:szCs w:val="28"/>
          <w:bdr w:val="none" w:sz="0" w:space="0" w:color="auto" w:frame="1"/>
          <w:shd w:val="clear" w:color="auto" w:fill="FFFFFF"/>
        </w:rPr>
        <w:t xml:space="preserve">”. </w:t>
      </w:r>
    </w:p>
    <w:p w:rsidR="00147463" w:rsidRPr="000149EE" w:rsidRDefault="000149EE" w:rsidP="001A47E2">
      <w:pPr>
        <w:tabs>
          <w:tab w:val="left" w:pos="0"/>
          <w:tab w:val="left" w:pos="567"/>
          <w:tab w:val="left" w:pos="709"/>
          <w:tab w:val="left" w:pos="851"/>
        </w:tabs>
        <w:contextualSpacing/>
        <w:rPr>
          <w:rFonts w:ascii="Times New Roman" w:eastAsia="Times New Roman" w:hAnsi="Times New Roman" w:cs="Times New Roman"/>
          <w:bCs/>
          <w:sz w:val="28"/>
          <w:szCs w:val="28"/>
          <w:bdr w:val="none" w:sz="0" w:space="0" w:color="auto" w:frame="1"/>
          <w:shd w:val="clear" w:color="auto" w:fill="FFFFFF"/>
          <w:lang w:eastAsia="es-ES_tradnl"/>
        </w:rPr>
      </w:pPr>
    </w:p>
    <w:p w:rsidR="00147463" w:rsidRPr="000149EE" w:rsidRDefault="000149EE" w:rsidP="009D4F8D">
      <w:pPr>
        <w:numPr>
          <w:ilvl w:val="0"/>
          <w:numId w:val="3"/>
        </w:numPr>
        <w:tabs>
          <w:tab w:val="left" w:pos="567"/>
        </w:tabs>
        <w:ind w:left="0" w:firstLine="0"/>
        <w:rPr>
          <w:rFonts w:ascii="Times New Roman" w:hAnsi="Times New Roman" w:cs="Times New Roman"/>
          <w:bCs/>
          <w:sz w:val="28"/>
          <w:szCs w:val="28"/>
          <w:bdr w:val="none" w:sz="0" w:space="0" w:color="auto" w:frame="1"/>
          <w:shd w:val="clear" w:color="auto" w:fill="FFFFFF"/>
        </w:rPr>
      </w:pPr>
      <w:r w:rsidRPr="000149EE">
        <w:rPr>
          <w:rFonts w:ascii="Times New Roman" w:hAnsi="Times New Roman" w:cs="Times New Roman"/>
          <w:bCs/>
          <w:sz w:val="28"/>
          <w:szCs w:val="28"/>
          <w:bdr w:val="none" w:sz="0" w:space="0" w:color="auto" w:frame="1"/>
          <w:shd w:val="clear" w:color="auto" w:fill="FFFFFF"/>
        </w:rPr>
        <w:t xml:space="preserve">La Corte Constitucional ha sostenido que el principio de igualdad tiene dos dimensiones: </w:t>
      </w:r>
      <w:r w:rsidRPr="000149EE">
        <w:rPr>
          <w:rFonts w:ascii="Times New Roman" w:hAnsi="Times New Roman" w:cs="Times New Roman"/>
          <w:bCs/>
          <w:iCs/>
          <w:sz w:val="28"/>
          <w:szCs w:val="28"/>
          <w:bdr w:val="none" w:sz="0" w:space="0" w:color="auto" w:frame="1"/>
          <w:shd w:val="clear" w:color="auto" w:fill="FFFFFF"/>
        </w:rPr>
        <w:t>formal</w:t>
      </w:r>
      <w:r w:rsidRPr="000149EE">
        <w:rPr>
          <w:rFonts w:ascii="Times New Roman" w:hAnsi="Times New Roman" w:cs="Times New Roman"/>
          <w:bCs/>
          <w:sz w:val="28"/>
          <w:szCs w:val="28"/>
          <w:bdr w:val="none" w:sz="0" w:space="0" w:color="auto" w:frame="1"/>
          <w:shd w:val="clear" w:color="auto" w:fill="FFFFFF"/>
        </w:rPr>
        <w:t xml:space="preserve"> y </w:t>
      </w:r>
      <w:r w:rsidRPr="000149EE">
        <w:rPr>
          <w:rFonts w:ascii="Times New Roman" w:hAnsi="Times New Roman" w:cs="Times New Roman"/>
          <w:bCs/>
          <w:iCs/>
          <w:sz w:val="28"/>
          <w:szCs w:val="28"/>
          <w:bdr w:val="none" w:sz="0" w:space="0" w:color="auto" w:frame="1"/>
          <w:shd w:val="clear" w:color="auto" w:fill="FFFFFF"/>
        </w:rPr>
        <w:t>material</w:t>
      </w:r>
      <w:r w:rsidRPr="000149EE">
        <w:rPr>
          <w:rFonts w:ascii="Times New Roman" w:hAnsi="Times New Roman" w:cs="Times New Roman"/>
          <w:bCs/>
          <w:sz w:val="28"/>
          <w:szCs w:val="28"/>
          <w:bdr w:val="none" w:sz="0" w:space="0" w:color="auto" w:frame="1"/>
          <w:shd w:val="clear" w:color="auto" w:fill="FFFFFF"/>
          <w:vertAlign w:val="superscript"/>
        </w:rPr>
        <w:footnoteReference w:id="118"/>
      </w:r>
      <w:r w:rsidRPr="000149EE">
        <w:rPr>
          <w:rFonts w:ascii="Times New Roman" w:hAnsi="Times New Roman" w:cs="Times New Roman"/>
          <w:bCs/>
          <w:sz w:val="28"/>
          <w:szCs w:val="28"/>
          <w:bdr w:val="none" w:sz="0" w:space="0" w:color="auto" w:frame="1"/>
          <w:shd w:val="clear" w:color="auto" w:fill="FFFFFF"/>
        </w:rPr>
        <w:t xml:space="preserve">. En su </w:t>
      </w:r>
      <w:r w:rsidRPr="000149EE">
        <w:rPr>
          <w:rFonts w:ascii="Times New Roman" w:hAnsi="Times New Roman" w:cs="Times New Roman"/>
          <w:bCs/>
          <w:i/>
          <w:sz w:val="28"/>
          <w:szCs w:val="28"/>
          <w:bdr w:val="none" w:sz="0" w:space="0" w:color="auto" w:frame="1"/>
          <w:shd w:val="clear" w:color="auto" w:fill="FFFFFF"/>
        </w:rPr>
        <w:t xml:space="preserve">dimensión </w:t>
      </w:r>
      <w:r w:rsidRPr="000149EE">
        <w:rPr>
          <w:rFonts w:ascii="Times New Roman" w:hAnsi="Times New Roman" w:cs="Times New Roman"/>
          <w:bCs/>
          <w:i/>
          <w:iCs/>
          <w:sz w:val="28"/>
          <w:szCs w:val="28"/>
          <w:bdr w:val="none" w:sz="0" w:space="0" w:color="auto" w:frame="1"/>
          <w:shd w:val="clear" w:color="auto" w:fill="FFFFFF"/>
        </w:rPr>
        <w:t>formal</w:t>
      </w:r>
      <w:r w:rsidRPr="000149EE">
        <w:rPr>
          <w:rFonts w:ascii="Times New Roman" w:hAnsi="Times New Roman" w:cs="Times New Roman"/>
          <w:bCs/>
          <w:sz w:val="28"/>
          <w:szCs w:val="28"/>
          <w:bdr w:val="none" w:sz="0" w:space="0" w:color="auto" w:frame="1"/>
          <w:shd w:val="clear" w:color="auto" w:fill="FFFFFF"/>
        </w:rPr>
        <w:t xml:space="preserve"> (art. 13.1 de la CP), el principio de igualdad implica que el Estado debe otorgar a los individuos </w:t>
      </w:r>
      <w:r w:rsidRPr="000149EE">
        <w:rPr>
          <w:rFonts w:ascii="Times New Roman" w:hAnsi="Times New Roman" w:cs="Times New Roman"/>
          <w:bCs/>
          <w:sz w:val="28"/>
          <w:szCs w:val="28"/>
          <w:bdr w:val="none" w:sz="0" w:space="0" w:color="auto" w:frame="1"/>
          <w:shd w:val="clear" w:color="auto" w:fill="FFFFFF"/>
        </w:rPr>
        <w:t>un trato igual “</w:t>
      </w:r>
      <w:r w:rsidRPr="000149EE">
        <w:rPr>
          <w:rFonts w:ascii="Times New Roman" w:hAnsi="Times New Roman" w:cs="Times New Roman"/>
          <w:bCs/>
          <w:iCs/>
          <w:sz w:val="28"/>
          <w:szCs w:val="28"/>
          <w:bdr w:val="none" w:sz="0" w:space="0" w:color="auto" w:frame="1"/>
          <w:shd w:val="clear" w:color="auto" w:fill="FFFFFF"/>
        </w:rPr>
        <w:t>ante la ley</w:t>
      </w:r>
      <w:r w:rsidRPr="000149EE">
        <w:rPr>
          <w:rFonts w:ascii="Times New Roman" w:hAnsi="Times New Roman" w:cs="Times New Roman"/>
          <w:bCs/>
          <w:sz w:val="28"/>
          <w:szCs w:val="28"/>
          <w:bdr w:val="none" w:sz="0" w:space="0" w:color="auto" w:frame="1"/>
          <w:shd w:val="clear" w:color="auto" w:fill="FFFFFF"/>
        </w:rPr>
        <w:t>” y “</w:t>
      </w:r>
      <w:r w:rsidRPr="000149EE">
        <w:rPr>
          <w:rFonts w:ascii="Times New Roman" w:hAnsi="Times New Roman" w:cs="Times New Roman"/>
          <w:bCs/>
          <w:iCs/>
          <w:sz w:val="28"/>
          <w:szCs w:val="28"/>
          <w:bdr w:val="none" w:sz="0" w:space="0" w:color="auto" w:frame="1"/>
          <w:shd w:val="clear" w:color="auto" w:fill="FFFFFF"/>
        </w:rPr>
        <w:t>en la ley</w:t>
      </w:r>
      <w:r w:rsidRPr="000149EE">
        <w:rPr>
          <w:rFonts w:ascii="Times New Roman" w:hAnsi="Times New Roman" w:cs="Times New Roman"/>
          <w:bCs/>
          <w:sz w:val="28"/>
          <w:szCs w:val="28"/>
          <w:bdr w:val="none" w:sz="0" w:space="0" w:color="auto" w:frame="1"/>
          <w:shd w:val="clear" w:color="auto" w:fill="FFFFFF"/>
        </w:rPr>
        <w:t>”. Esto quiere decir que la ley debe ser aplicada “</w:t>
      </w:r>
      <w:r w:rsidRPr="000149EE">
        <w:rPr>
          <w:rFonts w:ascii="Times New Roman" w:hAnsi="Times New Roman" w:cs="Times New Roman"/>
          <w:bCs/>
          <w:iCs/>
          <w:sz w:val="28"/>
          <w:szCs w:val="28"/>
          <w:bdr w:val="none" w:sz="0" w:space="0" w:color="auto" w:frame="1"/>
          <w:shd w:val="clear" w:color="auto" w:fill="FFFFFF"/>
        </w:rPr>
        <w:t>de forma universal, para todos los destinatarios de la clase cobijada por la norma, en presencia del respectivo supuesto de hecho</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sz w:val="28"/>
          <w:szCs w:val="28"/>
          <w:bdr w:val="none" w:sz="0" w:space="0" w:color="auto" w:frame="1"/>
          <w:shd w:val="clear" w:color="auto" w:fill="FFFFFF"/>
          <w:vertAlign w:val="superscript"/>
        </w:rPr>
        <w:footnoteReference w:id="119"/>
      </w:r>
      <w:r w:rsidRPr="000149EE">
        <w:rPr>
          <w:rFonts w:ascii="Times New Roman" w:hAnsi="Times New Roman" w:cs="Times New Roman"/>
          <w:bCs/>
          <w:sz w:val="28"/>
          <w:szCs w:val="28"/>
          <w:bdr w:val="none" w:sz="0" w:space="0" w:color="auto" w:frame="1"/>
          <w:shd w:val="clear" w:color="auto" w:fill="FFFFFF"/>
        </w:rPr>
        <w:t xml:space="preserve">. En su </w:t>
      </w:r>
      <w:r w:rsidRPr="000149EE">
        <w:rPr>
          <w:rFonts w:ascii="Times New Roman" w:hAnsi="Times New Roman" w:cs="Times New Roman"/>
          <w:bCs/>
          <w:i/>
          <w:sz w:val="28"/>
          <w:szCs w:val="28"/>
          <w:bdr w:val="none" w:sz="0" w:space="0" w:color="auto" w:frame="1"/>
          <w:shd w:val="clear" w:color="auto" w:fill="FFFFFF"/>
        </w:rPr>
        <w:t xml:space="preserve">dimensión </w:t>
      </w:r>
      <w:r w:rsidRPr="000149EE">
        <w:rPr>
          <w:rFonts w:ascii="Times New Roman" w:hAnsi="Times New Roman" w:cs="Times New Roman"/>
          <w:bCs/>
          <w:i/>
          <w:iCs/>
          <w:sz w:val="28"/>
          <w:szCs w:val="28"/>
          <w:bdr w:val="none" w:sz="0" w:space="0" w:color="auto" w:frame="1"/>
          <w:shd w:val="clear" w:color="auto" w:fill="FFFFFF"/>
        </w:rPr>
        <w:t>material</w:t>
      </w:r>
      <w:r w:rsidRPr="000149EE">
        <w:rPr>
          <w:rFonts w:ascii="Times New Roman" w:hAnsi="Times New Roman" w:cs="Times New Roman"/>
          <w:bCs/>
          <w:sz w:val="28"/>
          <w:szCs w:val="28"/>
          <w:bdr w:val="none" w:sz="0" w:space="0" w:color="auto" w:frame="1"/>
          <w:shd w:val="clear" w:color="auto" w:fill="FFFFFF"/>
        </w:rPr>
        <w:t xml:space="preserve"> (art. 13.2 y 13.3 de la CP), el principio de igualdad obliga al Estado a promover las condiciones necesarias para que la igualdad sea real y efectiva</w:t>
      </w:r>
      <w:r w:rsidRPr="000149EE">
        <w:rPr>
          <w:rFonts w:ascii="Times New Roman" w:hAnsi="Times New Roman" w:cs="Times New Roman"/>
          <w:bCs/>
          <w:sz w:val="28"/>
          <w:szCs w:val="28"/>
          <w:bdr w:val="none" w:sz="0" w:space="0" w:color="auto" w:frame="1"/>
          <w:shd w:val="clear" w:color="auto" w:fill="FFFFFF"/>
          <w:vertAlign w:val="superscript"/>
        </w:rPr>
        <w:footnoteReference w:id="120"/>
      </w:r>
      <w:r w:rsidRPr="000149EE">
        <w:rPr>
          <w:rFonts w:ascii="Times New Roman" w:hAnsi="Times New Roman" w:cs="Times New Roman"/>
          <w:bCs/>
          <w:sz w:val="28"/>
          <w:szCs w:val="28"/>
          <w:bdr w:val="none" w:sz="0" w:space="0" w:color="auto" w:frame="1"/>
          <w:shd w:val="clear" w:color="auto" w:fill="FFFFFF"/>
        </w:rPr>
        <w:t>. A la luz de esta dimensión, el Estado tiene la obligación de adoptar acciones o medidas afirmativas par</w:t>
      </w:r>
      <w:r w:rsidRPr="000149EE">
        <w:rPr>
          <w:rFonts w:ascii="Times New Roman" w:hAnsi="Times New Roman" w:cs="Times New Roman"/>
          <w:bCs/>
          <w:sz w:val="28"/>
          <w:szCs w:val="28"/>
          <w:bdr w:val="none" w:sz="0" w:space="0" w:color="auto" w:frame="1"/>
          <w:shd w:val="clear" w:color="auto" w:fill="FFFFFF"/>
        </w:rPr>
        <w:t xml:space="preserve">a garantizar la igualdad material de grupos discriminados o marginados y proteger especialmente a quienes se encuentren en circunstancia de debilidad manifiesta. </w:t>
      </w:r>
      <w:r w:rsidRPr="000149EE">
        <w:rPr>
          <w:rFonts w:ascii="Times New Roman" w:eastAsia="Times New Roman" w:hAnsi="Times New Roman" w:cs="Times New Roman"/>
          <w:bCs/>
          <w:sz w:val="28"/>
          <w:szCs w:val="28"/>
          <w:bdr w:val="none" w:sz="0" w:space="0" w:color="auto" w:frame="1"/>
          <w:shd w:val="clear" w:color="auto" w:fill="FFFFFF"/>
          <w:lang w:eastAsia="es-ES_tradnl"/>
        </w:rPr>
        <w:t>Conforme a lo anterior, las dimensiones formal y material</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del principio de igualdad exigen que</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los derechos, los privilegios, los deberes y las cargas se distribuyan de manera justa y equitativa entre los individuos</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21"/>
      </w:r>
      <w:r w:rsidRPr="000149EE">
        <w:rPr>
          <w:rFonts w:ascii="Times New Roman" w:eastAsia="Times New Roman" w:hAnsi="Times New Roman" w:cs="Times New Roman"/>
          <w:bCs/>
          <w:sz w:val="28"/>
          <w:szCs w:val="28"/>
          <w:bdr w:val="none" w:sz="0" w:space="0" w:color="auto" w:frame="1"/>
          <w:shd w:val="clear" w:color="auto" w:fill="FFFFFF"/>
          <w:lang w:eastAsia="es-ES_tradnl"/>
        </w:rPr>
        <w:t>.</w:t>
      </w:r>
    </w:p>
    <w:p w:rsidR="00147463" w:rsidRPr="000149EE" w:rsidRDefault="000149EE" w:rsidP="001A47E2">
      <w:pPr>
        <w:tabs>
          <w:tab w:val="left" w:pos="0"/>
          <w:tab w:val="left" w:pos="567"/>
          <w:tab w:val="left" w:pos="709"/>
          <w:tab w:val="left" w:pos="851"/>
        </w:tabs>
        <w:contextualSpacing/>
        <w:rPr>
          <w:rFonts w:ascii="Times New Roman" w:hAnsi="Times New Roman" w:cs="Times New Roman"/>
          <w:bCs/>
          <w:sz w:val="28"/>
          <w:szCs w:val="28"/>
          <w:bdr w:val="none" w:sz="0" w:space="0" w:color="auto" w:frame="1"/>
          <w:shd w:val="clear" w:color="auto" w:fill="FFFFFF"/>
        </w:rPr>
      </w:pPr>
    </w:p>
    <w:p w:rsidR="00147463" w:rsidRPr="000149EE" w:rsidRDefault="000149EE" w:rsidP="009D4F8D">
      <w:pPr>
        <w:numPr>
          <w:ilvl w:val="0"/>
          <w:numId w:val="3"/>
        </w:numPr>
        <w:tabs>
          <w:tab w:val="left" w:pos="567"/>
        </w:tabs>
        <w:ind w:left="0" w:firstLine="0"/>
        <w:rPr>
          <w:rFonts w:ascii="Times New Roman" w:hAnsi="Times New Roman" w:cs="Times New Roman"/>
          <w:bCs/>
          <w:sz w:val="28"/>
          <w:szCs w:val="28"/>
          <w:bdr w:val="none" w:sz="0" w:space="0" w:color="auto" w:frame="1"/>
          <w:shd w:val="clear" w:color="auto" w:fill="FFFFFF"/>
        </w:rPr>
      </w:pPr>
      <w:r w:rsidRPr="000149EE">
        <w:rPr>
          <w:rFonts w:ascii="Times New Roman" w:hAnsi="Times New Roman" w:cs="Times New Roman"/>
          <w:bCs/>
          <w:sz w:val="28"/>
          <w:szCs w:val="28"/>
          <w:bdr w:val="none" w:sz="0" w:space="0" w:color="auto" w:frame="1"/>
          <w:shd w:val="clear" w:color="auto" w:fill="FFFFFF"/>
        </w:rPr>
        <w:t>La igualdad es un concepto de “</w:t>
      </w:r>
      <w:r w:rsidRPr="000149EE">
        <w:rPr>
          <w:rFonts w:ascii="Times New Roman" w:hAnsi="Times New Roman" w:cs="Times New Roman"/>
          <w:bCs/>
          <w:iCs/>
          <w:sz w:val="28"/>
          <w:szCs w:val="28"/>
          <w:bdr w:val="none" w:sz="0" w:space="0" w:color="auto" w:frame="1"/>
          <w:shd w:val="clear" w:color="auto" w:fill="FFFFFF"/>
        </w:rPr>
        <w:t>carácter relacional</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sz w:val="28"/>
          <w:szCs w:val="28"/>
          <w:bdr w:val="none" w:sz="0" w:space="0" w:color="auto" w:frame="1"/>
          <w:shd w:val="clear" w:color="auto" w:fill="FFFFFF"/>
          <w:vertAlign w:val="superscript"/>
        </w:rPr>
        <w:footnoteReference w:id="122"/>
      </w:r>
      <w:r w:rsidRPr="000149EE">
        <w:rPr>
          <w:rFonts w:ascii="Times New Roman" w:hAnsi="Times New Roman" w:cs="Times New Roman"/>
          <w:bCs/>
          <w:sz w:val="28"/>
          <w:szCs w:val="28"/>
          <w:bdr w:val="none" w:sz="0" w:space="0" w:color="auto" w:frame="1"/>
          <w:shd w:val="clear" w:color="auto" w:fill="FFFFFF"/>
        </w:rPr>
        <w:t xml:space="preserve">, puesto que su aplicación </w:t>
      </w:r>
      <w:r w:rsidRPr="000149EE">
        <w:rPr>
          <w:rFonts w:ascii="Times New Roman" w:hAnsi="Times New Roman" w:cs="Times New Roman"/>
          <w:bCs/>
          <w:iCs/>
          <w:sz w:val="28"/>
          <w:szCs w:val="28"/>
          <w:bdr w:val="none" w:sz="0" w:space="0" w:color="auto" w:frame="1"/>
          <w:shd w:val="clear" w:color="auto" w:fill="FFFFFF"/>
        </w:rPr>
        <w:t xml:space="preserve">presupone una comparación entre personas, grupos de </w:t>
      </w:r>
      <w:r w:rsidRPr="000149EE">
        <w:rPr>
          <w:rFonts w:ascii="Times New Roman" w:hAnsi="Times New Roman" w:cs="Times New Roman"/>
          <w:bCs/>
          <w:iCs/>
          <w:sz w:val="28"/>
          <w:szCs w:val="28"/>
          <w:bdr w:val="none" w:sz="0" w:space="0" w:color="auto" w:frame="1"/>
          <w:shd w:val="clear" w:color="auto" w:fill="FFFFFF"/>
        </w:rPr>
        <w:t>personas</w:t>
      </w:r>
      <w:r w:rsidRPr="000149EE">
        <w:rPr>
          <w:rFonts w:ascii="Times New Roman" w:hAnsi="Times New Roman" w:cs="Times New Roman"/>
          <w:sz w:val="28"/>
          <w:szCs w:val="28"/>
          <w:bdr w:val="none" w:sz="0" w:space="0" w:color="auto" w:frame="1"/>
          <w:shd w:val="clear" w:color="auto" w:fill="FFFFFF"/>
          <w:vertAlign w:val="superscript"/>
        </w:rPr>
        <w:footnoteReference w:id="123"/>
      </w:r>
      <w:r w:rsidRPr="000149EE">
        <w:rPr>
          <w:rFonts w:ascii="Times New Roman" w:hAnsi="Times New Roman" w:cs="Times New Roman"/>
          <w:bCs/>
          <w:sz w:val="28"/>
          <w:szCs w:val="28"/>
          <w:bdr w:val="none" w:sz="0" w:space="0" w:color="auto" w:frame="1"/>
          <w:shd w:val="clear" w:color="auto" w:fill="FFFFFF"/>
        </w:rPr>
        <w:t xml:space="preserve"> o supuestos, a partir de un determinado criterio de comparación</w:t>
      </w:r>
      <w:r w:rsidRPr="000149EE">
        <w:rPr>
          <w:rFonts w:ascii="Times New Roman" w:hAnsi="Times New Roman" w:cs="Times New Roman"/>
          <w:sz w:val="28"/>
          <w:szCs w:val="28"/>
          <w:bdr w:val="none" w:sz="0" w:space="0" w:color="auto" w:frame="1"/>
          <w:shd w:val="clear" w:color="auto" w:fill="FFFFFF"/>
          <w:vertAlign w:val="superscript"/>
        </w:rPr>
        <w:footnoteReference w:id="124"/>
      </w:r>
      <w:r w:rsidRPr="000149EE">
        <w:rPr>
          <w:rFonts w:ascii="Times New Roman" w:hAnsi="Times New Roman" w:cs="Times New Roman"/>
          <w:bCs/>
          <w:sz w:val="28"/>
          <w:szCs w:val="28"/>
          <w:bdr w:val="none" w:sz="0" w:space="0" w:color="auto" w:frame="1"/>
          <w:shd w:val="clear" w:color="auto" w:fill="FFFFFF"/>
        </w:rPr>
        <w:t>. Las situaciones de igualdad o desigualdad entre las personas o los supuestos</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 xml:space="preserve">no son nunca absolutas sino siempre parciales, esto es, desigualdades o igualdades desde cierto punto </w:t>
      </w:r>
      <w:r w:rsidRPr="000149EE">
        <w:rPr>
          <w:rFonts w:ascii="Times New Roman" w:hAnsi="Times New Roman" w:cs="Times New Roman"/>
          <w:bCs/>
          <w:iCs/>
          <w:sz w:val="28"/>
          <w:szCs w:val="28"/>
          <w:bdr w:val="none" w:sz="0" w:space="0" w:color="auto" w:frame="1"/>
          <w:shd w:val="clear" w:color="auto" w:fill="FFFFFF"/>
        </w:rPr>
        <w:t>de vista</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sz w:val="28"/>
          <w:szCs w:val="28"/>
          <w:bdr w:val="none" w:sz="0" w:space="0" w:color="auto" w:frame="1"/>
          <w:shd w:val="clear" w:color="auto" w:fill="FFFFFF"/>
          <w:vertAlign w:val="superscript"/>
        </w:rPr>
        <w:footnoteReference w:id="125"/>
      </w:r>
      <w:r w:rsidRPr="000149EE">
        <w:rPr>
          <w:rFonts w:ascii="Times New Roman" w:hAnsi="Times New Roman" w:cs="Times New Roman"/>
          <w:bCs/>
          <w:sz w:val="28"/>
          <w:szCs w:val="28"/>
          <w:bdr w:val="none" w:sz="0" w:space="0" w:color="auto" w:frame="1"/>
          <w:shd w:val="clear" w:color="auto" w:fill="FFFFFF"/>
        </w:rPr>
        <w:t xml:space="preserve">. En este sentido, del principio de igualdad se derivan cuatro mandatos que se aplican conforme a las diferencias o similitudes relativas que, en relación con determinado ámbito de aplicación normativa, existan entre los grupos de sujetos. Estos </w:t>
      </w:r>
      <w:r w:rsidRPr="000149EE">
        <w:rPr>
          <w:rFonts w:ascii="Times New Roman" w:hAnsi="Times New Roman" w:cs="Times New Roman"/>
          <w:bCs/>
          <w:sz w:val="28"/>
          <w:szCs w:val="28"/>
          <w:bdr w:val="none" w:sz="0" w:space="0" w:color="auto" w:frame="1"/>
          <w:shd w:val="clear" w:color="auto" w:fill="FFFFFF"/>
        </w:rPr>
        <w:t xml:space="preserve">mandatos son: </w:t>
      </w:r>
      <w:r w:rsidRPr="000149EE">
        <w:rPr>
          <w:rFonts w:ascii="Times New Roman" w:hAnsi="Times New Roman" w:cs="Times New Roman"/>
          <w:bCs/>
          <w:i/>
          <w:iCs/>
          <w:sz w:val="28"/>
          <w:szCs w:val="28"/>
          <w:bdr w:val="none" w:sz="0" w:space="0" w:color="auto" w:frame="1"/>
          <w:shd w:val="clear" w:color="auto" w:fill="FFFFFF"/>
        </w:rPr>
        <w:t xml:space="preserve">(i) </w:t>
      </w:r>
      <w:r w:rsidRPr="000149EE">
        <w:rPr>
          <w:rFonts w:ascii="Times New Roman" w:hAnsi="Times New Roman" w:cs="Times New Roman"/>
          <w:bCs/>
          <w:sz w:val="28"/>
          <w:szCs w:val="28"/>
          <w:bdr w:val="none" w:sz="0" w:space="0" w:color="auto" w:frame="1"/>
          <w:shd w:val="clear" w:color="auto" w:fill="FFFFFF"/>
        </w:rPr>
        <w:t xml:space="preserve">el </w:t>
      </w:r>
      <w:r w:rsidRPr="000149EE">
        <w:rPr>
          <w:rFonts w:ascii="Times New Roman" w:hAnsi="Times New Roman" w:cs="Times New Roman"/>
          <w:bCs/>
          <w:iCs/>
          <w:sz w:val="28"/>
          <w:szCs w:val="28"/>
          <w:bdr w:val="none" w:sz="0" w:space="0" w:color="auto" w:frame="1"/>
          <w:shd w:val="clear" w:color="auto" w:fill="FFFFFF"/>
        </w:rPr>
        <w:t xml:space="preserve">mandato de trato idéntico </w:t>
      </w:r>
      <w:r w:rsidRPr="000149EE">
        <w:rPr>
          <w:rFonts w:ascii="Times New Roman" w:hAnsi="Times New Roman" w:cs="Times New Roman"/>
          <w:bCs/>
          <w:sz w:val="28"/>
          <w:szCs w:val="28"/>
          <w:bdr w:val="none" w:sz="0" w:space="0" w:color="auto" w:frame="1"/>
          <w:shd w:val="clear" w:color="auto" w:fill="FFFFFF"/>
        </w:rPr>
        <w:t>a destinatarios que</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se encuentren en circunstancias idénticas</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sz w:val="28"/>
          <w:szCs w:val="28"/>
          <w:bdr w:val="none" w:sz="0" w:space="0" w:color="auto" w:frame="1"/>
          <w:shd w:val="clear" w:color="auto" w:fill="FFFFFF"/>
          <w:vertAlign w:val="superscript"/>
        </w:rPr>
        <w:footnoteReference w:id="126"/>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i/>
          <w:iCs/>
          <w:sz w:val="28"/>
          <w:szCs w:val="28"/>
          <w:bdr w:val="none" w:sz="0" w:space="0" w:color="auto" w:frame="1"/>
          <w:shd w:val="clear" w:color="auto" w:fill="FFFFFF"/>
        </w:rPr>
        <w:t>(ii)</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 xml:space="preserve">el </w:t>
      </w:r>
      <w:r w:rsidRPr="000149EE">
        <w:rPr>
          <w:rFonts w:ascii="Times New Roman" w:hAnsi="Times New Roman" w:cs="Times New Roman"/>
          <w:bCs/>
          <w:iCs/>
          <w:sz w:val="28"/>
          <w:szCs w:val="28"/>
          <w:bdr w:val="none" w:sz="0" w:space="0" w:color="auto" w:frame="1"/>
          <w:shd w:val="clear" w:color="auto" w:fill="FFFFFF"/>
        </w:rPr>
        <w:t xml:space="preserve">mandato de trato diferente </w:t>
      </w:r>
      <w:r w:rsidRPr="000149EE">
        <w:rPr>
          <w:rFonts w:ascii="Times New Roman" w:hAnsi="Times New Roman" w:cs="Times New Roman"/>
          <w:bCs/>
          <w:sz w:val="28"/>
          <w:szCs w:val="28"/>
          <w:bdr w:val="none" w:sz="0" w:space="0" w:color="auto" w:frame="1"/>
          <w:shd w:val="clear" w:color="auto" w:fill="FFFFFF"/>
        </w:rPr>
        <w:t>a destinatarios</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 xml:space="preserve">cuyas situaciones no comparten </w:t>
      </w:r>
      <w:r w:rsidRPr="000149EE">
        <w:rPr>
          <w:rFonts w:ascii="Times New Roman" w:hAnsi="Times New Roman" w:cs="Times New Roman"/>
          <w:bCs/>
          <w:sz w:val="28"/>
          <w:szCs w:val="28"/>
          <w:bdr w:val="none" w:sz="0" w:space="0" w:color="auto" w:frame="1"/>
          <w:shd w:val="clear" w:color="auto" w:fill="FFFFFF"/>
        </w:rPr>
        <w:t>ningún</w:t>
      </w:r>
      <w:r w:rsidRPr="000149EE">
        <w:rPr>
          <w:rFonts w:ascii="Times New Roman" w:hAnsi="Times New Roman" w:cs="Times New Roman"/>
          <w:bCs/>
          <w:iCs/>
          <w:sz w:val="28"/>
          <w:szCs w:val="28"/>
          <w:bdr w:val="none" w:sz="0" w:space="0" w:color="auto" w:frame="1"/>
          <w:shd w:val="clear" w:color="auto" w:fill="FFFFFF"/>
        </w:rPr>
        <w:t xml:space="preserve"> elemento en común</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sz w:val="28"/>
          <w:szCs w:val="28"/>
          <w:bdr w:val="none" w:sz="0" w:space="0" w:color="auto" w:frame="1"/>
          <w:shd w:val="clear" w:color="auto" w:fill="FFFFFF"/>
          <w:vertAlign w:val="superscript"/>
        </w:rPr>
        <w:footnoteReference w:id="127"/>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i/>
          <w:iCs/>
          <w:sz w:val="28"/>
          <w:szCs w:val="28"/>
          <w:bdr w:val="none" w:sz="0" w:space="0" w:color="auto" w:frame="1"/>
          <w:shd w:val="clear" w:color="auto" w:fill="FFFFFF"/>
        </w:rPr>
        <w:t>(iii)</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 xml:space="preserve">el </w:t>
      </w:r>
      <w:r w:rsidRPr="000149EE">
        <w:rPr>
          <w:rFonts w:ascii="Times New Roman" w:hAnsi="Times New Roman" w:cs="Times New Roman"/>
          <w:bCs/>
          <w:iCs/>
          <w:sz w:val="28"/>
          <w:szCs w:val="28"/>
          <w:bdr w:val="none" w:sz="0" w:space="0" w:color="auto" w:frame="1"/>
          <w:shd w:val="clear" w:color="auto" w:fill="FFFFFF"/>
        </w:rPr>
        <w:t>mandato de trato simila</w:t>
      </w:r>
      <w:r w:rsidRPr="000149EE">
        <w:rPr>
          <w:rFonts w:ascii="Times New Roman" w:hAnsi="Times New Roman" w:cs="Times New Roman"/>
          <w:bCs/>
          <w:iCs/>
          <w:sz w:val="28"/>
          <w:szCs w:val="28"/>
          <w:bdr w:val="none" w:sz="0" w:space="0" w:color="auto" w:frame="1"/>
          <w:shd w:val="clear" w:color="auto" w:fill="FFFFFF"/>
        </w:rPr>
        <w:t>r</w:t>
      </w:r>
      <w:r w:rsidRPr="000149EE">
        <w:rPr>
          <w:rFonts w:ascii="Times New Roman" w:hAnsi="Times New Roman" w:cs="Times New Roman"/>
          <w:bCs/>
          <w:sz w:val="28"/>
          <w:szCs w:val="28"/>
          <w:bdr w:val="none" w:sz="0" w:space="0" w:color="auto" w:frame="1"/>
          <w:shd w:val="clear" w:color="auto" w:fill="FFFFFF"/>
        </w:rPr>
        <w:t xml:space="preserve"> a destinatarios</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cuyas situaciones presenten similitudes y diferencias, pero las similitudes sean más relevantes a pesar de las diferencias</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sz w:val="28"/>
          <w:szCs w:val="28"/>
          <w:bdr w:val="none" w:sz="0" w:space="0" w:color="auto" w:frame="1"/>
          <w:shd w:val="clear" w:color="auto" w:fill="FFFFFF"/>
          <w:vertAlign w:val="superscript"/>
        </w:rPr>
        <w:footnoteReference w:id="128"/>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y, por último,</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i/>
          <w:iCs/>
          <w:sz w:val="28"/>
          <w:szCs w:val="28"/>
          <w:bdr w:val="none" w:sz="0" w:space="0" w:color="auto" w:frame="1"/>
          <w:shd w:val="clear" w:color="auto" w:fill="FFFFFF"/>
        </w:rPr>
        <w:t>(iv)</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 xml:space="preserve">el mandato de </w:t>
      </w:r>
      <w:r w:rsidRPr="000149EE">
        <w:rPr>
          <w:rFonts w:ascii="Times New Roman" w:hAnsi="Times New Roman" w:cs="Times New Roman"/>
          <w:bCs/>
          <w:iCs/>
          <w:sz w:val="28"/>
          <w:szCs w:val="28"/>
          <w:bdr w:val="none" w:sz="0" w:space="0" w:color="auto" w:frame="1"/>
          <w:shd w:val="clear" w:color="auto" w:fill="FFFFFF"/>
        </w:rPr>
        <w:t xml:space="preserve">trato diferenciado relativo </w:t>
      </w:r>
      <w:r w:rsidRPr="000149EE">
        <w:rPr>
          <w:rFonts w:ascii="Times New Roman" w:hAnsi="Times New Roman" w:cs="Times New Roman"/>
          <w:bCs/>
          <w:sz w:val="28"/>
          <w:szCs w:val="28"/>
          <w:bdr w:val="none" w:sz="0" w:space="0" w:color="auto" w:frame="1"/>
          <w:shd w:val="clear" w:color="auto" w:fill="FFFFFF"/>
        </w:rPr>
        <w:t>a destinatarios que</w:t>
      </w:r>
      <w:r w:rsidRPr="000149EE">
        <w:rPr>
          <w:rFonts w:ascii="Times New Roman" w:hAnsi="Times New Roman" w:cs="Times New Roman"/>
          <w:bCs/>
          <w:iCs/>
          <w:sz w:val="28"/>
          <w:szCs w:val="28"/>
          <w:bdr w:val="none" w:sz="0" w:space="0" w:color="auto" w:frame="1"/>
          <w:shd w:val="clear" w:color="auto" w:fill="FFFFFF"/>
        </w:rPr>
        <w:t xml:space="preserve"> </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iCs/>
          <w:sz w:val="28"/>
          <w:szCs w:val="28"/>
          <w:bdr w:val="none" w:sz="0" w:space="0" w:color="auto" w:frame="1"/>
          <w:shd w:val="clear" w:color="auto" w:fill="FFFFFF"/>
        </w:rPr>
        <w:t xml:space="preserve">se encuentren también en una </w:t>
      </w:r>
      <w:r w:rsidRPr="000149EE">
        <w:rPr>
          <w:rFonts w:ascii="Times New Roman" w:hAnsi="Times New Roman" w:cs="Times New Roman"/>
          <w:bCs/>
          <w:iCs/>
          <w:sz w:val="28"/>
          <w:szCs w:val="28"/>
          <w:bdr w:val="none" w:sz="0" w:space="0" w:color="auto" w:frame="1"/>
          <w:shd w:val="clear" w:color="auto" w:fill="FFFFFF"/>
        </w:rPr>
        <w:t>posición en parte similar y en parte diversa, pero en cuyo caso las diferencias sean más relevantes que las similitudes</w:t>
      </w:r>
      <w:r w:rsidRPr="000149EE">
        <w:rPr>
          <w:rFonts w:ascii="Times New Roman" w:hAnsi="Times New Roman" w:cs="Times New Roman"/>
          <w:bCs/>
          <w:sz w:val="28"/>
          <w:szCs w:val="28"/>
          <w:bdr w:val="none" w:sz="0" w:space="0" w:color="auto" w:frame="1"/>
          <w:shd w:val="clear" w:color="auto" w:fill="FFFFFF"/>
        </w:rPr>
        <w:t>”</w:t>
      </w:r>
      <w:r w:rsidRPr="000149EE">
        <w:rPr>
          <w:rFonts w:ascii="Times New Roman" w:hAnsi="Times New Roman" w:cs="Times New Roman"/>
          <w:bCs/>
          <w:sz w:val="28"/>
          <w:szCs w:val="28"/>
          <w:bdr w:val="none" w:sz="0" w:space="0" w:color="auto" w:frame="1"/>
          <w:shd w:val="clear" w:color="auto" w:fill="FFFFFF"/>
          <w:vertAlign w:val="superscript"/>
        </w:rPr>
        <w:footnoteReference w:id="129"/>
      </w:r>
      <w:r w:rsidRPr="000149EE">
        <w:rPr>
          <w:rFonts w:ascii="Times New Roman" w:hAnsi="Times New Roman" w:cs="Times New Roman"/>
          <w:bCs/>
          <w:sz w:val="28"/>
          <w:szCs w:val="28"/>
          <w:bdr w:val="none" w:sz="0" w:space="0" w:color="auto" w:frame="1"/>
          <w:shd w:val="clear" w:color="auto" w:fill="FFFFFF"/>
        </w:rPr>
        <w:t xml:space="preserve">. </w:t>
      </w:r>
    </w:p>
    <w:p w:rsidR="00147463" w:rsidRPr="000149EE" w:rsidRDefault="000149EE" w:rsidP="001A47E2">
      <w:pPr>
        <w:pStyle w:val="Prrafodelista"/>
        <w:widowControl w:val="0"/>
        <w:spacing w:line="240" w:lineRule="auto"/>
        <w:ind w:left="0"/>
        <w:rPr>
          <w:rFonts w:ascii="Times New Roman" w:hAnsi="Times New Roman"/>
          <w:bCs/>
          <w:sz w:val="28"/>
          <w:bdr w:val="none" w:sz="0" w:space="0" w:color="auto" w:frame="1"/>
          <w:shd w:val="clear" w:color="auto" w:fill="FFFFFF"/>
        </w:rPr>
      </w:pPr>
    </w:p>
    <w:p w:rsidR="00147463" w:rsidRPr="000149EE" w:rsidRDefault="000149EE" w:rsidP="009D4F8D">
      <w:pPr>
        <w:numPr>
          <w:ilvl w:val="0"/>
          <w:numId w:val="3"/>
        </w:numPr>
        <w:tabs>
          <w:tab w:val="left" w:pos="567"/>
        </w:tabs>
        <w:ind w:left="0" w:firstLine="0"/>
        <w:rPr>
          <w:rFonts w:ascii="Times New Roman" w:hAnsi="Times New Roman" w:cs="Times New Roman"/>
          <w:bCs/>
          <w:sz w:val="28"/>
          <w:szCs w:val="28"/>
          <w:bdr w:val="none" w:sz="0" w:space="0" w:color="auto" w:frame="1"/>
          <w:shd w:val="clear" w:color="auto" w:fill="FFFFFF"/>
        </w:rPr>
      </w:pPr>
      <w:r w:rsidRPr="000149EE">
        <w:rPr>
          <w:rFonts w:ascii="Times New Roman" w:hAnsi="Times New Roman" w:cs="Times New Roman"/>
          <w:bCs/>
          <w:sz w:val="28"/>
          <w:szCs w:val="28"/>
          <w:bdr w:val="none" w:sz="0" w:space="0" w:color="auto" w:frame="1"/>
          <w:shd w:val="clear" w:color="auto" w:fill="FFFFFF"/>
        </w:rPr>
        <w:t>El principio de igualdad no exige que el Legislador otorgue un trato “mecánico y matemáticamente”</w:t>
      </w:r>
      <w:r w:rsidRPr="000149EE">
        <w:rPr>
          <w:rFonts w:ascii="Times New Roman" w:hAnsi="Times New Roman" w:cs="Times New Roman"/>
          <w:bCs/>
          <w:sz w:val="28"/>
          <w:szCs w:val="28"/>
          <w:bdr w:val="none" w:sz="0" w:space="0" w:color="auto" w:frame="1"/>
          <w:shd w:val="clear" w:color="auto" w:fill="FFFFFF"/>
          <w:vertAlign w:val="superscript"/>
        </w:rPr>
        <w:footnoteReference w:id="130"/>
      </w:r>
      <w:r w:rsidRPr="000149EE">
        <w:rPr>
          <w:rFonts w:ascii="Times New Roman" w:hAnsi="Times New Roman" w:cs="Times New Roman"/>
          <w:bCs/>
          <w:sz w:val="28"/>
          <w:szCs w:val="28"/>
          <w:bdr w:val="none" w:sz="0" w:space="0" w:color="auto" w:frame="1"/>
          <w:shd w:val="clear" w:color="auto" w:fill="FFFFFF"/>
        </w:rPr>
        <w:t xml:space="preserve"> paritario y cree “una multiplici</w:t>
      </w:r>
      <w:r w:rsidRPr="000149EE">
        <w:rPr>
          <w:rFonts w:ascii="Times New Roman" w:hAnsi="Times New Roman" w:cs="Times New Roman"/>
          <w:bCs/>
          <w:sz w:val="28"/>
          <w:szCs w:val="28"/>
          <w:bdr w:val="none" w:sz="0" w:space="0" w:color="auto" w:frame="1"/>
          <w:shd w:val="clear" w:color="auto" w:fill="FFFFFF"/>
        </w:rPr>
        <w:t>dad de regímenes jurídicos atendiendo todas las diferencias”</w:t>
      </w:r>
      <w:r w:rsidRPr="000149EE">
        <w:rPr>
          <w:rFonts w:ascii="Times New Roman" w:hAnsi="Times New Roman" w:cs="Times New Roman"/>
          <w:bCs/>
          <w:sz w:val="28"/>
          <w:szCs w:val="28"/>
          <w:bdr w:val="none" w:sz="0" w:space="0" w:color="auto" w:frame="1"/>
          <w:shd w:val="clear" w:color="auto" w:fill="FFFFFF"/>
          <w:vertAlign w:val="superscript"/>
        </w:rPr>
        <w:footnoteReference w:id="131"/>
      </w:r>
      <w:r w:rsidRPr="000149EE">
        <w:rPr>
          <w:rFonts w:ascii="Times New Roman" w:hAnsi="Times New Roman" w:cs="Times New Roman"/>
          <w:bCs/>
          <w:sz w:val="28"/>
          <w:szCs w:val="28"/>
          <w:bdr w:val="none" w:sz="0" w:space="0" w:color="auto" w:frame="1"/>
          <w:shd w:val="clear" w:color="auto" w:fill="FFFFFF"/>
        </w:rPr>
        <w:t>. Por el contrario, el Legislador está facultado para “simplificar las relaciones sociales”</w:t>
      </w:r>
      <w:r w:rsidRPr="000149EE">
        <w:rPr>
          <w:rFonts w:ascii="Times New Roman" w:hAnsi="Times New Roman" w:cs="Times New Roman"/>
          <w:bCs/>
          <w:sz w:val="28"/>
          <w:szCs w:val="28"/>
          <w:bdr w:val="none" w:sz="0" w:space="0" w:color="auto" w:frame="1"/>
          <w:shd w:val="clear" w:color="auto" w:fill="FFFFFF"/>
          <w:vertAlign w:val="superscript"/>
        </w:rPr>
        <w:footnoteReference w:id="132"/>
      </w:r>
      <w:r w:rsidRPr="000149EE">
        <w:rPr>
          <w:rFonts w:ascii="Times New Roman" w:hAnsi="Times New Roman" w:cs="Times New Roman"/>
          <w:bCs/>
          <w:sz w:val="28"/>
          <w:szCs w:val="28"/>
          <w:bdr w:val="none" w:sz="0" w:space="0" w:color="auto" w:frame="1"/>
          <w:shd w:val="clear" w:color="auto" w:fill="FFFFFF"/>
        </w:rPr>
        <w:t xml:space="preserve"> y ordenar “de manera similar situaciones de hecho diferentes”</w:t>
      </w:r>
      <w:r w:rsidRPr="000149EE">
        <w:rPr>
          <w:rFonts w:ascii="Times New Roman" w:hAnsi="Times New Roman" w:cs="Times New Roman"/>
          <w:bCs/>
          <w:sz w:val="28"/>
          <w:szCs w:val="28"/>
          <w:bdr w:val="none" w:sz="0" w:space="0" w:color="auto" w:frame="1"/>
          <w:shd w:val="clear" w:color="auto" w:fill="FFFFFF"/>
          <w:vertAlign w:val="superscript"/>
        </w:rPr>
        <w:footnoteReference w:id="133"/>
      </w:r>
      <w:r w:rsidRPr="000149EE">
        <w:rPr>
          <w:rFonts w:ascii="Times New Roman" w:hAnsi="Times New Roman" w:cs="Times New Roman"/>
          <w:bCs/>
          <w:sz w:val="28"/>
          <w:szCs w:val="28"/>
          <w:bdr w:val="none" w:sz="0" w:space="0" w:color="auto" w:frame="1"/>
          <w:shd w:val="clear" w:color="auto" w:fill="FFFFFF"/>
        </w:rPr>
        <w:t>, siempre que las diferenciaciones que i</w:t>
      </w:r>
      <w:r w:rsidRPr="000149EE">
        <w:rPr>
          <w:rFonts w:ascii="Times New Roman" w:hAnsi="Times New Roman" w:cs="Times New Roman"/>
          <w:bCs/>
          <w:sz w:val="28"/>
          <w:szCs w:val="28"/>
          <w:bdr w:val="none" w:sz="0" w:space="0" w:color="auto" w:frame="1"/>
          <w:shd w:val="clear" w:color="auto" w:fill="FFFFFF"/>
        </w:rPr>
        <w:t>mponga con fundamento en un determinado criterio de comparación sean razonables en atención a la finalidad de la norma</w:t>
      </w:r>
      <w:r w:rsidRPr="000149EE">
        <w:rPr>
          <w:rFonts w:ascii="Times New Roman" w:hAnsi="Times New Roman" w:cs="Times New Roman"/>
          <w:bCs/>
          <w:sz w:val="28"/>
          <w:szCs w:val="28"/>
          <w:bdr w:val="none" w:sz="0" w:space="0" w:color="auto" w:frame="1"/>
          <w:shd w:val="clear" w:color="auto" w:fill="FFFFFF"/>
          <w:vertAlign w:val="superscript"/>
        </w:rPr>
        <w:footnoteReference w:id="134"/>
      </w:r>
      <w:r w:rsidRPr="000149EE">
        <w:rPr>
          <w:rFonts w:ascii="Times New Roman" w:hAnsi="Times New Roman" w:cs="Times New Roman"/>
          <w:bCs/>
          <w:sz w:val="28"/>
          <w:szCs w:val="28"/>
          <w:bdr w:val="none" w:sz="0" w:space="0" w:color="auto" w:frame="1"/>
          <w:shd w:val="clear" w:color="auto" w:fill="FFFFFF"/>
        </w:rPr>
        <w:t>.</w:t>
      </w:r>
    </w:p>
    <w:p w:rsidR="00147463" w:rsidRPr="000149EE" w:rsidRDefault="000149EE" w:rsidP="001A47E2">
      <w:pPr>
        <w:tabs>
          <w:tab w:val="left" w:pos="0"/>
          <w:tab w:val="left" w:pos="567"/>
          <w:tab w:val="left" w:pos="709"/>
          <w:tab w:val="left" w:pos="851"/>
        </w:tabs>
        <w:contextualSpacing/>
        <w:rPr>
          <w:rFonts w:ascii="Times New Roman" w:eastAsia="Times New Roman" w:hAnsi="Times New Roman" w:cs="Times New Roman"/>
          <w:bCs/>
          <w:sz w:val="28"/>
          <w:szCs w:val="28"/>
          <w:bdr w:val="none" w:sz="0" w:space="0" w:color="auto" w:frame="1"/>
          <w:shd w:val="clear" w:color="auto" w:fill="FFFFFF"/>
          <w:lang w:eastAsia="es-ES_tradnl"/>
        </w:rPr>
      </w:pPr>
    </w:p>
    <w:p w:rsidR="00147463"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eastAsia="Times New Roman" w:hAnsi="Times New Roman" w:cs="Times New Roman"/>
          <w:bCs/>
          <w:i/>
          <w:iCs/>
          <w:sz w:val="28"/>
          <w:szCs w:val="28"/>
          <w:bdr w:val="none" w:sz="0" w:space="0" w:color="auto" w:frame="1"/>
          <w:shd w:val="clear" w:color="auto" w:fill="FFFFFF"/>
          <w:lang w:eastAsia="es-ES_tradnl"/>
        </w:rPr>
        <w:t>El principio de equidad tributaria.</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El principio de equidad tributaria está previsto por los artículos 95.9 y 363 de la Constitución Política. El artículo 95.9 de la Constitución prescribe que los ciudadanos deben “contribuir al financiamiento de los gastos e inversiones del Estado dentro d</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e conceptos de justicia y equidad”. Por su parte, el artículo 363 de la Constitución dispone que “el sistema tributario se funda en los principios de equidad, eficiencia y progresividad”. El principio de equidad tributaria exige que el legislador disponga </w:t>
      </w:r>
      <w:r w:rsidRPr="000149EE">
        <w:rPr>
          <w:rFonts w:ascii="Times New Roman" w:eastAsia="Times New Roman" w:hAnsi="Times New Roman" w:cs="Times New Roman"/>
          <w:bCs/>
          <w:sz w:val="28"/>
          <w:szCs w:val="28"/>
          <w:bdr w:val="none" w:sz="0" w:space="0" w:color="auto" w:frame="1"/>
          <w:shd w:val="clear" w:color="auto" w:fill="FFFFFF"/>
          <w:lang w:eastAsia="es-ES_tradnl"/>
        </w:rPr>
        <w:t>una “justa distribución”</w:t>
      </w:r>
      <w:r w:rsidRPr="000149EE">
        <w:rPr>
          <w:rFonts w:ascii="Times New Roman" w:eastAsia="Times New Roman" w:hAnsi="Times New Roman" w:cs="Times New Roman"/>
          <w:bCs/>
          <w:sz w:val="28"/>
          <w:szCs w:val="28"/>
          <w:bdr w:val="none" w:sz="0" w:space="0" w:color="auto" w:frame="1"/>
          <w:shd w:val="clear" w:color="auto" w:fill="FFFFFF"/>
          <w:vertAlign w:val="superscript"/>
          <w:lang w:eastAsia="es-ES_tradnl"/>
        </w:rPr>
        <w:footnoteReference w:id="135"/>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de las obligaciones fiscales “según criterios de generalidad, uniformidad y progresividad”</w:t>
      </w:r>
      <w:r w:rsidRPr="000149EE">
        <w:rPr>
          <w:rFonts w:ascii="Times New Roman" w:eastAsia="Times New Roman" w:hAnsi="Times New Roman" w:cs="Times New Roman"/>
          <w:bCs/>
          <w:sz w:val="28"/>
          <w:szCs w:val="28"/>
          <w:bdr w:val="none" w:sz="0" w:space="0" w:color="auto" w:frame="1"/>
          <w:shd w:val="clear" w:color="auto" w:fill="FFFFFF"/>
          <w:vertAlign w:val="superscript"/>
          <w:lang w:eastAsia="es-ES_tradnl"/>
        </w:rPr>
        <w:footnoteReference w:id="136"/>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y, de esa forma, se abstenga de instituir “cargas excesivas o beneficios [tributarios] exagerados”</w:t>
      </w:r>
      <w:r w:rsidRPr="000149EE">
        <w:rPr>
          <w:rFonts w:ascii="Times New Roman" w:eastAsia="Times New Roman" w:hAnsi="Times New Roman" w:cs="Times New Roman"/>
          <w:bCs/>
          <w:sz w:val="28"/>
          <w:szCs w:val="28"/>
          <w:bdr w:val="none" w:sz="0" w:space="0" w:color="auto" w:frame="1"/>
          <w:shd w:val="clear" w:color="auto" w:fill="FFFFFF"/>
          <w:vertAlign w:val="superscript"/>
          <w:lang w:eastAsia="es-ES_tradnl"/>
        </w:rPr>
        <w:footnoteReference w:id="137"/>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que no consulten “la capacidad económi</w:t>
      </w:r>
      <w:r w:rsidRPr="000149EE">
        <w:rPr>
          <w:rFonts w:ascii="Times New Roman" w:eastAsia="Times New Roman" w:hAnsi="Times New Roman" w:cs="Times New Roman"/>
          <w:bCs/>
          <w:sz w:val="28"/>
          <w:szCs w:val="28"/>
          <w:bdr w:val="none" w:sz="0" w:space="0" w:color="auto" w:frame="1"/>
          <w:shd w:val="clear" w:color="auto" w:fill="FFFFFF"/>
          <w:lang w:eastAsia="es-ES_tradnl"/>
        </w:rPr>
        <w:t>ca de los sujetos pasivos en razón a la naturaleza y fines del impuesto en cuestión”</w:t>
      </w:r>
      <w:r w:rsidRPr="000149EE">
        <w:rPr>
          <w:rFonts w:ascii="Times New Roman" w:eastAsia="Times New Roman" w:hAnsi="Times New Roman" w:cs="Times New Roman"/>
          <w:bCs/>
          <w:sz w:val="28"/>
          <w:szCs w:val="28"/>
          <w:bdr w:val="none" w:sz="0" w:space="0" w:color="auto" w:frame="1"/>
          <w:shd w:val="clear" w:color="auto" w:fill="FFFFFF"/>
          <w:vertAlign w:val="superscript"/>
          <w:lang w:eastAsia="es-ES_tradnl"/>
        </w:rPr>
        <w:footnoteReference w:id="138"/>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p>
    <w:p w:rsidR="00147463" w:rsidRPr="000149EE" w:rsidRDefault="000149EE" w:rsidP="001A47E2">
      <w:pPr>
        <w:tabs>
          <w:tab w:val="left" w:pos="0"/>
          <w:tab w:val="left" w:pos="567"/>
          <w:tab w:val="left" w:pos="709"/>
          <w:tab w:val="left" w:pos="851"/>
        </w:tabs>
        <w:contextualSpacing/>
        <w:rPr>
          <w:rFonts w:ascii="Times New Roman" w:eastAsia="Times New Roman" w:hAnsi="Times New Roman" w:cs="Times New Roman"/>
          <w:bCs/>
          <w:sz w:val="28"/>
          <w:szCs w:val="28"/>
          <w:bdr w:val="none" w:sz="0" w:space="0" w:color="auto" w:frame="1"/>
          <w:shd w:val="clear" w:color="auto" w:fill="FFFFFF"/>
          <w:lang w:eastAsia="es-ES_tradnl"/>
        </w:rPr>
      </w:pPr>
    </w:p>
    <w:p w:rsidR="00147463"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eastAsia="Times New Roman" w:hAnsi="Times New Roman" w:cs="Times New Roman"/>
          <w:bCs/>
          <w:sz w:val="28"/>
          <w:szCs w:val="28"/>
          <w:bdr w:val="none" w:sz="0" w:space="0" w:color="auto" w:frame="1"/>
          <w:shd w:val="clear" w:color="auto" w:fill="FFFFFF"/>
          <w:lang w:eastAsia="es-ES_tradnl"/>
        </w:rPr>
        <w:t>El principio de equidad tributaria tiene dos dimensiones</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39"/>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vertical y horizontal. La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dimensión</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vertical</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identificada con la exigencia de progresividad, exige que “el </w:t>
      </w:r>
      <w:r w:rsidRPr="000149EE">
        <w:rPr>
          <w:rFonts w:ascii="Times New Roman" w:eastAsia="Times New Roman" w:hAnsi="Times New Roman" w:cs="Times New Roman"/>
          <w:bCs/>
          <w:sz w:val="28"/>
          <w:szCs w:val="28"/>
          <w:bdr w:val="none" w:sz="0" w:space="0" w:color="auto" w:frame="1"/>
          <w:shd w:val="clear" w:color="auto" w:fill="FFFFFF"/>
          <w:lang w:eastAsia="es-ES_tradnl"/>
        </w:rPr>
        <w:t>sistema tributario en su integridad sea equitativo”</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0"/>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y ordena “distribuir la carga tributaria de forma que quienes tienen mayor capacidad económica soporten una mayor proporción de gravamen”</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1"/>
      </w:r>
      <w:r w:rsidRPr="000149EE">
        <w:rPr>
          <w:rFonts w:ascii="Times New Roman" w:eastAsia="Times New Roman" w:hAnsi="Times New Roman" w:cs="Times New Roman"/>
          <w:bCs/>
          <w:sz w:val="28"/>
          <w:szCs w:val="28"/>
          <w:bdr w:val="none" w:sz="0" w:space="0" w:color="auto" w:frame="1"/>
          <w:shd w:val="clear" w:color="auto" w:fill="FFFFFF"/>
          <w:lang w:eastAsia="es-ES_tradnl"/>
        </w:rPr>
        <w:t>.</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La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dimensión horizontal</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por su parte,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impone al legislador el </w:t>
      </w:r>
      <w:r w:rsidRPr="000149EE">
        <w:rPr>
          <w:rFonts w:ascii="Times New Roman" w:eastAsia="Times New Roman" w:hAnsi="Times New Roman" w:cs="Times New Roman"/>
          <w:bCs/>
          <w:sz w:val="28"/>
          <w:szCs w:val="28"/>
          <w:bdr w:val="none" w:sz="0" w:space="0" w:color="auto" w:frame="1"/>
          <w:shd w:val="clear" w:color="auto" w:fill="FFFFFF"/>
          <w:lang w:eastAsia="es-ES_tradnl"/>
        </w:rPr>
        <w:t>deber de propender por que los individuos “con capacidad económica igual, o bajo una misma situación fáctica, contribuyan de igual manera”</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2"/>
      </w:r>
      <w:r w:rsidRPr="000149EE">
        <w:rPr>
          <w:rFonts w:ascii="Times New Roman" w:eastAsia="Times New Roman" w:hAnsi="Times New Roman" w:cs="Times New Roman"/>
          <w:bCs/>
          <w:sz w:val="28"/>
          <w:szCs w:val="28"/>
          <w:bdr w:val="none" w:sz="0" w:space="0" w:color="auto" w:frame="1"/>
          <w:shd w:val="clear" w:color="auto" w:fill="FFFFFF"/>
          <w:lang w:eastAsia="es-ES_tradnl"/>
        </w:rPr>
        <w:t>. En otras palabras, “exige que los contribuyentes o hechos económicos que sean análogos reciban un tratamiento tribu</w:t>
      </w:r>
      <w:r w:rsidRPr="000149EE">
        <w:rPr>
          <w:rFonts w:ascii="Times New Roman" w:eastAsia="Times New Roman" w:hAnsi="Times New Roman" w:cs="Times New Roman"/>
          <w:bCs/>
          <w:sz w:val="28"/>
          <w:szCs w:val="28"/>
          <w:bdr w:val="none" w:sz="0" w:space="0" w:color="auto" w:frame="1"/>
          <w:shd w:val="clear" w:color="auto" w:fill="FFFFFF"/>
          <w:lang w:eastAsia="es-ES_tradnl"/>
        </w:rPr>
        <w:t>tario similar”</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3"/>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p>
    <w:p w:rsidR="00147463" w:rsidRPr="000149EE" w:rsidRDefault="000149EE" w:rsidP="001A47E2">
      <w:pPr>
        <w:rPr>
          <w:rFonts w:ascii="Times New Roman" w:eastAsia="Times New Roman" w:hAnsi="Times New Roman" w:cs="Times New Roman"/>
          <w:bCs/>
          <w:sz w:val="28"/>
          <w:szCs w:val="28"/>
          <w:bdr w:val="none" w:sz="0" w:space="0" w:color="auto" w:frame="1"/>
          <w:shd w:val="clear" w:color="auto" w:fill="FFFFFF"/>
          <w:lang w:eastAsia="es-ES_tradnl"/>
        </w:rPr>
      </w:pPr>
    </w:p>
    <w:p w:rsidR="00EA2F9E" w:rsidRPr="000149EE" w:rsidRDefault="000149EE" w:rsidP="009D4F8D">
      <w:pPr>
        <w:numPr>
          <w:ilvl w:val="0"/>
          <w:numId w:val="3"/>
        </w:numPr>
        <w:tabs>
          <w:tab w:val="left" w:pos="567"/>
        </w:tabs>
        <w:ind w:left="0" w:firstLine="0"/>
        <w:rPr>
          <w:rFonts w:ascii="Times New Roman" w:hAnsi="Times New Roman" w:cs="Times New Roman"/>
          <w:sz w:val="28"/>
          <w:szCs w:val="28"/>
        </w:rPr>
      </w:pPr>
      <w:r w:rsidRPr="000149EE">
        <w:rPr>
          <w:rFonts w:ascii="Times New Roman" w:eastAsia="Times New Roman" w:hAnsi="Times New Roman" w:cs="Times New Roman"/>
          <w:bCs/>
          <w:sz w:val="28"/>
          <w:szCs w:val="28"/>
          <w:bdr w:val="none" w:sz="0" w:space="0" w:color="auto" w:frame="1"/>
          <w:shd w:val="clear" w:color="auto" w:fill="FFFFFF"/>
          <w:lang w:eastAsia="es-ES_tradnl"/>
        </w:rPr>
        <w:t>La dimensión horizontal de</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la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equidad tributaria es una clara manifestación del principio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de </w:t>
      </w:r>
      <w:r w:rsidRPr="000149EE">
        <w:rPr>
          <w:rFonts w:ascii="Times New Roman" w:eastAsia="Times New Roman" w:hAnsi="Times New Roman" w:cs="Times New Roman"/>
          <w:bCs/>
          <w:sz w:val="28"/>
          <w:szCs w:val="28"/>
          <w:bdr w:val="none" w:sz="0" w:space="0" w:color="auto" w:frame="1"/>
          <w:shd w:val="clear" w:color="auto" w:fill="FFFFFF"/>
          <w:lang w:eastAsia="es-ES_tradnl"/>
        </w:rPr>
        <w:t>igualdad en las cargas públicas</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4"/>
      </w:r>
      <w:r w:rsidRPr="000149EE">
        <w:rPr>
          <w:rFonts w:ascii="Times New Roman" w:eastAsia="Times New Roman" w:hAnsi="Times New Roman" w:cs="Times New Roman"/>
          <w:bCs/>
          <w:sz w:val="28"/>
          <w:szCs w:val="28"/>
          <w:bdr w:val="none" w:sz="0" w:space="0" w:color="auto" w:frame="1"/>
          <w:shd w:val="clear" w:color="auto" w:fill="FFFFFF"/>
          <w:lang w:eastAsia="es-ES_tradnl"/>
        </w:rPr>
        <w:t>. Lo anterior, por cuanto “es eminentemente relacional y se funda en la comparación entre capacidades económicas</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de los sujetos pasivos del tributo”</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5"/>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Además,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conforme a la jurisprudencia constitucional, esta dimensión </w:t>
      </w:r>
      <w:r w:rsidRPr="000149EE">
        <w:rPr>
          <w:rFonts w:ascii="Times New Roman" w:eastAsia="Times New Roman" w:hAnsi="Times New Roman" w:cs="Times New Roman"/>
          <w:bCs/>
          <w:sz w:val="28"/>
          <w:szCs w:val="28"/>
          <w:bdr w:val="none" w:sz="0" w:space="0" w:color="auto" w:frame="1"/>
          <w:shd w:val="clear" w:color="auto" w:fill="FFFFFF"/>
          <w:lang w:eastAsia="es-ES_tradnl"/>
        </w:rPr>
        <w:t>exige que, en la “formulación singular de las normas impositivas”</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6"/>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el legislador respete en la mayor medida posible los mandatos que derivan del </w:t>
      </w:r>
      <w:r w:rsidRPr="000149EE">
        <w:rPr>
          <w:rFonts w:ascii="Times New Roman" w:eastAsia="Times New Roman" w:hAnsi="Times New Roman" w:cs="Times New Roman"/>
          <w:bCs/>
          <w:sz w:val="28"/>
          <w:szCs w:val="28"/>
          <w:bdr w:val="none" w:sz="0" w:space="0" w:color="auto" w:frame="1"/>
          <w:shd w:val="clear" w:color="auto" w:fill="FFFFFF"/>
          <w:lang w:eastAsia="es-ES_tradnl"/>
        </w:rPr>
        <w:t>principio de igualdad, absteniéndose de imponer cargas o beneficios tributarios irrazonables y desproporcionados</w:t>
      </w:r>
      <w:r w:rsidRPr="000149EE">
        <w:rPr>
          <w:rFonts w:ascii="Times New Roman" w:eastAsiaTheme="majorEastAsia" w:hAnsi="Times New Roman" w:cs="Times New Roman"/>
          <w:bCs/>
          <w:sz w:val="28"/>
          <w:szCs w:val="28"/>
          <w:bdr w:val="none" w:sz="0" w:space="0" w:color="auto" w:frame="1"/>
          <w:shd w:val="clear" w:color="auto" w:fill="FFFFFF"/>
          <w:vertAlign w:val="superscript"/>
          <w:lang w:eastAsia="es-ES_tradnl"/>
        </w:rPr>
        <w:footnoteReference w:id="147"/>
      </w:r>
      <w:r w:rsidRPr="000149EE">
        <w:rPr>
          <w:rFonts w:ascii="Times New Roman" w:eastAsia="Times New Roman" w:hAnsi="Times New Roman" w:cs="Times New Roman"/>
          <w:bCs/>
          <w:sz w:val="28"/>
          <w:szCs w:val="28"/>
          <w:bdr w:val="none" w:sz="0" w:space="0" w:color="auto" w:frame="1"/>
          <w:shd w:val="clear" w:color="auto" w:fill="FFFFFF"/>
          <w:lang w:eastAsia="es-ES_tradnl"/>
        </w:rPr>
        <w:t>.</w:t>
      </w:r>
    </w:p>
    <w:p w:rsidR="00596F41" w:rsidRPr="000149EE" w:rsidRDefault="000149EE" w:rsidP="001A47E2">
      <w:pPr>
        <w:pStyle w:val="Prrafodelista"/>
        <w:widowControl w:val="0"/>
        <w:tabs>
          <w:tab w:val="left" w:pos="0"/>
          <w:tab w:val="left" w:pos="567"/>
          <w:tab w:val="left" w:pos="709"/>
          <w:tab w:val="left" w:pos="851"/>
        </w:tabs>
        <w:spacing w:line="240" w:lineRule="auto"/>
        <w:rPr>
          <w:rFonts w:ascii="Times New Roman" w:hAnsi="Times New Roman"/>
          <w:sz w:val="28"/>
        </w:rPr>
      </w:pPr>
    </w:p>
    <w:p w:rsidR="006145AE" w:rsidRPr="000149EE" w:rsidRDefault="000149EE" w:rsidP="001A47E2">
      <w:pPr>
        <w:pStyle w:val="Prrafodelista"/>
        <w:widowControl w:val="0"/>
        <w:numPr>
          <w:ilvl w:val="0"/>
          <w:numId w:val="17"/>
        </w:numPr>
        <w:spacing w:line="240" w:lineRule="auto"/>
        <w:rPr>
          <w:rFonts w:ascii="Times New Roman" w:hAnsi="Times New Roman"/>
          <w:b/>
          <w:sz w:val="28"/>
        </w:rPr>
      </w:pPr>
      <w:r w:rsidRPr="000149EE">
        <w:rPr>
          <w:rFonts w:ascii="Times New Roman" w:hAnsi="Times New Roman"/>
          <w:b/>
          <w:sz w:val="28"/>
        </w:rPr>
        <w:t>El juicio integrado de igualdad</w:t>
      </w:r>
    </w:p>
    <w:p w:rsidR="006145AE" w:rsidRPr="000149EE" w:rsidRDefault="000149EE" w:rsidP="001A47E2">
      <w:pPr>
        <w:pStyle w:val="Prrafodelista"/>
        <w:widowControl w:val="0"/>
        <w:tabs>
          <w:tab w:val="left" w:pos="0"/>
          <w:tab w:val="left" w:pos="567"/>
          <w:tab w:val="left" w:pos="709"/>
          <w:tab w:val="left" w:pos="851"/>
        </w:tabs>
        <w:spacing w:line="240" w:lineRule="auto"/>
        <w:rPr>
          <w:rFonts w:ascii="Times New Roman" w:hAnsi="Times New Roman"/>
          <w:sz w:val="28"/>
        </w:rPr>
      </w:pPr>
    </w:p>
    <w:p w:rsidR="006145AE"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eastAsia="Times New Roman" w:hAnsi="Times New Roman" w:cs="Times New Roman"/>
          <w:bCs/>
          <w:sz w:val="28"/>
          <w:szCs w:val="28"/>
          <w:bdr w:val="none" w:sz="0" w:space="0" w:color="auto" w:frame="1"/>
          <w:shd w:val="clear" w:color="auto" w:fill="FFFFFF"/>
          <w:lang w:eastAsia="es-ES_tradnl"/>
        </w:rPr>
        <w:t>El juicio integrado de igualdad es la metodología que la jurisprudencia constitucional ha diseñado y aplica</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do para valorar la constitucionalidad de normas que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(i)</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“plantean una aparente violación al principio de igualdad”</w:t>
      </w:r>
      <w:r w:rsidRPr="000149EE">
        <w:rPr>
          <w:rFonts w:ascii="Times New Roman" w:eastAsia="Times New Roman" w:hAnsi="Times New Roman" w:cs="Times New Roman"/>
          <w:bCs/>
          <w:sz w:val="28"/>
          <w:szCs w:val="28"/>
          <w:bdr w:val="none" w:sz="0" w:space="0" w:color="auto" w:frame="1"/>
          <w:shd w:val="clear" w:color="auto" w:fill="FFFFFF"/>
          <w:vertAlign w:val="superscript"/>
          <w:lang w:eastAsia="es-ES_tradnl"/>
        </w:rPr>
        <w:footnoteReference w:id="148"/>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y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(ii)</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afectan la dimensión horizontal del principio de equidad tributaria al imponer cargas o beneficios tributarios diferenciados a contribuyentes con capacidad contributiva similar</w:t>
      </w:r>
      <w:r w:rsidRPr="000149EE">
        <w:rPr>
          <w:rFonts w:ascii="Times New Roman" w:eastAsia="Times New Roman" w:hAnsi="Times New Roman" w:cs="Times New Roman"/>
          <w:bCs/>
          <w:sz w:val="28"/>
          <w:szCs w:val="28"/>
          <w:bdr w:val="none" w:sz="0" w:space="0" w:color="auto" w:frame="1"/>
          <w:shd w:val="clear" w:color="auto" w:fill="FFFFFF"/>
          <w:vertAlign w:val="superscript"/>
          <w:lang w:eastAsia="es-ES_tradnl"/>
        </w:rPr>
        <w:footnoteReference w:id="149"/>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hAnsi="Times New Roman" w:cs="Times New Roman"/>
          <w:bCs/>
          <w:iCs/>
          <w:color w:val="000000" w:themeColor="text1"/>
          <w:sz w:val="28"/>
          <w:szCs w:val="28"/>
        </w:rPr>
        <w:t>De acuerdo con la jurisprudencia constitucional</w:t>
      </w:r>
      <w:r w:rsidRPr="000149EE">
        <w:rPr>
          <w:rFonts w:ascii="Times New Roman" w:hAnsi="Times New Roman" w:cs="Times New Roman"/>
          <w:sz w:val="28"/>
          <w:szCs w:val="28"/>
          <w:vertAlign w:val="superscript"/>
        </w:rPr>
        <w:footnoteReference w:id="150"/>
      </w:r>
      <w:r w:rsidRPr="000149EE">
        <w:rPr>
          <w:rFonts w:ascii="Times New Roman" w:hAnsi="Times New Roman" w:cs="Times New Roman"/>
          <w:bCs/>
          <w:iCs/>
          <w:color w:val="000000" w:themeColor="text1"/>
          <w:sz w:val="28"/>
          <w:szCs w:val="28"/>
        </w:rPr>
        <w:t>, este juicio tiene dos etap</w:t>
      </w:r>
      <w:r w:rsidRPr="000149EE">
        <w:rPr>
          <w:rFonts w:ascii="Times New Roman" w:hAnsi="Times New Roman" w:cs="Times New Roman"/>
          <w:bCs/>
          <w:iCs/>
          <w:color w:val="000000" w:themeColor="text1"/>
          <w:sz w:val="28"/>
          <w:szCs w:val="28"/>
        </w:rPr>
        <w:t xml:space="preserve">as: </w:t>
      </w:r>
    </w:p>
    <w:p w:rsidR="006145AE" w:rsidRPr="000149EE" w:rsidRDefault="000149EE" w:rsidP="001A47E2">
      <w:pPr>
        <w:rPr>
          <w:rFonts w:ascii="Times New Roman" w:hAnsi="Times New Roman" w:cs="Times New Roman"/>
          <w:bCs/>
          <w:iCs/>
          <w:color w:val="000000" w:themeColor="text1"/>
          <w:sz w:val="28"/>
          <w:szCs w:val="28"/>
        </w:rPr>
      </w:pPr>
    </w:p>
    <w:p w:rsidR="00A84D15" w:rsidRPr="000149EE" w:rsidRDefault="000149EE" w:rsidP="00A84D15">
      <w:pPr>
        <w:numPr>
          <w:ilvl w:val="1"/>
          <w:numId w:val="3"/>
        </w:numPr>
        <w:tabs>
          <w:tab w:val="left" w:pos="567"/>
        </w:tabs>
        <w:ind w:left="1276" w:hanging="850"/>
        <w:rPr>
          <w:rFonts w:ascii="Times New Roman" w:hAnsi="Times New Roman" w:cs="Times New Roman"/>
          <w:bCs/>
          <w:iCs/>
          <w:color w:val="000000" w:themeColor="text1"/>
          <w:sz w:val="28"/>
          <w:szCs w:val="28"/>
        </w:rPr>
      </w:pPr>
      <w:r w:rsidRPr="000149EE">
        <w:rPr>
          <w:rFonts w:ascii="Times New Roman" w:hAnsi="Times New Roman" w:cs="Times New Roman"/>
          <w:bCs/>
          <w:iCs/>
          <w:color w:val="000000" w:themeColor="text1"/>
          <w:sz w:val="28"/>
          <w:szCs w:val="28"/>
          <w:u w:val="single"/>
        </w:rPr>
        <w:t>Etapa 1</w:t>
      </w:r>
      <w:r w:rsidRPr="000149EE">
        <w:rPr>
          <w:rFonts w:ascii="Times New Roman" w:hAnsi="Times New Roman" w:cs="Times New Roman"/>
          <w:bCs/>
          <w:iCs/>
          <w:color w:val="000000" w:themeColor="text1"/>
          <w:sz w:val="28"/>
          <w:szCs w:val="28"/>
        </w:rPr>
        <w:t xml:space="preserve">. La Corte debe verificar que la norma demandada cause una afectación </w:t>
      </w:r>
      <w:r w:rsidRPr="000149EE">
        <w:rPr>
          <w:rFonts w:ascii="Times New Roman" w:hAnsi="Times New Roman" w:cs="Times New Roman"/>
          <w:bCs/>
          <w:i/>
          <w:color w:val="000000" w:themeColor="text1"/>
          <w:sz w:val="28"/>
          <w:szCs w:val="28"/>
        </w:rPr>
        <w:t>prima facie</w:t>
      </w:r>
      <w:r w:rsidRPr="000149EE">
        <w:rPr>
          <w:rFonts w:ascii="Times New Roman" w:hAnsi="Times New Roman" w:cs="Times New Roman"/>
          <w:bCs/>
          <w:iCs/>
          <w:color w:val="000000" w:themeColor="text1"/>
          <w:sz w:val="28"/>
          <w:szCs w:val="28"/>
        </w:rPr>
        <w:t xml:space="preserve"> contraria al principio de igualdad y equidad tributaria. Esto es, un trato que desconozca algunos de los mandatos que se derivan del carácter relacional del prin</w:t>
      </w:r>
      <w:r w:rsidRPr="000149EE">
        <w:rPr>
          <w:rFonts w:ascii="Times New Roman" w:hAnsi="Times New Roman" w:cs="Times New Roman"/>
          <w:bCs/>
          <w:iCs/>
          <w:color w:val="000000" w:themeColor="text1"/>
          <w:sz w:val="28"/>
          <w:szCs w:val="28"/>
        </w:rPr>
        <w:t xml:space="preserve">cipio de igualdad (ver párr. </w:t>
      </w:r>
      <w:r w:rsidRPr="000149EE">
        <w:rPr>
          <w:rFonts w:ascii="Times New Roman" w:hAnsi="Times New Roman" w:cs="Times New Roman"/>
          <w:bCs/>
          <w:iCs/>
          <w:color w:val="000000" w:themeColor="text1"/>
          <w:sz w:val="28"/>
          <w:szCs w:val="28"/>
        </w:rPr>
        <w:t>96</w:t>
      </w:r>
      <w:r w:rsidRPr="000149EE">
        <w:rPr>
          <w:rFonts w:ascii="Times New Roman" w:hAnsi="Times New Roman" w:cs="Times New Roman"/>
          <w:bCs/>
          <w:iCs/>
          <w:color w:val="000000" w:themeColor="text1"/>
          <w:sz w:val="28"/>
          <w:szCs w:val="28"/>
        </w:rPr>
        <w:t xml:space="preserve"> </w:t>
      </w:r>
      <w:r w:rsidRPr="000149EE">
        <w:rPr>
          <w:rFonts w:ascii="Times New Roman" w:hAnsi="Times New Roman" w:cs="Times New Roman"/>
          <w:bCs/>
          <w:i/>
          <w:color w:val="000000" w:themeColor="text1"/>
          <w:sz w:val="28"/>
          <w:szCs w:val="28"/>
        </w:rPr>
        <w:t>supra</w:t>
      </w:r>
      <w:r w:rsidRPr="000149EE">
        <w:rPr>
          <w:rFonts w:ascii="Times New Roman" w:hAnsi="Times New Roman" w:cs="Times New Roman"/>
          <w:bCs/>
          <w:iCs/>
          <w:color w:val="000000" w:themeColor="text1"/>
          <w:sz w:val="28"/>
          <w:szCs w:val="28"/>
        </w:rPr>
        <w:t xml:space="preserve">). Para ello debe, </w:t>
      </w:r>
      <w:r w:rsidRPr="000149EE">
        <w:rPr>
          <w:rFonts w:ascii="Times New Roman" w:hAnsi="Times New Roman" w:cs="Times New Roman"/>
          <w:bCs/>
          <w:i/>
          <w:iCs/>
          <w:color w:val="000000" w:themeColor="text1"/>
          <w:sz w:val="28"/>
          <w:szCs w:val="28"/>
        </w:rPr>
        <w:t>(i)</w:t>
      </w:r>
      <w:r w:rsidRPr="000149EE">
        <w:rPr>
          <w:rFonts w:ascii="Times New Roman" w:hAnsi="Times New Roman" w:cs="Times New Roman"/>
          <w:bCs/>
          <w:iCs/>
          <w:color w:val="000000" w:themeColor="text1"/>
          <w:sz w:val="28"/>
          <w:szCs w:val="28"/>
        </w:rPr>
        <w:t xml:space="preserve"> identificar cuál es el criterio de comparación “patrón de igualdad o </w:t>
      </w:r>
      <w:r w:rsidRPr="000149EE">
        <w:rPr>
          <w:rFonts w:ascii="Times New Roman" w:hAnsi="Times New Roman" w:cs="Times New Roman"/>
          <w:bCs/>
          <w:i/>
          <w:iCs/>
          <w:color w:val="000000" w:themeColor="text1"/>
          <w:sz w:val="28"/>
          <w:szCs w:val="28"/>
        </w:rPr>
        <w:t>tertium comparationis</w:t>
      </w:r>
      <w:r w:rsidRPr="000149EE">
        <w:rPr>
          <w:rFonts w:ascii="Times New Roman" w:hAnsi="Times New Roman" w:cs="Times New Roman"/>
          <w:bCs/>
          <w:iCs/>
          <w:color w:val="000000" w:themeColor="text1"/>
          <w:sz w:val="28"/>
          <w:szCs w:val="28"/>
        </w:rPr>
        <w:t>”</w:t>
      </w:r>
      <w:r w:rsidRPr="000149EE">
        <w:rPr>
          <w:rFonts w:ascii="Times New Roman" w:hAnsi="Times New Roman" w:cs="Times New Roman"/>
          <w:bCs/>
          <w:iCs/>
          <w:color w:val="000000" w:themeColor="text1"/>
          <w:sz w:val="28"/>
          <w:szCs w:val="28"/>
          <w:vertAlign w:val="superscript"/>
        </w:rPr>
        <w:footnoteReference w:id="151"/>
      </w:r>
      <w:r w:rsidRPr="000149EE">
        <w:rPr>
          <w:rFonts w:ascii="Times New Roman" w:hAnsi="Times New Roman" w:cs="Times New Roman"/>
          <w:bCs/>
          <w:iCs/>
          <w:color w:val="000000" w:themeColor="text1"/>
          <w:sz w:val="28"/>
          <w:szCs w:val="28"/>
        </w:rPr>
        <w:t xml:space="preserve"> y los sujetos comparables,</w:t>
      </w:r>
      <w:r w:rsidRPr="000149EE">
        <w:rPr>
          <w:rFonts w:ascii="Times New Roman" w:hAnsi="Times New Roman" w:cs="Times New Roman"/>
          <w:bCs/>
          <w:i/>
          <w:iCs/>
          <w:color w:val="000000" w:themeColor="text1"/>
          <w:sz w:val="28"/>
          <w:szCs w:val="28"/>
        </w:rPr>
        <w:t xml:space="preserve"> (ii)</w:t>
      </w:r>
      <w:r w:rsidRPr="000149EE">
        <w:rPr>
          <w:rFonts w:ascii="Times New Roman" w:hAnsi="Times New Roman" w:cs="Times New Roman"/>
          <w:bCs/>
          <w:iCs/>
          <w:color w:val="000000" w:themeColor="text1"/>
          <w:sz w:val="28"/>
          <w:szCs w:val="28"/>
        </w:rPr>
        <w:t xml:space="preserve"> determinar si, a la luz de dicho criterio de comparación, los sujetos son comparables desde la perspectiva fáctica y jurídica</w:t>
      </w:r>
      <w:r w:rsidRPr="000149EE">
        <w:rPr>
          <w:rFonts w:ascii="Times New Roman" w:hAnsi="Times New Roman" w:cs="Times New Roman"/>
          <w:bCs/>
          <w:iCs/>
          <w:color w:val="000000" w:themeColor="text1"/>
          <w:sz w:val="28"/>
          <w:szCs w:val="28"/>
          <w:vertAlign w:val="superscript"/>
        </w:rPr>
        <w:footnoteReference w:id="152"/>
      </w:r>
      <w:r w:rsidRPr="000149EE">
        <w:rPr>
          <w:rFonts w:ascii="Times New Roman" w:hAnsi="Times New Roman" w:cs="Times New Roman"/>
          <w:bCs/>
          <w:iCs/>
          <w:color w:val="000000" w:themeColor="text1"/>
          <w:sz w:val="28"/>
          <w:szCs w:val="28"/>
        </w:rPr>
        <w:t xml:space="preserve"> y </w:t>
      </w:r>
      <w:r w:rsidRPr="000149EE">
        <w:rPr>
          <w:rFonts w:ascii="Times New Roman" w:hAnsi="Times New Roman" w:cs="Times New Roman"/>
          <w:bCs/>
          <w:i/>
          <w:iCs/>
          <w:color w:val="000000" w:themeColor="text1"/>
          <w:sz w:val="28"/>
          <w:szCs w:val="28"/>
        </w:rPr>
        <w:t>(iii)</w:t>
      </w:r>
      <w:r w:rsidRPr="000149EE">
        <w:rPr>
          <w:rFonts w:ascii="Times New Roman" w:hAnsi="Times New Roman" w:cs="Times New Roman"/>
          <w:bCs/>
          <w:iCs/>
          <w:color w:val="000000" w:themeColor="text1"/>
          <w:sz w:val="28"/>
          <w:szCs w:val="28"/>
        </w:rPr>
        <w:t xml:space="preserve"> identificar si la norma otorga un trato diferente a los sujetos comparables que contraríe </w:t>
      </w:r>
      <w:r w:rsidRPr="000149EE">
        <w:rPr>
          <w:rFonts w:ascii="Times New Roman" w:hAnsi="Times New Roman" w:cs="Times New Roman"/>
          <w:bCs/>
          <w:iCs/>
          <w:color w:val="000000" w:themeColor="text1"/>
          <w:sz w:val="28"/>
          <w:szCs w:val="28"/>
        </w:rPr>
        <w:t>los mandatos que se derivan de</w:t>
      </w:r>
      <w:r w:rsidRPr="000149EE">
        <w:rPr>
          <w:rFonts w:ascii="Times New Roman" w:hAnsi="Times New Roman" w:cs="Times New Roman"/>
          <w:bCs/>
          <w:iCs/>
          <w:color w:val="000000" w:themeColor="text1"/>
          <w:sz w:val="28"/>
          <w:szCs w:val="28"/>
        </w:rPr>
        <w:t xml:space="preserve"> los principios de igualdad y equidad tributaria</w:t>
      </w:r>
      <w:r w:rsidRPr="000149EE">
        <w:rPr>
          <w:rFonts w:ascii="Times New Roman" w:hAnsi="Times New Roman" w:cs="Times New Roman"/>
          <w:bCs/>
          <w:iCs/>
          <w:color w:val="000000" w:themeColor="text1"/>
          <w:sz w:val="28"/>
          <w:szCs w:val="28"/>
        </w:rPr>
        <w:t>. En esta primera etapa, la afectación a</w:t>
      </w:r>
      <w:r w:rsidRPr="000149EE">
        <w:rPr>
          <w:rFonts w:ascii="Times New Roman" w:hAnsi="Times New Roman" w:cs="Times New Roman"/>
          <w:bCs/>
          <w:iCs/>
          <w:color w:val="000000" w:themeColor="text1"/>
          <w:sz w:val="28"/>
          <w:szCs w:val="28"/>
        </w:rPr>
        <w:t xml:space="preserve"> </w:t>
      </w:r>
      <w:r w:rsidRPr="000149EE">
        <w:rPr>
          <w:rFonts w:ascii="Times New Roman" w:hAnsi="Times New Roman" w:cs="Times New Roman"/>
          <w:bCs/>
          <w:iCs/>
          <w:color w:val="000000" w:themeColor="text1"/>
          <w:sz w:val="28"/>
          <w:szCs w:val="28"/>
        </w:rPr>
        <w:t>l</w:t>
      </w:r>
      <w:r w:rsidRPr="000149EE">
        <w:rPr>
          <w:rFonts w:ascii="Times New Roman" w:hAnsi="Times New Roman" w:cs="Times New Roman"/>
          <w:bCs/>
          <w:iCs/>
          <w:color w:val="000000" w:themeColor="text1"/>
          <w:sz w:val="28"/>
          <w:szCs w:val="28"/>
        </w:rPr>
        <w:t>os</w:t>
      </w:r>
      <w:r w:rsidRPr="000149EE">
        <w:rPr>
          <w:rFonts w:ascii="Times New Roman" w:hAnsi="Times New Roman" w:cs="Times New Roman"/>
          <w:bCs/>
          <w:iCs/>
          <w:color w:val="000000" w:themeColor="text1"/>
          <w:sz w:val="28"/>
          <w:szCs w:val="28"/>
        </w:rPr>
        <w:t xml:space="preserve"> principio</w:t>
      </w:r>
      <w:r w:rsidRPr="000149EE">
        <w:rPr>
          <w:rFonts w:ascii="Times New Roman" w:hAnsi="Times New Roman" w:cs="Times New Roman"/>
          <w:bCs/>
          <w:iCs/>
          <w:color w:val="000000" w:themeColor="text1"/>
          <w:sz w:val="28"/>
          <w:szCs w:val="28"/>
        </w:rPr>
        <w:t>s</w:t>
      </w:r>
      <w:r w:rsidRPr="000149EE">
        <w:rPr>
          <w:rFonts w:ascii="Times New Roman" w:hAnsi="Times New Roman" w:cs="Times New Roman"/>
          <w:bCs/>
          <w:iCs/>
          <w:color w:val="000000" w:themeColor="text1"/>
          <w:sz w:val="28"/>
          <w:szCs w:val="28"/>
        </w:rPr>
        <w:t xml:space="preserve"> de igualdad </w:t>
      </w:r>
      <w:r w:rsidRPr="000149EE">
        <w:rPr>
          <w:rFonts w:ascii="Times New Roman" w:hAnsi="Times New Roman" w:cs="Times New Roman"/>
          <w:bCs/>
          <w:iCs/>
          <w:color w:val="000000" w:themeColor="text1"/>
          <w:sz w:val="28"/>
          <w:szCs w:val="28"/>
        </w:rPr>
        <w:t xml:space="preserve">y equidad tributaria </w:t>
      </w:r>
      <w:r w:rsidRPr="000149EE">
        <w:rPr>
          <w:rFonts w:ascii="Times New Roman" w:hAnsi="Times New Roman" w:cs="Times New Roman"/>
          <w:bCs/>
          <w:iCs/>
          <w:color w:val="000000" w:themeColor="text1"/>
          <w:sz w:val="28"/>
          <w:szCs w:val="28"/>
        </w:rPr>
        <w:t xml:space="preserve">que se identifica es apenas </w:t>
      </w:r>
      <w:r w:rsidRPr="000149EE">
        <w:rPr>
          <w:rFonts w:ascii="Times New Roman" w:hAnsi="Times New Roman" w:cs="Times New Roman"/>
          <w:bCs/>
          <w:i/>
          <w:color w:val="000000" w:themeColor="text1"/>
          <w:sz w:val="28"/>
          <w:szCs w:val="28"/>
        </w:rPr>
        <w:t>prima facie</w:t>
      </w:r>
      <w:r w:rsidRPr="000149EE">
        <w:rPr>
          <w:rFonts w:ascii="Times New Roman" w:hAnsi="Times New Roman" w:cs="Times New Roman"/>
          <w:bCs/>
          <w:iCs/>
          <w:color w:val="000000" w:themeColor="text1"/>
          <w:sz w:val="28"/>
          <w:szCs w:val="28"/>
        </w:rPr>
        <w:t>, debido a que no cualquier norma que restrinja o imponga cargas tributarias dif</w:t>
      </w:r>
      <w:r w:rsidRPr="000149EE">
        <w:rPr>
          <w:rFonts w:ascii="Times New Roman" w:hAnsi="Times New Roman" w:cs="Times New Roman"/>
          <w:bCs/>
          <w:iCs/>
          <w:color w:val="000000" w:themeColor="text1"/>
          <w:sz w:val="28"/>
          <w:szCs w:val="28"/>
        </w:rPr>
        <w:t xml:space="preserve">erenciadas, es </w:t>
      </w:r>
      <w:r w:rsidRPr="000149EE">
        <w:rPr>
          <w:rFonts w:ascii="Times New Roman" w:hAnsi="Times New Roman" w:cs="Times New Roman"/>
          <w:bCs/>
          <w:iCs/>
          <w:color w:val="000000" w:themeColor="text1"/>
          <w:sz w:val="28"/>
          <w:szCs w:val="28"/>
        </w:rPr>
        <w:t>inconstitucional</w:t>
      </w:r>
      <w:r w:rsidRPr="000149EE">
        <w:rPr>
          <w:rFonts w:ascii="Times New Roman" w:hAnsi="Times New Roman" w:cs="Times New Roman"/>
          <w:bCs/>
          <w:iCs/>
          <w:color w:val="000000" w:themeColor="text1"/>
          <w:sz w:val="28"/>
          <w:szCs w:val="28"/>
        </w:rPr>
        <w:t xml:space="preserve">. </w:t>
      </w:r>
      <w:r w:rsidRPr="000149EE">
        <w:rPr>
          <w:rFonts w:ascii="Times New Roman" w:hAnsi="Times New Roman" w:cs="Times New Roman"/>
          <w:bCs/>
          <w:iCs/>
          <w:color w:val="000000" w:themeColor="text1"/>
          <w:sz w:val="28"/>
          <w:szCs w:val="28"/>
        </w:rPr>
        <w:t xml:space="preserve">Sólo son inconstitucionales aquellas afectaciones que carezcan de justificación. </w:t>
      </w:r>
    </w:p>
    <w:p w:rsidR="006145AE" w:rsidRPr="000149EE" w:rsidRDefault="000149EE" w:rsidP="00A84D15">
      <w:pPr>
        <w:numPr>
          <w:ilvl w:val="1"/>
          <w:numId w:val="3"/>
        </w:numPr>
        <w:tabs>
          <w:tab w:val="left" w:pos="567"/>
        </w:tabs>
        <w:ind w:left="1276" w:hanging="850"/>
        <w:rPr>
          <w:rFonts w:ascii="Times New Roman" w:hAnsi="Times New Roman" w:cs="Times New Roman"/>
          <w:bCs/>
          <w:iCs/>
          <w:color w:val="000000" w:themeColor="text1"/>
          <w:sz w:val="28"/>
          <w:szCs w:val="28"/>
        </w:rPr>
      </w:pPr>
      <w:r w:rsidRPr="000149EE">
        <w:rPr>
          <w:rFonts w:ascii="Times New Roman" w:hAnsi="Times New Roman" w:cs="Times New Roman"/>
          <w:bCs/>
          <w:iCs/>
          <w:color w:val="000000" w:themeColor="text1"/>
          <w:sz w:val="28"/>
          <w:szCs w:val="28"/>
          <w:u w:val="single"/>
        </w:rPr>
        <w:t>Etapa 2</w:t>
      </w:r>
      <w:r w:rsidRPr="000149EE">
        <w:rPr>
          <w:rFonts w:ascii="Times New Roman" w:hAnsi="Times New Roman" w:cs="Times New Roman"/>
          <w:i/>
          <w:iCs/>
          <w:color w:val="000000" w:themeColor="text1"/>
          <w:sz w:val="28"/>
          <w:szCs w:val="28"/>
        </w:rPr>
        <w:t xml:space="preserve">. </w:t>
      </w:r>
      <w:r w:rsidRPr="000149EE">
        <w:rPr>
          <w:rFonts w:ascii="Times New Roman" w:hAnsi="Times New Roman" w:cs="Times New Roman"/>
          <w:color w:val="000000" w:themeColor="text1"/>
          <w:sz w:val="28"/>
          <w:szCs w:val="28"/>
        </w:rPr>
        <w:t xml:space="preserve">En esta etapa, </w:t>
      </w:r>
      <w:r w:rsidRPr="000149EE">
        <w:rPr>
          <w:rFonts w:ascii="Times New Roman" w:hAnsi="Times New Roman" w:cs="Times New Roman"/>
          <w:bCs/>
          <w:iCs/>
          <w:color w:val="000000" w:themeColor="text1"/>
          <w:sz w:val="28"/>
          <w:szCs w:val="28"/>
        </w:rPr>
        <w:t xml:space="preserve">corresponde a la Corte examinar si el trato diferente o idéntico </w:t>
      </w:r>
      <w:r w:rsidRPr="000149EE">
        <w:rPr>
          <w:rFonts w:ascii="Times New Roman" w:hAnsi="Times New Roman" w:cs="Times New Roman"/>
          <w:bCs/>
          <w:i/>
          <w:color w:val="000000" w:themeColor="text1"/>
          <w:sz w:val="28"/>
          <w:szCs w:val="28"/>
        </w:rPr>
        <w:t>prima facie</w:t>
      </w:r>
      <w:r w:rsidRPr="000149EE">
        <w:rPr>
          <w:rFonts w:ascii="Times New Roman" w:hAnsi="Times New Roman" w:cs="Times New Roman"/>
          <w:bCs/>
          <w:iCs/>
          <w:color w:val="000000" w:themeColor="text1"/>
          <w:sz w:val="28"/>
          <w:szCs w:val="28"/>
        </w:rPr>
        <w:t xml:space="preserve"> contrario a la Constitución se encuentra constitucionalmente justificado. Para esto debe: </w:t>
      </w:r>
      <w:r w:rsidRPr="000149EE">
        <w:rPr>
          <w:rFonts w:ascii="Times New Roman" w:hAnsi="Times New Roman" w:cs="Times New Roman"/>
          <w:bCs/>
          <w:i/>
          <w:color w:val="000000" w:themeColor="text1"/>
          <w:sz w:val="28"/>
          <w:szCs w:val="28"/>
        </w:rPr>
        <w:t xml:space="preserve">(i) </w:t>
      </w:r>
      <w:r w:rsidRPr="000149EE">
        <w:rPr>
          <w:rFonts w:ascii="Times New Roman" w:hAnsi="Times New Roman" w:cs="Times New Roman"/>
          <w:bCs/>
          <w:iCs/>
          <w:color w:val="000000" w:themeColor="text1"/>
          <w:sz w:val="28"/>
          <w:szCs w:val="28"/>
        </w:rPr>
        <w:t xml:space="preserve">definir la intensidad del juicio de igualdad a partir de la escala tríadica: leve, intermedio y estricto y </w:t>
      </w:r>
      <w:r w:rsidRPr="000149EE">
        <w:rPr>
          <w:rFonts w:ascii="Times New Roman" w:hAnsi="Times New Roman" w:cs="Times New Roman"/>
          <w:bCs/>
          <w:i/>
          <w:color w:val="000000" w:themeColor="text1"/>
          <w:sz w:val="28"/>
          <w:szCs w:val="28"/>
        </w:rPr>
        <w:t>(ii)</w:t>
      </w:r>
      <w:r w:rsidRPr="000149EE">
        <w:rPr>
          <w:rFonts w:ascii="Times New Roman" w:hAnsi="Times New Roman" w:cs="Times New Roman"/>
          <w:bCs/>
          <w:iCs/>
          <w:color w:val="000000" w:themeColor="text1"/>
          <w:sz w:val="28"/>
          <w:szCs w:val="28"/>
        </w:rPr>
        <w:t xml:space="preserve"> analizar la proporcionalidad del trato a partir d</w:t>
      </w:r>
      <w:r w:rsidRPr="000149EE">
        <w:rPr>
          <w:rFonts w:ascii="Times New Roman" w:hAnsi="Times New Roman" w:cs="Times New Roman"/>
          <w:bCs/>
          <w:iCs/>
          <w:color w:val="000000" w:themeColor="text1"/>
          <w:sz w:val="28"/>
          <w:szCs w:val="28"/>
        </w:rPr>
        <w:t>e los subprincipios de idoneidad, necesidad y proporcionalidad en sentido estricto, según corresponda. En caso de que la diferencia de trato tributario no satisfaga las exigencias del juicio de igualdad, deberá concluirse que la norma vulnera los principio</w:t>
      </w:r>
      <w:r w:rsidRPr="000149EE">
        <w:rPr>
          <w:rFonts w:ascii="Times New Roman" w:hAnsi="Times New Roman" w:cs="Times New Roman"/>
          <w:bCs/>
          <w:iCs/>
          <w:color w:val="000000" w:themeColor="text1"/>
          <w:sz w:val="28"/>
          <w:szCs w:val="28"/>
        </w:rPr>
        <w:t xml:space="preserve">s de igualdad y equidad tributaria y ser declarada inexequible o exequible condicionada. </w:t>
      </w:r>
    </w:p>
    <w:p w:rsidR="006145AE" w:rsidRPr="000149EE" w:rsidRDefault="000149EE" w:rsidP="001A47E2">
      <w:pPr>
        <w:rPr>
          <w:rFonts w:ascii="Times New Roman" w:eastAsia="Times New Roman" w:hAnsi="Times New Roman" w:cs="Times New Roman"/>
          <w:bCs/>
          <w:sz w:val="28"/>
          <w:szCs w:val="28"/>
          <w:bdr w:val="none" w:sz="0" w:space="0" w:color="auto" w:frame="1"/>
          <w:shd w:val="clear" w:color="auto" w:fill="FFFFFF"/>
          <w:lang w:eastAsia="es-ES_tradnl"/>
        </w:rPr>
      </w:pPr>
    </w:p>
    <w:p w:rsidR="006145AE"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De acuerdo con la jurisprudencia constitucional, para examinar la constitucionalidad de medidas tributarias que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concedan beneficios tributarios </w:t>
      </w:r>
      <w:r w:rsidRPr="000149EE">
        <w:rPr>
          <w:rFonts w:ascii="Times New Roman" w:eastAsia="Times New Roman" w:hAnsi="Times New Roman" w:cs="Times New Roman"/>
          <w:bCs/>
          <w:sz w:val="28"/>
          <w:szCs w:val="28"/>
          <w:bdr w:val="none" w:sz="0" w:space="0" w:color="auto" w:frame="1"/>
          <w:shd w:val="clear" w:color="auto" w:fill="FFFFFF"/>
          <w:lang w:eastAsia="es-ES_tradnl"/>
        </w:rPr>
        <w:t>o</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impongan cargas tributarias diferenciadas entre sujetos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prima facie</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comp</w:t>
      </w:r>
      <w:r w:rsidRPr="000149EE">
        <w:rPr>
          <w:rFonts w:ascii="Times New Roman" w:eastAsia="Times New Roman" w:hAnsi="Times New Roman" w:cs="Times New Roman"/>
          <w:bCs/>
          <w:sz w:val="28"/>
          <w:szCs w:val="28"/>
          <w:bdr w:val="none" w:sz="0" w:space="0" w:color="auto" w:frame="1"/>
          <w:shd w:val="clear" w:color="auto" w:fill="FFFFFF"/>
          <w:lang w:eastAsia="es-ES_tradnl"/>
        </w:rPr>
        <w:t>a</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rables, la Corte Constitucional debe aplicar, por regla general, un juicio de intensidad leve. Lo anterior, en atención al amplio margen de configuración del legislador en materia </w:t>
      </w:r>
      <w:r w:rsidRPr="000149EE">
        <w:rPr>
          <w:rFonts w:ascii="Times New Roman" w:eastAsia="Times New Roman" w:hAnsi="Times New Roman" w:cs="Times New Roman"/>
          <w:bCs/>
          <w:sz w:val="28"/>
          <w:szCs w:val="28"/>
          <w:bdr w:val="none" w:sz="0" w:space="0" w:color="auto" w:frame="1"/>
          <w:shd w:val="clear" w:color="auto" w:fill="FFFFFF"/>
          <w:lang w:eastAsia="es-ES_tradnl"/>
        </w:rPr>
        <w:t>tributaria, lo que implica que existe “una presunción de constitucionalidad” de las medidas tributarias</w:t>
      </w:r>
      <w:r w:rsidRPr="000149EE">
        <w:rPr>
          <w:rStyle w:val="Refdenotaalpie"/>
          <w:rFonts w:ascii="Times New Roman" w:eastAsia="Times New Roman" w:hAnsi="Times New Roman" w:cs="Times New Roman"/>
          <w:bCs/>
          <w:sz w:val="28"/>
          <w:szCs w:val="28"/>
          <w:bdr w:val="none" w:sz="0" w:space="0" w:color="auto" w:frame="1"/>
          <w:shd w:val="clear" w:color="auto" w:fill="FFFFFF"/>
          <w:lang w:eastAsia="es-ES_tradnl"/>
        </w:rPr>
        <w:footnoteReference w:id="153"/>
      </w:r>
      <w:r w:rsidRPr="000149EE">
        <w:rPr>
          <w:rFonts w:ascii="Times New Roman" w:eastAsia="Times New Roman" w:hAnsi="Times New Roman" w:cs="Times New Roman"/>
          <w:bCs/>
          <w:sz w:val="28"/>
          <w:szCs w:val="28"/>
          <w:bdr w:val="none" w:sz="0" w:space="0" w:color="auto" w:frame="1"/>
          <w:shd w:val="clear" w:color="auto" w:fill="FFFFFF"/>
          <w:lang w:eastAsia="es-ES_tradnl"/>
        </w:rPr>
        <w:t>. Con fundamento en estas consideraciones, al examinar cargos por violación al principio de igualdad y equidad tributaria, derivadas de las medidas trib</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utarias preferenciales previstas en el régimen franco, la Corte Constitucional ha aplicado el juicio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de intensidad </w:t>
      </w:r>
      <w:r w:rsidRPr="000149EE">
        <w:rPr>
          <w:rFonts w:ascii="Times New Roman" w:eastAsia="Times New Roman" w:hAnsi="Times New Roman" w:cs="Times New Roman"/>
          <w:bCs/>
          <w:sz w:val="28"/>
          <w:szCs w:val="28"/>
          <w:bdr w:val="none" w:sz="0" w:space="0" w:color="auto" w:frame="1"/>
          <w:shd w:val="clear" w:color="auto" w:fill="FFFFFF"/>
          <w:lang w:eastAsia="es-ES_tradnl"/>
        </w:rPr>
        <w:t>leve</w:t>
      </w:r>
      <w:r w:rsidRPr="000149EE">
        <w:rPr>
          <w:rStyle w:val="Refdenotaalpie"/>
          <w:rFonts w:ascii="Times New Roman" w:eastAsia="Times New Roman" w:hAnsi="Times New Roman" w:cs="Times New Roman"/>
          <w:bCs/>
          <w:sz w:val="28"/>
          <w:szCs w:val="28"/>
          <w:bdr w:val="none" w:sz="0" w:space="0" w:color="auto" w:frame="1"/>
          <w:shd w:val="clear" w:color="auto" w:fill="FFFFFF"/>
          <w:lang w:eastAsia="es-ES_tradnl"/>
        </w:rPr>
        <w:footnoteReference w:id="154"/>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Asimismo, este tribunal ha indicado que la declaratoria de inexequibilidad de una disposición singular y concreta que prevea un trato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tributario diferenciado solo procede si de ahí se derivan “cargas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excesivas</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o beneficios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exagerados</w:t>
      </w:r>
      <w:r w:rsidRPr="000149EE">
        <w:rPr>
          <w:rFonts w:ascii="Times New Roman" w:eastAsia="Times New Roman" w:hAnsi="Times New Roman" w:cs="Times New Roman"/>
          <w:bCs/>
          <w:sz w:val="28"/>
          <w:szCs w:val="28"/>
          <w:bdr w:val="none" w:sz="0" w:space="0" w:color="auto" w:frame="1"/>
          <w:shd w:val="clear" w:color="auto" w:fill="FFFFFF"/>
          <w:lang w:eastAsia="es-ES_tradnl"/>
        </w:rPr>
        <w:t>”</w:t>
      </w:r>
      <w:r w:rsidRPr="000149EE">
        <w:rPr>
          <w:rStyle w:val="Refdenotaalpie"/>
          <w:rFonts w:ascii="Times New Roman" w:eastAsia="Times New Roman" w:hAnsi="Times New Roman" w:cs="Times New Roman"/>
          <w:bCs/>
          <w:sz w:val="28"/>
          <w:szCs w:val="28"/>
          <w:bdr w:val="none" w:sz="0" w:space="0" w:color="auto" w:frame="1"/>
          <w:shd w:val="clear" w:color="auto" w:fill="FFFFFF"/>
          <w:lang w:eastAsia="es-ES_tradnl"/>
        </w:rPr>
        <w:footnoteReference w:id="155"/>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para algunos contribuyentes que aporten al sistema tributario una “dosis de </w:t>
      </w:r>
      <w:r w:rsidRPr="000149EE">
        <w:rPr>
          <w:rFonts w:ascii="Times New Roman" w:eastAsia="Times New Roman" w:hAnsi="Times New Roman" w:cs="Times New Roman"/>
          <w:bCs/>
          <w:i/>
          <w:iCs/>
          <w:sz w:val="28"/>
          <w:szCs w:val="28"/>
          <w:bdr w:val="none" w:sz="0" w:space="0" w:color="auto" w:frame="1"/>
          <w:shd w:val="clear" w:color="auto" w:fill="FFFFFF"/>
          <w:lang w:eastAsia="es-ES_tradnl"/>
        </w:rPr>
        <w:t>manifiesta</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inequidad, ineficiencia y regresividad”</w:t>
      </w:r>
      <w:r w:rsidRPr="000149EE">
        <w:rPr>
          <w:rStyle w:val="Refdenotaalpie"/>
          <w:rFonts w:ascii="Times New Roman" w:eastAsia="Times New Roman" w:hAnsi="Times New Roman" w:cs="Times New Roman"/>
          <w:bCs/>
          <w:sz w:val="28"/>
          <w:szCs w:val="28"/>
          <w:bdr w:val="none" w:sz="0" w:space="0" w:color="auto" w:frame="1"/>
          <w:shd w:val="clear" w:color="auto" w:fill="FFFFFF"/>
          <w:lang w:eastAsia="es-ES_tradnl"/>
        </w:rPr>
        <w:footnoteReference w:id="156"/>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p>
    <w:p w:rsidR="006145AE" w:rsidRPr="000149EE" w:rsidRDefault="000149EE" w:rsidP="001A47E2">
      <w:pPr>
        <w:pStyle w:val="Prrafodelista"/>
        <w:widowControl w:val="0"/>
        <w:spacing w:line="240" w:lineRule="auto"/>
        <w:ind w:left="0"/>
        <w:rPr>
          <w:rFonts w:ascii="Times New Roman" w:eastAsia="Times New Roman" w:hAnsi="Times New Roman"/>
          <w:bCs/>
          <w:sz w:val="28"/>
          <w:bdr w:val="none" w:sz="0" w:space="0" w:color="auto" w:frame="1"/>
          <w:shd w:val="clear" w:color="auto" w:fill="FFFFFF"/>
          <w:lang w:eastAsia="es-ES_tradnl"/>
        </w:rPr>
      </w:pPr>
    </w:p>
    <w:p w:rsidR="00900CB4" w:rsidRPr="000149EE" w:rsidRDefault="000149EE" w:rsidP="009D4F8D">
      <w:pPr>
        <w:numPr>
          <w:ilvl w:val="0"/>
          <w:numId w:val="3"/>
        </w:numPr>
        <w:tabs>
          <w:tab w:val="left" w:pos="567"/>
        </w:tabs>
        <w:ind w:left="0" w:firstLine="0"/>
        <w:rPr>
          <w:rFonts w:ascii="Times New Roman" w:eastAsia="Times New Roman" w:hAnsi="Times New Roman" w:cs="Times New Roman"/>
          <w:bCs/>
          <w:sz w:val="28"/>
          <w:szCs w:val="28"/>
          <w:bdr w:val="none" w:sz="0" w:space="0" w:color="auto" w:frame="1"/>
          <w:shd w:val="clear" w:color="auto" w:fill="FFFFFF"/>
          <w:lang w:eastAsia="es-ES_tradnl"/>
        </w:rPr>
      </w:pPr>
      <w:r w:rsidRPr="000149EE">
        <w:rPr>
          <w:rFonts w:ascii="Times New Roman" w:eastAsia="Times New Roman" w:hAnsi="Times New Roman" w:cs="Times New Roman"/>
          <w:b/>
          <w:sz w:val="28"/>
          <w:szCs w:val="28"/>
          <w:u w:val="single"/>
          <w:bdr w:val="none" w:sz="0" w:space="0" w:color="auto" w:frame="1"/>
          <w:shd w:val="clear" w:color="auto" w:fill="FFFFFF"/>
          <w:lang w:eastAsia="es-ES_tradnl"/>
        </w:rPr>
        <w:t xml:space="preserve">Síntesis de las reglas </w:t>
      </w:r>
      <w:r w:rsidRPr="000149EE">
        <w:rPr>
          <w:rFonts w:ascii="Times New Roman" w:eastAsia="Times New Roman" w:hAnsi="Times New Roman" w:cs="Times New Roman"/>
          <w:b/>
          <w:sz w:val="28"/>
          <w:szCs w:val="28"/>
          <w:u w:val="single"/>
          <w:bdr w:val="none" w:sz="0" w:space="0" w:color="auto" w:frame="1"/>
          <w:shd w:val="clear" w:color="auto" w:fill="FFFFFF"/>
          <w:lang w:eastAsia="es-ES_tradnl"/>
        </w:rPr>
        <w:t>de decisión</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La siguiente tabla sintetiza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las conclusiones sobre el contenido y alcance de las disposiciones acusadas, así como </w:t>
      </w:r>
      <w:r w:rsidRPr="000149EE">
        <w:rPr>
          <w:rFonts w:ascii="Times New Roman" w:eastAsia="Times New Roman" w:hAnsi="Times New Roman" w:cs="Times New Roman"/>
          <w:bCs/>
          <w:sz w:val="28"/>
          <w:szCs w:val="28"/>
          <w:bdr w:val="none" w:sz="0" w:space="0" w:color="auto" w:frame="1"/>
          <w:shd w:val="clear" w:color="auto" w:fill="FFFFFF"/>
          <w:lang w:eastAsia="es-ES_tradnl"/>
        </w:rPr>
        <w:t>las reglas de decisión</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jurisprudenciales</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relevantes </w:t>
      </w:r>
      <w:r w:rsidRPr="000149EE">
        <w:rPr>
          <w:rFonts w:ascii="Times New Roman" w:eastAsia="Times New Roman" w:hAnsi="Times New Roman" w:cs="Times New Roman"/>
          <w:bCs/>
          <w:sz w:val="28"/>
          <w:szCs w:val="28"/>
          <w:bdr w:val="none" w:sz="0" w:space="0" w:color="auto" w:frame="1"/>
          <w:shd w:val="clear" w:color="auto" w:fill="FFFFFF"/>
          <w:lang w:eastAsia="es-ES_tradnl"/>
        </w:rPr>
        <w:t>para</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r w:rsidRPr="000149EE">
        <w:rPr>
          <w:rFonts w:ascii="Times New Roman" w:eastAsia="Times New Roman" w:hAnsi="Times New Roman" w:cs="Times New Roman"/>
          <w:bCs/>
          <w:sz w:val="28"/>
          <w:szCs w:val="28"/>
          <w:bdr w:val="none" w:sz="0" w:space="0" w:color="auto" w:frame="1"/>
          <w:shd w:val="clear" w:color="auto" w:fill="FFFFFF"/>
          <w:lang w:eastAsia="es-ES_tradnl"/>
        </w:rPr>
        <w:t>resolver el cargo formulado</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por la demandante:</w:t>
      </w:r>
      <w:r w:rsidRPr="000149EE">
        <w:rPr>
          <w:rFonts w:ascii="Times New Roman" w:eastAsia="Times New Roman" w:hAnsi="Times New Roman" w:cs="Times New Roman"/>
          <w:bCs/>
          <w:sz w:val="28"/>
          <w:szCs w:val="28"/>
          <w:bdr w:val="none" w:sz="0" w:space="0" w:color="auto" w:frame="1"/>
          <w:shd w:val="clear" w:color="auto" w:fill="FFFFFF"/>
          <w:lang w:eastAsia="es-ES_tradnl"/>
        </w:rPr>
        <w:t xml:space="preserve"> </w:t>
      </w:r>
    </w:p>
    <w:p w:rsidR="00900CB4" w:rsidRPr="000149EE" w:rsidRDefault="000149EE" w:rsidP="00900CB4">
      <w:pPr>
        <w:pStyle w:val="Prrafodelista"/>
        <w:rPr>
          <w:rFonts w:ascii="Times New Roman" w:eastAsia="Times New Roman" w:hAnsi="Times New Roman"/>
          <w:bCs/>
          <w:sz w:val="28"/>
          <w:bdr w:val="none" w:sz="0" w:space="0" w:color="auto" w:frame="1"/>
          <w:shd w:val="clear" w:color="auto" w:fill="FFFFFF"/>
          <w:lang w:eastAsia="es-ES_tradnl"/>
        </w:rPr>
      </w:pPr>
    </w:p>
    <w:tbl>
      <w:tblPr>
        <w:tblStyle w:val="Tablaconcuadrcula"/>
        <w:tblW w:w="0" w:type="auto"/>
        <w:tblLook w:val="04A0" w:firstRow="1" w:lastRow="0" w:firstColumn="1" w:lastColumn="0" w:noHBand="0" w:noVBand="1"/>
      </w:tblPr>
      <w:tblGrid>
        <w:gridCol w:w="8830"/>
      </w:tblGrid>
      <w:tr w:rsidR="005414F2" w:rsidRPr="000149EE" w:rsidTr="005414F2">
        <w:tc>
          <w:tcPr>
            <w:tcW w:w="8830" w:type="dxa"/>
            <w:shd w:val="clear" w:color="auto" w:fill="D9D9D9" w:themeFill="background1" w:themeFillShade="D9"/>
            <w:vAlign w:val="center"/>
          </w:tcPr>
          <w:p w:rsidR="005414F2" w:rsidRPr="000149EE" w:rsidRDefault="000149EE" w:rsidP="005414F2">
            <w:pPr>
              <w:pStyle w:val="Prrafodelista"/>
              <w:widowControl w:val="0"/>
              <w:spacing w:line="240" w:lineRule="auto"/>
              <w:ind w:left="0"/>
              <w:jc w:val="center"/>
              <w:rPr>
                <w:rFonts w:ascii="Times New Roman" w:eastAsia="Times New Roman" w:hAnsi="Times New Roman"/>
                <w:b/>
                <w:bCs/>
                <w:sz w:val="28"/>
                <w:szCs w:val="24"/>
                <w:lang w:eastAsia="es-ES_tradnl"/>
              </w:rPr>
            </w:pPr>
            <w:r w:rsidRPr="000149EE">
              <w:rPr>
                <w:rFonts w:ascii="Times New Roman" w:eastAsia="Times New Roman" w:hAnsi="Times New Roman"/>
                <w:b/>
                <w:bCs/>
                <w:sz w:val="28"/>
                <w:szCs w:val="24"/>
                <w:lang w:eastAsia="es-ES_tradnl"/>
              </w:rPr>
              <w:t xml:space="preserve">Reglas de decisión </w:t>
            </w:r>
          </w:p>
        </w:tc>
      </w:tr>
      <w:tr w:rsidR="00900CB4" w:rsidRPr="000149EE" w:rsidTr="00900CB4">
        <w:tc>
          <w:tcPr>
            <w:tcW w:w="8830" w:type="dxa"/>
          </w:tcPr>
          <w:p w:rsidR="00BE23F9" w:rsidRPr="000149EE" w:rsidRDefault="000149EE" w:rsidP="00BE23F9">
            <w:pPr>
              <w:pStyle w:val="Prrafodelista"/>
              <w:widowControl w:val="0"/>
              <w:numPr>
                <w:ilvl w:val="0"/>
                <w:numId w:val="18"/>
              </w:numPr>
              <w:spacing w:line="240" w:lineRule="auto"/>
              <w:ind w:left="455" w:hanging="283"/>
              <w:rPr>
                <w:rFonts w:ascii="Times New Roman" w:eastAsia="Times New Roman" w:hAnsi="Times New Roman"/>
                <w:bCs/>
                <w:sz w:val="28"/>
                <w:szCs w:val="24"/>
                <w:bdr w:val="none" w:sz="0" w:space="0" w:color="auto" w:frame="1"/>
                <w:shd w:val="clear" w:color="auto" w:fill="FFFFFF"/>
                <w:lang w:eastAsia="es-ES_tradnl"/>
              </w:rPr>
            </w:pPr>
            <w:r w:rsidRPr="000149EE">
              <w:rPr>
                <w:rFonts w:ascii="Times New Roman" w:eastAsia="Times New Roman" w:hAnsi="Times New Roman"/>
                <w:bCs/>
                <w:sz w:val="28"/>
                <w:szCs w:val="24"/>
                <w:bdr w:val="none" w:sz="0" w:space="0" w:color="auto" w:frame="1"/>
                <w:shd w:val="clear" w:color="auto" w:fill="FFFFFF"/>
                <w:lang w:eastAsia="es-ES_tradnl"/>
              </w:rPr>
              <w:t>E</w:t>
            </w:r>
            <w:r w:rsidRPr="000149EE">
              <w:rPr>
                <w:rFonts w:ascii="Times New Roman" w:eastAsia="Times New Roman" w:hAnsi="Times New Roman"/>
                <w:bCs/>
                <w:sz w:val="28"/>
                <w:szCs w:val="24"/>
                <w:bdr w:val="none" w:sz="0" w:space="0" w:color="auto" w:frame="1"/>
                <w:shd w:val="clear" w:color="auto" w:fill="FFFFFF"/>
                <w:lang w:eastAsia="es-ES_tradnl"/>
              </w:rPr>
              <w:t xml:space="preserve">l artículo 11 de la Ley 2277 de 2022 modificó la tarifa del impuesto </w:t>
            </w:r>
            <w:r w:rsidRPr="000149EE">
              <w:rPr>
                <w:rFonts w:ascii="Times New Roman" w:eastAsia="Times New Roman" w:hAnsi="Times New Roman"/>
                <w:bCs/>
                <w:sz w:val="28"/>
                <w:szCs w:val="24"/>
                <w:bdr w:val="none" w:sz="0" w:space="0" w:color="auto" w:frame="1"/>
                <w:shd w:val="clear" w:color="auto" w:fill="FFFFFF"/>
                <w:lang w:eastAsia="es-ES_tradnl"/>
              </w:rPr>
              <w:t>sobre</w:t>
            </w:r>
            <w:r w:rsidRPr="000149EE">
              <w:rPr>
                <w:rFonts w:ascii="Times New Roman" w:eastAsia="Times New Roman" w:hAnsi="Times New Roman"/>
                <w:bCs/>
                <w:sz w:val="28"/>
                <w:szCs w:val="24"/>
                <w:bdr w:val="none" w:sz="0" w:space="0" w:color="auto" w:frame="1"/>
                <w:shd w:val="clear" w:color="auto" w:fill="FFFFFF"/>
                <w:lang w:eastAsia="es-ES_tradnl"/>
              </w:rPr>
              <w:t xml:space="preserve"> la renta</w:t>
            </w:r>
            <w:r w:rsidRPr="000149EE">
              <w:rPr>
                <w:rFonts w:ascii="Times New Roman" w:eastAsia="Times New Roman" w:hAnsi="Times New Roman"/>
                <w:bCs/>
                <w:sz w:val="28"/>
                <w:szCs w:val="24"/>
                <w:bdr w:val="none" w:sz="0" w:space="0" w:color="auto" w:frame="1"/>
                <w:shd w:val="clear" w:color="auto" w:fill="FFFFFF"/>
                <w:lang w:eastAsia="es-ES_tradnl"/>
              </w:rPr>
              <w:t xml:space="preserve"> de los usuarios industriales de zona franca</w:t>
            </w:r>
            <w:r w:rsidRPr="000149EE">
              <w:rPr>
                <w:rFonts w:ascii="Times New Roman" w:eastAsia="Times New Roman" w:hAnsi="Times New Roman"/>
                <w:bCs/>
                <w:sz w:val="28"/>
                <w:szCs w:val="24"/>
                <w:bdr w:val="none" w:sz="0" w:space="0" w:color="auto" w:frame="1"/>
                <w:shd w:val="clear" w:color="auto" w:fill="FFFFFF"/>
                <w:lang w:eastAsia="es-ES_tradnl"/>
              </w:rPr>
              <w:t xml:space="preserve">. </w:t>
            </w:r>
            <w:r w:rsidRPr="000149EE">
              <w:rPr>
                <w:rFonts w:ascii="Times New Roman" w:eastAsia="Times New Roman" w:hAnsi="Times New Roman"/>
                <w:bCs/>
                <w:sz w:val="28"/>
                <w:szCs w:val="24"/>
                <w:bdr w:val="none" w:sz="0" w:space="0" w:color="auto" w:frame="1"/>
                <w:shd w:val="clear" w:color="auto" w:fill="FFFFFF"/>
                <w:lang w:eastAsia="es-ES_tradnl"/>
              </w:rPr>
              <w:t>En particular, creó</w:t>
            </w:r>
            <w:r w:rsidRPr="000149EE">
              <w:rPr>
                <w:rFonts w:ascii="Times New Roman" w:eastAsia="Times New Roman" w:hAnsi="Times New Roman"/>
                <w:bCs/>
                <w:sz w:val="28"/>
                <w:szCs w:val="24"/>
                <w:bdr w:val="none" w:sz="0" w:space="0" w:color="auto" w:frame="1"/>
                <w:shd w:val="clear" w:color="auto" w:fill="FFFFFF"/>
                <w:lang w:eastAsia="es-ES_tradnl"/>
              </w:rPr>
              <w:t xml:space="preserve"> un sistema mixto de dos tarifas según el cual </w:t>
            </w:r>
            <w:r w:rsidRPr="000149EE">
              <w:rPr>
                <w:rFonts w:ascii="Times New Roman" w:eastAsia="Times New Roman" w:hAnsi="Times New Roman"/>
                <w:bCs/>
                <w:i/>
                <w:iCs/>
                <w:sz w:val="28"/>
                <w:szCs w:val="24"/>
                <w:bdr w:val="none" w:sz="0" w:space="0" w:color="auto" w:frame="1"/>
                <w:shd w:val="clear" w:color="auto" w:fill="FFFFFF"/>
                <w:lang w:eastAsia="es-ES_tradnl"/>
              </w:rPr>
              <w:t>(i)</w:t>
            </w:r>
            <w:r w:rsidRPr="000149EE">
              <w:rPr>
                <w:rFonts w:ascii="Times New Roman" w:eastAsia="Times New Roman" w:hAnsi="Times New Roman"/>
                <w:bCs/>
                <w:sz w:val="28"/>
                <w:szCs w:val="24"/>
                <w:bdr w:val="none" w:sz="0" w:space="0" w:color="auto" w:frame="1"/>
                <w:shd w:val="clear" w:color="auto" w:fill="FFFFFF"/>
                <w:lang w:eastAsia="es-ES_tradnl"/>
              </w:rPr>
              <w:t xml:space="preserve"> </w:t>
            </w:r>
            <w:r w:rsidRPr="000149EE">
              <w:rPr>
                <w:rFonts w:ascii="Times New Roman" w:eastAsia="Times New Roman" w:hAnsi="Times New Roman"/>
                <w:bCs/>
                <w:sz w:val="28"/>
                <w:szCs w:val="24"/>
                <w:bdr w:val="none" w:sz="0" w:space="0" w:color="auto" w:frame="1"/>
                <w:shd w:val="clear" w:color="auto" w:fill="FFFFFF"/>
                <w:lang w:eastAsia="es-ES_tradnl"/>
              </w:rPr>
              <w:t>los ingresos provenientes de operaciones de exportación e</w:t>
            </w:r>
            <w:r w:rsidRPr="000149EE">
              <w:rPr>
                <w:rFonts w:ascii="Times New Roman" w:eastAsia="Times New Roman" w:hAnsi="Times New Roman"/>
                <w:bCs/>
                <w:sz w:val="28"/>
                <w:szCs w:val="24"/>
                <w:bdr w:val="none" w:sz="0" w:space="0" w:color="auto" w:frame="1"/>
                <w:shd w:val="clear" w:color="auto" w:fill="FFFFFF"/>
                <w:lang w:eastAsia="es-ES_tradnl"/>
              </w:rPr>
              <w:t>stán sujetos a una tarifa preferencial del 20%</w:t>
            </w:r>
            <w:r w:rsidRPr="000149EE">
              <w:rPr>
                <w:rFonts w:ascii="Times New Roman" w:eastAsia="Times New Roman" w:hAnsi="Times New Roman"/>
                <w:bCs/>
                <w:sz w:val="28"/>
                <w:szCs w:val="24"/>
                <w:bdr w:val="none" w:sz="0" w:space="0" w:color="auto" w:frame="1"/>
                <w:shd w:val="clear" w:color="auto" w:fill="FFFFFF"/>
                <w:lang w:eastAsia="es-ES_tradnl"/>
              </w:rPr>
              <w:t xml:space="preserve"> y </w:t>
            </w:r>
            <w:r w:rsidRPr="000149EE">
              <w:rPr>
                <w:rFonts w:ascii="Times New Roman" w:eastAsia="Times New Roman" w:hAnsi="Times New Roman"/>
                <w:bCs/>
                <w:i/>
                <w:iCs/>
                <w:sz w:val="28"/>
                <w:szCs w:val="24"/>
                <w:bdr w:val="none" w:sz="0" w:space="0" w:color="auto" w:frame="1"/>
                <w:shd w:val="clear" w:color="auto" w:fill="FFFFFF"/>
                <w:lang w:eastAsia="es-ES_tradnl"/>
              </w:rPr>
              <w:t>(ii)</w:t>
            </w:r>
            <w:r w:rsidRPr="000149EE">
              <w:rPr>
                <w:rFonts w:ascii="Times New Roman" w:eastAsia="Times New Roman" w:hAnsi="Times New Roman"/>
                <w:bCs/>
                <w:sz w:val="28"/>
                <w:szCs w:val="24"/>
                <w:bdr w:val="none" w:sz="0" w:space="0" w:color="auto" w:frame="1"/>
                <w:shd w:val="clear" w:color="auto" w:fill="FFFFFF"/>
                <w:lang w:eastAsia="es-ES_tradnl"/>
              </w:rPr>
              <w:t xml:space="preserve"> </w:t>
            </w:r>
            <w:r w:rsidRPr="000149EE">
              <w:rPr>
                <w:rFonts w:ascii="Times New Roman" w:eastAsia="Times New Roman" w:hAnsi="Times New Roman"/>
                <w:bCs/>
                <w:sz w:val="28"/>
                <w:szCs w:val="24"/>
                <w:bdr w:val="none" w:sz="0" w:space="0" w:color="auto" w:frame="1"/>
                <w:shd w:val="clear" w:color="auto" w:fill="FFFFFF"/>
                <w:lang w:eastAsia="es-ES_tradnl"/>
              </w:rPr>
              <w:t xml:space="preserve">los demás ingresos </w:t>
            </w:r>
            <w:r w:rsidRPr="000149EE">
              <w:rPr>
                <w:rFonts w:ascii="Times New Roman" w:eastAsia="Times New Roman" w:hAnsi="Times New Roman"/>
                <w:bCs/>
                <w:sz w:val="28"/>
                <w:szCs w:val="24"/>
                <w:bdr w:val="none" w:sz="0" w:space="0" w:color="auto" w:frame="1"/>
                <w:shd w:val="clear" w:color="auto" w:fill="FFFFFF"/>
                <w:lang w:eastAsia="es-ES_tradnl"/>
              </w:rPr>
              <w:t xml:space="preserve">están </w:t>
            </w:r>
            <w:r w:rsidRPr="000149EE">
              <w:rPr>
                <w:rFonts w:ascii="Times New Roman" w:eastAsia="Times New Roman" w:hAnsi="Times New Roman"/>
                <w:bCs/>
                <w:sz w:val="28"/>
                <w:szCs w:val="24"/>
                <w:bdr w:val="none" w:sz="0" w:space="0" w:color="auto" w:frame="1"/>
                <w:shd w:val="clear" w:color="auto" w:fill="FFFFFF"/>
                <w:lang w:eastAsia="es-ES_tradnl"/>
              </w:rPr>
              <w:t>sometidos</w:t>
            </w:r>
            <w:r w:rsidRPr="000149EE">
              <w:rPr>
                <w:rFonts w:ascii="Times New Roman" w:eastAsia="Times New Roman" w:hAnsi="Times New Roman"/>
                <w:bCs/>
                <w:sz w:val="28"/>
                <w:szCs w:val="24"/>
                <w:bdr w:val="none" w:sz="0" w:space="0" w:color="auto" w:frame="1"/>
                <w:shd w:val="clear" w:color="auto" w:fill="FFFFFF"/>
                <w:lang w:eastAsia="es-ES_tradnl"/>
              </w:rPr>
              <w:t xml:space="preserve"> a la tarifa general </w:t>
            </w:r>
            <w:r w:rsidRPr="000149EE">
              <w:rPr>
                <w:rFonts w:ascii="Times New Roman" w:eastAsia="Times New Roman" w:hAnsi="Times New Roman"/>
                <w:bCs/>
                <w:sz w:val="28"/>
                <w:szCs w:val="24"/>
                <w:bdr w:val="none" w:sz="0" w:space="0" w:color="auto" w:frame="1"/>
                <w:shd w:val="clear" w:color="auto" w:fill="FFFFFF"/>
                <w:lang w:eastAsia="es-ES_tradnl"/>
              </w:rPr>
              <w:t xml:space="preserve">de las personas jurídicas </w:t>
            </w:r>
            <w:r w:rsidRPr="000149EE">
              <w:rPr>
                <w:rFonts w:ascii="Times New Roman" w:eastAsia="Times New Roman" w:hAnsi="Times New Roman"/>
                <w:bCs/>
                <w:sz w:val="28"/>
                <w:szCs w:val="24"/>
                <w:bdr w:val="none" w:sz="0" w:space="0" w:color="auto" w:frame="1"/>
                <w:shd w:val="clear" w:color="auto" w:fill="FFFFFF"/>
                <w:lang w:eastAsia="es-ES_tradnl"/>
              </w:rPr>
              <w:t>de</w:t>
            </w:r>
            <w:r w:rsidRPr="000149EE">
              <w:rPr>
                <w:rFonts w:ascii="Times New Roman" w:eastAsia="Times New Roman" w:hAnsi="Times New Roman"/>
                <w:bCs/>
                <w:sz w:val="28"/>
                <w:szCs w:val="24"/>
                <w:bdr w:val="none" w:sz="0" w:space="0" w:color="auto" w:frame="1"/>
                <w:shd w:val="clear" w:color="auto" w:fill="FFFFFF"/>
                <w:lang w:eastAsia="es-ES_tradnl"/>
              </w:rPr>
              <w:t xml:space="preserve">l 35%. </w:t>
            </w:r>
            <w:r w:rsidRPr="000149EE">
              <w:rPr>
                <w:rFonts w:ascii="Times New Roman" w:eastAsia="Times New Roman" w:hAnsi="Times New Roman"/>
                <w:bCs/>
                <w:sz w:val="28"/>
                <w:szCs w:val="24"/>
                <w:bdr w:val="none" w:sz="0" w:space="0" w:color="auto" w:frame="1"/>
                <w:shd w:val="clear" w:color="auto" w:fill="FFFFFF"/>
                <w:lang w:eastAsia="es-ES_tradnl"/>
              </w:rPr>
              <w:t xml:space="preserve">Además, dispuso que sólo podrán acceder a la tarifa preferencial los usuarios que </w:t>
            </w:r>
            <w:r w:rsidRPr="000149EE">
              <w:rPr>
                <w:rFonts w:ascii="Times New Roman" w:eastAsia="Times New Roman" w:hAnsi="Times New Roman"/>
                <w:bCs/>
                <w:sz w:val="28"/>
                <w:szCs w:val="24"/>
                <w:bdr w:val="none" w:sz="0" w:space="0" w:color="auto" w:frame="1"/>
                <w:shd w:val="clear" w:color="auto" w:fill="FFFFFF"/>
                <w:lang w:eastAsia="es-ES_tradnl"/>
              </w:rPr>
              <w:t xml:space="preserve">suscriban </w:t>
            </w:r>
            <w:r w:rsidRPr="000149EE">
              <w:rPr>
                <w:rFonts w:ascii="Times New Roman" w:eastAsia="Times New Roman" w:hAnsi="Times New Roman"/>
                <w:bCs/>
                <w:sz w:val="28"/>
                <w:szCs w:val="24"/>
                <w:bdr w:val="none" w:sz="0" w:space="0" w:color="auto" w:frame="1"/>
                <w:shd w:val="clear" w:color="auto" w:fill="FFFFFF"/>
                <w:lang w:eastAsia="es-ES_tradnl"/>
              </w:rPr>
              <w:t>y cumplan el</w:t>
            </w:r>
            <w:r w:rsidRPr="000149EE">
              <w:rPr>
                <w:rFonts w:ascii="Times New Roman" w:eastAsia="Times New Roman" w:hAnsi="Times New Roman"/>
                <w:bCs/>
                <w:sz w:val="28"/>
                <w:szCs w:val="24"/>
                <w:bdr w:val="none" w:sz="0" w:space="0" w:color="auto" w:frame="1"/>
                <w:shd w:val="clear" w:color="auto" w:fill="FFFFFF"/>
                <w:lang w:eastAsia="es-ES_tradnl"/>
              </w:rPr>
              <w:t xml:space="preserve"> PIAV. </w:t>
            </w:r>
            <w:r w:rsidRPr="000149EE">
              <w:rPr>
                <w:rFonts w:ascii="Times New Roman" w:eastAsia="Times New Roman" w:hAnsi="Times New Roman"/>
                <w:bCs/>
                <w:sz w:val="28"/>
                <w:szCs w:val="24"/>
                <w:bdr w:val="none" w:sz="0" w:space="0" w:color="auto" w:frame="1"/>
                <w:shd w:val="clear" w:color="auto" w:fill="FFFFFF"/>
                <w:lang w:eastAsia="es-ES_tradnl"/>
              </w:rPr>
              <w:t>Esta reforma persiguió dos finalidades: fomentar la exportación y corregir las asimetrías tributarias que se derivaban de la posibilidad de que usuarios de zonas franca</w:t>
            </w:r>
            <w:r w:rsidRPr="000149EE">
              <w:rPr>
                <w:rFonts w:ascii="Times New Roman" w:eastAsia="Times New Roman" w:hAnsi="Times New Roman"/>
                <w:bCs/>
                <w:sz w:val="28"/>
                <w:szCs w:val="24"/>
                <w:bdr w:val="none" w:sz="0" w:space="0" w:color="auto" w:frame="1"/>
                <w:shd w:val="clear" w:color="auto" w:fill="FFFFFF"/>
                <w:lang w:eastAsia="es-ES_tradnl"/>
              </w:rPr>
              <w:t>s</w:t>
            </w:r>
            <w:r w:rsidRPr="000149EE">
              <w:rPr>
                <w:rFonts w:ascii="Times New Roman" w:eastAsia="Times New Roman" w:hAnsi="Times New Roman"/>
                <w:bCs/>
                <w:sz w:val="28"/>
                <w:szCs w:val="24"/>
                <w:bdr w:val="none" w:sz="0" w:space="0" w:color="auto" w:frame="1"/>
                <w:shd w:val="clear" w:color="auto" w:fill="FFFFFF"/>
                <w:lang w:eastAsia="es-ES_tradnl"/>
              </w:rPr>
              <w:t xml:space="preserve"> que no</w:t>
            </w:r>
            <w:r w:rsidRPr="000149EE">
              <w:rPr>
                <w:rFonts w:ascii="Times New Roman" w:eastAsia="Times New Roman" w:hAnsi="Times New Roman"/>
                <w:bCs/>
                <w:sz w:val="28"/>
                <w:szCs w:val="24"/>
                <w:bdr w:val="none" w:sz="0" w:space="0" w:color="auto" w:frame="1"/>
                <w:shd w:val="clear" w:color="auto" w:fill="FFFFFF"/>
                <w:lang w:eastAsia="es-ES_tradnl"/>
              </w:rPr>
              <w:t xml:space="preserve"> </w:t>
            </w:r>
            <w:r w:rsidRPr="000149EE">
              <w:rPr>
                <w:rFonts w:ascii="Times New Roman" w:eastAsia="Times New Roman" w:hAnsi="Times New Roman"/>
                <w:bCs/>
                <w:iCs/>
                <w:sz w:val="28"/>
                <w:szCs w:val="24"/>
                <w:bdr w:val="none" w:sz="0" w:space="0" w:color="auto" w:frame="1"/>
                <w:shd w:val="clear" w:color="auto" w:fill="FFFFFF"/>
                <w:lang w:eastAsia="es-ES_tradnl"/>
              </w:rPr>
              <w:t>exporta</w:t>
            </w:r>
            <w:r w:rsidRPr="000149EE">
              <w:rPr>
                <w:rFonts w:ascii="Times New Roman" w:eastAsia="Times New Roman" w:hAnsi="Times New Roman"/>
                <w:bCs/>
                <w:iCs/>
                <w:sz w:val="28"/>
                <w:szCs w:val="24"/>
                <w:bdr w:val="none" w:sz="0" w:space="0" w:color="auto" w:frame="1"/>
                <w:shd w:val="clear" w:color="auto" w:fill="FFFFFF"/>
                <w:lang w:eastAsia="es-ES_tradnl"/>
              </w:rPr>
              <w:t>ban</w:t>
            </w:r>
            <w:r w:rsidRPr="000149EE">
              <w:rPr>
                <w:rFonts w:ascii="Times New Roman" w:eastAsia="Times New Roman" w:hAnsi="Times New Roman"/>
                <w:bCs/>
                <w:iCs/>
                <w:sz w:val="28"/>
                <w:szCs w:val="24"/>
                <w:bdr w:val="none" w:sz="0" w:space="0" w:color="auto" w:frame="1"/>
                <w:shd w:val="clear" w:color="auto" w:fill="FFFFFF"/>
                <w:lang w:eastAsia="es-ES_tradnl"/>
              </w:rPr>
              <w:t xml:space="preserve"> </w:t>
            </w:r>
            <w:r w:rsidRPr="000149EE">
              <w:rPr>
                <w:rFonts w:ascii="Times New Roman" w:eastAsia="Times New Roman" w:hAnsi="Times New Roman"/>
                <w:bCs/>
                <w:sz w:val="28"/>
                <w:szCs w:val="24"/>
                <w:bdr w:val="none" w:sz="0" w:space="0" w:color="auto" w:frame="1"/>
                <w:shd w:val="clear" w:color="auto" w:fill="FFFFFF"/>
                <w:lang w:eastAsia="es-ES_tradnl"/>
              </w:rPr>
              <w:t>pudieran acceder a la tarifa preferencial.</w:t>
            </w:r>
          </w:p>
          <w:p w:rsidR="000626B9" w:rsidRPr="000149EE" w:rsidRDefault="000149EE" w:rsidP="00BE23F9">
            <w:pPr>
              <w:pStyle w:val="Prrafodelista"/>
              <w:widowControl w:val="0"/>
              <w:numPr>
                <w:ilvl w:val="0"/>
                <w:numId w:val="18"/>
              </w:numPr>
              <w:spacing w:line="240" w:lineRule="auto"/>
              <w:ind w:left="455" w:hanging="283"/>
              <w:rPr>
                <w:rFonts w:ascii="Times New Roman" w:eastAsia="Times New Roman" w:hAnsi="Times New Roman"/>
                <w:bCs/>
                <w:sz w:val="28"/>
                <w:szCs w:val="24"/>
                <w:bdr w:val="none" w:sz="0" w:space="0" w:color="auto" w:frame="1"/>
                <w:shd w:val="clear" w:color="auto" w:fill="FFFFFF"/>
                <w:lang w:eastAsia="es-ES_tradnl"/>
              </w:rPr>
            </w:pPr>
            <w:r w:rsidRPr="000149EE">
              <w:rPr>
                <w:rFonts w:ascii="Times New Roman" w:eastAsia="Times New Roman" w:hAnsi="Times New Roman"/>
                <w:bCs/>
                <w:sz w:val="28"/>
                <w:szCs w:val="24"/>
                <w:bdr w:val="none" w:sz="0" w:space="0" w:color="auto" w:frame="1"/>
                <w:shd w:val="clear" w:color="auto" w:fill="FFFFFF"/>
                <w:lang w:eastAsia="es-ES_tradnl"/>
              </w:rPr>
              <w:t>Los artículos 150.12, 154</w:t>
            </w:r>
            <w:r w:rsidRPr="000149EE">
              <w:rPr>
                <w:rFonts w:ascii="Times New Roman" w:eastAsia="Times New Roman" w:hAnsi="Times New Roman"/>
                <w:bCs/>
                <w:sz w:val="28"/>
                <w:szCs w:val="24"/>
                <w:bdr w:val="none" w:sz="0" w:space="0" w:color="auto" w:frame="1"/>
                <w:shd w:val="clear" w:color="auto" w:fill="FFFFFF"/>
                <w:lang w:eastAsia="es-ES_tradnl"/>
              </w:rPr>
              <w:t xml:space="preserve"> y 338 de la Constitución Política conceden al Congreso de la República</w:t>
            </w:r>
            <w:r w:rsidRPr="000149EE">
              <w:rPr>
                <w:rFonts w:ascii="Times New Roman" w:eastAsia="Times New Roman" w:hAnsi="Times New Roman"/>
                <w:bCs/>
                <w:sz w:val="28"/>
                <w:szCs w:val="24"/>
                <w:bdr w:val="none" w:sz="0" w:space="0" w:color="auto" w:frame="1"/>
                <w:shd w:val="clear" w:color="auto" w:fill="FFFFFF"/>
                <w:lang w:eastAsia="es-ES_tradnl"/>
              </w:rPr>
              <w:t xml:space="preserve"> un amplio margen de libertad de configuración normativa en materia tributaria. </w:t>
            </w:r>
            <w:r w:rsidRPr="000149EE">
              <w:rPr>
                <w:rFonts w:ascii="Times New Roman" w:eastAsia="Times New Roman" w:hAnsi="Times New Roman"/>
                <w:bCs/>
                <w:sz w:val="28"/>
                <w:szCs w:val="24"/>
                <w:bdr w:val="none" w:sz="0" w:space="0" w:color="auto" w:frame="1"/>
                <w:shd w:val="clear" w:color="auto" w:fill="FFFFFF"/>
                <w:lang w:eastAsia="es-ES_tradnl"/>
              </w:rPr>
              <w:t xml:space="preserve">Este amplio margen cobija la potestad del legislador de diseñar y conceder beneficios tributarios, tales </w:t>
            </w:r>
            <w:r w:rsidRPr="000149EE">
              <w:rPr>
                <w:rFonts w:ascii="Times New Roman" w:eastAsia="Times New Roman" w:hAnsi="Times New Roman"/>
                <w:bCs/>
                <w:sz w:val="28"/>
                <w:szCs w:val="24"/>
                <w:bdr w:val="none" w:sz="0" w:space="0" w:color="auto" w:frame="1"/>
                <w:shd w:val="clear" w:color="auto" w:fill="FFFFFF"/>
                <w:lang w:eastAsia="es-ES_tradnl"/>
              </w:rPr>
              <w:t>como exenciones, excepciones y tarifas preferenciales para la liquidación de los impuestos. De acuerdo con la jurisprudencia constitucional, la tarifa preferencial del impuesto a la renta prevista en el numeral 1º del artíc</w:t>
            </w:r>
            <w:r w:rsidRPr="000149EE">
              <w:rPr>
                <w:rFonts w:ascii="Times New Roman" w:eastAsia="Times New Roman" w:hAnsi="Times New Roman"/>
                <w:bCs/>
                <w:sz w:val="28"/>
                <w:szCs w:val="24"/>
                <w:bdr w:val="none" w:sz="0" w:space="0" w:color="auto" w:frame="1"/>
                <w:shd w:val="clear" w:color="auto" w:fill="FFFFFF"/>
                <w:lang w:eastAsia="es-ES_tradnl"/>
              </w:rPr>
              <w:t>u</w:t>
            </w:r>
            <w:r w:rsidRPr="000149EE">
              <w:rPr>
                <w:rFonts w:ascii="Times New Roman" w:eastAsia="Times New Roman" w:hAnsi="Times New Roman"/>
                <w:bCs/>
                <w:sz w:val="28"/>
                <w:szCs w:val="24"/>
                <w:bdr w:val="none" w:sz="0" w:space="0" w:color="auto" w:frame="1"/>
                <w:shd w:val="clear" w:color="auto" w:fill="FFFFFF"/>
                <w:lang w:eastAsia="es-ES_tradnl"/>
              </w:rPr>
              <w:t xml:space="preserve">lo 11 de la ley 2277 de 2022 es </w:t>
            </w:r>
            <w:r w:rsidRPr="000149EE">
              <w:rPr>
                <w:rFonts w:ascii="Times New Roman" w:eastAsia="Times New Roman" w:hAnsi="Times New Roman"/>
                <w:bCs/>
                <w:sz w:val="28"/>
                <w:szCs w:val="24"/>
                <w:bdr w:val="none" w:sz="0" w:space="0" w:color="auto" w:frame="1"/>
                <w:shd w:val="clear" w:color="auto" w:fill="FFFFFF"/>
                <w:lang w:eastAsia="es-ES_tradnl"/>
              </w:rPr>
              <w:t xml:space="preserve">un beneficio tributario. </w:t>
            </w:r>
            <w:r w:rsidRPr="000149EE">
              <w:rPr>
                <w:rFonts w:ascii="Times New Roman" w:eastAsia="Times New Roman" w:hAnsi="Times New Roman"/>
                <w:bCs/>
                <w:sz w:val="28"/>
                <w:szCs w:val="24"/>
                <w:bdr w:val="none" w:sz="0" w:space="0" w:color="auto" w:frame="1"/>
                <w:shd w:val="clear" w:color="auto" w:fill="FFFFFF"/>
                <w:lang w:eastAsia="es-ES_tradnl"/>
              </w:rPr>
              <w:t xml:space="preserve"> </w:t>
            </w:r>
          </w:p>
          <w:p w:rsidR="00BE23F9" w:rsidRPr="000149EE" w:rsidRDefault="000149EE" w:rsidP="00BE23F9">
            <w:pPr>
              <w:pStyle w:val="Prrafodelista"/>
              <w:widowControl w:val="0"/>
              <w:numPr>
                <w:ilvl w:val="0"/>
                <w:numId w:val="18"/>
              </w:numPr>
              <w:spacing w:line="240" w:lineRule="auto"/>
              <w:ind w:left="455" w:hanging="283"/>
              <w:rPr>
                <w:rFonts w:ascii="Times New Roman" w:eastAsia="Times New Roman" w:hAnsi="Times New Roman"/>
                <w:bCs/>
                <w:sz w:val="28"/>
                <w:szCs w:val="24"/>
                <w:bdr w:val="none" w:sz="0" w:space="0" w:color="auto" w:frame="1"/>
                <w:shd w:val="clear" w:color="auto" w:fill="FFFFFF"/>
                <w:lang w:eastAsia="es-ES_tradnl"/>
              </w:rPr>
            </w:pPr>
            <w:r w:rsidRPr="000149EE">
              <w:rPr>
                <w:rFonts w:ascii="Times New Roman" w:eastAsia="Times New Roman" w:hAnsi="Times New Roman"/>
                <w:bCs/>
                <w:sz w:val="28"/>
                <w:szCs w:val="24"/>
                <w:bdr w:val="none" w:sz="0" w:space="0" w:color="auto" w:frame="1"/>
                <w:shd w:val="clear" w:color="auto" w:fill="FFFFFF"/>
                <w:lang w:eastAsia="es-ES_tradnl"/>
              </w:rPr>
              <w:t xml:space="preserve">El margen de configuración del legislador en materia tributaria no es absoluto. Por el contrario, debe respetar el derecho a la igualdad de los contribuyentes, así como los principios del sistema tributario, dentro de los que se </w:t>
            </w:r>
            <w:r w:rsidRPr="000149EE">
              <w:rPr>
                <w:rFonts w:ascii="Times New Roman" w:eastAsia="Times New Roman" w:hAnsi="Times New Roman"/>
                <w:bCs/>
                <w:sz w:val="28"/>
                <w:szCs w:val="24"/>
                <w:bdr w:val="none" w:sz="0" w:space="0" w:color="auto" w:frame="1"/>
                <w:shd w:val="clear" w:color="auto" w:fill="FFFFFF"/>
                <w:lang w:eastAsia="es-ES_tradnl"/>
              </w:rPr>
              <w:t>encuentra</w:t>
            </w:r>
            <w:r w:rsidRPr="000149EE">
              <w:rPr>
                <w:rFonts w:ascii="Times New Roman" w:eastAsia="Times New Roman" w:hAnsi="Times New Roman"/>
                <w:bCs/>
                <w:sz w:val="28"/>
                <w:szCs w:val="24"/>
                <w:bdr w:val="none" w:sz="0" w:space="0" w:color="auto" w:frame="1"/>
                <w:shd w:val="clear" w:color="auto" w:fill="FFFFFF"/>
                <w:lang w:eastAsia="es-ES_tradnl"/>
              </w:rPr>
              <w:t xml:space="preserve">n la </w:t>
            </w:r>
            <w:r w:rsidRPr="000149EE">
              <w:rPr>
                <w:rFonts w:ascii="Times New Roman" w:eastAsia="Times New Roman" w:hAnsi="Times New Roman"/>
                <w:bCs/>
                <w:sz w:val="28"/>
                <w:szCs w:val="24"/>
                <w:bdr w:val="none" w:sz="0" w:space="0" w:color="auto" w:frame="1"/>
                <w:shd w:val="clear" w:color="auto" w:fill="FFFFFF"/>
                <w:lang w:eastAsia="es-ES_tradnl"/>
              </w:rPr>
              <w:t>equidad tributaria. La dimensión horizontal del principio de equidad tributaria es una manifestación del principio de igualdad en el sistema tributari</w:t>
            </w:r>
            <w:r w:rsidRPr="000149EE">
              <w:rPr>
                <w:rFonts w:ascii="Times New Roman" w:eastAsia="Times New Roman" w:hAnsi="Times New Roman"/>
                <w:bCs/>
                <w:sz w:val="28"/>
                <w:szCs w:val="24"/>
                <w:bdr w:val="none" w:sz="0" w:space="0" w:color="auto" w:frame="1"/>
                <w:shd w:val="clear" w:color="auto" w:fill="FFFFFF"/>
                <w:lang w:eastAsia="es-ES_tradnl"/>
              </w:rPr>
              <w:t>o</w:t>
            </w:r>
            <w:r w:rsidRPr="000149EE">
              <w:rPr>
                <w:rFonts w:ascii="Times New Roman" w:eastAsia="Times New Roman" w:hAnsi="Times New Roman"/>
                <w:bCs/>
                <w:sz w:val="28"/>
                <w:szCs w:val="24"/>
                <w:bdr w:val="none" w:sz="0" w:space="0" w:color="auto" w:frame="1"/>
                <w:shd w:val="clear" w:color="auto" w:fill="FFFFFF"/>
                <w:lang w:eastAsia="es-ES_tradnl"/>
              </w:rPr>
              <w:t>. Esta dimensión impone al legislador el deber de propender por que los individuos con capa</w:t>
            </w:r>
            <w:r w:rsidRPr="000149EE">
              <w:rPr>
                <w:rFonts w:ascii="Times New Roman" w:eastAsia="Times New Roman" w:hAnsi="Times New Roman"/>
                <w:bCs/>
                <w:sz w:val="28"/>
                <w:szCs w:val="24"/>
                <w:bdr w:val="none" w:sz="0" w:space="0" w:color="auto" w:frame="1"/>
                <w:shd w:val="clear" w:color="auto" w:fill="FFFFFF"/>
                <w:lang w:eastAsia="es-ES_tradnl"/>
              </w:rPr>
              <w:t>cidad económica igual, o bajo una misma situación fáctica, contribuyan de igual manera.</w:t>
            </w:r>
          </w:p>
          <w:p w:rsidR="007303A4" w:rsidRPr="000149EE" w:rsidRDefault="000149EE" w:rsidP="00BE23F9">
            <w:pPr>
              <w:pStyle w:val="Prrafodelista"/>
              <w:widowControl w:val="0"/>
              <w:numPr>
                <w:ilvl w:val="0"/>
                <w:numId w:val="18"/>
              </w:numPr>
              <w:spacing w:line="240" w:lineRule="auto"/>
              <w:ind w:left="455" w:hanging="283"/>
              <w:rPr>
                <w:rFonts w:ascii="Times New Roman" w:eastAsia="Times New Roman" w:hAnsi="Times New Roman"/>
                <w:bCs/>
                <w:sz w:val="28"/>
                <w:szCs w:val="24"/>
                <w:bdr w:val="none" w:sz="0" w:space="0" w:color="auto" w:frame="1"/>
                <w:shd w:val="clear" w:color="auto" w:fill="FFFFFF"/>
                <w:lang w:eastAsia="es-ES_tradnl"/>
              </w:rPr>
            </w:pPr>
            <w:r w:rsidRPr="000149EE">
              <w:rPr>
                <w:rFonts w:ascii="Times New Roman" w:eastAsia="Times New Roman" w:hAnsi="Times New Roman"/>
                <w:bCs/>
                <w:sz w:val="28"/>
                <w:szCs w:val="24"/>
                <w:bdr w:val="none" w:sz="0" w:space="0" w:color="auto" w:frame="1"/>
                <w:shd w:val="clear" w:color="auto" w:fill="FFFFFF"/>
                <w:lang w:eastAsia="es-ES_tradnl"/>
              </w:rPr>
              <w:t xml:space="preserve">El juicio integrado de igualdad es la metodología que la jurisprudencia constitucional ha aplicado para valorar la constitucionalidad de normas que </w:t>
            </w:r>
            <w:r w:rsidRPr="000149EE">
              <w:rPr>
                <w:rFonts w:ascii="Times New Roman" w:eastAsia="Times New Roman" w:hAnsi="Times New Roman"/>
                <w:bCs/>
                <w:i/>
                <w:iCs/>
                <w:sz w:val="28"/>
                <w:szCs w:val="24"/>
                <w:bdr w:val="none" w:sz="0" w:space="0" w:color="auto" w:frame="1"/>
                <w:shd w:val="clear" w:color="auto" w:fill="FFFFFF"/>
                <w:lang w:eastAsia="es-ES_tradnl"/>
              </w:rPr>
              <w:t>(i)</w:t>
            </w:r>
            <w:r w:rsidRPr="000149EE">
              <w:rPr>
                <w:rFonts w:ascii="Times New Roman" w:eastAsia="Times New Roman" w:hAnsi="Times New Roman"/>
                <w:bCs/>
                <w:sz w:val="28"/>
                <w:szCs w:val="24"/>
                <w:bdr w:val="none" w:sz="0" w:space="0" w:color="auto" w:frame="1"/>
                <w:shd w:val="clear" w:color="auto" w:fill="FFFFFF"/>
                <w:lang w:eastAsia="es-ES_tradnl"/>
              </w:rPr>
              <w:t xml:space="preserve"> plantean una aparente violación al principio de igualdad y </w:t>
            </w:r>
            <w:r w:rsidRPr="000149EE">
              <w:rPr>
                <w:rFonts w:ascii="Times New Roman" w:eastAsia="Times New Roman" w:hAnsi="Times New Roman"/>
                <w:bCs/>
                <w:i/>
                <w:iCs/>
                <w:sz w:val="28"/>
                <w:szCs w:val="24"/>
                <w:bdr w:val="none" w:sz="0" w:space="0" w:color="auto" w:frame="1"/>
                <w:shd w:val="clear" w:color="auto" w:fill="FFFFFF"/>
                <w:lang w:eastAsia="es-ES_tradnl"/>
              </w:rPr>
              <w:t>(ii)</w:t>
            </w:r>
            <w:r w:rsidRPr="000149EE">
              <w:rPr>
                <w:rFonts w:ascii="Times New Roman" w:eastAsia="Times New Roman" w:hAnsi="Times New Roman"/>
                <w:bCs/>
                <w:sz w:val="28"/>
                <w:szCs w:val="24"/>
                <w:bdr w:val="none" w:sz="0" w:space="0" w:color="auto" w:frame="1"/>
                <w:shd w:val="clear" w:color="auto" w:fill="FFFFFF"/>
                <w:lang w:eastAsia="es-ES_tradnl"/>
              </w:rPr>
              <w:t xml:space="preserve"> afectan la dimensión horizontal del principio de equidad tributaria al imponer cargas o beneficios tributarios diferenciados a contribuyentes con capacidad contributiva similar. </w:t>
            </w:r>
            <w:r w:rsidRPr="000149EE">
              <w:rPr>
                <w:rFonts w:ascii="Times New Roman" w:eastAsia="Times New Roman" w:hAnsi="Times New Roman"/>
                <w:bCs/>
                <w:sz w:val="28"/>
                <w:szCs w:val="24"/>
                <w:bdr w:val="none" w:sz="0" w:space="0" w:color="auto" w:frame="1"/>
                <w:shd w:val="clear" w:color="auto" w:fill="FFFFFF"/>
                <w:lang w:eastAsia="es-ES_tradnl"/>
              </w:rPr>
              <w:t>Por regla gen</w:t>
            </w:r>
            <w:r w:rsidRPr="000149EE">
              <w:rPr>
                <w:rFonts w:ascii="Times New Roman" w:eastAsia="Times New Roman" w:hAnsi="Times New Roman"/>
                <w:bCs/>
                <w:sz w:val="28"/>
                <w:szCs w:val="24"/>
                <w:bdr w:val="none" w:sz="0" w:space="0" w:color="auto" w:frame="1"/>
                <w:shd w:val="clear" w:color="auto" w:fill="FFFFFF"/>
                <w:lang w:eastAsia="es-ES_tradnl"/>
              </w:rPr>
              <w:t>eral, al examinar cargos por la presunta violación de estos principios, derivad</w:t>
            </w:r>
            <w:r w:rsidRPr="000149EE">
              <w:rPr>
                <w:rFonts w:ascii="Times New Roman" w:eastAsia="Times New Roman" w:hAnsi="Times New Roman"/>
                <w:bCs/>
                <w:sz w:val="28"/>
                <w:szCs w:val="24"/>
                <w:bdr w:val="none" w:sz="0" w:space="0" w:color="auto" w:frame="1"/>
                <w:shd w:val="clear" w:color="auto" w:fill="FFFFFF"/>
                <w:lang w:eastAsia="es-ES_tradnl"/>
              </w:rPr>
              <w:t>a</w:t>
            </w:r>
            <w:r w:rsidRPr="000149EE">
              <w:rPr>
                <w:rFonts w:ascii="Times New Roman" w:eastAsia="Times New Roman" w:hAnsi="Times New Roman"/>
                <w:bCs/>
                <w:sz w:val="28"/>
                <w:szCs w:val="24"/>
                <w:bdr w:val="none" w:sz="0" w:space="0" w:color="auto" w:frame="1"/>
                <w:shd w:val="clear" w:color="auto" w:fill="FFFFFF"/>
                <w:lang w:eastAsia="es-ES_tradnl"/>
              </w:rPr>
              <w:t>s de las medidas tributarias preferenciales previst</w:t>
            </w:r>
            <w:r w:rsidRPr="000149EE">
              <w:rPr>
                <w:rFonts w:ascii="Times New Roman" w:eastAsia="Times New Roman" w:hAnsi="Times New Roman"/>
                <w:bCs/>
                <w:sz w:val="28"/>
                <w:szCs w:val="24"/>
                <w:bdr w:val="none" w:sz="0" w:space="0" w:color="auto" w:frame="1"/>
                <w:shd w:val="clear" w:color="auto" w:fill="FFFFFF"/>
                <w:lang w:eastAsia="es-ES_tradnl"/>
              </w:rPr>
              <w:t>a</w:t>
            </w:r>
            <w:r w:rsidRPr="000149EE">
              <w:rPr>
                <w:rFonts w:ascii="Times New Roman" w:eastAsia="Times New Roman" w:hAnsi="Times New Roman"/>
                <w:bCs/>
                <w:sz w:val="28"/>
                <w:szCs w:val="24"/>
                <w:bdr w:val="none" w:sz="0" w:space="0" w:color="auto" w:frame="1"/>
                <w:shd w:val="clear" w:color="auto" w:fill="FFFFFF"/>
                <w:lang w:eastAsia="es-ES_tradnl"/>
              </w:rPr>
              <w:t>s en el régimen franco, la Corte Constitucional ha</w:t>
            </w:r>
            <w:r w:rsidRPr="000149EE">
              <w:rPr>
                <w:rFonts w:ascii="Times New Roman" w:eastAsia="Times New Roman" w:hAnsi="Times New Roman"/>
                <w:bCs/>
                <w:sz w:val="28"/>
                <w:szCs w:val="24"/>
                <w:bdr w:val="none" w:sz="0" w:space="0" w:color="auto" w:frame="1"/>
                <w:shd w:val="clear" w:color="auto" w:fill="FFFFFF"/>
                <w:lang w:eastAsia="es-ES_tradnl"/>
              </w:rPr>
              <w:t xml:space="preserve"> empleado</w:t>
            </w:r>
            <w:r w:rsidRPr="000149EE">
              <w:rPr>
                <w:rFonts w:ascii="Times New Roman" w:eastAsia="Times New Roman" w:hAnsi="Times New Roman"/>
                <w:bCs/>
                <w:sz w:val="28"/>
                <w:szCs w:val="24"/>
                <w:bdr w:val="none" w:sz="0" w:space="0" w:color="auto" w:frame="1"/>
                <w:shd w:val="clear" w:color="auto" w:fill="FFFFFF"/>
                <w:lang w:eastAsia="es-ES_tradnl"/>
              </w:rPr>
              <w:t xml:space="preserve"> </w:t>
            </w:r>
            <w:r w:rsidRPr="000149EE">
              <w:rPr>
                <w:rFonts w:ascii="Times New Roman" w:eastAsia="Times New Roman" w:hAnsi="Times New Roman"/>
                <w:bCs/>
                <w:sz w:val="28"/>
                <w:szCs w:val="24"/>
                <w:bdr w:val="none" w:sz="0" w:space="0" w:color="auto" w:frame="1"/>
                <w:shd w:val="clear" w:color="auto" w:fill="FFFFFF"/>
                <w:lang w:eastAsia="es-ES_tradnl"/>
              </w:rPr>
              <w:t>un</w:t>
            </w:r>
            <w:r w:rsidRPr="000149EE">
              <w:rPr>
                <w:rFonts w:ascii="Times New Roman" w:eastAsia="Times New Roman" w:hAnsi="Times New Roman"/>
                <w:bCs/>
                <w:sz w:val="28"/>
                <w:szCs w:val="24"/>
                <w:bdr w:val="none" w:sz="0" w:space="0" w:color="auto" w:frame="1"/>
                <w:shd w:val="clear" w:color="auto" w:fill="FFFFFF"/>
                <w:lang w:eastAsia="es-ES_tradnl"/>
              </w:rPr>
              <w:t xml:space="preserve"> juicio de intensidad </w:t>
            </w:r>
            <w:r w:rsidRPr="000149EE">
              <w:rPr>
                <w:rFonts w:ascii="Times New Roman" w:eastAsia="Times New Roman" w:hAnsi="Times New Roman"/>
                <w:bCs/>
                <w:i/>
                <w:iCs/>
                <w:sz w:val="28"/>
                <w:szCs w:val="24"/>
                <w:bdr w:val="none" w:sz="0" w:space="0" w:color="auto" w:frame="1"/>
                <w:shd w:val="clear" w:color="auto" w:fill="FFFFFF"/>
                <w:lang w:eastAsia="es-ES_tradnl"/>
              </w:rPr>
              <w:t>leve</w:t>
            </w:r>
            <w:r w:rsidRPr="000149EE">
              <w:rPr>
                <w:rFonts w:ascii="Times New Roman" w:eastAsia="Times New Roman" w:hAnsi="Times New Roman"/>
                <w:bCs/>
                <w:sz w:val="28"/>
                <w:szCs w:val="24"/>
                <w:bdr w:val="none" w:sz="0" w:space="0" w:color="auto" w:frame="1"/>
                <w:shd w:val="clear" w:color="auto" w:fill="FFFFFF"/>
                <w:lang w:eastAsia="es-ES_tradnl"/>
              </w:rPr>
              <w:t>.</w:t>
            </w:r>
          </w:p>
        </w:tc>
      </w:tr>
    </w:tbl>
    <w:p w:rsidR="006145AE" w:rsidRPr="000149EE" w:rsidRDefault="000149EE" w:rsidP="00900CB4">
      <w:pPr>
        <w:pStyle w:val="Prrafodelista"/>
        <w:widowControl w:val="0"/>
        <w:spacing w:line="240" w:lineRule="auto"/>
        <w:ind w:left="0"/>
        <w:rPr>
          <w:rFonts w:ascii="Times New Roman" w:eastAsia="Times New Roman" w:hAnsi="Times New Roman"/>
          <w:bCs/>
          <w:sz w:val="28"/>
          <w:bdr w:val="none" w:sz="0" w:space="0" w:color="auto" w:frame="1"/>
          <w:shd w:val="clear" w:color="auto" w:fill="FFFFFF"/>
          <w:lang w:eastAsia="es-ES_tradnl"/>
        </w:rPr>
      </w:pPr>
    </w:p>
    <w:p w:rsidR="003D5BB5" w:rsidRPr="000149EE" w:rsidRDefault="000149EE" w:rsidP="003D5BB5">
      <w:pPr>
        <w:pStyle w:val="Ttulo2"/>
        <w:numPr>
          <w:ilvl w:val="1"/>
          <w:numId w:val="7"/>
        </w:numPr>
        <w:ind w:hanging="650"/>
        <w:rPr>
          <w:rFonts w:ascii="Times New Roman" w:hAnsi="Times New Roman" w:cs="Times New Roman"/>
          <w:b w:val="0"/>
          <w:bCs/>
          <w:sz w:val="28"/>
          <w:szCs w:val="28"/>
        </w:rPr>
      </w:pPr>
      <w:r w:rsidRPr="000149EE">
        <w:rPr>
          <w:rFonts w:ascii="Times New Roman" w:hAnsi="Times New Roman" w:cs="Times New Roman"/>
          <w:bCs/>
          <w:sz w:val="28"/>
          <w:szCs w:val="28"/>
        </w:rPr>
        <w:t xml:space="preserve">Caso concreto: análisis de constitucionalidad de los numerales 1, 2 y 3 y el parágrafo 6 del artículo 240-1 del ET, modificado por el artículo 11 de la Ley 2277 de 2022 </w:t>
      </w:r>
    </w:p>
    <w:p w:rsidR="003D5BB5" w:rsidRPr="000149EE" w:rsidRDefault="000149EE" w:rsidP="003D5BB5">
      <w:pPr>
        <w:rPr>
          <w:rFonts w:ascii="Times New Roman" w:hAnsi="Times New Roman" w:cs="Times New Roman"/>
          <w:i/>
          <w:iCs/>
          <w:color w:val="000000" w:themeColor="text1"/>
          <w:sz w:val="28"/>
          <w:szCs w:val="28"/>
        </w:rPr>
      </w:pPr>
    </w:p>
    <w:p w:rsidR="003D5BB5" w:rsidRPr="000149EE" w:rsidRDefault="000149EE" w:rsidP="00F6659E">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rPr>
        <w:t xml:space="preserve">En la presente sección, la Sala Plena examinará si los numerales 1, 2 y 3 </w:t>
      </w:r>
      <w:r w:rsidRPr="000149EE">
        <w:rPr>
          <w:rFonts w:ascii="Times New Roman" w:hAnsi="Times New Roman" w:cs="Times New Roman"/>
          <w:color w:val="000000" w:themeColor="text1"/>
          <w:sz w:val="28"/>
          <w:szCs w:val="28"/>
        </w:rPr>
        <w:t>así como</w:t>
      </w:r>
      <w:r w:rsidRPr="000149EE">
        <w:rPr>
          <w:rFonts w:ascii="Times New Roman" w:hAnsi="Times New Roman" w:cs="Times New Roman"/>
          <w:color w:val="000000" w:themeColor="text1"/>
          <w:sz w:val="28"/>
          <w:szCs w:val="28"/>
        </w:rPr>
        <w:t xml:space="preserve"> el</w:t>
      </w:r>
      <w:r w:rsidRPr="000149EE">
        <w:rPr>
          <w:rFonts w:ascii="Times New Roman" w:hAnsi="Times New Roman" w:cs="Times New Roman"/>
          <w:color w:val="000000" w:themeColor="text1"/>
          <w:sz w:val="28"/>
          <w:szCs w:val="28"/>
        </w:rPr>
        <w:t xml:space="preserve"> parágrafo 6° del artículo 240-1 del ET, modificados por el artículo 11 de la Ley 2277 de 2022</w:t>
      </w:r>
      <w:r w:rsidRPr="000149EE">
        <w:rPr>
          <w:rFonts w:ascii="Times New Roman" w:hAnsi="Times New Roman" w:cs="Times New Roman"/>
          <w:bCs/>
          <w:color w:val="000000" w:themeColor="text1"/>
          <w:sz w:val="28"/>
          <w:szCs w:val="28"/>
        </w:rPr>
        <w:t>,</w:t>
      </w:r>
      <w:r w:rsidRPr="000149EE">
        <w:rPr>
          <w:rFonts w:ascii="Times New Roman" w:hAnsi="Times New Roman" w:cs="Times New Roman"/>
          <w:color w:val="000000" w:themeColor="text1"/>
          <w:sz w:val="28"/>
          <w:szCs w:val="28"/>
        </w:rPr>
        <w:t xml:space="preserve"> vulneran los principios de igualdad y equidad tributaria (arts. 13 y 363 de la CP)</w:t>
      </w:r>
      <w:r w:rsidRPr="000149EE">
        <w:rPr>
          <w:rStyle w:val="Refdenotaalpie"/>
          <w:rFonts w:ascii="Times New Roman" w:hAnsi="Times New Roman" w:cs="Times New Roman"/>
          <w:color w:val="000000" w:themeColor="text1"/>
          <w:sz w:val="28"/>
          <w:szCs w:val="28"/>
        </w:rPr>
        <w:footnoteReference w:id="157"/>
      </w:r>
      <w:r w:rsidRPr="000149EE">
        <w:rPr>
          <w:rFonts w:ascii="Times New Roman" w:hAnsi="Times New Roman" w:cs="Times New Roman"/>
          <w:color w:val="000000" w:themeColor="text1"/>
          <w:sz w:val="28"/>
          <w:szCs w:val="28"/>
        </w:rPr>
        <w:t>. Para ello, aplicará un juicio integrado de igualdad.</w:t>
      </w:r>
      <w:r w:rsidRPr="000149EE">
        <w:rPr>
          <w:rFonts w:ascii="Times New Roman" w:hAnsi="Times New Roman" w:cs="Times New Roman"/>
          <w:i/>
          <w:iCs/>
          <w:color w:val="000000" w:themeColor="text1"/>
          <w:sz w:val="28"/>
          <w:szCs w:val="28"/>
        </w:rPr>
        <w:t xml:space="preserve"> </w:t>
      </w:r>
      <w:r w:rsidRPr="000149EE">
        <w:rPr>
          <w:rFonts w:ascii="Times New Roman" w:hAnsi="Times New Roman" w:cs="Times New Roman"/>
          <w:color w:val="000000" w:themeColor="text1"/>
          <w:sz w:val="28"/>
          <w:szCs w:val="28"/>
        </w:rPr>
        <w:t xml:space="preserve">En tales términos, conforme a la estructura metodológica unificada por la sentencia C-345 de 2019, a continuación, examinará si las disposiciones demandadas prevén un trato disímil entre iguales </w:t>
      </w:r>
      <w:r w:rsidRPr="000149EE">
        <w:rPr>
          <w:rFonts w:ascii="Times New Roman" w:hAnsi="Times New Roman" w:cs="Times New Roman"/>
          <w:i/>
          <w:color w:val="000000" w:themeColor="text1"/>
          <w:sz w:val="28"/>
          <w:szCs w:val="28"/>
        </w:rPr>
        <w:t>prima facie</w:t>
      </w:r>
      <w:r w:rsidRPr="000149EE">
        <w:rPr>
          <w:rFonts w:ascii="Times New Roman" w:hAnsi="Times New Roman" w:cs="Times New Roman"/>
          <w:color w:val="000000" w:themeColor="text1"/>
          <w:sz w:val="28"/>
          <w:szCs w:val="28"/>
        </w:rPr>
        <w:t xml:space="preserve"> contrario a los principios de igualdad y equidad </w:t>
      </w:r>
      <w:r w:rsidRPr="000149EE">
        <w:rPr>
          <w:rFonts w:ascii="Times New Roman" w:hAnsi="Times New Roman" w:cs="Times New Roman"/>
          <w:color w:val="000000" w:themeColor="text1"/>
          <w:sz w:val="28"/>
          <w:szCs w:val="28"/>
        </w:rPr>
        <w:t xml:space="preserve">tributaria </w:t>
      </w:r>
      <w:r w:rsidRPr="000149EE">
        <w:rPr>
          <w:rFonts w:ascii="Times New Roman" w:hAnsi="Times New Roman" w:cs="Times New Roman"/>
          <w:b/>
          <w:bCs/>
          <w:color w:val="000000" w:themeColor="text1"/>
          <w:sz w:val="28"/>
          <w:szCs w:val="28"/>
        </w:rPr>
        <w:t>(sección 4.</w:t>
      </w:r>
      <w:r w:rsidRPr="000149EE">
        <w:rPr>
          <w:rFonts w:ascii="Times New Roman" w:hAnsi="Times New Roman" w:cs="Times New Roman"/>
          <w:b/>
          <w:bCs/>
          <w:color w:val="000000" w:themeColor="text1"/>
          <w:sz w:val="28"/>
          <w:szCs w:val="28"/>
        </w:rPr>
        <w:t>3</w:t>
      </w:r>
      <w:r w:rsidRPr="000149EE">
        <w:rPr>
          <w:rFonts w:ascii="Times New Roman" w:hAnsi="Times New Roman" w:cs="Times New Roman"/>
          <w:b/>
          <w:bCs/>
          <w:color w:val="000000" w:themeColor="text1"/>
          <w:sz w:val="28"/>
          <w:szCs w:val="28"/>
        </w:rPr>
        <w:t xml:space="preserve">(i) </w:t>
      </w:r>
      <w:r w:rsidRPr="000149EE">
        <w:rPr>
          <w:rFonts w:ascii="Times New Roman" w:hAnsi="Times New Roman" w:cs="Times New Roman"/>
          <w:b/>
          <w:bCs/>
          <w:i/>
          <w:iCs/>
          <w:color w:val="000000" w:themeColor="text1"/>
          <w:sz w:val="28"/>
          <w:szCs w:val="28"/>
        </w:rPr>
        <w:t>infra</w:t>
      </w:r>
      <w:r w:rsidRPr="000149EE">
        <w:rPr>
          <w:rFonts w:ascii="Times New Roman" w:hAnsi="Times New Roman" w:cs="Times New Roman"/>
          <w:b/>
          <w:bCs/>
          <w:color w:val="000000" w:themeColor="text1"/>
          <w:sz w:val="28"/>
          <w:szCs w:val="28"/>
        </w:rPr>
        <w:t>)</w:t>
      </w:r>
      <w:r w:rsidRPr="000149EE">
        <w:rPr>
          <w:rFonts w:ascii="Times New Roman" w:hAnsi="Times New Roman" w:cs="Times New Roman"/>
          <w:color w:val="000000" w:themeColor="text1"/>
          <w:sz w:val="28"/>
          <w:szCs w:val="28"/>
        </w:rPr>
        <w:t xml:space="preserve">. Luego, definirá la intensidad del juicio de igualdad conforme a los criterios desarrollados por la jurisprudencia constitucional </w:t>
      </w:r>
      <w:r w:rsidRPr="000149EE">
        <w:rPr>
          <w:rFonts w:ascii="Times New Roman" w:hAnsi="Times New Roman" w:cs="Times New Roman"/>
          <w:b/>
          <w:bCs/>
          <w:color w:val="000000" w:themeColor="text1"/>
          <w:sz w:val="28"/>
          <w:szCs w:val="28"/>
        </w:rPr>
        <w:t>(sección 4.</w:t>
      </w:r>
      <w:r w:rsidRPr="000149EE">
        <w:rPr>
          <w:rFonts w:ascii="Times New Roman" w:hAnsi="Times New Roman" w:cs="Times New Roman"/>
          <w:b/>
          <w:bCs/>
          <w:color w:val="000000" w:themeColor="text1"/>
          <w:sz w:val="28"/>
          <w:szCs w:val="28"/>
        </w:rPr>
        <w:t>3</w:t>
      </w:r>
      <w:r w:rsidRPr="000149EE">
        <w:rPr>
          <w:rFonts w:ascii="Times New Roman" w:hAnsi="Times New Roman" w:cs="Times New Roman"/>
          <w:b/>
          <w:bCs/>
          <w:color w:val="000000" w:themeColor="text1"/>
          <w:sz w:val="28"/>
          <w:szCs w:val="28"/>
        </w:rPr>
        <w:t xml:space="preserve">(ii) </w:t>
      </w:r>
      <w:r w:rsidRPr="000149EE">
        <w:rPr>
          <w:rFonts w:ascii="Times New Roman" w:hAnsi="Times New Roman" w:cs="Times New Roman"/>
          <w:b/>
          <w:bCs/>
          <w:i/>
          <w:iCs/>
          <w:color w:val="000000" w:themeColor="text1"/>
          <w:sz w:val="28"/>
          <w:szCs w:val="28"/>
        </w:rPr>
        <w:t>infra</w:t>
      </w:r>
      <w:r w:rsidRPr="000149EE">
        <w:rPr>
          <w:rFonts w:ascii="Times New Roman" w:hAnsi="Times New Roman" w:cs="Times New Roman"/>
          <w:b/>
          <w:bCs/>
          <w:color w:val="000000" w:themeColor="text1"/>
          <w:sz w:val="28"/>
          <w:szCs w:val="28"/>
        </w:rPr>
        <w:t>)</w:t>
      </w:r>
      <w:r w:rsidRPr="000149EE">
        <w:rPr>
          <w:rFonts w:ascii="Times New Roman" w:hAnsi="Times New Roman" w:cs="Times New Roman"/>
          <w:color w:val="000000" w:themeColor="text1"/>
          <w:sz w:val="28"/>
          <w:szCs w:val="28"/>
        </w:rPr>
        <w:t>. Por último, analizará la proporcionalidad de la medida según las ex</w:t>
      </w:r>
      <w:r w:rsidRPr="000149EE">
        <w:rPr>
          <w:rFonts w:ascii="Times New Roman" w:hAnsi="Times New Roman" w:cs="Times New Roman"/>
          <w:color w:val="000000" w:themeColor="text1"/>
          <w:sz w:val="28"/>
          <w:szCs w:val="28"/>
        </w:rPr>
        <w:t xml:space="preserve">igencias que correspondan de acuerdo con el nivel de escrutinio </w:t>
      </w:r>
      <w:r w:rsidRPr="000149EE">
        <w:rPr>
          <w:rFonts w:ascii="Times New Roman" w:hAnsi="Times New Roman" w:cs="Times New Roman"/>
          <w:b/>
          <w:bCs/>
          <w:color w:val="000000" w:themeColor="text1"/>
          <w:sz w:val="28"/>
          <w:szCs w:val="28"/>
        </w:rPr>
        <w:t>(sección 4.</w:t>
      </w:r>
      <w:r w:rsidRPr="000149EE">
        <w:rPr>
          <w:rFonts w:ascii="Times New Roman" w:hAnsi="Times New Roman" w:cs="Times New Roman"/>
          <w:b/>
          <w:bCs/>
          <w:color w:val="000000" w:themeColor="text1"/>
          <w:sz w:val="28"/>
          <w:szCs w:val="28"/>
        </w:rPr>
        <w:t>3</w:t>
      </w:r>
      <w:r w:rsidRPr="000149EE">
        <w:rPr>
          <w:rFonts w:ascii="Times New Roman" w:hAnsi="Times New Roman" w:cs="Times New Roman"/>
          <w:b/>
          <w:bCs/>
          <w:color w:val="000000" w:themeColor="text1"/>
          <w:sz w:val="28"/>
          <w:szCs w:val="28"/>
        </w:rPr>
        <w:t xml:space="preserve">(iii) </w:t>
      </w:r>
      <w:r w:rsidRPr="000149EE">
        <w:rPr>
          <w:rFonts w:ascii="Times New Roman" w:hAnsi="Times New Roman" w:cs="Times New Roman"/>
          <w:b/>
          <w:bCs/>
          <w:i/>
          <w:iCs/>
          <w:color w:val="000000" w:themeColor="text1"/>
          <w:sz w:val="28"/>
          <w:szCs w:val="28"/>
        </w:rPr>
        <w:t>infra</w:t>
      </w:r>
      <w:r w:rsidRPr="000149EE">
        <w:rPr>
          <w:rFonts w:ascii="Times New Roman" w:hAnsi="Times New Roman" w:cs="Times New Roman"/>
          <w:b/>
          <w:bCs/>
          <w:color w:val="000000" w:themeColor="text1"/>
          <w:sz w:val="28"/>
          <w:szCs w:val="28"/>
        </w:rPr>
        <w:t>)</w:t>
      </w:r>
      <w:r w:rsidRPr="000149EE">
        <w:rPr>
          <w:rFonts w:ascii="Times New Roman" w:hAnsi="Times New Roman" w:cs="Times New Roman"/>
          <w:color w:val="000000" w:themeColor="text1"/>
          <w:sz w:val="28"/>
          <w:szCs w:val="28"/>
        </w:rPr>
        <w:t>.</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3D5BB5">
      <w:pPr>
        <w:pStyle w:val="Prrafodelista"/>
        <w:widowControl w:val="0"/>
        <w:numPr>
          <w:ilvl w:val="0"/>
          <w:numId w:val="19"/>
        </w:numPr>
        <w:spacing w:line="240" w:lineRule="auto"/>
        <w:rPr>
          <w:rFonts w:ascii="Times New Roman" w:hAnsi="Times New Roman"/>
          <w:b/>
          <w:bCs/>
          <w:color w:val="000000" w:themeColor="text1"/>
          <w:sz w:val="28"/>
        </w:rPr>
      </w:pPr>
      <w:r w:rsidRPr="000149EE">
        <w:rPr>
          <w:rFonts w:ascii="Times New Roman" w:hAnsi="Times New Roman"/>
          <w:b/>
          <w:bCs/>
          <w:color w:val="000000" w:themeColor="text1"/>
          <w:sz w:val="28"/>
        </w:rPr>
        <w:t xml:space="preserve">Afectación </w:t>
      </w:r>
      <w:r w:rsidRPr="000149EE">
        <w:rPr>
          <w:rFonts w:ascii="Times New Roman" w:hAnsi="Times New Roman"/>
          <w:b/>
          <w:bCs/>
          <w:i/>
          <w:iCs/>
          <w:color w:val="000000" w:themeColor="text1"/>
          <w:sz w:val="28"/>
        </w:rPr>
        <w:t>prima facie</w:t>
      </w:r>
      <w:r w:rsidRPr="000149EE">
        <w:rPr>
          <w:rFonts w:ascii="Times New Roman" w:hAnsi="Times New Roman"/>
          <w:b/>
          <w:bCs/>
          <w:color w:val="000000" w:themeColor="text1"/>
          <w:sz w:val="28"/>
        </w:rPr>
        <w:t xml:space="preserve"> a </w:t>
      </w:r>
      <w:bookmarkStart w:id="12" w:name="_Hlk167277415"/>
      <w:r w:rsidRPr="000149EE">
        <w:rPr>
          <w:rFonts w:ascii="Times New Roman" w:hAnsi="Times New Roman"/>
          <w:b/>
          <w:bCs/>
          <w:color w:val="000000" w:themeColor="text1"/>
          <w:sz w:val="28"/>
        </w:rPr>
        <w:t xml:space="preserve">los principios de igualdad y equidad tributaria </w:t>
      </w:r>
      <w:bookmarkEnd w:id="12"/>
    </w:p>
    <w:p w:rsidR="003D5BB5" w:rsidRPr="000149EE" w:rsidRDefault="000149EE" w:rsidP="003D5BB5">
      <w:pPr>
        <w:rPr>
          <w:rFonts w:ascii="Times New Roman" w:hAnsi="Times New Roman" w:cs="Times New Roman"/>
          <w:color w:val="000000" w:themeColor="text1"/>
          <w:sz w:val="28"/>
          <w:szCs w:val="28"/>
        </w:rPr>
      </w:pPr>
    </w:p>
    <w:p w:rsidR="0045347F" w:rsidRPr="000149EE" w:rsidRDefault="000149EE" w:rsidP="0045347F">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u w:val="single"/>
        </w:rPr>
        <w:t>Sujetos comparables</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La Sala reitera que, </w:t>
      </w:r>
      <w:r w:rsidRPr="000149EE">
        <w:rPr>
          <w:rFonts w:ascii="Times New Roman" w:hAnsi="Times New Roman" w:cs="Times New Roman"/>
          <w:sz w:val="28"/>
          <w:szCs w:val="28"/>
        </w:rPr>
        <w:t xml:space="preserve">en virtud de la sentencia C-384 de 2023, actualmente existen dos regímenes tarifarios vigentes sobre el impuesto a la renta de los usuarios industriales de zona franca: </w:t>
      </w:r>
    </w:p>
    <w:p w:rsidR="0045347F" w:rsidRPr="000149EE" w:rsidRDefault="000149EE" w:rsidP="0045347F">
      <w:pPr>
        <w:rPr>
          <w:rFonts w:ascii="Times New Roman" w:hAnsi="Times New Roman" w:cs="Times New Roman"/>
          <w:sz w:val="28"/>
          <w:szCs w:val="28"/>
        </w:rPr>
      </w:pPr>
    </w:p>
    <w:p w:rsidR="006046A7" w:rsidRPr="000149EE" w:rsidRDefault="000149EE" w:rsidP="006046A7">
      <w:pPr>
        <w:numPr>
          <w:ilvl w:val="1"/>
          <w:numId w:val="3"/>
        </w:numPr>
        <w:tabs>
          <w:tab w:val="left" w:pos="567"/>
        </w:tabs>
        <w:ind w:left="851" w:hanging="851"/>
        <w:rPr>
          <w:rFonts w:ascii="Times New Roman" w:hAnsi="Times New Roman" w:cs="Times New Roman"/>
          <w:sz w:val="28"/>
          <w:szCs w:val="28"/>
        </w:rPr>
      </w:pPr>
      <w:r w:rsidRPr="000149EE">
        <w:rPr>
          <w:rFonts w:ascii="Times New Roman" w:hAnsi="Times New Roman" w:cs="Times New Roman"/>
          <w:sz w:val="28"/>
          <w:szCs w:val="28"/>
          <w:u w:val="single"/>
        </w:rPr>
        <w:t>Régimen tarifario 1</w:t>
      </w:r>
      <w:r w:rsidRPr="000149EE">
        <w:rPr>
          <w:rFonts w:ascii="Times New Roman" w:hAnsi="Times New Roman" w:cs="Times New Roman"/>
          <w:sz w:val="28"/>
          <w:szCs w:val="28"/>
        </w:rPr>
        <w:t>: el régimen previsto en el inciso 1º del artículo 101 de la Ley 1</w:t>
      </w:r>
      <w:r w:rsidRPr="000149EE">
        <w:rPr>
          <w:rFonts w:ascii="Times New Roman" w:hAnsi="Times New Roman" w:cs="Times New Roman"/>
          <w:sz w:val="28"/>
          <w:szCs w:val="28"/>
        </w:rPr>
        <w:t>819 de 2016, conforme al cual “a partir del 1o de enero de 2017, la tarifa del impuesto sobre la renta y complementarios para las personas jurídicas que sean usuarios de zona franca será del 20%”. Este régimen aplica a los usuarios de zona franca que antes</w:t>
      </w:r>
      <w:r w:rsidRPr="000149EE">
        <w:rPr>
          <w:rFonts w:ascii="Times New Roman" w:hAnsi="Times New Roman" w:cs="Times New Roman"/>
          <w:sz w:val="28"/>
          <w:szCs w:val="28"/>
        </w:rPr>
        <w:t xml:space="preserve"> de la entrada en vigor de la Ley 2277 de 2022 hubiesen cumplido las condiciones para acceder a la tarifa preferencial del impuesto a la renta. </w:t>
      </w:r>
    </w:p>
    <w:p w:rsidR="0045347F" w:rsidRPr="000149EE" w:rsidRDefault="000149EE" w:rsidP="006046A7">
      <w:pPr>
        <w:numPr>
          <w:ilvl w:val="1"/>
          <w:numId w:val="3"/>
        </w:numPr>
        <w:tabs>
          <w:tab w:val="left" w:pos="567"/>
        </w:tabs>
        <w:ind w:left="851" w:hanging="851"/>
        <w:rPr>
          <w:rFonts w:ascii="Times New Roman" w:hAnsi="Times New Roman" w:cs="Times New Roman"/>
          <w:sz w:val="28"/>
          <w:szCs w:val="28"/>
        </w:rPr>
      </w:pPr>
      <w:r w:rsidRPr="000149EE">
        <w:rPr>
          <w:rFonts w:ascii="Times New Roman" w:hAnsi="Times New Roman" w:cs="Times New Roman"/>
          <w:sz w:val="28"/>
          <w:szCs w:val="28"/>
          <w:u w:val="single"/>
        </w:rPr>
        <w:t>Régimen tarifario 2</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el sistema mixto de dos tarifas previsto en el artículo 11 de la Ley 2277 de 2022, que apl</w:t>
      </w:r>
      <w:r w:rsidRPr="000149EE">
        <w:rPr>
          <w:rFonts w:ascii="Times New Roman" w:hAnsi="Times New Roman" w:cs="Times New Roman"/>
          <w:sz w:val="28"/>
          <w:szCs w:val="28"/>
        </w:rPr>
        <w:t>ica</w:t>
      </w:r>
      <w:r w:rsidRPr="000149EE">
        <w:rPr>
          <w:rFonts w:ascii="Times New Roman" w:hAnsi="Times New Roman" w:cs="Times New Roman"/>
          <w:sz w:val="28"/>
          <w:szCs w:val="28"/>
        </w:rPr>
        <w:t xml:space="preserve"> en función</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del origen de las rentas objeto de gravamen, así como</w:t>
      </w:r>
      <w:r w:rsidRPr="000149EE">
        <w:rPr>
          <w:rFonts w:ascii="Times New Roman" w:hAnsi="Times New Roman" w:cs="Times New Roman"/>
          <w:sz w:val="28"/>
          <w:szCs w:val="28"/>
        </w:rPr>
        <w:t xml:space="preserve"> de la suscripción y cumplimiento del PIAV. El numeral 1º dispone que a los ingresos provenientes de la exportación de bienes y servicios les aplicará una tarifa del 20%. Por su parte, el </w:t>
      </w:r>
      <w:r w:rsidRPr="000149EE">
        <w:rPr>
          <w:rFonts w:ascii="Times New Roman" w:hAnsi="Times New Roman" w:cs="Times New Roman"/>
          <w:sz w:val="28"/>
          <w:szCs w:val="28"/>
        </w:rPr>
        <w:t>numeral 2º dispone que a los ingresos que no provengan de operaciones de exportación les aplicará la tarifa general del impuesto para las personas jurídicas, que asciende a 35%. Conforme al parágrafo 6º, sólo podrán acceder a la tarifa preferencial del 20%</w:t>
      </w:r>
      <w:r w:rsidRPr="000149EE">
        <w:rPr>
          <w:rFonts w:ascii="Times New Roman" w:hAnsi="Times New Roman" w:cs="Times New Roman"/>
          <w:sz w:val="28"/>
          <w:szCs w:val="28"/>
        </w:rPr>
        <w:t xml:space="preserve"> los usuarios industriales de zona franca que</w:t>
      </w:r>
      <w:r w:rsidRPr="000149EE">
        <w:rPr>
          <w:rFonts w:ascii="Times New Roman" w:hAnsi="Times New Roman" w:cs="Times New Roman"/>
          <w:bCs/>
          <w:iCs/>
          <w:sz w:val="28"/>
          <w:szCs w:val="28"/>
        </w:rPr>
        <w:t xml:space="preserve"> suscriban y cumplan el PIAV</w:t>
      </w:r>
      <w:r w:rsidRPr="000149EE">
        <w:rPr>
          <w:rFonts w:ascii="Times New Roman" w:hAnsi="Times New Roman" w:cs="Times New Roman"/>
          <w:sz w:val="28"/>
          <w:szCs w:val="28"/>
        </w:rPr>
        <w:t xml:space="preserve">. </w:t>
      </w:r>
    </w:p>
    <w:p w:rsidR="0045347F" w:rsidRPr="000149EE" w:rsidRDefault="000149EE" w:rsidP="0045347F">
      <w:pPr>
        <w:tabs>
          <w:tab w:val="left" w:pos="567"/>
        </w:tabs>
        <w:rPr>
          <w:rFonts w:ascii="Times New Roman" w:hAnsi="Times New Roman" w:cs="Times New Roman"/>
          <w:i/>
          <w:iCs/>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rPr>
        <w:t>La Sala advierte que, en este caso, corresponde comp</w:t>
      </w:r>
      <w:r w:rsidRPr="000149EE">
        <w:rPr>
          <w:rFonts w:ascii="Times New Roman" w:hAnsi="Times New Roman" w:cs="Times New Roman"/>
          <w:color w:val="000000" w:themeColor="text1"/>
          <w:sz w:val="28"/>
          <w:szCs w:val="28"/>
        </w:rPr>
        <w:t>a</w:t>
      </w:r>
      <w:r w:rsidRPr="000149EE">
        <w:rPr>
          <w:rFonts w:ascii="Times New Roman" w:hAnsi="Times New Roman" w:cs="Times New Roman"/>
          <w:color w:val="000000" w:themeColor="text1"/>
          <w:sz w:val="28"/>
          <w:szCs w:val="28"/>
        </w:rPr>
        <w:t xml:space="preserve">rar a dos grupos de usuarios de zona franca a quienes les es aplicable el régimen tarifario 2 </w:t>
      </w:r>
      <w:r w:rsidRPr="000149EE">
        <w:rPr>
          <w:rFonts w:ascii="Times New Roman" w:hAnsi="Times New Roman" w:cs="Times New Roman"/>
          <w:i/>
          <w:iCs/>
          <w:color w:val="000000" w:themeColor="text1"/>
          <w:sz w:val="28"/>
          <w:szCs w:val="28"/>
        </w:rPr>
        <w:t>supra</w:t>
      </w:r>
      <w:r w:rsidRPr="000149EE">
        <w:rPr>
          <w:rFonts w:ascii="Times New Roman" w:hAnsi="Times New Roman" w:cs="Times New Roman"/>
          <w:color w:val="000000" w:themeColor="text1"/>
          <w:sz w:val="28"/>
          <w:szCs w:val="28"/>
        </w:rPr>
        <w:t xml:space="preserve">, por haber sido calificados con posterioridad a la entrada en vigor de la Ley 2277 de 2022: </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u w:val="single"/>
        </w:rPr>
        <w:t>grupo 1</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los </w:t>
      </w:r>
      <w:r w:rsidRPr="000149EE">
        <w:rPr>
          <w:rFonts w:ascii="Times New Roman" w:hAnsi="Times New Roman" w:cs="Times New Roman"/>
          <w:color w:val="000000" w:themeColor="text1"/>
          <w:sz w:val="28"/>
          <w:szCs w:val="28"/>
        </w:rPr>
        <w:t>usuarios industriales de zonas francas que perciben ingresos provenientes de la exportación de bienes y servicios y</w:t>
      </w:r>
      <w:r w:rsidRPr="000149EE">
        <w:rPr>
          <w:rFonts w:ascii="Times New Roman" w:hAnsi="Times New Roman" w:cs="Times New Roman"/>
          <w:color w:val="000000" w:themeColor="text1"/>
          <w:sz w:val="28"/>
          <w:szCs w:val="28"/>
        </w:rPr>
        <w:t>, además, suscriben</w:t>
      </w:r>
      <w:r w:rsidRPr="000149EE">
        <w:rPr>
          <w:rFonts w:ascii="Times New Roman" w:hAnsi="Times New Roman" w:cs="Times New Roman"/>
          <w:color w:val="000000" w:themeColor="text1"/>
          <w:sz w:val="28"/>
          <w:szCs w:val="28"/>
        </w:rPr>
        <w:t xml:space="preserve"> y cumpl</w:t>
      </w:r>
      <w:r w:rsidRPr="000149EE">
        <w:rPr>
          <w:rFonts w:ascii="Times New Roman" w:hAnsi="Times New Roman" w:cs="Times New Roman"/>
          <w:color w:val="000000" w:themeColor="text1"/>
          <w:sz w:val="28"/>
          <w:szCs w:val="28"/>
        </w:rPr>
        <w:t>en</w:t>
      </w:r>
      <w:r w:rsidRPr="000149EE">
        <w:rPr>
          <w:rFonts w:ascii="Times New Roman" w:hAnsi="Times New Roman" w:cs="Times New Roman"/>
          <w:color w:val="000000" w:themeColor="text1"/>
          <w:sz w:val="28"/>
          <w:szCs w:val="28"/>
        </w:rPr>
        <w:t xml:space="preserve"> el PIAV </w:t>
      </w:r>
      <w:r w:rsidRPr="000149EE">
        <w:rPr>
          <w:rFonts w:ascii="Times New Roman" w:hAnsi="Times New Roman" w:cs="Times New Roman"/>
          <w:color w:val="000000" w:themeColor="text1"/>
          <w:sz w:val="28"/>
          <w:szCs w:val="28"/>
        </w:rPr>
        <w:t xml:space="preserve">y </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u w:val="single"/>
        </w:rPr>
        <w:t>grupo 2</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los usuarios industriales de zonas francas que no exportan o</w:t>
      </w:r>
      <w:r w:rsidRPr="000149EE">
        <w:rPr>
          <w:rFonts w:ascii="Times New Roman" w:hAnsi="Times New Roman" w:cs="Times New Roman"/>
          <w:color w:val="000000" w:themeColor="text1"/>
          <w:sz w:val="28"/>
          <w:szCs w:val="28"/>
        </w:rPr>
        <w:t xml:space="preserve"> que, pese a percibir ingresos por exportación,</w:t>
      </w:r>
      <w:r w:rsidRPr="000149EE">
        <w:rPr>
          <w:rFonts w:ascii="Times New Roman" w:hAnsi="Times New Roman" w:cs="Times New Roman"/>
          <w:color w:val="000000" w:themeColor="text1"/>
          <w:sz w:val="28"/>
          <w:szCs w:val="28"/>
        </w:rPr>
        <w:t xml:space="preserve"> no suscribieron y cumplieron el PIAV</w:t>
      </w:r>
      <w:r w:rsidRPr="000149EE">
        <w:rPr>
          <w:rFonts w:ascii="Times New Roman" w:hAnsi="Times New Roman" w:cs="Times New Roman"/>
          <w:iCs/>
          <w:color w:val="000000" w:themeColor="text1"/>
          <w:sz w:val="28"/>
          <w:szCs w:val="28"/>
        </w:rPr>
        <w:t>.</w:t>
      </w:r>
    </w:p>
    <w:p w:rsidR="003D5BB5" w:rsidRPr="000149EE" w:rsidRDefault="000149EE" w:rsidP="003D5BB5">
      <w:pPr>
        <w:pStyle w:val="Prrafodelista"/>
        <w:widowControl w:val="0"/>
        <w:spacing w:line="240" w:lineRule="auto"/>
        <w:ind w:left="0"/>
        <w:rPr>
          <w:rFonts w:ascii="Times New Roman" w:hAnsi="Times New Roman"/>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u w:val="single"/>
        </w:rPr>
        <w:t>Criterio de comparación</w:t>
      </w:r>
      <w:r w:rsidRPr="000149EE">
        <w:rPr>
          <w:rFonts w:ascii="Times New Roman" w:hAnsi="Times New Roman" w:cs="Times New Roman"/>
          <w:color w:val="000000" w:themeColor="text1"/>
          <w:sz w:val="28"/>
          <w:szCs w:val="28"/>
        </w:rPr>
        <w:t>. La Sala Plena considera que los criterios relevantes para e</w:t>
      </w:r>
      <w:r w:rsidRPr="000149EE">
        <w:rPr>
          <w:rFonts w:ascii="Times New Roman" w:hAnsi="Times New Roman" w:cs="Times New Roman"/>
          <w:color w:val="000000" w:themeColor="text1"/>
          <w:sz w:val="28"/>
          <w:szCs w:val="28"/>
        </w:rPr>
        <w:t xml:space="preserve">xaminar si estos grupos de sujetos son comparables desde el punto de vista fáctico y jurídico son: </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color w:val="000000" w:themeColor="text1"/>
          <w:sz w:val="28"/>
          <w:szCs w:val="28"/>
        </w:rPr>
        <w:t xml:space="preserve"> la naturaleza</w:t>
      </w:r>
      <w:r w:rsidRPr="000149EE">
        <w:rPr>
          <w:rFonts w:ascii="Times New Roman" w:hAnsi="Times New Roman" w:cs="Times New Roman"/>
          <w:color w:val="000000" w:themeColor="text1"/>
          <w:sz w:val="28"/>
          <w:szCs w:val="28"/>
        </w:rPr>
        <w:t xml:space="preserve"> jurídica</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el </w:t>
      </w:r>
      <w:r w:rsidRPr="000149EE">
        <w:rPr>
          <w:rFonts w:ascii="Times New Roman" w:hAnsi="Times New Roman" w:cs="Times New Roman"/>
          <w:color w:val="000000" w:themeColor="text1"/>
          <w:sz w:val="28"/>
          <w:szCs w:val="28"/>
        </w:rPr>
        <w:t xml:space="preserve">régimen jurídico aplicable a sus operaciones de ventas de bienes y servicios y </w:t>
      </w:r>
      <w:r w:rsidRPr="000149EE">
        <w:rPr>
          <w:rFonts w:ascii="Times New Roman" w:hAnsi="Times New Roman" w:cs="Times New Roman"/>
          <w:i/>
          <w:iCs/>
          <w:color w:val="000000" w:themeColor="text1"/>
          <w:sz w:val="28"/>
          <w:szCs w:val="28"/>
        </w:rPr>
        <w:t>(</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la capacidad contributiva</w:t>
      </w:r>
      <w:r w:rsidRPr="000149EE">
        <w:rPr>
          <w:rStyle w:val="Refdenotaalpie"/>
          <w:rFonts w:ascii="Times New Roman" w:hAnsi="Times New Roman" w:cs="Times New Roman"/>
          <w:color w:val="000000" w:themeColor="text1"/>
          <w:sz w:val="28"/>
          <w:szCs w:val="28"/>
        </w:rPr>
        <w:footnoteReference w:id="158"/>
      </w:r>
      <w:r w:rsidRPr="000149EE">
        <w:rPr>
          <w:rFonts w:ascii="Times New Roman" w:hAnsi="Times New Roman" w:cs="Times New Roman"/>
          <w:color w:val="000000" w:themeColor="text1"/>
          <w:sz w:val="28"/>
          <w:szCs w:val="28"/>
        </w:rPr>
        <w:t>. En criterio de la Corte, la naturaleza y régimen jurídico al que están sometidos los usuarios de zona franca es un criterio determinante, habida cuenta de que la tarifa preferencial del impuesto a la renta está fundada, precisamente, en que las zonas fra</w:t>
      </w:r>
      <w:r w:rsidRPr="000149EE">
        <w:rPr>
          <w:rFonts w:ascii="Times New Roman" w:hAnsi="Times New Roman" w:cs="Times New Roman"/>
          <w:color w:val="000000" w:themeColor="text1"/>
          <w:sz w:val="28"/>
          <w:szCs w:val="28"/>
        </w:rPr>
        <w:t xml:space="preserve">ncas están sometidas a un régimen especial y excepcional. Esta es una de sus características definitorias. De otro lado, conforme a la jurisprudencia constitucional, la capacidad contributiva es </w:t>
      </w:r>
      <w:r w:rsidRPr="000149EE">
        <w:rPr>
          <w:rFonts w:ascii="Times New Roman" w:hAnsi="Times New Roman" w:cs="Times New Roman"/>
          <w:color w:val="000000" w:themeColor="text1"/>
          <w:sz w:val="28"/>
          <w:szCs w:val="28"/>
        </w:rPr>
        <w:t>un</w:t>
      </w:r>
      <w:r w:rsidRPr="000149EE">
        <w:rPr>
          <w:rFonts w:ascii="Times New Roman" w:hAnsi="Times New Roman" w:cs="Times New Roman"/>
          <w:color w:val="000000" w:themeColor="text1"/>
          <w:sz w:val="28"/>
          <w:szCs w:val="28"/>
        </w:rPr>
        <w:t xml:space="preserve"> criterio </w:t>
      </w:r>
      <w:r w:rsidRPr="000149EE">
        <w:rPr>
          <w:rFonts w:ascii="Times New Roman" w:hAnsi="Times New Roman" w:cs="Times New Roman"/>
          <w:color w:val="000000" w:themeColor="text1"/>
          <w:sz w:val="28"/>
          <w:szCs w:val="28"/>
        </w:rPr>
        <w:t xml:space="preserve">relevante </w:t>
      </w:r>
      <w:r w:rsidRPr="000149EE">
        <w:rPr>
          <w:rFonts w:ascii="Times New Roman" w:hAnsi="Times New Roman" w:cs="Times New Roman"/>
          <w:color w:val="000000" w:themeColor="text1"/>
          <w:sz w:val="28"/>
          <w:szCs w:val="28"/>
        </w:rPr>
        <w:t>para establecer las cargas y beneficios</w:t>
      </w:r>
      <w:r w:rsidRPr="000149EE">
        <w:rPr>
          <w:rFonts w:ascii="Times New Roman" w:hAnsi="Times New Roman" w:cs="Times New Roman"/>
          <w:color w:val="000000" w:themeColor="text1"/>
          <w:sz w:val="28"/>
          <w:szCs w:val="28"/>
        </w:rPr>
        <w:t xml:space="preserve"> tributarios de los contribuyentes</w:t>
      </w:r>
      <w:r w:rsidRPr="000149EE">
        <w:rPr>
          <w:rStyle w:val="Refdenotaalpie"/>
          <w:rFonts w:ascii="Times New Roman" w:hAnsi="Times New Roman" w:cs="Times New Roman"/>
          <w:color w:val="000000" w:themeColor="text1"/>
          <w:sz w:val="28"/>
          <w:szCs w:val="28"/>
        </w:rPr>
        <w:footnoteReference w:id="159"/>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Esto</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porque</w:t>
      </w:r>
      <w:r w:rsidRPr="000149EE">
        <w:rPr>
          <w:rFonts w:ascii="Times New Roman" w:hAnsi="Times New Roman" w:cs="Times New Roman"/>
          <w:color w:val="000000" w:themeColor="text1"/>
          <w:sz w:val="28"/>
          <w:szCs w:val="28"/>
        </w:rPr>
        <w:t xml:space="preserve"> la dimensión horizontal de la equidad tributaria exige que, en principio, los contribuyentes que tienen la misma capacidad contributiva estén sujetos a las misma</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cargas y beneficios tributarios</w:t>
      </w:r>
      <w:r w:rsidRPr="000149EE">
        <w:rPr>
          <w:rFonts w:ascii="Times New Roman" w:hAnsi="Times New Roman" w:cs="Times New Roman"/>
          <w:color w:val="000000" w:themeColor="text1"/>
          <w:sz w:val="28"/>
          <w:szCs w:val="28"/>
        </w:rPr>
        <w:t xml:space="preserve"> (ver párrs.</w:t>
      </w:r>
      <w:r w:rsidRPr="000149EE">
        <w:rPr>
          <w:rFonts w:ascii="Times New Roman" w:hAnsi="Times New Roman" w:cs="Times New Roman"/>
          <w:color w:val="000000" w:themeColor="text1"/>
          <w:sz w:val="28"/>
          <w:szCs w:val="28"/>
        </w:rPr>
        <w:t xml:space="preserve"> 98-100 </w:t>
      </w:r>
      <w:r w:rsidRPr="000149EE">
        <w:rPr>
          <w:rFonts w:ascii="Times New Roman" w:hAnsi="Times New Roman" w:cs="Times New Roman"/>
          <w:i/>
          <w:iCs/>
          <w:color w:val="000000" w:themeColor="text1"/>
          <w:sz w:val="28"/>
          <w:szCs w:val="28"/>
        </w:rPr>
        <w:t>supra</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p>
    <w:p w:rsidR="003D5BB5" w:rsidRPr="000149EE" w:rsidRDefault="000149EE" w:rsidP="003D5BB5">
      <w:pPr>
        <w:pStyle w:val="Prrafodelista"/>
        <w:widowControl w:val="0"/>
        <w:spacing w:line="240" w:lineRule="auto"/>
        <w:ind w:left="0"/>
        <w:rPr>
          <w:rFonts w:ascii="Times New Roman" w:hAnsi="Times New Roman"/>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u w:val="single"/>
        </w:rPr>
        <w:t>Comparabilidad de los sujetos</w:t>
      </w:r>
      <w:r w:rsidRPr="000149EE">
        <w:rPr>
          <w:rFonts w:ascii="Times New Roman" w:hAnsi="Times New Roman" w:cs="Times New Roman"/>
          <w:color w:val="000000" w:themeColor="text1"/>
          <w:sz w:val="28"/>
          <w:szCs w:val="28"/>
        </w:rPr>
        <w:t xml:space="preserve">. La Sala Plena considera que, a la luz de estos criterios de comparación, los </w:t>
      </w:r>
      <w:r w:rsidRPr="000149EE">
        <w:rPr>
          <w:rFonts w:ascii="Times New Roman" w:hAnsi="Times New Roman" w:cs="Times New Roman"/>
          <w:color w:val="000000" w:themeColor="text1"/>
          <w:sz w:val="28"/>
          <w:szCs w:val="28"/>
        </w:rPr>
        <w:t xml:space="preserve">grupos de sujetos </w:t>
      </w:r>
      <w:r w:rsidRPr="000149EE">
        <w:rPr>
          <w:rFonts w:ascii="Times New Roman" w:hAnsi="Times New Roman" w:cs="Times New Roman"/>
          <w:i/>
          <w:iCs/>
          <w:color w:val="000000" w:themeColor="text1"/>
          <w:sz w:val="28"/>
          <w:szCs w:val="28"/>
        </w:rPr>
        <w:t>supra</w:t>
      </w:r>
      <w:r w:rsidRPr="000149EE">
        <w:rPr>
          <w:rFonts w:ascii="Times New Roman" w:hAnsi="Times New Roman" w:cs="Times New Roman"/>
          <w:color w:val="000000" w:themeColor="text1"/>
          <w:sz w:val="28"/>
          <w:szCs w:val="28"/>
        </w:rPr>
        <w:t xml:space="preserve"> son comparables de cara a la tarifa del impuesto a la renta. Esto es así, porque </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color w:val="000000" w:themeColor="text1"/>
          <w:sz w:val="28"/>
          <w:szCs w:val="28"/>
        </w:rPr>
        <w:t xml:space="preserve"> tienen la misma naturaleza jurídica, </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están sometidos a un mismo régimen jurídico y </w:t>
      </w:r>
      <w:r w:rsidRPr="000149EE">
        <w:rPr>
          <w:rFonts w:ascii="Times New Roman" w:hAnsi="Times New Roman" w:cs="Times New Roman"/>
          <w:i/>
          <w:iCs/>
          <w:color w:val="000000" w:themeColor="text1"/>
          <w:sz w:val="28"/>
          <w:szCs w:val="28"/>
        </w:rPr>
        <w:t>(iii)</w:t>
      </w:r>
      <w:r w:rsidRPr="000149EE">
        <w:rPr>
          <w:rFonts w:ascii="Times New Roman" w:hAnsi="Times New Roman" w:cs="Times New Roman"/>
          <w:color w:val="000000" w:themeColor="text1"/>
          <w:sz w:val="28"/>
          <w:szCs w:val="28"/>
        </w:rPr>
        <w:t xml:space="preserve"> tienen una capacidad contributiva equiparable:</w:t>
      </w:r>
    </w:p>
    <w:p w:rsidR="003D5BB5" w:rsidRPr="000149EE" w:rsidRDefault="000149EE" w:rsidP="003D5BB5">
      <w:pPr>
        <w:rPr>
          <w:rFonts w:ascii="Times New Roman" w:hAnsi="Times New Roman" w:cs="Times New Roman"/>
          <w:color w:val="000000" w:themeColor="text1"/>
          <w:sz w:val="28"/>
          <w:szCs w:val="28"/>
        </w:rPr>
      </w:pPr>
    </w:p>
    <w:p w:rsidR="00032B71"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i/>
          <w:iCs/>
          <w:color w:val="000000" w:themeColor="text1"/>
          <w:sz w:val="28"/>
          <w:szCs w:val="28"/>
        </w:rPr>
        <w:t>Primero</w:t>
      </w:r>
      <w:r w:rsidRPr="000149EE">
        <w:rPr>
          <w:rFonts w:ascii="Times New Roman" w:hAnsi="Times New Roman" w:cs="Times New Roman"/>
          <w:color w:val="000000" w:themeColor="text1"/>
          <w:sz w:val="28"/>
          <w:szCs w:val="28"/>
        </w:rPr>
        <w:t xml:space="preserve">. Los grupos de sujetos tienen la misma naturaleza jurídica: son usuarios industriales de zona franca. En </w:t>
      </w:r>
      <w:r w:rsidRPr="000149EE">
        <w:rPr>
          <w:rFonts w:ascii="Times New Roman" w:hAnsi="Times New Roman" w:cs="Times New Roman"/>
          <w:color w:val="000000" w:themeColor="text1"/>
          <w:sz w:val="28"/>
          <w:szCs w:val="28"/>
        </w:rPr>
        <w:t xml:space="preserve">efecto, conforme al artículo 4 del Decreto 2147 de 2016, ambos son personas jurídicas instaladas exclusivamente en una o varias zonas francas, que se encuentran autorizadas para </w:t>
      </w:r>
      <w:r w:rsidRPr="000149EE">
        <w:rPr>
          <w:rFonts w:ascii="Times New Roman" w:hAnsi="Times New Roman" w:cs="Times New Roman"/>
          <w:i/>
          <w:iCs/>
          <w:color w:val="000000" w:themeColor="text1"/>
          <w:sz w:val="28"/>
          <w:szCs w:val="28"/>
        </w:rPr>
        <w:t xml:space="preserve">(i) </w:t>
      </w:r>
      <w:r w:rsidRPr="000149EE">
        <w:rPr>
          <w:rFonts w:ascii="Times New Roman" w:hAnsi="Times New Roman" w:cs="Times New Roman"/>
          <w:color w:val="000000" w:themeColor="text1"/>
          <w:sz w:val="28"/>
          <w:szCs w:val="28"/>
        </w:rPr>
        <w:t>producir, transformar o ensamblar bienes mediante el procesamiento de mate</w:t>
      </w:r>
      <w:r w:rsidRPr="000149EE">
        <w:rPr>
          <w:rFonts w:ascii="Times New Roman" w:hAnsi="Times New Roman" w:cs="Times New Roman"/>
          <w:color w:val="000000" w:themeColor="text1"/>
          <w:sz w:val="28"/>
          <w:szCs w:val="28"/>
        </w:rPr>
        <w:t xml:space="preserve">rias primas o de productos semielaborados y/o </w:t>
      </w:r>
      <w:r w:rsidRPr="000149EE">
        <w:rPr>
          <w:rFonts w:ascii="Times New Roman" w:hAnsi="Times New Roman" w:cs="Times New Roman"/>
          <w:i/>
          <w:iCs/>
          <w:color w:val="000000" w:themeColor="text1"/>
          <w:sz w:val="28"/>
          <w:szCs w:val="28"/>
        </w:rPr>
        <w:t xml:space="preserve">(ii) </w:t>
      </w:r>
      <w:r w:rsidRPr="000149EE">
        <w:rPr>
          <w:rFonts w:ascii="Times New Roman" w:hAnsi="Times New Roman" w:cs="Times New Roman"/>
          <w:color w:val="000000" w:themeColor="text1"/>
          <w:sz w:val="28"/>
          <w:szCs w:val="28"/>
        </w:rPr>
        <w:t>prestar servicios, esto es, desarrollar actividades relacionadas con logística; telecomunicaciones; investigación científica y tecnológica; asistencia médica; turismo; reparación y soporte técnico o audito</w:t>
      </w:r>
      <w:r w:rsidRPr="000149EE">
        <w:rPr>
          <w:rFonts w:ascii="Times New Roman" w:hAnsi="Times New Roman" w:cs="Times New Roman"/>
          <w:color w:val="000000" w:themeColor="text1"/>
          <w:sz w:val="28"/>
          <w:szCs w:val="28"/>
        </w:rPr>
        <w:t>ría, administración, corretaje, consultoría o similares</w:t>
      </w:r>
      <w:r w:rsidRPr="000149EE">
        <w:rPr>
          <w:rStyle w:val="Refdenotaalpie"/>
          <w:rFonts w:ascii="Times New Roman" w:hAnsi="Times New Roman" w:cs="Times New Roman"/>
          <w:color w:val="000000" w:themeColor="text1"/>
          <w:sz w:val="28"/>
          <w:szCs w:val="28"/>
        </w:rPr>
        <w:footnoteReference w:id="160"/>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Para efectos de </w:t>
      </w:r>
      <w:r w:rsidRPr="000149EE">
        <w:rPr>
          <w:rFonts w:ascii="Times New Roman" w:hAnsi="Times New Roman" w:cs="Times New Roman"/>
          <w:color w:val="000000" w:themeColor="text1"/>
          <w:sz w:val="28"/>
          <w:szCs w:val="28"/>
        </w:rPr>
        <w:t>la</w:t>
      </w:r>
      <w:r w:rsidRPr="000149EE">
        <w:rPr>
          <w:rFonts w:ascii="Times New Roman" w:hAnsi="Times New Roman" w:cs="Times New Roman"/>
          <w:color w:val="000000" w:themeColor="text1"/>
          <w:sz w:val="28"/>
          <w:szCs w:val="28"/>
        </w:rPr>
        <w:t xml:space="preserve"> calificación</w:t>
      </w:r>
      <w:r w:rsidRPr="000149EE">
        <w:rPr>
          <w:rFonts w:ascii="Times New Roman" w:hAnsi="Times New Roman" w:cs="Times New Roman"/>
          <w:color w:val="000000" w:themeColor="text1"/>
          <w:sz w:val="28"/>
          <w:szCs w:val="28"/>
        </w:rPr>
        <w:t xml:space="preserve"> como usuarios de zona franca</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on irrelevantes tanto la proveniencia de</w:t>
      </w:r>
      <w:r w:rsidRPr="000149EE">
        <w:rPr>
          <w:rFonts w:ascii="Times New Roman" w:hAnsi="Times New Roman" w:cs="Times New Roman"/>
          <w:color w:val="000000" w:themeColor="text1"/>
          <w:sz w:val="28"/>
          <w:szCs w:val="28"/>
        </w:rPr>
        <w:t xml:space="preserve"> sus ingresos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(exportación o no exportación)</w:t>
      </w:r>
      <w:r w:rsidRPr="000149EE">
        <w:rPr>
          <w:rFonts w:ascii="Times New Roman" w:hAnsi="Times New Roman" w:cs="Times New Roman"/>
          <w:color w:val="000000" w:themeColor="text1"/>
          <w:sz w:val="28"/>
          <w:szCs w:val="28"/>
        </w:rPr>
        <w:t xml:space="preserve">, así como </w:t>
      </w:r>
      <w:r w:rsidRPr="000149EE">
        <w:rPr>
          <w:rFonts w:ascii="Times New Roman" w:hAnsi="Times New Roman" w:cs="Times New Roman"/>
          <w:color w:val="000000" w:themeColor="text1"/>
          <w:sz w:val="28"/>
          <w:szCs w:val="28"/>
        </w:rPr>
        <w:t>la eventual s</w:t>
      </w:r>
      <w:r w:rsidRPr="000149EE">
        <w:rPr>
          <w:rFonts w:ascii="Times New Roman" w:hAnsi="Times New Roman" w:cs="Times New Roman"/>
          <w:color w:val="000000" w:themeColor="text1"/>
          <w:sz w:val="28"/>
          <w:szCs w:val="28"/>
        </w:rPr>
        <w:t xml:space="preserve">uscripción y cumplimiento del PIAV. </w:t>
      </w:r>
    </w:p>
    <w:p w:rsidR="00032B71" w:rsidRPr="000149EE" w:rsidRDefault="000149EE" w:rsidP="00032B71">
      <w:pPr>
        <w:pStyle w:val="Prrafodelista"/>
        <w:rPr>
          <w:rFonts w:ascii="Times New Roman" w:hAnsi="Times New Roman"/>
          <w:i/>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i/>
          <w:iCs/>
          <w:color w:val="000000" w:themeColor="text1"/>
          <w:sz w:val="28"/>
          <w:szCs w:val="28"/>
        </w:rPr>
        <w:t>Segundo</w:t>
      </w:r>
      <w:r w:rsidRPr="000149EE">
        <w:rPr>
          <w:rFonts w:ascii="Times New Roman" w:hAnsi="Times New Roman" w:cs="Times New Roman"/>
          <w:color w:val="000000" w:themeColor="text1"/>
          <w:sz w:val="28"/>
          <w:szCs w:val="28"/>
        </w:rPr>
        <w:t xml:space="preserve">. Los </w:t>
      </w:r>
      <w:r w:rsidRPr="000149EE">
        <w:rPr>
          <w:rFonts w:ascii="Times New Roman" w:hAnsi="Times New Roman" w:cs="Times New Roman"/>
          <w:color w:val="000000" w:themeColor="text1"/>
          <w:sz w:val="28"/>
          <w:szCs w:val="28"/>
        </w:rPr>
        <w:t>grupos de sujetos</w:t>
      </w:r>
      <w:r w:rsidRPr="000149EE">
        <w:rPr>
          <w:rFonts w:ascii="Times New Roman" w:hAnsi="Times New Roman" w:cs="Times New Roman"/>
          <w:color w:val="000000" w:themeColor="text1"/>
          <w:sz w:val="28"/>
          <w:szCs w:val="28"/>
        </w:rPr>
        <w:t xml:space="preserve"> están sometidos a un mismo régimen jurídico. En efecto, el Decreto 2147 de 2016 contiene una misma regulación en relación con </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color w:val="000000" w:themeColor="text1"/>
          <w:sz w:val="28"/>
          <w:szCs w:val="28"/>
        </w:rPr>
        <w:t xml:space="preserve"> los requisitos, condiciones y evaluación para ser calific</w:t>
      </w:r>
      <w:r w:rsidRPr="000149EE">
        <w:rPr>
          <w:rFonts w:ascii="Times New Roman" w:hAnsi="Times New Roman" w:cs="Times New Roman"/>
          <w:color w:val="000000" w:themeColor="text1"/>
          <w:sz w:val="28"/>
          <w:szCs w:val="28"/>
        </w:rPr>
        <w:t xml:space="preserve">ados como usuarios industriales (art. 80 y 81); </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las obligaciones a su cargo (art. 82) y </w:t>
      </w:r>
      <w:r w:rsidRPr="000149EE">
        <w:rPr>
          <w:rFonts w:ascii="Times New Roman" w:hAnsi="Times New Roman" w:cs="Times New Roman"/>
          <w:i/>
          <w:iCs/>
          <w:color w:val="000000" w:themeColor="text1"/>
          <w:sz w:val="28"/>
          <w:szCs w:val="28"/>
        </w:rPr>
        <w:t>(iii)</w:t>
      </w:r>
      <w:r w:rsidRPr="000149EE">
        <w:rPr>
          <w:rFonts w:ascii="Times New Roman" w:hAnsi="Times New Roman" w:cs="Times New Roman"/>
          <w:color w:val="000000" w:themeColor="text1"/>
          <w:sz w:val="28"/>
          <w:szCs w:val="28"/>
        </w:rPr>
        <w:t xml:space="preserve"> las causales y procedimiento para la pérdida de la calificación como usuarios industriales de zona franca (art. 83). </w:t>
      </w:r>
    </w:p>
    <w:p w:rsidR="003D5BB5" w:rsidRPr="000149EE" w:rsidRDefault="000149EE" w:rsidP="003D5BB5">
      <w:pPr>
        <w:pStyle w:val="Prrafodelista"/>
        <w:widowControl w:val="0"/>
        <w:spacing w:line="240" w:lineRule="auto"/>
        <w:ind w:left="0"/>
        <w:rPr>
          <w:rFonts w:ascii="Times New Roman" w:hAnsi="Times New Roman"/>
          <w:color w:val="000000" w:themeColor="text1"/>
          <w:sz w:val="28"/>
        </w:rPr>
      </w:pPr>
    </w:p>
    <w:p w:rsidR="004A7F4B"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i/>
          <w:iCs/>
          <w:color w:val="000000" w:themeColor="text1"/>
          <w:sz w:val="28"/>
          <w:szCs w:val="28"/>
        </w:rPr>
        <w:t>Tercero</w:t>
      </w:r>
      <w:r w:rsidRPr="000149EE">
        <w:rPr>
          <w:rFonts w:ascii="Times New Roman" w:hAnsi="Times New Roman" w:cs="Times New Roman"/>
          <w:color w:val="000000" w:themeColor="text1"/>
          <w:sz w:val="28"/>
          <w:szCs w:val="28"/>
        </w:rPr>
        <w:t>. Los usuarios de zona franca q</w:t>
      </w:r>
      <w:r w:rsidRPr="000149EE">
        <w:rPr>
          <w:rFonts w:ascii="Times New Roman" w:hAnsi="Times New Roman" w:cs="Times New Roman"/>
          <w:color w:val="000000" w:themeColor="text1"/>
          <w:sz w:val="28"/>
          <w:szCs w:val="28"/>
        </w:rPr>
        <w:t xml:space="preserve">ue </w:t>
      </w:r>
      <w:r w:rsidRPr="000149EE">
        <w:rPr>
          <w:rFonts w:ascii="Times New Roman" w:hAnsi="Times New Roman" w:cs="Times New Roman"/>
          <w:i/>
          <w:iCs/>
          <w:color w:val="000000" w:themeColor="text1"/>
          <w:sz w:val="28"/>
          <w:szCs w:val="28"/>
        </w:rPr>
        <w:t>(i)</w:t>
      </w:r>
      <w:r w:rsidRPr="000149EE">
        <w:rPr>
          <w:rFonts w:ascii="Times New Roman" w:hAnsi="Times New Roman" w:cs="Times New Roman"/>
          <w:color w:val="000000" w:themeColor="text1"/>
          <w:sz w:val="28"/>
          <w:szCs w:val="28"/>
        </w:rPr>
        <w:t xml:space="preserve"> obtienen ingresos de explotación y que suscriben </w:t>
      </w:r>
      <w:r w:rsidRPr="000149EE">
        <w:rPr>
          <w:rFonts w:ascii="Times New Roman" w:hAnsi="Times New Roman" w:cs="Times New Roman"/>
          <w:color w:val="000000" w:themeColor="text1"/>
          <w:sz w:val="28"/>
          <w:szCs w:val="28"/>
        </w:rPr>
        <w:t>y</w:t>
      </w:r>
      <w:r w:rsidRPr="000149EE">
        <w:rPr>
          <w:rFonts w:ascii="Times New Roman" w:hAnsi="Times New Roman" w:cs="Times New Roman"/>
          <w:color w:val="000000" w:themeColor="text1"/>
          <w:sz w:val="28"/>
          <w:szCs w:val="28"/>
        </w:rPr>
        <w:t xml:space="preserve"> cumplen el PIAV</w:t>
      </w:r>
      <w:r w:rsidRPr="000149EE">
        <w:rPr>
          <w:rFonts w:ascii="Times New Roman" w:hAnsi="Times New Roman" w:cs="Times New Roman"/>
          <w:color w:val="000000" w:themeColor="text1"/>
          <w:sz w:val="28"/>
          <w:szCs w:val="28"/>
        </w:rPr>
        <w:t>, de un lado,</w:t>
      </w:r>
      <w:r w:rsidRPr="000149EE">
        <w:rPr>
          <w:rFonts w:ascii="Times New Roman" w:hAnsi="Times New Roman" w:cs="Times New Roman"/>
          <w:color w:val="000000" w:themeColor="text1"/>
          <w:sz w:val="28"/>
          <w:szCs w:val="28"/>
        </w:rPr>
        <w:t xml:space="preserve"> y </w:t>
      </w:r>
      <w:r w:rsidRPr="000149EE">
        <w:rPr>
          <w:rFonts w:ascii="Times New Roman" w:hAnsi="Times New Roman" w:cs="Times New Roman"/>
          <w:i/>
          <w:iCs/>
          <w:color w:val="000000" w:themeColor="text1"/>
          <w:sz w:val="28"/>
          <w:szCs w:val="28"/>
        </w:rPr>
        <w:t>(ii)</w:t>
      </w:r>
      <w:r w:rsidRPr="000149EE">
        <w:rPr>
          <w:rFonts w:ascii="Times New Roman" w:hAnsi="Times New Roman" w:cs="Times New Roman"/>
          <w:color w:val="000000" w:themeColor="text1"/>
          <w:sz w:val="28"/>
          <w:szCs w:val="28"/>
        </w:rPr>
        <w:t xml:space="preserve"> aquellos que</w:t>
      </w:r>
      <w:r w:rsidRPr="000149EE">
        <w:rPr>
          <w:rFonts w:ascii="Times New Roman" w:hAnsi="Times New Roman" w:cs="Times New Roman"/>
          <w:color w:val="000000" w:themeColor="text1"/>
          <w:sz w:val="28"/>
          <w:szCs w:val="28"/>
        </w:rPr>
        <w:t xml:space="preserve"> no exportan</w:t>
      </w:r>
      <w:r w:rsidRPr="000149EE">
        <w:rPr>
          <w:rFonts w:ascii="Times New Roman" w:hAnsi="Times New Roman" w:cs="Times New Roman"/>
          <w:color w:val="000000" w:themeColor="text1"/>
          <w:sz w:val="28"/>
          <w:szCs w:val="28"/>
        </w:rPr>
        <w:t>, o no suscriben y cumplen el PIAV,</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de otro, </w:t>
      </w:r>
      <w:r w:rsidRPr="000149EE">
        <w:rPr>
          <w:rFonts w:ascii="Times New Roman" w:hAnsi="Times New Roman" w:cs="Times New Roman"/>
          <w:color w:val="000000" w:themeColor="text1"/>
          <w:sz w:val="28"/>
          <w:szCs w:val="28"/>
        </w:rPr>
        <w:t xml:space="preserve">tienen una capacidad contributiva equiparable de cara al impuesto a la renta. </w:t>
      </w:r>
      <w:r w:rsidRPr="000149EE">
        <w:rPr>
          <w:rFonts w:ascii="Times New Roman" w:hAnsi="Times New Roman" w:cs="Times New Roman"/>
          <w:color w:val="000000" w:themeColor="text1"/>
          <w:sz w:val="28"/>
          <w:szCs w:val="28"/>
        </w:rPr>
        <w:t xml:space="preserve">Esto, por dos razones. Primero, </w:t>
      </w:r>
      <w:r w:rsidRPr="000149EE">
        <w:rPr>
          <w:rFonts w:ascii="Times New Roman" w:hAnsi="Times New Roman" w:cs="Times New Roman"/>
          <w:bCs/>
          <w:iCs/>
          <w:color w:val="000000" w:themeColor="text1"/>
          <w:sz w:val="28"/>
          <w:szCs w:val="28"/>
        </w:rPr>
        <w:t>e</w:t>
      </w:r>
      <w:r w:rsidRPr="000149EE">
        <w:rPr>
          <w:rFonts w:ascii="Times New Roman" w:hAnsi="Times New Roman" w:cs="Times New Roman"/>
          <w:bCs/>
          <w:iCs/>
          <w:color w:val="000000" w:themeColor="text1"/>
          <w:sz w:val="28"/>
          <w:szCs w:val="28"/>
        </w:rPr>
        <w:t>l hecho generador de los impuestos</w:t>
      </w:r>
      <w:r w:rsidRPr="000149EE">
        <w:rPr>
          <w:rFonts w:ascii="Times New Roman" w:hAnsi="Times New Roman" w:cs="Times New Roman"/>
          <w:bCs/>
          <w:iCs/>
          <w:color w:val="000000" w:themeColor="text1"/>
          <w:sz w:val="28"/>
          <w:szCs w:val="28"/>
        </w:rPr>
        <w:t xml:space="preserve"> </w:t>
      </w:r>
      <w:r w:rsidRPr="000149EE">
        <w:rPr>
          <w:rFonts w:ascii="Times New Roman" w:hAnsi="Times New Roman" w:cs="Times New Roman"/>
          <w:bCs/>
          <w:iCs/>
          <w:color w:val="000000" w:themeColor="text1"/>
          <w:sz w:val="28"/>
          <w:szCs w:val="28"/>
        </w:rPr>
        <w:t xml:space="preserve">es </w:t>
      </w:r>
      <w:r w:rsidRPr="000149EE">
        <w:rPr>
          <w:rFonts w:ascii="Times New Roman" w:hAnsi="Times New Roman" w:cs="Times New Roman"/>
          <w:iCs/>
          <w:color w:val="000000" w:themeColor="text1"/>
          <w:sz w:val="28"/>
          <w:szCs w:val="28"/>
        </w:rPr>
        <w:t>la “situación de hecho indicadora de una capacidad contributiva”</w:t>
      </w:r>
      <w:r w:rsidRPr="000149EE">
        <w:rPr>
          <w:rFonts w:ascii="Times New Roman" w:hAnsi="Times New Roman" w:cs="Times New Roman"/>
          <w:iCs/>
          <w:color w:val="000000" w:themeColor="text1"/>
          <w:sz w:val="28"/>
          <w:szCs w:val="28"/>
          <w:vertAlign w:val="superscript"/>
        </w:rPr>
        <w:footnoteReference w:id="161"/>
      </w:r>
      <w:r w:rsidRPr="000149EE">
        <w:rPr>
          <w:rFonts w:ascii="Times New Roman" w:hAnsi="Times New Roman" w:cs="Times New Roman"/>
          <w:iCs/>
          <w:color w:val="000000" w:themeColor="text1"/>
          <w:sz w:val="28"/>
          <w:szCs w:val="28"/>
        </w:rPr>
        <w:t>. Conforme al artíc</w:t>
      </w:r>
      <w:r w:rsidRPr="000149EE">
        <w:rPr>
          <w:rFonts w:ascii="Times New Roman" w:hAnsi="Times New Roman" w:cs="Times New Roman"/>
          <w:iCs/>
          <w:color w:val="000000" w:themeColor="text1"/>
          <w:sz w:val="28"/>
          <w:szCs w:val="28"/>
        </w:rPr>
        <w:t>u</w:t>
      </w:r>
      <w:r w:rsidRPr="000149EE">
        <w:rPr>
          <w:rFonts w:ascii="Times New Roman" w:hAnsi="Times New Roman" w:cs="Times New Roman"/>
          <w:iCs/>
          <w:color w:val="000000" w:themeColor="text1"/>
          <w:sz w:val="28"/>
          <w:szCs w:val="28"/>
        </w:rPr>
        <w:t>lo 26 del ET, el hecho generador del impuesto a la renta</w:t>
      </w:r>
      <w:r w:rsidRPr="000149EE">
        <w:rPr>
          <w:rFonts w:ascii="Times New Roman" w:hAnsi="Times New Roman" w:cs="Times New Roman"/>
          <w:iCs/>
          <w:color w:val="000000" w:themeColor="text1"/>
          <w:sz w:val="28"/>
          <w:szCs w:val="28"/>
        </w:rPr>
        <w:t xml:space="preserve">, indicador de capacidad contributiva, </w:t>
      </w:r>
      <w:r w:rsidRPr="000149EE">
        <w:rPr>
          <w:rFonts w:ascii="Times New Roman" w:hAnsi="Times New Roman" w:cs="Times New Roman"/>
          <w:iCs/>
          <w:color w:val="000000" w:themeColor="text1"/>
          <w:sz w:val="28"/>
          <w:szCs w:val="28"/>
        </w:rPr>
        <w:t>es la</w:t>
      </w:r>
      <w:r w:rsidRPr="000149EE">
        <w:rPr>
          <w:rFonts w:ascii="Times New Roman" w:hAnsi="Times New Roman" w:cs="Times New Roman"/>
          <w:iCs/>
          <w:color w:val="000000" w:themeColor="text1"/>
          <w:sz w:val="28"/>
          <w:szCs w:val="28"/>
        </w:rPr>
        <w:t xml:space="preserve"> obtención de “ingresos ordinarios y extraordinarios en el respectivo año gravable que tienen la vocación de incrementar el patrimonio y, por consiguiente, producen renta”. </w:t>
      </w:r>
      <w:r w:rsidRPr="000149EE">
        <w:rPr>
          <w:rFonts w:ascii="Times New Roman" w:hAnsi="Times New Roman" w:cs="Times New Roman"/>
          <w:iCs/>
          <w:color w:val="000000" w:themeColor="text1"/>
          <w:sz w:val="28"/>
          <w:szCs w:val="28"/>
        </w:rPr>
        <w:t>Con independencia del origen de los ingresos y la suscripción y cumplimiento del PI</w:t>
      </w:r>
      <w:r w:rsidRPr="000149EE">
        <w:rPr>
          <w:rFonts w:ascii="Times New Roman" w:hAnsi="Times New Roman" w:cs="Times New Roman"/>
          <w:iCs/>
          <w:color w:val="000000" w:themeColor="text1"/>
          <w:sz w:val="28"/>
          <w:szCs w:val="28"/>
        </w:rPr>
        <w:t>AV</w:t>
      </w:r>
      <w:r w:rsidRPr="000149EE">
        <w:rPr>
          <w:rFonts w:ascii="Times New Roman" w:hAnsi="Times New Roman" w:cs="Times New Roman"/>
          <w:iCs/>
          <w:color w:val="000000" w:themeColor="text1"/>
          <w:sz w:val="28"/>
          <w:szCs w:val="28"/>
        </w:rPr>
        <w:t>,</w:t>
      </w:r>
      <w:r w:rsidRPr="000149EE">
        <w:rPr>
          <w:rFonts w:ascii="Times New Roman" w:hAnsi="Times New Roman" w:cs="Times New Roman"/>
          <w:iCs/>
          <w:color w:val="000000" w:themeColor="text1"/>
          <w:sz w:val="28"/>
          <w:szCs w:val="28"/>
        </w:rPr>
        <w:t xml:space="preserve"> todos</w:t>
      </w:r>
      <w:r w:rsidRPr="000149EE">
        <w:rPr>
          <w:rFonts w:ascii="Times New Roman" w:hAnsi="Times New Roman" w:cs="Times New Roman"/>
          <w:iCs/>
          <w:color w:val="000000" w:themeColor="text1"/>
          <w:sz w:val="28"/>
          <w:szCs w:val="28"/>
        </w:rPr>
        <w:t xml:space="preserve"> los ingresos que </w:t>
      </w:r>
      <w:r w:rsidRPr="000149EE">
        <w:rPr>
          <w:rFonts w:ascii="Times New Roman" w:hAnsi="Times New Roman" w:cs="Times New Roman"/>
          <w:iCs/>
          <w:color w:val="000000" w:themeColor="text1"/>
          <w:sz w:val="28"/>
          <w:szCs w:val="28"/>
        </w:rPr>
        <w:t>reciben los usuarios de zona franca generan un incremento patrimonial</w:t>
      </w:r>
      <w:r w:rsidRPr="000149EE">
        <w:rPr>
          <w:rFonts w:ascii="Times New Roman" w:hAnsi="Times New Roman" w:cs="Times New Roman"/>
          <w:iCs/>
          <w:color w:val="000000" w:themeColor="text1"/>
          <w:sz w:val="28"/>
          <w:szCs w:val="28"/>
        </w:rPr>
        <w:t xml:space="preserve">. En tales términos, el hecho generador del impuesto a la renta, indicador de capacidad contributiva, es el mismo para </w:t>
      </w:r>
      <w:r w:rsidRPr="000149EE">
        <w:rPr>
          <w:rFonts w:ascii="Times New Roman" w:hAnsi="Times New Roman" w:cs="Times New Roman"/>
          <w:i/>
          <w:color w:val="000000" w:themeColor="text1"/>
          <w:sz w:val="28"/>
          <w:szCs w:val="28"/>
        </w:rPr>
        <w:t>(i)</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 xml:space="preserve">los usuarios industriales de zona franca </w:t>
      </w:r>
      <w:r w:rsidRPr="000149EE">
        <w:rPr>
          <w:rFonts w:ascii="Times New Roman" w:hAnsi="Times New Roman" w:cs="Times New Roman"/>
          <w:iCs/>
          <w:color w:val="000000" w:themeColor="text1"/>
          <w:sz w:val="28"/>
          <w:szCs w:val="28"/>
        </w:rPr>
        <w:t xml:space="preserve">que perciben ingresos de exportación y, además, suscriben y cumplen el PIAV y </w:t>
      </w:r>
      <w:r w:rsidRPr="000149EE">
        <w:rPr>
          <w:rFonts w:ascii="Times New Roman" w:hAnsi="Times New Roman" w:cs="Times New Roman"/>
          <w:i/>
          <w:color w:val="000000" w:themeColor="text1"/>
          <w:sz w:val="28"/>
          <w:szCs w:val="28"/>
        </w:rPr>
        <w:t>(ii)</w:t>
      </w:r>
      <w:r w:rsidRPr="000149EE">
        <w:rPr>
          <w:rFonts w:ascii="Times New Roman" w:hAnsi="Times New Roman" w:cs="Times New Roman"/>
          <w:iCs/>
          <w:color w:val="000000" w:themeColor="text1"/>
          <w:sz w:val="28"/>
          <w:szCs w:val="28"/>
        </w:rPr>
        <w:t xml:space="preserve"> los usuarios de zona franca que no perciben ingresos de exportación o </w:t>
      </w:r>
      <w:r w:rsidRPr="000149EE">
        <w:rPr>
          <w:rFonts w:ascii="Times New Roman" w:hAnsi="Times New Roman" w:cs="Times New Roman"/>
          <w:iCs/>
          <w:color w:val="000000" w:themeColor="text1"/>
          <w:sz w:val="28"/>
          <w:szCs w:val="28"/>
        </w:rPr>
        <w:t xml:space="preserve">que, pese a recibir ingresos provenientes de exportación, </w:t>
      </w:r>
      <w:r w:rsidRPr="000149EE">
        <w:rPr>
          <w:rFonts w:ascii="Times New Roman" w:hAnsi="Times New Roman" w:cs="Times New Roman"/>
          <w:iCs/>
          <w:color w:val="000000" w:themeColor="text1"/>
          <w:sz w:val="28"/>
          <w:szCs w:val="28"/>
        </w:rPr>
        <w:t xml:space="preserve">no </w:t>
      </w:r>
      <w:r w:rsidRPr="000149EE">
        <w:rPr>
          <w:rFonts w:ascii="Times New Roman" w:hAnsi="Times New Roman" w:cs="Times New Roman"/>
          <w:iCs/>
          <w:color w:val="000000" w:themeColor="text1"/>
          <w:sz w:val="28"/>
          <w:szCs w:val="28"/>
        </w:rPr>
        <w:t>s</w:t>
      </w:r>
      <w:r w:rsidRPr="000149EE">
        <w:rPr>
          <w:rFonts w:ascii="Times New Roman" w:hAnsi="Times New Roman" w:cs="Times New Roman"/>
          <w:iCs/>
          <w:color w:val="000000" w:themeColor="text1"/>
          <w:sz w:val="28"/>
          <w:szCs w:val="28"/>
        </w:rPr>
        <w:t>uscriben</w:t>
      </w:r>
      <w:r w:rsidRPr="000149EE">
        <w:rPr>
          <w:rFonts w:ascii="Times New Roman" w:hAnsi="Times New Roman" w:cs="Times New Roman"/>
          <w:iCs/>
          <w:color w:val="000000" w:themeColor="text1"/>
          <w:sz w:val="28"/>
          <w:szCs w:val="28"/>
        </w:rPr>
        <w:t xml:space="preserve"> y cumplen el PIAV. </w:t>
      </w:r>
    </w:p>
    <w:p w:rsidR="004A7F4B" w:rsidRPr="000149EE" w:rsidRDefault="000149EE" w:rsidP="004A7F4B">
      <w:pPr>
        <w:pStyle w:val="Prrafodelista"/>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iCs/>
          <w:color w:val="000000" w:themeColor="text1"/>
          <w:sz w:val="28"/>
          <w:szCs w:val="28"/>
        </w:rPr>
        <w:t>Segundo,</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 xml:space="preserve">los grupos de sujetos </w:t>
      </w:r>
      <w:r w:rsidRPr="000149EE">
        <w:rPr>
          <w:rFonts w:ascii="Times New Roman" w:hAnsi="Times New Roman" w:cs="Times New Roman"/>
          <w:iCs/>
          <w:color w:val="000000" w:themeColor="text1"/>
          <w:sz w:val="28"/>
          <w:szCs w:val="28"/>
        </w:rPr>
        <w:t>perciben ingresos derivad</w:t>
      </w:r>
      <w:r w:rsidRPr="000149EE">
        <w:rPr>
          <w:rFonts w:ascii="Times New Roman" w:hAnsi="Times New Roman" w:cs="Times New Roman"/>
          <w:iCs/>
          <w:color w:val="000000" w:themeColor="text1"/>
          <w:sz w:val="28"/>
          <w:szCs w:val="28"/>
        </w:rPr>
        <w:t>o</w:t>
      </w:r>
      <w:r w:rsidRPr="000149EE">
        <w:rPr>
          <w:rFonts w:ascii="Times New Roman" w:hAnsi="Times New Roman" w:cs="Times New Roman"/>
          <w:iCs/>
          <w:color w:val="000000" w:themeColor="text1"/>
          <w:sz w:val="28"/>
          <w:szCs w:val="28"/>
        </w:rPr>
        <w:t>s de</w:t>
      </w:r>
      <w:r w:rsidRPr="000149EE">
        <w:rPr>
          <w:rFonts w:ascii="Times New Roman" w:hAnsi="Times New Roman" w:cs="Times New Roman"/>
          <w:iCs/>
          <w:color w:val="000000" w:themeColor="text1"/>
          <w:sz w:val="28"/>
          <w:szCs w:val="28"/>
        </w:rPr>
        <w:t xml:space="preserve"> la misma actividad económica. La Sala reitera que, </w:t>
      </w:r>
      <w:r w:rsidRPr="000149EE">
        <w:rPr>
          <w:rFonts w:ascii="Times New Roman" w:hAnsi="Times New Roman" w:cs="Times New Roman"/>
          <w:color w:val="000000" w:themeColor="text1"/>
          <w:sz w:val="28"/>
          <w:szCs w:val="28"/>
        </w:rPr>
        <w:t xml:space="preserve">conforme al artículo 4 del Decreto 2147 de 2016, </w:t>
      </w:r>
      <w:r w:rsidRPr="000149EE">
        <w:rPr>
          <w:rFonts w:ascii="Times New Roman" w:hAnsi="Times New Roman" w:cs="Times New Roman"/>
          <w:color w:val="000000" w:themeColor="text1"/>
          <w:sz w:val="28"/>
          <w:szCs w:val="28"/>
        </w:rPr>
        <w:t xml:space="preserve">todos </w:t>
      </w:r>
      <w:r w:rsidRPr="000149EE">
        <w:rPr>
          <w:rFonts w:ascii="Times New Roman" w:hAnsi="Times New Roman" w:cs="Times New Roman"/>
          <w:color w:val="000000" w:themeColor="text1"/>
          <w:sz w:val="28"/>
          <w:szCs w:val="28"/>
        </w:rPr>
        <w:t>l</w:t>
      </w:r>
      <w:r w:rsidRPr="000149EE">
        <w:rPr>
          <w:rFonts w:ascii="Times New Roman" w:hAnsi="Times New Roman" w:cs="Times New Roman"/>
          <w:color w:val="000000" w:themeColor="text1"/>
          <w:sz w:val="28"/>
          <w:szCs w:val="28"/>
        </w:rPr>
        <w:t xml:space="preserve">os usuarios industriales de zona franca </w:t>
      </w:r>
      <w:r w:rsidRPr="000149EE">
        <w:rPr>
          <w:rFonts w:ascii="Times New Roman" w:hAnsi="Times New Roman" w:cs="Times New Roman"/>
          <w:color w:val="000000" w:themeColor="text1"/>
          <w:sz w:val="28"/>
          <w:szCs w:val="28"/>
        </w:rPr>
        <w:t xml:space="preserve">llevan a cabo la </w:t>
      </w:r>
      <w:r w:rsidRPr="000149EE">
        <w:rPr>
          <w:rFonts w:ascii="Times New Roman" w:hAnsi="Times New Roman" w:cs="Times New Roman"/>
          <w:color w:val="000000" w:themeColor="text1"/>
          <w:sz w:val="28"/>
          <w:szCs w:val="28"/>
        </w:rPr>
        <w:t>misma actividad económica:</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i/>
          <w:iCs/>
          <w:color w:val="000000" w:themeColor="text1"/>
          <w:sz w:val="28"/>
          <w:szCs w:val="28"/>
        </w:rPr>
        <w:t xml:space="preserve">(i) </w:t>
      </w:r>
      <w:r w:rsidRPr="000149EE">
        <w:rPr>
          <w:rFonts w:ascii="Times New Roman" w:hAnsi="Times New Roman" w:cs="Times New Roman"/>
          <w:color w:val="000000" w:themeColor="text1"/>
          <w:sz w:val="28"/>
          <w:szCs w:val="28"/>
        </w:rPr>
        <w:t xml:space="preserve">producir, transformar o ensamblar bienes mediante el procesamiento de materias primas o de productos semielaborados y/o </w:t>
      </w:r>
      <w:r w:rsidRPr="000149EE">
        <w:rPr>
          <w:rFonts w:ascii="Times New Roman" w:hAnsi="Times New Roman" w:cs="Times New Roman"/>
          <w:i/>
          <w:iCs/>
          <w:color w:val="000000" w:themeColor="text1"/>
          <w:sz w:val="28"/>
          <w:szCs w:val="28"/>
        </w:rPr>
        <w:t xml:space="preserve">(ii) </w:t>
      </w:r>
      <w:r w:rsidRPr="000149EE">
        <w:rPr>
          <w:rFonts w:ascii="Times New Roman" w:hAnsi="Times New Roman" w:cs="Times New Roman"/>
          <w:color w:val="000000" w:themeColor="text1"/>
          <w:sz w:val="28"/>
          <w:szCs w:val="28"/>
        </w:rPr>
        <w:t xml:space="preserve">prestar servicios, esto es, desarrollar actividades relacionadas con logística; telecomunicaciones; </w:t>
      </w:r>
      <w:r w:rsidRPr="000149EE">
        <w:rPr>
          <w:rFonts w:ascii="Times New Roman" w:hAnsi="Times New Roman" w:cs="Times New Roman"/>
          <w:color w:val="000000" w:themeColor="text1"/>
          <w:sz w:val="28"/>
          <w:szCs w:val="28"/>
        </w:rPr>
        <w:t>investigación científica y tecnológica; asistencia médica; turismo; reparación y soporte técnico o auditoría, administración, corretaje, consultoría o similares.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Conforme a la jurisprudencia constitucional, l</w:t>
      </w:r>
      <w:r w:rsidRPr="000149EE">
        <w:rPr>
          <w:rFonts w:ascii="Times New Roman" w:hAnsi="Times New Roman" w:cs="Times New Roman"/>
          <w:color w:val="000000" w:themeColor="text1"/>
          <w:sz w:val="28"/>
          <w:szCs w:val="28"/>
        </w:rPr>
        <w:t>a identidad entre las actividades económicas que</w:t>
      </w:r>
      <w:r w:rsidRPr="000149EE">
        <w:rPr>
          <w:rFonts w:ascii="Times New Roman" w:hAnsi="Times New Roman" w:cs="Times New Roman"/>
          <w:color w:val="000000" w:themeColor="text1"/>
          <w:sz w:val="28"/>
          <w:szCs w:val="28"/>
        </w:rPr>
        <w:t xml:space="preserve"> llevan a cabo </w:t>
      </w:r>
      <w:r w:rsidRPr="000149EE">
        <w:rPr>
          <w:rFonts w:ascii="Times New Roman" w:hAnsi="Times New Roman" w:cs="Times New Roman"/>
          <w:color w:val="000000" w:themeColor="text1"/>
          <w:sz w:val="28"/>
          <w:szCs w:val="28"/>
        </w:rPr>
        <w:t>los</w:t>
      </w:r>
      <w:r w:rsidRPr="000149EE">
        <w:rPr>
          <w:rFonts w:ascii="Times New Roman" w:hAnsi="Times New Roman" w:cs="Times New Roman"/>
          <w:color w:val="000000" w:themeColor="text1"/>
          <w:sz w:val="28"/>
          <w:szCs w:val="28"/>
        </w:rPr>
        <w:t xml:space="preserve"> grupos de sujetos</w:t>
      </w:r>
      <w:r w:rsidRPr="000149EE">
        <w:rPr>
          <w:rFonts w:ascii="Times New Roman" w:hAnsi="Times New Roman" w:cs="Times New Roman"/>
          <w:color w:val="000000" w:themeColor="text1"/>
          <w:sz w:val="28"/>
          <w:szCs w:val="28"/>
        </w:rPr>
        <w:t xml:space="preserve"> a </w:t>
      </w:r>
      <w:r w:rsidRPr="000149EE">
        <w:rPr>
          <w:rFonts w:ascii="Times New Roman" w:hAnsi="Times New Roman" w:cs="Times New Roman"/>
          <w:color w:val="000000" w:themeColor="text1"/>
          <w:sz w:val="28"/>
          <w:szCs w:val="28"/>
        </w:rPr>
        <w:t>quienes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una </w:t>
      </w:r>
      <w:r w:rsidRPr="000149EE">
        <w:rPr>
          <w:rFonts w:ascii="Times New Roman" w:hAnsi="Times New Roman" w:cs="Times New Roman"/>
          <w:color w:val="000000" w:themeColor="text1"/>
          <w:sz w:val="28"/>
          <w:szCs w:val="28"/>
        </w:rPr>
        <w:t>norma tributaria otorga un trato diferente,</w:t>
      </w:r>
      <w:r w:rsidRPr="000149EE">
        <w:rPr>
          <w:rFonts w:ascii="Times New Roman" w:hAnsi="Times New Roman" w:cs="Times New Roman"/>
          <w:color w:val="000000" w:themeColor="text1"/>
          <w:sz w:val="28"/>
          <w:szCs w:val="28"/>
        </w:rPr>
        <w:t xml:space="preserve"> es un criterio indicador de la existencia de una capacidad contributiva equiparable. </w:t>
      </w:r>
      <w:r w:rsidRPr="000149EE">
        <w:rPr>
          <w:rFonts w:ascii="Times New Roman" w:hAnsi="Times New Roman" w:cs="Times New Roman"/>
          <w:color w:val="000000" w:themeColor="text1"/>
          <w:sz w:val="28"/>
          <w:szCs w:val="28"/>
        </w:rPr>
        <w:t>Así lo determin</w:t>
      </w:r>
      <w:r w:rsidRPr="000149EE">
        <w:rPr>
          <w:rFonts w:ascii="Times New Roman" w:hAnsi="Times New Roman" w:cs="Times New Roman"/>
          <w:color w:val="000000" w:themeColor="text1"/>
          <w:sz w:val="28"/>
          <w:szCs w:val="28"/>
        </w:rPr>
        <w:t>ó</w:t>
      </w:r>
      <w:r w:rsidRPr="000149EE">
        <w:rPr>
          <w:rFonts w:ascii="Times New Roman" w:hAnsi="Times New Roman" w:cs="Times New Roman"/>
          <w:color w:val="000000" w:themeColor="text1"/>
          <w:sz w:val="28"/>
          <w:szCs w:val="28"/>
        </w:rPr>
        <w:t xml:space="preserve"> esta Sala</w:t>
      </w:r>
      <w:r w:rsidRPr="000149EE">
        <w:rPr>
          <w:rFonts w:ascii="Times New Roman" w:hAnsi="Times New Roman" w:cs="Times New Roman"/>
          <w:color w:val="000000" w:themeColor="text1"/>
          <w:sz w:val="28"/>
          <w:szCs w:val="28"/>
        </w:rPr>
        <w:t xml:space="preserve"> recientemente</w:t>
      </w:r>
      <w:r w:rsidRPr="000149EE">
        <w:rPr>
          <w:rFonts w:ascii="Times New Roman" w:hAnsi="Times New Roman" w:cs="Times New Roman"/>
          <w:color w:val="000000" w:themeColor="text1"/>
          <w:sz w:val="28"/>
          <w:szCs w:val="28"/>
        </w:rPr>
        <w:t xml:space="preserve"> en la sentencia C-540 de 2023</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Por </w:t>
      </w:r>
      <w:r w:rsidRPr="000149EE">
        <w:rPr>
          <w:rFonts w:ascii="Times New Roman" w:hAnsi="Times New Roman" w:cs="Times New Roman"/>
          <w:color w:val="000000" w:themeColor="text1"/>
          <w:sz w:val="28"/>
          <w:szCs w:val="28"/>
        </w:rPr>
        <w:t xml:space="preserve">lo demás, la Sala resalta que no existen pruebas en el expediente que </w:t>
      </w:r>
      <w:r w:rsidRPr="000149EE">
        <w:rPr>
          <w:rFonts w:ascii="Times New Roman" w:hAnsi="Times New Roman" w:cs="Times New Roman"/>
          <w:color w:val="000000" w:themeColor="text1"/>
          <w:sz w:val="28"/>
          <w:szCs w:val="28"/>
        </w:rPr>
        <w:t xml:space="preserve">permitan inferir, si quiera </w:t>
      </w:r>
      <w:r w:rsidRPr="000149EE">
        <w:rPr>
          <w:rFonts w:ascii="Times New Roman" w:hAnsi="Times New Roman" w:cs="Times New Roman"/>
          <w:i/>
          <w:iCs/>
          <w:color w:val="000000" w:themeColor="text1"/>
          <w:sz w:val="28"/>
          <w:szCs w:val="28"/>
        </w:rPr>
        <w:t>prima facie</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que los </w:t>
      </w:r>
      <w:r w:rsidRPr="000149EE">
        <w:rPr>
          <w:rFonts w:ascii="Times New Roman" w:hAnsi="Times New Roman" w:cs="Times New Roman"/>
          <w:color w:val="000000" w:themeColor="text1"/>
          <w:sz w:val="28"/>
          <w:szCs w:val="28"/>
        </w:rPr>
        <w:t xml:space="preserve">usuarios industriales de zona franca que obtienen ingresos de </w:t>
      </w:r>
      <w:r w:rsidRPr="000149EE">
        <w:rPr>
          <w:rFonts w:ascii="Times New Roman" w:hAnsi="Times New Roman" w:cs="Times New Roman"/>
          <w:color w:val="000000" w:themeColor="text1"/>
          <w:sz w:val="28"/>
          <w:szCs w:val="28"/>
        </w:rPr>
        <w:t>exporta</w:t>
      </w:r>
      <w:r w:rsidRPr="000149EE">
        <w:rPr>
          <w:rFonts w:ascii="Times New Roman" w:hAnsi="Times New Roman" w:cs="Times New Roman"/>
          <w:color w:val="000000" w:themeColor="text1"/>
          <w:sz w:val="28"/>
          <w:szCs w:val="28"/>
        </w:rPr>
        <w:t xml:space="preserve">ción y, además, suscriben y cumplen el PIAV, </w:t>
      </w:r>
      <w:r w:rsidRPr="000149EE">
        <w:rPr>
          <w:rFonts w:ascii="Times New Roman" w:hAnsi="Times New Roman" w:cs="Times New Roman"/>
          <w:color w:val="000000" w:themeColor="text1"/>
          <w:sz w:val="28"/>
          <w:szCs w:val="28"/>
        </w:rPr>
        <w:t xml:space="preserve">tengan </w:t>
      </w:r>
      <w:r w:rsidRPr="000149EE">
        <w:rPr>
          <w:rFonts w:ascii="Times New Roman" w:hAnsi="Times New Roman" w:cs="Times New Roman"/>
          <w:color w:val="000000" w:themeColor="text1"/>
          <w:sz w:val="28"/>
          <w:szCs w:val="28"/>
        </w:rPr>
        <w:t>una menor</w:t>
      </w:r>
      <w:r w:rsidRPr="000149EE">
        <w:rPr>
          <w:rFonts w:ascii="Times New Roman" w:hAnsi="Times New Roman" w:cs="Times New Roman"/>
          <w:color w:val="000000" w:themeColor="text1"/>
          <w:sz w:val="28"/>
          <w:szCs w:val="28"/>
        </w:rPr>
        <w:t xml:space="preserve"> capaci</w:t>
      </w:r>
      <w:r w:rsidRPr="000149EE">
        <w:rPr>
          <w:rFonts w:ascii="Times New Roman" w:hAnsi="Times New Roman" w:cs="Times New Roman"/>
          <w:color w:val="000000" w:themeColor="text1"/>
          <w:sz w:val="28"/>
          <w:szCs w:val="28"/>
        </w:rPr>
        <w:t>dad contributiva que los usuarios que no exportan</w:t>
      </w:r>
      <w:r w:rsidRPr="000149EE">
        <w:rPr>
          <w:rFonts w:ascii="Times New Roman" w:hAnsi="Times New Roman" w:cs="Times New Roman"/>
          <w:color w:val="000000" w:themeColor="text1"/>
          <w:sz w:val="28"/>
          <w:szCs w:val="28"/>
        </w:rPr>
        <w:t xml:space="preserve"> o no suscriben y cumplen el PIAV</w:t>
      </w:r>
      <w:r w:rsidRPr="000149EE">
        <w:rPr>
          <w:rFonts w:ascii="Times New Roman" w:hAnsi="Times New Roman" w:cs="Times New Roman"/>
          <w:color w:val="000000" w:themeColor="text1"/>
          <w:sz w:val="28"/>
          <w:szCs w:val="28"/>
        </w:rPr>
        <w:t xml:space="preserve">. </w:t>
      </w:r>
    </w:p>
    <w:p w:rsidR="003D5BB5" w:rsidRPr="000149EE" w:rsidRDefault="000149EE" w:rsidP="003D5BB5">
      <w:pPr>
        <w:pStyle w:val="Prrafodelista"/>
        <w:widowControl w:val="0"/>
        <w:spacing w:line="240" w:lineRule="auto"/>
        <w:ind w:left="0"/>
        <w:rPr>
          <w:rFonts w:ascii="Times New Roman" w:hAnsi="Times New Roman"/>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rPr>
        <w:t>En estos términos, la Corte concluye que lo</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grupos de sujetos</w:t>
      </w:r>
      <w:r w:rsidRPr="000149EE">
        <w:rPr>
          <w:rFonts w:ascii="Times New Roman" w:hAnsi="Times New Roman" w:cs="Times New Roman"/>
          <w:color w:val="000000" w:themeColor="text1"/>
          <w:sz w:val="28"/>
          <w:szCs w:val="28"/>
        </w:rPr>
        <w:t xml:space="preserve"> identificados </w:t>
      </w:r>
      <w:r w:rsidRPr="000149EE">
        <w:rPr>
          <w:rFonts w:ascii="Times New Roman" w:hAnsi="Times New Roman" w:cs="Times New Roman"/>
          <w:color w:val="000000" w:themeColor="text1"/>
          <w:sz w:val="28"/>
          <w:szCs w:val="28"/>
        </w:rPr>
        <w:t xml:space="preserve">son comparables desde el punto de vista fáctico y jurídico. </w:t>
      </w:r>
    </w:p>
    <w:p w:rsidR="003D5BB5" w:rsidRPr="000149EE" w:rsidRDefault="000149EE" w:rsidP="003D5BB5">
      <w:pPr>
        <w:pStyle w:val="Prrafodelista"/>
        <w:ind w:left="0"/>
        <w:rPr>
          <w:rFonts w:ascii="Times New Roman" w:hAnsi="Times New Roman"/>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u w:val="single"/>
        </w:rPr>
        <w:t>Trato tributario diferente</w:t>
      </w:r>
      <w:r w:rsidRPr="000149EE">
        <w:rPr>
          <w:rFonts w:ascii="Times New Roman" w:hAnsi="Times New Roman" w:cs="Times New Roman"/>
          <w:color w:val="000000" w:themeColor="text1"/>
          <w:sz w:val="28"/>
          <w:szCs w:val="28"/>
        </w:rPr>
        <w:t xml:space="preserve">. La Sala considera que de las disposiciones demandadas se deriva un trato tributario diferente entre los </w:t>
      </w:r>
      <w:r w:rsidRPr="000149EE">
        <w:rPr>
          <w:rFonts w:ascii="Times New Roman" w:hAnsi="Times New Roman" w:cs="Times New Roman"/>
          <w:color w:val="000000" w:themeColor="text1"/>
          <w:sz w:val="28"/>
          <w:szCs w:val="28"/>
        </w:rPr>
        <w:t>sujetos comparables</w:t>
      </w:r>
      <w:r w:rsidRPr="000149EE">
        <w:rPr>
          <w:rFonts w:ascii="Times New Roman" w:hAnsi="Times New Roman" w:cs="Times New Roman"/>
          <w:color w:val="000000" w:themeColor="text1"/>
          <w:sz w:val="28"/>
          <w:szCs w:val="28"/>
        </w:rPr>
        <w:t xml:space="preserve">. Esta diferencia de trato consiste en que los </w:t>
      </w:r>
      <w:r w:rsidRPr="000149EE">
        <w:rPr>
          <w:rFonts w:ascii="Times New Roman" w:hAnsi="Times New Roman" w:cs="Times New Roman"/>
          <w:color w:val="000000" w:themeColor="text1"/>
          <w:sz w:val="28"/>
          <w:szCs w:val="28"/>
        </w:rPr>
        <w:t>usuarios que suscriben y cumplen el PIAV</w:t>
      </w:r>
      <w:r w:rsidRPr="000149EE">
        <w:rPr>
          <w:rFonts w:ascii="Times New Roman" w:hAnsi="Times New Roman" w:cs="Times New Roman"/>
          <w:color w:val="000000" w:themeColor="text1"/>
          <w:sz w:val="28"/>
          <w:szCs w:val="28"/>
        </w:rPr>
        <w:t xml:space="preserve"> están habilitados para acceder al beneficio</w:t>
      </w:r>
      <w:r w:rsidRPr="000149EE">
        <w:rPr>
          <w:rFonts w:ascii="Times New Roman" w:hAnsi="Times New Roman" w:cs="Times New Roman"/>
          <w:color w:val="000000" w:themeColor="text1"/>
          <w:sz w:val="28"/>
          <w:szCs w:val="28"/>
        </w:rPr>
        <w:t xml:space="preserve"> tributario previsto en el numeral 1º del artículo 240-1: la tarifa preferencial (20%) del impuesto a la renta aplicable a los ingresos que provengan de operaciones de exportación. En contraste, los segundos -usuarios </w:t>
      </w:r>
      <w:r w:rsidRPr="000149EE">
        <w:rPr>
          <w:rFonts w:ascii="Times New Roman" w:hAnsi="Times New Roman" w:cs="Times New Roman"/>
          <w:color w:val="000000" w:themeColor="text1"/>
          <w:sz w:val="28"/>
          <w:szCs w:val="28"/>
        </w:rPr>
        <w:t>que no</w:t>
      </w:r>
      <w:r w:rsidRPr="000149EE">
        <w:rPr>
          <w:rFonts w:ascii="Times New Roman" w:hAnsi="Times New Roman" w:cs="Times New Roman"/>
          <w:color w:val="000000" w:themeColor="text1"/>
          <w:sz w:val="28"/>
          <w:szCs w:val="28"/>
        </w:rPr>
        <w:t xml:space="preserve"> obtienen recursos provenientes </w:t>
      </w:r>
      <w:r w:rsidRPr="000149EE">
        <w:rPr>
          <w:rFonts w:ascii="Times New Roman" w:hAnsi="Times New Roman" w:cs="Times New Roman"/>
          <w:color w:val="000000" w:themeColor="text1"/>
          <w:sz w:val="28"/>
          <w:szCs w:val="28"/>
        </w:rPr>
        <w:t>de</w:t>
      </w:r>
      <w:r w:rsidRPr="000149EE">
        <w:rPr>
          <w:rFonts w:ascii="Times New Roman" w:hAnsi="Times New Roman" w:cs="Times New Roman"/>
          <w:color w:val="000000" w:themeColor="text1"/>
          <w:sz w:val="28"/>
          <w:szCs w:val="28"/>
        </w:rPr>
        <w:t xml:space="preserve"> exporta</w:t>
      </w:r>
      <w:r w:rsidRPr="000149EE">
        <w:rPr>
          <w:rFonts w:ascii="Times New Roman" w:hAnsi="Times New Roman" w:cs="Times New Roman"/>
          <w:color w:val="000000" w:themeColor="text1"/>
          <w:sz w:val="28"/>
          <w:szCs w:val="28"/>
        </w:rPr>
        <w:t>ción</w:t>
      </w:r>
      <w:r w:rsidRPr="000149EE">
        <w:rPr>
          <w:rFonts w:ascii="Times New Roman" w:hAnsi="Times New Roman" w:cs="Times New Roman"/>
          <w:color w:val="000000" w:themeColor="text1"/>
          <w:sz w:val="28"/>
          <w:szCs w:val="28"/>
        </w:rPr>
        <w:t xml:space="preserve"> o que, pese </w:t>
      </w:r>
      <w:r w:rsidRPr="000149EE">
        <w:rPr>
          <w:rFonts w:ascii="Times New Roman" w:hAnsi="Times New Roman" w:cs="Times New Roman"/>
          <w:color w:val="000000" w:themeColor="text1"/>
          <w:sz w:val="28"/>
          <w:szCs w:val="28"/>
        </w:rPr>
        <w:t xml:space="preserve">a </w:t>
      </w:r>
      <w:r w:rsidRPr="000149EE">
        <w:rPr>
          <w:rFonts w:ascii="Times New Roman" w:hAnsi="Times New Roman" w:cs="Times New Roman"/>
          <w:color w:val="000000" w:themeColor="text1"/>
          <w:sz w:val="28"/>
          <w:szCs w:val="28"/>
        </w:rPr>
        <w:t xml:space="preserve">recibir ingresos provenientes de </w:t>
      </w:r>
      <w:r w:rsidRPr="000149EE">
        <w:rPr>
          <w:rFonts w:ascii="Times New Roman" w:hAnsi="Times New Roman" w:cs="Times New Roman"/>
          <w:color w:val="000000" w:themeColor="text1"/>
          <w:sz w:val="28"/>
          <w:szCs w:val="28"/>
        </w:rPr>
        <w:t>exportación</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no</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suscriben y cumplen</w:t>
      </w:r>
      <w:r w:rsidRPr="000149EE">
        <w:rPr>
          <w:rFonts w:ascii="Times New Roman" w:hAnsi="Times New Roman" w:cs="Times New Roman"/>
          <w:color w:val="000000" w:themeColor="text1"/>
          <w:sz w:val="28"/>
          <w:szCs w:val="28"/>
        </w:rPr>
        <w:t xml:space="preserve"> el PIAV</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están imposibilitados </w:t>
      </w:r>
      <w:r w:rsidRPr="000149EE">
        <w:rPr>
          <w:rFonts w:ascii="Times New Roman" w:hAnsi="Times New Roman" w:cs="Times New Roman"/>
          <w:color w:val="000000" w:themeColor="text1"/>
          <w:sz w:val="28"/>
          <w:szCs w:val="28"/>
        </w:rPr>
        <w:t>para</w:t>
      </w:r>
      <w:r w:rsidRPr="000149EE">
        <w:rPr>
          <w:rFonts w:ascii="Times New Roman" w:hAnsi="Times New Roman" w:cs="Times New Roman"/>
          <w:color w:val="000000" w:themeColor="text1"/>
          <w:sz w:val="28"/>
          <w:szCs w:val="28"/>
        </w:rPr>
        <w:t xml:space="preserve"> acceder a este beneficio tributario. </w:t>
      </w:r>
    </w:p>
    <w:p w:rsidR="003D5BB5" w:rsidRPr="000149EE" w:rsidRDefault="000149EE" w:rsidP="003D5BB5">
      <w:pPr>
        <w:pStyle w:val="Prrafodelista"/>
        <w:rPr>
          <w:rFonts w:ascii="Times New Roman" w:hAnsi="Times New Roman"/>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La Sala Plena </w:t>
      </w:r>
      <w:r w:rsidRPr="000149EE">
        <w:rPr>
          <w:rFonts w:ascii="Times New Roman" w:hAnsi="Times New Roman" w:cs="Times New Roman"/>
          <w:color w:val="000000" w:themeColor="text1"/>
          <w:sz w:val="28"/>
          <w:szCs w:val="28"/>
        </w:rPr>
        <w:t xml:space="preserve">advierte </w:t>
      </w:r>
      <w:r w:rsidRPr="000149EE">
        <w:rPr>
          <w:rFonts w:ascii="Times New Roman" w:hAnsi="Times New Roman" w:cs="Times New Roman"/>
          <w:color w:val="000000" w:themeColor="text1"/>
          <w:sz w:val="28"/>
          <w:szCs w:val="28"/>
        </w:rPr>
        <w:t>que</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la DIAN, el MHCP y el DAPRE</w:t>
      </w:r>
      <w:r w:rsidRPr="000149EE">
        <w:rPr>
          <w:rFonts w:ascii="Times New Roman" w:hAnsi="Times New Roman" w:cs="Times New Roman"/>
          <w:iCs/>
          <w:color w:val="000000" w:themeColor="text1"/>
          <w:sz w:val="28"/>
          <w:szCs w:val="28"/>
        </w:rPr>
        <w:t xml:space="preserve"> argumentan que,</w:t>
      </w:r>
      <w:r w:rsidRPr="000149EE">
        <w:rPr>
          <w:rFonts w:ascii="Times New Roman" w:hAnsi="Times New Roman" w:cs="Times New Roman"/>
          <w:iCs/>
          <w:color w:val="000000" w:themeColor="text1"/>
          <w:sz w:val="28"/>
          <w:szCs w:val="28"/>
        </w:rPr>
        <w:t xml:space="preserve"> en estricto sentido, las normas demandadas no prevén de forma explícita una diferencia </w:t>
      </w:r>
      <w:r w:rsidRPr="000149EE">
        <w:rPr>
          <w:rFonts w:ascii="Times New Roman" w:hAnsi="Times New Roman" w:cs="Times New Roman"/>
          <w:iCs/>
          <w:color w:val="000000" w:themeColor="text1"/>
          <w:sz w:val="28"/>
          <w:szCs w:val="28"/>
        </w:rPr>
        <w:t xml:space="preserve">de trato tributario </w:t>
      </w:r>
      <w:r w:rsidRPr="000149EE">
        <w:rPr>
          <w:rFonts w:ascii="Times New Roman" w:hAnsi="Times New Roman" w:cs="Times New Roman"/>
          <w:iCs/>
          <w:color w:val="000000" w:themeColor="text1"/>
          <w:sz w:val="28"/>
          <w:szCs w:val="28"/>
        </w:rPr>
        <w:t xml:space="preserve">entre </w:t>
      </w:r>
      <w:r w:rsidRPr="000149EE">
        <w:rPr>
          <w:rFonts w:ascii="Times New Roman" w:hAnsi="Times New Roman" w:cs="Times New Roman"/>
          <w:i/>
          <w:color w:val="000000" w:themeColor="text1"/>
          <w:sz w:val="28"/>
          <w:szCs w:val="28"/>
        </w:rPr>
        <w:t>usuarios</w:t>
      </w:r>
      <w:r w:rsidRPr="000149EE">
        <w:rPr>
          <w:rFonts w:ascii="Times New Roman" w:hAnsi="Times New Roman" w:cs="Times New Roman"/>
          <w:iCs/>
          <w:color w:val="000000" w:themeColor="text1"/>
          <w:sz w:val="28"/>
          <w:szCs w:val="28"/>
        </w:rPr>
        <w:t xml:space="preserve"> industriales. </w:t>
      </w:r>
      <w:r w:rsidRPr="000149EE">
        <w:rPr>
          <w:rFonts w:ascii="Times New Roman" w:hAnsi="Times New Roman" w:cs="Times New Roman"/>
          <w:iCs/>
          <w:color w:val="000000" w:themeColor="text1"/>
          <w:sz w:val="28"/>
          <w:szCs w:val="28"/>
        </w:rPr>
        <w:t>En su criterio, l</w:t>
      </w:r>
      <w:r w:rsidRPr="000149EE">
        <w:rPr>
          <w:rFonts w:ascii="Times New Roman" w:hAnsi="Times New Roman" w:cs="Times New Roman"/>
          <w:iCs/>
          <w:color w:val="000000" w:themeColor="text1"/>
          <w:sz w:val="28"/>
          <w:szCs w:val="28"/>
        </w:rPr>
        <w:t xml:space="preserve">a diferencia tarifaria </w:t>
      </w:r>
      <w:r w:rsidRPr="000149EE">
        <w:rPr>
          <w:rFonts w:ascii="Times New Roman" w:hAnsi="Times New Roman" w:cs="Times New Roman"/>
          <w:iCs/>
          <w:color w:val="000000" w:themeColor="text1"/>
          <w:sz w:val="28"/>
          <w:szCs w:val="28"/>
        </w:rPr>
        <w:t xml:space="preserve">que el artículo 11 de la Ley 2277 de 2022 introdujo </w:t>
      </w:r>
      <w:r w:rsidRPr="000149EE">
        <w:rPr>
          <w:rFonts w:ascii="Times New Roman" w:hAnsi="Times New Roman" w:cs="Times New Roman"/>
          <w:iCs/>
          <w:color w:val="000000" w:themeColor="text1"/>
          <w:sz w:val="28"/>
          <w:szCs w:val="28"/>
        </w:rPr>
        <w:t>está prevista</w:t>
      </w:r>
      <w:r w:rsidRPr="000149EE">
        <w:rPr>
          <w:rFonts w:ascii="Times New Roman" w:hAnsi="Times New Roman" w:cs="Times New Roman"/>
          <w:iCs/>
          <w:color w:val="000000" w:themeColor="text1"/>
          <w:sz w:val="28"/>
          <w:szCs w:val="28"/>
        </w:rPr>
        <w:t>, exclusivamen</w:t>
      </w:r>
      <w:r w:rsidRPr="000149EE">
        <w:rPr>
          <w:rFonts w:ascii="Times New Roman" w:hAnsi="Times New Roman" w:cs="Times New Roman"/>
          <w:iCs/>
          <w:color w:val="000000" w:themeColor="text1"/>
          <w:sz w:val="28"/>
          <w:szCs w:val="28"/>
        </w:rPr>
        <w:t xml:space="preserve">te, </w:t>
      </w:r>
      <w:r w:rsidRPr="000149EE">
        <w:rPr>
          <w:rFonts w:ascii="Times New Roman" w:hAnsi="Times New Roman" w:cs="Times New Roman"/>
          <w:iCs/>
          <w:color w:val="000000" w:themeColor="text1"/>
          <w:sz w:val="28"/>
          <w:szCs w:val="28"/>
        </w:rPr>
        <w:t>en función de</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 xml:space="preserve">la proveniencia del </w:t>
      </w:r>
      <w:r w:rsidRPr="000149EE">
        <w:rPr>
          <w:rFonts w:ascii="Times New Roman" w:hAnsi="Times New Roman" w:cs="Times New Roman"/>
          <w:i/>
          <w:color w:val="000000" w:themeColor="text1"/>
          <w:sz w:val="28"/>
          <w:szCs w:val="28"/>
        </w:rPr>
        <w:t>ingreso</w:t>
      </w:r>
      <w:r w:rsidRPr="000149EE">
        <w:rPr>
          <w:rFonts w:ascii="Times New Roman" w:hAnsi="Times New Roman" w:cs="Times New Roman"/>
          <w:iCs/>
          <w:color w:val="000000" w:themeColor="text1"/>
          <w:sz w:val="28"/>
          <w:szCs w:val="28"/>
        </w:rPr>
        <w:t xml:space="preserve"> (exportación o no exportación)</w:t>
      </w:r>
      <w:r w:rsidRPr="000149EE">
        <w:rPr>
          <w:rFonts w:ascii="Times New Roman" w:hAnsi="Times New Roman" w:cs="Times New Roman"/>
          <w:iCs/>
          <w:color w:val="000000" w:themeColor="text1"/>
          <w:sz w:val="28"/>
          <w:szCs w:val="28"/>
        </w:rPr>
        <w:t>. L</w:t>
      </w:r>
      <w:r w:rsidRPr="000149EE">
        <w:rPr>
          <w:rFonts w:ascii="Times New Roman" w:hAnsi="Times New Roman" w:cs="Times New Roman"/>
          <w:iCs/>
          <w:color w:val="000000" w:themeColor="text1"/>
          <w:sz w:val="28"/>
          <w:szCs w:val="28"/>
        </w:rPr>
        <w:t xml:space="preserve">a Sala </w:t>
      </w:r>
      <w:r w:rsidRPr="000149EE">
        <w:rPr>
          <w:rFonts w:ascii="Times New Roman" w:hAnsi="Times New Roman" w:cs="Times New Roman"/>
          <w:iCs/>
          <w:color w:val="000000" w:themeColor="text1"/>
          <w:sz w:val="28"/>
          <w:szCs w:val="28"/>
        </w:rPr>
        <w:t xml:space="preserve">no comparte esta aproximación, por </w:t>
      </w:r>
      <w:r w:rsidRPr="000149EE">
        <w:rPr>
          <w:rFonts w:ascii="Times New Roman" w:hAnsi="Times New Roman" w:cs="Times New Roman"/>
          <w:iCs/>
          <w:color w:val="000000" w:themeColor="text1"/>
          <w:sz w:val="28"/>
          <w:szCs w:val="28"/>
        </w:rPr>
        <w:t xml:space="preserve">tres </w:t>
      </w:r>
      <w:r w:rsidRPr="000149EE">
        <w:rPr>
          <w:rFonts w:ascii="Times New Roman" w:hAnsi="Times New Roman" w:cs="Times New Roman"/>
          <w:iCs/>
          <w:color w:val="000000" w:themeColor="text1"/>
          <w:sz w:val="28"/>
          <w:szCs w:val="28"/>
        </w:rPr>
        <w:t>razones:</w:t>
      </w:r>
    </w:p>
    <w:p w:rsidR="003D5BB5" w:rsidRPr="000149EE" w:rsidRDefault="000149EE" w:rsidP="003D5BB5">
      <w:pPr>
        <w:pStyle w:val="Prrafodelista"/>
        <w:rPr>
          <w:rFonts w:ascii="Times New Roman" w:hAnsi="Times New Roman"/>
          <w:color w:val="000000" w:themeColor="text1"/>
          <w:sz w:val="28"/>
        </w:rPr>
      </w:pPr>
    </w:p>
    <w:p w:rsidR="006F39B1" w:rsidRPr="000149EE" w:rsidRDefault="000149EE" w:rsidP="006046A7">
      <w:pPr>
        <w:numPr>
          <w:ilvl w:val="1"/>
          <w:numId w:val="3"/>
        </w:numPr>
        <w:tabs>
          <w:tab w:val="left" w:pos="567"/>
          <w:tab w:val="left" w:pos="993"/>
        </w:tabs>
        <w:ind w:left="993" w:hanging="851"/>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La diferencia tarifaria no está prevista exclusivamente en</w:t>
      </w:r>
      <w:r w:rsidRPr="000149EE">
        <w:rPr>
          <w:rFonts w:ascii="Times New Roman" w:hAnsi="Times New Roman" w:cs="Times New Roman"/>
          <w:color w:val="000000" w:themeColor="text1"/>
          <w:sz w:val="28"/>
          <w:szCs w:val="28"/>
        </w:rPr>
        <w:t xml:space="preserve"> función de</w:t>
      </w:r>
      <w:r w:rsidRPr="000149EE">
        <w:rPr>
          <w:rFonts w:ascii="Times New Roman" w:hAnsi="Times New Roman" w:cs="Times New Roman"/>
          <w:color w:val="000000" w:themeColor="text1"/>
          <w:sz w:val="28"/>
          <w:szCs w:val="28"/>
        </w:rPr>
        <w:t xml:space="preserve"> la proveniencia del ingreso (exportación o no exportación). Como se expuso, el parágrafo 6º del artículo 11 de la Ley 2277 de 2022 dispone </w:t>
      </w:r>
      <w:r w:rsidRPr="000149EE">
        <w:rPr>
          <w:rFonts w:ascii="Times New Roman" w:hAnsi="Times New Roman" w:cs="Times New Roman"/>
          <w:color w:val="000000" w:themeColor="text1"/>
          <w:sz w:val="28"/>
          <w:szCs w:val="28"/>
        </w:rPr>
        <w:t xml:space="preserve">de forma expresa </w:t>
      </w:r>
      <w:r w:rsidRPr="000149EE">
        <w:rPr>
          <w:rFonts w:ascii="Times New Roman" w:hAnsi="Times New Roman" w:cs="Times New Roman"/>
          <w:color w:val="000000" w:themeColor="text1"/>
          <w:sz w:val="28"/>
          <w:szCs w:val="28"/>
        </w:rPr>
        <w:t>que sólo podrán acceder a la tarifa preferencia</w:t>
      </w:r>
      <w:r w:rsidRPr="000149EE">
        <w:rPr>
          <w:rFonts w:ascii="Times New Roman" w:hAnsi="Times New Roman" w:cs="Times New Roman"/>
          <w:color w:val="000000" w:themeColor="text1"/>
          <w:sz w:val="28"/>
          <w:szCs w:val="28"/>
        </w:rPr>
        <w:t>l</w:t>
      </w:r>
      <w:r w:rsidRPr="000149EE">
        <w:rPr>
          <w:rFonts w:ascii="Times New Roman" w:hAnsi="Times New Roman" w:cs="Times New Roman"/>
          <w:color w:val="000000" w:themeColor="text1"/>
          <w:sz w:val="28"/>
          <w:szCs w:val="28"/>
        </w:rPr>
        <w:t xml:space="preserve"> prevista en el numeral 1º, aquellos usuarios que s</w:t>
      </w:r>
      <w:r w:rsidRPr="000149EE">
        <w:rPr>
          <w:rFonts w:ascii="Times New Roman" w:hAnsi="Times New Roman" w:cs="Times New Roman"/>
          <w:color w:val="000000" w:themeColor="text1"/>
          <w:sz w:val="28"/>
          <w:szCs w:val="28"/>
        </w:rPr>
        <w:t xml:space="preserve">uscriban y cumplan el PIAV. </w:t>
      </w:r>
    </w:p>
    <w:p w:rsidR="003D5BB5" w:rsidRPr="000149EE" w:rsidRDefault="000149EE" w:rsidP="006046A7">
      <w:pPr>
        <w:numPr>
          <w:ilvl w:val="1"/>
          <w:numId w:val="3"/>
        </w:numPr>
        <w:tabs>
          <w:tab w:val="left" w:pos="567"/>
          <w:tab w:val="left" w:pos="993"/>
        </w:tabs>
        <w:ind w:left="993" w:hanging="851"/>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La Sala reconoce</w:t>
      </w:r>
      <w:r w:rsidRPr="000149EE">
        <w:rPr>
          <w:rFonts w:ascii="Times New Roman" w:hAnsi="Times New Roman" w:cs="Times New Roman"/>
          <w:color w:val="000000" w:themeColor="text1"/>
          <w:sz w:val="28"/>
          <w:szCs w:val="28"/>
        </w:rPr>
        <w:t xml:space="preserve"> que</w:t>
      </w:r>
      <w:r w:rsidRPr="000149EE">
        <w:rPr>
          <w:rFonts w:ascii="Times New Roman" w:hAnsi="Times New Roman" w:cs="Times New Roman"/>
          <w:color w:val="000000" w:themeColor="text1"/>
          <w:sz w:val="28"/>
          <w:szCs w:val="28"/>
        </w:rPr>
        <w:t>, en abstracto, cualquier usuario de zona franca está habilitado para llevar a cabo actividades de exportación y</w:t>
      </w:r>
      <w:r w:rsidRPr="000149EE">
        <w:rPr>
          <w:rFonts w:ascii="Times New Roman" w:hAnsi="Times New Roman" w:cs="Times New Roman"/>
          <w:color w:val="000000" w:themeColor="text1"/>
          <w:sz w:val="28"/>
          <w:szCs w:val="28"/>
        </w:rPr>
        <w:t xml:space="preserve">, eventualmente, </w:t>
      </w:r>
      <w:r w:rsidRPr="000149EE">
        <w:rPr>
          <w:rFonts w:ascii="Times New Roman" w:hAnsi="Times New Roman" w:cs="Times New Roman"/>
          <w:color w:val="000000" w:themeColor="text1"/>
          <w:sz w:val="28"/>
          <w:szCs w:val="28"/>
        </w:rPr>
        <w:t>suscribir</w:t>
      </w:r>
      <w:r w:rsidRPr="000149EE">
        <w:rPr>
          <w:rFonts w:ascii="Times New Roman" w:hAnsi="Times New Roman" w:cs="Times New Roman"/>
          <w:color w:val="000000" w:themeColor="text1"/>
          <w:sz w:val="28"/>
          <w:szCs w:val="28"/>
        </w:rPr>
        <w:t xml:space="preserve"> el PIAV. Sin embargo</w:t>
      </w:r>
      <w:r w:rsidRPr="000149EE">
        <w:rPr>
          <w:rFonts w:ascii="Times New Roman" w:hAnsi="Times New Roman" w:cs="Times New Roman"/>
          <w:color w:val="000000" w:themeColor="text1"/>
          <w:sz w:val="28"/>
          <w:szCs w:val="28"/>
        </w:rPr>
        <w:t>, lo cierto es que</w:t>
      </w:r>
      <w:r w:rsidRPr="000149EE">
        <w:rPr>
          <w:rFonts w:ascii="Times New Roman" w:hAnsi="Times New Roman" w:cs="Times New Roman"/>
          <w:color w:val="000000" w:themeColor="text1"/>
          <w:sz w:val="28"/>
          <w:szCs w:val="28"/>
        </w:rPr>
        <w:t xml:space="preserve"> no todos los usuarios industr</w:t>
      </w:r>
      <w:r w:rsidRPr="000149EE">
        <w:rPr>
          <w:rFonts w:ascii="Times New Roman" w:hAnsi="Times New Roman" w:cs="Times New Roman"/>
          <w:color w:val="000000" w:themeColor="text1"/>
          <w:sz w:val="28"/>
          <w:szCs w:val="28"/>
        </w:rPr>
        <w:t xml:space="preserve">iales exportan y </w:t>
      </w:r>
      <w:r w:rsidRPr="000149EE">
        <w:rPr>
          <w:rFonts w:ascii="Times New Roman" w:hAnsi="Times New Roman" w:cs="Times New Roman"/>
          <w:color w:val="000000" w:themeColor="text1"/>
          <w:sz w:val="28"/>
          <w:szCs w:val="28"/>
        </w:rPr>
        <w:t>la ley</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no los obliga a hacerlo para ser calificados como usuarios de zona franca. </w:t>
      </w:r>
      <w:r w:rsidRPr="000149EE">
        <w:rPr>
          <w:rFonts w:ascii="Times New Roman" w:hAnsi="Times New Roman" w:cs="Times New Roman"/>
          <w:color w:val="000000" w:themeColor="text1"/>
          <w:sz w:val="28"/>
          <w:szCs w:val="28"/>
        </w:rPr>
        <w:t>Por esta razón</w:t>
      </w:r>
      <w:r w:rsidRPr="000149EE">
        <w:rPr>
          <w:rFonts w:ascii="Times New Roman" w:hAnsi="Times New Roman" w:cs="Times New Roman"/>
          <w:color w:val="000000" w:themeColor="text1"/>
          <w:sz w:val="28"/>
          <w:szCs w:val="28"/>
        </w:rPr>
        <w:t xml:space="preserve">, existen usuarios de zona franca que llevan a cabo operaciones de exportación y otros que no. </w:t>
      </w:r>
      <w:r w:rsidRPr="000149EE">
        <w:rPr>
          <w:rFonts w:ascii="Times New Roman" w:hAnsi="Times New Roman" w:cs="Times New Roman"/>
          <w:color w:val="000000" w:themeColor="text1"/>
          <w:sz w:val="28"/>
          <w:szCs w:val="28"/>
        </w:rPr>
        <w:t>Los usuarios que no llevan a cabo operaciones de</w:t>
      </w:r>
      <w:r w:rsidRPr="000149EE">
        <w:rPr>
          <w:rFonts w:ascii="Times New Roman" w:hAnsi="Times New Roman" w:cs="Times New Roman"/>
          <w:color w:val="000000" w:themeColor="text1"/>
          <w:sz w:val="28"/>
          <w:szCs w:val="28"/>
        </w:rPr>
        <w:t xml:space="preserve"> exportación de forma regular no están en condición de suscribir y cumplir un PIAV y, por lo tanto, no podrán acceder a la tarifa preferencial del impuesto a la renta prevista en el numeral 1º. </w:t>
      </w:r>
      <w:r w:rsidRPr="000149EE">
        <w:rPr>
          <w:rFonts w:ascii="Times New Roman" w:hAnsi="Times New Roman" w:cs="Times New Roman"/>
          <w:color w:val="000000" w:themeColor="text1"/>
          <w:sz w:val="28"/>
          <w:szCs w:val="28"/>
        </w:rPr>
        <w:t xml:space="preserve">Por otro lado, </w:t>
      </w:r>
      <w:r w:rsidRPr="000149EE">
        <w:rPr>
          <w:rFonts w:ascii="Times New Roman" w:hAnsi="Times New Roman" w:cs="Times New Roman"/>
          <w:color w:val="000000" w:themeColor="text1"/>
          <w:sz w:val="28"/>
          <w:szCs w:val="28"/>
        </w:rPr>
        <w:t>desde el punto de vista económic</w:t>
      </w:r>
      <w:r w:rsidRPr="000149EE">
        <w:rPr>
          <w:rFonts w:ascii="Times New Roman" w:hAnsi="Times New Roman" w:cs="Times New Roman"/>
          <w:color w:val="000000" w:themeColor="text1"/>
          <w:sz w:val="28"/>
          <w:szCs w:val="28"/>
        </w:rPr>
        <w:t>o</w:t>
      </w:r>
      <w:r w:rsidRPr="000149EE">
        <w:rPr>
          <w:rFonts w:ascii="Times New Roman" w:hAnsi="Times New Roman" w:cs="Times New Roman"/>
          <w:color w:val="000000" w:themeColor="text1"/>
          <w:sz w:val="28"/>
          <w:szCs w:val="28"/>
        </w:rPr>
        <w:t>, llevar a cab</w:t>
      </w:r>
      <w:r w:rsidRPr="000149EE">
        <w:rPr>
          <w:rFonts w:ascii="Times New Roman" w:hAnsi="Times New Roman" w:cs="Times New Roman"/>
          <w:color w:val="000000" w:themeColor="text1"/>
          <w:sz w:val="28"/>
          <w:szCs w:val="28"/>
        </w:rPr>
        <w:t xml:space="preserve">o operaciones de exportación requiere de una transformación sustancial del modelo de negocio del usuario industrial. </w:t>
      </w:r>
      <w:r w:rsidRPr="000149EE">
        <w:rPr>
          <w:rFonts w:ascii="Times New Roman" w:hAnsi="Times New Roman" w:cs="Times New Roman"/>
          <w:color w:val="000000" w:themeColor="text1"/>
          <w:sz w:val="28"/>
          <w:szCs w:val="28"/>
        </w:rPr>
        <w:t>Justamente por esta razón, en la sentencia C-384 de 2023, la Corte reconoció que, pese a que la tarifa preferencial que establece el numera</w:t>
      </w:r>
      <w:r w:rsidRPr="000149EE">
        <w:rPr>
          <w:rFonts w:ascii="Times New Roman" w:hAnsi="Times New Roman" w:cs="Times New Roman"/>
          <w:color w:val="000000" w:themeColor="text1"/>
          <w:sz w:val="28"/>
          <w:szCs w:val="28"/>
        </w:rPr>
        <w:t xml:space="preserve">l 1º del artículo 11 de la Ley 2277 de 2022 parecería estar prevista en función del origen de los ingresos, “en la práctica”, </w:t>
      </w:r>
      <w:r w:rsidRPr="000149EE">
        <w:rPr>
          <w:rFonts w:ascii="Times New Roman" w:hAnsi="Times New Roman" w:cs="Times New Roman"/>
          <w:color w:val="000000" w:themeColor="text1"/>
          <w:sz w:val="28"/>
          <w:szCs w:val="28"/>
        </w:rPr>
        <w:t xml:space="preserve">interpretada en conjunto con el parágrafo 6º, </w:t>
      </w:r>
      <w:r w:rsidRPr="000149EE">
        <w:rPr>
          <w:rFonts w:ascii="Times New Roman" w:hAnsi="Times New Roman" w:cs="Times New Roman"/>
          <w:color w:val="000000" w:themeColor="text1"/>
          <w:sz w:val="28"/>
          <w:szCs w:val="28"/>
        </w:rPr>
        <w:t xml:space="preserve">conduce a un trato diferente entre contribuyentes exportadores y no exportadores. </w:t>
      </w:r>
    </w:p>
    <w:p w:rsidR="003D5BB5" w:rsidRPr="000149EE" w:rsidRDefault="000149EE" w:rsidP="006046A7">
      <w:pPr>
        <w:numPr>
          <w:ilvl w:val="1"/>
          <w:numId w:val="3"/>
        </w:numPr>
        <w:tabs>
          <w:tab w:val="left" w:pos="567"/>
          <w:tab w:val="left" w:pos="993"/>
        </w:tabs>
        <w:ind w:left="993" w:hanging="851"/>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La Sala constata que en la exposición de motivos de la Ley 2277 de 2022, el MHCP reconoció que la finalidad de la reforma a la tarifa del impuesto a la renta de los usuarios industriales de zona franca era, </w:t>
      </w:r>
      <w:r w:rsidRPr="000149EE">
        <w:rPr>
          <w:rFonts w:ascii="Times New Roman" w:hAnsi="Times New Roman" w:cs="Times New Roman"/>
          <w:color w:val="000000" w:themeColor="text1"/>
          <w:sz w:val="28"/>
          <w:szCs w:val="28"/>
        </w:rPr>
        <w:t>precisamente</w:t>
      </w:r>
      <w:r w:rsidRPr="000149EE">
        <w:rPr>
          <w:rFonts w:ascii="Times New Roman" w:hAnsi="Times New Roman" w:cs="Times New Roman"/>
          <w:color w:val="000000" w:themeColor="text1"/>
          <w:sz w:val="28"/>
          <w:szCs w:val="28"/>
        </w:rPr>
        <w:t xml:space="preserve">, distinguir entre </w:t>
      </w:r>
      <w:r w:rsidRPr="000149EE">
        <w:rPr>
          <w:rFonts w:ascii="Times New Roman" w:hAnsi="Times New Roman" w:cs="Times New Roman"/>
          <w:color w:val="000000" w:themeColor="text1"/>
          <w:sz w:val="28"/>
          <w:szCs w:val="28"/>
        </w:rPr>
        <w:t xml:space="preserve">usuarios </w:t>
      </w:r>
      <w:r w:rsidRPr="000149EE">
        <w:rPr>
          <w:rFonts w:ascii="Times New Roman" w:hAnsi="Times New Roman" w:cs="Times New Roman"/>
          <w:color w:val="000000" w:themeColor="text1"/>
          <w:sz w:val="28"/>
          <w:szCs w:val="28"/>
        </w:rPr>
        <w:t>exportado</w:t>
      </w:r>
      <w:r w:rsidRPr="000149EE">
        <w:rPr>
          <w:rFonts w:ascii="Times New Roman" w:hAnsi="Times New Roman" w:cs="Times New Roman"/>
          <w:color w:val="000000" w:themeColor="text1"/>
          <w:sz w:val="28"/>
          <w:szCs w:val="28"/>
        </w:rPr>
        <w:t>res y no exportadores a efectos de determinar el régimen tarifario aplicable (preferencial o general). Esto, habida cuenta de que se constató que “3 de cada 4 compañías que utilizan este tratamiento especial [de las zonas francas] son nacionales, sin vocac</w:t>
      </w:r>
      <w:r w:rsidRPr="000149EE">
        <w:rPr>
          <w:rFonts w:ascii="Times New Roman" w:hAnsi="Times New Roman" w:cs="Times New Roman"/>
          <w:color w:val="000000" w:themeColor="text1"/>
          <w:sz w:val="28"/>
          <w:szCs w:val="28"/>
        </w:rPr>
        <w:t>ión exportadora, lo que ha limitado el éxito de la existencia de este tratamiento preferencial”</w:t>
      </w:r>
      <w:r w:rsidRPr="000149EE">
        <w:rPr>
          <w:rStyle w:val="Refdenotaalpie"/>
          <w:rFonts w:ascii="Times New Roman" w:hAnsi="Times New Roman" w:cs="Times New Roman"/>
          <w:color w:val="000000" w:themeColor="text1"/>
          <w:sz w:val="28"/>
          <w:szCs w:val="28"/>
        </w:rPr>
        <w:footnoteReference w:id="162"/>
      </w:r>
      <w:r w:rsidRPr="000149EE">
        <w:rPr>
          <w:rFonts w:ascii="Times New Roman" w:hAnsi="Times New Roman" w:cs="Times New Roman"/>
          <w:color w:val="000000" w:themeColor="text1"/>
          <w:sz w:val="28"/>
          <w:szCs w:val="28"/>
        </w:rPr>
        <w:t xml:space="preserve">. </w:t>
      </w:r>
    </w:p>
    <w:p w:rsidR="003D5BB5" w:rsidRPr="000149EE" w:rsidRDefault="000149EE" w:rsidP="003D5BB5">
      <w:pPr>
        <w:pStyle w:val="Prrafodelista"/>
        <w:widowControl w:val="0"/>
        <w:spacing w:line="240" w:lineRule="auto"/>
        <w:ind w:left="851"/>
        <w:rPr>
          <w:rFonts w:ascii="Times New Roman" w:hAnsi="Times New Roman"/>
          <w:color w:val="000000" w:themeColor="text1"/>
          <w:sz w:val="28"/>
        </w:rPr>
      </w:pPr>
    </w:p>
    <w:p w:rsidR="0086599A"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En tales términos, la Sala con</w:t>
      </w:r>
      <w:r w:rsidRPr="000149EE">
        <w:rPr>
          <w:rFonts w:ascii="Times New Roman" w:hAnsi="Times New Roman" w:cs="Times New Roman"/>
          <w:color w:val="000000" w:themeColor="text1"/>
          <w:sz w:val="28"/>
          <w:szCs w:val="28"/>
        </w:rPr>
        <w:t xml:space="preserve">cluye </w:t>
      </w:r>
      <w:r w:rsidRPr="000149EE">
        <w:rPr>
          <w:rFonts w:ascii="Times New Roman" w:hAnsi="Times New Roman" w:cs="Times New Roman"/>
          <w:color w:val="000000" w:themeColor="text1"/>
          <w:sz w:val="28"/>
          <w:szCs w:val="28"/>
        </w:rPr>
        <w:t>que de las disposiciones demandadas se deriva un</w:t>
      </w:r>
      <w:r w:rsidRPr="000149EE">
        <w:rPr>
          <w:rFonts w:ascii="Times New Roman" w:hAnsi="Times New Roman" w:cs="Times New Roman"/>
          <w:color w:val="000000" w:themeColor="text1"/>
          <w:sz w:val="28"/>
          <w:szCs w:val="28"/>
        </w:rPr>
        <w:t xml:space="preserve">a diferencia de trato </w:t>
      </w:r>
      <w:r w:rsidRPr="000149EE">
        <w:rPr>
          <w:rFonts w:ascii="Times New Roman" w:hAnsi="Times New Roman" w:cs="Times New Roman"/>
          <w:color w:val="000000" w:themeColor="text1"/>
          <w:sz w:val="28"/>
          <w:szCs w:val="28"/>
        </w:rPr>
        <w:t>entre los grupos de sujetos comparables</w:t>
      </w:r>
      <w:r w:rsidRPr="000149EE">
        <w:rPr>
          <w:rFonts w:ascii="Times New Roman" w:hAnsi="Times New Roman" w:cs="Times New Roman"/>
          <w:color w:val="000000" w:themeColor="text1"/>
          <w:sz w:val="28"/>
          <w:szCs w:val="28"/>
        </w:rPr>
        <w:t>. Esta dife</w:t>
      </w:r>
      <w:r w:rsidRPr="000149EE">
        <w:rPr>
          <w:rFonts w:ascii="Times New Roman" w:hAnsi="Times New Roman" w:cs="Times New Roman"/>
          <w:color w:val="000000" w:themeColor="text1"/>
          <w:sz w:val="28"/>
          <w:szCs w:val="28"/>
        </w:rPr>
        <w:t xml:space="preserve">rencia de trato consiste en que los usuarios que suscriben y cumplen el PIAV están habilitados para acceder al beneficio tributario previsto en el numeral 1º del artículo 240-1: la tarifa preferencial (20%) del impuesto a la renta aplicable a los ingresos </w:t>
      </w:r>
      <w:r w:rsidRPr="000149EE">
        <w:rPr>
          <w:rFonts w:ascii="Times New Roman" w:hAnsi="Times New Roman" w:cs="Times New Roman"/>
          <w:color w:val="000000" w:themeColor="text1"/>
          <w:sz w:val="28"/>
          <w:szCs w:val="28"/>
        </w:rPr>
        <w:t xml:space="preserve">que provengan de operaciones de exportación. En contraste, los segundos -usuarios que no obtienen recursos provenientes de exportación, o no suscriben y cumplen el PIAV- no pueden acceder a este beneficio tributario. </w:t>
      </w:r>
      <w:r w:rsidRPr="000149EE">
        <w:rPr>
          <w:rFonts w:ascii="Times New Roman" w:hAnsi="Times New Roman" w:cs="Times New Roman"/>
          <w:color w:val="000000" w:themeColor="text1"/>
          <w:sz w:val="28"/>
          <w:szCs w:val="28"/>
        </w:rPr>
        <w:t>Los ingresos de estos usuarios serán gr</w:t>
      </w:r>
      <w:r w:rsidRPr="000149EE">
        <w:rPr>
          <w:rFonts w:ascii="Times New Roman" w:hAnsi="Times New Roman" w:cs="Times New Roman"/>
          <w:color w:val="000000" w:themeColor="text1"/>
          <w:sz w:val="28"/>
          <w:szCs w:val="28"/>
        </w:rPr>
        <w:t xml:space="preserve">avados a la tarifa general del impuesto a la renta para las personas jurídicas (35%).  </w:t>
      </w:r>
    </w:p>
    <w:p w:rsidR="003D5BB5" w:rsidRPr="000149EE" w:rsidRDefault="000149EE" w:rsidP="003D5BB5">
      <w:pPr>
        <w:pStyle w:val="Prrafodelista"/>
        <w:widowControl w:val="0"/>
        <w:spacing w:line="240" w:lineRule="auto"/>
        <w:ind w:left="0"/>
        <w:rPr>
          <w:rFonts w:ascii="Times New Roman" w:hAnsi="Times New Roman"/>
          <w:color w:val="000000" w:themeColor="text1"/>
          <w:sz w:val="28"/>
        </w:rPr>
      </w:pPr>
    </w:p>
    <w:p w:rsidR="00815697" w:rsidRPr="000149EE" w:rsidRDefault="000149EE" w:rsidP="0081569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La diferencia tarifaria </w:t>
      </w:r>
      <w:r w:rsidRPr="000149EE">
        <w:rPr>
          <w:rFonts w:ascii="Times New Roman" w:hAnsi="Times New Roman" w:cs="Times New Roman"/>
          <w:color w:val="000000" w:themeColor="text1"/>
          <w:sz w:val="28"/>
          <w:szCs w:val="28"/>
        </w:rPr>
        <w:t>prevista</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conduce a </w:t>
      </w:r>
      <w:r w:rsidRPr="000149EE">
        <w:rPr>
          <w:rFonts w:ascii="Times New Roman" w:hAnsi="Times New Roman" w:cs="Times New Roman"/>
          <w:color w:val="000000" w:themeColor="text1"/>
          <w:sz w:val="28"/>
          <w:szCs w:val="28"/>
        </w:rPr>
        <w:t xml:space="preserve">que usuarios industriales </w:t>
      </w:r>
      <w:r w:rsidRPr="000149EE">
        <w:rPr>
          <w:rFonts w:ascii="Times New Roman" w:hAnsi="Times New Roman" w:cs="Times New Roman"/>
          <w:color w:val="000000" w:themeColor="text1"/>
          <w:sz w:val="28"/>
          <w:szCs w:val="28"/>
        </w:rPr>
        <w:t>de zona franca que perciben el mismo monto de ingresos en un año gravable</w:t>
      </w:r>
      <w:r w:rsidRPr="000149EE">
        <w:rPr>
          <w:rFonts w:ascii="Times New Roman" w:hAnsi="Times New Roman" w:cs="Times New Roman"/>
          <w:color w:val="000000" w:themeColor="text1"/>
          <w:sz w:val="28"/>
          <w:szCs w:val="28"/>
        </w:rPr>
        <w:t>, tengan cargas tributari</w:t>
      </w:r>
      <w:r w:rsidRPr="000149EE">
        <w:rPr>
          <w:rFonts w:ascii="Times New Roman" w:hAnsi="Times New Roman" w:cs="Times New Roman"/>
          <w:color w:val="000000" w:themeColor="text1"/>
          <w:sz w:val="28"/>
          <w:szCs w:val="28"/>
        </w:rPr>
        <w:t xml:space="preserve">as disímiles. </w:t>
      </w:r>
      <w:r w:rsidRPr="000149EE">
        <w:rPr>
          <w:rFonts w:ascii="Times New Roman" w:hAnsi="Times New Roman" w:cs="Times New Roman"/>
          <w:color w:val="000000" w:themeColor="text1"/>
          <w:sz w:val="28"/>
          <w:szCs w:val="28"/>
        </w:rPr>
        <w:t>Para evidenciar esta situación, a</w:t>
      </w:r>
      <w:r w:rsidRPr="000149EE">
        <w:rPr>
          <w:rFonts w:ascii="Times New Roman" w:hAnsi="Times New Roman" w:cs="Times New Roman"/>
          <w:color w:val="000000" w:themeColor="text1"/>
          <w:sz w:val="28"/>
          <w:szCs w:val="28"/>
        </w:rPr>
        <w:t xml:space="preserve"> continuación</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la Sala </w:t>
      </w:r>
      <w:r w:rsidRPr="000149EE">
        <w:rPr>
          <w:rFonts w:ascii="Times New Roman" w:hAnsi="Times New Roman" w:cs="Times New Roman"/>
          <w:color w:val="000000" w:themeColor="text1"/>
          <w:sz w:val="28"/>
          <w:szCs w:val="28"/>
        </w:rPr>
        <w:t xml:space="preserve">propone un ejemplo a partir </w:t>
      </w:r>
      <w:r w:rsidRPr="000149EE">
        <w:rPr>
          <w:rFonts w:ascii="Times New Roman" w:hAnsi="Times New Roman" w:cs="Times New Roman"/>
          <w:color w:val="000000" w:themeColor="text1"/>
          <w:sz w:val="28"/>
          <w:szCs w:val="28"/>
        </w:rPr>
        <w:t>de los escenarios planteados</w:t>
      </w:r>
      <w:r w:rsidRPr="000149EE">
        <w:rPr>
          <w:rFonts w:ascii="Times New Roman" w:hAnsi="Times New Roman" w:cs="Times New Roman"/>
          <w:color w:val="000000" w:themeColor="text1"/>
          <w:sz w:val="28"/>
          <w:szCs w:val="28"/>
        </w:rPr>
        <w:t xml:space="preserve"> por la DIAN </w:t>
      </w:r>
      <w:r w:rsidRPr="000149EE">
        <w:rPr>
          <w:rFonts w:ascii="Times New Roman" w:hAnsi="Times New Roman" w:cs="Times New Roman"/>
          <w:color w:val="000000" w:themeColor="text1"/>
          <w:sz w:val="28"/>
          <w:szCs w:val="28"/>
        </w:rPr>
        <w:t>en su intervención</w:t>
      </w:r>
      <w:r w:rsidRPr="000149EE">
        <w:rPr>
          <w:rStyle w:val="Refdenotaalpie"/>
          <w:rFonts w:ascii="Times New Roman" w:hAnsi="Times New Roman" w:cs="Times New Roman"/>
          <w:color w:val="000000" w:themeColor="text1"/>
          <w:sz w:val="28"/>
          <w:szCs w:val="28"/>
        </w:rPr>
        <w:footnoteReference w:id="163"/>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un usuario </w:t>
      </w:r>
      <w:r w:rsidRPr="000149EE">
        <w:rPr>
          <w:rFonts w:ascii="Times New Roman" w:hAnsi="Times New Roman" w:cs="Times New Roman"/>
          <w:color w:val="000000" w:themeColor="text1"/>
          <w:sz w:val="28"/>
          <w:szCs w:val="28"/>
        </w:rPr>
        <w:t xml:space="preserve">industrial de zona franca </w:t>
      </w:r>
      <w:r w:rsidRPr="000149EE">
        <w:rPr>
          <w:rFonts w:ascii="Times New Roman" w:hAnsi="Times New Roman" w:cs="Times New Roman"/>
          <w:color w:val="000000" w:themeColor="text1"/>
          <w:sz w:val="28"/>
          <w:szCs w:val="28"/>
        </w:rPr>
        <w:t>obtiene rentas por $100</w:t>
      </w:r>
      <w:r w:rsidRPr="000149EE">
        <w:rPr>
          <w:rFonts w:ascii="Times New Roman" w:hAnsi="Times New Roman" w:cs="Times New Roman"/>
          <w:color w:val="000000" w:themeColor="text1"/>
          <w:sz w:val="28"/>
          <w:szCs w:val="28"/>
        </w:rPr>
        <w:t>. Los</w:t>
      </w:r>
      <w:r w:rsidRPr="000149EE">
        <w:rPr>
          <w:rFonts w:ascii="Times New Roman" w:hAnsi="Times New Roman" w:cs="Times New Roman"/>
          <w:color w:val="000000" w:themeColor="text1"/>
          <w:sz w:val="28"/>
          <w:szCs w:val="28"/>
        </w:rPr>
        <w:t xml:space="preserve"> ingresos por concepto de exportaciones de bienes y servicios de ese usuario, excluyendo las ganancias ocasionales, son $200. En esta hipótesis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el usuario se dedica </w:t>
      </w:r>
      <w:r w:rsidRPr="000149EE">
        <w:rPr>
          <w:rFonts w:ascii="Times New Roman" w:hAnsi="Times New Roman" w:cs="Times New Roman"/>
          <w:i/>
          <w:iCs/>
          <w:color w:val="000000" w:themeColor="text1"/>
          <w:sz w:val="28"/>
          <w:szCs w:val="28"/>
        </w:rPr>
        <w:t>exclusivamente</w:t>
      </w:r>
      <w:r w:rsidRPr="000149EE">
        <w:rPr>
          <w:rFonts w:ascii="Times New Roman" w:hAnsi="Times New Roman" w:cs="Times New Roman"/>
          <w:color w:val="000000" w:themeColor="text1"/>
          <w:sz w:val="28"/>
          <w:szCs w:val="28"/>
        </w:rPr>
        <w:t xml:space="preserve"> a exportar, por lo que el total de ingresos fiscales del usuario son $200. </w:t>
      </w:r>
      <w:r w:rsidRPr="000149EE">
        <w:rPr>
          <w:rFonts w:ascii="Times New Roman" w:hAnsi="Times New Roman" w:cs="Times New Roman"/>
          <w:color w:val="000000" w:themeColor="text1"/>
          <w:sz w:val="28"/>
          <w:szCs w:val="28"/>
        </w:rPr>
        <w:t>En este escenario, conforme a la regla del numeral 1 del artículo 240-1 del ET,</w:t>
      </w:r>
      <w:r w:rsidRPr="000149EE">
        <w:rPr>
          <w:rFonts w:ascii="Times New Roman" w:hAnsi="Times New Roman" w:cs="Times New Roman"/>
          <w:color w:val="000000" w:themeColor="text1"/>
          <w:sz w:val="28"/>
          <w:szCs w:val="28"/>
        </w:rPr>
        <w:t xml:space="preserve"> bajo el supuesto de que el usuario cumplió su PIAV,</w:t>
      </w:r>
      <w:r w:rsidRPr="000149EE">
        <w:rPr>
          <w:rFonts w:ascii="Times New Roman" w:hAnsi="Times New Roman" w:cs="Times New Roman"/>
          <w:color w:val="000000" w:themeColor="text1"/>
          <w:sz w:val="28"/>
          <w:szCs w:val="28"/>
        </w:rPr>
        <w:t xml:space="preserve"> los $100 de renta líquida gravable se someten a la tarifa preferencial del 20%. En este caso, el impuesto sobre la renta de </w:t>
      </w:r>
      <w:r w:rsidRPr="000149EE">
        <w:rPr>
          <w:rFonts w:ascii="Times New Roman" w:hAnsi="Times New Roman" w:cs="Times New Roman"/>
          <w:color w:val="000000" w:themeColor="text1"/>
          <w:sz w:val="28"/>
          <w:szCs w:val="28"/>
        </w:rPr>
        <w:t>este usuario industrial exportador sería de $20</w:t>
      </w:r>
      <w:r w:rsidRPr="000149EE">
        <w:rPr>
          <w:rFonts w:ascii="Times New Roman" w:hAnsi="Times New Roman" w:cs="Times New Roman"/>
          <w:color w:val="000000" w:themeColor="text1"/>
          <w:sz w:val="28"/>
          <w:szCs w:val="28"/>
          <w:vertAlign w:val="superscript"/>
        </w:rPr>
        <w:footnoteReference w:id="164"/>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 </w:t>
      </w:r>
    </w:p>
    <w:p w:rsidR="0086599A" w:rsidRPr="000149EE" w:rsidRDefault="000149EE" w:rsidP="00815697">
      <w:pPr>
        <w:pStyle w:val="Prrafodelista"/>
        <w:ind w:left="0"/>
        <w:rPr>
          <w:rFonts w:ascii="Times New Roman" w:hAnsi="Times New Roman"/>
          <w:color w:val="000000" w:themeColor="text1"/>
          <w:sz w:val="28"/>
        </w:rPr>
      </w:pPr>
    </w:p>
    <w:p w:rsidR="0086599A"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Ahora bien, en el mismo escenario, un usuario industrial de zona franca que no recibe </w:t>
      </w:r>
      <w:r w:rsidRPr="000149EE">
        <w:rPr>
          <w:rFonts w:ascii="Times New Roman" w:hAnsi="Times New Roman" w:cs="Times New Roman"/>
          <w:color w:val="000000" w:themeColor="text1"/>
          <w:sz w:val="28"/>
          <w:szCs w:val="28"/>
        </w:rPr>
        <w:t>ingreso</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por concepto de exportaci</w:t>
      </w:r>
      <w:r w:rsidRPr="000149EE">
        <w:rPr>
          <w:rFonts w:ascii="Times New Roman" w:hAnsi="Times New Roman" w:cs="Times New Roman"/>
          <w:color w:val="000000" w:themeColor="text1"/>
          <w:sz w:val="28"/>
          <w:szCs w:val="28"/>
        </w:rPr>
        <w:t>ón</w:t>
      </w:r>
      <w:r w:rsidRPr="000149EE">
        <w:rPr>
          <w:rFonts w:ascii="Times New Roman" w:hAnsi="Times New Roman" w:cs="Times New Roman"/>
          <w:color w:val="000000" w:themeColor="text1"/>
          <w:sz w:val="28"/>
          <w:szCs w:val="28"/>
        </w:rPr>
        <w:t xml:space="preserve"> de bienes y servicios, cuyas rentas son de $100 y el total de sus ingresos fiscales son $200, vería que conforme a la regla del numeral 2, los $100 de renta líquida gravable se someten a la tarifa general del artículo 240 del ET, esto es, 35%. En este cas</w:t>
      </w:r>
      <w:r w:rsidRPr="000149EE">
        <w:rPr>
          <w:rFonts w:ascii="Times New Roman" w:hAnsi="Times New Roman" w:cs="Times New Roman"/>
          <w:color w:val="000000" w:themeColor="text1"/>
          <w:sz w:val="28"/>
          <w:szCs w:val="28"/>
        </w:rPr>
        <w:t>o, el impuesto sobre la renta de este usuario industrial no exportador sería de $35</w:t>
      </w:r>
      <w:r w:rsidRPr="000149EE">
        <w:rPr>
          <w:rStyle w:val="Refdenotaalpie"/>
          <w:rFonts w:ascii="Times New Roman" w:hAnsi="Times New Roman" w:cs="Times New Roman"/>
          <w:color w:val="000000" w:themeColor="text1"/>
          <w:sz w:val="28"/>
          <w:szCs w:val="28"/>
        </w:rPr>
        <w:footnoteReference w:id="165"/>
      </w:r>
      <w:r w:rsidRPr="000149EE">
        <w:rPr>
          <w:rFonts w:ascii="Times New Roman" w:hAnsi="Times New Roman" w:cs="Times New Roman"/>
          <w:color w:val="000000" w:themeColor="text1"/>
          <w:sz w:val="28"/>
          <w:szCs w:val="28"/>
        </w:rPr>
        <w:t>, esto es, $</w:t>
      </w:r>
      <w:r w:rsidRPr="000149EE">
        <w:rPr>
          <w:rFonts w:ascii="Times New Roman" w:hAnsi="Times New Roman" w:cs="Times New Roman"/>
          <w:color w:val="000000" w:themeColor="text1"/>
          <w:sz w:val="28"/>
          <w:szCs w:val="28"/>
        </w:rPr>
        <w:t>1</w:t>
      </w:r>
      <w:r w:rsidRPr="000149EE">
        <w:rPr>
          <w:rFonts w:ascii="Times New Roman" w:hAnsi="Times New Roman" w:cs="Times New Roman"/>
          <w:color w:val="000000" w:themeColor="text1"/>
          <w:sz w:val="28"/>
          <w:szCs w:val="28"/>
        </w:rPr>
        <w:t xml:space="preserve">5 más que el del usuario exportador que recibe el mismo monto de ingresos. </w:t>
      </w:r>
    </w:p>
    <w:p w:rsidR="003D5BB5" w:rsidRPr="000149EE" w:rsidRDefault="000149EE" w:rsidP="00F83C1C">
      <w:pPr>
        <w:rPr>
          <w:rFonts w:ascii="Times New Roman" w:hAnsi="Times New Roman" w:cs="Times New Roman"/>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Con fundamento en tales consideraciones, la Sala concluye que del régimen tarifari</w:t>
      </w:r>
      <w:r w:rsidRPr="000149EE">
        <w:rPr>
          <w:rFonts w:ascii="Times New Roman" w:hAnsi="Times New Roman" w:cs="Times New Roman"/>
          <w:color w:val="000000" w:themeColor="text1"/>
          <w:sz w:val="28"/>
          <w:szCs w:val="28"/>
        </w:rPr>
        <w:t>o previsto en el artículo 11 de la Ley 2277 de 2022 se deriva un trato tributario diferente entre</w:t>
      </w:r>
      <w:r w:rsidRPr="000149EE">
        <w:rPr>
          <w:rFonts w:ascii="Times New Roman" w:hAnsi="Times New Roman" w:cs="Times New Roman"/>
          <w:color w:val="000000" w:themeColor="text1"/>
          <w:sz w:val="28"/>
          <w:szCs w:val="28"/>
        </w:rPr>
        <w:t xml:space="preserve"> los grupos de sujetos identificados</w:t>
      </w:r>
      <w:r w:rsidRPr="000149EE">
        <w:rPr>
          <w:rFonts w:ascii="Times New Roman" w:hAnsi="Times New Roman" w:cs="Times New Roman"/>
          <w:color w:val="000000" w:themeColor="text1"/>
          <w:sz w:val="28"/>
          <w:szCs w:val="28"/>
        </w:rPr>
        <w:t>, en cuanto a la tarifa del impuesto a la renta</w:t>
      </w:r>
      <w:r w:rsidRPr="000149EE">
        <w:rPr>
          <w:rStyle w:val="Refdenotaalpie"/>
          <w:rFonts w:ascii="Times New Roman" w:hAnsi="Times New Roman" w:cs="Times New Roman"/>
          <w:color w:val="000000" w:themeColor="text1"/>
          <w:sz w:val="28"/>
          <w:szCs w:val="28"/>
        </w:rPr>
        <w:footnoteReference w:id="166"/>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Por lo tanto, </w:t>
      </w:r>
      <w:r w:rsidRPr="000149EE">
        <w:rPr>
          <w:rFonts w:ascii="Times New Roman" w:hAnsi="Times New Roman" w:cs="Times New Roman"/>
          <w:iCs/>
          <w:color w:val="000000" w:themeColor="text1"/>
          <w:sz w:val="28"/>
          <w:szCs w:val="28"/>
        </w:rPr>
        <w:t>corresponde</w:t>
      </w:r>
      <w:r w:rsidRPr="000149EE">
        <w:rPr>
          <w:rFonts w:ascii="Times New Roman" w:hAnsi="Times New Roman" w:cs="Times New Roman"/>
          <w:color w:val="000000" w:themeColor="text1"/>
          <w:sz w:val="28"/>
          <w:szCs w:val="28"/>
        </w:rPr>
        <w:t xml:space="preserve"> a la Corte examinar si este trato tributario </w:t>
      </w:r>
      <w:r w:rsidRPr="000149EE">
        <w:rPr>
          <w:rFonts w:ascii="Times New Roman" w:hAnsi="Times New Roman" w:cs="Times New Roman"/>
          <w:color w:val="000000" w:themeColor="text1"/>
          <w:sz w:val="28"/>
          <w:szCs w:val="28"/>
        </w:rPr>
        <w:t>diferencia</w:t>
      </w:r>
      <w:r w:rsidRPr="000149EE">
        <w:rPr>
          <w:rFonts w:ascii="Times New Roman" w:hAnsi="Times New Roman" w:cs="Times New Roman"/>
          <w:color w:val="000000" w:themeColor="text1"/>
          <w:sz w:val="28"/>
          <w:szCs w:val="28"/>
        </w:rPr>
        <w:t>do</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está constitucionalmente justificado. Para ello, la Corte debe definir la intensidad del juicio y luego verificar si satisface las exigencias que correspondan al nivel de escrutinio.</w:t>
      </w:r>
      <w:r w:rsidRPr="000149EE">
        <w:rPr>
          <w:rFonts w:ascii="Times New Roman" w:hAnsi="Times New Roman" w:cs="Times New Roman"/>
          <w:color w:val="000000" w:themeColor="text1"/>
          <w:sz w:val="28"/>
          <w:szCs w:val="28"/>
        </w:rPr>
        <w:t xml:space="preserve"> </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3D5BB5">
      <w:pPr>
        <w:pStyle w:val="Prrafodelista"/>
        <w:widowControl w:val="0"/>
        <w:numPr>
          <w:ilvl w:val="0"/>
          <w:numId w:val="19"/>
        </w:numPr>
        <w:spacing w:line="240" w:lineRule="auto"/>
        <w:rPr>
          <w:rFonts w:ascii="Times New Roman" w:hAnsi="Times New Roman"/>
          <w:b/>
          <w:bCs/>
          <w:color w:val="000000" w:themeColor="text1"/>
          <w:sz w:val="28"/>
        </w:rPr>
      </w:pPr>
      <w:r w:rsidRPr="000149EE">
        <w:rPr>
          <w:rFonts w:ascii="Times New Roman" w:hAnsi="Times New Roman"/>
          <w:b/>
          <w:bCs/>
          <w:color w:val="000000" w:themeColor="text1"/>
          <w:sz w:val="28"/>
        </w:rPr>
        <w:t>Intensidad del juicio: la Sala Plena debe emplear un juici</w:t>
      </w:r>
      <w:r w:rsidRPr="000149EE">
        <w:rPr>
          <w:rFonts w:ascii="Times New Roman" w:hAnsi="Times New Roman"/>
          <w:b/>
          <w:bCs/>
          <w:color w:val="000000" w:themeColor="text1"/>
          <w:sz w:val="28"/>
        </w:rPr>
        <w:t xml:space="preserve">o de intensidad leve </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bookmarkStart w:id="13" w:name="_Ref153348942"/>
      <w:r w:rsidRPr="000149EE">
        <w:rPr>
          <w:rFonts w:ascii="Times New Roman" w:hAnsi="Times New Roman" w:cs="Times New Roman"/>
          <w:sz w:val="28"/>
          <w:szCs w:val="28"/>
        </w:rPr>
        <w:t xml:space="preserve">La Sala Plena considera que para examinar la constitucionalidad del trato tarifario diferenciado debe emplear un juicio de igualdad de intensidad </w:t>
      </w:r>
      <w:bookmarkEnd w:id="13"/>
      <w:r w:rsidRPr="000149EE">
        <w:rPr>
          <w:rFonts w:ascii="Times New Roman" w:hAnsi="Times New Roman" w:cs="Times New Roman"/>
          <w:i/>
          <w:sz w:val="28"/>
          <w:szCs w:val="28"/>
        </w:rPr>
        <w:t>débil</w:t>
      </w:r>
      <w:r w:rsidRPr="000149EE">
        <w:rPr>
          <w:rFonts w:ascii="Times New Roman" w:hAnsi="Times New Roman" w:cs="Times New Roman"/>
          <w:iCs/>
          <w:sz w:val="28"/>
          <w:szCs w:val="28"/>
        </w:rPr>
        <w:t>. Esto es así, porque, se reitera, la Corte Constitucional ha sostenido que, por r</w:t>
      </w:r>
      <w:r w:rsidRPr="000149EE">
        <w:rPr>
          <w:rFonts w:ascii="Times New Roman" w:hAnsi="Times New Roman" w:cs="Times New Roman"/>
          <w:iCs/>
          <w:sz w:val="28"/>
          <w:szCs w:val="28"/>
        </w:rPr>
        <w:t>egla general, las medidas tributarias, como los beneficios tributarios, deben ser sometidas a un juicio de intensidad leve</w:t>
      </w:r>
      <w:r w:rsidRPr="000149EE">
        <w:rPr>
          <w:rStyle w:val="Refdenotaalpie"/>
          <w:rFonts w:ascii="Times New Roman" w:hAnsi="Times New Roman" w:cs="Times New Roman"/>
          <w:iCs/>
          <w:sz w:val="28"/>
          <w:szCs w:val="28"/>
        </w:rPr>
        <w:footnoteReference w:id="167"/>
      </w:r>
      <w:r w:rsidRPr="000149EE">
        <w:rPr>
          <w:rFonts w:ascii="Times New Roman" w:hAnsi="Times New Roman" w:cs="Times New Roman"/>
          <w:iCs/>
          <w:sz w:val="28"/>
          <w:szCs w:val="28"/>
        </w:rPr>
        <w:t>. Lo anterior, en virtud del amplio margen de configuración que la Constitución reconoce al legislador en materia tributaria. Con fun</w:t>
      </w:r>
      <w:r w:rsidRPr="000149EE">
        <w:rPr>
          <w:rFonts w:ascii="Times New Roman" w:hAnsi="Times New Roman" w:cs="Times New Roman"/>
          <w:iCs/>
          <w:sz w:val="28"/>
          <w:szCs w:val="28"/>
        </w:rPr>
        <w:t>damento en estas premisas, la Corte ha aplicado un juicio débil al examinar normas que preveían tratos diferentes en cuanto al acceso a beneficios tributarios, entre otras, en las sentencias C-657 de 2015, C-057 de 2021</w:t>
      </w:r>
      <w:r w:rsidRPr="000149EE">
        <w:rPr>
          <w:rFonts w:ascii="Times New Roman" w:hAnsi="Times New Roman" w:cs="Times New Roman"/>
          <w:iCs/>
          <w:sz w:val="28"/>
          <w:szCs w:val="28"/>
        </w:rPr>
        <w:t>,</w:t>
      </w:r>
      <w:r w:rsidRPr="000149EE">
        <w:rPr>
          <w:rFonts w:ascii="Times New Roman" w:hAnsi="Times New Roman" w:cs="Times New Roman"/>
          <w:iCs/>
          <w:sz w:val="28"/>
          <w:szCs w:val="28"/>
        </w:rPr>
        <w:t xml:space="preserve"> C-161 de 2021 y C-345 de 2022. </w:t>
      </w:r>
    </w:p>
    <w:p w:rsidR="003D5BB5" w:rsidRPr="000149EE" w:rsidRDefault="000149EE" w:rsidP="003D5BB5">
      <w:pPr>
        <w:pStyle w:val="Prrafodelista"/>
        <w:widowControl w:val="0"/>
        <w:spacing w:line="240" w:lineRule="auto"/>
        <w:ind w:left="0"/>
        <w:rPr>
          <w:rFonts w:ascii="Times New Roman" w:eastAsiaTheme="minorHAnsi" w:hAnsi="Times New Roman"/>
          <w:i/>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iCs/>
          <w:sz w:val="28"/>
          <w:szCs w:val="28"/>
        </w:rPr>
        <w:t>Ahora bien, la Sala Plena reconoce que, en algunos casos de este tipo, en los que se examina la constitucionalidad de un beneficio tributario</w:t>
      </w:r>
      <w:r w:rsidRPr="000149EE">
        <w:rPr>
          <w:rFonts w:ascii="Times New Roman" w:hAnsi="Times New Roman" w:cs="Times New Roman"/>
          <w:iCs/>
          <w:sz w:val="28"/>
          <w:szCs w:val="28"/>
        </w:rPr>
        <w:t xml:space="preserve"> diferenciado</w:t>
      </w:r>
      <w:r w:rsidRPr="000149EE">
        <w:rPr>
          <w:rFonts w:ascii="Times New Roman" w:hAnsi="Times New Roman" w:cs="Times New Roman"/>
          <w:iCs/>
          <w:sz w:val="28"/>
          <w:szCs w:val="28"/>
        </w:rPr>
        <w:t>, la jurisprudencia constitucional ha</w:t>
      </w:r>
      <w:r w:rsidRPr="000149EE">
        <w:rPr>
          <w:rFonts w:ascii="Times New Roman" w:hAnsi="Times New Roman" w:cs="Times New Roman"/>
          <w:iCs/>
          <w:sz w:val="28"/>
          <w:szCs w:val="28"/>
        </w:rPr>
        <w:t xml:space="preserve"> indicado</w:t>
      </w:r>
      <w:r w:rsidRPr="000149EE">
        <w:rPr>
          <w:rFonts w:ascii="Times New Roman" w:hAnsi="Times New Roman" w:cs="Times New Roman"/>
          <w:iCs/>
          <w:sz w:val="28"/>
          <w:szCs w:val="28"/>
        </w:rPr>
        <w:t xml:space="preserve"> que la intensidad del juicio puede ser más rigurosa. En</w:t>
      </w:r>
      <w:r w:rsidRPr="000149EE">
        <w:rPr>
          <w:rFonts w:ascii="Times New Roman" w:hAnsi="Times New Roman" w:cs="Times New Roman"/>
          <w:iCs/>
          <w:sz w:val="28"/>
          <w:szCs w:val="28"/>
        </w:rPr>
        <w:t xml:space="preserve"> particular, este tribunal ha </w:t>
      </w:r>
      <w:r w:rsidRPr="000149EE">
        <w:rPr>
          <w:rFonts w:ascii="Times New Roman" w:hAnsi="Times New Roman" w:cs="Times New Roman"/>
          <w:iCs/>
          <w:sz w:val="28"/>
          <w:szCs w:val="28"/>
        </w:rPr>
        <w:t>sostenido</w:t>
      </w:r>
      <w:r w:rsidRPr="000149EE">
        <w:rPr>
          <w:rFonts w:ascii="Times New Roman" w:hAnsi="Times New Roman" w:cs="Times New Roman"/>
          <w:iCs/>
          <w:sz w:val="28"/>
          <w:szCs w:val="28"/>
        </w:rPr>
        <w:t xml:space="preserve"> que deberá aplicarse </w:t>
      </w:r>
      <w:r w:rsidRPr="000149EE">
        <w:rPr>
          <w:rFonts w:ascii="Times New Roman" w:hAnsi="Times New Roman" w:cs="Times New Roman"/>
          <w:i/>
          <w:sz w:val="28"/>
          <w:szCs w:val="28"/>
        </w:rPr>
        <w:t>(i)</w:t>
      </w:r>
      <w:r w:rsidRPr="000149EE">
        <w:rPr>
          <w:rFonts w:ascii="Times New Roman" w:hAnsi="Times New Roman" w:cs="Times New Roman"/>
          <w:iCs/>
          <w:sz w:val="28"/>
          <w:szCs w:val="28"/>
        </w:rPr>
        <w:t xml:space="preserve"> un juicio intermedio, cuando existe “un indicio de arbitrariedad que se refleja en la afectación grave de la libre competencia” y </w:t>
      </w:r>
      <w:r w:rsidRPr="000149EE">
        <w:rPr>
          <w:rFonts w:ascii="Times New Roman" w:hAnsi="Times New Roman" w:cs="Times New Roman"/>
          <w:i/>
          <w:sz w:val="28"/>
          <w:szCs w:val="28"/>
        </w:rPr>
        <w:t>(ii)</w:t>
      </w:r>
      <w:r w:rsidRPr="000149EE">
        <w:rPr>
          <w:rFonts w:ascii="Times New Roman" w:hAnsi="Times New Roman" w:cs="Times New Roman"/>
          <w:iCs/>
          <w:sz w:val="28"/>
          <w:szCs w:val="28"/>
        </w:rPr>
        <w:t xml:space="preserve"> un juicio estricto, en aquellos eventos en los que la me</w:t>
      </w:r>
      <w:r w:rsidRPr="000149EE">
        <w:rPr>
          <w:rFonts w:ascii="Times New Roman" w:hAnsi="Times New Roman" w:cs="Times New Roman"/>
          <w:iCs/>
          <w:sz w:val="28"/>
          <w:szCs w:val="28"/>
        </w:rPr>
        <w:t>dida tributaria diferenciada constituye un “privilegio” o está fundada en un criterio sospechoso de discriminación. La Corte considera, sin embargo, que esto no ocurre en este caso. De un lado, a diferencia de lo que sostiene el ICDT</w:t>
      </w:r>
      <w:r w:rsidRPr="000149EE">
        <w:rPr>
          <w:rStyle w:val="Refdenotaalpie"/>
          <w:rFonts w:ascii="Times New Roman" w:hAnsi="Times New Roman" w:cs="Times New Roman"/>
          <w:iCs/>
          <w:sz w:val="28"/>
          <w:szCs w:val="28"/>
        </w:rPr>
        <w:footnoteReference w:id="168"/>
      </w:r>
      <w:r w:rsidRPr="000149EE">
        <w:rPr>
          <w:rFonts w:ascii="Times New Roman" w:hAnsi="Times New Roman" w:cs="Times New Roman"/>
          <w:iCs/>
          <w:sz w:val="28"/>
          <w:szCs w:val="28"/>
        </w:rPr>
        <w:t>, no existen elementos</w:t>
      </w:r>
      <w:r w:rsidRPr="000149EE">
        <w:rPr>
          <w:rFonts w:ascii="Times New Roman" w:hAnsi="Times New Roman" w:cs="Times New Roman"/>
          <w:iCs/>
          <w:sz w:val="28"/>
          <w:szCs w:val="28"/>
        </w:rPr>
        <w:t xml:space="preserve"> que permitan concluir que la diferencia de trato es arbitraria y afecta </w:t>
      </w:r>
      <w:r w:rsidRPr="000149EE">
        <w:rPr>
          <w:rFonts w:ascii="Times New Roman" w:hAnsi="Times New Roman" w:cs="Times New Roman"/>
          <w:iCs/>
          <w:sz w:val="28"/>
          <w:szCs w:val="28"/>
        </w:rPr>
        <w:t xml:space="preserve">de forma grave </w:t>
      </w:r>
      <w:r w:rsidRPr="000149EE">
        <w:rPr>
          <w:rFonts w:ascii="Times New Roman" w:hAnsi="Times New Roman" w:cs="Times New Roman"/>
          <w:iCs/>
          <w:sz w:val="28"/>
          <w:szCs w:val="28"/>
        </w:rPr>
        <w:t>la libre competencia. Esto es así, porque lo</w:t>
      </w:r>
      <w:r w:rsidRPr="000149EE">
        <w:rPr>
          <w:rFonts w:ascii="Times New Roman" w:hAnsi="Times New Roman" w:cs="Times New Roman"/>
          <w:iCs/>
          <w:sz w:val="28"/>
          <w:szCs w:val="28"/>
        </w:rPr>
        <w:t>s</w:t>
      </w:r>
      <w:r w:rsidRPr="000149EE">
        <w:rPr>
          <w:rFonts w:ascii="Times New Roman" w:hAnsi="Times New Roman" w:cs="Times New Roman"/>
          <w:iCs/>
          <w:sz w:val="28"/>
          <w:szCs w:val="28"/>
        </w:rPr>
        <w:t xml:space="preserve"> usuarios exportadores y no exportadores participan en mercados de bienes y servicios distintos</w:t>
      </w:r>
      <w:r w:rsidRPr="000149EE">
        <w:rPr>
          <w:rFonts w:ascii="Times New Roman" w:hAnsi="Times New Roman" w:cs="Times New Roman"/>
          <w:iCs/>
          <w:sz w:val="28"/>
          <w:szCs w:val="28"/>
        </w:rPr>
        <w:t>, con competidores diferente</w:t>
      </w:r>
      <w:r w:rsidRPr="000149EE">
        <w:rPr>
          <w:rFonts w:ascii="Times New Roman" w:hAnsi="Times New Roman" w:cs="Times New Roman"/>
          <w:iCs/>
          <w:sz w:val="28"/>
          <w:szCs w:val="28"/>
        </w:rPr>
        <w:t>s</w:t>
      </w:r>
      <w:r w:rsidRPr="000149EE">
        <w:rPr>
          <w:rFonts w:ascii="Times New Roman" w:hAnsi="Times New Roman" w:cs="Times New Roman"/>
          <w:iCs/>
          <w:sz w:val="28"/>
          <w:szCs w:val="28"/>
        </w:rPr>
        <w:t>. Los primeros, participan</w:t>
      </w:r>
      <w:r w:rsidRPr="000149EE">
        <w:rPr>
          <w:rFonts w:ascii="Times New Roman" w:hAnsi="Times New Roman" w:cs="Times New Roman"/>
          <w:iCs/>
          <w:sz w:val="28"/>
          <w:szCs w:val="28"/>
        </w:rPr>
        <w:t xml:space="preserve"> en</w:t>
      </w:r>
      <w:r w:rsidRPr="000149EE">
        <w:rPr>
          <w:rFonts w:ascii="Times New Roman" w:hAnsi="Times New Roman" w:cs="Times New Roman"/>
          <w:iCs/>
          <w:sz w:val="28"/>
          <w:szCs w:val="28"/>
        </w:rPr>
        <w:t>, principalmente, mercados por fuera del territorio nacional. Los segundos, en contraste, participan</w:t>
      </w:r>
      <w:r w:rsidRPr="000149EE">
        <w:rPr>
          <w:rFonts w:ascii="Times New Roman" w:hAnsi="Times New Roman" w:cs="Times New Roman"/>
          <w:iCs/>
          <w:sz w:val="28"/>
          <w:szCs w:val="28"/>
        </w:rPr>
        <w:t>, de forma prevalente,</w:t>
      </w:r>
      <w:r w:rsidRPr="000149EE">
        <w:rPr>
          <w:rFonts w:ascii="Times New Roman" w:hAnsi="Times New Roman" w:cs="Times New Roman"/>
          <w:iCs/>
          <w:sz w:val="28"/>
          <w:szCs w:val="28"/>
        </w:rPr>
        <w:t xml:space="preserve"> </w:t>
      </w:r>
      <w:r w:rsidRPr="000149EE">
        <w:rPr>
          <w:rFonts w:ascii="Times New Roman" w:hAnsi="Times New Roman" w:cs="Times New Roman"/>
          <w:iCs/>
          <w:sz w:val="28"/>
          <w:szCs w:val="28"/>
        </w:rPr>
        <w:t>en el mercado nacional</w:t>
      </w:r>
      <w:r w:rsidRPr="000149EE">
        <w:rPr>
          <w:rStyle w:val="Refdenotaalpie"/>
          <w:rFonts w:ascii="Times New Roman" w:hAnsi="Times New Roman" w:cs="Times New Roman"/>
          <w:iCs/>
          <w:sz w:val="28"/>
          <w:szCs w:val="28"/>
        </w:rPr>
        <w:footnoteReference w:id="169"/>
      </w:r>
      <w:r w:rsidRPr="000149EE">
        <w:rPr>
          <w:rFonts w:ascii="Times New Roman" w:hAnsi="Times New Roman" w:cs="Times New Roman"/>
          <w:iCs/>
          <w:sz w:val="28"/>
          <w:szCs w:val="28"/>
        </w:rPr>
        <w:t xml:space="preserve">. </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rPr>
        <w:t>Por otra parte, la Corte considera que la tarifa preferencial del impuesto a</w:t>
      </w:r>
      <w:r w:rsidRPr="000149EE">
        <w:rPr>
          <w:rFonts w:ascii="Times New Roman" w:hAnsi="Times New Roman" w:cs="Times New Roman"/>
          <w:color w:val="000000" w:themeColor="text1"/>
          <w:sz w:val="28"/>
          <w:szCs w:val="28"/>
        </w:rPr>
        <w:t xml:space="preserve"> la renta constituye un beneficio tributario, no un privilegio. La Sala Plena reconoce que existe una delgada línea entre los beneficios tributarios y los privilegios fiscales. Sin embargo, la Corte Constitucional ha identificado algunos criterios para dis</w:t>
      </w:r>
      <w:r w:rsidRPr="000149EE">
        <w:rPr>
          <w:rFonts w:ascii="Times New Roman" w:hAnsi="Times New Roman" w:cs="Times New Roman"/>
          <w:color w:val="000000" w:themeColor="text1"/>
          <w:sz w:val="28"/>
          <w:szCs w:val="28"/>
        </w:rPr>
        <w:t>tinguir estos conceptos. De acuerdo con la jurisprudencia constitucional, los privilegios son tratos favorables que benefician a unos sectores o grupos de sujetos de forma manifiestamente arbitraria, “sin causa aparente”</w:t>
      </w:r>
      <w:r w:rsidRPr="000149EE">
        <w:rPr>
          <w:rFonts w:ascii="Times New Roman" w:hAnsi="Times New Roman" w:cs="Times New Roman"/>
          <w:b/>
          <w:bCs/>
          <w:color w:val="000000" w:themeColor="text1"/>
          <w:sz w:val="28"/>
          <w:szCs w:val="28"/>
        </w:rPr>
        <w:t xml:space="preserve"> </w:t>
      </w:r>
      <w:r w:rsidRPr="000149EE">
        <w:rPr>
          <w:rFonts w:ascii="Times New Roman" w:hAnsi="Times New Roman" w:cs="Times New Roman"/>
          <w:color w:val="000000" w:themeColor="text1"/>
          <w:sz w:val="28"/>
          <w:szCs w:val="28"/>
        </w:rPr>
        <w:t>o en función de criterios subjetivo</w:t>
      </w:r>
      <w:r w:rsidRPr="000149EE">
        <w:rPr>
          <w:rFonts w:ascii="Times New Roman" w:hAnsi="Times New Roman" w:cs="Times New Roman"/>
          <w:color w:val="000000" w:themeColor="text1"/>
          <w:sz w:val="28"/>
          <w:szCs w:val="28"/>
        </w:rPr>
        <w:t>s -no objetivos-</w:t>
      </w:r>
      <w:r w:rsidRPr="000149EE">
        <w:rPr>
          <w:rStyle w:val="Refdenotaalpie"/>
          <w:rFonts w:ascii="Times New Roman" w:hAnsi="Times New Roman" w:cs="Times New Roman"/>
          <w:color w:val="000000" w:themeColor="text1"/>
          <w:sz w:val="28"/>
          <w:szCs w:val="28"/>
        </w:rPr>
        <w:footnoteReference w:id="170"/>
      </w:r>
      <w:r w:rsidRPr="000149EE">
        <w:rPr>
          <w:rFonts w:ascii="Times New Roman" w:hAnsi="Times New Roman" w:cs="Times New Roman"/>
          <w:color w:val="000000" w:themeColor="text1"/>
          <w:sz w:val="28"/>
          <w:szCs w:val="28"/>
        </w:rPr>
        <w:t>. En contraste, los beneficios tributarios son aquellos tratos preferenciales que</w:t>
      </w:r>
      <w:r w:rsidRPr="000149EE">
        <w:rPr>
          <w:rFonts w:ascii="Times New Roman" w:hAnsi="Times New Roman" w:cs="Times New Roman"/>
          <w:color w:val="000000" w:themeColor="text1"/>
          <w:sz w:val="28"/>
          <w:szCs w:val="28"/>
        </w:rPr>
        <w:t xml:space="preserve"> se fundan </w:t>
      </w:r>
      <w:r w:rsidRPr="000149EE">
        <w:rPr>
          <w:rFonts w:ascii="Times New Roman" w:hAnsi="Times New Roman" w:cs="Times New Roman"/>
          <w:color w:val="000000" w:themeColor="text1"/>
          <w:sz w:val="28"/>
          <w:szCs w:val="28"/>
        </w:rPr>
        <w:t xml:space="preserve">en criterios objetivos y finalidades extrafiscales legítimas. La Corte considera que en este caso la norma prevé un </w:t>
      </w:r>
      <w:r w:rsidRPr="000149EE">
        <w:rPr>
          <w:rFonts w:ascii="Times New Roman" w:hAnsi="Times New Roman" w:cs="Times New Roman"/>
          <w:color w:val="000000" w:themeColor="text1"/>
          <w:sz w:val="28"/>
          <w:szCs w:val="28"/>
        </w:rPr>
        <w:t>beneficio</w:t>
      </w:r>
      <w:r w:rsidRPr="000149EE">
        <w:rPr>
          <w:rFonts w:ascii="Times New Roman" w:hAnsi="Times New Roman" w:cs="Times New Roman"/>
          <w:color w:val="000000" w:themeColor="text1"/>
          <w:sz w:val="28"/>
          <w:szCs w:val="28"/>
        </w:rPr>
        <w:t xml:space="preserve"> tributario, no un pri</w:t>
      </w:r>
      <w:r w:rsidRPr="000149EE">
        <w:rPr>
          <w:rFonts w:ascii="Times New Roman" w:hAnsi="Times New Roman" w:cs="Times New Roman"/>
          <w:color w:val="000000" w:themeColor="text1"/>
          <w:sz w:val="28"/>
          <w:szCs w:val="28"/>
        </w:rPr>
        <w:t xml:space="preserve">vilegio. Como se </w:t>
      </w:r>
      <w:r w:rsidRPr="000149EE">
        <w:rPr>
          <w:rFonts w:ascii="Times New Roman" w:hAnsi="Times New Roman" w:cs="Times New Roman"/>
          <w:color w:val="000000" w:themeColor="text1"/>
          <w:sz w:val="28"/>
          <w:szCs w:val="28"/>
        </w:rPr>
        <w:t>señaló</w:t>
      </w:r>
      <w:r w:rsidRPr="000149EE">
        <w:rPr>
          <w:rFonts w:ascii="Times New Roman" w:hAnsi="Times New Roman" w:cs="Times New Roman"/>
          <w:color w:val="000000" w:themeColor="text1"/>
          <w:sz w:val="28"/>
          <w:szCs w:val="28"/>
        </w:rPr>
        <w:t>, de acuerdo con la exposición de motivos del proyecto de ley que dio lugar a la Ley 2277 de 2022</w:t>
      </w:r>
      <w:r w:rsidRPr="000149EE">
        <w:rPr>
          <w:rFonts w:ascii="Times New Roman" w:hAnsi="Times New Roman" w:cs="Times New Roman"/>
          <w:color w:val="000000" w:themeColor="text1"/>
          <w:sz w:val="28"/>
          <w:szCs w:val="28"/>
        </w:rPr>
        <w:t xml:space="preserve"> y los debates en el trámite legislativo de aprobación</w:t>
      </w:r>
      <w:r w:rsidRPr="000149EE">
        <w:rPr>
          <w:rFonts w:ascii="Times New Roman" w:hAnsi="Times New Roman" w:cs="Times New Roman"/>
          <w:color w:val="000000" w:themeColor="text1"/>
          <w:sz w:val="28"/>
          <w:szCs w:val="28"/>
        </w:rPr>
        <w:t>, la modificación de la tarifa preferencial del impuesto a la renta de los usuario</w:t>
      </w:r>
      <w:r w:rsidRPr="000149EE">
        <w:rPr>
          <w:rFonts w:ascii="Times New Roman" w:hAnsi="Times New Roman" w:cs="Times New Roman"/>
          <w:color w:val="000000" w:themeColor="text1"/>
          <w:sz w:val="28"/>
          <w:szCs w:val="28"/>
        </w:rPr>
        <w:t xml:space="preserve">s industriales de zona franca no </w:t>
      </w:r>
      <w:r w:rsidRPr="000149EE">
        <w:rPr>
          <w:rFonts w:ascii="Times New Roman" w:hAnsi="Times New Roman" w:cs="Times New Roman"/>
          <w:color w:val="000000" w:themeColor="text1"/>
          <w:sz w:val="28"/>
          <w:szCs w:val="28"/>
        </w:rPr>
        <w:t>carecía de causa aparente</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bCs/>
          <w:sz w:val="28"/>
          <w:szCs w:val="28"/>
          <w:bdr w:val="none" w:sz="0" w:space="0" w:color="auto" w:frame="1"/>
          <w:shd w:val="clear" w:color="auto" w:fill="FFFFFF"/>
        </w:rPr>
        <w:t xml:space="preserve">Por el contrario, </w:t>
      </w:r>
      <w:r w:rsidRPr="000149EE">
        <w:rPr>
          <w:rFonts w:ascii="Times New Roman" w:hAnsi="Times New Roman" w:cs="Times New Roman"/>
          <w:bCs/>
          <w:sz w:val="28"/>
          <w:szCs w:val="28"/>
          <w:bdr w:val="none" w:sz="0" w:space="0" w:color="auto" w:frame="1"/>
          <w:shd w:val="clear" w:color="auto" w:fill="FFFFFF"/>
        </w:rPr>
        <w:t xml:space="preserve">como a continuación se expone, </w:t>
      </w:r>
      <w:r w:rsidRPr="000149EE">
        <w:rPr>
          <w:rFonts w:ascii="Times New Roman" w:hAnsi="Times New Roman" w:cs="Times New Roman"/>
          <w:bCs/>
          <w:sz w:val="28"/>
          <w:szCs w:val="28"/>
          <w:bdr w:val="none" w:sz="0" w:space="0" w:color="auto" w:frame="1"/>
          <w:shd w:val="clear" w:color="auto" w:fill="FFFFFF"/>
        </w:rPr>
        <w:t>se fund</w:t>
      </w:r>
      <w:r w:rsidRPr="000149EE">
        <w:rPr>
          <w:rFonts w:ascii="Times New Roman" w:hAnsi="Times New Roman" w:cs="Times New Roman"/>
          <w:bCs/>
          <w:sz w:val="28"/>
          <w:szCs w:val="28"/>
          <w:bdr w:val="none" w:sz="0" w:space="0" w:color="auto" w:frame="1"/>
          <w:shd w:val="clear" w:color="auto" w:fill="FFFFFF"/>
        </w:rPr>
        <w:t>ó</w:t>
      </w:r>
      <w:r w:rsidRPr="000149EE">
        <w:rPr>
          <w:rFonts w:ascii="Times New Roman" w:hAnsi="Times New Roman" w:cs="Times New Roman"/>
          <w:bCs/>
          <w:sz w:val="28"/>
          <w:szCs w:val="28"/>
          <w:bdr w:val="none" w:sz="0" w:space="0" w:color="auto" w:frame="1"/>
          <w:shd w:val="clear" w:color="auto" w:fill="FFFFFF"/>
        </w:rPr>
        <w:t xml:space="preserve"> en </w:t>
      </w:r>
      <w:r w:rsidRPr="000149EE">
        <w:rPr>
          <w:rFonts w:ascii="Times New Roman" w:hAnsi="Times New Roman" w:cs="Times New Roman"/>
          <w:bCs/>
          <w:sz w:val="28"/>
          <w:szCs w:val="28"/>
          <w:bdr w:val="none" w:sz="0" w:space="0" w:color="auto" w:frame="1"/>
          <w:shd w:val="clear" w:color="auto" w:fill="FFFFFF"/>
        </w:rPr>
        <w:t>finalidades extrafiscales objetivas</w:t>
      </w:r>
      <w:r w:rsidRPr="000149EE">
        <w:rPr>
          <w:rFonts w:ascii="Times New Roman" w:hAnsi="Times New Roman" w:cs="Times New Roman"/>
          <w:bCs/>
          <w:sz w:val="28"/>
          <w:szCs w:val="28"/>
          <w:bdr w:val="none" w:sz="0" w:space="0" w:color="auto" w:frame="1"/>
          <w:shd w:val="clear" w:color="auto" w:fill="FFFFFF"/>
        </w:rPr>
        <w:t xml:space="preserve"> -no subjetivas de favorecimiento-</w:t>
      </w:r>
      <w:r w:rsidRPr="000149EE">
        <w:rPr>
          <w:rFonts w:ascii="Times New Roman" w:hAnsi="Times New Roman" w:cs="Times New Roman"/>
          <w:bCs/>
          <w:sz w:val="28"/>
          <w:szCs w:val="28"/>
          <w:bdr w:val="none" w:sz="0" w:space="0" w:color="auto" w:frame="1"/>
          <w:shd w:val="clear" w:color="auto" w:fill="FFFFFF"/>
        </w:rPr>
        <w:t xml:space="preserve">: el fomento de la exportación y la corrección de asimetrías tributarias. </w:t>
      </w:r>
    </w:p>
    <w:p w:rsidR="003D5BB5" w:rsidRPr="000149EE" w:rsidRDefault="000149EE" w:rsidP="003D5BB5">
      <w:pPr>
        <w:pStyle w:val="Prrafodelista"/>
        <w:widowControl w:val="0"/>
        <w:spacing w:line="240" w:lineRule="auto"/>
        <w:ind w:left="0"/>
        <w:rPr>
          <w:rFonts w:ascii="Times New Roman" w:eastAsiaTheme="minorHAnsi" w:hAnsi="Times New Roman"/>
          <w:i/>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color w:val="000000" w:themeColor="text1"/>
          <w:sz w:val="28"/>
          <w:szCs w:val="28"/>
        </w:rPr>
        <w:t>En tales términos, la Sala concluye que</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para examinar la constitucionalidad de las disposiciones acusadas, debe emplear un juicio de intensidad leve. </w:t>
      </w:r>
    </w:p>
    <w:p w:rsidR="003D5BB5" w:rsidRPr="000149EE" w:rsidRDefault="000149EE" w:rsidP="003D5BB5">
      <w:pPr>
        <w:pStyle w:val="Prrafodelista"/>
        <w:widowControl w:val="0"/>
        <w:spacing w:line="240" w:lineRule="auto"/>
        <w:ind w:left="0"/>
        <w:rPr>
          <w:rFonts w:ascii="Times New Roman" w:eastAsiaTheme="minorHAnsi" w:hAnsi="Times New Roman"/>
          <w:i/>
          <w:iCs/>
          <w:color w:val="000000" w:themeColor="text1"/>
          <w:sz w:val="28"/>
        </w:rPr>
      </w:pPr>
    </w:p>
    <w:p w:rsidR="003D5BB5" w:rsidRPr="000149EE" w:rsidRDefault="000149EE" w:rsidP="003D5BB5">
      <w:pPr>
        <w:pStyle w:val="Prrafodelista"/>
        <w:widowControl w:val="0"/>
        <w:numPr>
          <w:ilvl w:val="0"/>
          <w:numId w:val="19"/>
        </w:numPr>
        <w:spacing w:line="240" w:lineRule="auto"/>
        <w:rPr>
          <w:rFonts w:ascii="Times New Roman" w:hAnsi="Times New Roman"/>
          <w:b/>
          <w:bCs/>
          <w:i/>
          <w:iCs/>
          <w:color w:val="000000" w:themeColor="text1"/>
          <w:sz w:val="28"/>
        </w:rPr>
      </w:pPr>
      <w:r w:rsidRPr="000149EE">
        <w:rPr>
          <w:rFonts w:ascii="Times New Roman" w:hAnsi="Times New Roman"/>
          <w:b/>
          <w:bCs/>
          <w:color w:val="000000" w:themeColor="text1"/>
          <w:sz w:val="28"/>
        </w:rPr>
        <w:t>La tarifa diferencial del i</w:t>
      </w:r>
      <w:r w:rsidRPr="000149EE">
        <w:rPr>
          <w:rFonts w:ascii="Times New Roman" w:hAnsi="Times New Roman"/>
          <w:b/>
          <w:bCs/>
          <w:color w:val="000000" w:themeColor="text1"/>
          <w:sz w:val="28"/>
        </w:rPr>
        <w:t xml:space="preserve">mpuesto a la renta para los usuarios industriales </w:t>
      </w:r>
      <w:r w:rsidRPr="000149EE">
        <w:rPr>
          <w:rFonts w:ascii="Times New Roman" w:hAnsi="Times New Roman"/>
          <w:b/>
          <w:bCs/>
          <w:color w:val="000000" w:themeColor="text1"/>
          <w:sz w:val="28"/>
        </w:rPr>
        <w:t xml:space="preserve">de zona franca </w:t>
      </w:r>
      <w:r w:rsidRPr="000149EE">
        <w:rPr>
          <w:rFonts w:ascii="Times New Roman" w:hAnsi="Times New Roman"/>
          <w:b/>
          <w:bCs/>
          <w:color w:val="000000" w:themeColor="text1"/>
          <w:sz w:val="28"/>
        </w:rPr>
        <w:t xml:space="preserve">satisface las exigencias del juicio leve de igualdad </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El juicio integrado de igualdad de intensidad leve exige constatar que la medida, en este caso, el trato </w:t>
      </w:r>
      <w:r w:rsidRPr="000149EE">
        <w:rPr>
          <w:rFonts w:ascii="Times New Roman" w:hAnsi="Times New Roman" w:cs="Times New Roman"/>
          <w:color w:val="000000" w:themeColor="text1"/>
          <w:sz w:val="28"/>
          <w:szCs w:val="28"/>
        </w:rPr>
        <w:t>tributario</w:t>
      </w:r>
      <w:r w:rsidRPr="000149EE">
        <w:rPr>
          <w:rFonts w:ascii="Times New Roman" w:hAnsi="Times New Roman" w:cs="Times New Roman"/>
          <w:color w:val="000000" w:themeColor="text1"/>
          <w:sz w:val="28"/>
          <w:szCs w:val="28"/>
        </w:rPr>
        <w:t xml:space="preserve"> diferencial</w:t>
      </w:r>
      <w:r w:rsidRPr="000149EE">
        <w:rPr>
          <w:rFonts w:ascii="Times New Roman" w:hAnsi="Times New Roman" w:cs="Times New Roman"/>
          <w:color w:val="000000" w:themeColor="text1"/>
          <w:sz w:val="28"/>
          <w:szCs w:val="28"/>
        </w:rPr>
        <w:t xml:space="preserve"> en cuant</w:t>
      </w:r>
      <w:r w:rsidRPr="000149EE">
        <w:rPr>
          <w:rFonts w:ascii="Times New Roman" w:hAnsi="Times New Roman" w:cs="Times New Roman"/>
          <w:color w:val="000000" w:themeColor="text1"/>
          <w:sz w:val="28"/>
          <w:szCs w:val="28"/>
        </w:rPr>
        <w:t>o al acceso a la tarifa preferencia del impuesto a la renta para usuarios de zona franca</w:t>
      </w:r>
      <w:r w:rsidRPr="000149EE">
        <w:rPr>
          <w:rFonts w:ascii="Times New Roman" w:hAnsi="Times New Roman" w:cs="Times New Roman"/>
          <w:color w:val="000000" w:themeColor="text1"/>
          <w:sz w:val="28"/>
          <w:szCs w:val="28"/>
        </w:rPr>
        <w:t>, satisface</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dos exigencias: </w:t>
      </w:r>
      <w:r w:rsidRPr="000149EE">
        <w:rPr>
          <w:rFonts w:ascii="Times New Roman" w:hAnsi="Times New Roman" w:cs="Times New Roman"/>
          <w:i/>
          <w:color w:val="000000" w:themeColor="text1"/>
          <w:sz w:val="28"/>
          <w:szCs w:val="28"/>
        </w:rPr>
        <w:t>(a)</w:t>
      </w:r>
      <w:r w:rsidRPr="000149EE">
        <w:rPr>
          <w:rFonts w:ascii="Times New Roman" w:hAnsi="Times New Roman" w:cs="Times New Roman"/>
          <w:color w:val="000000" w:themeColor="text1"/>
          <w:sz w:val="28"/>
          <w:szCs w:val="28"/>
        </w:rPr>
        <w:t xml:space="preserve"> persigue finalidad</w:t>
      </w:r>
      <w:r w:rsidRPr="000149EE">
        <w:rPr>
          <w:rFonts w:ascii="Times New Roman" w:hAnsi="Times New Roman" w:cs="Times New Roman"/>
          <w:color w:val="000000" w:themeColor="text1"/>
          <w:sz w:val="28"/>
          <w:szCs w:val="28"/>
        </w:rPr>
        <w:t>es</w:t>
      </w:r>
      <w:r w:rsidRPr="000149EE">
        <w:rPr>
          <w:rFonts w:ascii="Times New Roman" w:hAnsi="Times New Roman" w:cs="Times New Roman"/>
          <w:color w:val="000000" w:themeColor="text1"/>
          <w:sz w:val="28"/>
          <w:szCs w:val="28"/>
        </w:rPr>
        <w:t xml:space="preserve"> legítima</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no prohibida</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por la Constitución</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 xml:space="preserve">y </w:t>
      </w:r>
      <w:r w:rsidRPr="000149EE">
        <w:rPr>
          <w:rFonts w:ascii="Times New Roman" w:hAnsi="Times New Roman" w:cs="Times New Roman"/>
          <w:i/>
          <w:color w:val="000000" w:themeColor="text1"/>
          <w:sz w:val="28"/>
          <w:szCs w:val="28"/>
        </w:rPr>
        <w:t>(b)</w:t>
      </w:r>
      <w:r w:rsidRPr="000149EE">
        <w:rPr>
          <w:rFonts w:ascii="Times New Roman" w:hAnsi="Times New Roman" w:cs="Times New Roman"/>
          <w:color w:val="000000" w:themeColor="text1"/>
          <w:sz w:val="28"/>
          <w:szCs w:val="28"/>
        </w:rPr>
        <w:t xml:space="preserve"> es adecuada o idónea para alcanzar esa finalidad. Como a continuación se expone, la Corte considera que la medida tributaria demandada satisface estas exigencias. </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3D5BB5">
      <w:pPr>
        <w:pStyle w:val="Prrafodelista"/>
        <w:widowControl w:val="0"/>
        <w:numPr>
          <w:ilvl w:val="0"/>
          <w:numId w:val="20"/>
        </w:numPr>
        <w:tabs>
          <w:tab w:val="left" w:pos="709"/>
        </w:tabs>
        <w:ind w:left="709" w:hanging="567"/>
        <w:rPr>
          <w:rFonts w:ascii="Times New Roman" w:hAnsi="Times New Roman"/>
          <w:b/>
          <w:bCs/>
          <w:color w:val="000000" w:themeColor="text1"/>
          <w:sz w:val="28"/>
        </w:rPr>
      </w:pPr>
      <w:r w:rsidRPr="000149EE">
        <w:rPr>
          <w:rFonts w:ascii="Times New Roman" w:hAnsi="Times New Roman"/>
          <w:b/>
          <w:bCs/>
          <w:color w:val="000000" w:themeColor="text1"/>
          <w:sz w:val="28"/>
        </w:rPr>
        <w:t>La tarifa diferencial persigue finalidades legítimas</w:t>
      </w:r>
      <w:r w:rsidRPr="000149EE">
        <w:rPr>
          <w:rFonts w:ascii="Times New Roman" w:hAnsi="Times New Roman"/>
          <w:b/>
          <w:bCs/>
          <w:color w:val="000000" w:themeColor="text1"/>
          <w:sz w:val="28"/>
        </w:rPr>
        <w:t xml:space="preserve"> no prohibidas </w:t>
      </w:r>
      <w:r w:rsidRPr="000149EE">
        <w:rPr>
          <w:rFonts w:ascii="Times New Roman" w:hAnsi="Times New Roman"/>
          <w:b/>
          <w:bCs/>
          <w:color w:val="000000" w:themeColor="text1"/>
          <w:sz w:val="28"/>
        </w:rPr>
        <w:t xml:space="preserve">por la Constitución </w:t>
      </w:r>
    </w:p>
    <w:p w:rsidR="003D5BB5" w:rsidRPr="000149EE" w:rsidRDefault="000149EE" w:rsidP="003D5BB5">
      <w:pPr>
        <w:rPr>
          <w:rFonts w:ascii="Times New Roman" w:hAnsi="Times New Roman" w:cs="Times New Roman"/>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L</w:t>
      </w:r>
      <w:r w:rsidRPr="000149EE">
        <w:rPr>
          <w:rFonts w:ascii="Times New Roman" w:hAnsi="Times New Roman" w:cs="Times New Roman"/>
          <w:color w:val="000000" w:themeColor="text1"/>
          <w:sz w:val="28"/>
          <w:szCs w:val="28"/>
        </w:rPr>
        <w:t>a tarifa diferencial del impuesto sobre la renta para los usuarios industriales de zona franca persigue finalidades legítimas</w:t>
      </w:r>
      <w:r w:rsidRPr="000149EE">
        <w:rPr>
          <w:rFonts w:ascii="Times New Roman" w:hAnsi="Times New Roman" w:cs="Times New Roman"/>
          <w:sz w:val="28"/>
          <w:szCs w:val="28"/>
        </w:rPr>
        <w:t xml:space="preserve"> </w:t>
      </w:r>
      <w:r w:rsidRPr="000149EE">
        <w:rPr>
          <w:rFonts w:ascii="Times New Roman" w:hAnsi="Times New Roman" w:cs="Times New Roman"/>
          <w:sz w:val="28"/>
          <w:szCs w:val="28"/>
        </w:rPr>
        <w:t>-</w:t>
      </w:r>
      <w:r w:rsidRPr="000149EE">
        <w:rPr>
          <w:rFonts w:ascii="Times New Roman" w:hAnsi="Times New Roman" w:cs="Times New Roman"/>
          <w:color w:val="000000" w:themeColor="text1"/>
          <w:sz w:val="28"/>
          <w:szCs w:val="28"/>
        </w:rPr>
        <w:t>no prohibidas</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por la Constitución</w:t>
      </w:r>
      <w:r w:rsidRPr="000149EE">
        <w:rPr>
          <w:rFonts w:ascii="Times New Roman" w:hAnsi="Times New Roman" w:cs="Times New Roman"/>
          <w:color w:val="000000" w:themeColor="text1"/>
          <w:sz w:val="28"/>
          <w:szCs w:val="28"/>
        </w:rPr>
        <w:t>.</w:t>
      </w:r>
      <w:r w:rsidRPr="000149EE">
        <w:rPr>
          <w:rFonts w:ascii="Times New Roman" w:hAnsi="Times New Roman" w:cs="Times New Roman"/>
          <w:b/>
          <w:bCs/>
          <w:color w:val="000000" w:themeColor="text1"/>
          <w:sz w:val="28"/>
          <w:szCs w:val="28"/>
        </w:rPr>
        <w:t xml:space="preserve"> </w:t>
      </w:r>
      <w:r w:rsidRPr="000149EE">
        <w:rPr>
          <w:rFonts w:ascii="Times New Roman" w:hAnsi="Times New Roman" w:cs="Times New Roman"/>
          <w:iCs/>
          <w:color w:val="000000" w:themeColor="text1"/>
          <w:sz w:val="28"/>
          <w:szCs w:val="28"/>
        </w:rPr>
        <w:t>Los antecedentes legislativos de la Ley 2277 de 2022</w:t>
      </w:r>
      <w:r w:rsidRPr="000149EE">
        <w:rPr>
          <w:rStyle w:val="Refdenotaalpie"/>
          <w:rFonts w:ascii="Times New Roman" w:hAnsi="Times New Roman" w:cs="Times New Roman"/>
          <w:iCs/>
          <w:color w:val="000000" w:themeColor="text1"/>
          <w:sz w:val="28"/>
          <w:szCs w:val="28"/>
        </w:rPr>
        <w:footnoteReference w:id="171"/>
      </w:r>
      <w:r w:rsidRPr="000149EE">
        <w:rPr>
          <w:rFonts w:ascii="Times New Roman" w:hAnsi="Times New Roman" w:cs="Times New Roman"/>
          <w:iCs/>
          <w:color w:val="000000" w:themeColor="text1"/>
          <w:sz w:val="28"/>
          <w:szCs w:val="28"/>
        </w:rPr>
        <w:t>, así como las intervenciones del Ministerio de Hacienda y Crédito Público (MHCP), el Departamento Administrativo de Presidencia de la República (DAPRE) y la DIAN, demuestran que la tarifa diferencial prevista en el artículo 11 de la Ley 2277 de 2022 persi</w:t>
      </w:r>
      <w:r w:rsidRPr="000149EE">
        <w:rPr>
          <w:rFonts w:ascii="Times New Roman" w:hAnsi="Times New Roman" w:cs="Times New Roman"/>
          <w:iCs/>
          <w:color w:val="000000" w:themeColor="text1"/>
          <w:sz w:val="28"/>
          <w:szCs w:val="28"/>
        </w:rPr>
        <w:t xml:space="preserve">gue dos objetivos: </w:t>
      </w:r>
      <w:r w:rsidRPr="000149EE">
        <w:rPr>
          <w:rFonts w:ascii="Times New Roman" w:hAnsi="Times New Roman" w:cs="Times New Roman"/>
          <w:i/>
          <w:color w:val="000000" w:themeColor="text1"/>
          <w:sz w:val="28"/>
          <w:szCs w:val="28"/>
        </w:rPr>
        <w:t>(i)</w:t>
      </w:r>
      <w:r w:rsidRPr="000149EE">
        <w:rPr>
          <w:rFonts w:ascii="Times New Roman" w:hAnsi="Times New Roman" w:cs="Times New Roman"/>
          <w:iCs/>
          <w:color w:val="000000" w:themeColor="text1"/>
          <w:sz w:val="28"/>
          <w:szCs w:val="28"/>
        </w:rPr>
        <w:t xml:space="preserve"> promover la</w:t>
      </w:r>
      <w:r w:rsidRPr="000149EE">
        <w:rPr>
          <w:rFonts w:ascii="Times New Roman" w:hAnsi="Times New Roman" w:cs="Times New Roman"/>
          <w:iCs/>
          <w:color w:val="000000" w:themeColor="text1"/>
          <w:sz w:val="28"/>
          <w:szCs w:val="28"/>
        </w:rPr>
        <w:t>s</w:t>
      </w:r>
      <w:r w:rsidRPr="000149EE">
        <w:rPr>
          <w:rFonts w:ascii="Times New Roman" w:hAnsi="Times New Roman" w:cs="Times New Roman"/>
          <w:iCs/>
          <w:color w:val="000000" w:themeColor="text1"/>
          <w:sz w:val="28"/>
          <w:szCs w:val="28"/>
        </w:rPr>
        <w:t xml:space="preserve"> exportaci</w:t>
      </w:r>
      <w:r w:rsidRPr="000149EE">
        <w:rPr>
          <w:rFonts w:ascii="Times New Roman" w:hAnsi="Times New Roman" w:cs="Times New Roman"/>
          <w:iCs/>
          <w:color w:val="000000" w:themeColor="text1"/>
          <w:sz w:val="28"/>
          <w:szCs w:val="28"/>
        </w:rPr>
        <w:t>ones</w:t>
      </w:r>
      <w:r w:rsidRPr="000149EE">
        <w:rPr>
          <w:rFonts w:ascii="Times New Roman" w:hAnsi="Times New Roman" w:cs="Times New Roman"/>
          <w:iCs/>
          <w:color w:val="000000" w:themeColor="text1"/>
          <w:sz w:val="28"/>
          <w:szCs w:val="28"/>
        </w:rPr>
        <w:t xml:space="preserve"> y </w:t>
      </w:r>
      <w:r w:rsidRPr="000149EE">
        <w:rPr>
          <w:rFonts w:ascii="Times New Roman" w:hAnsi="Times New Roman" w:cs="Times New Roman"/>
          <w:i/>
          <w:color w:val="000000" w:themeColor="text1"/>
          <w:sz w:val="28"/>
          <w:szCs w:val="28"/>
        </w:rPr>
        <w:t>(ii)</w:t>
      </w:r>
      <w:r w:rsidRPr="000149EE">
        <w:rPr>
          <w:rFonts w:ascii="Times New Roman" w:hAnsi="Times New Roman" w:cs="Times New Roman"/>
          <w:iCs/>
          <w:color w:val="000000" w:themeColor="text1"/>
          <w:sz w:val="28"/>
          <w:szCs w:val="28"/>
        </w:rPr>
        <w:t xml:space="preserve"> corregir asimetrías tributarias. En la sentencia C-384 de 2023 la Corte Constitucional </w:t>
      </w:r>
      <w:r w:rsidRPr="000149EE">
        <w:rPr>
          <w:rFonts w:ascii="Times New Roman" w:hAnsi="Times New Roman" w:cs="Times New Roman"/>
          <w:iCs/>
          <w:color w:val="000000" w:themeColor="text1"/>
          <w:sz w:val="28"/>
          <w:szCs w:val="28"/>
        </w:rPr>
        <w:t>estableció</w:t>
      </w:r>
      <w:r w:rsidRPr="000149EE">
        <w:rPr>
          <w:rFonts w:ascii="Times New Roman" w:hAnsi="Times New Roman" w:cs="Times New Roman"/>
          <w:iCs/>
          <w:color w:val="000000" w:themeColor="text1"/>
          <w:sz w:val="28"/>
          <w:szCs w:val="28"/>
        </w:rPr>
        <w:t xml:space="preserve"> que estos propósitos constituyen finalidades legítimas</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w:t>
      </w:r>
      <w:r w:rsidRPr="000149EE">
        <w:rPr>
          <w:rFonts w:ascii="Times New Roman" w:hAnsi="Times New Roman" w:cs="Times New Roman"/>
          <w:iCs/>
          <w:color w:val="000000" w:themeColor="text1"/>
          <w:sz w:val="28"/>
          <w:szCs w:val="28"/>
        </w:rPr>
        <w:t>no prohibidas</w:t>
      </w:r>
      <w:r w:rsidRPr="000149EE">
        <w:rPr>
          <w:rFonts w:ascii="Times New Roman" w:hAnsi="Times New Roman" w:cs="Times New Roman"/>
          <w:iCs/>
          <w:color w:val="000000" w:themeColor="text1"/>
          <w:sz w:val="28"/>
          <w:szCs w:val="28"/>
        </w:rPr>
        <w:t>-</w:t>
      </w:r>
      <w:r w:rsidRPr="000149EE">
        <w:rPr>
          <w:rFonts w:ascii="Times New Roman" w:hAnsi="Times New Roman" w:cs="Times New Roman"/>
          <w:iCs/>
          <w:color w:val="000000" w:themeColor="text1"/>
          <w:sz w:val="28"/>
          <w:szCs w:val="28"/>
        </w:rPr>
        <w:t xml:space="preserve"> por la Constitución:</w:t>
      </w:r>
      <w:r w:rsidRPr="000149EE">
        <w:rPr>
          <w:rFonts w:ascii="Times New Roman" w:hAnsi="Times New Roman" w:cs="Times New Roman"/>
          <w:iCs/>
          <w:color w:val="000000" w:themeColor="text1"/>
          <w:sz w:val="28"/>
          <w:szCs w:val="28"/>
        </w:rPr>
        <w:t xml:space="preserve"> </w:t>
      </w: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Cs/>
          <w:color w:val="000000" w:themeColor="text1"/>
          <w:sz w:val="28"/>
          <w:szCs w:val="28"/>
        </w:rPr>
      </w:pPr>
      <w:r w:rsidRPr="000149EE">
        <w:rPr>
          <w:rFonts w:ascii="Times New Roman" w:hAnsi="Times New Roman" w:cs="Times New Roman"/>
          <w:iCs/>
          <w:color w:val="000000" w:themeColor="text1"/>
          <w:sz w:val="28"/>
          <w:szCs w:val="28"/>
        </w:rPr>
        <w:t xml:space="preserve">(i) </w:t>
      </w:r>
      <w:r w:rsidRPr="000149EE">
        <w:rPr>
          <w:rFonts w:ascii="Times New Roman" w:hAnsi="Times New Roman" w:cs="Times New Roman"/>
          <w:iCs/>
          <w:color w:val="000000" w:themeColor="text1"/>
          <w:sz w:val="28"/>
          <w:szCs w:val="28"/>
          <w:u w:val="single"/>
        </w:rPr>
        <w:t xml:space="preserve">Fomento a la </w:t>
      </w:r>
      <w:r w:rsidRPr="000149EE">
        <w:rPr>
          <w:rFonts w:ascii="Times New Roman" w:hAnsi="Times New Roman" w:cs="Times New Roman"/>
          <w:iCs/>
          <w:color w:val="000000" w:themeColor="text1"/>
          <w:sz w:val="28"/>
          <w:szCs w:val="28"/>
          <w:u w:val="single"/>
        </w:rPr>
        <w:t>exportación</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 xml:space="preserve">La exposición de motivos del proyecto de ley que dio origen a la Ley 2277 de 2022 explicó de forma detallada la finalidad de la medida </w:t>
      </w:r>
      <w:r w:rsidRPr="000149EE">
        <w:rPr>
          <w:rFonts w:ascii="Times New Roman" w:hAnsi="Times New Roman" w:cs="Times New Roman"/>
          <w:i/>
          <w:color w:val="000000" w:themeColor="text1"/>
          <w:sz w:val="28"/>
          <w:szCs w:val="28"/>
        </w:rPr>
        <w:t>sub examine</w:t>
      </w:r>
      <w:r w:rsidRPr="000149EE">
        <w:rPr>
          <w:rFonts w:ascii="Times New Roman" w:hAnsi="Times New Roman" w:cs="Times New Roman"/>
          <w:iCs/>
          <w:color w:val="000000" w:themeColor="text1"/>
          <w:sz w:val="28"/>
          <w:szCs w:val="28"/>
        </w:rPr>
        <w:t>. Al respecto, el MHCP indicó que las modificaciones al “tratamiento preferencial en</w:t>
      </w:r>
      <w:r w:rsidRPr="000149EE">
        <w:rPr>
          <w:rFonts w:ascii="Times New Roman" w:hAnsi="Times New Roman" w:cs="Times New Roman"/>
          <w:iCs/>
          <w:color w:val="000000" w:themeColor="text1"/>
          <w:sz w:val="28"/>
          <w:szCs w:val="28"/>
        </w:rPr>
        <w:t xml:space="preserve"> el impuesto de renta y complementarios al cual pueden acceder los usuarios de Zona Franca (…) tienen como objetivo incentivar las exportaciones del segmento productivo que genera valor agregado en el país”</w:t>
      </w:r>
      <w:r w:rsidRPr="000149EE">
        <w:rPr>
          <w:rStyle w:val="Refdenotaalpie"/>
          <w:rFonts w:ascii="Times New Roman" w:hAnsi="Times New Roman" w:cs="Times New Roman"/>
          <w:iCs/>
          <w:color w:val="000000" w:themeColor="text1"/>
          <w:sz w:val="28"/>
          <w:szCs w:val="28"/>
        </w:rPr>
        <w:footnoteReference w:id="172"/>
      </w:r>
      <w:r w:rsidRPr="000149EE">
        <w:rPr>
          <w:rFonts w:ascii="Times New Roman" w:hAnsi="Times New Roman" w:cs="Times New Roman"/>
          <w:iCs/>
          <w:color w:val="000000" w:themeColor="text1"/>
          <w:sz w:val="28"/>
          <w:szCs w:val="28"/>
        </w:rPr>
        <w:t>. La</w:t>
      </w:r>
      <w:r w:rsidRPr="000149EE">
        <w:rPr>
          <w:rFonts w:ascii="Times New Roman" w:hAnsi="Times New Roman" w:cs="Times New Roman"/>
          <w:bCs/>
          <w:iCs/>
          <w:color w:val="000000" w:themeColor="text1"/>
          <w:sz w:val="28"/>
          <w:szCs w:val="28"/>
        </w:rPr>
        <w:t xml:space="preserve"> tarifa preferencial para los ingresos que pr</w:t>
      </w:r>
      <w:r w:rsidRPr="000149EE">
        <w:rPr>
          <w:rFonts w:ascii="Times New Roman" w:hAnsi="Times New Roman" w:cs="Times New Roman"/>
          <w:bCs/>
          <w:iCs/>
          <w:color w:val="000000" w:themeColor="text1"/>
          <w:sz w:val="28"/>
          <w:szCs w:val="28"/>
        </w:rPr>
        <w:t>ovienen de exportación busca reducir la carga tributaria que causa el impuesto sobre la renta para que las compañías colombianas exportadoras “puedan competir frente a compañías de países latinoamericanos que se benefician de impuestos corporativos inferio</w:t>
      </w:r>
      <w:r w:rsidRPr="000149EE">
        <w:rPr>
          <w:rFonts w:ascii="Times New Roman" w:hAnsi="Times New Roman" w:cs="Times New Roman"/>
          <w:bCs/>
          <w:iCs/>
          <w:color w:val="000000" w:themeColor="text1"/>
          <w:sz w:val="28"/>
          <w:szCs w:val="28"/>
        </w:rPr>
        <w:t>res”</w:t>
      </w:r>
      <w:r w:rsidRPr="000149EE">
        <w:rPr>
          <w:rFonts w:ascii="Times New Roman" w:hAnsi="Times New Roman" w:cs="Times New Roman"/>
          <w:bCs/>
          <w:iCs/>
          <w:color w:val="000000" w:themeColor="text1"/>
          <w:sz w:val="28"/>
          <w:szCs w:val="28"/>
          <w:vertAlign w:val="superscript"/>
        </w:rPr>
        <w:footnoteReference w:id="173"/>
      </w:r>
      <w:r w:rsidRPr="000149EE">
        <w:rPr>
          <w:rFonts w:ascii="Times New Roman" w:hAnsi="Times New Roman" w:cs="Times New Roman"/>
          <w:bCs/>
          <w:iCs/>
          <w:color w:val="000000" w:themeColor="text1"/>
          <w:sz w:val="28"/>
          <w:szCs w:val="28"/>
        </w:rPr>
        <w:t xml:space="preserve">. </w:t>
      </w:r>
    </w:p>
    <w:p w:rsidR="003D5BB5" w:rsidRPr="000149EE" w:rsidRDefault="000149EE" w:rsidP="003D5BB5">
      <w:pPr>
        <w:pStyle w:val="Prrafodelista"/>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Cs/>
          <w:color w:val="000000" w:themeColor="text1"/>
          <w:sz w:val="28"/>
          <w:szCs w:val="28"/>
        </w:rPr>
      </w:pPr>
      <w:r w:rsidRPr="000149EE">
        <w:rPr>
          <w:rFonts w:ascii="Times New Roman" w:hAnsi="Times New Roman" w:cs="Times New Roman"/>
          <w:iCs/>
          <w:color w:val="000000" w:themeColor="text1"/>
          <w:sz w:val="28"/>
          <w:szCs w:val="28"/>
        </w:rPr>
        <w:t>Del mismo modo, en sus intervenciones ante esta Corte, el MHCP, el DAPRE y la DIAN ahondaron en las finalidades que persiguió la Ley 2277 de 2022, en general, y explicaron que, en el caso de las zonas francas, esta Ley buscó “incentivar la inversi</w:t>
      </w:r>
      <w:r w:rsidRPr="000149EE">
        <w:rPr>
          <w:rFonts w:ascii="Times New Roman" w:hAnsi="Times New Roman" w:cs="Times New Roman"/>
          <w:iCs/>
          <w:color w:val="000000" w:themeColor="text1"/>
          <w:sz w:val="28"/>
          <w:szCs w:val="28"/>
        </w:rPr>
        <w:t>ón en Colombia y promover las exportaciones del país (…) dado que el 85% de las compañías que han venido utilizando [el] régimen [especial de zonas francas] son nacionales sin vocación exportadora”</w:t>
      </w:r>
      <w:r w:rsidRPr="000149EE">
        <w:rPr>
          <w:rStyle w:val="Refdenotaalpie"/>
          <w:rFonts w:ascii="Times New Roman" w:hAnsi="Times New Roman" w:cs="Times New Roman"/>
          <w:iCs/>
          <w:color w:val="000000" w:themeColor="text1"/>
          <w:sz w:val="28"/>
          <w:szCs w:val="28"/>
        </w:rPr>
        <w:footnoteReference w:id="174"/>
      </w:r>
      <w:r w:rsidRPr="000149EE">
        <w:rPr>
          <w:rFonts w:ascii="Times New Roman" w:hAnsi="Times New Roman" w:cs="Times New Roman"/>
          <w:iCs/>
          <w:color w:val="000000" w:themeColor="text1"/>
          <w:sz w:val="28"/>
          <w:szCs w:val="28"/>
        </w:rPr>
        <w:t xml:space="preserve">. </w:t>
      </w: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iCs/>
          <w:color w:val="000000" w:themeColor="text1"/>
          <w:sz w:val="28"/>
          <w:szCs w:val="28"/>
        </w:rPr>
        <w:t>En criterio de la Sala Plena, el fomento de las export</w:t>
      </w:r>
      <w:r w:rsidRPr="000149EE">
        <w:rPr>
          <w:rFonts w:ascii="Times New Roman" w:hAnsi="Times New Roman" w:cs="Times New Roman"/>
          <w:iCs/>
          <w:color w:val="000000" w:themeColor="text1"/>
          <w:sz w:val="28"/>
          <w:szCs w:val="28"/>
        </w:rPr>
        <w:t>aciones es una finalidad legítima. La Constitución no prohíbe el fomento a la exportación. Por el contrario, la Constitución autoriza al Legislador para adoptar estrategias de fomento para ciertas actividades, entre ellas la actividad exportadora, que cont</w:t>
      </w:r>
      <w:r w:rsidRPr="000149EE">
        <w:rPr>
          <w:rFonts w:ascii="Times New Roman" w:hAnsi="Times New Roman" w:cs="Times New Roman"/>
          <w:iCs/>
          <w:color w:val="000000" w:themeColor="text1"/>
          <w:sz w:val="28"/>
          <w:szCs w:val="28"/>
        </w:rPr>
        <w:t xml:space="preserve">ribuyan al desarrollo económico. </w:t>
      </w:r>
      <w:r w:rsidRPr="000149EE">
        <w:rPr>
          <w:rFonts w:ascii="Times New Roman" w:hAnsi="Times New Roman" w:cs="Times New Roman"/>
          <w:iCs/>
          <w:color w:val="000000" w:themeColor="text1"/>
          <w:sz w:val="28"/>
          <w:szCs w:val="28"/>
        </w:rPr>
        <w:t>La</w:t>
      </w:r>
      <w:r w:rsidRPr="000149EE">
        <w:rPr>
          <w:rFonts w:ascii="Times New Roman" w:hAnsi="Times New Roman" w:cs="Times New Roman"/>
          <w:iCs/>
          <w:color w:val="000000" w:themeColor="text1"/>
          <w:sz w:val="28"/>
          <w:szCs w:val="28"/>
        </w:rPr>
        <w:t xml:space="preserve"> jurisprudencia constitucional ha reconocido “</w:t>
      </w:r>
      <w:r w:rsidRPr="000149EE">
        <w:rPr>
          <w:rFonts w:ascii="Times New Roman" w:hAnsi="Times New Roman" w:cs="Times New Roman"/>
          <w:bCs/>
          <w:iCs/>
          <w:color w:val="000000" w:themeColor="text1"/>
          <w:sz w:val="28"/>
          <w:szCs w:val="28"/>
        </w:rPr>
        <w:t xml:space="preserve">la libertad política [del Legislador] para establecer medidas dirigidas a estimular ciertas actividades, lo que se conoce, por lo general, con el nombre de estrategias de </w:t>
      </w:r>
      <w:r w:rsidRPr="000149EE">
        <w:rPr>
          <w:rFonts w:ascii="Times New Roman" w:hAnsi="Times New Roman" w:cs="Times New Roman"/>
          <w:bCs/>
          <w:iCs/>
          <w:color w:val="000000" w:themeColor="text1"/>
          <w:sz w:val="28"/>
          <w:szCs w:val="28"/>
        </w:rPr>
        <w:t>fomento</w:t>
      </w:r>
      <w:r w:rsidRPr="000149EE">
        <w:rPr>
          <w:rFonts w:ascii="Times New Roman" w:hAnsi="Times New Roman" w:cs="Times New Roman"/>
          <w:iCs/>
          <w:color w:val="000000" w:themeColor="text1"/>
          <w:sz w:val="28"/>
          <w:szCs w:val="28"/>
        </w:rPr>
        <w:t>”</w:t>
      </w:r>
      <w:r w:rsidRPr="000149EE">
        <w:rPr>
          <w:rFonts w:ascii="Times New Roman" w:hAnsi="Times New Roman" w:cs="Times New Roman"/>
          <w:iCs/>
          <w:color w:val="000000" w:themeColor="text1"/>
          <w:sz w:val="28"/>
          <w:szCs w:val="28"/>
          <w:vertAlign w:val="superscript"/>
        </w:rPr>
        <w:footnoteReference w:id="175"/>
      </w:r>
      <w:r w:rsidRPr="000149EE">
        <w:rPr>
          <w:rFonts w:ascii="Times New Roman" w:hAnsi="Times New Roman" w:cs="Times New Roman"/>
          <w:iCs/>
          <w:color w:val="000000" w:themeColor="text1"/>
          <w:sz w:val="28"/>
          <w:szCs w:val="28"/>
        </w:rPr>
        <w:t>. Se trata de medidas que responden “a un examen económico y de conveniencia, en el que se decide dirigir recursos a un sector, o consagrar otro tipo de beneficios, por ejemplo, de carácter tributario, con miras a impulsar un área de la economía o</w:t>
      </w:r>
      <w:r w:rsidRPr="000149EE">
        <w:rPr>
          <w:rFonts w:ascii="Times New Roman" w:hAnsi="Times New Roman" w:cs="Times New Roman"/>
          <w:iCs/>
          <w:color w:val="000000" w:themeColor="text1"/>
          <w:sz w:val="28"/>
          <w:szCs w:val="28"/>
        </w:rPr>
        <w:t xml:space="preserve"> a ella en sí misma, y, por esa vía, lograr la satisfacción de los fines del Estado”</w:t>
      </w:r>
      <w:r w:rsidRPr="000149EE">
        <w:rPr>
          <w:rFonts w:ascii="Times New Roman" w:hAnsi="Times New Roman" w:cs="Times New Roman"/>
          <w:iCs/>
          <w:color w:val="000000" w:themeColor="text1"/>
          <w:sz w:val="28"/>
          <w:szCs w:val="28"/>
          <w:vertAlign w:val="superscript"/>
        </w:rPr>
        <w:footnoteReference w:id="176"/>
      </w:r>
      <w:r w:rsidRPr="000149EE">
        <w:rPr>
          <w:rFonts w:ascii="Times New Roman" w:hAnsi="Times New Roman" w:cs="Times New Roman"/>
          <w:iCs/>
          <w:color w:val="000000" w:themeColor="text1"/>
          <w:sz w:val="28"/>
          <w:szCs w:val="28"/>
        </w:rPr>
        <w:t>.</w:t>
      </w:r>
      <w:r w:rsidRPr="000149EE">
        <w:rPr>
          <w:rFonts w:ascii="Times New Roman" w:hAnsi="Times New Roman" w:cs="Times New Roman"/>
          <w:i/>
          <w:iCs/>
          <w:color w:val="000000" w:themeColor="text1"/>
          <w:sz w:val="28"/>
          <w:szCs w:val="28"/>
        </w:rPr>
        <w:t xml:space="preserve"> </w:t>
      </w:r>
      <w:r w:rsidRPr="000149EE">
        <w:rPr>
          <w:rFonts w:ascii="Times New Roman" w:hAnsi="Times New Roman" w:cs="Times New Roman"/>
          <w:iCs/>
          <w:color w:val="000000" w:themeColor="text1"/>
          <w:sz w:val="28"/>
          <w:szCs w:val="28"/>
        </w:rPr>
        <w:t>E</w:t>
      </w:r>
      <w:r w:rsidRPr="000149EE">
        <w:rPr>
          <w:rFonts w:ascii="Times New Roman" w:hAnsi="Times New Roman" w:cs="Times New Roman"/>
          <w:iCs/>
          <w:color w:val="000000" w:themeColor="text1"/>
          <w:sz w:val="28"/>
          <w:szCs w:val="28"/>
        </w:rPr>
        <w:t>n este sentido</w:t>
      </w:r>
      <w:r w:rsidRPr="000149EE">
        <w:rPr>
          <w:rFonts w:ascii="Times New Roman" w:hAnsi="Times New Roman" w:cs="Times New Roman"/>
          <w:iCs/>
          <w:color w:val="000000" w:themeColor="text1"/>
          <w:sz w:val="28"/>
          <w:szCs w:val="28"/>
        </w:rPr>
        <w:t>, la Corte Constitucional ha sostenido que el Legislador está autorizado para promover la exportación</w:t>
      </w:r>
      <w:r w:rsidRPr="000149EE">
        <w:rPr>
          <w:rFonts w:ascii="Times New Roman" w:hAnsi="Times New Roman" w:cs="Times New Roman"/>
          <w:sz w:val="28"/>
          <w:szCs w:val="28"/>
          <w:vertAlign w:val="superscript"/>
        </w:rPr>
        <w:footnoteReference w:id="177"/>
      </w:r>
      <w:r w:rsidRPr="000149EE">
        <w:rPr>
          <w:rFonts w:ascii="Times New Roman" w:hAnsi="Times New Roman" w:cs="Times New Roman"/>
          <w:iCs/>
          <w:color w:val="000000" w:themeColor="text1"/>
          <w:sz w:val="28"/>
          <w:szCs w:val="28"/>
        </w:rPr>
        <w:t>. Al respecto, ha indicado que “las decisiones de po</w:t>
      </w:r>
      <w:r w:rsidRPr="000149EE">
        <w:rPr>
          <w:rFonts w:ascii="Times New Roman" w:hAnsi="Times New Roman" w:cs="Times New Roman"/>
          <w:iCs/>
          <w:color w:val="000000" w:themeColor="text1"/>
          <w:sz w:val="28"/>
          <w:szCs w:val="28"/>
        </w:rPr>
        <w:t>lítica tributaria acerca de la actividad exportadora (…) son del entero resorte del Congreso de la República”</w:t>
      </w:r>
      <w:r w:rsidRPr="000149EE">
        <w:rPr>
          <w:rFonts w:ascii="Times New Roman" w:hAnsi="Times New Roman" w:cs="Times New Roman"/>
          <w:sz w:val="28"/>
          <w:szCs w:val="28"/>
          <w:vertAlign w:val="superscript"/>
        </w:rPr>
        <w:footnoteReference w:id="178"/>
      </w:r>
      <w:r w:rsidRPr="000149EE">
        <w:rPr>
          <w:rFonts w:ascii="Times New Roman" w:hAnsi="Times New Roman" w:cs="Times New Roman"/>
          <w:iCs/>
          <w:color w:val="000000" w:themeColor="text1"/>
          <w:sz w:val="28"/>
          <w:szCs w:val="28"/>
        </w:rPr>
        <w:t>. Esto, “en consideración al amplio margen para el ejercicio de la potestad de configuración legislativa que la Constitución le otorga al legislad</w:t>
      </w:r>
      <w:r w:rsidRPr="000149EE">
        <w:rPr>
          <w:rFonts w:ascii="Times New Roman" w:hAnsi="Times New Roman" w:cs="Times New Roman"/>
          <w:iCs/>
          <w:color w:val="000000" w:themeColor="text1"/>
          <w:sz w:val="28"/>
          <w:szCs w:val="28"/>
        </w:rPr>
        <w:t>or en materia económica y social”</w:t>
      </w:r>
      <w:r w:rsidRPr="000149EE">
        <w:rPr>
          <w:rFonts w:ascii="Times New Roman" w:hAnsi="Times New Roman" w:cs="Times New Roman"/>
          <w:sz w:val="28"/>
          <w:szCs w:val="28"/>
          <w:vertAlign w:val="superscript"/>
        </w:rPr>
        <w:footnoteReference w:id="179"/>
      </w:r>
      <w:r w:rsidRPr="000149EE">
        <w:rPr>
          <w:rFonts w:ascii="Times New Roman" w:hAnsi="Times New Roman" w:cs="Times New Roman"/>
          <w:iCs/>
          <w:color w:val="000000" w:themeColor="text1"/>
          <w:sz w:val="28"/>
          <w:szCs w:val="28"/>
        </w:rPr>
        <w:t>, en particular, en virtud de los artículos 150.12 y 338 de la Constitución Política</w:t>
      </w:r>
      <w:r w:rsidRPr="000149EE">
        <w:rPr>
          <w:rFonts w:ascii="Times New Roman" w:hAnsi="Times New Roman" w:cs="Times New Roman"/>
          <w:sz w:val="28"/>
          <w:szCs w:val="28"/>
          <w:vertAlign w:val="superscript"/>
        </w:rPr>
        <w:footnoteReference w:id="180"/>
      </w:r>
      <w:r w:rsidRPr="000149EE">
        <w:rPr>
          <w:rFonts w:ascii="Times New Roman" w:hAnsi="Times New Roman" w:cs="Times New Roman"/>
          <w:iCs/>
          <w:color w:val="000000" w:themeColor="text1"/>
          <w:sz w:val="28"/>
          <w:szCs w:val="28"/>
        </w:rPr>
        <w:t xml:space="preserve">. </w:t>
      </w:r>
    </w:p>
    <w:p w:rsidR="003D5BB5" w:rsidRPr="000149EE" w:rsidRDefault="000149EE" w:rsidP="003D5BB5">
      <w:pPr>
        <w:pStyle w:val="Prrafodelista"/>
        <w:widowControl w:val="0"/>
        <w:spacing w:line="240" w:lineRule="auto"/>
        <w:ind w:left="0"/>
        <w:rPr>
          <w:rFonts w:ascii="Times New Roman" w:hAnsi="Times New Roman"/>
          <w:i/>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
          <w:iCs/>
          <w:color w:val="000000" w:themeColor="text1"/>
          <w:sz w:val="28"/>
          <w:szCs w:val="28"/>
        </w:rPr>
      </w:pPr>
      <w:r w:rsidRPr="000149EE">
        <w:rPr>
          <w:rFonts w:ascii="Times New Roman" w:hAnsi="Times New Roman" w:cs="Times New Roman"/>
          <w:iCs/>
          <w:color w:val="000000" w:themeColor="text1"/>
          <w:sz w:val="28"/>
          <w:szCs w:val="28"/>
        </w:rPr>
        <w:t xml:space="preserve">Por lo demás, la Sala destaca que el fomento a las exportaciones materializa los mandatos previstos en los artículos 226 y 334 de la </w:t>
      </w:r>
      <w:r w:rsidRPr="000149EE">
        <w:rPr>
          <w:rFonts w:ascii="Times New Roman" w:hAnsi="Times New Roman" w:cs="Times New Roman"/>
          <w:iCs/>
          <w:color w:val="000000" w:themeColor="text1"/>
          <w:sz w:val="28"/>
          <w:szCs w:val="28"/>
        </w:rPr>
        <w:t>Constitución. En efecto, tal como lo puso de presente el Ministerio Público en su concepto, el propósito de incentivar las exportaciones se asocia con el mandato superior de promover la internacionalización de las actividades económicas e incentivar determ</w:t>
      </w:r>
      <w:r w:rsidRPr="000149EE">
        <w:rPr>
          <w:rFonts w:ascii="Times New Roman" w:hAnsi="Times New Roman" w:cs="Times New Roman"/>
          <w:iCs/>
          <w:color w:val="000000" w:themeColor="text1"/>
          <w:sz w:val="28"/>
          <w:szCs w:val="28"/>
        </w:rPr>
        <w:t>inadas actividades productivas</w:t>
      </w:r>
      <w:r w:rsidRPr="000149EE">
        <w:rPr>
          <w:rStyle w:val="Refdenotaalpie"/>
          <w:rFonts w:ascii="Times New Roman" w:hAnsi="Times New Roman" w:cs="Times New Roman"/>
          <w:iCs/>
          <w:color w:val="000000" w:themeColor="text1"/>
          <w:sz w:val="28"/>
          <w:szCs w:val="28"/>
        </w:rPr>
        <w:footnoteReference w:id="181"/>
      </w:r>
      <w:r w:rsidRPr="000149EE">
        <w:rPr>
          <w:rFonts w:ascii="Times New Roman" w:hAnsi="Times New Roman" w:cs="Times New Roman"/>
          <w:iCs/>
          <w:color w:val="000000" w:themeColor="text1"/>
          <w:sz w:val="28"/>
          <w:szCs w:val="28"/>
        </w:rPr>
        <w:t>.</w:t>
      </w:r>
    </w:p>
    <w:p w:rsidR="003D5BB5" w:rsidRPr="000149EE" w:rsidRDefault="000149EE" w:rsidP="003D5BB5">
      <w:pPr>
        <w:pStyle w:val="Prrafodelista"/>
        <w:widowControl w:val="0"/>
        <w:spacing w:line="240" w:lineRule="auto"/>
        <w:ind w:left="0"/>
        <w:rPr>
          <w:rFonts w:ascii="Times New Roman" w:hAnsi="Times New Roman"/>
          <w:i/>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(ii) </w:t>
      </w:r>
      <w:r w:rsidRPr="000149EE">
        <w:rPr>
          <w:rFonts w:ascii="Times New Roman" w:hAnsi="Times New Roman" w:cs="Times New Roman"/>
          <w:color w:val="000000" w:themeColor="text1"/>
          <w:sz w:val="28"/>
          <w:szCs w:val="28"/>
          <w:u w:val="single"/>
        </w:rPr>
        <w:t>Corrección de asimetrías tributarias</w:t>
      </w:r>
      <w:r w:rsidRPr="000149EE">
        <w:rPr>
          <w:rFonts w:ascii="Times New Roman" w:hAnsi="Times New Roman" w:cs="Times New Roman"/>
          <w:color w:val="000000" w:themeColor="text1"/>
          <w:sz w:val="28"/>
          <w:szCs w:val="28"/>
        </w:rPr>
        <w:t xml:space="preserve">. La tarifa diferencial buscó eliminar el beneficio tributario para los usuarios </w:t>
      </w:r>
      <w:r w:rsidRPr="000149EE">
        <w:rPr>
          <w:rFonts w:ascii="Times New Roman" w:hAnsi="Times New Roman" w:cs="Times New Roman"/>
          <w:color w:val="000000" w:themeColor="text1"/>
          <w:sz w:val="28"/>
          <w:szCs w:val="28"/>
        </w:rPr>
        <w:t>no exportadores</w:t>
      </w:r>
      <w:r w:rsidRPr="000149EE">
        <w:rPr>
          <w:rFonts w:ascii="Times New Roman" w:hAnsi="Times New Roman" w:cs="Times New Roman"/>
          <w:color w:val="000000" w:themeColor="text1"/>
          <w:sz w:val="28"/>
          <w:szCs w:val="28"/>
          <w:vertAlign w:val="superscript"/>
        </w:rPr>
        <w:footnoteReference w:id="182"/>
      </w:r>
      <w:r w:rsidRPr="000149EE">
        <w:rPr>
          <w:rFonts w:ascii="Times New Roman" w:hAnsi="Times New Roman" w:cs="Times New Roman"/>
          <w:color w:val="000000" w:themeColor="text1"/>
          <w:sz w:val="28"/>
          <w:szCs w:val="28"/>
        </w:rPr>
        <w:t>. La Ley 1004 de 2005 habilitó que algunos usuarios de zona franca produjeran bienes</w:t>
      </w:r>
      <w:r w:rsidRPr="000149EE">
        <w:rPr>
          <w:rFonts w:ascii="Times New Roman" w:hAnsi="Times New Roman" w:cs="Times New Roman"/>
          <w:color w:val="000000" w:themeColor="text1"/>
          <w:sz w:val="28"/>
          <w:szCs w:val="28"/>
        </w:rPr>
        <w:t xml:space="preserve"> y servicios para el mercado interno. De acuerdo con la exposición de motivos del proyecto de ley que culminó con la expedición de la Ley 2277 de 2022, como consecuencia de esta habilitación</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bCs/>
          <w:iCs/>
          <w:color w:val="000000" w:themeColor="text1"/>
          <w:sz w:val="28"/>
          <w:szCs w:val="28"/>
        </w:rPr>
        <w:t>3 de cada 4 usuarios industriales que se beneficiaban de la tari</w:t>
      </w:r>
      <w:r w:rsidRPr="000149EE">
        <w:rPr>
          <w:rFonts w:ascii="Times New Roman" w:hAnsi="Times New Roman" w:cs="Times New Roman"/>
          <w:bCs/>
          <w:iCs/>
          <w:color w:val="000000" w:themeColor="text1"/>
          <w:sz w:val="28"/>
          <w:szCs w:val="28"/>
        </w:rPr>
        <w:t>fa preferencial del impuesto a la renta que estaba prevista en la Ley 1819 de 2016, eran nacionales, sin vocación exportadora. Esto</w:t>
      </w:r>
      <w:r w:rsidRPr="000149EE">
        <w:rPr>
          <w:rFonts w:ascii="Times New Roman" w:hAnsi="Times New Roman" w:cs="Times New Roman"/>
          <w:color w:val="000000" w:themeColor="text1"/>
          <w:sz w:val="28"/>
          <w:szCs w:val="28"/>
        </w:rPr>
        <w:t xml:space="preserve"> generaba “una competencia desigual [frente] a compañías que, al estar por fuera del régimen, pagan la tarifa general del 35%</w:t>
      </w:r>
      <w:r w:rsidRPr="000149EE">
        <w:rPr>
          <w:rFonts w:ascii="Times New Roman" w:hAnsi="Times New Roman" w:cs="Times New Roman"/>
          <w:color w:val="000000" w:themeColor="text1"/>
          <w:sz w:val="28"/>
          <w:szCs w:val="28"/>
        </w:rPr>
        <w:t>, vale decir 15% más que las compañías ubicadas en zona franca”</w:t>
      </w:r>
      <w:r w:rsidRPr="000149EE">
        <w:rPr>
          <w:rFonts w:ascii="Times New Roman" w:hAnsi="Times New Roman" w:cs="Times New Roman"/>
          <w:color w:val="000000" w:themeColor="text1"/>
          <w:sz w:val="28"/>
          <w:szCs w:val="28"/>
          <w:vertAlign w:val="superscript"/>
        </w:rPr>
        <w:footnoteReference w:id="183"/>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iCs/>
          <w:color w:val="000000" w:themeColor="text1"/>
          <w:sz w:val="28"/>
          <w:szCs w:val="28"/>
        </w:rPr>
        <w:t>Además, de acuerdo con el MHCP, en marzo de 2022 se estimó que la Nación “incurr[ía] en un costo fiscal de $641mm, correspondientes a la diferencia de 11 puntos de tarifa en el impuesto de r</w:t>
      </w:r>
      <w:r w:rsidRPr="000149EE">
        <w:rPr>
          <w:rFonts w:ascii="Times New Roman" w:hAnsi="Times New Roman" w:cs="Times New Roman"/>
          <w:iCs/>
          <w:color w:val="000000" w:themeColor="text1"/>
          <w:sz w:val="28"/>
          <w:szCs w:val="28"/>
        </w:rPr>
        <w:t>enta de los usuarios de ZF (20%) respecto a la tarifa general por el año gravable 2021 (31%)”</w:t>
      </w:r>
      <w:r w:rsidRPr="000149EE">
        <w:rPr>
          <w:rFonts w:ascii="Times New Roman" w:hAnsi="Times New Roman" w:cs="Times New Roman"/>
          <w:iCs/>
          <w:color w:val="000000" w:themeColor="text1"/>
          <w:sz w:val="28"/>
          <w:szCs w:val="28"/>
          <w:vertAlign w:val="superscript"/>
        </w:rPr>
        <w:footnoteReference w:id="184"/>
      </w:r>
      <w:r w:rsidRPr="000149EE">
        <w:rPr>
          <w:rFonts w:ascii="Times New Roman" w:hAnsi="Times New Roman" w:cs="Times New Roman"/>
          <w:iCs/>
          <w:color w:val="000000" w:themeColor="text1"/>
          <w:sz w:val="28"/>
          <w:szCs w:val="28"/>
        </w:rPr>
        <w:t>.</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bCs/>
          <w:color w:val="000000" w:themeColor="text1"/>
          <w:sz w:val="28"/>
          <w:szCs w:val="28"/>
        </w:rPr>
        <w:t xml:space="preserve">Por estas razones, el informe de </w:t>
      </w:r>
      <w:r w:rsidRPr="000149EE">
        <w:rPr>
          <w:rFonts w:ascii="Times New Roman" w:hAnsi="Times New Roman" w:cs="Times New Roman"/>
          <w:bCs/>
          <w:color w:val="000000" w:themeColor="text1"/>
          <w:sz w:val="28"/>
          <w:szCs w:val="28"/>
        </w:rPr>
        <w:t xml:space="preserve">la </w:t>
      </w:r>
      <w:r w:rsidRPr="000149EE">
        <w:rPr>
          <w:rFonts w:ascii="Times New Roman" w:hAnsi="Times New Roman" w:cs="Times New Roman"/>
          <w:bCs/>
          <w:color w:val="000000" w:themeColor="text1"/>
          <w:sz w:val="28"/>
          <w:szCs w:val="28"/>
        </w:rPr>
        <w:t>Comisión de Expertos en Beneficios Tributarios de 2021 consideró que la posibilidad de que los usuarios industriales de zona</w:t>
      </w:r>
      <w:r w:rsidRPr="000149EE">
        <w:rPr>
          <w:rFonts w:ascii="Times New Roman" w:hAnsi="Times New Roman" w:cs="Times New Roman"/>
          <w:bCs/>
          <w:color w:val="000000" w:themeColor="text1"/>
          <w:sz w:val="28"/>
          <w:szCs w:val="28"/>
        </w:rPr>
        <w:t>s francas sin vocación de exportación se beneficiaran de la tarifa preferencial del impuesto a la renta generaba una distribución inequitativa de cargas tributarias y afectaba el recaudo. Por lo tanto, recomendó modificar dicha tarifa preferencial</w:t>
      </w:r>
      <w:r w:rsidRPr="000149EE">
        <w:rPr>
          <w:rFonts w:ascii="Times New Roman" w:hAnsi="Times New Roman" w:cs="Times New Roman"/>
          <w:bCs/>
          <w:color w:val="000000" w:themeColor="text1"/>
          <w:sz w:val="28"/>
          <w:szCs w:val="28"/>
          <w:vertAlign w:val="superscript"/>
        </w:rPr>
        <w:footnoteReference w:id="185"/>
      </w:r>
      <w:r w:rsidRPr="000149EE">
        <w:rPr>
          <w:rFonts w:ascii="Times New Roman" w:hAnsi="Times New Roman" w:cs="Times New Roman"/>
          <w:bCs/>
          <w:color w:val="000000" w:themeColor="text1"/>
          <w:sz w:val="28"/>
          <w:szCs w:val="28"/>
        </w:rPr>
        <w:t xml:space="preserve">. </w:t>
      </w:r>
    </w:p>
    <w:p w:rsidR="003D5BB5" w:rsidRPr="000149EE" w:rsidRDefault="000149EE" w:rsidP="003D5BB5">
      <w:pPr>
        <w:pStyle w:val="Prrafodelista"/>
        <w:ind w:left="0"/>
        <w:rPr>
          <w:rFonts w:ascii="Times New Roman" w:hAnsi="Times New Roman"/>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bCs/>
          <w:color w:val="000000" w:themeColor="text1"/>
          <w:sz w:val="28"/>
          <w:szCs w:val="28"/>
        </w:rPr>
      </w:pPr>
      <w:r w:rsidRPr="000149EE">
        <w:rPr>
          <w:rFonts w:ascii="Times New Roman" w:hAnsi="Times New Roman" w:cs="Times New Roman"/>
          <w:color w:val="000000" w:themeColor="text1"/>
          <w:sz w:val="28"/>
          <w:szCs w:val="28"/>
        </w:rPr>
        <w:t xml:space="preserve">La </w:t>
      </w:r>
      <w:r w:rsidRPr="000149EE">
        <w:rPr>
          <w:rFonts w:ascii="Times New Roman" w:hAnsi="Times New Roman" w:cs="Times New Roman"/>
          <w:color w:val="000000" w:themeColor="text1"/>
          <w:sz w:val="28"/>
          <w:szCs w:val="28"/>
        </w:rPr>
        <w:t>Corte Constitucional considera que la corrección de las asimetrías tributarias identificadas constituye una finalidad</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legítima no prohibida por la Constitución</w:t>
      </w:r>
      <w:r w:rsidRPr="000149EE">
        <w:rPr>
          <w:rFonts w:ascii="Times New Roman" w:hAnsi="Times New Roman" w:cs="Times New Roman"/>
          <w:color w:val="000000" w:themeColor="text1"/>
          <w:sz w:val="28"/>
          <w:szCs w:val="28"/>
        </w:rPr>
        <w:t>. Esto, principalmente</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porque está fundada en el principio de igualdad (art. 13 de la CP), </w:t>
      </w:r>
      <w:r w:rsidRPr="000149EE">
        <w:rPr>
          <w:rFonts w:ascii="Times New Roman" w:hAnsi="Times New Roman" w:cs="Times New Roman"/>
          <w:color w:val="000000" w:themeColor="text1"/>
          <w:sz w:val="28"/>
          <w:szCs w:val="28"/>
        </w:rPr>
        <w:t>así c</w:t>
      </w:r>
      <w:r w:rsidRPr="000149EE">
        <w:rPr>
          <w:rFonts w:ascii="Times New Roman" w:hAnsi="Times New Roman" w:cs="Times New Roman"/>
          <w:color w:val="000000" w:themeColor="text1"/>
          <w:sz w:val="28"/>
          <w:szCs w:val="28"/>
        </w:rPr>
        <w:t>omo por los principios de</w:t>
      </w:r>
      <w:r w:rsidRPr="000149EE">
        <w:rPr>
          <w:rFonts w:ascii="Times New Roman" w:hAnsi="Times New Roman" w:cs="Times New Roman"/>
          <w:color w:val="000000" w:themeColor="text1"/>
          <w:sz w:val="28"/>
          <w:szCs w:val="28"/>
        </w:rPr>
        <w:t xml:space="preserve"> justicia</w:t>
      </w:r>
      <w:r w:rsidRPr="000149EE">
        <w:rPr>
          <w:rFonts w:ascii="Times New Roman" w:hAnsi="Times New Roman" w:cs="Times New Roman"/>
          <w:color w:val="000000" w:themeColor="text1"/>
          <w:sz w:val="28"/>
          <w:szCs w:val="28"/>
        </w:rPr>
        <w:t>, eficiencia y</w:t>
      </w:r>
      <w:r w:rsidRPr="000149EE">
        <w:rPr>
          <w:rFonts w:ascii="Times New Roman" w:hAnsi="Times New Roman" w:cs="Times New Roman"/>
          <w:color w:val="000000" w:themeColor="text1"/>
          <w:sz w:val="28"/>
          <w:szCs w:val="28"/>
        </w:rPr>
        <w:t xml:space="preserve"> </w:t>
      </w:r>
      <w:r w:rsidRPr="000149EE">
        <w:rPr>
          <w:rFonts w:ascii="Times New Roman" w:hAnsi="Times New Roman" w:cs="Times New Roman"/>
          <w:color w:val="000000" w:themeColor="text1"/>
          <w:sz w:val="28"/>
          <w:szCs w:val="28"/>
        </w:rPr>
        <w:t>equidad tributaria (art</w:t>
      </w:r>
      <w:r w:rsidRPr="000149EE">
        <w:rPr>
          <w:rFonts w:ascii="Times New Roman" w:hAnsi="Times New Roman" w:cs="Times New Roman"/>
          <w:color w:val="000000" w:themeColor="text1"/>
          <w:sz w:val="28"/>
          <w:szCs w:val="28"/>
        </w:rPr>
        <w:t>s</w:t>
      </w:r>
      <w:r w:rsidRPr="000149EE">
        <w:rPr>
          <w:rFonts w:ascii="Times New Roman" w:hAnsi="Times New Roman" w:cs="Times New Roman"/>
          <w:color w:val="000000" w:themeColor="text1"/>
          <w:sz w:val="28"/>
          <w:szCs w:val="28"/>
        </w:rPr>
        <w:t>.</w:t>
      </w:r>
      <w:r w:rsidRPr="000149EE">
        <w:rPr>
          <w:rFonts w:ascii="Times New Roman" w:hAnsi="Times New Roman" w:cs="Times New Roman"/>
          <w:color w:val="000000" w:themeColor="text1"/>
          <w:sz w:val="28"/>
          <w:szCs w:val="28"/>
        </w:rPr>
        <w:t xml:space="preserve"> 95 y</w:t>
      </w:r>
      <w:r w:rsidRPr="000149EE">
        <w:rPr>
          <w:rFonts w:ascii="Times New Roman" w:hAnsi="Times New Roman" w:cs="Times New Roman"/>
          <w:color w:val="000000" w:themeColor="text1"/>
          <w:sz w:val="28"/>
          <w:szCs w:val="28"/>
        </w:rPr>
        <w:t xml:space="preserve"> 363 de la CP). Como se expuso, estos principios imponen al legislador</w:t>
      </w:r>
      <w:r w:rsidRPr="000149EE">
        <w:rPr>
          <w:rFonts w:ascii="Times New Roman" w:hAnsi="Times New Roman" w:cs="Times New Roman"/>
          <w:color w:val="000000" w:themeColor="text1"/>
          <w:sz w:val="28"/>
          <w:szCs w:val="28"/>
        </w:rPr>
        <w:t xml:space="preserve"> el deber de</w:t>
      </w:r>
      <w:r w:rsidRPr="000149EE">
        <w:rPr>
          <w:rFonts w:ascii="Times New Roman" w:hAnsi="Times New Roman" w:cs="Times New Roman"/>
          <w:bCs/>
          <w:color w:val="000000" w:themeColor="text1"/>
          <w:sz w:val="28"/>
          <w:szCs w:val="28"/>
        </w:rPr>
        <w:t xml:space="preserve"> llevar a cabo una “justa distribución”</w:t>
      </w:r>
      <w:r w:rsidRPr="000149EE">
        <w:rPr>
          <w:rFonts w:ascii="Times New Roman" w:hAnsi="Times New Roman" w:cs="Times New Roman"/>
          <w:bCs/>
          <w:color w:val="000000" w:themeColor="text1"/>
          <w:sz w:val="28"/>
          <w:szCs w:val="28"/>
          <w:vertAlign w:val="superscript"/>
        </w:rPr>
        <w:footnoteReference w:id="186"/>
      </w:r>
      <w:r w:rsidRPr="000149EE">
        <w:rPr>
          <w:rFonts w:ascii="Times New Roman" w:hAnsi="Times New Roman" w:cs="Times New Roman"/>
          <w:bCs/>
          <w:color w:val="000000" w:themeColor="text1"/>
          <w:sz w:val="28"/>
          <w:szCs w:val="28"/>
        </w:rPr>
        <w:t xml:space="preserve"> de las obligaciones fiscales “según criterios de gener</w:t>
      </w:r>
      <w:r w:rsidRPr="000149EE">
        <w:rPr>
          <w:rFonts w:ascii="Times New Roman" w:hAnsi="Times New Roman" w:cs="Times New Roman"/>
          <w:bCs/>
          <w:color w:val="000000" w:themeColor="text1"/>
          <w:sz w:val="28"/>
          <w:szCs w:val="28"/>
        </w:rPr>
        <w:t>alidad, uniformidad y progresividad”</w:t>
      </w:r>
      <w:r w:rsidRPr="000149EE">
        <w:rPr>
          <w:rFonts w:ascii="Times New Roman" w:hAnsi="Times New Roman" w:cs="Times New Roman"/>
          <w:bCs/>
          <w:color w:val="000000" w:themeColor="text1"/>
          <w:sz w:val="28"/>
          <w:szCs w:val="28"/>
          <w:vertAlign w:val="superscript"/>
        </w:rPr>
        <w:footnoteReference w:id="187"/>
      </w:r>
      <w:r w:rsidRPr="000149EE">
        <w:rPr>
          <w:rFonts w:ascii="Times New Roman" w:hAnsi="Times New Roman" w:cs="Times New Roman"/>
          <w:bCs/>
          <w:color w:val="000000" w:themeColor="text1"/>
          <w:sz w:val="28"/>
          <w:szCs w:val="28"/>
        </w:rPr>
        <w:t xml:space="preserve"> </w:t>
      </w:r>
      <w:r w:rsidRPr="000149EE">
        <w:rPr>
          <w:rFonts w:ascii="Times New Roman" w:hAnsi="Times New Roman" w:cs="Times New Roman"/>
          <w:bCs/>
          <w:color w:val="000000" w:themeColor="text1"/>
          <w:sz w:val="28"/>
          <w:szCs w:val="28"/>
        </w:rPr>
        <w:t>para</w:t>
      </w:r>
      <w:r w:rsidRPr="000149EE">
        <w:rPr>
          <w:rFonts w:ascii="Times New Roman" w:hAnsi="Times New Roman" w:cs="Times New Roman"/>
          <w:bCs/>
          <w:color w:val="000000" w:themeColor="text1"/>
          <w:sz w:val="28"/>
          <w:szCs w:val="28"/>
        </w:rPr>
        <w:t xml:space="preserve">, de esa forma, </w:t>
      </w:r>
      <w:r w:rsidRPr="000149EE">
        <w:rPr>
          <w:rFonts w:ascii="Times New Roman" w:hAnsi="Times New Roman" w:cs="Times New Roman"/>
          <w:bCs/>
          <w:color w:val="000000" w:themeColor="text1"/>
          <w:sz w:val="28"/>
          <w:szCs w:val="28"/>
        </w:rPr>
        <w:t>no</w:t>
      </w:r>
      <w:r w:rsidRPr="000149EE">
        <w:rPr>
          <w:rFonts w:ascii="Times New Roman" w:hAnsi="Times New Roman" w:cs="Times New Roman"/>
          <w:bCs/>
          <w:color w:val="000000" w:themeColor="text1"/>
          <w:sz w:val="28"/>
          <w:szCs w:val="28"/>
        </w:rPr>
        <w:t xml:space="preserve"> instituir “cargas excesivas o beneficios [tributarios] exagerados”</w:t>
      </w:r>
      <w:r w:rsidRPr="000149EE">
        <w:rPr>
          <w:rFonts w:ascii="Times New Roman" w:hAnsi="Times New Roman" w:cs="Times New Roman"/>
          <w:bCs/>
          <w:color w:val="000000" w:themeColor="text1"/>
          <w:sz w:val="28"/>
          <w:szCs w:val="28"/>
          <w:vertAlign w:val="superscript"/>
        </w:rPr>
        <w:footnoteReference w:id="188"/>
      </w:r>
      <w:r w:rsidRPr="000149EE">
        <w:rPr>
          <w:rFonts w:ascii="Times New Roman" w:hAnsi="Times New Roman" w:cs="Times New Roman"/>
          <w:bCs/>
          <w:color w:val="000000" w:themeColor="text1"/>
          <w:sz w:val="28"/>
          <w:szCs w:val="28"/>
        </w:rPr>
        <w:t xml:space="preserve"> que no consulten “la capacidad económica de los sujetos pasivos en razón a la naturaleza y fines del impuesto en cuestión”</w:t>
      </w:r>
      <w:r w:rsidRPr="000149EE">
        <w:rPr>
          <w:rFonts w:ascii="Times New Roman" w:hAnsi="Times New Roman" w:cs="Times New Roman"/>
          <w:bCs/>
          <w:color w:val="000000" w:themeColor="text1"/>
          <w:sz w:val="28"/>
          <w:szCs w:val="28"/>
          <w:vertAlign w:val="superscript"/>
        </w:rPr>
        <w:footnoteReference w:id="189"/>
      </w:r>
      <w:r w:rsidRPr="000149EE">
        <w:rPr>
          <w:rFonts w:ascii="Times New Roman" w:hAnsi="Times New Roman" w:cs="Times New Roman"/>
          <w:bCs/>
          <w:color w:val="000000" w:themeColor="text1"/>
          <w:sz w:val="28"/>
          <w:szCs w:val="28"/>
        </w:rPr>
        <w:t xml:space="preserve">. </w:t>
      </w:r>
      <w:r w:rsidRPr="000149EE">
        <w:rPr>
          <w:rFonts w:ascii="Times New Roman" w:hAnsi="Times New Roman" w:cs="Times New Roman"/>
          <w:bCs/>
          <w:iCs/>
          <w:color w:val="000000" w:themeColor="text1"/>
          <w:sz w:val="28"/>
          <w:szCs w:val="28"/>
        </w:rPr>
        <w:t>En</w:t>
      </w:r>
      <w:r w:rsidRPr="000149EE">
        <w:rPr>
          <w:rFonts w:ascii="Times New Roman" w:hAnsi="Times New Roman" w:cs="Times New Roman"/>
          <w:bCs/>
          <w:iCs/>
          <w:color w:val="000000" w:themeColor="text1"/>
          <w:sz w:val="28"/>
          <w:szCs w:val="28"/>
        </w:rPr>
        <w:t xml:space="preserve"> este sentido, en la sentencia C-384 de 2023 la Corte re</w:t>
      </w:r>
      <w:r w:rsidRPr="000149EE">
        <w:rPr>
          <w:rFonts w:ascii="Times New Roman" w:hAnsi="Times New Roman" w:cs="Times New Roman"/>
          <w:bCs/>
          <w:iCs/>
          <w:color w:val="000000" w:themeColor="text1"/>
          <w:sz w:val="28"/>
          <w:szCs w:val="28"/>
        </w:rPr>
        <w:t>saltó</w:t>
      </w:r>
      <w:r w:rsidRPr="000149EE">
        <w:rPr>
          <w:rFonts w:ascii="Times New Roman" w:hAnsi="Times New Roman" w:cs="Times New Roman"/>
          <w:bCs/>
          <w:iCs/>
          <w:color w:val="000000" w:themeColor="text1"/>
          <w:sz w:val="28"/>
          <w:szCs w:val="28"/>
        </w:rPr>
        <w:t xml:space="preserve"> </w:t>
      </w:r>
      <w:r w:rsidRPr="000149EE">
        <w:rPr>
          <w:rFonts w:ascii="Times New Roman" w:hAnsi="Times New Roman" w:cs="Times New Roman"/>
          <w:bCs/>
          <w:iCs/>
          <w:color w:val="000000" w:themeColor="text1"/>
          <w:sz w:val="28"/>
          <w:szCs w:val="28"/>
        </w:rPr>
        <w:t xml:space="preserve">que </w:t>
      </w:r>
      <w:r w:rsidRPr="000149EE">
        <w:rPr>
          <w:rFonts w:ascii="Times New Roman" w:hAnsi="Times New Roman" w:cs="Times New Roman"/>
          <w:bCs/>
          <w:iCs/>
          <w:color w:val="000000" w:themeColor="text1"/>
          <w:sz w:val="28"/>
          <w:szCs w:val="28"/>
        </w:rPr>
        <w:t xml:space="preserve">la tarifa diferencial prevista en el artículo 11 de la </w:t>
      </w:r>
      <w:r w:rsidRPr="000149EE">
        <w:rPr>
          <w:rFonts w:ascii="Times New Roman" w:hAnsi="Times New Roman" w:cs="Times New Roman"/>
          <w:bCs/>
          <w:iCs/>
          <w:color w:val="000000" w:themeColor="text1"/>
          <w:sz w:val="28"/>
          <w:szCs w:val="28"/>
        </w:rPr>
        <w:t>L</w:t>
      </w:r>
      <w:r w:rsidRPr="000149EE">
        <w:rPr>
          <w:rFonts w:ascii="Times New Roman" w:hAnsi="Times New Roman" w:cs="Times New Roman"/>
          <w:bCs/>
          <w:iCs/>
          <w:color w:val="000000" w:themeColor="text1"/>
          <w:sz w:val="28"/>
          <w:szCs w:val="28"/>
        </w:rPr>
        <w:t>ey 2277 de 2022 buscaba “realizar acciones de mejora para garantizar un sistema más eficiente, simple y con mayor equidad horizontal”</w:t>
      </w:r>
      <w:r w:rsidRPr="000149EE">
        <w:rPr>
          <w:rFonts w:ascii="Times New Roman" w:hAnsi="Times New Roman" w:cs="Times New Roman"/>
          <w:bCs/>
          <w:iCs/>
          <w:color w:val="000000" w:themeColor="text1"/>
          <w:sz w:val="28"/>
          <w:szCs w:val="28"/>
          <w:vertAlign w:val="superscript"/>
        </w:rPr>
        <w:footnoteReference w:id="190"/>
      </w:r>
      <w:r w:rsidRPr="000149EE">
        <w:rPr>
          <w:rFonts w:ascii="Times New Roman" w:hAnsi="Times New Roman" w:cs="Times New Roman"/>
          <w:bCs/>
          <w:iCs/>
          <w:color w:val="000000" w:themeColor="text1"/>
          <w:sz w:val="28"/>
          <w:szCs w:val="28"/>
        </w:rPr>
        <w:t>.</w:t>
      </w:r>
    </w:p>
    <w:p w:rsidR="003D5BB5" w:rsidRPr="000149EE" w:rsidRDefault="000149EE" w:rsidP="003D5BB5">
      <w:pPr>
        <w:pStyle w:val="Prrafodelista"/>
        <w:widowControl w:val="0"/>
        <w:spacing w:line="240" w:lineRule="auto"/>
        <w:ind w:left="0"/>
        <w:rPr>
          <w:rFonts w:ascii="Times New Roman" w:hAnsi="Times New Roman"/>
          <w:b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color w:val="000000" w:themeColor="text1"/>
          <w:sz w:val="28"/>
          <w:szCs w:val="28"/>
        </w:rPr>
      </w:pPr>
      <w:r w:rsidRPr="000149EE">
        <w:rPr>
          <w:rFonts w:ascii="Times New Roman" w:hAnsi="Times New Roman" w:cs="Times New Roman"/>
          <w:color w:val="000000" w:themeColor="text1"/>
          <w:sz w:val="28"/>
          <w:szCs w:val="28"/>
        </w:rPr>
        <w:t xml:space="preserve">Con fundamento en tales consideraciones, la Corte concluye que la tarifa diferencial del impuesto a la renta para usuarios industriales de zona franca, prevista en el artículo 11 de la ley 2277 de 2022, persigue finalidades </w:t>
      </w:r>
      <w:r w:rsidRPr="000149EE">
        <w:rPr>
          <w:rFonts w:ascii="Times New Roman" w:hAnsi="Times New Roman" w:cs="Times New Roman"/>
          <w:color w:val="000000" w:themeColor="text1"/>
          <w:sz w:val="28"/>
          <w:szCs w:val="28"/>
        </w:rPr>
        <w:t xml:space="preserve">legítimas </w:t>
      </w:r>
      <w:r w:rsidRPr="000149EE">
        <w:rPr>
          <w:rFonts w:ascii="Times New Roman" w:hAnsi="Times New Roman" w:cs="Times New Roman"/>
          <w:color w:val="000000" w:themeColor="text1"/>
          <w:sz w:val="28"/>
          <w:szCs w:val="28"/>
        </w:rPr>
        <w:t xml:space="preserve">no prohibidas </w:t>
      </w:r>
      <w:r w:rsidRPr="000149EE">
        <w:rPr>
          <w:rFonts w:ascii="Times New Roman" w:hAnsi="Times New Roman" w:cs="Times New Roman"/>
          <w:color w:val="000000" w:themeColor="text1"/>
          <w:sz w:val="28"/>
          <w:szCs w:val="28"/>
        </w:rPr>
        <w:t>por l</w:t>
      </w:r>
      <w:r w:rsidRPr="000149EE">
        <w:rPr>
          <w:rFonts w:ascii="Times New Roman" w:hAnsi="Times New Roman" w:cs="Times New Roman"/>
          <w:color w:val="000000" w:themeColor="text1"/>
          <w:sz w:val="28"/>
          <w:szCs w:val="28"/>
        </w:rPr>
        <w:t>a Constitución</w:t>
      </w:r>
      <w:r w:rsidRPr="000149EE">
        <w:rPr>
          <w:rFonts w:ascii="Times New Roman" w:hAnsi="Times New Roman" w:cs="Times New Roman"/>
          <w:color w:val="000000" w:themeColor="text1"/>
          <w:sz w:val="28"/>
          <w:szCs w:val="28"/>
        </w:rPr>
        <w:t xml:space="preserve">. </w:t>
      </w:r>
    </w:p>
    <w:p w:rsidR="003D5BB5" w:rsidRPr="000149EE" w:rsidRDefault="000149EE" w:rsidP="003D5BB5">
      <w:pPr>
        <w:rPr>
          <w:rFonts w:ascii="Times New Roman" w:hAnsi="Times New Roman" w:cs="Times New Roman"/>
          <w:color w:val="000000" w:themeColor="text1"/>
          <w:sz w:val="28"/>
          <w:szCs w:val="28"/>
        </w:rPr>
      </w:pPr>
    </w:p>
    <w:p w:rsidR="00794921" w:rsidRPr="000149EE" w:rsidRDefault="000149EE" w:rsidP="003D5BB5">
      <w:pPr>
        <w:rPr>
          <w:rFonts w:ascii="Times New Roman" w:hAnsi="Times New Roman" w:cs="Times New Roman"/>
          <w:color w:val="000000" w:themeColor="text1"/>
          <w:sz w:val="28"/>
          <w:szCs w:val="28"/>
        </w:rPr>
      </w:pPr>
    </w:p>
    <w:p w:rsidR="003D5BB5" w:rsidRPr="000149EE" w:rsidRDefault="000149EE" w:rsidP="003D5BB5">
      <w:pPr>
        <w:pStyle w:val="Prrafodelista"/>
        <w:widowControl w:val="0"/>
        <w:numPr>
          <w:ilvl w:val="0"/>
          <w:numId w:val="20"/>
        </w:numPr>
        <w:tabs>
          <w:tab w:val="left" w:pos="709"/>
        </w:tabs>
        <w:ind w:left="709" w:hanging="567"/>
        <w:rPr>
          <w:rFonts w:ascii="Times New Roman" w:hAnsi="Times New Roman"/>
          <w:b/>
          <w:bCs/>
          <w:color w:val="000000" w:themeColor="text1"/>
          <w:sz w:val="28"/>
        </w:rPr>
      </w:pPr>
      <w:r w:rsidRPr="000149EE">
        <w:rPr>
          <w:rFonts w:ascii="Times New Roman" w:hAnsi="Times New Roman"/>
          <w:b/>
          <w:bCs/>
          <w:color w:val="000000" w:themeColor="text1"/>
          <w:sz w:val="28"/>
        </w:rPr>
        <w:t xml:space="preserve">La tarifa diferencial es una medida idónea </w:t>
      </w:r>
    </w:p>
    <w:p w:rsidR="003D5BB5" w:rsidRPr="000149EE" w:rsidRDefault="000149EE" w:rsidP="003D5BB5">
      <w:pPr>
        <w:rPr>
          <w:rFonts w:ascii="Times New Roman" w:hAnsi="Times New Roman" w:cs="Times New Roman"/>
          <w:iCs/>
          <w:color w:val="000000" w:themeColor="text1"/>
          <w:sz w:val="28"/>
          <w:szCs w:val="28"/>
        </w:rPr>
      </w:pPr>
    </w:p>
    <w:p w:rsidR="003D5BB5" w:rsidRPr="000149EE" w:rsidRDefault="000149EE" w:rsidP="006046A7">
      <w:pPr>
        <w:numPr>
          <w:ilvl w:val="0"/>
          <w:numId w:val="3"/>
        </w:numPr>
        <w:tabs>
          <w:tab w:val="left" w:pos="567"/>
        </w:tabs>
        <w:ind w:left="0" w:firstLine="0"/>
        <w:rPr>
          <w:rFonts w:ascii="Times New Roman" w:hAnsi="Times New Roman" w:cs="Times New Roman"/>
          <w:iCs/>
          <w:color w:val="000000" w:themeColor="text1"/>
          <w:sz w:val="28"/>
          <w:szCs w:val="28"/>
        </w:rPr>
      </w:pPr>
      <w:r w:rsidRPr="000149EE">
        <w:rPr>
          <w:rFonts w:ascii="Times New Roman" w:hAnsi="Times New Roman" w:cs="Times New Roman"/>
          <w:iCs/>
          <w:color w:val="000000" w:themeColor="text1"/>
          <w:sz w:val="28"/>
          <w:szCs w:val="28"/>
        </w:rPr>
        <w:t xml:space="preserve">La Corte Constitucional considera que la tarifa diferencial del impuesto a la renta para los usuarios industriales de zona franca es un instrumento idóneo para alcanzar las finalidades que persigue. </w:t>
      </w: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Cs/>
          <w:color w:val="000000" w:themeColor="text1"/>
          <w:sz w:val="28"/>
          <w:szCs w:val="28"/>
        </w:rPr>
      </w:pPr>
      <w:r w:rsidRPr="000149EE">
        <w:rPr>
          <w:rFonts w:ascii="Times New Roman" w:hAnsi="Times New Roman" w:cs="Times New Roman"/>
          <w:i/>
          <w:color w:val="000000" w:themeColor="text1"/>
          <w:sz w:val="28"/>
          <w:szCs w:val="28"/>
        </w:rPr>
        <w:t>Primero</w:t>
      </w:r>
      <w:r w:rsidRPr="000149EE">
        <w:rPr>
          <w:rFonts w:ascii="Times New Roman" w:hAnsi="Times New Roman" w:cs="Times New Roman"/>
          <w:iCs/>
          <w:color w:val="000000" w:themeColor="text1"/>
          <w:sz w:val="28"/>
          <w:szCs w:val="28"/>
        </w:rPr>
        <w:t>. La tarifa preferencial (20%) aplicable a los i</w:t>
      </w:r>
      <w:r w:rsidRPr="000149EE">
        <w:rPr>
          <w:rFonts w:ascii="Times New Roman" w:hAnsi="Times New Roman" w:cs="Times New Roman"/>
          <w:iCs/>
          <w:color w:val="000000" w:themeColor="text1"/>
          <w:sz w:val="28"/>
          <w:szCs w:val="28"/>
        </w:rPr>
        <w:t>ngresos provenientes de exportación de los usuarios industriales que suscriban el PI</w:t>
      </w:r>
      <w:r w:rsidRPr="000149EE">
        <w:rPr>
          <w:rFonts w:ascii="Times New Roman" w:hAnsi="Times New Roman" w:cs="Times New Roman"/>
          <w:iCs/>
          <w:color w:val="000000" w:themeColor="text1"/>
          <w:sz w:val="28"/>
          <w:szCs w:val="28"/>
        </w:rPr>
        <w:t>A</w:t>
      </w:r>
      <w:r w:rsidRPr="000149EE">
        <w:rPr>
          <w:rFonts w:ascii="Times New Roman" w:hAnsi="Times New Roman" w:cs="Times New Roman"/>
          <w:iCs/>
          <w:color w:val="000000" w:themeColor="text1"/>
          <w:sz w:val="28"/>
          <w:szCs w:val="28"/>
        </w:rPr>
        <w:t>V, contribuye al fomento de la exportación y a la competitividad. Esto es así, fundamentalmente</w:t>
      </w:r>
      <w:r w:rsidRPr="000149EE">
        <w:rPr>
          <w:rFonts w:ascii="Times New Roman" w:hAnsi="Times New Roman" w:cs="Times New Roman"/>
          <w:iCs/>
          <w:color w:val="000000" w:themeColor="text1"/>
          <w:sz w:val="28"/>
          <w:szCs w:val="28"/>
        </w:rPr>
        <w:t>,</w:t>
      </w:r>
      <w:r w:rsidRPr="000149EE">
        <w:rPr>
          <w:rFonts w:ascii="Times New Roman" w:hAnsi="Times New Roman" w:cs="Times New Roman"/>
          <w:iCs/>
          <w:color w:val="000000" w:themeColor="text1"/>
          <w:sz w:val="28"/>
          <w:szCs w:val="28"/>
        </w:rPr>
        <w:t xml:space="preserve"> porque su aplicación reduce la carga fiscal de las empresas exportadoras. </w:t>
      </w:r>
      <w:r w:rsidRPr="000149EE">
        <w:rPr>
          <w:rFonts w:ascii="Times New Roman" w:hAnsi="Times New Roman" w:cs="Times New Roman"/>
          <w:iCs/>
          <w:color w:val="000000" w:themeColor="text1"/>
          <w:sz w:val="28"/>
          <w:szCs w:val="28"/>
        </w:rPr>
        <w:t xml:space="preserve">Así lo </w:t>
      </w:r>
      <w:r w:rsidRPr="000149EE">
        <w:rPr>
          <w:rFonts w:ascii="Times New Roman" w:hAnsi="Times New Roman" w:cs="Times New Roman"/>
          <w:iCs/>
          <w:color w:val="000000" w:themeColor="text1"/>
          <w:sz w:val="28"/>
          <w:szCs w:val="28"/>
        </w:rPr>
        <w:t>determinó</w:t>
      </w:r>
      <w:r w:rsidRPr="000149EE">
        <w:rPr>
          <w:rFonts w:ascii="Times New Roman" w:hAnsi="Times New Roman" w:cs="Times New Roman"/>
          <w:iCs/>
          <w:color w:val="000000" w:themeColor="text1"/>
          <w:sz w:val="28"/>
          <w:szCs w:val="28"/>
        </w:rPr>
        <w:t xml:space="preserve"> la Corte en la sentencia C-304 de 2019, en la que explicó que las tarifas especiales para el cobro de un impuesto constituyen una medida idónea y razonable para fomentar la inversión e impulsar el crecimiento económico</w:t>
      </w:r>
      <w:r w:rsidRPr="000149EE">
        <w:rPr>
          <w:rFonts w:ascii="Times New Roman" w:hAnsi="Times New Roman" w:cs="Times New Roman"/>
          <w:iCs/>
          <w:color w:val="000000" w:themeColor="text1"/>
          <w:sz w:val="28"/>
          <w:szCs w:val="28"/>
          <w:vertAlign w:val="superscript"/>
        </w:rPr>
        <w:footnoteReference w:id="191"/>
      </w:r>
      <w:r w:rsidRPr="000149EE">
        <w:rPr>
          <w:rFonts w:ascii="Times New Roman" w:hAnsi="Times New Roman" w:cs="Times New Roman"/>
          <w:iCs/>
          <w:color w:val="000000" w:themeColor="text1"/>
          <w:sz w:val="28"/>
          <w:szCs w:val="28"/>
        </w:rPr>
        <w:t>. Esto, en la medida</w:t>
      </w:r>
      <w:r w:rsidRPr="000149EE">
        <w:rPr>
          <w:rFonts w:ascii="Times New Roman" w:hAnsi="Times New Roman" w:cs="Times New Roman"/>
          <w:iCs/>
          <w:color w:val="000000" w:themeColor="text1"/>
          <w:sz w:val="28"/>
          <w:szCs w:val="28"/>
        </w:rPr>
        <w:t xml:space="preserve"> en que facilitan que los bienes y servicios sean ofrecidos en los mercados que los demandan, lo que maximiza </w:t>
      </w:r>
      <w:r w:rsidRPr="000149EE">
        <w:rPr>
          <w:rFonts w:ascii="Times New Roman" w:hAnsi="Times New Roman" w:cs="Times New Roman"/>
          <w:iCs/>
          <w:color w:val="000000" w:themeColor="text1"/>
          <w:sz w:val="28"/>
          <w:szCs w:val="28"/>
        </w:rPr>
        <w:t>la</w:t>
      </w:r>
      <w:r w:rsidRPr="000149EE">
        <w:rPr>
          <w:rFonts w:ascii="Times New Roman" w:hAnsi="Times New Roman" w:cs="Times New Roman"/>
          <w:iCs/>
          <w:color w:val="000000" w:themeColor="text1"/>
          <w:sz w:val="28"/>
          <w:szCs w:val="28"/>
        </w:rPr>
        <w:t xml:space="preserve"> rentabilidad</w:t>
      </w:r>
      <w:r w:rsidRPr="000149EE">
        <w:rPr>
          <w:rFonts w:ascii="Times New Roman" w:hAnsi="Times New Roman" w:cs="Times New Roman"/>
          <w:iCs/>
          <w:color w:val="000000" w:themeColor="text1"/>
          <w:sz w:val="28"/>
          <w:szCs w:val="28"/>
        </w:rPr>
        <w:t xml:space="preserve"> de los exportadores</w:t>
      </w:r>
      <w:r w:rsidRPr="000149EE">
        <w:rPr>
          <w:rFonts w:ascii="Times New Roman" w:hAnsi="Times New Roman" w:cs="Times New Roman"/>
          <w:iCs/>
          <w:color w:val="000000" w:themeColor="text1"/>
          <w:sz w:val="28"/>
          <w:szCs w:val="28"/>
        </w:rPr>
        <w:t>. Asimismo, como lo advirtieron el MHCP y el DAPRE</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este beneficio tributario permite que los usuarios industri</w:t>
      </w:r>
      <w:r w:rsidRPr="000149EE">
        <w:rPr>
          <w:rFonts w:ascii="Times New Roman" w:hAnsi="Times New Roman" w:cs="Times New Roman"/>
          <w:iCs/>
          <w:color w:val="000000" w:themeColor="text1"/>
          <w:sz w:val="28"/>
          <w:szCs w:val="28"/>
        </w:rPr>
        <w:t>ales exportadores “puedan competir frente a compañías extranjeras que se benefician de impuestos corporativos inferiores”.</w:t>
      </w:r>
    </w:p>
    <w:p w:rsidR="003D5BB5" w:rsidRPr="000149EE" w:rsidRDefault="000149EE" w:rsidP="003D5BB5">
      <w:pPr>
        <w:pStyle w:val="Prrafodelista"/>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bCs/>
          <w:iCs/>
          <w:color w:val="000000" w:themeColor="text1"/>
          <w:sz w:val="28"/>
          <w:szCs w:val="28"/>
        </w:rPr>
      </w:pPr>
      <w:r w:rsidRPr="000149EE">
        <w:rPr>
          <w:rFonts w:ascii="Times New Roman" w:hAnsi="Times New Roman" w:cs="Times New Roman"/>
          <w:iCs/>
          <w:color w:val="000000" w:themeColor="text1"/>
          <w:sz w:val="28"/>
          <w:szCs w:val="28"/>
        </w:rPr>
        <w:t xml:space="preserve">La Sala advierte que la tarifa diferencial no sólo es una medida idónea en abstracto. Existe información técnica que demuestra que, </w:t>
      </w:r>
      <w:r w:rsidRPr="000149EE">
        <w:rPr>
          <w:rFonts w:ascii="Times New Roman" w:hAnsi="Times New Roman" w:cs="Times New Roman"/>
          <w:iCs/>
          <w:color w:val="000000" w:themeColor="text1"/>
          <w:sz w:val="28"/>
          <w:szCs w:val="28"/>
        </w:rPr>
        <w:t xml:space="preserve">desde la entrada en vigor de la reforma tributaria que la Ley 2277 de 2022 adoptó, la actividad exportadora de los usuarios de zonas francas ha incrementado. En efecto así lo reconoció la sentencia C-384 de 2023. En esta sentencia, la Corte resaltó que </w:t>
      </w:r>
      <w:r w:rsidRPr="000149EE">
        <w:rPr>
          <w:rFonts w:ascii="Times New Roman" w:hAnsi="Times New Roman" w:cs="Times New Roman"/>
          <w:bCs/>
          <w:iCs/>
          <w:color w:val="000000" w:themeColor="text1"/>
          <w:sz w:val="28"/>
          <w:szCs w:val="28"/>
        </w:rPr>
        <w:t xml:space="preserve">el </w:t>
      </w:r>
      <w:r w:rsidRPr="000149EE">
        <w:rPr>
          <w:rFonts w:ascii="Times New Roman" w:hAnsi="Times New Roman" w:cs="Times New Roman"/>
          <w:bCs/>
          <w:iCs/>
          <w:color w:val="000000" w:themeColor="text1"/>
          <w:sz w:val="28"/>
          <w:szCs w:val="28"/>
        </w:rPr>
        <w:t>boletín técnico de junio de 2023 del DANE sobre zonas francas indicó que “las exportaciones de mercancías desde esas zonas incrementaron en un 31.6%, con relación al mes de junio de 2022, por las salidas al resto del mundo de bienes procesados o transforma</w:t>
      </w:r>
      <w:r w:rsidRPr="000149EE">
        <w:rPr>
          <w:rFonts w:ascii="Times New Roman" w:hAnsi="Times New Roman" w:cs="Times New Roman"/>
          <w:bCs/>
          <w:iCs/>
          <w:color w:val="000000" w:themeColor="text1"/>
          <w:sz w:val="28"/>
          <w:szCs w:val="28"/>
        </w:rPr>
        <w:t>dos por usuarios industriales de zonas francas”</w:t>
      </w:r>
      <w:r w:rsidRPr="000149EE">
        <w:rPr>
          <w:rFonts w:ascii="Times New Roman" w:hAnsi="Times New Roman" w:cs="Times New Roman"/>
          <w:bCs/>
          <w:iCs/>
          <w:color w:val="000000" w:themeColor="text1"/>
          <w:sz w:val="28"/>
          <w:szCs w:val="28"/>
          <w:vertAlign w:val="superscript"/>
        </w:rPr>
        <w:footnoteReference w:id="192"/>
      </w:r>
      <w:r w:rsidRPr="000149EE">
        <w:rPr>
          <w:rFonts w:ascii="Times New Roman" w:hAnsi="Times New Roman" w:cs="Times New Roman"/>
          <w:bCs/>
          <w:iCs/>
          <w:color w:val="000000" w:themeColor="text1"/>
          <w:sz w:val="28"/>
          <w:szCs w:val="28"/>
        </w:rPr>
        <w:t>.</w:t>
      </w:r>
      <w:r w:rsidRPr="000149EE">
        <w:rPr>
          <w:rFonts w:ascii="Times New Roman" w:hAnsi="Times New Roman" w:cs="Times New Roman"/>
          <w:bCs/>
          <w:iCs/>
          <w:color w:val="000000" w:themeColor="text1"/>
          <w:sz w:val="28"/>
          <w:szCs w:val="28"/>
        </w:rPr>
        <w:t xml:space="preserve"> De igual manera, la Sala constata que de acuerdo con el </w:t>
      </w:r>
      <w:r w:rsidRPr="000149EE">
        <w:rPr>
          <w:rFonts w:ascii="Times New Roman" w:hAnsi="Times New Roman" w:cs="Times New Roman"/>
          <w:bCs/>
          <w:iCs/>
          <w:color w:val="000000" w:themeColor="text1"/>
          <w:sz w:val="28"/>
          <w:szCs w:val="28"/>
        </w:rPr>
        <w:t>b</w:t>
      </w:r>
      <w:r w:rsidRPr="000149EE">
        <w:rPr>
          <w:rFonts w:ascii="Times New Roman" w:hAnsi="Times New Roman" w:cs="Times New Roman"/>
          <w:bCs/>
          <w:iCs/>
          <w:color w:val="000000" w:themeColor="text1"/>
          <w:sz w:val="28"/>
          <w:szCs w:val="28"/>
        </w:rPr>
        <w:t xml:space="preserve">oletín técnico de </w:t>
      </w:r>
      <w:r w:rsidRPr="000149EE">
        <w:rPr>
          <w:rFonts w:ascii="Times New Roman" w:hAnsi="Times New Roman" w:cs="Times New Roman"/>
          <w:bCs/>
          <w:iCs/>
          <w:color w:val="000000" w:themeColor="text1"/>
          <w:sz w:val="28"/>
          <w:szCs w:val="28"/>
        </w:rPr>
        <w:t>C</w:t>
      </w:r>
      <w:r w:rsidRPr="000149EE">
        <w:rPr>
          <w:rFonts w:ascii="Times New Roman" w:hAnsi="Times New Roman" w:cs="Times New Roman"/>
          <w:bCs/>
          <w:iCs/>
          <w:color w:val="000000" w:themeColor="text1"/>
          <w:sz w:val="28"/>
          <w:szCs w:val="28"/>
        </w:rPr>
        <w:t xml:space="preserve">omercio </w:t>
      </w:r>
      <w:r w:rsidRPr="000149EE">
        <w:rPr>
          <w:rFonts w:ascii="Times New Roman" w:hAnsi="Times New Roman" w:cs="Times New Roman"/>
          <w:bCs/>
          <w:iCs/>
          <w:color w:val="000000" w:themeColor="text1"/>
          <w:sz w:val="28"/>
          <w:szCs w:val="28"/>
        </w:rPr>
        <w:t xml:space="preserve">Exterior </w:t>
      </w:r>
      <w:r w:rsidRPr="000149EE">
        <w:rPr>
          <w:rFonts w:ascii="Times New Roman" w:hAnsi="Times New Roman" w:cs="Times New Roman"/>
          <w:bCs/>
          <w:iCs/>
          <w:color w:val="000000" w:themeColor="text1"/>
          <w:sz w:val="28"/>
          <w:szCs w:val="28"/>
        </w:rPr>
        <w:t xml:space="preserve">y </w:t>
      </w:r>
      <w:r w:rsidRPr="000149EE">
        <w:rPr>
          <w:rFonts w:ascii="Times New Roman" w:hAnsi="Times New Roman" w:cs="Times New Roman"/>
          <w:bCs/>
          <w:iCs/>
          <w:color w:val="000000" w:themeColor="text1"/>
          <w:sz w:val="28"/>
          <w:szCs w:val="28"/>
        </w:rPr>
        <w:t xml:space="preserve">Movimiento </w:t>
      </w:r>
      <w:r w:rsidRPr="000149EE">
        <w:rPr>
          <w:rFonts w:ascii="Times New Roman" w:hAnsi="Times New Roman" w:cs="Times New Roman"/>
          <w:bCs/>
          <w:iCs/>
          <w:color w:val="000000" w:themeColor="text1"/>
          <w:sz w:val="28"/>
          <w:szCs w:val="28"/>
        </w:rPr>
        <w:t xml:space="preserve">de </w:t>
      </w:r>
      <w:r w:rsidRPr="000149EE">
        <w:rPr>
          <w:rFonts w:ascii="Times New Roman" w:hAnsi="Times New Roman" w:cs="Times New Roman"/>
          <w:bCs/>
          <w:iCs/>
          <w:color w:val="000000" w:themeColor="text1"/>
          <w:sz w:val="28"/>
          <w:szCs w:val="28"/>
        </w:rPr>
        <w:t xml:space="preserve">Mercancías </w:t>
      </w:r>
      <w:r w:rsidRPr="000149EE">
        <w:rPr>
          <w:rFonts w:ascii="Times New Roman" w:hAnsi="Times New Roman" w:cs="Times New Roman"/>
          <w:bCs/>
          <w:iCs/>
          <w:color w:val="000000" w:themeColor="text1"/>
          <w:sz w:val="28"/>
          <w:szCs w:val="28"/>
        </w:rPr>
        <w:t xml:space="preserve">de </w:t>
      </w:r>
      <w:r w:rsidRPr="000149EE">
        <w:rPr>
          <w:rFonts w:ascii="Times New Roman" w:hAnsi="Times New Roman" w:cs="Times New Roman"/>
          <w:bCs/>
          <w:iCs/>
          <w:color w:val="000000" w:themeColor="text1"/>
          <w:sz w:val="28"/>
          <w:szCs w:val="28"/>
        </w:rPr>
        <w:t>Zonas Francas de diciembre de 2023</w:t>
      </w:r>
      <w:r w:rsidRPr="000149EE">
        <w:rPr>
          <w:rFonts w:ascii="Times New Roman" w:hAnsi="Times New Roman" w:cs="Times New Roman"/>
          <w:bCs/>
          <w:iCs/>
          <w:color w:val="000000" w:themeColor="text1"/>
          <w:sz w:val="28"/>
          <w:szCs w:val="28"/>
        </w:rPr>
        <w:t xml:space="preserve"> del DANE,</w:t>
      </w:r>
      <w:r w:rsidRPr="000149EE">
        <w:rPr>
          <w:rFonts w:ascii="Times New Roman" w:hAnsi="Times New Roman" w:cs="Times New Roman"/>
          <w:bCs/>
          <w:iCs/>
          <w:color w:val="000000" w:themeColor="text1"/>
          <w:sz w:val="28"/>
          <w:szCs w:val="28"/>
        </w:rPr>
        <w:t xml:space="preserve"> “en diciembre de 2023 las exportaciones de mercancías desde las zonas francas colombianas registraron un aumento de</w:t>
      </w:r>
      <w:r w:rsidRPr="000149EE">
        <w:rPr>
          <w:rFonts w:ascii="Times New Roman" w:hAnsi="Times New Roman" w:cs="Times New Roman"/>
          <w:bCs/>
          <w:iCs/>
          <w:color w:val="000000" w:themeColor="text1"/>
          <w:sz w:val="28"/>
          <w:szCs w:val="28"/>
        </w:rPr>
        <w:t xml:space="preserve">l </w:t>
      </w:r>
      <w:r w:rsidRPr="000149EE">
        <w:rPr>
          <w:rFonts w:ascii="Times New Roman" w:hAnsi="Times New Roman" w:cs="Times New Roman"/>
          <w:bCs/>
          <w:iCs/>
          <w:color w:val="000000" w:themeColor="text1"/>
          <w:sz w:val="28"/>
          <w:szCs w:val="28"/>
        </w:rPr>
        <w:t>53,9%, al pasar de US$201,0 millones FOB en diciembre 2022 a US$309,2 millones FOB en el mismo mes de 2023”</w:t>
      </w:r>
      <w:r w:rsidRPr="000149EE">
        <w:rPr>
          <w:rStyle w:val="Refdenotaalpie"/>
          <w:rFonts w:ascii="Times New Roman" w:hAnsi="Times New Roman" w:cs="Times New Roman"/>
          <w:bCs/>
          <w:iCs/>
          <w:color w:val="000000" w:themeColor="text1"/>
          <w:sz w:val="28"/>
          <w:szCs w:val="28"/>
        </w:rPr>
        <w:footnoteReference w:id="193"/>
      </w:r>
      <w:r w:rsidRPr="000149EE">
        <w:rPr>
          <w:rFonts w:ascii="Times New Roman" w:hAnsi="Times New Roman" w:cs="Times New Roman"/>
          <w:bCs/>
          <w:iCs/>
          <w:color w:val="000000" w:themeColor="text1"/>
          <w:sz w:val="28"/>
          <w:szCs w:val="28"/>
        </w:rPr>
        <w:t>.</w:t>
      </w: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Cs/>
          <w:color w:val="000000" w:themeColor="text1"/>
          <w:sz w:val="28"/>
          <w:szCs w:val="28"/>
        </w:rPr>
      </w:pPr>
      <w:r w:rsidRPr="000149EE">
        <w:rPr>
          <w:rFonts w:ascii="Times New Roman" w:hAnsi="Times New Roman" w:cs="Times New Roman"/>
          <w:i/>
          <w:color w:val="000000" w:themeColor="text1"/>
          <w:sz w:val="28"/>
          <w:szCs w:val="28"/>
        </w:rPr>
        <w:t>Segundo</w:t>
      </w:r>
      <w:r w:rsidRPr="000149EE">
        <w:rPr>
          <w:rFonts w:ascii="Times New Roman" w:hAnsi="Times New Roman" w:cs="Times New Roman"/>
          <w:iCs/>
          <w:color w:val="000000" w:themeColor="text1"/>
          <w:sz w:val="28"/>
          <w:szCs w:val="28"/>
        </w:rPr>
        <w:t xml:space="preserve">. La tarifa </w:t>
      </w:r>
      <w:r w:rsidRPr="000149EE">
        <w:rPr>
          <w:rFonts w:ascii="Times New Roman" w:hAnsi="Times New Roman" w:cs="Times New Roman"/>
          <w:iCs/>
          <w:color w:val="000000" w:themeColor="text1"/>
          <w:sz w:val="28"/>
          <w:szCs w:val="28"/>
        </w:rPr>
        <w:t>diferencial también contribuye a corregir las asimetrías tributarias</w:t>
      </w:r>
      <w:r w:rsidRPr="000149EE">
        <w:rPr>
          <w:rFonts w:ascii="Times New Roman" w:hAnsi="Times New Roman" w:cs="Times New Roman"/>
          <w:iCs/>
          <w:color w:val="000000" w:themeColor="text1"/>
          <w:sz w:val="28"/>
          <w:szCs w:val="28"/>
        </w:rPr>
        <w:t xml:space="preserve"> identificadas</w:t>
      </w:r>
      <w:r w:rsidRPr="000149EE">
        <w:rPr>
          <w:rFonts w:ascii="Times New Roman" w:hAnsi="Times New Roman" w:cs="Times New Roman"/>
          <w:iCs/>
          <w:color w:val="000000" w:themeColor="text1"/>
          <w:sz w:val="28"/>
          <w:szCs w:val="28"/>
        </w:rPr>
        <w:t>, lo que materializa</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e</w:t>
      </w:r>
      <w:r w:rsidRPr="000149EE">
        <w:rPr>
          <w:rFonts w:ascii="Times New Roman" w:hAnsi="Times New Roman" w:cs="Times New Roman"/>
          <w:iCs/>
          <w:color w:val="000000" w:themeColor="text1"/>
          <w:sz w:val="28"/>
          <w:szCs w:val="28"/>
        </w:rPr>
        <w:t xml:space="preserve">l principio de </w:t>
      </w:r>
      <w:r w:rsidRPr="000149EE">
        <w:rPr>
          <w:rFonts w:ascii="Times New Roman" w:hAnsi="Times New Roman" w:cs="Times New Roman"/>
          <w:iCs/>
          <w:color w:val="000000" w:themeColor="text1"/>
          <w:sz w:val="28"/>
          <w:szCs w:val="28"/>
        </w:rPr>
        <w:t>igualdad</w:t>
      </w:r>
      <w:r w:rsidRPr="000149EE">
        <w:rPr>
          <w:rFonts w:ascii="Times New Roman" w:hAnsi="Times New Roman" w:cs="Times New Roman"/>
          <w:iCs/>
          <w:color w:val="000000" w:themeColor="text1"/>
          <w:sz w:val="28"/>
          <w:szCs w:val="28"/>
        </w:rPr>
        <w:t>, así como los principios de</w:t>
      </w:r>
      <w:r w:rsidRPr="000149EE">
        <w:rPr>
          <w:rFonts w:ascii="Times New Roman" w:hAnsi="Times New Roman" w:cs="Times New Roman"/>
          <w:iCs/>
          <w:color w:val="000000" w:themeColor="text1"/>
          <w:sz w:val="28"/>
          <w:szCs w:val="28"/>
        </w:rPr>
        <w:t xml:space="preserve"> equidad</w:t>
      </w:r>
      <w:r w:rsidRPr="000149EE">
        <w:rPr>
          <w:rFonts w:ascii="Times New Roman" w:hAnsi="Times New Roman" w:cs="Times New Roman"/>
          <w:iCs/>
          <w:color w:val="000000" w:themeColor="text1"/>
          <w:sz w:val="28"/>
          <w:szCs w:val="28"/>
        </w:rPr>
        <w:t>, justicia y eficiencia</w:t>
      </w:r>
      <w:r w:rsidRPr="000149EE">
        <w:rPr>
          <w:rFonts w:ascii="Times New Roman" w:hAnsi="Times New Roman" w:cs="Times New Roman"/>
          <w:iCs/>
          <w:color w:val="000000" w:themeColor="text1"/>
          <w:sz w:val="28"/>
          <w:szCs w:val="28"/>
        </w:rPr>
        <w:t xml:space="preserve"> tributaria en el régimen franco. Como se expuso, el artículo 11 de la</w:t>
      </w:r>
      <w:r w:rsidRPr="000149EE">
        <w:rPr>
          <w:rFonts w:ascii="Times New Roman" w:hAnsi="Times New Roman" w:cs="Times New Roman"/>
          <w:iCs/>
          <w:color w:val="000000" w:themeColor="text1"/>
          <w:sz w:val="28"/>
          <w:szCs w:val="28"/>
        </w:rPr>
        <w:t xml:space="preserve"> Ley 2277 de 2022 </w:t>
      </w:r>
      <w:r w:rsidRPr="000149EE">
        <w:rPr>
          <w:rFonts w:ascii="Times New Roman" w:hAnsi="Times New Roman" w:cs="Times New Roman"/>
          <w:iCs/>
          <w:color w:val="000000" w:themeColor="text1"/>
          <w:sz w:val="28"/>
          <w:szCs w:val="28"/>
        </w:rPr>
        <w:t>incrementó la tarifa del impuesto a la renta aplicable a los ingresos de los usuarios de zona franca que no provengan de exportaci</w:t>
      </w:r>
      <w:r w:rsidRPr="000149EE">
        <w:rPr>
          <w:rFonts w:ascii="Times New Roman" w:hAnsi="Times New Roman" w:cs="Times New Roman"/>
          <w:iCs/>
          <w:color w:val="000000" w:themeColor="text1"/>
          <w:sz w:val="28"/>
          <w:szCs w:val="28"/>
        </w:rPr>
        <w:t>ones</w:t>
      </w:r>
      <w:r w:rsidRPr="000149EE">
        <w:rPr>
          <w:rFonts w:ascii="Times New Roman" w:hAnsi="Times New Roman" w:cs="Times New Roman"/>
          <w:iCs/>
          <w:color w:val="000000" w:themeColor="text1"/>
          <w:sz w:val="28"/>
          <w:szCs w:val="28"/>
        </w:rPr>
        <w:t xml:space="preserve">. En particular, </w:t>
      </w:r>
      <w:r w:rsidRPr="000149EE">
        <w:rPr>
          <w:rFonts w:ascii="Times New Roman" w:hAnsi="Times New Roman" w:cs="Times New Roman"/>
          <w:iCs/>
          <w:color w:val="000000" w:themeColor="text1"/>
          <w:sz w:val="28"/>
          <w:szCs w:val="28"/>
        </w:rPr>
        <w:t>dispuso que a</w:t>
      </w:r>
      <w:r w:rsidRPr="000149EE">
        <w:rPr>
          <w:rFonts w:ascii="Times New Roman" w:hAnsi="Times New Roman" w:cs="Times New Roman"/>
          <w:iCs/>
          <w:color w:val="000000" w:themeColor="text1"/>
          <w:sz w:val="28"/>
          <w:szCs w:val="28"/>
        </w:rPr>
        <w:t xml:space="preserve"> estos ingresos</w:t>
      </w:r>
      <w:r w:rsidRPr="000149EE">
        <w:rPr>
          <w:rFonts w:ascii="Times New Roman" w:hAnsi="Times New Roman" w:cs="Times New Roman"/>
          <w:iCs/>
          <w:color w:val="000000" w:themeColor="text1"/>
          <w:sz w:val="28"/>
          <w:szCs w:val="28"/>
        </w:rPr>
        <w:t xml:space="preserve"> se les aplicaría la tarifa general del impuesto a la renta</w:t>
      </w:r>
      <w:r w:rsidRPr="000149EE">
        <w:rPr>
          <w:rFonts w:ascii="Times New Roman" w:hAnsi="Times New Roman" w:cs="Times New Roman"/>
          <w:iCs/>
          <w:color w:val="000000" w:themeColor="text1"/>
          <w:sz w:val="28"/>
          <w:szCs w:val="28"/>
        </w:rPr>
        <w:t xml:space="preserve"> para personas jurídicas prevista en el artículo 240 del ET (35%)</w:t>
      </w:r>
      <w:r w:rsidRPr="000149EE">
        <w:rPr>
          <w:rFonts w:ascii="Times New Roman" w:hAnsi="Times New Roman" w:cs="Times New Roman"/>
          <w:iCs/>
          <w:color w:val="000000" w:themeColor="text1"/>
          <w:sz w:val="28"/>
          <w:szCs w:val="28"/>
        </w:rPr>
        <w:t xml:space="preserve">, en lugar de la tarifa especial </w:t>
      </w:r>
      <w:r w:rsidRPr="000149EE">
        <w:rPr>
          <w:rFonts w:ascii="Times New Roman" w:hAnsi="Times New Roman" w:cs="Times New Roman"/>
          <w:iCs/>
          <w:color w:val="000000" w:themeColor="text1"/>
          <w:sz w:val="28"/>
          <w:szCs w:val="28"/>
        </w:rPr>
        <w:t xml:space="preserve">que antes estaba prevista en el </w:t>
      </w:r>
      <w:r w:rsidRPr="000149EE">
        <w:rPr>
          <w:rFonts w:ascii="Times New Roman" w:hAnsi="Times New Roman" w:cs="Times New Roman"/>
          <w:iCs/>
          <w:color w:val="000000" w:themeColor="text1"/>
          <w:sz w:val="28"/>
          <w:szCs w:val="28"/>
        </w:rPr>
        <w:t xml:space="preserve">inciso 1º del artículo 101 de la Ley 1819 de 2016 (20%). </w:t>
      </w:r>
    </w:p>
    <w:p w:rsidR="003D5BB5" w:rsidRPr="000149EE" w:rsidRDefault="000149EE" w:rsidP="003D5BB5">
      <w:pPr>
        <w:pStyle w:val="Prrafodelista"/>
        <w:rPr>
          <w:rFonts w:ascii="Times New Roman" w:hAnsi="Times New Roman"/>
          <w:iCs/>
          <w:color w:val="000000" w:themeColor="text1"/>
          <w:sz w:val="28"/>
        </w:rPr>
      </w:pPr>
    </w:p>
    <w:p w:rsidR="003D5BB5" w:rsidRPr="000149EE" w:rsidRDefault="000149EE" w:rsidP="006046A7">
      <w:pPr>
        <w:numPr>
          <w:ilvl w:val="0"/>
          <w:numId w:val="3"/>
        </w:numPr>
        <w:tabs>
          <w:tab w:val="left" w:pos="567"/>
        </w:tabs>
        <w:ind w:left="0" w:firstLine="0"/>
        <w:rPr>
          <w:rFonts w:ascii="Times New Roman" w:hAnsi="Times New Roman" w:cs="Times New Roman"/>
          <w:iCs/>
          <w:color w:val="000000" w:themeColor="text1"/>
          <w:sz w:val="28"/>
          <w:szCs w:val="28"/>
        </w:rPr>
      </w:pPr>
      <w:r w:rsidRPr="000149EE">
        <w:rPr>
          <w:rFonts w:ascii="Times New Roman" w:hAnsi="Times New Roman" w:cs="Times New Roman"/>
          <w:iCs/>
          <w:color w:val="000000" w:themeColor="text1"/>
          <w:sz w:val="28"/>
          <w:szCs w:val="28"/>
        </w:rPr>
        <w:t>El</w:t>
      </w:r>
      <w:r w:rsidRPr="000149EE">
        <w:rPr>
          <w:rFonts w:ascii="Times New Roman" w:hAnsi="Times New Roman" w:cs="Times New Roman"/>
          <w:iCs/>
          <w:color w:val="000000" w:themeColor="text1"/>
          <w:sz w:val="28"/>
          <w:szCs w:val="28"/>
        </w:rPr>
        <w:t xml:space="preserve"> incremento de la tarifa </w:t>
      </w:r>
      <w:r w:rsidRPr="000149EE">
        <w:rPr>
          <w:rFonts w:ascii="Times New Roman" w:hAnsi="Times New Roman" w:cs="Times New Roman"/>
          <w:iCs/>
          <w:color w:val="000000" w:themeColor="text1"/>
          <w:sz w:val="28"/>
          <w:szCs w:val="28"/>
        </w:rPr>
        <w:t>de</w:t>
      </w:r>
      <w:r w:rsidRPr="000149EE">
        <w:rPr>
          <w:rFonts w:ascii="Times New Roman" w:hAnsi="Times New Roman" w:cs="Times New Roman"/>
          <w:iCs/>
          <w:color w:val="000000" w:themeColor="text1"/>
          <w:sz w:val="28"/>
          <w:szCs w:val="28"/>
        </w:rPr>
        <w:t>l impuesto a la renta</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previsto</w:t>
      </w:r>
      <w:r w:rsidRPr="000149EE">
        <w:rPr>
          <w:rFonts w:ascii="Times New Roman" w:hAnsi="Times New Roman" w:cs="Times New Roman"/>
          <w:iCs/>
          <w:color w:val="000000" w:themeColor="text1"/>
          <w:sz w:val="28"/>
          <w:szCs w:val="28"/>
        </w:rPr>
        <w:t xml:space="preserve"> en</w:t>
      </w:r>
      <w:r w:rsidRPr="000149EE">
        <w:rPr>
          <w:rFonts w:ascii="Times New Roman" w:hAnsi="Times New Roman" w:cs="Times New Roman"/>
          <w:iCs/>
          <w:color w:val="000000" w:themeColor="text1"/>
          <w:sz w:val="28"/>
          <w:szCs w:val="28"/>
        </w:rPr>
        <w:t xml:space="preserve"> la Ley 2277 de 2022</w:t>
      </w:r>
      <w:r w:rsidRPr="000149EE">
        <w:rPr>
          <w:rFonts w:ascii="Times New Roman" w:hAnsi="Times New Roman" w:cs="Times New Roman"/>
          <w:iCs/>
          <w:color w:val="000000" w:themeColor="text1"/>
          <w:sz w:val="28"/>
          <w:szCs w:val="28"/>
        </w:rPr>
        <w:t xml:space="preserve"> aplicable a </w:t>
      </w:r>
      <w:r w:rsidRPr="000149EE">
        <w:rPr>
          <w:rFonts w:ascii="Times New Roman" w:hAnsi="Times New Roman" w:cs="Times New Roman"/>
          <w:iCs/>
          <w:color w:val="000000" w:themeColor="text1"/>
          <w:sz w:val="28"/>
          <w:szCs w:val="28"/>
        </w:rPr>
        <w:t>los</w:t>
      </w:r>
      <w:r w:rsidRPr="000149EE">
        <w:rPr>
          <w:rFonts w:ascii="Times New Roman" w:hAnsi="Times New Roman" w:cs="Times New Roman"/>
          <w:iCs/>
          <w:color w:val="000000" w:themeColor="text1"/>
          <w:sz w:val="28"/>
          <w:szCs w:val="28"/>
        </w:rPr>
        <w:t xml:space="preserve"> ingresos</w:t>
      </w:r>
      <w:r w:rsidRPr="000149EE">
        <w:rPr>
          <w:rFonts w:ascii="Times New Roman" w:hAnsi="Times New Roman" w:cs="Times New Roman"/>
          <w:iCs/>
          <w:color w:val="000000" w:themeColor="text1"/>
          <w:sz w:val="28"/>
          <w:szCs w:val="28"/>
        </w:rPr>
        <w:t xml:space="preserve"> que no provengan de exportación</w:t>
      </w:r>
      <w:r w:rsidRPr="000149EE">
        <w:rPr>
          <w:rFonts w:ascii="Times New Roman" w:hAnsi="Times New Roman" w:cs="Times New Roman"/>
          <w:iCs/>
          <w:color w:val="000000" w:themeColor="text1"/>
          <w:sz w:val="28"/>
          <w:szCs w:val="28"/>
        </w:rPr>
        <w:t xml:space="preserve">, no sólo aumenta el recaudo, sino que además </w:t>
      </w:r>
      <w:r w:rsidRPr="000149EE">
        <w:rPr>
          <w:rFonts w:ascii="Times New Roman" w:hAnsi="Times New Roman" w:cs="Times New Roman"/>
          <w:iCs/>
          <w:color w:val="000000" w:themeColor="text1"/>
          <w:sz w:val="28"/>
          <w:szCs w:val="28"/>
        </w:rPr>
        <w:t xml:space="preserve">impide que los usuarios de zona franca que no </w:t>
      </w:r>
      <w:r w:rsidRPr="000149EE">
        <w:rPr>
          <w:rFonts w:ascii="Times New Roman" w:hAnsi="Times New Roman" w:cs="Times New Roman"/>
          <w:iCs/>
          <w:color w:val="000000" w:themeColor="text1"/>
          <w:sz w:val="28"/>
          <w:szCs w:val="28"/>
        </w:rPr>
        <w:t xml:space="preserve">exportan </w:t>
      </w:r>
      <w:r w:rsidRPr="000149EE">
        <w:rPr>
          <w:rFonts w:ascii="Times New Roman" w:hAnsi="Times New Roman" w:cs="Times New Roman"/>
          <w:iCs/>
          <w:color w:val="000000" w:themeColor="text1"/>
          <w:sz w:val="28"/>
          <w:szCs w:val="28"/>
        </w:rPr>
        <w:t>accedan</w:t>
      </w:r>
      <w:r w:rsidRPr="000149EE">
        <w:rPr>
          <w:rFonts w:ascii="Times New Roman" w:hAnsi="Times New Roman" w:cs="Times New Roman"/>
          <w:iCs/>
          <w:color w:val="000000" w:themeColor="text1"/>
          <w:sz w:val="28"/>
          <w:szCs w:val="28"/>
        </w:rPr>
        <w:t>, de forma injustificada,</w:t>
      </w:r>
      <w:r w:rsidRPr="000149EE">
        <w:rPr>
          <w:rFonts w:ascii="Times New Roman" w:hAnsi="Times New Roman" w:cs="Times New Roman"/>
          <w:iCs/>
          <w:color w:val="000000" w:themeColor="text1"/>
          <w:sz w:val="28"/>
          <w:szCs w:val="28"/>
        </w:rPr>
        <w:t xml:space="preserve"> a</w:t>
      </w:r>
      <w:r w:rsidRPr="000149EE">
        <w:rPr>
          <w:rFonts w:ascii="Times New Roman" w:hAnsi="Times New Roman" w:cs="Times New Roman"/>
          <w:iCs/>
          <w:color w:val="000000" w:themeColor="text1"/>
          <w:sz w:val="28"/>
          <w:szCs w:val="28"/>
        </w:rPr>
        <w:t>l beneficio tributario previsto en el numera</w:t>
      </w:r>
      <w:r w:rsidRPr="000149EE">
        <w:rPr>
          <w:rFonts w:ascii="Times New Roman" w:hAnsi="Times New Roman" w:cs="Times New Roman"/>
          <w:iCs/>
          <w:color w:val="000000" w:themeColor="text1"/>
          <w:sz w:val="28"/>
          <w:szCs w:val="28"/>
        </w:rPr>
        <w:t>l 1º</w:t>
      </w:r>
      <w:r w:rsidRPr="000149EE">
        <w:rPr>
          <w:rFonts w:ascii="Times New Roman" w:hAnsi="Times New Roman" w:cs="Times New Roman"/>
          <w:iCs/>
          <w:color w:val="000000" w:themeColor="text1"/>
          <w:sz w:val="28"/>
          <w:szCs w:val="28"/>
        </w:rPr>
        <w:t xml:space="preserve">. </w:t>
      </w:r>
      <w:r w:rsidRPr="000149EE">
        <w:rPr>
          <w:rFonts w:ascii="Times New Roman" w:hAnsi="Times New Roman" w:cs="Times New Roman"/>
          <w:iCs/>
          <w:color w:val="000000" w:themeColor="text1"/>
          <w:sz w:val="28"/>
          <w:szCs w:val="28"/>
        </w:rPr>
        <w:t>En tales términos, l</w:t>
      </w:r>
      <w:r w:rsidRPr="000149EE">
        <w:rPr>
          <w:rFonts w:ascii="Times New Roman" w:hAnsi="Times New Roman" w:cs="Times New Roman"/>
          <w:iCs/>
          <w:color w:val="000000" w:themeColor="text1"/>
          <w:sz w:val="28"/>
          <w:szCs w:val="28"/>
        </w:rPr>
        <w:t xml:space="preserve">a aplicación de la tarifa general a </w:t>
      </w:r>
      <w:r w:rsidRPr="000149EE">
        <w:rPr>
          <w:rFonts w:ascii="Times New Roman" w:hAnsi="Times New Roman" w:cs="Times New Roman"/>
          <w:iCs/>
          <w:color w:val="000000" w:themeColor="text1"/>
          <w:sz w:val="28"/>
          <w:szCs w:val="28"/>
        </w:rPr>
        <w:t xml:space="preserve">los ingresos de </w:t>
      </w:r>
      <w:r w:rsidRPr="000149EE">
        <w:rPr>
          <w:rFonts w:ascii="Times New Roman" w:hAnsi="Times New Roman" w:cs="Times New Roman"/>
          <w:iCs/>
          <w:color w:val="000000" w:themeColor="text1"/>
          <w:sz w:val="28"/>
          <w:szCs w:val="28"/>
        </w:rPr>
        <w:t xml:space="preserve">estos usuarios equilibra su carga tributaria, específicamente en lo que respecta al impuesto a la renta, con la de otros sujetos que tampoco </w:t>
      </w:r>
      <w:r w:rsidRPr="000149EE">
        <w:rPr>
          <w:rFonts w:ascii="Times New Roman" w:hAnsi="Times New Roman" w:cs="Times New Roman"/>
          <w:iCs/>
          <w:color w:val="000000" w:themeColor="text1"/>
          <w:sz w:val="28"/>
          <w:szCs w:val="28"/>
        </w:rPr>
        <w:t>exportan</w:t>
      </w:r>
      <w:r w:rsidRPr="000149EE">
        <w:rPr>
          <w:rFonts w:ascii="Times New Roman" w:hAnsi="Times New Roman" w:cs="Times New Roman"/>
          <w:iCs/>
          <w:color w:val="000000" w:themeColor="text1"/>
          <w:sz w:val="28"/>
          <w:szCs w:val="28"/>
        </w:rPr>
        <w:t>, pero se encuentran por fuer</w:t>
      </w:r>
      <w:r w:rsidRPr="000149EE">
        <w:rPr>
          <w:rFonts w:ascii="Times New Roman" w:hAnsi="Times New Roman" w:cs="Times New Roman"/>
          <w:iCs/>
          <w:color w:val="000000" w:themeColor="text1"/>
          <w:sz w:val="28"/>
          <w:szCs w:val="28"/>
        </w:rPr>
        <w:t>a de zonas</w:t>
      </w:r>
      <w:r w:rsidRPr="000149EE">
        <w:rPr>
          <w:rFonts w:ascii="Times New Roman" w:hAnsi="Times New Roman" w:cs="Times New Roman"/>
          <w:iCs/>
          <w:color w:val="000000" w:themeColor="text1"/>
          <w:sz w:val="28"/>
          <w:szCs w:val="28"/>
        </w:rPr>
        <w:t xml:space="preserve"> francas</w:t>
      </w:r>
      <w:r w:rsidRPr="000149EE">
        <w:rPr>
          <w:rFonts w:ascii="Times New Roman" w:hAnsi="Times New Roman" w:cs="Times New Roman"/>
          <w:iCs/>
          <w:color w:val="000000" w:themeColor="text1"/>
          <w:sz w:val="28"/>
          <w:szCs w:val="28"/>
        </w:rPr>
        <w:t xml:space="preserve">. Lo anterior, sin suprimir o desnaturalizar </w:t>
      </w:r>
      <w:r w:rsidRPr="000149EE">
        <w:rPr>
          <w:rFonts w:ascii="Times New Roman" w:hAnsi="Times New Roman" w:cs="Times New Roman"/>
          <w:bCs/>
          <w:iCs/>
          <w:color w:val="000000" w:themeColor="text1"/>
          <w:sz w:val="28"/>
          <w:szCs w:val="28"/>
        </w:rPr>
        <w:t>la especialidad propia del régimen franco. Esto último, porque al margen de no poder acceder a la tarifa preferencial del impuesto sobre la renta previsto en el numeral 1º del artículo 11 de la</w:t>
      </w:r>
      <w:r w:rsidRPr="000149EE">
        <w:rPr>
          <w:rFonts w:ascii="Times New Roman" w:hAnsi="Times New Roman" w:cs="Times New Roman"/>
          <w:bCs/>
          <w:iCs/>
          <w:color w:val="000000" w:themeColor="text1"/>
          <w:sz w:val="28"/>
          <w:szCs w:val="28"/>
        </w:rPr>
        <w:t xml:space="preserve"> Ley 2277 de 2022, los usuarios industriales de zona franca que no </w:t>
      </w:r>
      <w:r w:rsidRPr="000149EE">
        <w:rPr>
          <w:rFonts w:ascii="Times New Roman" w:hAnsi="Times New Roman" w:cs="Times New Roman"/>
          <w:bCs/>
          <w:iCs/>
          <w:color w:val="000000" w:themeColor="text1"/>
          <w:sz w:val="28"/>
          <w:szCs w:val="28"/>
        </w:rPr>
        <w:t>perciben ingresos por operaciones</w:t>
      </w:r>
      <w:r w:rsidRPr="000149EE">
        <w:rPr>
          <w:rFonts w:ascii="Times New Roman" w:hAnsi="Times New Roman" w:cs="Times New Roman"/>
          <w:bCs/>
          <w:iCs/>
          <w:color w:val="000000" w:themeColor="text1"/>
          <w:sz w:val="28"/>
          <w:szCs w:val="28"/>
        </w:rPr>
        <w:t xml:space="preserve"> de exportación, en todo caso, conservan el resto de las ventajas tributarias, aduaneras y de comercio exterior previstas en la ley. </w:t>
      </w:r>
    </w:p>
    <w:p w:rsidR="003D5BB5" w:rsidRPr="000149EE" w:rsidRDefault="000149EE" w:rsidP="003D5BB5">
      <w:pPr>
        <w:pStyle w:val="Prrafodelista"/>
        <w:ind w:left="0"/>
        <w:rPr>
          <w:rFonts w:ascii="Times New Roman" w:hAnsi="Times New Roman"/>
          <w:color w:val="000000" w:themeColor="text1"/>
          <w:sz w:val="28"/>
        </w:rPr>
      </w:pP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r w:rsidRPr="000149EE">
        <w:rPr>
          <w:rFonts w:ascii="Times New Roman" w:hAnsi="Times New Roman"/>
          <w:b/>
          <w:bCs/>
          <w:color w:val="000000" w:themeColor="text1"/>
          <w:sz w:val="28"/>
          <w:u w:val="single"/>
        </w:rPr>
        <w:t>Conclusión</w:t>
      </w:r>
      <w:r w:rsidRPr="000149EE">
        <w:rPr>
          <w:rFonts w:ascii="Times New Roman" w:hAnsi="Times New Roman"/>
          <w:color w:val="000000" w:themeColor="text1"/>
          <w:sz w:val="28"/>
        </w:rPr>
        <w:t xml:space="preserve">. En </w:t>
      </w:r>
      <w:r w:rsidRPr="000149EE">
        <w:rPr>
          <w:rFonts w:ascii="Times New Roman" w:hAnsi="Times New Roman"/>
          <w:color w:val="000000" w:themeColor="text1"/>
          <w:sz w:val="28"/>
        </w:rPr>
        <w:t>síntesis, la Corte concluye que la tarifa diferencial del impuesto sobre la renta prevista en los numerales 1, 2 y 3 y el parágrafo 6° del artículo 240-1 del ET, modificados por el artículo 11 de la Ley 2277 de 2022, no vulnera los principios de igualdad y</w:t>
      </w:r>
      <w:r w:rsidRPr="000149EE">
        <w:rPr>
          <w:rFonts w:ascii="Times New Roman" w:hAnsi="Times New Roman"/>
          <w:color w:val="000000" w:themeColor="text1"/>
          <w:sz w:val="28"/>
        </w:rPr>
        <w:t xml:space="preserve"> equidad tributaria. Esta medida satisface las exigencias del juicio leve de igualdad, porque, en primer lugar, persigue finalidades legítimas</w:t>
      </w:r>
      <w:r w:rsidRPr="000149EE">
        <w:rPr>
          <w:rFonts w:ascii="Times New Roman" w:hAnsi="Times New Roman"/>
          <w:color w:val="000000" w:themeColor="text1"/>
          <w:sz w:val="28"/>
        </w:rPr>
        <w:t xml:space="preserve"> no prohibidas por la Constitución</w:t>
      </w:r>
      <w:r w:rsidRPr="000149EE">
        <w:rPr>
          <w:rFonts w:ascii="Times New Roman" w:hAnsi="Times New Roman"/>
          <w:color w:val="000000" w:themeColor="text1"/>
          <w:sz w:val="28"/>
        </w:rPr>
        <w:t xml:space="preserve">, a saber: </w:t>
      </w:r>
      <w:r w:rsidRPr="000149EE">
        <w:rPr>
          <w:rFonts w:ascii="Times New Roman" w:hAnsi="Times New Roman"/>
          <w:i/>
          <w:iCs/>
          <w:color w:val="000000" w:themeColor="text1"/>
          <w:sz w:val="28"/>
        </w:rPr>
        <w:t xml:space="preserve">(i) </w:t>
      </w:r>
      <w:r w:rsidRPr="000149EE">
        <w:rPr>
          <w:rFonts w:ascii="Times New Roman" w:hAnsi="Times New Roman"/>
          <w:color w:val="000000" w:themeColor="text1"/>
          <w:sz w:val="28"/>
        </w:rPr>
        <w:t xml:space="preserve">fomentar la exportación y </w:t>
      </w:r>
      <w:r w:rsidRPr="000149EE">
        <w:rPr>
          <w:rFonts w:ascii="Times New Roman" w:hAnsi="Times New Roman"/>
          <w:i/>
          <w:iCs/>
          <w:color w:val="000000" w:themeColor="text1"/>
          <w:sz w:val="28"/>
        </w:rPr>
        <w:t>(ii)</w:t>
      </w:r>
      <w:r w:rsidRPr="000149EE">
        <w:rPr>
          <w:rFonts w:ascii="Times New Roman" w:hAnsi="Times New Roman"/>
          <w:color w:val="000000" w:themeColor="text1"/>
          <w:sz w:val="28"/>
        </w:rPr>
        <w:t xml:space="preserve"> corregir asimetrías tributarias</w:t>
      </w:r>
      <w:r w:rsidRPr="000149EE">
        <w:rPr>
          <w:rFonts w:ascii="Times New Roman" w:hAnsi="Times New Roman"/>
          <w:iCs/>
          <w:color w:val="000000" w:themeColor="text1"/>
          <w:sz w:val="28"/>
        </w:rPr>
        <w:t>. E</w:t>
      </w:r>
      <w:r w:rsidRPr="000149EE">
        <w:rPr>
          <w:rFonts w:ascii="Times New Roman" w:hAnsi="Times New Roman"/>
          <w:iCs/>
          <w:color w:val="000000" w:themeColor="text1"/>
          <w:sz w:val="28"/>
        </w:rPr>
        <w:t xml:space="preserve">n segundo lugar, la tarifa </w:t>
      </w:r>
      <w:r w:rsidRPr="000149EE">
        <w:rPr>
          <w:rFonts w:ascii="Times New Roman" w:hAnsi="Times New Roman"/>
          <w:iCs/>
          <w:color w:val="000000" w:themeColor="text1"/>
          <w:sz w:val="28"/>
        </w:rPr>
        <w:t>diferencial</w:t>
      </w:r>
      <w:r w:rsidRPr="000149EE">
        <w:rPr>
          <w:rFonts w:ascii="Times New Roman" w:hAnsi="Times New Roman"/>
          <w:iCs/>
          <w:color w:val="000000" w:themeColor="text1"/>
          <w:sz w:val="28"/>
        </w:rPr>
        <w:t xml:space="preserve"> es una medida </w:t>
      </w:r>
      <w:r w:rsidRPr="000149EE">
        <w:rPr>
          <w:rFonts w:ascii="Times New Roman" w:hAnsi="Times New Roman"/>
          <w:iCs/>
          <w:color w:val="000000" w:themeColor="text1"/>
          <w:sz w:val="28"/>
        </w:rPr>
        <w:t>idónea</w:t>
      </w:r>
      <w:r w:rsidRPr="000149EE">
        <w:rPr>
          <w:rFonts w:ascii="Times New Roman" w:hAnsi="Times New Roman"/>
          <w:iCs/>
          <w:color w:val="000000" w:themeColor="text1"/>
          <w:sz w:val="28"/>
        </w:rPr>
        <w:t xml:space="preserve"> para </w:t>
      </w:r>
      <w:r w:rsidRPr="000149EE">
        <w:rPr>
          <w:rFonts w:ascii="Times New Roman" w:hAnsi="Times New Roman"/>
          <w:iCs/>
          <w:color w:val="000000" w:themeColor="text1"/>
          <w:sz w:val="28"/>
        </w:rPr>
        <w:t>alcanzar estas finalidades</w:t>
      </w:r>
      <w:r w:rsidRPr="000149EE">
        <w:rPr>
          <w:rFonts w:ascii="Times New Roman" w:hAnsi="Times New Roman"/>
          <w:iCs/>
          <w:color w:val="000000" w:themeColor="text1"/>
          <w:sz w:val="28"/>
        </w:rPr>
        <w:t xml:space="preserve">. </w:t>
      </w:r>
      <w:r w:rsidRPr="000149EE">
        <w:rPr>
          <w:rFonts w:ascii="Times New Roman" w:hAnsi="Times New Roman"/>
          <w:iCs/>
          <w:color w:val="000000" w:themeColor="text1"/>
          <w:sz w:val="28"/>
        </w:rPr>
        <w:t>De un lado, contribuye al fomento de las exportaciones</w:t>
      </w:r>
      <w:r w:rsidRPr="000149EE">
        <w:rPr>
          <w:rFonts w:ascii="Times New Roman" w:hAnsi="Times New Roman"/>
          <w:iCs/>
          <w:color w:val="000000" w:themeColor="text1"/>
          <w:sz w:val="28"/>
        </w:rPr>
        <w:t>,</w:t>
      </w:r>
      <w:r w:rsidRPr="000149EE">
        <w:rPr>
          <w:rFonts w:ascii="Times New Roman" w:hAnsi="Times New Roman"/>
          <w:iCs/>
          <w:color w:val="000000" w:themeColor="text1"/>
          <w:sz w:val="28"/>
        </w:rPr>
        <w:t xml:space="preserve"> porque reduce la carga tributaria de los usuarios industriales que perciben ingresos provenientes de export</w:t>
      </w:r>
      <w:r w:rsidRPr="000149EE">
        <w:rPr>
          <w:rFonts w:ascii="Times New Roman" w:hAnsi="Times New Roman"/>
          <w:iCs/>
          <w:color w:val="000000" w:themeColor="text1"/>
          <w:sz w:val="28"/>
        </w:rPr>
        <w:t>ación</w:t>
      </w:r>
      <w:r w:rsidRPr="000149EE">
        <w:rPr>
          <w:rFonts w:ascii="Times New Roman" w:hAnsi="Times New Roman"/>
          <w:iCs/>
          <w:color w:val="000000" w:themeColor="text1"/>
          <w:sz w:val="28"/>
        </w:rPr>
        <w:t xml:space="preserve">. Esto les permite ser más competitivos </w:t>
      </w:r>
      <w:r w:rsidRPr="000149EE">
        <w:rPr>
          <w:rFonts w:ascii="Times New Roman" w:hAnsi="Times New Roman"/>
          <w:bCs/>
          <w:iCs/>
          <w:color w:val="000000" w:themeColor="text1"/>
          <w:sz w:val="28"/>
        </w:rPr>
        <w:t>frente a compañías de países latinoamericanos que se benefician de impuestos corporativos inferiores.</w:t>
      </w:r>
      <w:r w:rsidRPr="000149EE">
        <w:rPr>
          <w:rFonts w:ascii="Times New Roman" w:hAnsi="Times New Roman"/>
          <w:iCs/>
          <w:color w:val="000000" w:themeColor="text1"/>
          <w:sz w:val="28"/>
        </w:rPr>
        <w:t xml:space="preserve"> </w:t>
      </w:r>
      <w:r w:rsidRPr="000149EE">
        <w:rPr>
          <w:rFonts w:ascii="Times New Roman" w:hAnsi="Times New Roman"/>
          <w:iCs/>
          <w:color w:val="000000" w:themeColor="text1"/>
          <w:sz w:val="28"/>
        </w:rPr>
        <w:t>A su turno, la aplicación de la tarifa general (35%) para los ingresos que no provienen de operaciones de exp</w:t>
      </w:r>
      <w:r w:rsidRPr="000149EE">
        <w:rPr>
          <w:rFonts w:ascii="Times New Roman" w:hAnsi="Times New Roman"/>
          <w:iCs/>
          <w:color w:val="000000" w:themeColor="text1"/>
          <w:sz w:val="28"/>
        </w:rPr>
        <w:t>ortación contribuye a alcanzar los principios de igualdad y equidad tributaria. Esto últim</w:t>
      </w:r>
      <w:r w:rsidRPr="000149EE">
        <w:rPr>
          <w:rFonts w:ascii="Times New Roman" w:hAnsi="Times New Roman"/>
          <w:iCs/>
          <w:color w:val="000000" w:themeColor="text1"/>
          <w:sz w:val="28"/>
        </w:rPr>
        <w:t>o,</w:t>
      </w:r>
      <w:r w:rsidRPr="000149EE">
        <w:rPr>
          <w:rFonts w:ascii="Times New Roman" w:hAnsi="Times New Roman"/>
          <w:iCs/>
          <w:color w:val="000000" w:themeColor="text1"/>
          <w:sz w:val="28"/>
        </w:rPr>
        <w:t xml:space="preserve"> porque impide que los usuarios de zona franca que no </w:t>
      </w:r>
      <w:r w:rsidRPr="000149EE">
        <w:rPr>
          <w:rFonts w:ascii="Times New Roman" w:hAnsi="Times New Roman"/>
          <w:iCs/>
          <w:color w:val="000000" w:themeColor="text1"/>
          <w:sz w:val="28"/>
        </w:rPr>
        <w:t>exportan</w:t>
      </w:r>
      <w:r w:rsidRPr="000149EE">
        <w:rPr>
          <w:rFonts w:ascii="Times New Roman" w:hAnsi="Times New Roman"/>
          <w:iCs/>
          <w:color w:val="000000" w:themeColor="text1"/>
          <w:sz w:val="28"/>
        </w:rPr>
        <w:t xml:space="preserve"> se </w:t>
      </w:r>
      <w:r w:rsidRPr="000149EE">
        <w:rPr>
          <w:rFonts w:ascii="Times New Roman" w:hAnsi="Times New Roman"/>
          <w:iCs/>
          <w:color w:val="000000" w:themeColor="text1"/>
          <w:sz w:val="28"/>
        </w:rPr>
        <w:t>favorezcan</w:t>
      </w:r>
      <w:r w:rsidRPr="000149EE">
        <w:rPr>
          <w:rFonts w:ascii="Times New Roman" w:hAnsi="Times New Roman"/>
          <w:iCs/>
          <w:color w:val="000000" w:themeColor="text1"/>
          <w:sz w:val="28"/>
        </w:rPr>
        <w:t xml:space="preserve"> injustificadamente de este beneficio tributario lo que, antes de la entrada en vigor del artíc</w:t>
      </w:r>
      <w:r w:rsidRPr="000149EE">
        <w:rPr>
          <w:rFonts w:ascii="Times New Roman" w:hAnsi="Times New Roman"/>
          <w:iCs/>
          <w:color w:val="000000" w:themeColor="text1"/>
          <w:sz w:val="28"/>
        </w:rPr>
        <w:t>u</w:t>
      </w:r>
      <w:r w:rsidRPr="000149EE">
        <w:rPr>
          <w:rFonts w:ascii="Times New Roman" w:hAnsi="Times New Roman"/>
          <w:iCs/>
          <w:color w:val="000000" w:themeColor="text1"/>
          <w:sz w:val="28"/>
        </w:rPr>
        <w:t xml:space="preserve">lo 11 de la Ley 2277 de 2022, generó asimetrías en las cargas tributarias. </w:t>
      </w: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p>
    <w:p w:rsidR="003D5BB5" w:rsidRPr="000149EE" w:rsidRDefault="000149EE" w:rsidP="003D5BB5">
      <w:pPr>
        <w:pStyle w:val="Prrafodelista"/>
        <w:widowControl w:val="0"/>
        <w:spacing w:line="240" w:lineRule="auto"/>
        <w:ind w:left="0"/>
        <w:rPr>
          <w:rFonts w:ascii="Times New Roman" w:hAnsi="Times New Roman"/>
          <w:iCs/>
          <w:color w:val="000000" w:themeColor="text1"/>
          <w:sz w:val="28"/>
        </w:rPr>
      </w:pPr>
      <w:r w:rsidRPr="000149EE">
        <w:rPr>
          <w:rFonts w:ascii="Times New Roman" w:hAnsi="Times New Roman"/>
          <w:iCs/>
          <w:color w:val="000000" w:themeColor="text1"/>
          <w:sz w:val="28"/>
        </w:rPr>
        <w:t>Con fundamento en tales consideraciones, l</w:t>
      </w:r>
      <w:r w:rsidRPr="000149EE">
        <w:rPr>
          <w:rFonts w:ascii="Times New Roman" w:hAnsi="Times New Roman"/>
          <w:sz w:val="28"/>
        </w:rPr>
        <w:t>a Corte declarará la exequibilidad de los</w:t>
      </w:r>
      <w:r w:rsidRPr="000149EE">
        <w:rPr>
          <w:rFonts w:ascii="Times New Roman" w:hAnsi="Times New Roman"/>
          <w:sz w:val="28"/>
        </w:rPr>
        <w:t xml:space="preserve"> numerales 1, 2 y 3 y el parágrafo 6° del artículo 240-1 del Decreto Ley 624 de 1989 “por el cual se expide el Estatuto Tributario de los impuestos administrados por la Dirección General de Impuesto</w:t>
      </w:r>
      <w:r w:rsidRPr="000149EE">
        <w:rPr>
          <w:rFonts w:ascii="Times New Roman" w:hAnsi="Times New Roman"/>
          <w:sz w:val="28"/>
        </w:rPr>
        <w:t>s</w:t>
      </w:r>
      <w:r w:rsidRPr="000149EE">
        <w:rPr>
          <w:rFonts w:ascii="Times New Roman" w:hAnsi="Times New Roman"/>
          <w:sz w:val="28"/>
        </w:rPr>
        <w:t xml:space="preserve"> Nacionales”, modificados por el artículo 11 de la Ley 22</w:t>
      </w:r>
      <w:r w:rsidRPr="000149EE">
        <w:rPr>
          <w:rFonts w:ascii="Times New Roman" w:hAnsi="Times New Roman"/>
          <w:sz w:val="28"/>
        </w:rPr>
        <w:t>77 de 2022 “por medio de la cual se adopta una reforma tributaria para la igualdad y la justicia social y se dictan otras disposiciones”, en relación con lo</w:t>
      </w:r>
      <w:r w:rsidRPr="000149EE">
        <w:rPr>
          <w:rFonts w:ascii="Times New Roman" w:hAnsi="Times New Roman"/>
          <w:iCs/>
          <w:sz w:val="28"/>
        </w:rPr>
        <w:t xml:space="preserve">s cargos por la presunta vulneración de los principios de igualdad y equidad tributaria (arts. 13 y </w:t>
      </w:r>
      <w:r w:rsidRPr="000149EE">
        <w:rPr>
          <w:rFonts w:ascii="Times New Roman" w:hAnsi="Times New Roman"/>
          <w:iCs/>
          <w:sz w:val="28"/>
        </w:rPr>
        <w:t xml:space="preserve">363 de la CP). </w:t>
      </w:r>
    </w:p>
    <w:p w:rsidR="003D5BB5" w:rsidRPr="000149EE" w:rsidRDefault="000149EE" w:rsidP="003D5BB5">
      <w:pPr>
        <w:rPr>
          <w:rFonts w:ascii="Times New Roman" w:hAnsi="Times New Roman" w:cs="Times New Roman"/>
          <w:sz w:val="28"/>
          <w:szCs w:val="28"/>
        </w:rPr>
      </w:pPr>
    </w:p>
    <w:p w:rsidR="003D5BB5" w:rsidRPr="000149EE" w:rsidRDefault="000149EE" w:rsidP="00B75A5D">
      <w:pPr>
        <w:pStyle w:val="Ttulo1"/>
        <w:numPr>
          <w:ilvl w:val="0"/>
          <w:numId w:val="1"/>
        </w:numPr>
        <w:spacing w:before="0"/>
        <w:ind w:hanging="578"/>
        <w:rPr>
          <w:rFonts w:ascii="Times New Roman" w:hAnsi="Times New Roman" w:cs="Times New Roman"/>
          <w:bCs/>
          <w:sz w:val="28"/>
          <w:szCs w:val="28"/>
        </w:rPr>
      </w:pPr>
      <w:r w:rsidRPr="000149EE">
        <w:rPr>
          <w:rFonts w:ascii="Times New Roman" w:hAnsi="Times New Roman" w:cs="Times New Roman"/>
          <w:bCs/>
          <w:sz w:val="28"/>
          <w:szCs w:val="28"/>
        </w:rPr>
        <w:t xml:space="preserve">DECISIÓN </w:t>
      </w:r>
    </w:p>
    <w:p w:rsidR="003D5BB5" w:rsidRPr="000149EE" w:rsidRDefault="000149EE" w:rsidP="003D5BB5">
      <w:pPr>
        <w:rPr>
          <w:rFonts w:ascii="Times New Roman" w:hAnsi="Times New Roman" w:cs="Times New Roman"/>
          <w:sz w:val="28"/>
          <w:szCs w:val="28"/>
        </w:rPr>
      </w:pPr>
    </w:p>
    <w:p w:rsidR="003D5BB5" w:rsidRPr="000149EE" w:rsidRDefault="000149EE" w:rsidP="003D5BB5">
      <w:pPr>
        <w:rPr>
          <w:rFonts w:ascii="Times New Roman" w:hAnsi="Times New Roman" w:cs="Times New Roman"/>
          <w:sz w:val="28"/>
          <w:szCs w:val="28"/>
        </w:rPr>
      </w:pPr>
      <w:r w:rsidRPr="000149EE">
        <w:rPr>
          <w:rFonts w:ascii="Times New Roman" w:hAnsi="Times New Roman" w:cs="Times New Roman"/>
          <w:sz w:val="28"/>
          <w:szCs w:val="28"/>
        </w:rPr>
        <w:t>La Corte Constitucional de Colombia, administrando justicia en nombre del pueblo y por mandato de la Constitución,</w:t>
      </w:r>
    </w:p>
    <w:p w:rsidR="003D5BB5" w:rsidRPr="000149EE" w:rsidRDefault="000149EE" w:rsidP="003D5BB5">
      <w:pPr>
        <w:rPr>
          <w:rFonts w:ascii="Times New Roman" w:hAnsi="Times New Roman" w:cs="Times New Roman"/>
          <w:sz w:val="28"/>
          <w:szCs w:val="28"/>
        </w:rPr>
      </w:pPr>
      <w:r w:rsidRPr="000149EE">
        <w:rPr>
          <w:rFonts w:ascii="Times New Roman" w:hAnsi="Times New Roman" w:cs="Times New Roman"/>
          <w:sz w:val="28"/>
          <w:szCs w:val="28"/>
        </w:rPr>
        <w:t> </w:t>
      </w:r>
    </w:p>
    <w:p w:rsidR="003D5BB5" w:rsidRPr="000149EE" w:rsidRDefault="000149EE" w:rsidP="003D5BB5">
      <w:pPr>
        <w:jc w:val="center"/>
        <w:rPr>
          <w:rFonts w:ascii="Times New Roman" w:hAnsi="Times New Roman" w:cs="Times New Roman"/>
          <w:sz w:val="28"/>
          <w:szCs w:val="28"/>
        </w:rPr>
      </w:pPr>
      <w:r w:rsidRPr="000149EE">
        <w:rPr>
          <w:rFonts w:ascii="Times New Roman" w:hAnsi="Times New Roman" w:cs="Times New Roman"/>
          <w:b/>
          <w:bCs/>
          <w:sz w:val="28"/>
          <w:szCs w:val="28"/>
        </w:rPr>
        <w:t>RESUELVE:</w:t>
      </w:r>
    </w:p>
    <w:p w:rsidR="003D5BB5" w:rsidRPr="000149EE" w:rsidRDefault="000149EE" w:rsidP="003D5BB5">
      <w:pPr>
        <w:rPr>
          <w:rFonts w:ascii="Times New Roman" w:hAnsi="Times New Roman" w:cs="Times New Roman"/>
          <w:sz w:val="28"/>
          <w:szCs w:val="28"/>
        </w:rPr>
      </w:pPr>
    </w:p>
    <w:p w:rsidR="003D5BB5" w:rsidRPr="000149EE" w:rsidRDefault="000149EE" w:rsidP="003D5BB5">
      <w:pPr>
        <w:rPr>
          <w:rFonts w:ascii="Times New Roman" w:hAnsi="Times New Roman" w:cs="Times New Roman"/>
          <w:sz w:val="28"/>
          <w:szCs w:val="28"/>
        </w:rPr>
      </w:pPr>
      <w:r w:rsidRPr="000149EE">
        <w:rPr>
          <w:rFonts w:ascii="Times New Roman" w:hAnsi="Times New Roman" w:cs="Times New Roman"/>
          <w:b/>
          <w:bCs/>
          <w:sz w:val="28"/>
          <w:szCs w:val="28"/>
        </w:rPr>
        <w:t>ÚNICO.</w:t>
      </w:r>
      <w:r w:rsidRPr="000149EE">
        <w:rPr>
          <w:rFonts w:ascii="Times New Roman" w:hAnsi="Times New Roman" w:cs="Times New Roman"/>
          <w:sz w:val="28"/>
          <w:szCs w:val="28"/>
        </w:rPr>
        <w:t xml:space="preserve"> Declarar</w:t>
      </w:r>
      <w:r w:rsidRPr="000149EE">
        <w:rPr>
          <w:rFonts w:ascii="Times New Roman" w:hAnsi="Times New Roman" w:cs="Times New Roman"/>
          <w:b/>
          <w:bCs/>
          <w:sz w:val="28"/>
          <w:szCs w:val="28"/>
        </w:rPr>
        <w:t xml:space="preserve"> EXEQUIBLES  </w:t>
      </w:r>
      <w:r w:rsidRPr="000149EE">
        <w:rPr>
          <w:rFonts w:ascii="Times New Roman" w:hAnsi="Times New Roman" w:cs="Times New Roman"/>
          <w:sz w:val="28"/>
          <w:szCs w:val="28"/>
        </w:rPr>
        <w:t xml:space="preserve">los numerales 1, 2 y 3 y el parágrafo 6° del artículo 240-1 del Decreto </w:t>
      </w:r>
      <w:r w:rsidRPr="000149EE">
        <w:rPr>
          <w:rFonts w:ascii="Times New Roman" w:hAnsi="Times New Roman" w:cs="Times New Roman"/>
          <w:sz w:val="28"/>
          <w:szCs w:val="28"/>
        </w:rPr>
        <w:t>Ley 624 de 1989</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 el cual se expide el Estatuto Tributario de los impuestos administrados por la Dirección General de Impuesto</w:t>
      </w:r>
      <w:r w:rsidRPr="000149EE">
        <w:rPr>
          <w:rFonts w:ascii="Times New Roman" w:hAnsi="Times New Roman" w:cs="Times New Roman"/>
          <w:sz w:val="28"/>
          <w:szCs w:val="28"/>
        </w:rPr>
        <w:t>s</w:t>
      </w:r>
      <w:r w:rsidRPr="000149EE">
        <w:rPr>
          <w:rFonts w:ascii="Times New Roman" w:hAnsi="Times New Roman" w:cs="Times New Roman"/>
          <w:sz w:val="28"/>
          <w:szCs w:val="28"/>
        </w:rPr>
        <w:t xml:space="preserve"> Nacionales”, modificados por el artículo 11 de la Ley 2277 de 2022</w:t>
      </w:r>
      <w:r w:rsidRPr="000149EE">
        <w:rPr>
          <w:rFonts w:ascii="Times New Roman" w:hAnsi="Times New Roman" w:cs="Times New Roman"/>
          <w:sz w:val="28"/>
          <w:szCs w:val="28"/>
        </w:rPr>
        <w:t>,</w:t>
      </w:r>
      <w:r w:rsidRPr="000149EE">
        <w:rPr>
          <w:rFonts w:ascii="Times New Roman" w:hAnsi="Times New Roman" w:cs="Times New Roman"/>
          <w:sz w:val="28"/>
          <w:szCs w:val="28"/>
        </w:rPr>
        <w:t xml:space="preserve"> “por medio de la cual se adopta una reforma tributaria p</w:t>
      </w:r>
      <w:r w:rsidRPr="000149EE">
        <w:rPr>
          <w:rFonts w:ascii="Times New Roman" w:hAnsi="Times New Roman" w:cs="Times New Roman"/>
          <w:sz w:val="28"/>
          <w:szCs w:val="28"/>
        </w:rPr>
        <w:t>ara la igualdad y la justicia social y se dictan otras disposiciones”, en relación con lo</w:t>
      </w:r>
      <w:r w:rsidRPr="000149EE">
        <w:rPr>
          <w:rFonts w:ascii="Times New Roman" w:hAnsi="Times New Roman" w:cs="Times New Roman"/>
          <w:iCs/>
          <w:sz w:val="28"/>
          <w:szCs w:val="28"/>
        </w:rPr>
        <w:t xml:space="preserve">s cargos por la presunta vulneración de los principios de igualdad y equidad tributaria (arts. 13 y 363 de la Constitución), de conformidad con las consideraciones de </w:t>
      </w:r>
      <w:r w:rsidRPr="000149EE">
        <w:rPr>
          <w:rFonts w:ascii="Times New Roman" w:hAnsi="Times New Roman" w:cs="Times New Roman"/>
          <w:iCs/>
          <w:sz w:val="28"/>
          <w:szCs w:val="28"/>
        </w:rPr>
        <w:t>esta providencia</w:t>
      </w:r>
      <w:r w:rsidRPr="000149EE">
        <w:rPr>
          <w:rFonts w:ascii="Times New Roman" w:hAnsi="Times New Roman" w:cs="Times New Roman"/>
          <w:sz w:val="28"/>
          <w:szCs w:val="28"/>
        </w:rPr>
        <w:t>.</w:t>
      </w:r>
      <w:r w:rsidRPr="000149EE">
        <w:rPr>
          <w:rFonts w:ascii="Times New Roman" w:hAnsi="Times New Roman" w:cs="Times New Roman"/>
          <w:b/>
          <w:bCs/>
          <w:sz w:val="28"/>
          <w:szCs w:val="28"/>
        </w:rPr>
        <w:t xml:space="preserve"> </w:t>
      </w:r>
    </w:p>
    <w:p w:rsidR="003D5BB5" w:rsidRPr="000149EE" w:rsidRDefault="000149EE" w:rsidP="003D5BB5">
      <w:pPr>
        <w:rPr>
          <w:rFonts w:ascii="Times New Roman" w:hAnsi="Times New Roman" w:cs="Times New Roman"/>
          <w:sz w:val="28"/>
          <w:szCs w:val="28"/>
        </w:rPr>
      </w:pPr>
    </w:p>
    <w:p w:rsidR="00981AC6" w:rsidRPr="000149EE" w:rsidRDefault="000149EE" w:rsidP="001A47E2">
      <w:pPr>
        <w:rPr>
          <w:rFonts w:ascii="Times New Roman" w:hAnsi="Times New Roman" w:cs="Times New Roman"/>
          <w:sz w:val="28"/>
          <w:szCs w:val="28"/>
        </w:rPr>
      </w:pPr>
      <w:r w:rsidRPr="000149EE">
        <w:rPr>
          <w:rFonts w:ascii="Times New Roman" w:hAnsi="Times New Roman" w:cs="Times New Roman"/>
          <w:sz w:val="28"/>
          <w:szCs w:val="28"/>
        </w:rPr>
        <w:t xml:space="preserve">Notifíquese, comuníquese y cúmplase, </w:t>
      </w:r>
    </w:p>
    <w:p w:rsidR="00820914" w:rsidRPr="000149EE" w:rsidRDefault="000149EE" w:rsidP="001A47E2">
      <w:pPr>
        <w:rPr>
          <w:rFonts w:ascii="Times New Roman" w:hAnsi="Times New Roman" w:cs="Times New Roman"/>
          <w:sz w:val="28"/>
          <w:szCs w:val="28"/>
        </w:rPr>
      </w:pPr>
    </w:p>
    <w:p w:rsidR="00820914" w:rsidRPr="000149EE" w:rsidRDefault="000149EE" w:rsidP="001A47E2">
      <w:pP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JOSE FERNANDO REYES CUARTAS</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Presidente</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Con aclaración de voto</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NATALIA ÁNGEL CABO</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Magistrada</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JUAN CARLOS CORTÉS GONZÁLEZ</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Magistrado</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DIANA FAJARDO RIVERA</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Magistrada</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 xml:space="preserve">VLADIMIR FERNÁNDEZ </w:t>
      </w:r>
      <w:r w:rsidRPr="000149EE">
        <w:rPr>
          <w:rFonts w:ascii="Times New Roman" w:hAnsi="Times New Roman" w:cs="Times New Roman"/>
          <w:sz w:val="28"/>
          <w:szCs w:val="28"/>
        </w:rPr>
        <w:t>ANDRADE</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Magistrado</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Con impedimento aceptado</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 xml:space="preserve">JORGE ENRIQUE IBÁÑEZ NAJAR </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Magistrado</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ANTONIO JOSÉ LIZARAZO OCAMPO</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Magistrado</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Ausente con comisión</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PAOLA ANDREA MENESES MOSQUERA</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Magistrada</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CRISTINA PARDO SCHLESINGER</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Magistrada</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 xml:space="preserve">ANDREA LILIANA </w:t>
      </w:r>
      <w:r w:rsidRPr="000149EE">
        <w:rPr>
          <w:rFonts w:ascii="Times New Roman" w:hAnsi="Times New Roman" w:cs="Times New Roman"/>
          <w:sz w:val="28"/>
          <w:szCs w:val="28"/>
        </w:rPr>
        <w:t>ROMERO LOPEZ</w:t>
      </w:r>
    </w:p>
    <w:p w:rsidR="00820914" w:rsidRPr="000149EE" w:rsidRDefault="000149EE" w:rsidP="00820914">
      <w:pPr>
        <w:jc w:val="center"/>
        <w:rPr>
          <w:rFonts w:ascii="Times New Roman" w:hAnsi="Times New Roman" w:cs="Times New Roman"/>
          <w:sz w:val="28"/>
          <w:szCs w:val="28"/>
        </w:rPr>
      </w:pPr>
      <w:r w:rsidRPr="000149EE">
        <w:rPr>
          <w:rFonts w:ascii="Times New Roman" w:hAnsi="Times New Roman" w:cs="Times New Roman"/>
          <w:sz w:val="28"/>
          <w:szCs w:val="28"/>
        </w:rPr>
        <w:t>Secretaria General</w:t>
      </w: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820914" w:rsidRPr="000149EE" w:rsidRDefault="000149EE" w:rsidP="00820914">
      <w:pPr>
        <w:jc w:val="center"/>
        <w:rPr>
          <w:rFonts w:ascii="Times New Roman" w:hAnsi="Times New Roman" w:cs="Times New Roman"/>
          <w:sz w:val="28"/>
          <w:szCs w:val="28"/>
        </w:rPr>
      </w:pPr>
    </w:p>
    <w:p w:rsidR="00CC418A" w:rsidRPr="000149EE" w:rsidRDefault="000149EE" w:rsidP="00CE3A74">
      <w:pPr>
        <w:pStyle w:val="Ttulo3"/>
        <w:tabs>
          <w:tab w:val="left" w:pos="567"/>
        </w:tabs>
        <w:spacing w:before="0" w:after="0" w:line="240" w:lineRule="auto"/>
        <w:ind w:right="49"/>
        <w:jc w:val="center"/>
        <w:rPr>
          <w:rFonts w:ascii="Times New Roman" w:hAnsi="Times New Roman" w:cs="Times New Roman"/>
          <w:bCs/>
          <w:sz w:val="28"/>
          <w:lang w:val="es-ES"/>
        </w:rPr>
      </w:pPr>
    </w:p>
    <w:p w:rsidR="00CC418A" w:rsidRPr="000149EE" w:rsidRDefault="000149EE" w:rsidP="00CE3A74">
      <w:pPr>
        <w:pStyle w:val="Ttulo3"/>
        <w:tabs>
          <w:tab w:val="left" w:pos="567"/>
        </w:tabs>
        <w:spacing w:before="0" w:after="0" w:line="240" w:lineRule="auto"/>
        <w:ind w:right="49"/>
        <w:jc w:val="center"/>
        <w:rPr>
          <w:rFonts w:ascii="Times New Roman" w:hAnsi="Times New Roman" w:cs="Times New Roman"/>
          <w:bCs/>
          <w:sz w:val="28"/>
          <w:lang w:val="es-ES"/>
        </w:rPr>
      </w:pPr>
    </w:p>
    <w:p w:rsidR="00FF2658" w:rsidRPr="000149EE" w:rsidRDefault="000149EE" w:rsidP="00CE3A74">
      <w:pPr>
        <w:pStyle w:val="Ttulo3"/>
        <w:tabs>
          <w:tab w:val="left" w:pos="567"/>
        </w:tabs>
        <w:spacing w:before="0" w:after="0" w:line="240" w:lineRule="auto"/>
        <w:ind w:right="49"/>
        <w:jc w:val="center"/>
        <w:rPr>
          <w:rFonts w:ascii="Times New Roman" w:hAnsi="Times New Roman" w:cs="Times New Roman"/>
          <w:bCs/>
          <w:sz w:val="28"/>
          <w:lang w:val="es-ES"/>
        </w:rPr>
      </w:pPr>
      <w:r w:rsidRPr="000149EE">
        <w:rPr>
          <w:rFonts w:ascii="Times New Roman" w:hAnsi="Times New Roman" w:cs="Times New Roman"/>
          <w:bCs/>
          <w:sz w:val="28"/>
          <w:lang w:val="es-ES"/>
        </w:rPr>
        <w:t>ACLARACIÓN DE VOTO</w:t>
      </w:r>
      <w:r w:rsidRPr="000149EE">
        <w:rPr>
          <w:rFonts w:ascii="Times New Roman" w:hAnsi="Times New Roman" w:cs="Times New Roman"/>
          <w:bCs/>
          <w:sz w:val="28"/>
          <w:lang w:val="es-ES"/>
        </w:rPr>
        <w:t xml:space="preserve"> DEL MAGISTRADO</w:t>
      </w:r>
    </w:p>
    <w:p w:rsidR="008C197F" w:rsidRPr="000149EE" w:rsidRDefault="000149EE" w:rsidP="008C197F">
      <w:pPr>
        <w:spacing w:after="0"/>
        <w:jc w:val="center"/>
        <w:rPr>
          <w:rFonts w:ascii="Times New Roman" w:hAnsi="Times New Roman" w:cs="Times New Roman"/>
          <w:b/>
          <w:bCs/>
          <w:sz w:val="28"/>
          <w:lang w:val="es-ES"/>
        </w:rPr>
      </w:pPr>
      <w:r w:rsidRPr="000149EE">
        <w:rPr>
          <w:rFonts w:ascii="Times New Roman" w:hAnsi="Times New Roman" w:cs="Times New Roman"/>
          <w:b/>
          <w:bCs/>
          <w:sz w:val="28"/>
        </w:rPr>
        <w:t>JOSE FERNANDO REYES CUARTAS</w:t>
      </w:r>
    </w:p>
    <w:p w:rsidR="00FF2658" w:rsidRPr="000149EE" w:rsidRDefault="000149EE" w:rsidP="00CE3A74">
      <w:pPr>
        <w:pStyle w:val="Ttulo3"/>
        <w:tabs>
          <w:tab w:val="left" w:pos="567"/>
        </w:tabs>
        <w:spacing w:before="0" w:after="0" w:line="240" w:lineRule="auto"/>
        <w:ind w:right="49"/>
        <w:jc w:val="center"/>
        <w:rPr>
          <w:rFonts w:ascii="Times New Roman" w:hAnsi="Times New Roman" w:cs="Times New Roman"/>
          <w:bCs/>
          <w:sz w:val="28"/>
          <w:lang w:val="es-ES"/>
        </w:rPr>
      </w:pPr>
      <w:r w:rsidRPr="000149EE">
        <w:rPr>
          <w:rFonts w:ascii="Times New Roman" w:hAnsi="Times New Roman" w:cs="Times New Roman"/>
          <w:bCs/>
          <w:sz w:val="28"/>
          <w:lang w:val="es-ES"/>
        </w:rPr>
        <w:t xml:space="preserve">A LA </w:t>
      </w:r>
      <w:r w:rsidRPr="000149EE">
        <w:rPr>
          <w:rFonts w:ascii="Times New Roman" w:hAnsi="Times New Roman" w:cs="Times New Roman"/>
          <w:bCs/>
          <w:sz w:val="28"/>
          <w:lang w:val="es-ES"/>
        </w:rPr>
        <w:t>SENTENCIA C-205</w:t>
      </w:r>
      <w:r w:rsidRPr="000149EE">
        <w:rPr>
          <w:rFonts w:ascii="Times New Roman" w:hAnsi="Times New Roman" w:cs="Times New Roman"/>
          <w:bCs/>
          <w:sz w:val="28"/>
          <w:lang w:val="es-ES"/>
        </w:rPr>
        <w:t>/</w:t>
      </w:r>
      <w:r w:rsidRPr="000149EE">
        <w:rPr>
          <w:rFonts w:ascii="Times New Roman" w:hAnsi="Times New Roman" w:cs="Times New Roman"/>
          <w:bCs/>
          <w:sz w:val="28"/>
          <w:lang w:val="es-ES"/>
        </w:rPr>
        <w:t>24</w:t>
      </w:r>
    </w:p>
    <w:p w:rsidR="008C197F" w:rsidRPr="000149EE" w:rsidRDefault="000149EE" w:rsidP="008C197F">
      <w:pPr>
        <w:rPr>
          <w:rFonts w:ascii="Times New Roman" w:hAnsi="Times New Roman" w:cs="Times New Roman"/>
          <w:sz w:val="28"/>
          <w:lang w:val="es-ES"/>
        </w:rPr>
      </w:pPr>
    </w:p>
    <w:p w:rsidR="00FF2658" w:rsidRPr="000149EE" w:rsidRDefault="000149EE" w:rsidP="00342E6B">
      <w:pPr>
        <w:widowControl w:val="0"/>
        <w:tabs>
          <w:tab w:val="left" w:pos="284"/>
          <w:tab w:val="left" w:pos="426"/>
          <w:tab w:val="left" w:pos="567"/>
        </w:tabs>
        <w:spacing w:after="0" w:line="240" w:lineRule="auto"/>
        <w:ind w:right="49"/>
        <w:rPr>
          <w:rFonts w:ascii="Times New Roman" w:hAnsi="Times New Roman" w:cs="Times New Roman"/>
          <w:color w:val="000000" w:themeColor="text1"/>
          <w:sz w:val="28"/>
          <w:szCs w:val="28"/>
          <w:lang w:val="es-ES"/>
        </w:rPr>
      </w:pPr>
    </w:p>
    <w:p w:rsidR="00342E6B" w:rsidRPr="000149EE" w:rsidRDefault="000149EE" w:rsidP="00CE3A74">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color w:val="000000" w:themeColor="text1"/>
          <w:sz w:val="28"/>
          <w:bdr w:val="none" w:sz="0" w:space="0" w:color="auto" w:frame="1"/>
          <w:lang w:val="es-ES" w:eastAsia="es-ES"/>
        </w:rPr>
        <w:t>En la Sentencia C-</w:t>
      </w:r>
      <w:r w:rsidRPr="000149EE">
        <w:rPr>
          <w:rFonts w:ascii="Times New Roman" w:hAnsi="Times New Roman"/>
          <w:color w:val="000000" w:themeColor="text1"/>
          <w:sz w:val="28"/>
          <w:bdr w:val="none" w:sz="0" w:space="0" w:color="auto" w:frame="1"/>
          <w:lang w:val="es-ES" w:eastAsia="es-ES"/>
        </w:rPr>
        <w:t>205</w:t>
      </w:r>
      <w:r w:rsidRPr="000149EE">
        <w:rPr>
          <w:rFonts w:ascii="Times New Roman" w:hAnsi="Times New Roman"/>
          <w:color w:val="000000" w:themeColor="text1"/>
          <w:sz w:val="28"/>
          <w:bdr w:val="none" w:sz="0" w:space="0" w:color="auto" w:frame="1"/>
          <w:lang w:val="es-ES" w:eastAsia="es-ES"/>
        </w:rPr>
        <w:t xml:space="preserve"> de 202</w:t>
      </w:r>
      <w:r w:rsidRPr="000149EE">
        <w:rPr>
          <w:rFonts w:ascii="Times New Roman" w:hAnsi="Times New Roman"/>
          <w:color w:val="000000" w:themeColor="text1"/>
          <w:sz w:val="28"/>
          <w:bdr w:val="none" w:sz="0" w:space="0" w:color="auto" w:frame="1"/>
          <w:lang w:val="es-ES" w:eastAsia="es-ES"/>
        </w:rPr>
        <w:t>4</w:t>
      </w:r>
      <w:r w:rsidRPr="000149EE">
        <w:rPr>
          <w:rFonts w:ascii="Times New Roman" w:hAnsi="Times New Roman"/>
          <w:color w:val="000000" w:themeColor="text1"/>
          <w:sz w:val="28"/>
          <w:bdr w:val="none" w:sz="0" w:space="0" w:color="auto" w:frame="1"/>
          <w:lang w:val="es-ES" w:eastAsia="es-ES"/>
        </w:rPr>
        <w:t xml:space="preserve"> la Sala Plena de la Corte Constitucional </w:t>
      </w:r>
      <w:r w:rsidRPr="000149EE">
        <w:rPr>
          <w:rFonts w:ascii="Times New Roman" w:hAnsi="Times New Roman"/>
          <w:color w:val="000000" w:themeColor="text1"/>
          <w:sz w:val="28"/>
          <w:bdr w:val="none" w:sz="0" w:space="0" w:color="auto" w:frame="1"/>
          <w:lang w:val="es-ES" w:eastAsia="es-ES"/>
        </w:rPr>
        <w:t xml:space="preserve">declaró la constitucionalidad de </w:t>
      </w:r>
      <w:r w:rsidRPr="000149EE">
        <w:rPr>
          <w:rFonts w:ascii="Times New Roman" w:hAnsi="Times New Roman"/>
          <w:color w:val="000000" w:themeColor="text1"/>
          <w:sz w:val="28"/>
          <w:bdr w:val="none" w:sz="0" w:space="0" w:color="auto" w:frame="1"/>
          <w:lang w:val="es-ES" w:eastAsia="es-ES"/>
        </w:rPr>
        <w:t>lo</w:t>
      </w:r>
      <w:r w:rsidRPr="000149EE">
        <w:rPr>
          <w:rFonts w:ascii="Times New Roman" w:hAnsi="Times New Roman"/>
          <w:color w:val="000000" w:themeColor="text1"/>
          <w:sz w:val="28"/>
          <w:bdr w:val="none" w:sz="0" w:space="0" w:color="auto" w:frame="1"/>
          <w:lang w:val="es-ES" w:eastAsia="es-ES"/>
        </w:rPr>
        <w:t>s</w:t>
      </w:r>
      <w:r w:rsidRPr="000149EE">
        <w:rPr>
          <w:rFonts w:ascii="Times New Roman" w:hAnsi="Times New Roman"/>
          <w:color w:val="000000" w:themeColor="text1"/>
          <w:sz w:val="28"/>
          <w:bdr w:val="none" w:sz="0" w:space="0" w:color="auto" w:frame="1"/>
          <w:lang w:val="es-ES" w:eastAsia="es-ES"/>
        </w:rPr>
        <w:t xml:space="preserve"> numerales 1, 2 y 3 y el parágrafo 6 del artículo 240-1 del Estatuto Tributario</w:t>
      </w:r>
      <w:r w:rsidRPr="000149EE">
        <w:rPr>
          <w:rFonts w:ascii="Times New Roman" w:hAnsi="Times New Roman"/>
          <w:color w:val="000000" w:themeColor="text1"/>
          <w:sz w:val="28"/>
          <w:bdr w:val="none" w:sz="0" w:space="0" w:color="auto" w:frame="1"/>
          <w:lang w:val="es-ES" w:eastAsia="es-ES"/>
        </w:rPr>
        <w:t xml:space="preserve">. </w:t>
      </w:r>
      <w:r w:rsidRPr="000149EE">
        <w:rPr>
          <w:rFonts w:ascii="Times New Roman" w:hAnsi="Times New Roman"/>
          <w:color w:val="000000" w:themeColor="text1"/>
          <w:sz w:val="28"/>
          <w:bdr w:val="none" w:sz="0" w:space="0" w:color="auto" w:frame="1"/>
          <w:lang w:val="es-ES" w:eastAsia="es-ES"/>
        </w:rPr>
        <w:t>En este asunto</w:t>
      </w:r>
      <w:r w:rsidRPr="000149EE">
        <w:rPr>
          <w:rFonts w:ascii="Times New Roman" w:hAnsi="Times New Roman"/>
          <w:color w:val="000000" w:themeColor="text1"/>
          <w:sz w:val="28"/>
          <w:bdr w:val="none" w:sz="0" w:space="0" w:color="auto" w:frame="1"/>
          <w:lang w:val="es-ES" w:eastAsia="es-ES"/>
        </w:rPr>
        <w:t xml:space="preserve">, </w:t>
      </w:r>
      <w:r w:rsidRPr="000149EE">
        <w:rPr>
          <w:rFonts w:ascii="Times New Roman" w:hAnsi="Times New Roman"/>
          <w:color w:val="000000" w:themeColor="text1"/>
          <w:sz w:val="28"/>
          <w:bdr w:val="none" w:sz="0" w:space="0" w:color="auto" w:frame="1"/>
          <w:lang w:val="es-ES" w:eastAsia="es-ES"/>
        </w:rPr>
        <w:t>le correspondió a la</w:t>
      </w:r>
      <w:r w:rsidRPr="000149EE">
        <w:rPr>
          <w:rFonts w:ascii="Times New Roman" w:hAnsi="Times New Roman"/>
          <w:color w:val="000000" w:themeColor="text1"/>
          <w:sz w:val="28"/>
          <w:bdr w:val="none" w:sz="0" w:space="0" w:color="auto" w:frame="1"/>
          <w:lang w:val="es-ES" w:eastAsia="es-ES"/>
        </w:rPr>
        <w:t xml:space="preserve"> Corte </w:t>
      </w:r>
      <w:r w:rsidRPr="000149EE">
        <w:rPr>
          <w:rFonts w:ascii="Times New Roman" w:hAnsi="Times New Roman"/>
          <w:sz w:val="28"/>
        </w:rPr>
        <w:t>comparar a dos grupos de usuarios de zona</w:t>
      </w:r>
      <w:r w:rsidRPr="000149EE">
        <w:rPr>
          <w:rFonts w:ascii="Times New Roman" w:hAnsi="Times New Roman"/>
          <w:sz w:val="28"/>
        </w:rPr>
        <w:t>s</w:t>
      </w:r>
      <w:r w:rsidRPr="000149EE">
        <w:rPr>
          <w:rFonts w:ascii="Times New Roman" w:hAnsi="Times New Roman"/>
          <w:sz w:val="28"/>
        </w:rPr>
        <w:t xml:space="preserve"> franca</w:t>
      </w:r>
      <w:r w:rsidRPr="000149EE">
        <w:rPr>
          <w:rFonts w:ascii="Times New Roman" w:hAnsi="Times New Roman"/>
          <w:sz w:val="28"/>
        </w:rPr>
        <w:t>s</w:t>
      </w:r>
      <w:r w:rsidRPr="000149EE">
        <w:rPr>
          <w:rFonts w:ascii="Times New Roman" w:hAnsi="Times New Roman"/>
          <w:sz w:val="28"/>
        </w:rPr>
        <w:t xml:space="preserve"> a quienes les es aplicable </w:t>
      </w:r>
      <w:r w:rsidRPr="000149EE">
        <w:rPr>
          <w:rFonts w:ascii="Times New Roman" w:hAnsi="Times New Roman"/>
          <w:sz w:val="28"/>
        </w:rPr>
        <w:t xml:space="preserve">un mismo </w:t>
      </w:r>
      <w:r w:rsidRPr="000149EE">
        <w:rPr>
          <w:rFonts w:ascii="Times New Roman" w:hAnsi="Times New Roman"/>
          <w:sz w:val="28"/>
        </w:rPr>
        <w:t>régimen tarifario</w:t>
      </w:r>
      <w:r w:rsidRPr="000149EE">
        <w:rPr>
          <w:rFonts w:ascii="Times New Roman" w:hAnsi="Times New Roman"/>
          <w:sz w:val="28"/>
        </w:rPr>
        <w:t xml:space="preserve">. Los grupos comparables </w:t>
      </w:r>
      <w:r w:rsidRPr="000149EE">
        <w:rPr>
          <w:rFonts w:ascii="Times New Roman" w:hAnsi="Times New Roman"/>
          <w:sz w:val="28"/>
        </w:rPr>
        <w:t>fueron:</w:t>
      </w:r>
      <w:r w:rsidRPr="000149EE">
        <w:rPr>
          <w:rFonts w:ascii="Times New Roman" w:hAnsi="Times New Roman"/>
          <w:sz w:val="28"/>
        </w:rPr>
        <w:t> </w:t>
      </w:r>
      <w:r w:rsidRPr="000149EE">
        <w:rPr>
          <w:rFonts w:ascii="Times New Roman" w:hAnsi="Times New Roman"/>
          <w:i/>
          <w:iCs/>
          <w:sz w:val="28"/>
        </w:rPr>
        <w:t>(i)</w:t>
      </w:r>
      <w:r w:rsidRPr="000149EE">
        <w:rPr>
          <w:rFonts w:ascii="Times New Roman" w:hAnsi="Times New Roman"/>
          <w:sz w:val="28"/>
        </w:rPr>
        <w:t xml:space="preserve"> los usuarios industriales de zonas francas que perciben ingresos provenientes de la exportación de bienes y servicios y, además, suscriben y cumplen el PIAV y </w:t>
      </w:r>
      <w:r w:rsidRPr="000149EE">
        <w:rPr>
          <w:rFonts w:ascii="Times New Roman" w:hAnsi="Times New Roman"/>
          <w:i/>
          <w:iCs/>
          <w:sz w:val="28"/>
        </w:rPr>
        <w:t>(ii)</w:t>
      </w:r>
      <w:r w:rsidRPr="000149EE">
        <w:rPr>
          <w:rFonts w:ascii="Times New Roman" w:hAnsi="Times New Roman"/>
          <w:sz w:val="28"/>
        </w:rPr>
        <w:t xml:space="preserve"> los usuarios industriales de zonas francas que no exportan o que, pese a percibi</w:t>
      </w:r>
      <w:r w:rsidRPr="000149EE">
        <w:rPr>
          <w:rFonts w:ascii="Times New Roman" w:hAnsi="Times New Roman"/>
          <w:sz w:val="28"/>
        </w:rPr>
        <w:t>r ingresos por exportación, no suscribieron y cumplieron el PIAV.</w:t>
      </w:r>
    </w:p>
    <w:p w:rsidR="00342E6B" w:rsidRPr="000149EE" w:rsidRDefault="000149EE" w:rsidP="00342E6B">
      <w:pPr>
        <w:pStyle w:val="Prrafodelista"/>
        <w:tabs>
          <w:tab w:val="left" w:pos="284"/>
        </w:tabs>
        <w:spacing w:after="0" w:line="240" w:lineRule="auto"/>
        <w:ind w:left="0" w:right="49"/>
        <w:rPr>
          <w:rFonts w:ascii="Times New Roman" w:hAnsi="Times New Roman"/>
          <w:sz w:val="28"/>
        </w:rPr>
      </w:pPr>
    </w:p>
    <w:p w:rsidR="00342E6B" w:rsidRPr="000149EE" w:rsidRDefault="000149EE" w:rsidP="00AD6E55">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sz w:val="28"/>
        </w:rPr>
        <w:t>L</w:t>
      </w:r>
      <w:r w:rsidRPr="000149EE">
        <w:rPr>
          <w:rFonts w:ascii="Times New Roman" w:hAnsi="Times New Roman"/>
          <w:sz w:val="28"/>
        </w:rPr>
        <w:t xml:space="preserve">a </w:t>
      </w:r>
      <w:r w:rsidRPr="000149EE">
        <w:rPr>
          <w:rFonts w:ascii="Times New Roman" w:hAnsi="Times New Roman"/>
          <w:sz w:val="28"/>
        </w:rPr>
        <w:t xml:space="preserve">Sala Plena ha reconocido las dificultades que </w:t>
      </w:r>
      <w:r w:rsidRPr="000149EE">
        <w:rPr>
          <w:rFonts w:ascii="Times New Roman" w:hAnsi="Times New Roman"/>
          <w:sz w:val="28"/>
        </w:rPr>
        <w:t xml:space="preserve">surgen al </w:t>
      </w:r>
      <w:r w:rsidRPr="000149EE">
        <w:rPr>
          <w:rFonts w:ascii="Times New Roman" w:hAnsi="Times New Roman"/>
          <w:sz w:val="28"/>
        </w:rPr>
        <w:t xml:space="preserve">establecer los rasgos </w:t>
      </w:r>
      <w:r w:rsidRPr="000149EE">
        <w:rPr>
          <w:rFonts w:ascii="Times New Roman" w:hAnsi="Times New Roman"/>
          <w:sz w:val="28"/>
        </w:rPr>
        <w:t>que hacen posible determinar la distinción más relevante de los grupos</w:t>
      </w:r>
      <w:r w:rsidRPr="000149EE">
        <w:rPr>
          <w:rFonts w:ascii="Times New Roman" w:hAnsi="Times New Roman"/>
          <w:sz w:val="28"/>
        </w:rPr>
        <w:t xml:space="preserve"> objeto de comparación</w:t>
      </w:r>
      <w:r w:rsidRPr="000149EE">
        <w:rPr>
          <w:rFonts w:ascii="Times New Roman" w:hAnsi="Times New Roman"/>
          <w:sz w:val="28"/>
        </w:rPr>
        <w:t xml:space="preserve"> y que conducirían a la </w:t>
      </w:r>
      <w:r w:rsidRPr="000149EE">
        <w:rPr>
          <w:rFonts w:ascii="Times New Roman" w:hAnsi="Times New Roman"/>
          <w:sz w:val="28"/>
          <w:lang w:val="es-ES"/>
        </w:rPr>
        <w:t>asimilación</w:t>
      </w:r>
      <w:r w:rsidRPr="000149EE">
        <w:rPr>
          <w:rFonts w:ascii="Times New Roman" w:hAnsi="Times New Roman"/>
          <w:sz w:val="28"/>
        </w:rPr>
        <w:t>.</w:t>
      </w:r>
      <w:r w:rsidRPr="000149EE">
        <w:rPr>
          <w:rFonts w:ascii="Times New Roman" w:hAnsi="Times New Roman"/>
          <w:sz w:val="28"/>
        </w:rPr>
        <w:t xml:space="preserve"> </w:t>
      </w:r>
      <w:r w:rsidRPr="000149EE">
        <w:rPr>
          <w:rFonts w:ascii="Times New Roman" w:hAnsi="Times New Roman"/>
          <w:sz w:val="28"/>
        </w:rPr>
        <w:t xml:space="preserve">En </w:t>
      </w:r>
      <w:r w:rsidRPr="000149EE">
        <w:rPr>
          <w:rFonts w:ascii="Times New Roman" w:hAnsi="Times New Roman"/>
          <w:sz w:val="28"/>
        </w:rPr>
        <w:t xml:space="preserve">la </w:t>
      </w:r>
      <w:r w:rsidRPr="000149EE">
        <w:rPr>
          <w:rFonts w:ascii="Times New Roman" w:hAnsi="Times New Roman"/>
          <w:sz w:val="28"/>
        </w:rPr>
        <w:t>Sentencia C-109 de 2020</w:t>
      </w:r>
      <w:r w:rsidRPr="000149EE">
        <w:rPr>
          <w:rFonts w:ascii="Times New Roman" w:hAnsi="Times New Roman"/>
          <w:sz w:val="28"/>
        </w:rPr>
        <w:t xml:space="preserve"> </w:t>
      </w:r>
      <w:r w:rsidRPr="000149EE">
        <w:rPr>
          <w:rFonts w:ascii="Times New Roman" w:hAnsi="Times New Roman"/>
          <w:sz w:val="28"/>
        </w:rPr>
        <w:t>la Corte concluyó que la identificación del criterio de comparación “constituye una de las labores más complejas en materia del control constitucional de la igualdad”. Ello es así porque “l</w:t>
      </w:r>
      <w:r w:rsidRPr="000149EE">
        <w:rPr>
          <w:rFonts w:ascii="Times New Roman" w:hAnsi="Times New Roman"/>
          <w:sz w:val="28"/>
        </w:rPr>
        <w:t xml:space="preserve">as personas, grupos y </w:t>
      </w:r>
      <w:r w:rsidRPr="000149EE">
        <w:rPr>
          <w:rFonts w:ascii="Times New Roman" w:hAnsi="Times New Roman"/>
          <w:sz w:val="28"/>
          <w:lang w:val="es-ES"/>
        </w:rPr>
        <w:t>situaciones pueden siempre tener rasgos comunes y siempre también rasgos diferentes”. Para la Corte, la selección equivocada del criterio de comparación “podría tener graves consecuencias”. Por ejemplo, “(i) la invocación de rasgos qu</w:t>
      </w:r>
      <w:r w:rsidRPr="000149EE">
        <w:rPr>
          <w:rFonts w:ascii="Times New Roman" w:hAnsi="Times New Roman"/>
          <w:sz w:val="28"/>
          <w:lang w:val="es-ES"/>
        </w:rPr>
        <w:t>e por su carácter genérico conducen siempre a concluir la asimilación de grupos o situaciones supondría una profunda limitación del margen de configuración del legislador y, en otra dirección, (ii) el empleo de rasgos que por su grado de especificidad cond</w:t>
      </w:r>
      <w:r w:rsidRPr="000149EE">
        <w:rPr>
          <w:rFonts w:ascii="Times New Roman" w:hAnsi="Times New Roman"/>
          <w:sz w:val="28"/>
          <w:lang w:val="es-ES"/>
        </w:rPr>
        <w:t xml:space="preserve">ucen siempre a diferenciar, podría afectar la vigencia del mandato de igualdad como expresión básica de justicia”.  </w:t>
      </w:r>
    </w:p>
    <w:p w:rsidR="00342E6B" w:rsidRPr="000149EE" w:rsidRDefault="000149EE" w:rsidP="00342E6B">
      <w:pPr>
        <w:pStyle w:val="Prrafodelista"/>
        <w:rPr>
          <w:rFonts w:ascii="Times New Roman" w:hAnsi="Times New Roman"/>
          <w:sz w:val="28"/>
          <w:lang w:val="es-ES"/>
        </w:rPr>
      </w:pPr>
    </w:p>
    <w:p w:rsidR="00342E6B" w:rsidRPr="000149EE" w:rsidRDefault="000149EE" w:rsidP="00CE3A74">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sz w:val="28"/>
          <w:lang w:val="es-ES"/>
        </w:rPr>
        <w:t>Así las cosas</w:t>
      </w:r>
      <w:r w:rsidRPr="000149EE">
        <w:rPr>
          <w:rFonts w:ascii="Times New Roman" w:hAnsi="Times New Roman"/>
          <w:sz w:val="28"/>
          <w:lang w:val="es-ES"/>
        </w:rPr>
        <w:t>, para definir si es o no discutible -desde la perspectiva del mandato de igualdad- la clasificación que establece la norma a</w:t>
      </w:r>
      <w:r w:rsidRPr="000149EE">
        <w:rPr>
          <w:rFonts w:ascii="Times New Roman" w:hAnsi="Times New Roman"/>
          <w:sz w:val="28"/>
          <w:lang w:val="es-ES"/>
        </w:rPr>
        <w:t xml:space="preserve">cusada, es indispensable precisar su objetivo y, luego de ello, </w:t>
      </w:r>
      <w:r w:rsidRPr="000149EE">
        <w:rPr>
          <w:rFonts w:ascii="Times New Roman" w:hAnsi="Times New Roman"/>
          <w:sz w:val="28"/>
          <w:lang w:val="es-ES"/>
        </w:rPr>
        <w:t>ide</w:t>
      </w:r>
      <w:r w:rsidRPr="000149EE">
        <w:rPr>
          <w:rFonts w:ascii="Times New Roman" w:hAnsi="Times New Roman"/>
          <w:sz w:val="28"/>
          <w:lang w:val="es-ES"/>
        </w:rPr>
        <w:t xml:space="preserve">ntificar </w:t>
      </w:r>
      <w:r w:rsidRPr="000149EE">
        <w:rPr>
          <w:rFonts w:ascii="Times New Roman" w:hAnsi="Times New Roman"/>
          <w:sz w:val="28"/>
          <w:lang w:val="es-ES"/>
        </w:rPr>
        <w:t xml:space="preserve">el criterio de comparación relevante. </w:t>
      </w:r>
    </w:p>
    <w:p w:rsidR="00342E6B" w:rsidRPr="000149EE" w:rsidRDefault="000149EE" w:rsidP="00342E6B">
      <w:pPr>
        <w:pStyle w:val="Prrafodelista"/>
        <w:rPr>
          <w:rFonts w:ascii="Times New Roman" w:hAnsi="Times New Roman"/>
          <w:sz w:val="28"/>
        </w:rPr>
      </w:pPr>
    </w:p>
    <w:p w:rsidR="003854C2" w:rsidRPr="000149EE" w:rsidRDefault="000149EE" w:rsidP="00895126">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sz w:val="28"/>
        </w:rPr>
        <w:t>En esta oportunidad, la Sala Plena</w:t>
      </w:r>
      <w:r w:rsidRPr="000149EE">
        <w:rPr>
          <w:rFonts w:ascii="Times New Roman" w:hAnsi="Times New Roman"/>
          <w:sz w:val="28"/>
        </w:rPr>
        <w:t xml:space="preserve"> consideró que los criterios relevantes para examinar si estos grupos eran comparables desde el punto de vista fáctico y jurídico eran: </w:t>
      </w:r>
      <w:r w:rsidRPr="000149EE">
        <w:rPr>
          <w:rFonts w:ascii="Times New Roman" w:hAnsi="Times New Roman"/>
          <w:i/>
          <w:iCs/>
          <w:sz w:val="28"/>
        </w:rPr>
        <w:t>(i)</w:t>
      </w:r>
      <w:r w:rsidRPr="000149EE">
        <w:rPr>
          <w:rFonts w:ascii="Times New Roman" w:hAnsi="Times New Roman"/>
          <w:sz w:val="28"/>
        </w:rPr>
        <w:t> la naturaleza jurídica, </w:t>
      </w:r>
      <w:r w:rsidRPr="000149EE">
        <w:rPr>
          <w:rFonts w:ascii="Times New Roman" w:hAnsi="Times New Roman"/>
          <w:i/>
          <w:iCs/>
          <w:sz w:val="28"/>
        </w:rPr>
        <w:t>(ii)</w:t>
      </w:r>
      <w:r w:rsidRPr="000149EE">
        <w:rPr>
          <w:rFonts w:ascii="Times New Roman" w:hAnsi="Times New Roman"/>
          <w:sz w:val="28"/>
        </w:rPr>
        <w:t> el régimen jurídico aplicable a sus operaciones de ventas de bienes y servicios y </w:t>
      </w:r>
      <w:r w:rsidRPr="000149EE">
        <w:rPr>
          <w:rFonts w:ascii="Times New Roman" w:hAnsi="Times New Roman"/>
          <w:i/>
          <w:iCs/>
          <w:sz w:val="28"/>
        </w:rPr>
        <w:t>(iii)</w:t>
      </w:r>
      <w:r w:rsidRPr="000149EE">
        <w:rPr>
          <w:rFonts w:ascii="Times New Roman" w:hAnsi="Times New Roman"/>
          <w:sz w:val="28"/>
        </w:rPr>
        <w:t> la capacidad contributiva.</w:t>
      </w:r>
      <w:r w:rsidRPr="000149EE">
        <w:rPr>
          <w:rFonts w:ascii="Times New Roman" w:hAnsi="Times New Roman"/>
          <w:sz w:val="28"/>
          <w:lang w:val="es-ES"/>
        </w:rPr>
        <w:t xml:space="preserve"> </w:t>
      </w:r>
      <w:r w:rsidRPr="000149EE">
        <w:rPr>
          <w:rFonts w:ascii="Times New Roman" w:hAnsi="Times New Roman"/>
          <w:sz w:val="28"/>
          <w:lang w:val="es-ES"/>
        </w:rPr>
        <w:t>A</w:t>
      </w:r>
      <w:r w:rsidRPr="000149EE">
        <w:rPr>
          <w:rFonts w:ascii="Times New Roman" w:hAnsi="Times New Roman"/>
          <w:sz w:val="28"/>
          <w:lang w:val="es-ES"/>
        </w:rPr>
        <w:t xml:space="preserve"> la luz de estos criterios de comparación, los usuarios industriales que obtienen ingresos por exportación y los que no, son comparables de cara a la tarifa del impuesto a la renta. </w:t>
      </w:r>
    </w:p>
    <w:p w:rsidR="003854C2" w:rsidRPr="000149EE" w:rsidRDefault="000149EE" w:rsidP="003854C2">
      <w:pPr>
        <w:pStyle w:val="Prrafodelista"/>
        <w:rPr>
          <w:rFonts w:ascii="Times New Roman" w:hAnsi="Times New Roman"/>
          <w:sz w:val="28"/>
          <w:lang w:val="es-ES"/>
        </w:rPr>
      </w:pPr>
    </w:p>
    <w:p w:rsidR="003854C2" w:rsidRPr="000149EE" w:rsidRDefault="000149EE" w:rsidP="002938A9">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sz w:val="28"/>
          <w:lang w:val="es-ES"/>
        </w:rPr>
        <w:t>Si bien comparto la decisión adoptada por l</w:t>
      </w:r>
      <w:r w:rsidRPr="000149EE">
        <w:rPr>
          <w:rFonts w:ascii="Times New Roman" w:hAnsi="Times New Roman"/>
          <w:sz w:val="28"/>
          <w:lang w:val="es-ES"/>
        </w:rPr>
        <w:t xml:space="preserve">a Sala Plena considero que, para efectos de determinar si los grupos </w:t>
      </w:r>
      <w:r w:rsidRPr="000149EE">
        <w:rPr>
          <w:rFonts w:ascii="Times New Roman" w:hAnsi="Times New Roman"/>
          <w:sz w:val="28"/>
          <w:lang w:val="es-ES"/>
        </w:rPr>
        <w:t>son</w:t>
      </w:r>
      <w:r w:rsidRPr="000149EE">
        <w:rPr>
          <w:rFonts w:ascii="Times New Roman" w:hAnsi="Times New Roman"/>
          <w:sz w:val="28"/>
          <w:lang w:val="es-ES"/>
        </w:rPr>
        <w:t xml:space="preserve"> o no comparables, era necesario analizar </w:t>
      </w:r>
      <w:r w:rsidRPr="000149EE">
        <w:rPr>
          <w:rFonts w:ascii="Times New Roman" w:hAnsi="Times New Roman"/>
          <w:sz w:val="28"/>
          <w:lang w:val="es-ES"/>
        </w:rPr>
        <w:t>los objetivos de la norma. A partir de los antecedentes legislativos de la Ley 2277 de 2022</w:t>
      </w:r>
      <w:r w:rsidRPr="000149EE">
        <w:rPr>
          <w:rFonts w:ascii="Times New Roman" w:hAnsi="Times New Roman"/>
          <w:sz w:val="28"/>
          <w:lang w:val="es-ES"/>
        </w:rPr>
        <w:t>, de las consideraciones de la S</w:t>
      </w:r>
      <w:r w:rsidRPr="000149EE">
        <w:rPr>
          <w:rFonts w:ascii="Times New Roman" w:hAnsi="Times New Roman"/>
          <w:sz w:val="28"/>
          <w:lang w:val="es-ES"/>
        </w:rPr>
        <w:t xml:space="preserve">entencia C-384 de </w:t>
      </w:r>
      <w:r w:rsidRPr="000149EE">
        <w:rPr>
          <w:rFonts w:ascii="Times New Roman" w:hAnsi="Times New Roman"/>
          <w:sz w:val="28"/>
          <w:lang w:val="es-ES"/>
        </w:rPr>
        <w:t>2023</w:t>
      </w:r>
      <w:r w:rsidRPr="000149EE">
        <w:rPr>
          <w:rFonts w:ascii="Times New Roman" w:hAnsi="Times New Roman"/>
          <w:sz w:val="28"/>
          <w:lang w:val="es-ES"/>
        </w:rPr>
        <w:t xml:space="preserve"> y de las intervenciones al proceso </w:t>
      </w:r>
      <w:r w:rsidRPr="000149EE">
        <w:rPr>
          <w:rFonts w:ascii="Times New Roman" w:hAnsi="Times New Roman"/>
          <w:sz w:val="28"/>
          <w:lang w:val="es-ES"/>
        </w:rPr>
        <w:t xml:space="preserve">era posible concluir que </w:t>
      </w:r>
      <w:r w:rsidRPr="000149EE">
        <w:rPr>
          <w:rFonts w:ascii="Times New Roman" w:hAnsi="Times New Roman"/>
          <w:sz w:val="28"/>
          <w:lang w:val="es-ES"/>
        </w:rPr>
        <w:t xml:space="preserve">la disposición acusada </w:t>
      </w:r>
      <w:r w:rsidRPr="000149EE">
        <w:rPr>
          <w:rFonts w:ascii="Times New Roman" w:hAnsi="Times New Roman"/>
          <w:sz w:val="28"/>
          <w:lang w:val="es-ES"/>
        </w:rPr>
        <w:t>persigue</w:t>
      </w:r>
      <w:r w:rsidRPr="000149EE">
        <w:rPr>
          <w:rFonts w:ascii="Times New Roman" w:hAnsi="Times New Roman"/>
          <w:sz w:val="28"/>
          <w:lang w:val="es-ES"/>
        </w:rPr>
        <w:t xml:space="preserve"> dos objetivos: (i) promover la exportación y fortalecer la competitividad y (ii) corregir asimetrías tributarias. </w:t>
      </w:r>
    </w:p>
    <w:p w:rsidR="003854C2" w:rsidRPr="000149EE" w:rsidRDefault="000149EE" w:rsidP="003854C2">
      <w:pPr>
        <w:pStyle w:val="Prrafodelista"/>
        <w:rPr>
          <w:rFonts w:ascii="Times New Roman" w:hAnsi="Times New Roman"/>
          <w:sz w:val="28"/>
          <w:lang w:val="es-ES"/>
        </w:rPr>
      </w:pPr>
    </w:p>
    <w:p w:rsidR="00BA3A5D" w:rsidRPr="000149EE" w:rsidRDefault="000149EE" w:rsidP="002815E8">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sz w:val="28"/>
          <w:lang w:val="es-ES"/>
        </w:rPr>
        <w:t>Aceptar como criterios de comparación (i) l</w:t>
      </w:r>
      <w:r w:rsidRPr="000149EE">
        <w:rPr>
          <w:rFonts w:ascii="Times New Roman" w:hAnsi="Times New Roman"/>
          <w:sz w:val="28"/>
          <w:lang w:val="es-ES"/>
        </w:rPr>
        <w:t xml:space="preserve">a naturaleza </w:t>
      </w:r>
      <w:r w:rsidRPr="000149EE">
        <w:rPr>
          <w:rFonts w:ascii="Times New Roman" w:hAnsi="Times New Roman"/>
          <w:sz w:val="28"/>
          <w:lang w:val="es-ES"/>
        </w:rPr>
        <w:t xml:space="preserve">jurídica, (ii) el </w:t>
      </w:r>
      <w:r w:rsidRPr="000149EE">
        <w:rPr>
          <w:rFonts w:ascii="Times New Roman" w:hAnsi="Times New Roman"/>
          <w:sz w:val="28"/>
          <w:lang w:val="es-ES"/>
        </w:rPr>
        <w:t>régimen jurídico aplicable a sus operaciones de ventas de bienes y servicios</w:t>
      </w:r>
      <w:r w:rsidRPr="000149EE">
        <w:rPr>
          <w:rFonts w:ascii="Times New Roman" w:hAnsi="Times New Roman"/>
          <w:sz w:val="28"/>
          <w:lang w:val="es-ES"/>
        </w:rPr>
        <w:t>,</w:t>
      </w:r>
      <w:r w:rsidRPr="000149EE">
        <w:rPr>
          <w:rFonts w:ascii="Times New Roman" w:hAnsi="Times New Roman"/>
          <w:sz w:val="28"/>
          <w:lang w:val="es-ES"/>
        </w:rPr>
        <w:t xml:space="preserve"> y (ii) la capacidad contributiva, podría considerarse especialmente genérico.</w:t>
      </w:r>
      <w:r w:rsidRPr="000149EE">
        <w:rPr>
          <w:rFonts w:ascii="Times New Roman" w:hAnsi="Times New Roman"/>
          <w:sz w:val="28"/>
          <w:lang w:val="es-ES"/>
        </w:rPr>
        <w:t xml:space="preserve"> </w:t>
      </w:r>
      <w:r w:rsidRPr="000149EE">
        <w:rPr>
          <w:rFonts w:ascii="Times New Roman" w:hAnsi="Times New Roman"/>
          <w:sz w:val="28"/>
          <w:lang w:val="es-ES"/>
        </w:rPr>
        <w:t>Mi aclaración de voto se funda</w:t>
      </w:r>
      <w:r w:rsidRPr="000149EE">
        <w:rPr>
          <w:rFonts w:ascii="Times New Roman" w:hAnsi="Times New Roman"/>
          <w:sz w:val="28"/>
          <w:lang w:val="es-ES"/>
        </w:rPr>
        <w:t>menta</w:t>
      </w:r>
      <w:r w:rsidRPr="000149EE">
        <w:rPr>
          <w:rFonts w:ascii="Times New Roman" w:hAnsi="Times New Roman"/>
          <w:sz w:val="28"/>
          <w:lang w:val="es-ES"/>
        </w:rPr>
        <w:t>, entonces, en la necesidad de</w:t>
      </w:r>
      <w:r w:rsidRPr="000149EE">
        <w:rPr>
          <w:rFonts w:ascii="Times New Roman" w:hAnsi="Times New Roman"/>
          <w:sz w:val="28"/>
          <w:lang w:val="es-ES"/>
        </w:rPr>
        <w:t xml:space="preserve"> </w:t>
      </w:r>
      <w:r w:rsidRPr="000149EE">
        <w:rPr>
          <w:rFonts w:ascii="Times New Roman" w:hAnsi="Times New Roman"/>
          <w:sz w:val="28"/>
          <w:lang w:val="es-ES"/>
        </w:rPr>
        <w:t>est</w:t>
      </w:r>
      <w:r w:rsidRPr="000149EE">
        <w:rPr>
          <w:rFonts w:ascii="Times New Roman" w:hAnsi="Times New Roman"/>
          <w:sz w:val="28"/>
          <w:lang w:val="es-ES"/>
        </w:rPr>
        <w:t>ablecer un criterio de comparación más específico</w:t>
      </w:r>
      <w:r w:rsidRPr="000149EE">
        <w:rPr>
          <w:rFonts w:ascii="Times New Roman" w:hAnsi="Times New Roman"/>
          <w:sz w:val="28"/>
          <w:lang w:val="es-ES"/>
        </w:rPr>
        <w:t>. Articular las dos finalidades expuestas p</w:t>
      </w:r>
      <w:r w:rsidRPr="000149EE">
        <w:rPr>
          <w:rFonts w:ascii="Times New Roman" w:hAnsi="Times New Roman"/>
          <w:sz w:val="28"/>
          <w:lang w:val="es-ES"/>
        </w:rPr>
        <w:t>ermitiría</w:t>
      </w:r>
      <w:r w:rsidRPr="000149EE">
        <w:rPr>
          <w:rFonts w:ascii="Times New Roman" w:hAnsi="Times New Roman"/>
          <w:sz w:val="28"/>
          <w:lang w:val="es-ES"/>
        </w:rPr>
        <w:t xml:space="preserve"> </w:t>
      </w:r>
      <w:r w:rsidRPr="000149EE">
        <w:rPr>
          <w:rFonts w:ascii="Times New Roman" w:hAnsi="Times New Roman"/>
          <w:sz w:val="28"/>
          <w:lang w:val="es-ES"/>
        </w:rPr>
        <w:t xml:space="preserve">concluir que, en atención a </w:t>
      </w:r>
      <w:r w:rsidRPr="000149EE">
        <w:rPr>
          <w:rFonts w:ascii="Times New Roman" w:hAnsi="Times New Roman"/>
          <w:sz w:val="28"/>
          <w:lang w:val="es-ES"/>
        </w:rPr>
        <w:t xml:space="preserve">la </w:t>
      </w:r>
      <w:r w:rsidRPr="000149EE">
        <w:rPr>
          <w:rFonts w:ascii="Times New Roman" w:hAnsi="Times New Roman"/>
          <w:sz w:val="28"/>
          <w:lang w:val="es-ES"/>
        </w:rPr>
        <w:t>naturaleza de las actividades que se desarrolla</w:t>
      </w:r>
      <w:r w:rsidRPr="000149EE">
        <w:rPr>
          <w:rFonts w:ascii="Times New Roman" w:hAnsi="Times New Roman"/>
          <w:sz w:val="28"/>
          <w:lang w:val="es-ES"/>
        </w:rPr>
        <w:t xml:space="preserve"> cada uno de los grupos </w:t>
      </w:r>
      <w:r w:rsidRPr="000149EE">
        <w:rPr>
          <w:rFonts w:ascii="Times New Roman" w:hAnsi="Times New Roman"/>
          <w:sz w:val="28"/>
          <w:lang w:val="es-ES"/>
        </w:rPr>
        <w:t xml:space="preserve">en las zonas francas, se tratan de grupos que </w:t>
      </w:r>
      <w:r w:rsidRPr="000149EE">
        <w:rPr>
          <w:rFonts w:ascii="Times New Roman" w:hAnsi="Times New Roman"/>
          <w:sz w:val="28"/>
          <w:lang w:val="es-ES"/>
        </w:rPr>
        <w:t>desarrollan funciones sustancialmente diferentes a la luz de la norma acusada</w:t>
      </w:r>
      <w:r w:rsidRPr="000149EE">
        <w:rPr>
          <w:rFonts w:ascii="Times New Roman" w:hAnsi="Times New Roman"/>
          <w:sz w:val="28"/>
          <w:lang w:val="es-ES"/>
        </w:rPr>
        <w:t xml:space="preserve"> -exportar-</w:t>
      </w:r>
      <w:r w:rsidRPr="000149EE">
        <w:rPr>
          <w:rFonts w:ascii="Times New Roman" w:hAnsi="Times New Roman"/>
          <w:sz w:val="28"/>
          <w:lang w:val="es-ES"/>
        </w:rPr>
        <w:t xml:space="preserve">. Dicho de otro modo, </w:t>
      </w:r>
      <w:r w:rsidRPr="000149EE">
        <w:rPr>
          <w:rFonts w:ascii="Times New Roman" w:hAnsi="Times New Roman"/>
          <w:sz w:val="28"/>
          <w:lang w:val="es-ES"/>
        </w:rPr>
        <w:t xml:space="preserve">en </w:t>
      </w:r>
      <w:r w:rsidRPr="000149EE">
        <w:rPr>
          <w:rFonts w:ascii="Times New Roman" w:hAnsi="Times New Roman"/>
          <w:sz w:val="28"/>
          <w:lang w:val="es-ES"/>
        </w:rPr>
        <w:t>el ejercicio</w:t>
      </w:r>
      <w:r w:rsidRPr="000149EE">
        <w:rPr>
          <w:rFonts w:ascii="Times New Roman" w:hAnsi="Times New Roman"/>
          <w:sz w:val="28"/>
          <w:lang w:val="es-ES"/>
        </w:rPr>
        <w:t xml:space="preserve"> </w:t>
      </w:r>
      <w:r w:rsidRPr="000149EE">
        <w:rPr>
          <w:rFonts w:ascii="Times New Roman" w:hAnsi="Times New Roman"/>
          <w:sz w:val="28"/>
          <w:lang w:val="es-ES"/>
        </w:rPr>
        <w:t>de identificar</w:t>
      </w:r>
      <w:r w:rsidRPr="000149EE">
        <w:rPr>
          <w:rFonts w:ascii="Times New Roman" w:hAnsi="Times New Roman"/>
          <w:sz w:val="28"/>
          <w:lang w:val="es-ES"/>
        </w:rPr>
        <w:t xml:space="preserve"> el criterio de comparación</w:t>
      </w:r>
      <w:r w:rsidRPr="000149EE">
        <w:rPr>
          <w:rFonts w:ascii="Times New Roman" w:hAnsi="Times New Roman"/>
          <w:sz w:val="28"/>
          <w:lang w:val="es-ES"/>
        </w:rPr>
        <w:t xml:space="preserve"> debió incidir</w:t>
      </w:r>
      <w:r w:rsidRPr="000149EE">
        <w:rPr>
          <w:rFonts w:ascii="Times New Roman" w:hAnsi="Times New Roman"/>
          <w:sz w:val="28"/>
          <w:lang w:val="es-ES"/>
        </w:rPr>
        <w:t xml:space="preserve"> </w:t>
      </w:r>
      <w:r w:rsidRPr="000149EE">
        <w:rPr>
          <w:rFonts w:ascii="Times New Roman" w:hAnsi="Times New Roman"/>
          <w:sz w:val="28"/>
          <w:lang w:val="es-ES"/>
        </w:rPr>
        <w:t>el hecho de que se trat</w:t>
      </w:r>
      <w:r w:rsidRPr="000149EE">
        <w:rPr>
          <w:rFonts w:ascii="Times New Roman" w:hAnsi="Times New Roman"/>
          <w:sz w:val="28"/>
          <w:lang w:val="es-ES"/>
        </w:rPr>
        <w:t>a</w:t>
      </w:r>
      <w:r w:rsidRPr="000149EE">
        <w:rPr>
          <w:rFonts w:ascii="Times New Roman" w:hAnsi="Times New Roman"/>
          <w:sz w:val="28"/>
          <w:lang w:val="es-ES"/>
        </w:rPr>
        <w:t xml:space="preserve"> de una regulación tributaria encaminada a incenti</w:t>
      </w:r>
      <w:r w:rsidRPr="000149EE">
        <w:rPr>
          <w:rFonts w:ascii="Times New Roman" w:hAnsi="Times New Roman"/>
          <w:sz w:val="28"/>
          <w:lang w:val="es-ES"/>
        </w:rPr>
        <w:t>var las exportaciones.</w:t>
      </w:r>
    </w:p>
    <w:p w:rsidR="00BA3A5D" w:rsidRPr="000149EE" w:rsidRDefault="000149EE" w:rsidP="00BA3A5D">
      <w:pPr>
        <w:pStyle w:val="Prrafodelista"/>
        <w:rPr>
          <w:rFonts w:ascii="Times New Roman" w:hAnsi="Times New Roman"/>
          <w:sz w:val="28"/>
          <w:lang w:val="es-ES"/>
        </w:rPr>
      </w:pPr>
    </w:p>
    <w:p w:rsidR="00E01AEC" w:rsidRPr="000149EE" w:rsidRDefault="000149EE" w:rsidP="002938A9">
      <w:pPr>
        <w:pStyle w:val="Prrafodelista"/>
        <w:numPr>
          <w:ilvl w:val="0"/>
          <w:numId w:val="21"/>
        </w:numPr>
        <w:tabs>
          <w:tab w:val="left" w:pos="284"/>
        </w:tabs>
        <w:spacing w:after="0" w:line="240" w:lineRule="auto"/>
        <w:ind w:left="0" w:right="49" w:firstLine="0"/>
        <w:rPr>
          <w:rFonts w:ascii="Times New Roman" w:hAnsi="Times New Roman"/>
          <w:sz w:val="28"/>
        </w:rPr>
      </w:pPr>
      <w:r w:rsidRPr="000149EE">
        <w:rPr>
          <w:rFonts w:ascii="Times New Roman" w:hAnsi="Times New Roman"/>
          <w:sz w:val="28"/>
          <w:lang w:val="es-ES"/>
        </w:rPr>
        <w:t>En los anteriores términos dejo consignada mi aclaración de voto.</w:t>
      </w:r>
    </w:p>
    <w:p w:rsidR="00E01AEC" w:rsidRPr="000149EE" w:rsidRDefault="000149EE" w:rsidP="002938A9">
      <w:pPr>
        <w:pStyle w:val="Prrafodelista"/>
        <w:spacing w:after="0" w:line="240" w:lineRule="auto"/>
        <w:ind w:left="0" w:right="49"/>
        <w:rPr>
          <w:rFonts w:ascii="Times New Roman" w:hAnsi="Times New Roman"/>
          <w:sz w:val="28"/>
          <w:lang w:val="es-ES"/>
        </w:rPr>
      </w:pPr>
    </w:p>
    <w:p w:rsidR="00E01AEC" w:rsidRPr="000149EE" w:rsidRDefault="000149EE" w:rsidP="002938A9">
      <w:pPr>
        <w:pStyle w:val="Prrafodelista"/>
        <w:spacing w:after="0" w:line="240" w:lineRule="auto"/>
        <w:ind w:left="0" w:right="49"/>
        <w:rPr>
          <w:rFonts w:ascii="Times New Roman" w:hAnsi="Times New Roman"/>
          <w:sz w:val="28"/>
          <w:lang w:val="es-ES"/>
        </w:rPr>
      </w:pPr>
      <w:r w:rsidRPr="000149EE">
        <w:rPr>
          <w:rFonts w:ascii="Times New Roman" w:hAnsi="Times New Roman"/>
          <w:sz w:val="28"/>
          <w:lang w:val="es-ES"/>
        </w:rPr>
        <w:t xml:space="preserve">Fecha </w:t>
      </w:r>
      <w:r w:rsidRPr="000149EE">
        <w:rPr>
          <w:rFonts w:ascii="Times New Roman" w:hAnsi="Times New Roman"/>
          <w:i/>
          <w:iCs/>
          <w:sz w:val="28"/>
          <w:lang w:val="es-ES"/>
        </w:rPr>
        <w:t>ut supra</w:t>
      </w:r>
      <w:r w:rsidRPr="000149EE">
        <w:rPr>
          <w:rFonts w:ascii="Times New Roman" w:hAnsi="Times New Roman"/>
          <w:sz w:val="28"/>
          <w:lang w:val="es-ES"/>
        </w:rPr>
        <w:t>,</w:t>
      </w:r>
    </w:p>
    <w:p w:rsidR="00E01AEC" w:rsidRPr="000149EE" w:rsidRDefault="000149EE" w:rsidP="00E01AEC">
      <w:pPr>
        <w:pStyle w:val="Prrafodelista"/>
        <w:spacing w:after="0" w:line="240" w:lineRule="auto"/>
        <w:ind w:left="0" w:right="49"/>
        <w:rPr>
          <w:rFonts w:ascii="Times New Roman" w:hAnsi="Times New Roman"/>
          <w:sz w:val="28"/>
          <w:lang w:val="es-ES"/>
        </w:rPr>
      </w:pPr>
    </w:p>
    <w:p w:rsidR="00486FA2" w:rsidRPr="000149EE" w:rsidRDefault="000149EE" w:rsidP="00E01AEC">
      <w:pPr>
        <w:pStyle w:val="Prrafodelista"/>
        <w:spacing w:after="0" w:line="240" w:lineRule="auto"/>
        <w:ind w:left="0" w:right="49"/>
        <w:rPr>
          <w:rFonts w:ascii="Times New Roman" w:hAnsi="Times New Roman"/>
          <w:sz w:val="28"/>
          <w:lang w:val="es-ES"/>
        </w:rPr>
      </w:pPr>
    </w:p>
    <w:p w:rsidR="00486FA2" w:rsidRPr="000149EE" w:rsidRDefault="000149EE" w:rsidP="00E01AEC">
      <w:pPr>
        <w:pStyle w:val="Prrafodelista"/>
        <w:spacing w:after="0" w:line="240" w:lineRule="auto"/>
        <w:ind w:left="0" w:right="49"/>
        <w:rPr>
          <w:rFonts w:ascii="Times New Roman" w:hAnsi="Times New Roman"/>
          <w:sz w:val="28"/>
          <w:lang w:val="es-ES"/>
        </w:rPr>
      </w:pPr>
    </w:p>
    <w:p w:rsidR="00486FA2" w:rsidRPr="000149EE" w:rsidRDefault="000149EE" w:rsidP="00486FA2">
      <w:pPr>
        <w:pStyle w:val="Prrafodelista"/>
        <w:spacing w:after="0" w:line="240" w:lineRule="auto"/>
        <w:ind w:left="0" w:right="49"/>
        <w:jc w:val="center"/>
        <w:rPr>
          <w:rFonts w:ascii="Times New Roman" w:hAnsi="Times New Roman"/>
          <w:b/>
          <w:bCs/>
          <w:sz w:val="28"/>
          <w:lang w:val="es-ES"/>
        </w:rPr>
      </w:pPr>
      <w:r w:rsidRPr="000149EE">
        <w:rPr>
          <w:rFonts w:ascii="Times New Roman" w:hAnsi="Times New Roman"/>
          <w:b/>
          <w:bCs/>
          <w:sz w:val="28"/>
          <w:lang w:val="es-ES"/>
        </w:rPr>
        <w:t>JOSE FERNANDO REYES CUARTAS</w:t>
      </w:r>
    </w:p>
    <w:p w:rsidR="00486FA2" w:rsidRPr="000149EE" w:rsidRDefault="000149EE" w:rsidP="00486FA2">
      <w:pPr>
        <w:pStyle w:val="Prrafodelista"/>
        <w:spacing w:after="0" w:line="240" w:lineRule="auto"/>
        <w:ind w:left="0" w:right="49"/>
        <w:jc w:val="center"/>
        <w:rPr>
          <w:rFonts w:ascii="Times New Roman" w:hAnsi="Times New Roman"/>
          <w:b/>
          <w:bCs/>
          <w:sz w:val="28"/>
          <w:lang w:val="es-ES"/>
        </w:rPr>
      </w:pPr>
      <w:r w:rsidRPr="000149EE">
        <w:rPr>
          <w:rFonts w:ascii="Times New Roman" w:hAnsi="Times New Roman"/>
          <w:b/>
          <w:bCs/>
          <w:sz w:val="28"/>
          <w:lang w:val="es-ES"/>
        </w:rPr>
        <w:t>Magistrado</w:t>
      </w:r>
    </w:p>
    <w:sectPr w:rsidR="00486FA2" w:rsidRPr="000149EE">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149EE">
      <w:pPr>
        <w:spacing w:after="0" w:line="240" w:lineRule="auto"/>
      </w:pPr>
      <w:r>
        <w:separator/>
      </w:r>
    </w:p>
  </w:endnote>
  <w:endnote w:type="continuationSeparator" w:id="0">
    <w:p w:rsidR="00000000" w:rsidRDefault="00014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149EE">
      <w:pPr>
        <w:spacing w:after="0" w:line="240" w:lineRule="auto"/>
      </w:pPr>
      <w:r>
        <w:separator/>
      </w:r>
    </w:p>
  </w:footnote>
  <w:footnote w:type="continuationSeparator" w:id="0">
    <w:p w:rsidR="00000000" w:rsidRDefault="000149EE">
      <w:pPr>
        <w:spacing w:after="0" w:line="240" w:lineRule="auto"/>
      </w:pPr>
      <w:r>
        <w:continuationSeparator/>
      </w:r>
    </w:p>
  </w:footnote>
  <w:footnote w:id="1">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En concreto, la magistrada sustanciadora inadmitió los pretendidos cargos por vulneración de los principios de igualdad y equidad tributaria, porque no cumplían con las exigencias argumentativas de claridad, especificidad, pertinencia y suficiencia de las</w:t>
      </w:r>
      <w:r w:rsidRPr="00261EDA">
        <w:rPr>
          <w:color w:val="auto"/>
          <w:szCs w:val="20"/>
        </w:rPr>
        <w:t xml:space="preserve"> demandas de inconstitucionalidad, así como aquellas desarrolladas por la jurisprudencia constitucional para la formulación de cargos por la violación al principio de igualdad. Además, rechazó el pretendido cargo por vulneración del principio de buena fe, </w:t>
      </w:r>
      <w:r w:rsidRPr="00261EDA">
        <w:rPr>
          <w:color w:val="auto"/>
          <w:szCs w:val="20"/>
        </w:rPr>
        <w:t>porque no exponía ningún argumento para enervar la cosa juzgada, pese a que recaía sobre las mismas disposiciones normativas y planteaba el mismo parámetro de control que fue examinado en la sentencia C-384 de 2023.</w:t>
      </w:r>
    </w:p>
  </w:footnote>
  <w:footnote w:id="2">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En este </w:t>
      </w:r>
      <w:r w:rsidRPr="00261EDA">
        <w:rPr>
          <w:i/>
          <w:iCs/>
          <w:color w:val="auto"/>
          <w:szCs w:val="20"/>
        </w:rPr>
        <w:t>(i)</w:t>
      </w:r>
      <w:r w:rsidRPr="00261EDA">
        <w:rPr>
          <w:color w:val="auto"/>
          <w:szCs w:val="20"/>
        </w:rPr>
        <w:t xml:space="preserve"> aclaró cuál era el criteri</w:t>
      </w:r>
      <w:r w:rsidRPr="00261EDA">
        <w:rPr>
          <w:color w:val="auto"/>
          <w:szCs w:val="20"/>
        </w:rPr>
        <w:t xml:space="preserve">o de comparación que proponía y por qué el trato era constitucionalmente injustificado; </w:t>
      </w:r>
      <w:r w:rsidRPr="00261EDA">
        <w:rPr>
          <w:i/>
          <w:iCs/>
          <w:color w:val="auto"/>
          <w:szCs w:val="20"/>
        </w:rPr>
        <w:t>(ii)</w:t>
      </w:r>
      <w:r w:rsidRPr="00261EDA">
        <w:rPr>
          <w:color w:val="auto"/>
          <w:szCs w:val="20"/>
        </w:rPr>
        <w:t xml:space="preserve"> precisó cuál era el perjuicio derivado de las disposiciones atacadas y </w:t>
      </w:r>
      <w:r w:rsidRPr="00261EDA">
        <w:rPr>
          <w:i/>
          <w:iCs/>
          <w:color w:val="auto"/>
          <w:szCs w:val="20"/>
        </w:rPr>
        <w:t>(iii)</w:t>
      </w:r>
      <w:r w:rsidRPr="00261EDA">
        <w:rPr>
          <w:color w:val="auto"/>
          <w:szCs w:val="20"/>
        </w:rPr>
        <w:t xml:space="preserve"> desistió del cargo por vulneración del principio de buena fe.</w:t>
      </w:r>
    </w:p>
  </w:footnote>
  <w:footnote w:id="3">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La magistrada sustanci</w:t>
      </w:r>
      <w:r w:rsidRPr="00261EDA">
        <w:rPr>
          <w:color w:val="auto"/>
          <w:szCs w:val="20"/>
        </w:rPr>
        <w:t xml:space="preserve">adora precisó que, si bien la demanda originalmente también se dirigía contra el parágrafo transitorio del </w:t>
      </w:r>
      <w:r w:rsidRPr="00261EDA">
        <w:rPr>
          <w:color w:val="auto"/>
          <w:szCs w:val="20"/>
          <w:lang w:val="es-ES"/>
        </w:rPr>
        <w:t>artículo 240-1 del Decreto Ley 624 de 1989, comoquiera que esa disposición se demandaba con fundamento en el cargo tercero, el cual fue rechazado, ta</w:t>
      </w:r>
      <w:r w:rsidRPr="00261EDA">
        <w:rPr>
          <w:color w:val="auto"/>
          <w:szCs w:val="20"/>
          <w:lang w:val="es-ES"/>
        </w:rPr>
        <w:t>l parágrafo no formaría parte del objeto de control en este proceso.</w:t>
      </w:r>
    </w:p>
  </w:footnote>
  <w:footnote w:id="4">
    <w:p w:rsidR="00D47B3A" w:rsidRPr="00261EDA" w:rsidRDefault="000149EE" w:rsidP="009F6FFC">
      <w:pPr>
        <w:pStyle w:val="Textonotapie"/>
        <w:rPr>
          <w:color w:val="auto"/>
          <w:szCs w:val="20"/>
        </w:rPr>
      </w:pPr>
      <w:r w:rsidRPr="00261EDA">
        <w:rPr>
          <w:rStyle w:val="Refdenotaalpie"/>
          <w:color w:val="auto"/>
          <w:szCs w:val="20"/>
        </w:rPr>
        <w:footnoteRef/>
      </w:r>
      <w:r w:rsidRPr="00261EDA">
        <w:rPr>
          <w:color w:val="auto"/>
          <w:szCs w:val="20"/>
        </w:rPr>
        <w:t xml:space="preserve"> Escrito de la demanda, p. 2 y 3.</w:t>
      </w:r>
    </w:p>
  </w:footnote>
  <w:footnote w:id="5">
    <w:p w:rsidR="00D47B3A" w:rsidRPr="00261EDA" w:rsidRDefault="000149EE" w:rsidP="009F6FFC">
      <w:pPr>
        <w:pStyle w:val="Textonotapie"/>
        <w:rPr>
          <w:color w:val="auto"/>
          <w:szCs w:val="20"/>
        </w:rPr>
      </w:pPr>
      <w:r w:rsidRPr="00261EDA">
        <w:rPr>
          <w:rStyle w:val="Refdenotaalpie"/>
          <w:color w:val="auto"/>
          <w:szCs w:val="20"/>
        </w:rPr>
        <w:footnoteRef/>
      </w:r>
      <w:r w:rsidRPr="00261EDA">
        <w:rPr>
          <w:color w:val="auto"/>
          <w:szCs w:val="20"/>
        </w:rPr>
        <w:t xml:space="preserve"> Ib., p. 3. </w:t>
      </w:r>
    </w:p>
  </w:footnote>
  <w:footnote w:id="6">
    <w:p w:rsidR="00D47B3A" w:rsidRPr="00261EDA" w:rsidRDefault="000149EE" w:rsidP="00072BBC">
      <w:pPr>
        <w:pStyle w:val="Textonotapie"/>
        <w:rPr>
          <w:color w:val="auto"/>
          <w:szCs w:val="20"/>
        </w:rPr>
      </w:pPr>
      <w:r w:rsidRPr="00261EDA">
        <w:rPr>
          <w:rStyle w:val="Refdenotaalpie"/>
          <w:color w:val="auto"/>
          <w:szCs w:val="20"/>
        </w:rPr>
        <w:footnoteRef/>
      </w:r>
      <w:r w:rsidRPr="00261EDA">
        <w:rPr>
          <w:color w:val="auto"/>
          <w:szCs w:val="20"/>
        </w:rPr>
        <w:t xml:space="preserve"> Ib.</w:t>
      </w:r>
    </w:p>
  </w:footnote>
  <w:footnote w:id="7">
    <w:p w:rsidR="00D47B3A" w:rsidRPr="00261EDA" w:rsidRDefault="000149EE" w:rsidP="002B139B">
      <w:pPr>
        <w:pStyle w:val="Textonotapie"/>
        <w:rPr>
          <w:color w:val="auto"/>
          <w:szCs w:val="20"/>
        </w:rPr>
      </w:pPr>
      <w:r w:rsidRPr="00261EDA">
        <w:rPr>
          <w:rStyle w:val="Refdenotaalpie"/>
          <w:color w:val="auto"/>
          <w:szCs w:val="20"/>
        </w:rPr>
        <w:footnoteRef/>
      </w:r>
      <w:r w:rsidRPr="00261EDA">
        <w:rPr>
          <w:color w:val="auto"/>
          <w:szCs w:val="20"/>
        </w:rPr>
        <w:t xml:space="preserve"> </w:t>
      </w:r>
      <w:r w:rsidRPr="00256826">
        <w:rPr>
          <w:color w:val="auto"/>
          <w:szCs w:val="20"/>
        </w:rPr>
        <w:t>Ib., p.</w:t>
      </w:r>
      <w:r w:rsidRPr="00261EDA">
        <w:rPr>
          <w:color w:val="auto"/>
          <w:szCs w:val="20"/>
        </w:rPr>
        <w:t xml:space="preserve"> 11.</w:t>
      </w:r>
    </w:p>
  </w:footnote>
  <w:footnote w:id="8">
    <w:p w:rsidR="00D47B3A" w:rsidRPr="00261EDA" w:rsidRDefault="000149EE" w:rsidP="00800DDE">
      <w:pPr>
        <w:pStyle w:val="Textonotapie"/>
        <w:rPr>
          <w:color w:val="auto"/>
          <w:szCs w:val="20"/>
        </w:rPr>
      </w:pPr>
      <w:r w:rsidRPr="00261EDA">
        <w:rPr>
          <w:rStyle w:val="Refdenotaalpie"/>
          <w:color w:val="auto"/>
          <w:szCs w:val="20"/>
        </w:rPr>
        <w:footnoteRef/>
      </w:r>
      <w:r w:rsidRPr="00261EDA">
        <w:rPr>
          <w:color w:val="auto"/>
          <w:szCs w:val="20"/>
        </w:rPr>
        <w:t xml:space="preserve"> Ib., p. 12.</w:t>
      </w:r>
    </w:p>
  </w:footnote>
  <w:footnote w:id="9">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Escrito de corrección de la demanda, p. 4.</w:t>
      </w:r>
    </w:p>
  </w:footnote>
  <w:footnote w:id="10">
    <w:p w:rsidR="00D47B3A" w:rsidRPr="00261EDA" w:rsidRDefault="000149EE">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sidRPr="00261EDA">
        <w:rPr>
          <w:color w:val="auto"/>
          <w:szCs w:val="20"/>
          <w:lang w:val="es-MX"/>
        </w:rPr>
        <w:t>Ib.</w:t>
      </w:r>
    </w:p>
  </w:footnote>
  <w:footnote w:id="11">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w:t>
      </w:r>
      <w:r>
        <w:rPr>
          <w:color w:val="auto"/>
          <w:szCs w:val="20"/>
        </w:rPr>
        <w:t>Ib.</w:t>
      </w:r>
    </w:p>
  </w:footnote>
  <w:footnote w:id="12">
    <w:p w:rsidR="00D47B3A" w:rsidRPr="00261EDA" w:rsidRDefault="000149EE" w:rsidP="008A2942">
      <w:pPr>
        <w:pStyle w:val="Textonotapie"/>
        <w:rPr>
          <w:color w:val="auto"/>
          <w:szCs w:val="20"/>
        </w:rPr>
      </w:pPr>
      <w:r w:rsidRPr="00261EDA">
        <w:rPr>
          <w:rStyle w:val="Refdenotaalpie"/>
          <w:color w:val="auto"/>
          <w:szCs w:val="20"/>
        </w:rPr>
        <w:footnoteRef/>
      </w:r>
      <w:r w:rsidRPr="00261EDA">
        <w:rPr>
          <w:color w:val="auto"/>
          <w:szCs w:val="20"/>
        </w:rPr>
        <w:t xml:space="preserve"> Ib.</w:t>
      </w:r>
    </w:p>
  </w:footnote>
  <w:footnote w:id="13">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5. </w:t>
      </w:r>
    </w:p>
  </w:footnote>
  <w:footnote w:id="14">
    <w:p w:rsidR="00D47B3A" w:rsidRPr="00261EDA" w:rsidRDefault="000149EE">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Pr>
          <w:color w:val="auto"/>
          <w:szCs w:val="20"/>
        </w:rPr>
        <w:t>Ib.</w:t>
      </w:r>
      <w:r w:rsidRPr="00261EDA">
        <w:rPr>
          <w:color w:val="auto"/>
          <w:szCs w:val="20"/>
        </w:rPr>
        <w:t>, p. 3.</w:t>
      </w:r>
    </w:p>
  </w:footnote>
  <w:footnote w:id="15">
    <w:p w:rsidR="00D47B3A" w:rsidRPr="00261EDA" w:rsidRDefault="000149EE">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sidRPr="00261EDA">
        <w:rPr>
          <w:color w:val="auto"/>
          <w:szCs w:val="20"/>
          <w:lang w:val="es-MX"/>
        </w:rPr>
        <w:t xml:space="preserve">Ib., p. 7. </w:t>
      </w:r>
    </w:p>
  </w:footnote>
  <w:footnote w:id="16">
    <w:p w:rsidR="00D47B3A" w:rsidRPr="00261EDA" w:rsidRDefault="000149EE" w:rsidP="00683272">
      <w:pPr>
        <w:pStyle w:val="Textonotapie"/>
        <w:rPr>
          <w:color w:val="auto"/>
          <w:szCs w:val="20"/>
          <w:lang w:val="es-MX"/>
        </w:rPr>
      </w:pPr>
      <w:r w:rsidRPr="00261EDA">
        <w:rPr>
          <w:rStyle w:val="Refdenotaalpie"/>
          <w:color w:val="auto"/>
          <w:szCs w:val="20"/>
        </w:rPr>
        <w:footnoteRef/>
      </w:r>
      <w:r w:rsidRPr="00261EDA">
        <w:rPr>
          <w:color w:val="auto"/>
          <w:szCs w:val="20"/>
        </w:rPr>
        <w:t xml:space="preserve"> Ib., p. 5. </w:t>
      </w:r>
    </w:p>
  </w:footnote>
  <w:footnote w:id="17">
    <w:p w:rsidR="00D47B3A" w:rsidRPr="00261EDA" w:rsidRDefault="000149EE" w:rsidP="00BC5EDA">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sidRPr="00261EDA">
        <w:rPr>
          <w:color w:val="auto"/>
          <w:szCs w:val="20"/>
          <w:lang w:val="es-MX"/>
        </w:rPr>
        <w:t xml:space="preserve">Ib., p. 4. La demandante cita la intervención de un congresista en la </w:t>
      </w:r>
      <w:r w:rsidRPr="00261EDA">
        <w:rPr>
          <w:color w:val="auto"/>
          <w:szCs w:val="20"/>
        </w:rPr>
        <w:t>Gaceta 1200 de 5 de octubre de 2022, según la cual “</w:t>
      </w:r>
      <w:r w:rsidRPr="00261EDA">
        <w:rPr>
          <w:color w:val="auto"/>
          <w:szCs w:val="20"/>
          <w:lang w:val="es-MX"/>
        </w:rPr>
        <w:t>a pesar de que las zonas francas fueron creadas en el ordenamiento colombiano con la finalidad de promover las exporta</w:t>
      </w:r>
      <w:r w:rsidRPr="00261EDA">
        <w:rPr>
          <w:color w:val="auto"/>
          <w:szCs w:val="20"/>
          <w:lang w:val="es-MX"/>
        </w:rPr>
        <w:t>ciones, con una reforma que se introdujo en el año 2005, el régimen se modificó permitiendo que algunos usuarios de zona franca pudieran producir para el mercado interno (…) por tanto, con las medidas adoptadas en el proyecto de ley, se busca que las empre</w:t>
      </w:r>
      <w:r w:rsidRPr="00261EDA">
        <w:rPr>
          <w:color w:val="auto"/>
          <w:szCs w:val="20"/>
          <w:lang w:val="es-MX"/>
        </w:rPr>
        <w:t>sas ubicadas en zonas francas cumplan con el propósito para el que fueron creadas so pena de perder el beneficio de la tarifa reducida</w:t>
      </w:r>
      <w:r w:rsidRPr="00261EDA">
        <w:rPr>
          <w:color w:val="auto"/>
          <w:szCs w:val="20"/>
        </w:rPr>
        <w:t xml:space="preserve">”. </w:t>
      </w:r>
    </w:p>
  </w:footnote>
  <w:footnote w:id="18">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C-304 de 2019. </w:t>
      </w:r>
    </w:p>
  </w:footnote>
  <w:footnote w:id="19">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Escrito de corrección de la demanda, p. 7. </w:t>
      </w:r>
    </w:p>
  </w:footnote>
  <w:footnote w:id="20">
    <w:p w:rsidR="00D47B3A" w:rsidRPr="00261EDA" w:rsidRDefault="000149EE" w:rsidP="009F6FFC">
      <w:pPr>
        <w:pStyle w:val="Textonotapie"/>
        <w:rPr>
          <w:color w:val="auto"/>
          <w:szCs w:val="20"/>
        </w:rPr>
      </w:pPr>
      <w:r w:rsidRPr="00261EDA">
        <w:rPr>
          <w:rStyle w:val="Refdenotaalpie"/>
          <w:color w:val="auto"/>
          <w:szCs w:val="20"/>
        </w:rPr>
        <w:footnoteRef/>
      </w:r>
      <w:r w:rsidRPr="00261EDA">
        <w:rPr>
          <w:color w:val="auto"/>
          <w:szCs w:val="20"/>
        </w:rPr>
        <w:t xml:space="preserve"> Escrito de la demand</w:t>
      </w:r>
      <w:r w:rsidRPr="00261EDA">
        <w:rPr>
          <w:color w:val="auto"/>
          <w:szCs w:val="20"/>
        </w:rPr>
        <w:t>a, p. 13.</w:t>
      </w:r>
    </w:p>
  </w:footnote>
  <w:footnote w:id="21">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C-606 de 2019. </w:t>
      </w:r>
    </w:p>
  </w:footnote>
  <w:footnote w:id="22">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C-100 de 2014 y C-249 de 2013. </w:t>
      </w:r>
    </w:p>
  </w:footnote>
  <w:footnote w:id="23">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C-876 de 2002. </w:t>
      </w:r>
    </w:p>
  </w:footnote>
  <w:footnote w:id="24">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C-056 de 2019. </w:t>
      </w:r>
    </w:p>
  </w:footnote>
  <w:footnote w:id="25">
    <w:p w:rsidR="00D47B3A" w:rsidRPr="00261EDA" w:rsidRDefault="000149EE" w:rsidP="00A04AB8">
      <w:pPr>
        <w:pStyle w:val="Textonotapie"/>
        <w:rPr>
          <w:color w:val="auto"/>
          <w:szCs w:val="20"/>
        </w:rPr>
      </w:pPr>
      <w:r w:rsidRPr="00261EDA">
        <w:rPr>
          <w:rStyle w:val="Refdenotaalpie"/>
          <w:color w:val="auto"/>
          <w:szCs w:val="20"/>
        </w:rPr>
        <w:footnoteRef/>
      </w:r>
      <w:r w:rsidRPr="00261EDA">
        <w:rPr>
          <w:color w:val="auto"/>
          <w:szCs w:val="20"/>
        </w:rPr>
        <w:t xml:space="preserve"> Ib. Al respecto, la demandante cita la sentencia C-748 de 2009.</w:t>
      </w:r>
    </w:p>
  </w:footnote>
  <w:footnote w:id="26">
    <w:p w:rsidR="00D47B3A" w:rsidRPr="00261EDA" w:rsidRDefault="000149EE">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sidRPr="00261EDA">
        <w:rPr>
          <w:color w:val="auto"/>
          <w:szCs w:val="20"/>
          <w:lang w:val="es-MX"/>
        </w:rPr>
        <w:t>Ib.</w:t>
      </w:r>
    </w:p>
  </w:footnote>
  <w:footnote w:id="27">
    <w:p w:rsidR="00D47B3A" w:rsidRPr="00261EDA" w:rsidRDefault="000149EE">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sidRPr="00261EDA">
        <w:rPr>
          <w:color w:val="auto"/>
          <w:szCs w:val="20"/>
          <w:lang w:val="es-MX"/>
        </w:rPr>
        <w:t>La demandante precisa que el grupo afectado serían los “usuarios de zona franca sin vocación exportadora, que no se encuentran dentro de las excepciones contempladas en los parágrafos</w:t>
      </w:r>
      <w:r w:rsidRPr="00261EDA">
        <w:rPr>
          <w:color w:val="auto"/>
          <w:szCs w:val="20"/>
          <w:lang w:val="es-MX"/>
        </w:rPr>
        <w:t xml:space="preserve"> del artículo demandado”. Ib.</w:t>
      </w:r>
    </w:p>
  </w:footnote>
  <w:footnote w:id="28">
    <w:p w:rsidR="00D47B3A" w:rsidRPr="00261EDA" w:rsidRDefault="000149EE">
      <w:pPr>
        <w:pStyle w:val="Textonotapie"/>
        <w:rPr>
          <w:color w:val="auto"/>
          <w:szCs w:val="20"/>
          <w:lang w:val="es-MX"/>
        </w:rPr>
      </w:pPr>
      <w:r w:rsidRPr="00261EDA">
        <w:rPr>
          <w:rStyle w:val="Refdenotaalpie"/>
          <w:color w:val="auto"/>
          <w:szCs w:val="20"/>
        </w:rPr>
        <w:footnoteRef/>
      </w:r>
      <w:r w:rsidRPr="00261EDA">
        <w:rPr>
          <w:color w:val="auto"/>
          <w:szCs w:val="20"/>
        </w:rPr>
        <w:t xml:space="preserve"> </w:t>
      </w:r>
      <w:r w:rsidRPr="00261EDA">
        <w:rPr>
          <w:color w:val="auto"/>
          <w:szCs w:val="20"/>
          <w:lang w:val="es-MX"/>
        </w:rPr>
        <w:t>Ib.</w:t>
      </w:r>
    </w:p>
  </w:footnote>
  <w:footnote w:id="29">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Intervención de la DIAN, p. 13. </w:t>
      </w:r>
    </w:p>
  </w:footnote>
  <w:footnote w:id="30">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C-304 de 2019. </w:t>
      </w:r>
    </w:p>
  </w:footnote>
  <w:footnote w:id="31">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8. </w:t>
      </w:r>
    </w:p>
  </w:footnote>
  <w:footnote w:id="32">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18. </w:t>
      </w:r>
    </w:p>
  </w:footnote>
  <w:footnote w:id="33">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19. </w:t>
      </w:r>
    </w:p>
  </w:footnote>
  <w:footnote w:id="34">
    <w:p w:rsidR="00D47B3A" w:rsidRPr="00261EDA" w:rsidRDefault="000149EE" w:rsidP="00E60B01">
      <w:pPr>
        <w:pStyle w:val="Textonotapie"/>
        <w:rPr>
          <w:color w:val="auto"/>
          <w:szCs w:val="20"/>
        </w:rPr>
      </w:pPr>
      <w:r w:rsidRPr="00261EDA">
        <w:rPr>
          <w:rStyle w:val="Refdenotaalpie"/>
          <w:color w:val="auto"/>
          <w:szCs w:val="20"/>
        </w:rPr>
        <w:footnoteRef/>
      </w:r>
      <w:r w:rsidRPr="00261EDA">
        <w:rPr>
          <w:color w:val="auto"/>
          <w:szCs w:val="20"/>
        </w:rPr>
        <w:t xml:space="preserve"> La Sala advierte que, pese a que ambos intervinientes presentaron escritos separados, su contenido es sustancialmente idéntico.</w:t>
      </w:r>
    </w:p>
  </w:footnote>
  <w:footnote w:id="35">
    <w:p w:rsidR="00D47B3A" w:rsidRPr="00261EDA" w:rsidRDefault="000149EE" w:rsidP="00E22540">
      <w:pPr>
        <w:pStyle w:val="Textonotapie"/>
        <w:rPr>
          <w:color w:val="auto"/>
          <w:szCs w:val="20"/>
        </w:rPr>
      </w:pPr>
      <w:r w:rsidRPr="00261EDA">
        <w:rPr>
          <w:rStyle w:val="Refdenotaalpie"/>
          <w:color w:val="auto"/>
          <w:szCs w:val="20"/>
        </w:rPr>
        <w:footnoteRef/>
      </w:r>
      <w:r w:rsidRPr="00261EDA">
        <w:rPr>
          <w:color w:val="auto"/>
          <w:szCs w:val="20"/>
        </w:rPr>
        <w:t xml:space="preserve"> A título preliminar, el ICDT destacó que para entender el efecto normativo de las disposiciones acusadas era necesario precis</w:t>
      </w:r>
      <w:r w:rsidRPr="00261EDA">
        <w:rPr>
          <w:color w:val="auto"/>
          <w:szCs w:val="20"/>
        </w:rPr>
        <w:t>ar que la sentencia C-384 de 2023 declaró la exequibilidad condicionada del artículo 11 de la Ley 2277 de 2022. Esto, en el entendido de que “el régimen tarifario del artículo 101 de la Ley 1819 de 2016 continuará rigiendo para los contribuyentes que hubie</w:t>
      </w:r>
      <w:r w:rsidRPr="00261EDA">
        <w:rPr>
          <w:color w:val="auto"/>
          <w:szCs w:val="20"/>
        </w:rPr>
        <w:t xml:space="preserve">sen cumplido las condiciones para acceder al mismo antes del 13 de diciembre de 2022, fecha de entrada en vigencia de la Ley 2277 de 2022”. Afirmó que este condicionamiento implica la aplicación de la tarifa del 20% para todos los usuarios industriales de </w:t>
      </w:r>
      <w:r w:rsidRPr="00261EDA">
        <w:rPr>
          <w:color w:val="auto"/>
          <w:szCs w:val="20"/>
        </w:rPr>
        <w:t>bienes y/o servicios, que hayan sido reconocidos como tales antes del 13 de diciembre de 2022. Para los que hayan sido reconocidos con posterioridad a esa fecha, se aplica “una tarifa diferente para aquellos usuarios que logren las metas de exportación con</w:t>
      </w:r>
      <w:r w:rsidRPr="00261EDA">
        <w:rPr>
          <w:color w:val="auto"/>
          <w:szCs w:val="20"/>
        </w:rPr>
        <w:t>venidas con el Gobierno (20%), y para los que no exporten o no logren las metas aludidas (35%)”.</w:t>
      </w:r>
    </w:p>
  </w:footnote>
  <w:footnote w:id="36">
    <w:p w:rsidR="00D47B3A" w:rsidRPr="00261EDA" w:rsidRDefault="000149EE" w:rsidP="007C13EA">
      <w:pPr>
        <w:pStyle w:val="Textonotapie"/>
        <w:rPr>
          <w:color w:val="auto"/>
          <w:szCs w:val="20"/>
        </w:rPr>
      </w:pPr>
      <w:r w:rsidRPr="00261EDA">
        <w:rPr>
          <w:rStyle w:val="Refdenotaalpie"/>
          <w:color w:val="auto"/>
          <w:szCs w:val="20"/>
        </w:rPr>
        <w:footnoteRef/>
      </w:r>
      <w:r w:rsidRPr="00261EDA">
        <w:rPr>
          <w:color w:val="auto"/>
          <w:szCs w:val="20"/>
        </w:rPr>
        <w:t>Intervención del ICDT, p. 10.</w:t>
      </w:r>
    </w:p>
  </w:footnote>
  <w:footnote w:id="37">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13. </w:t>
      </w:r>
    </w:p>
  </w:footnote>
  <w:footnote w:id="38">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11. </w:t>
      </w:r>
    </w:p>
  </w:footnote>
  <w:footnote w:id="39">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Concepto de la Procuradora General de la Nación, p. 3.</w:t>
      </w:r>
    </w:p>
  </w:footnote>
  <w:footnote w:id="40">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4.</w:t>
      </w:r>
    </w:p>
  </w:footnote>
  <w:footnote w:id="41">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Ib., p. 5.</w:t>
      </w:r>
    </w:p>
  </w:footnote>
  <w:footnote w:id="42">
    <w:p w:rsidR="00D47B3A" w:rsidRPr="00261EDA" w:rsidRDefault="000149EE" w:rsidP="004D5FD3">
      <w:pPr>
        <w:pStyle w:val="Textonotapie"/>
        <w:rPr>
          <w:color w:val="auto"/>
          <w:szCs w:val="20"/>
        </w:rPr>
      </w:pPr>
      <w:r w:rsidRPr="00261EDA">
        <w:rPr>
          <w:rStyle w:val="Refdenotaalpie"/>
          <w:color w:val="auto"/>
          <w:szCs w:val="20"/>
        </w:rPr>
        <w:footnoteRef/>
      </w:r>
      <w:r w:rsidRPr="00261EDA">
        <w:rPr>
          <w:color w:val="auto"/>
          <w:szCs w:val="20"/>
        </w:rPr>
        <w:t xml:space="preserve"> Corte Constit</w:t>
      </w:r>
      <w:r w:rsidRPr="00261EDA">
        <w:rPr>
          <w:color w:val="auto"/>
          <w:szCs w:val="20"/>
        </w:rPr>
        <w:t xml:space="preserve">ucional, sentencias C-774 de 2001, T-249 de 2016 y SU-027 de 2021. </w:t>
      </w:r>
    </w:p>
  </w:footnote>
  <w:footnote w:id="43">
    <w:p w:rsidR="00D47B3A" w:rsidRPr="00261EDA" w:rsidRDefault="000149EE" w:rsidP="004D5FD3">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C-021 de 2023 y C-164 de 2023.</w:t>
      </w:r>
    </w:p>
  </w:footnote>
  <w:footnote w:id="44">
    <w:p w:rsidR="00D47B3A" w:rsidRPr="00261EDA" w:rsidRDefault="000149EE" w:rsidP="004D5FD3">
      <w:pPr>
        <w:pStyle w:val="Textonotapie"/>
        <w:rPr>
          <w:color w:val="auto"/>
          <w:szCs w:val="20"/>
        </w:rPr>
      </w:pPr>
      <w:r w:rsidRPr="00261EDA">
        <w:rPr>
          <w:color w:val="auto"/>
          <w:szCs w:val="20"/>
          <w:vertAlign w:val="superscript"/>
        </w:rPr>
        <w:footnoteRef/>
      </w:r>
      <w:r w:rsidRPr="00261EDA">
        <w:rPr>
          <w:color w:val="auto"/>
          <w:szCs w:val="20"/>
        </w:rPr>
        <w:t xml:space="preserve"> Corte Constitucional, sentencias</w:t>
      </w:r>
      <w:r w:rsidRPr="00261EDA">
        <w:rPr>
          <w:color w:val="auto"/>
          <w:szCs w:val="20"/>
          <w:shd w:val="clear" w:color="auto" w:fill="FFFFFF"/>
        </w:rPr>
        <w:t xml:space="preserve"> C-063 de 2018, C-187 de 2019 y C-106 de 2021.</w:t>
      </w:r>
    </w:p>
  </w:footnote>
  <w:footnote w:id="45">
    <w:p w:rsidR="00D47B3A" w:rsidRPr="00261EDA" w:rsidRDefault="000149EE" w:rsidP="004D5FD3">
      <w:pPr>
        <w:pStyle w:val="Textonotapie"/>
        <w:rPr>
          <w:color w:val="auto"/>
          <w:szCs w:val="20"/>
        </w:rPr>
      </w:pPr>
      <w:r w:rsidRPr="00261EDA">
        <w:rPr>
          <w:color w:val="auto"/>
          <w:szCs w:val="20"/>
          <w:vertAlign w:val="superscript"/>
        </w:rPr>
        <w:footnoteRef/>
      </w:r>
      <w:r w:rsidRPr="00261EDA">
        <w:rPr>
          <w:color w:val="auto"/>
          <w:szCs w:val="20"/>
        </w:rPr>
        <w:t xml:space="preserve"> Ib.</w:t>
      </w:r>
    </w:p>
  </w:footnote>
  <w:footnote w:id="46">
    <w:p w:rsidR="00D47B3A" w:rsidRPr="00261EDA" w:rsidRDefault="000149EE" w:rsidP="004D5FD3">
      <w:pPr>
        <w:pStyle w:val="Textonotapie"/>
        <w:rPr>
          <w:color w:val="auto"/>
          <w:szCs w:val="20"/>
        </w:rPr>
      </w:pPr>
      <w:r w:rsidRPr="00261EDA">
        <w:rPr>
          <w:color w:val="auto"/>
          <w:szCs w:val="20"/>
          <w:vertAlign w:val="superscript"/>
        </w:rPr>
        <w:footnoteRef/>
      </w:r>
      <w:r w:rsidRPr="00261EDA">
        <w:rPr>
          <w:color w:val="auto"/>
          <w:szCs w:val="20"/>
        </w:rPr>
        <w:t xml:space="preserve"> Corte Constitucional, sentencias </w:t>
      </w:r>
      <w:r w:rsidRPr="00261EDA">
        <w:rPr>
          <w:color w:val="auto"/>
          <w:szCs w:val="20"/>
        </w:rPr>
        <w:t>C-191 de 2017 y C-071 de 2020.</w:t>
      </w:r>
    </w:p>
  </w:footnote>
  <w:footnote w:id="47">
    <w:p w:rsidR="00D47B3A" w:rsidRPr="00261EDA" w:rsidRDefault="000149EE" w:rsidP="004D5FD3">
      <w:pPr>
        <w:pStyle w:val="Textonotapie"/>
        <w:rPr>
          <w:color w:val="auto"/>
          <w:szCs w:val="20"/>
        </w:rPr>
      </w:pPr>
      <w:r w:rsidRPr="00261EDA">
        <w:rPr>
          <w:rStyle w:val="Refdenotaalpie"/>
          <w:color w:val="auto"/>
          <w:szCs w:val="20"/>
        </w:rPr>
        <w:footnoteRef/>
      </w:r>
      <w:r w:rsidRPr="00261EDA">
        <w:rPr>
          <w:color w:val="auto"/>
          <w:szCs w:val="20"/>
        </w:rPr>
        <w:t xml:space="preserve"> Estas son: </w:t>
      </w:r>
      <w:r w:rsidRPr="00261EDA">
        <w:rPr>
          <w:i/>
          <w:iCs/>
          <w:color w:val="auto"/>
          <w:szCs w:val="20"/>
        </w:rPr>
        <w:t>(i)</w:t>
      </w:r>
      <w:r w:rsidRPr="00261EDA">
        <w:rPr>
          <w:color w:val="auto"/>
          <w:szCs w:val="20"/>
        </w:rPr>
        <w:t xml:space="preserve"> la modificación del parámetro de control, lo cual sucede cuando se aprueban reformas constitucionales, </w:t>
      </w:r>
      <w:r w:rsidRPr="00261EDA">
        <w:rPr>
          <w:i/>
          <w:iCs/>
          <w:color w:val="auto"/>
          <w:szCs w:val="20"/>
        </w:rPr>
        <w:t>(ii)</w:t>
      </w:r>
      <w:r w:rsidRPr="00261EDA">
        <w:rPr>
          <w:color w:val="auto"/>
          <w:szCs w:val="20"/>
        </w:rPr>
        <w:t xml:space="preserve"> el cambio en el significado material de la Constitución, que se relaciona con modificaciones en “el carácter dinámico de la Carta” y </w:t>
      </w:r>
      <w:r w:rsidRPr="00261EDA">
        <w:rPr>
          <w:i/>
          <w:iCs/>
          <w:color w:val="auto"/>
          <w:szCs w:val="20"/>
        </w:rPr>
        <w:t>(iii)</w:t>
      </w:r>
      <w:r w:rsidRPr="00261EDA">
        <w:rPr>
          <w:color w:val="auto"/>
          <w:szCs w:val="20"/>
        </w:rPr>
        <w:t xml:space="preserve"> la variación del contexto normativo de la disposición o norma objeto de control. </w:t>
      </w:r>
    </w:p>
  </w:footnote>
  <w:footnote w:id="48">
    <w:p w:rsidR="00D47B3A" w:rsidRPr="00261EDA" w:rsidRDefault="000149EE" w:rsidP="004D5FD3">
      <w:pPr>
        <w:pStyle w:val="Textonotapie"/>
        <w:rPr>
          <w:color w:val="auto"/>
          <w:szCs w:val="20"/>
        </w:rPr>
      </w:pPr>
      <w:r w:rsidRPr="00261EDA">
        <w:rPr>
          <w:color w:val="auto"/>
          <w:szCs w:val="20"/>
          <w:vertAlign w:val="superscript"/>
        </w:rPr>
        <w:footnoteRef/>
      </w:r>
      <w:r w:rsidRPr="00261EDA">
        <w:rPr>
          <w:color w:val="auto"/>
          <w:szCs w:val="20"/>
        </w:rPr>
        <w:t xml:space="preserve"> Corte Constitucional, sentencia </w:t>
      </w:r>
      <w:r w:rsidRPr="00261EDA">
        <w:rPr>
          <w:color w:val="auto"/>
          <w:szCs w:val="20"/>
        </w:rPr>
        <w:t>C-063 de 1998.</w:t>
      </w:r>
    </w:p>
  </w:footnote>
  <w:footnote w:id="49">
    <w:p w:rsidR="00D47B3A" w:rsidRPr="00261EDA" w:rsidRDefault="000149EE" w:rsidP="00D73496">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C-258 de 2008, C-713 de 2013 y C-265 de 2019.</w:t>
      </w:r>
    </w:p>
  </w:footnote>
  <w:footnote w:id="50">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w:t>
      </w:r>
      <w:r w:rsidRPr="00261EDA">
        <w:rPr>
          <w:rFonts w:cs="Times New Roman"/>
          <w:i/>
          <w:color w:val="auto"/>
          <w:szCs w:val="20"/>
        </w:rPr>
        <w:t>Cfr</w:t>
      </w:r>
      <w:r w:rsidRPr="00261EDA">
        <w:rPr>
          <w:rFonts w:cs="Times New Roman"/>
          <w:color w:val="auto"/>
          <w:szCs w:val="20"/>
        </w:rPr>
        <w:t>., Corte Constitucional, auto 300 de 2008 y sentencia C-089 de 2020.</w:t>
      </w:r>
    </w:p>
  </w:footnote>
  <w:footnote w:id="51">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 C-1052 de 2001, reiterada en las sentencias C-247 de 2017, C-002 de 2018, C-087 de 2018 y C-221 de 2019.</w:t>
      </w:r>
    </w:p>
  </w:footnote>
  <w:footnote w:id="52">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Ib. </w:t>
      </w:r>
    </w:p>
  </w:footnote>
  <w:footnote w:id="53">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Ib.</w:t>
      </w:r>
    </w:p>
  </w:footnote>
  <w:footnote w:id="54">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 C-551 de 2019. </w:t>
      </w:r>
    </w:p>
  </w:footnote>
  <w:footnote w:id="55">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 C-1052 de 2001.</w:t>
      </w:r>
    </w:p>
  </w:footnote>
  <w:footnote w:id="56">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w:t>
      </w:r>
      <w:r w:rsidRPr="00261EDA">
        <w:rPr>
          <w:rFonts w:cs="Times New Roman"/>
          <w:color w:val="auto"/>
          <w:szCs w:val="20"/>
        </w:rPr>
        <w:t>te Constitucional, sentencia C-1052 de 2001, reiterada en las sentencias C-247 de 2017, C-002 de 2018, C-087 de 2018 y C-221 de 2019.</w:t>
      </w:r>
    </w:p>
  </w:footnote>
  <w:footnote w:id="57">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Ib.</w:t>
      </w:r>
    </w:p>
  </w:footnote>
  <w:footnote w:id="58">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Ib. </w:t>
      </w:r>
    </w:p>
  </w:footnote>
  <w:footnote w:id="59">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 C-049 de 2020. </w:t>
      </w:r>
    </w:p>
  </w:footnote>
  <w:footnote w:id="60">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 C-1052 de 2001, reiterada</w:t>
      </w:r>
      <w:r w:rsidRPr="00261EDA">
        <w:rPr>
          <w:rFonts w:cs="Times New Roman"/>
          <w:color w:val="auto"/>
          <w:szCs w:val="20"/>
        </w:rPr>
        <w:t xml:space="preserve"> en las sentencias C-247 de 2017, C-002 de 2018, C-087 de 2018 y C-221 de 2019.</w:t>
      </w:r>
    </w:p>
  </w:footnote>
  <w:footnote w:id="61">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Ib.</w:t>
      </w:r>
    </w:p>
  </w:footnote>
  <w:footnote w:id="62">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 C-551 de 2019. </w:t>
      </w:r>
    </w:p>
  </w:footnote>
  <w:footnote w:id="63">
    <w:p w:rsidR="00D47B3A" w:rsidRPr="00261EDA" w:rsidRDefault="000149EE" w:rsidP="00C91E5C">
      <w:pPr>
        <w:pStyle w:val="Textonotapie"/>
        <w:rPr>
          <w:rFonts w:cs="Times New Roman"/>
          <w:color w:val="auto"/>
          <w:szCs w:val="20"/>
          <w:lang w:val="es-ES_tradnl"/>
        </w:rPr>
      </w:pPr>
      <w:r w:rsidRPr="00261EDA">
        <w:rPr>
          <w:rStyle w:val="Refdenotaalpie"/>
          <w:rFonts w:cs="Times New Roman"/>
          <w:color w:val="auto"/>
          <w:szCs w:val="20"/>
          <w:lang w:val="es-ES_tradnl"/>
        </w:rPr>
        <w:footnoteRef/>
      </w:r>
      <w:r w:rsidRPr="00261EDA">
        <w:rPr>
          <w:rFonts w:cs="Times New Roman"/>
          <w:color w:val="auto"/>
          <w:szCs w:val="20"/>
          <w:vertAlign w:val="superscript"/>
          <w:lang w:val="es-ES_tradnl"/>
        </w:rPr>
        <w:t xml:space="preserve"> </w:t>
      </w:r>
      <w:r w:rsidRPr="00261EDA">
        <w:rPr>
          <w:rFonts w:cs="Times New Roman"/>
          <w:color w:val="auto"/>
          <w:szCs w:val="20"/>
        </w:rPr>
        <w:t>Corte Constitucional,</w:t>
      </w:r>
      <w:r w:rsidRPr="00261EDA">
        <w:rPr>
          <w:rFonts w:cs="Times New Roman"/>
          <w:color w:val="auto"/>
          <w:szCs w:val="20"/>
          <w:lang w:val="es-ES_tradnl"/>
        </w:rPr>
        <w:t xml:space="preserve"> sentencia C-886 de 2010.</w:t>
      </w:r>
    </w:p>
  </w:footnote>
  <w:footnote w:id="64">
    <w:p w:rsidR="00D47B3A" w:rsidRPr="00261EDA" w:rsidRDefault="000149EE" w:rsidP="00C91E5C">
      <w:pPr>
        <w:pStyle w:val="Textonotapie"/>
        <w:rPr>
          <w:rFonts w:cs="Times New Roman"/>
          <w:color w:val="auto"/>
          <w:szCs w:val="20"/>
          <w:lang w:val="es-ES_tradnl"/>
        </w:rPr>
      </w:pPr>
      <w:r w:rsidRPr="00261EDA">
        <w:rPr>
          <w:rStyle w:val="Refdenotaalpie"/>
          <w:rFonts w:cs="Times New Roman"/>
          <w:color w:val="auto"/>
          <w:szCs w:val="20"/>
          <w:lang w:val="es-ES_tradnl"/>
        </w:rPr>
        <w:footnoteRef/>
      </w:r>
      <w:r w:rsidRPr="00261EDA">
        <w:rPr>
          <w:rFonts w:cs="Times New Roman"/>
          <w:color w:val="auto"/>
          <w:szCs w:val="20"/>
          <w:vertAlign w:val="superscript"/>
          <w:lang w:val="es-ES_tradnl"/>
        </w:rPr>
        <w:t xml:space="preserve"> </w:t>
      </w:r>
      <w:r>
        <w:rPr>
          <w:rFonts w:cs="Times New Roman"/>
          <w:color w:val="auto"/>
          <w:szCs w:val="20"/>
        </w:rPr>
        <w:t>Ib</w:t>
      </w:r>
      <w:r w:rsidRPr="00261EDA">
        <w:rPr>
          <w:rFonts w:cs="Times New Roman"/>
          <w:color w:val="auto"/>
          <w:szCs w:val="20"/>
          <w:lang w:val="es-ES_tradnl"/>
        </w:rPr>
        <w:t>.</w:t>
      </w:r>
    </w:p>
  </w:footnote>
  <w:footnote w:id="65">
    <w:p w:rsidR="00D47B3A" w:rsidRPr="00261EDA" w:rsidRDefault="000149EE" w:rsidP="00C91E5C">
      <w:pPr>
        <w:rPr>
          <w:sz w:val="20"/>
          <w:szCs w:val="20"/>
        </w:rPr>
      </w:pPr>
      <w:r w:rsidRPr="00261EDA">
        <w:rPr>
          <w:sz w:val="20"/>
          <w:szCs w:val="20"/>
          <w:vertAlign w:val="superscript"/>
        </w:rPr>
        <w:footnoteRef/>
      </w:r>
      <w:r w:rsidRPr="00261EDA">
        <w:rPr>
          <w:sz w:val="20"/>
          <w:szCs w:val="20"/>
        </w:rPr>
        <w:t xml:space="preserve"> Corte Constitucional, sentencia C-048 de 2004. </w:t>
      </w:r>
    </w:p>
  </w:footnote>
  <w:footnote w:id="66">
    <w:p w:rsidR="00D47B3A" w:rsidRPr="00261EDA" w:rsidRDefault="000149EE" w:rsidP="00C91E5C">
      <w:pPr>
        <w:pStyle w:val="Textonotapie"/>
        <w:rPr>
          <w:rFonts w:cs="Times New Roman"/>
          <w:color w:val="auto"/>
          <w:szCs w:val="20"/>
        </w:rPr>
      </w:pPr>
      <w:r w:rsidRPr="00261EDA">
        <w:rPr>
          <w:rFonts w:cs="Times New Roman"/>
          <w:color w:val="auto"/>
          <w:szCs w:val="20"/>
          <w:vertAlign w:val="superscript"/>
        </w:rPr>
        <w:footnoteRef/>
      </w:r>
      <w:r w:rsidRPr="00261EDA">
        <w:rPr>
          <w:rFonts w:cs="Times New Roman"/>
          <w:color w:val="auto"/>
          <w:szCs w:val="20"/>
        </w:rPr>
        <w:t xml:space="preserve"> Corte Constitucional, sentencias C-085 de 2018 y C-112 de 2019, entre otras. </w:t>
      </w:r>
    </w:p>
  </w:footnote>
  <w:footnote w:id="67">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En efecto, la demandante sustentó su solicitud en jurisprudencia constitucional, en particular, en las sentencias C-748 de 2009, C-304 de 2019 y C-059 de 2021.</w:t>
      </w:r>
    </w:p>
  </w:footnote>
  <w:footnote w:id="68">
    <w:p w:rsidR="00D47B3A" w:rsidRDefault="000149EE" w:rsidP="009629A6">
      <w:pPr>
        <w:pStyle w:val="Textonotapie"/>
      </w:pPr>
      <w:r>
        <w:rPr>
          <w:rStyle w:val="Refdenotaalpie"/>
        </w:rPr>
        <w:footnoteRef/>
      </w:r>
      <w:r>
        <w:t xml:space="preserve"> </w:t>
      </w:r>
      <w:r w:rsidRPr="0030713D">
        <w:t>Corte Constit</w:t>
      </w:r>
      <w:r w:rsidRPr="0030713D">
        <w:t>ucional, sentencias</w:t>
      </w:r>
      <w:r>
        <w:t xml:space="preserve"> </w:t>
      </w:r>
      <w:r w:rsidRPr="0030713D">
        <w:t>C-325 de 2021</w:t>
      </w:r>
      <w:r>
        <w:t xml:space="preserve"> y </w:t>
      </w:r>
      <w:r w:rsidRPr="00B53AF5">
        <w:t>C-030</w:t>
      </w:r>
      <w:r>
        <w:t xml:space="preserve"> de 20</w:t>
      </w:r>
      <w:r w:rsidRPr="00B53AF5">
        <w:t>23</w:t>
      </w:r>
      <w:r>
        <w:t>.</w:t>
      </w:r>
    </w:p>
  </w:footnote>
  <w:footnote w:id="69">
    <w:p w:rsidR="00D47B3A" w:rsidRDefault="000149EE">
      <w:pPr>
        <w:pStyle w:val="Textonotapie"/>
      </w:pPr>
      <w:r w:rsidRPr="006F1CD2">
        <w:rPr>
          <w:rStyle w:val="Refdenotaalpie"/>
        </w:rPr>
        <w:footnoteRef/>
      </w:r>
      <w:r w:rsidRPr="006F1CD2">
        <w:t xml:space="preserve"> La Sala precisa que, conforme lo explicó la sentencia C-384 de 2023, </w:t>
      </w:r>
      <w:r w:rsidRPr="006F1CD2">
        <w:rPr>
          <w:iCs/>
          <w:lang w:val="es-ES_tradnl"/>
        </w:rPr>
        <w:t>“</w:t>
      </w:r>
      <w:r w:rsidRPr="006F1CD2">
        <w:rPr>
          <w:iCs/>
        </w:rPr>
        <w:t>el régimen de transición que se protege con el condicionamiento aplica hasta el momento en que el usuario industrial que hubiese cump</w:t>
      </w:r>
      <w:r w:rsidRPr="006F1CD2">
        <w:rPr>
          <w:iCs/>
        </w:rPr>
        <w:t>lido las condiciones para acceder a tal calidad antes del 13 de diciembre de 2022, pierde su calificación al encontrarse en alguno de estos tres (3) supuestos: (i) porque el usuario operador autorizado le quita la calificación de usuario industrial (artícu</w:t>
      </w:r>
      <w:r w:rsidRPr="006F1CD2">
        <w:rPr>
          <w:iCs/>
        </w:rPr>
        <w:t>lo 79 del Decreto 2147 de 2016); (ii) porque se cumplió el término para el cual tenía prevista la calificación y no se renovó la misma, o bien (iii) porque culminó el término general de la zona franca de hasta 60 años”.</w:t>
      </w:r>
    </w:p>
  </w:footnote>
  <w:footnote w:id="70">
    <w:p w:rsidR="00D47B3A" w:rsidRPr="00261EDA"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“Por el cual se modifica el régime</w:t>
      </w:r>
      <w:r w:rsidRPr="00261EDA">
        <w:rPr>
          <w:color w:val="auto"/>
          <w:szCs w:val="20"/>
        </w:rPr>
        <w:t>n de zonas francas y se dictan otras disposiciones”.</w:t>
      </w:r>
    </w:p>
  </w:footnote>
  <w:footnote w:id="71">
    <w:p w:rsidR="00D47B3A" w:rsidRPr="00261EDA"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Esta regla se ocupa del tipo de acciones que se pueden desempeñar, los espacios geográficos habilitados para el efecto y las limitaciones que surgen, de acuerdo con la modalidad de zona franca aprobada</w:t>
      </w:r>
      <w:r w:rsidRPr="00261EDA">
        <w:rPr>
          <w:color w:val="auto"/>
          <w:szCs w:val="20"/>
        </w:rPr>
        <w:t xml:space="preserve">. </w:t>
      </w:r>
    </w:p>
  </w:footnote>
  <w:footnote w:id="72">
    <w:p w:rsidR="00D47B3A" w:rsidRPr="00261EDA"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C-384 de 2023. </w:t>
      </w:r>
    </w:p>
  </w:footnote>
  <w:footnote w:id="73">
    <w:p w:rsidR="00D47B3A" w:rsidRPr="00261EDA"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C-304 de 2019. </w:t>
      </w:r>
    </w:p>
  </w:footnote>
  <w:footnote w:id="74">
    <w:p w:rsidR="00D47B3A" w:rsidRPr="00261EDA"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Ib. </w:t>
      </w:r>
    </w:p>
  </w:footnote>
  <w:footnote w:id="75">
    <w:p w:rsidR="00D47B3A" w:rsidRPr="00261EDA"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C-384 de 2023. Al respecto, ver también la sentencia C-073 de 2024.</w:t>
      </w:r>
    </w:p>
  </w:footnote>
  <w:footnote w:id="76">
    <w:p w:rsidR="00D47B3A" w:rsidRPr="0095341E" w:rsidRDefault="000149EE" w:rsidP="00C95EA7">
      <w:pPr>
        <w:pStyle w:val="Textonotapie"/>
        <w:rPr>
          <w:color w:val="auto"/>
          <w:szCs w:val="20"/>
        </w:rPr>
      </w:pPr>
      <w:r w:rsidRPr="00261EDA">
        <w:rPr>
          <w:rStyle w:val="Refdenotaalpie"/>
          <w:color w:val="auto"/>
          <w:szCs w:val="20"/>
        </w:rPr>
        <w:footnoteRef/>
      </w:r>
      <w:r w:rsidRPr="00261EDA">
        <w:rPr>
          <w:color w:val="auto"/>
          <w:szCs w:val="20"/>
        </w:rPr>
        <w:t xml:space="preserve"> Corte Constitucional, </w:t>
      </w:r>
      <w:r w:rsidRPr="0095341E">
        <w:rPr>
          <w:color w:val="auto"/>
          <w:szCs w:val="20"/>
        </w:rPr>
        <w:t xml:space="preserve">sentencias C-384 de </w:t>
      </w:r>
      <w:r w:rsidRPr="0095341E">
        <w:rPr>
          <w:color w:val="auto"/>
          <w:szCs w:val="20"/>
        </w:rPr>
        <w:t>2023 y C-073 de 2024.</w:t>
      </w:r>
    </w:p>
  </w:footnote>
  <w:footnote w:id="77">
    <w:p w:rsidR="00D47B3A" w:rsidRPr="0095341E" w:rsidRDefault="000149EE" w:rsidP="00C95EA7">
      <w:pPr>
        <w:pStyle w:val="Textonotapie"/>
        <w:rPr>
          <w:color w:val="auto"/>
          <w:szCs w:val="20"/>
        </w:rPr>
      </w:pPr>
      <w:r w:rsidRPr="0095341E">
        <w:rPr>
          <w:rStyle w:val="Refdenotaalpie"/>
          <w:color w:val="auto"/>
          <w:szCs w:val="20"/>
        </w:rPr>
        <w:footnoteRef/>
      </w:r>
      <w:r w:rsidRPr="0095341E">
        <w:rPr>
          <w:color w:val="auto"/>
          <w:szCs w:val="20"/>
        </w:rPr>
        <w:t xml:space="preserve"> Ib.</w:t>
      </w:r>
    </w:p>
  </w:footnote>
  <w:footnote w:id="78">
    <w:p w:rsidR="00D47B3A" w:rsidRPr="0095341E" w:rsidRDefault="000149EE">
      <w:pPr>
        <w:pStyle w:val="Textonotapie"/>
      </w:pPr>
      <w:r w:rsidRPr="0095341E">
        <w:rPr>
          <w:rStyle w:val="Refdenotaalpie"/>
        </w:rPr>
        <w:footnoteRef/>
      </w:r>
      <w:r w:rsidRPr="0095341E">
        <w:t xml:space="preserve"> En principio, las disposiciones objeto de examen en el presente asunto únicamente incluyen dentro de su ámbito de aplicación subjetivo a usuarios de zonas francas permanentes.</w:t>
      </w:r>
    </w:p>
  </w:footnote>
  <w:footnote w:id="79">
    <w:p w:rsidR="00D47B3A" w:rsidRPr="00261EDA" w:rsidRDefault="000149EE" w:rsidP="00BB27F6">
      <w:pPr>
        <w:pStyle w:val="Textonotapie"/>
        <w:rPr>
          <w:color w:val="auto"/>
          <w:szCs w:val="20"/>
        </w:rPr>
      </w:pPr>
      <w:r w:rsidRPr="0095341E">
        <w:rPr>
          <w:rStyle w:val="Refdenotaalpie"/>
          <w:rFonts w:eastAsiaTheme="majorEastAsia"/>
          <w:color w:val="auto"/>
          <w:szCs w:val="20"/>
        </w:rPr>
        <w:footnoteRef/>
      </w:r>
      <w:r w:rsidRPr="0095341E">
        <w:rPr>
          <w:color w:val="auto"/>
          <w:szCs w:val="20"/>
        </w:rPr>
        <w:t xml:space="preserve"> Artículo 4 del Decreto 2147 de 2016: “El usuario</w:t>
      </w:r>
      <w:r w:rsidRPr="0095341E">
        <w:rPr>
          <w:color w:val="auto"/>
          <w:szCs w:val="20"/>
        </w:rPr>
        <w:t xml:space="preserve"> industrial de servicios es la persona jurídica autorizada para desarrollar, exclusivamente, en una o varias</w:t>
      </w:r>
      <w:r w:rsidRPr="00261EDA">
        <w:rPr>
          <w:color w:val="auto"/>
          <w:szCs w:val="20"/>
        </w:rPr>
        <w:t xml:space="preserve"> zonas francas, entre otras, las siguientes actividades:1. Logística, transporte, manipulación, distribución, empaque, reempaque, envase, etiquetado</w:t>
      </w:r>
      <w:r w:rsidRPr="00261EDA">
        <w:rPr>
          <w:color w:val="auto"/>
          <w:szCs w:val="20"/>
        </w:rPr>
        <w:t xml:space="preserve"> o clasificación. // 2. Telecomunicaciones, sistemas de tecnología de la información para captura, procesamiento, almacenamiento y transmisión de datos, y organización, gestión u operación de bases de datos. // 3. Investigación científica y tecnológica. //</w:t>
      </w:r>
      <w:r w:rsidRPr="00261EDA">
        <w:rPr>
          <w:color w:val="auto"/>
          <w:szCs w:val="20"/>
        </w:rPr>
        <w:t xml:space="preserve"> 4. Asistencia médica, odontológica y en general de salud. // 5. Turismo. // 6. Reparación, limpieza o pruebas de calidad de bienes. // 7. Soporte técnico, mantenimiento y reparación de equipos, naves, aeronaves o maquinaria. // 8. Auditoría, administració</w:t>
      </w:r>
      <w:r w:rsidRPr="00261EDA">
        <w:rPr>
          <w:color w:val="auto"/>
          <w:szCs w:val="20"/>
        </w:rPr>
        <w:t>n, corretaje, consultoría o similares”.</w:t>
      </w:r>
    </w:p>
  </w:footnote>
  <w:footnote w:id="80">
    <w:p w:rsidR="00D47B3A" w:rsidRPr="00261EDA" w:rsidRDefault="000149EE" w:rsidP="00BB27F6">
      <w:pPr>
        <w:pStyle w:val="Textonotapie"/>
        <w:rPr>
          <w:color w:val="auto"/>
          <w:szCs w:val="20"/>
        </w:rPr>
      </w:pPr>
      <w:r w:rsidRPr="00261EDA">
        <w:rPr>
          <w:rStyle w:val="Refdenotaalpie"/>
          <w:color w:val="auto"/>
          <w:szCs w:val="20"/>
        </w:rPr>
        <w:footnoteRef/>
      </w:r>
      <w:r w:rsidRPr="00261EDA">
        <w:rPr>
          <w:color w:val="auto"/>
          <w:szCs w:val="20"/>
        </w:rPr>
        <w:t xml:space="preserve"> </w:t>
      </w:r>
      <w:r w:rsidRPr="00261EDA">
        <w:rPr>
          <w:bCs/>
          <w:color w:val="auto"/>
          <w:szCs w:val="20"/>
        </w:rPr>
        <w:t xml:space="preserve">Artículo 4 del Decreto 2147 de 2016. </w:t>
      </w:r>
      <w:r w:rsidRPr="00261EDA">
        <w:rPr>
          <w:color w:val="auto"/>
          <w:szCs w:val="20"/>
        </w:rPr>
        <w:t>“(…) En las zonas francas permanentes especiales no podrán calificarse ni autorizarse a usuarios comerciales (…).”</w:t>
      </w:r>
    </w:p>
  </w:footnote>
  <w:footnote w:id="81">
    <w:p w:rsidR="00D47B3A" w:rsidRPr="00261EDA" w:rsidRDefault="000149EE" w:rsidP="00710B1C">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C-384 de 2023. </w:t>
      </w:r>
    </w:p>
  </w:footnote>
  <w:footnote w:id="82">
    <w:p w:rsidR="00D47B3A" w:rsidRPr="00261EDA" w:rsidRDefault="000149EE" w:rsidP="00710B1C">
      <w:pPr>
        <w:pStyle w:val="Textonotapie"/>
        <w:rPr>
          <w:color w:val="auto"/>
          <w:szCs w:val="20"/>
        </w:rPr>
      </w:pPr>
      <w:r w:rsidRPr="00261EDA">
        <w:rPr>
          <w:rStyle w:val="Refdenotaalpie"/>
          <w:color w:val="auto"/>
          <w:szCs w:val="20"/>
        </w:rPr>
        <w:footnoteRef/>
      </w:r>
      <w:r w:rsidRPr="00261EDA">
        <w:rPr>
          <w:color w:val="auto"/>
          <w:szCs w:val="20"/>
        </w:rPr>
        <w:t xml:space="preserve"> Esto, de c</w:t>
      </w:r>
      <w:r w:rsidRPr="00261EDA">
        <w:rPr>
          <w:color w:val="auto"/>
          <w:szCs w:val="20"/>
        </w:rPr>
        <w:t>onformidad con la Ley 963 de 2005 y el artículo 166 de la Ley 1607 de 2012.</w:t>
      </w:r>
    </w:p>
  </w:footnote>
  <w:footnote w:id="83">
    <w:p w:rsidR="00D47B3A" w:rsidRPr="00261EDA" w:rsidRDefault="000149EE" w:rsidP="00710B1C">
      <w:pPr>
        <w:pStyle w:val="Textonotapie"/>
        <w:rPr>
          <w:color w:val="auto"/>
          <w:szCs w:val="20"/>
        </w:rPr>
      </w:pPr>
      <w:r w:rsidRPr="00261EDA">
        <w:rPr>
          <w:rStyle w:val="Refdenotaalpie"/>
          <w:color w:val="auto"/>
          <w:szCs w:val="20"/>
        </w:rPr>
        <w:footnoteRef/>
      </w:r>
      <w:r w:rsidRPr="00261EDA">
        <w:rPr>
          <w:color w:val="auto"/>
          <w:szCs w:val="20"/>
        </w:rPr>
        <w:t xml:space="preserve"> Ley 1819 de 2016, art. 65. </w:t>
      </w:r>
    </w:p>
  </w:footnote>
  <w:footnote w:id="84">
    <w:p w:rsidR="00D47B3A" w:rsidRPr="00261EDA" w:rsidRDefault="000149EE" w:rsidP="00710B1C">
      <w:pPr>
        <w:pStyle w:val="Textonotapie"/>
        <w:rPr>
          <w:color w:val="auto"/>
          <w:szCs w:val="20"/>
        </w:rPr>
      </w:pPr>
      <w:r w:rsidRPr="00261EDA">
        <w:rPr>
          <w:rStyle w:val="Refdenotaalpie"/>
          <w:color w:val="auto"/>
          <w:szCs w:val="20"/>
        </w:rPr>
        <w:footnoteRef/>
      </w:r>
      <w:r w:rsidRPr="00261EDA">
        <w:rPr>
          <w:color w:val="auto"/>
          <w:szCs w:val="20"/>
        </w:rPr>
        <w:t xml:space="preserve"> Ley 1004 de 2005, art. 1. </w:t>
      </w:r>
    </w:p>
  </w:footnote>
  <w:footnote w:id="85">
    <w:p w:rsidR="00D47B3A" w:rsidRDefault="000149EE">
      <w:pPr>
        <w:pStyle w:val="Textonotapie"/>
      </w:pPr>
      <w:r>
        <w:rPr>
          <w:rStyle w:val="Refdenotaalpie"/>
        </w:rPr>
        <w:footnoteRef/>
      </w:r>
      <w:r>
        <w:t xml:space="preserve"> </w:t>
      </w:r>
      <w:r w:rsidRPr="00990A09">
        <w:t>Corte Constitucional, sentencia C-304 de 2019</w:t>
      </w:r>
      <w:r>
        <w:t>.</w:t>
      </w:r>
    </w:p>
  </w:footnote>
  <w:footnote w:id="86">
    <w:p w:rsidR="00D47B3A" w:rsidRDefault="000149EE">
      <w:pPr>
        <w:pStyle w:val="Textonotapie"/>
      </w:pPr>
      <w:r>
        <w:rPr>
          <w:rStyle w:val="Refdenotaalpie"/>
        </w:rPr>
        <w:footnoteRef/>
      </w:r>
      <w:r>
        <w:t xml:space="preserve"> Ib. En el mismo sentido ver </w:t>
      </w:r>
      <w:r w:rsidRPr="00B33AC9">
        <w:t>Corte Constitucional, sentencia</w:t>
      </w:r>
      <w:r>
        <w:t xml:space="preserve"> </w:t>
      </w:r>
      <w:r w:rsidRPr="00B33AC9">
        <w:t>C-384 de 2</w:t>
      </w:r>
      <w:r w:rsidRPr="00B33AC9">
        <w:t>023</w:t>
      </w:r>
      <w:r>
        <w:t>.</w:t>
      </w:r>
    </w:p>
  </w:footnote>
  <w:footnote w:id="87">
    <w:p w:rsidR="00D47B3A" w:rsidRDefault="000149EE" w:rsidP="00647422">
      <w:pPr>
        <w:pStyle w:val="Textonotapie"/>
      </w:pPr>
      <w:r w:rsidRPr="008266A1">
        <w:rPr>
          <w:rStyle w:val="Refdenotaalpie"/>
        </w:rPr>
        <w:footnoteRef/>
      </w:r>
      <w:r w:rsidRPr="008266A1">
        <w:t xml:space="preserve"> Corte Constitucional, sentencia C-384 de 2023. </w:t>
      </w:r>
    </w:p>
  </w:footnote>
  <w:footnote w:id="88">
    <w:p w:rsidR="00D47B3A" w:rsidRDefault="000149EE">
      <w:pPr>
        <w:pStyle w:val="Textonotapie"/>
      </w:pPr>
      <w:r>
        <w:rPr>
          <w:rStyle w:val="Refdenotaalpie"/>
        </w:rPr>
        <w:footnoteRef/>
      </w:r>
      <w:r>
        <w:t xml:space="preserve"> Ib</w:t>
      </w:r>
      <w:r>
        <w:t>.</w:t>
      </w:r>
    </w:p>
  </w:footnote>
  <w:footnote w:id="89">
    <w:p w:rsidR="00D47B3A" w:rsidRPr="0047528E" w:rsidRDefault="000149EE" w:rsidP="00DB53AA">
      <w:pPr>
        <w:pStyle w:val="Textonotapie"/>
        <w:rPr>
          <w:color w:val="auto"/>
          <w:szCs w:val="20"/>
          <w:highlight w:val="lightGray"/>
        </w:rPr>
      </w:pPr>
      <w:r w:rsidRPr="00261EDA">
        <w:rPr>
          <w:rStyle w:val="Refdenotaalpie"/>
          <w:color w:val="auto"/>
          <w:szCs w:val="20"/>
        </w:rPr>
        <w:footnoteRef/>
      </w:r>
      <w:r w:rsidRPr="00261EDA">
        <w:rPr>
          <w:color w:val="auto"/>
          <w:szCs w:val="20"/>
        </w:rPr>
        <w:t>ET, art. 26. Corte Constitucional, sentencias C</w:t>
      </w:r>
      <w:r w:rsidRPr="00261EDA">
        <w:rPr>
          <w:bCs/>
          <w:color w:val="auto"/>
          <w:szCs w:val="20"/>
          <w:lang w:val="es-ES"/>
        </w:rPr>
        <w:t xml:space="preserve">-324 de 2022 y C-073 de 2024. Ver también, </w:t>
      </w:r>
      <w:r w:rsidRPr="00261EDA">
        <w:rPr>
          <w:color w:val="auto"/>
          <w:szCs w:val="20"/>
        </w:rPr>
        <w:t xml:space="preserve">Consejo de Estado, Sección Cuarta, sentencia del 6 de septiembre de 2012, radicado: 11001-03-27-000-2009-00019-00(17650). Y </w:t>
      </w:r>
      <w:r w:rsidRPr="0047528E">
        <w:rPr>
          <w:color w:val="auto"/>
          <w:szCs w:val="20"/>
        </w:rPr>
        <w:t>Corte Constitucional, sentencia C-073 de 2024.</w:t>
      </w:r>
    </w:p>
  </w:footnote>
  <w:footnote w:id="90">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Ley 1819 de 2016, art. 100. </w:t>
      </w:r>
    </w:p>
  </w:footnote>
  <w:footnote w:id="91">
    <w:p w:rsidR="00D47B3A" w:rsidRPr="00261EDA" w:rsidRDefault="000149EE" w:rsidP="00DB53AA">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C-384 de 2023. </w:t>
      </w:r>
    </w:p>
  </w:footnote>
  <w:footnote w:id="92">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“P</w:t>
      </w:r>
      <w:r w:rsidRPr="00261EDA">
        <w:rPr>
          <w:color w:val="auto"/>
          <w:szCs w:val="20"/>
        </w:rPr>
        <w:t>or medio de la cual se adopta una reforma tributaria para la igualdad y la justicia social y se dictan otras disposiciones”.</w:t>
      </w:r>
    </w:p>
  </w:footnote>
  <w:footnote w:id="93">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C-073 de 2024.</w:t>
      </w:r>
    </w:p>
  </w:footnote>
  <w:footnote w:id="94">
    <w:p w:rsidR="00D47B3A" w:rsidRPr="00261EDA" w:rsidRDefault="000149EE" w:rsidP="00821EDE">
      <w:pPr>
        <w:pStyle w:val="Textonotapie"/>
        <w:rPr>
          <w:color w:val="auto"/>
          <w:szCs w:val="20"/>
        </w:rPr>
      </w:pPr>
      <w:r w:rsidRPr="00261EDA">
        <w:rPr>
          <w:rStyle w:val="Refdenotaalpie"/>
          <w:rFonts w:asciiTheme="majorBidi" w:hAnsiTheme="majorBidi" w:cstheme="majorBidi"/>
          <w:color w:val="auto"/>
          <w:szCs w:val="20"/>
        </w:rPr>
        <w:footnoteRef/>
      </w:r>
      <w:r w:rsidRPr="00261EDA">
        <w:rPr>
          <w:color w:val="auto"/>
          <w:szCs w:val="20"/>
        </w:rPr>
        <w:t xml:space="preserve"> Corte Constitucional, sentencias C-384 de 2023 y C-073 de 2024.</w:t>
      </w:r>
    </w:p>
  </w:footnote>
  <w:footnote w:id="95">
    <w:p w:rsidR="00D47B3A" w:rsidRPr="00261EDA" w:rsidRDefault="000149EE" w:rsidP="00821EDE">
      <w:pPr>
        <w:pStyle w:val="Textonotapie"/>
        <w:rPr>
          <w:color w:val="auto"/>
          <w:szCs w:val="20"/>
        </w:rPr>
      </w:pPr>
      <w:r w:rsidRPr="00261EDA">
        <w:rPr>
          <w:rStyle w:val="Refdenotaalpie"/>
          <w:color w:val="auto"/>
          <w:szCs w:val="20"/>
        </w:rPr>
        <w:footnoteRef/>
      </w:r>
      <w:r w:rsidRPr="00261EDA">
        <w:rPr>
          <w:color w:val="auto"/>
          <w:szCs w:val="20"/>
        </w:rPr>
        <w:t xml:space="preserve"> El último inci</w:t>
      </w:r>
      <w:r w:rsidRPr="00261EDA">
        <w:rPr>
          <w:color w:val="auto"/>
          <w:szCs w:val="20"/>
        </w:rPr>
        <w:t>so del parágrafo 6 del artículo 11 de la Ley 2277 de 2023 precisa que “los usuarios industriales de zona franca que se califiquen, autoricen o aprueben a partir del año 2025 deberán suscribir su plan de internacionalización y anual de ventas, para cada uno</w:t>
      </w:r>
      <w:r w:rsidRPr="00261EDA">
        <w:rPr>
          <w:color w:val="auto"/>
          <w:szCs w:val="20"/>
        </w:rPr>
        <w:t xml:space="preserve"> de los años gravables, a efectos de aplicar lo dispuesto en el inciso 1 del presente Artículo”.</w:t>
      </w:r>
    </w:p>
  </w:footnote>
  <w:footnote w:id="96">
    <w:p w:rsidR="00D47B3A" w:rsidRPr="00261EDA" w:rsidRDefault="000149EE" w:rsidP="00821EDE">
      <w:pPr>
        <w:pStyle w:val="Textonotapie"/>
        <w:rPr>
          <w:color w:val="auto"/>
          <w:szCs w:val="20"/>
        </w:rPr>
      </w:pPr>
      <w:r w:rsidRPr="00261EDA">
        <w:rPr>
          <w:rStyle w:val="Refdenotaalpie"/>
          <w:color w:val="auto"/>
          <w:szCs w:val="20"/>
        </w:rPr>
        <w:footnoteRef/>
      </w:r>
      <w:r w:rsidRPr="00261EDA">
        <w:rPr>
          <w:color w:val="auto"/>
          <w:szCs w:val="20"/>
        </w:rPr>
        <w:t xml:space="preserve"> Artículo 99 del Decreto 624 de 1989 “Por ingresos netos se entiende el valor de los ingresos de toda procedencia realizados en el año o período gravable, men</w:t>
      </w:r>
      <w:r w:rsidRPr="00261EDA">
        <w:rPr>
          <w:color w:val="auto"/>
          <w:szCs w:val="20"/>
        </w:rPr>
        <w:t>os las devoluciones, cancelaciones y rebajas hechas durante el mismo. (…)”.</w:t>
      </w:r>
    </w:p>
  </w:footnote>
  <w:footnote w:id="97">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Gaceta del Congreso No. 917 de 2022. Pp. 8 y 15. </w:t>
      </w:r>
    </w:p>
  </w:footnote>
  <w:footnote w:id="98">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Proyecto de Ley número 118 de 2022 (Cámara) y 131 de 2022 (Senado).</w:t>
      </w:r>
    </w:p>
  </w:footnote>
  <w:footnote w:id="99">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Gaceta del Congreso No. 917 de 2022. </w:t>
      </w:r>
    </w:p>
  </w:footnote>
  <w:footnote w:id="100">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Intervención del MHCP, p. 6. </w:t>
      </w:r>
    </w:p>
  </w:footnote>
  <w:footnote w:id="101">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Ib. </w:t>
      </w:r>
    </w:p>
  </w:footnote>
  <w:footnote w:id="102">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Ib. </w:t>
      </w:r>
    </w:p>
  </w:footnote>
  <w:footnote w:id="103">
    <w:p w:rsidR="00D47B3A" w:rsidRPr="00261EDA" w:rsidRDefault="000149EE" w:rsidP="00983CE3">
      <w:pPr>
        <w:pStyle w:val="Textonotapie"/>
        <w:rPr>
          <w:color w:val="auto"/>
          <w:szCs w:val="20"/>
        </w:rPr>
      </w:pPr>
      <w:r w:rsidRPr="00261EDA">
        <w:rPr>
          <w:rStyle w:val="Refdenotaalpie"/>
          <w:color w:val="auto"/>
          <w:szCs w:val="20"/>
        </w:rPr>
        <w:footnoteRef/>
      </w:r>
      <w:r w:rsidRPr="00261EDA">
        <w:rPr>
          <w:color w:val="auto"/>
          <w:szCs w:val="20"/>
        </w:rPr>
        <w:t xml:space="preserve"> Ib.</w:t>
      </w:r>
    </w:p>
  </w:footnote>
  <w:footnote w:id="104">
    <w:p w:rsidR="00D47B3A" w:rsidRPr="00261EDA" w:rsidRDefault="000149EE" w:rsidP="00596F41">
      <w:pPr>
        <w:pStyle w:val="Textonotapie"/>
        <w:rPr>
          <w:b/>
          <w:bCs/>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sentencias C-717 de 2003, C-333 de 2017 y C-203 de 2021. </w:t>
      </w:r>
    </w:p>
  </w:footnote>
  <w:footnote w:id="105">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sentencias C-717 de 2003, C-333 de 2017, C-060 de 2018 y C- 203 de 2021.</w:t>
      </w:r>
    </w:p>
  </w:footnote>
  <w:footnote w:id="106">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Ib. </w:t>
      </w:r>
    </w:p>
  </w:footnote>
  <w:footnote w:id="107">
    <w:p w:rsidR="00D47B3A" w:rsidRPr="00261EDA" w:rsidRDefault="000149EE">
      <w:pPr>
        <w:pStyle w:val="Textonotapie"/>
        <w:rPr>
          <w:color w:val="auto"/>
          <w:szCs w:val="20"/>
        </w:rPr>
      </w:pPr>
      <w:r w:rsidRPr="00261EDA">
        <w:rPr>
          <w:rStyle w:val="Refdenotaalpie"/>
          <w:color w:val="auto"/>
          <w:szCs w:val="20"/>
        </w:rPr>
        <w:footnoteRef/>
      </w:r>
      <w:r w:rsidRPr="00261EDA">
        <w:rPr>
          <w:color w:val="auto"/>
          <w:szCs w:val="20"/>
        </w:rPr>
        <w:t xml:space="preserve"> Corte Constitucio</w:t>
      </w:r>
      <w:r w:rsidRPr="00261EDA">
        <w:rPr>
          <w:color w:val="auto"/>
          <w:szCs w:val="20"/>
        </w:rPr>
        <w:t xml:space="preserve">nal, sentencia C-161 de 2021. </w:t>
      </w:r>
    </w:p>
  </w:footnote>
  <w:footnote w:id="108">
    <w:p w:rsidR="00D47B3A" w:rsidRPr="00261EDA" w:rsidRDefault="000149EE" w:rsidP="00543819">
      <w:pPr>
        <w:pStyle w:val="Textonotapie"/>
        <w:ind w:right="-234"/>
        <w:rPr>
          <w:rFonts w:cs="Times New Roman"/>
          <w:color w:val="auto"/>
          <w:szCs w:val="20"/>
        </w:rPr>
      </w:pPr>
      <w:r w:rsidRPr="00261EDA">
        <w:rPr>
          <w:rStyle w:val="Refdenotaalpie"/>
          <w:rFonts w:cs="Times New Roman"/>
          <w:iCs/>
          <w:color w:val="auto"/>
          <w:szCs w:val="20"/>
        </w:rPr>
        <w:footnoteRef/>
      </w:r>
      <w:r w:rsidRPr="00261EDA">
        <w:rPr>
          <w:rFonts w:cs="Times New Roman"/>
          <w:color w:val="auto"/>
          <w:szCs w:val="20"/>
        </w:rPr>
        <w:t xml:space="preserve"> Corte Constitucional, sentencias C-091 de 2021, C-170 de 2021, C-187 de 2022 y C-175 de 2023.</w:t>
      </w:r>
    </w:p>
  </w:footnote>
  <w:footnote w:id="109">
    <w:p w:rsidR="00D47B3A" w:rsidRPr="00261EDA" w:rsidRDefault="000149EE" w:rsidP="00543819">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C-913 de 2011.</w:t>
      </w:r>
    </w:p>
  </w:footnote>
  <w:footnote w:id="110">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sentencias C-333 de 2017 y C- 203 de 2021, entre otras. </w:t>
      </w:r>
    </w:p>
  </w:footnote>
  <w:footnote w:id="111">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C-592 de 2019.</w:t>
      </w:r>
    </w:p>
  </w:footnote>
  <w:footnote w:id="112">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sentencias C-776 de 2003, C-333 de 2017 y C- 203 de 2021. Ver también la sentencia C-304 de 2019.</w:t>
      </w:r>
    </w:p>
  </w:footnote>
  <w:footnote w:id="113">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Ib.</w:t>
      </w:r>
    </w:p>
  </w:footnote>
  <w:footnote w:id="114">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Ib.</w:t>
      </w:r>
    </w:p>
  </w:footnote>
  <w:footnote w:id="115">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C-592 de 2019.</w:t>
      </w:r>
    </w:p>
  </w:footnote>
  <w:footnote w:id="116">
    <w:p w:rsidR="00D47B3A" w:rsidRPr="00261EDA" w:rsidRDefault="000149EE" w:rsidP="00596F41">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w:t>
      </w:r>
      <w:r w:rsidRPr="00261EDA">
        <w:rPr>
          <w:color w:val="auto"/>
          <w:szCs w:val="20"/>
        </w:rPr>
        <w:t xml:space="preserve"> sentencia C-060 de 2018.</w:t>
      </w:r>
    </w:p>
  </w:footnote>
  <w:footnote w:id="117">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Constitución Política, art. 13. “Todas las personas nacen libres e iguales ante la ley, recibirán la misma protección y trato de las autoridades y gozarán de los mismos derechos, libertades y oportunidades sin ninguna discrimina</w:t>
      </w:r>
      <w:r w:rsidRPr="00261EDA">
        <w:rPr>
          <w:rFonts w:cs="Times New Roman"/>
          <w:color w:val="auto"/>
          <w:szCs w:val="20"/>
        </w:rPr>
        <w:t xml:space="preserve">ción por razones de sexo, raza, origen nacional o familiar, lengua, religión, opinión política o filosófica.// El Estado promoverá las condiciones para que la igualdad sea real y efectiva y adoptará medidas en favor de grupos discriminados o marginados.// </w:t>
      </w:r>
      <w:r w:rsidRPr="00261EDA">
        <w:rPr>
          <w:rFonts w:cs="Times New Roman"/>
          <w:color w:val="auto"/>
          <w:szCs w:val="20"/>
        </w:rPr>
        <w:t>El Estado protegerá especialmente a aquellas personas que por su condición económica, física o mental, se encuentren en circunstancia de debilidad manifiesta y sancionará los abusos o maltratos que contra ellas se cometan”.</w:t>
      </w:r>
    </w:p>
  </w:footnote>
  <w:footnote w:id="118">
    <w:p w:rsidR="00D47B3A" w:rsidRPr="00261EDA" w:rsidRDefault="000149EE" w:rsidP="00147463">
      <w:pPr>
        <w:pStyle w:val="Textonotapie"/>
        <w:rPr>
          <w:rFonts w:cs="Times New Roman"/>
          <w:color w:val="auto"/>
          <w:szCs w:val="20"/>
          <w:lang w:val="pt-BR"/>
        </w:rPr>
      </w:pPr>
      <w:r w:rsidRPr="00261EDA">
        <w:rPr>
          <w:rStyle w:val="Refdenotaalpie"/>
          <w:rFonts w:eastAsiaTheme="majorEastAsia" w:cs="Times New Roman"/>
          <w:color w:val="auto"/>
          <w:szCs w:val="20"/>
        </w:rPr>
        <w:footnoteRef/>
      </w:r>
      <w:r w:rsidRPr="00261EDA">
        <w:rPr>
          <w:rFonts w:cs="Times New Roman"/>
          <w:color w:val="auto"/>
          <w:szCs w:val="20"/>
        </w:rPr>
        <w:t xml:space="preserve"> </w:t>
      </w:r>
      <w:r w:rsidRPr="00261EDA">
        <w:rPr>
          <w:rFonts w:cs="Times New Roman"/>
          <w:color w:val="auto"/>
          <w:szCs w:val="20"/>
          <w:lang w:val="es-ES"/>
        </w:rPr>
        <w:t>Corte Constitucional, sentenci</w:t>
      </w:r>
      <w:r w:rsidRPr="00261EDA">
        <w:rPr>
          <w:rFonts w:cs="Times New Roman"/>
          <w:color w:val="auto"/>
          <w:szCs w:val="20"/>
          <w:lang w:val="es-ES"/>
        </w:rPr>
        <w:t xml:space="preserve">as </w:t>
      </w:r>
      <w:r w:rsidRPr="00261EDA">
        <w:rPr>
          <w:rFonts w:cs="Times New Roman"/>
          <w:color w:val="auto"/>
          <w:szCs w:val="20"/>
        </w:rPr>
        <w:t>C-266 de 2019, C-125 de 2018 y C-054 de 2024.</w:t>
      </w:r>
    </w:p>
  </w:footnote>
  <w:footnote w:id="119">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w:t>
      </w:r>
      <w:r w:rsidRPr="00261EDA">
        <w:rPr>
          <w:rFonts w:cs="Times New Roman"/>
          <w:color w:val="auto"/>
          <w:szCs w:val="20"/>
          <w:lang w:val="es-ES"/>
        </w:rPr>
        <w:t xml:space="preserve">Corte Constitucional, sentencia </w:t>
      </w:r>
      <w:r w:rsidRPr="00261EDA">
        <w:rPr>
          <w:rFonts w:cs="Times New Roman"/>
          <w:color w:val="auto"/>
          <w:szCs w:val="20"/>
        </w:rPr>
        <w:t>C-125 de 2018.</w:t>
      </w:r>
    </w:p>
  </w:footnote>
  <w:footnote w:id="120">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w:t>
      </w:r>
      <w:r w:rsidRPr="00261EDA">
        <w:rPr>
          <w:rFonts w:cs="Times New Roman"/>
          <w:color w:val="auto"/>
          <w:szCs w:val="20"/>
          <w:lang w:val="es-ES"/>
        </w:rPr>
        <w:t xml:space="preserve">Corte Constitucional, sentencias </w:t>
      </w:r>
      <w:r w:rsidRPr="00261EDA">
        <w:rPr>
          <w:rFonts w:cs="Times New Roman"/>
          <w:color w:val="auto"/>
          <w:szCs w:val="20"/>
        </w:rPr>
        <w:t>C-179 de 2016 y C-1125 de 2001.</w:t>
      </w:r>
    </w:p>
  </w:footnote>
  <w:footnote w:id="121">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w:t>
      </w:r>
      <w:r w:rsidRPr="00261EDA">
        <w:rPr>
          <w:color w:val="auto"/>
          <w:szCs w:val="20"/>
          <w:lang w:val="es-ES"/>
        </w:rPr>
        <w:t xml:space="preserve">Corte Constitucional, sentencias </w:t>
      </w:r>
      <w:r w:rsidRPr="00261EDA">
        <w:rPr>
          <w:color w:val="auto"/>
          <w:szCs w:val="20"/>
        </w:rPr>
        <w:t xml:space="preserve">C-505 de 1999, C-114 de 2017 y C- 203 de 2021. </w:t>
      </w:r>
    </w:p>
  </w:footnote>
  <w:footnote w:id="122">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Corte Constitucional, sentencias C-266 de 2019, C-601 de 2015, C-551 de 2015 y C-054 de 2024.</w:t>
      </w:r>
    </w:p>
  </w:footnote>
  <w:footnote w:id="123">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Corte Constitucional, sentencias C-006 de 2018 y C-006 de 2017. </w:t>
      </w:r>
    </w:p>
  </w:footnote>
  <w:footnote w:id="124">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La jurisprudencia constitucional ha señalado que el carácter relacional de la igualdad implica igualmente que “a diferencia de otros principios constitucionales o derechos fundamentales, no protege ningún ámbito concreto de la esfera de la actividad human</w:t>
      </w:r>
      <w:r w:rsidRPr="00261EDA">
        <w:rPr>
          <w:rFonts w:cs="Times New Roman"/>
          <w:color w:val="auto"/>
          <w:szCs w:val="20"/>
        </w:rPr>
        <w:t>a, sino que puede ser alegado ante cualquier trato diferenciado injustificado”. Corte Constitucional, sentencias C-818 de 2010, C-250 de 2012 y C-743 de 2015.</w:t>
      </w:r>
    </w:p>
  </w:footnote>
  <w:footnote w:id="125">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Corte Constitucional, sentencias C-1146 de 2004</w:t>
      </w:r>
      <w:r w:rsidRPr="00261EDA">
        <w:rPr>
          <w:rFonts w:eastAsiaTheme="minorHAnsi" w:cstheme="minorBidi"/>
          <w:color w:val="auto"/>
          <w:szCs w:val="20"/>
          <w:lang w:eastAsia="en-US"/>
        </w:rPr>
        <w:t xml:space="preserve"> </w:t>
      </w:r>
      <w:r w:rsidRPr="00261EDA">
        <w:rPr>
          <w:rFonts w:cs="Times New Roman"/>
          <w:color w:val="auto"/>
          <w:szCs w:val="20"/>
        </w:rPr>
        <w:t xml:space="preserve">y C- 203 de 2021.  </w:t>
      </w:r>
    </w:p>
  </w:footnote>
  <w:footnote w:id="126">
    <w:p w:rsidR="00D47B3A" w:rsidRPr="00261EDA" w:rsidRDefault="000149EE" w:rsidP="00147463">
      <w:pPr>
        <w:pStyle w:val="Textonotapie"/>
        <w:rPr>
          <w:rFonts w:cs="Times New Roman"/>
          <w:color w:val="auto"/>
          <w:szCs w:val="20"/>
        </w:rPr>
      </w:pPr>
      <w:r w:rsidRPr="00261EDA">
        <w:rPr>
          <w:rStyle w:val="Refdenotaalpie"/>
          <w:rFonts w:eastAsiaTheme="majorEastAsia" w:cs="Times New Roman"/>
          <w:color w:val="auto"/>
          <w:szCs w:val="20"/>
        </w:rPr>
        <w:footnoteRef/>
      </w:r>
      <w:r w:rsidRPr="00261EDA">
        <w:rPr>
          <w:rFonts w:cs="Times New Roman"/>
          <w:color w:val="auto"/>
          <w:szCs w:val="20"/>
        </w:rPr>
        <w:t xml:space="preserve"> Corte Constitucional, sen</w:t>
      </w:r>
      <w:r w:rsidRPr="00261EDA">
        <w:rPr>
          <w:rFonts w:cs="Times New Roman"/>
          <w:color w:val="auto"/>
          <w:szCs w:val="20"/>
        </w:rPr>
        <w:t>tencias C-1125 de 2001, C-551 de 2015, C-601 de 2015, C-179 de 2016 y C-054 de 2024.</w:t>
      </w:r>
    </w:p>
  </w:footnote>
  <w:footnote w:id="127">
    <w:p w:rsidR="00D47B3A" w:rsidRPr="00261EDA" w:rsidRDefault="000149EE" w:rsidP="00147463">
      <w:pPr>
        <w:pStyle w:val="Textonotapie"/>
        <w:rPr>
          <w:rFonts w:cs="Times New Roman"/>
          <w:color w:val="auto"/>
          <w:szCs w:val="20"/>
          <w:lang w:val="pt-BR"/>
        </w:rPr>
      </w:pPr>
      <w:r w:rsidRPr="00261EDA">
        <w:rPr>
          <w:rStyle w:val="Refdenotaalpie"/>
          <w:rFonts w:eastAsiaTheme="majorEastAsia" w:cs="Times New Roman"/>
          <w:color w:val="auto"/>
          <w:szCs w:val="20"/>
        </w:rPr>
        <w:footnoteRef/>
      </w:r>
      <w:r w:rsidRPr="00261EDA">
        <w:rPr>
          <w:rFonts w:cs="Times New Roman"/>
          <w:color w:val="auto"/>
          <w:szCs w:val="20"/>
          <w:lang w:val="pt-BR"/>
        </w:rPr>
        <w:t xml:space="preserve"> Ib. </w:t>
      </w:r>
    </w:p>
  </w:footnote>
  <w:footnote w:id="128">
    <w:p w:rsidR="00D47B3A" w:rsidRPr="00261EDA" w:rsidRDefault="000149EE" w:rsidP="00147463">
      <w:pPr>
        <w:pStyle w:val="Textonotapie"/>
        <w:rPr>
          <w:rFonts w:cs="Times New Roman"/>
          <w:color w:val="auto"/>
          <w:szCs w:val="20"/>
          <w:lang w:val="pt-BR"/>
        </w:rPr>
      </w:pPr>
      <w:r w:rsidRPr="00261EDA">
        <w:rPr>
          <w:rStyle w:val="Refdenotaalpie"/>
          <w:rFonts w:eastAsiaTheme="majorEastAsia" w:cs="Times New Roman"/>
          <w:color w:val="auto"/>
          <w:szCs w:val="20"/>
        </w:rPr>
        <w:footnoteRef/>
      </w:r>
      <w:r w:rsidRPr="00261EDA">
        <w:rPr>
          <w:rFonts w:cs="Times New Roman"/>
          <w:color w:val="auto"/>
          <w:szCs w:val="20"/>
          <w:lang w:val="pt-BR"/>
        </w:rPr>
        <w:t xml:space="preserve"> Ib. </w:t>
      </w:r>
    </w:p>
  </w:footnote>
  <w:footnote w:id="129">
    <w:p w:rsidR="00D47B3A" w:rsidRPr="00261EDA" w:rsidRDefault="000149EE" w:rsidP="00147463">
      <w:pPr>
        <w:pStyle w:val="Textonotapie"/>
        <w:rPr>
          <w:rFonts w:cs="Times New Roman"/>
          <w:color w:val="auto"/>
          <w:szCs w:val="20"/>
          <w:lang w:val="pt-BR"/>
        </w:rPr>
      </w:pPr>
      <w:r w:rsidRPr="00261EDA">
        <w:rPr>
          <w:rStyle w:val="Refdenotaalpie"/>
          <w:rFonts w:eastAsiaTheme="majorEastAsia" w:cs="Times New Roman"/>
          <w:color w:val="auto"/>
          <w:szCs w:val="20"/>
        </w:rPr>
        <w:footnoteRef/>
      </w:r>
      <w:r w:rsidRPr="00261EDA">
        <w:rPr>
          <w:rFonts w:cs="Times New Roman"/>
          <w:color w:val="auto"/>
          <w:szCs w:val="20"/>
          <w:lang w:val="pt-BR"/>
        </w:rPr>
        <w:t xml:space="preserve"> Ib. </w:t>
      </w:r>
    </w:p>
  </w:footnote>
  <w:footnote w:id="130">
    <w:p w:rsidR="00D47B3A" w:rsidRPr="00261EDA" w:rsidRDefault="000149EE" w:rsidP="00147463">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Corte Constitucional. </w:t>
      </w:r>
      <w:r>
        <w:rPr>
          <w:color w:val="auto"/>
          <w:szCs w:val="20"/>
          <w:lang w:val="es-ES"/>
        </w:rPr>
        <w:t>s</w:t>
      </w:r>
      <w:r w:rsidRPr="00261EDA">
        <w:rPr>
          <w:color w:val="auto"/>
          <w:szCs w:val="20"/>
          <w:lang w:val="es-ES"/>
        </w:rPr>
        <w:t xml:space="preserve">entencia C-090 de 2001. </w:t>
      </w:r>
    </w:p>
  </w:footnote>
  <w:footnote w:id="131">
    <w:p w:rsidR="00D47B3A" w:rsidRPr="00261EDA" w:rsidRDefault="000149EE" w:rsidP="00147463">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Corte Constitucional. </w:t>
      </w:r>
      <w:r>
        <w:rPr>
          <w:color w:val="auto"/>
          <w:szCs w:val="20"/>
          <w:lang w:val="es-ES"/>
        </w:rPr>
        <w:t>s</w:t>
      </w:r>
      <w:r w:rsidRPr="00261EDA">
        <w:rPr>
          <w:color w:val="auto"/>
          <w:szCs w:val="20"/>
          <w:lang w:val="es-ES"/>
        </w:rPr>
        <w:t xml:space="preserve">entencia C-818 de 2010. </w:t>
      </w:r>
    </w:p>
  </w:footnote>
  <w:footnote w:id="132">
    <w:p w:rsidR="00D47B3A" w:rsidRPr="00261EDA" w:rsidRDefault="000149EE" w:rsidP="00147463">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Ib. </w:t>
      </w:r>
    </w:p>
  </w:footnote>
  <w:footnote w:id="133">
    <w:p w:rsidR="00D47B3A" w:rsidRPr="00261EDA" w:rsidRDefault="000149EE" w:rsidP="00147463">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Ib. </w:t>
      </w:r>
    </w:p>
  </w:footnote>
  <w:footnote w:id="134">
    <w:p w:rsidR="00D47B3A" w:rsidRPr="00261EDA" w:rsidRDefault="000149EE" w:rsidP="00147463">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w:t>
      </w:r>
      <w:r w:rsidRPr="000A12A0">
        <w:rPr>
          <w:i/>
          <w:iCs/>
          <w:color w:val="auto"/>
          <w:szCs w:val="20"/>
          <w:lang w:val="es-ES"/>
        </w:rPr>
        <w:t>Cfr</w:t>
      </w:r>
      <w:r w:rsidRPr="00261EDA">
        <w:rPr>
          <w:color w:val="auto"/>
          <w:szCs w:val="20"/>
          <w:lang w:val="es-ES"/>
        </w:rPr>
        <w:t>. Corte Constitucional</w:t>
      </w:r>
      <w:r>
        <w:rPr>
          <w:color w:val="auto"/>
          <w:szCs w:val="20"/>
          <w:lang w:val="es-ES"/>
        </w:rPr>
        <w:t>, s</w:t>
      </w:r>
      <w:r w:rsidRPr="00261EDA">
        <w:rPr>
          <w:color w:val="auto"/>
          <w:szCs w:val="20"/>
          <w:lang w:val="es-ES"/>
        </w:rPr>
        <w:t>entencia 540 de 2008 “</w:t>
      </w:r>
      <w:r w:rsidRPr="00261EDA">
        <w:rPr>
          <w:bCs/>
          <w:color w:val="auto"/>
          <w:szCs w:val="20"/>
          <w:lang w:val="es-ES"/>
        </w:rPr>
        <w:t xml:space="preserve">toda diferenciación que se haga en ella [la ley] debe atender a fines razonables y constitucionales”. </w:t>
      </w:r>
    </w:p>
  </w:footnote>
  <w:footnote w:id="135">
    <w:p w:rsidR="00D47B3A" w:rsidRPr="00261EDA" w:rsidRDefault="000149EE" w:rsidP="00147463">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C-1064 de 2001, reiterada en la sentencia C-100 de 2013. </w:t>
      </w:r>
    </w:p>
  </w:footnote>
  <w:footnote w:id="136">
    <w:p w:rsidR="00D47B3A" w:rsidRPr="00261EDA" w:rsidRDefault="000149EE" w:rsidP="00147463">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C-304</w:t>
      </w:r>
      <w:r w:rsidRPr="00261EDA">
        <w:rPr>
          <w:color w:val="auto"/>
          <w:szCs w:val="20"/>
        </w:rPr>
        <w:t xml:space="preserve"> de 2019.</w:t>
      </w:r>
    </w:p>
  </w:footnote>
  <w:footnote w:id="137">
    <w:p w:rsidR="00D47B3A" w:rsidRPr="00261EDA" w:rsidRDefault="000149EE" w:rsidP="00147463">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C-606 de 2019 y C-056 de 2019.</w:t>
      </w:r>
    </w:p>
  </w:footnote>
  <w:footnote w:id="138">
    <w:p w:rsidR="00D47B3A" w:rsidRPr="00261EDA" w:rsidRDefault="000149EE" w:rsidP="00147463">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C-056 de 2019. Ver también, sentencias </w:t>
      </w:r>
      <w:r w:rsidRPr="00261EDA">
        <w:rPr>
          <w:color w:val="auto"/>
          <w:szCs w:val="20"/>
          <w:lang w:val="es-ES"/>
        </w:rPr>
        <w:t>y C-600 de 2015 y C-169 de 2014.</w:t>
      </w:r>
    </w:p>
  </w:footnote>
  <w:footnote w:id="139">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sentencias C-600 de 2015, C-120 de 2018 y C-056 de</w:t>
      </w:r>
      <w:r w:rsidRPr="00261EDA">
        <w:rPr>
          <w:color w:val="auto"/>
          <w:szCs w:val="20"/>
        </w:rPr>
        <w:t xml:space="preserve"> 2019.</w:t>
      </w:r>
    </w:p>
  </w:footnote>
  <w:footnote w:id="140">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C-169 de 2014. </w:t>
      </w:r>
    </w:p>
  </w:footnote>
  <w:footnote w:id="141">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C-606 de 2019.</w:t>
      </w:r>
    </w:p>
  </w:footnote>
  <w:footnote w:id="142">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sentencias C-100 de 2014, C-249 de 2013 y C- 203 de 2021. </w:t>
      </w:r>
    </w:p>
  </w:footnote>
  <w:footnote w:id="143">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C-266 de 2019.</w:t>
      </w:r>
    </w:p>
  </w:footnote>
  <w:footnote w:id="144">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w:t>
      </w:r>
      <w:r w:rsidRPr="00261EDA">
        <w:rPr>
          <w:color w:val="auto"/>
          <w:szCs w:val="20"/>
        </w:rPr>
        <w:t xml:space="preserve">onal, sentencias C-520 de 2019 y C-060 de 2019. </w:t>
      </w:r>
    </w:p>
  </w:footnote>
  <w:footnote w:id="145">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C-056 de 2019. Ver también las sentencias C-169 de 2014, C-291 de 2015 y C-117 de 2018, entre otras.</w:t>
      </w:r>
    </w:p>
  </w:footnote>
  <w:footnote w:id="146">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 sentencia C-117 de 2018. </w:t>
      </w:r>
    </w:p>
  </w:footnote>
  <w:footnote w:id="147">
    <w:p w:rsidR="00D47B3A" w:rsidRPr="00261EDA" w:rsidRDefault="000149EE" w:rsidP="00147463">
      <w:pPr>
        <w:pStyle w:val="Textonotapie"/>
        <w:rPr>
          <w:color w:val="auto"/>
          <w:szCs w:val="20"/>
        </w:rPr>
      </w:pPr>
      <w:r w:rsidRPr="00261EDA">
        <w:rPr>
          <w:rStyle w:val="Refdenotaalpie"/>
          <w:rFonts w:eastAsiaTheme="majorEastAsia"/>
          <w:color w:val="auto"/>
          <w:szCs w:val="20"/>
        </w:rPr>
        <w:footnoteRef/>
      </w:r>
      <w:r w:rsidRPr="00261EDA">
        <w:rPr>
          <w:color w:val="auto"/>
          <w:szCs w:val="20"/>
        </w:rPr>
        <w:t xml:space="preserve"> Corte Constitucional</w:t>
      </w:r>
      <w:r w:rsidRPr="00261EDA">
        <w:rPr>
          <w:color w:val="auto"/>
          <w:szCs w:val="20"/>
        </w:rPr>
        <w:t>, sentencias C-278 de 2019</w:t>
      </w:r>
      <w:r w:rsidRPr="00261EDA">
        <w:rPr>
          <w:rFonts w:eastAsiaTheme="minorHAnsi" w:cstheme="minorBidi"/>
          <w:color w:val="auto"/>
          <w:szCs w:val="20"/>
          <w:lang w:eastAsia="en-US"/>
        </w:rPr>
        <w:t xml:space="preserve"> </w:t>
      </w:r>
      <w:r w:rsidRPr="00261EDA">
        <w:rPr>
          <w:color w:val="auto"/>
          <w:szCs w:val="20"/>
        </w:rPr>
        <w:t xml:space="preserve">y C- 203 de 2021. </w:t>
      </w:r>
    </w:p>
  </w:footnote>
  <w:footnote w:id="148">
    <w:p w:rsidR="00D47B3A" w:rsidRPr="00261EDA" w:rsidRDefault="000149EE" w:rsidP="006145AE">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w:t>
      </w:r>
      <w:r w:rsidRPr="00261EDA">
        <w:rPr>
          <w:color w:val="auto"/>
          <w:szCs w:val="20"/>
        </w:rPr>
        <w:t xml:space="preserve">Corte Constitucional, sentencia </w:t>
      </w:r>
      <w:r w:rsidRPr="00261EDA">
        <w:rPr>
          <w:color w:val="auto"/>
          <w:szCs w:val="20"/>
          <w:lang w:val="es-ES"/>
        </w:rPr>
        <w:t xml:space="preserve">C-345 de 2019. </w:t>
      </w:r>
    </w:p>
  </w:footnote>
  <w:footnote w:id="149">
    <w:p w:rsidR="00D47B3A" w:rsidRPr="00261EDA" w:rsidRDefault="000149EE" w:rsidP="006145AE">
      <w:pPr>
        <w:pStyle w:val="Textonotapie"/>
        <w:rPr>
          <w:color w:val="auto"/>
          <w:szCs w:val="20"/>
        </w:rPr>
      </w:pPr>
      <w:r w:rsidRPr="00261EDA">
        <w:rPr>
          <w:rStyle w:val="Refdenotaalpie"/>
          <w:color w:val="auto"/>
          <w:szCs w:val="20"/>
          <w:lang w:val="es-ES"/>
        </w:rPr>
        <w:footnoteRef/>
      </w:r>
      <w:r w:rsidRPr="00261EDA">
        <w:rPr>
          <w:color w:val="auto"/>
          <w:szCs w:val="20"/>
          <w:lang w:val="es-ES"/>
        </w:rPr>
        <w:t xml:space="preserve"> La Corte Constitucional ha aplicado el juicio integrado de igualdad para valorar la constitucionalidad de afectaciones al principio de equidad tributaria en las sentencias C-109 de 2020, C-521 de 2019, C-129 de 2018, C-057 de 2021 y C-540 de 2023, entre o</w:t>
      </w:r>
      <w:r w:rsidRPr="00261EDA">
        <w:rPr>
          <w:color w:val="auto"/>
          <w:szCs w:val="20"/>
          <w:lang w:val="es-ES"/>
        </w:rPr>
        <w:t xml:space="preserve">tras.  </w:t>
      </w:r>
    </w:p>
  </w:footnote>
  <w:footnote w:id="150">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C-345 de 2019 y C-203 de 2021. </w:t>
      </w:r>
    </w:p>
  </w:footnote>
  <w:footnote w:id="151">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C-179 de 2016.</w:t>
      </w:r>
      <w:r w:rsidRPr="00261EDA">
        <w:rPr>
          <w:bCs/>
          <w:color w:val="auto"/>
          <w:szCs w:val="20"/>
        </w:rPr>
        <w:t xml:space="preserve"> En relación con el criterio de comparación, en la sentencia C-109 de 2020 la Corte precisó que el juez constitucional debe evitar </w:t>
      </w:r>
      <w:r w:rsidRPr="00261EDA">
        <w:rPr>
          <w:bCs/>
          <w:i/>
          <w:iCs/>
          <w:color w:val="auto"/>
          <w:szCs w:val="20"/>
        </w:rPr>
        <w:t>(i</w:t>
      </w:r>
      <w:r w:rsidRPr="00261EDA">
        <w:rPr>
          <w:bCs/>
          <w:i/>
          <w:iCs/>
          <w:color w:val="auto"/>
          <w:szCs w:val="20"/>
        </w:rPr>
        <w:t>)</w:t>
      </w:r>
      <w:r w:rsidRPr="00261EDA">
        <w:rPr>
          <w:bCs/>
          <w:color w:val="auto"/>
          <w:szCs w:val="20"/>
        </w:rPr>
        <w:t xml:space="preserve"> fijar un criterio de comparación que por su carácter genérico conduce siempre a concluir que los sujetos son comparables lo cual supondría una “profunda limitación del margen de configuración del legislador”; y</w:t>
      </w:r>
      <w:r w:rsidRPr="00261EDA">
        <w:rPr>
          <w:bCs/>
          <w:i/>
          <w:iCs/>
          <w:color w:val="auto"/>
          <w:szCs w:val="20"/>
        </w:rPr>
        <w:t xml:space="preserve"> (ii)</w:t>
      </w:r>
      <w:r w:rsidRPr="00261EDA">
        <w:rPr>
          <w:bCs/>
          <w:color w:val="auto"/>
          <w:szCs w:val="20"/>
        </w:rPr>
        <w:t xml:space="preserve"> emplear “rasgos que por su grado de es</w:t>
      </w:r>
      <w:r w:rsidRPr="00261EDA">
        <w:rPr>
          <w:bCs/>
          <w:color w:val="auto"/>
          <w:szCs w:val="20"/>
        </w:rPr>
        <w:t>pecificidad conducen siempre a diferenciar,” lo cual podría “afectar la vigencia del mandato de igualdad como expresión básica de justicia”.</w:t>
      </w:r>
    </w:p>
  </w:footnote>
  <w:footnote w:id="152">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La Corte Constitucional ha señalado que las personas, grupos y situaciones “pueden siempre tener rasgos comunes y siempre también rasgos diferentes” (C-109 de 2020). Por ello, para determinar si dos grupos de sujetos o categorías son comparables “es neces</w:t>
      </w:r>
      <w:r w:rsidRPr="00261EDA">
        <w:rPr>
          <w:color w:val="auto"/>
          <w:szCs w:val="20"/>
        </w:rPr>
        <w:t xml:space="preserve">ario examinar su situación a la luz de los fines de la norma” (C-841 de 2003, C-018 de 2018). </w:t>
      </w:r>
      <w:r w:rsidRPr="00261EDA">
        <w:rPr>
          <w:i/>
          <w:iCs/>
          <w:color w:val="auto"/>
          <w:szCs w:val="20"/>
        </w:rPr>
        <w:t>Cfr</w:t>
      </w:r>
      <w:r w:rsidRPr="00261EDA">
        <w:rPr>
          <w:color w:val="auto"/>
          <w:szCs w:val="20"/>
        </w:rPr>
        <w:t>. Corte Constitucional, sentencias C-826 de 2008, reiterada en las sentencias C-002 de 2018, C-240 de 2014, C-886 de 2010.</w:t>
      </w:r>
    </w:p>
  </w:footnote>
  <w:footnote w:id="153">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w:t>
      </w:r>
      <w:r w:rsidRPr="00261EDA">
        <w:rPr>
          <w:color w:val="auto"/>
          <w:szCs w:val="20"/>
        </w:rPr>
        <w:t xml:space="preserve">345 de 2019. </w:t>
      </w:r>
    </w:p>
  </w:footnote>
  <w:footnote w:id="154">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C-304 de 2019. </w:t>
      </w:r>
    </w:p>
  </w:footnote>
  <w:footnote w:id="155">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C-734 de 2002 y C-056 de 2019.</w:t>
      </w:r>
    </w:p>
  </w:footnote>
  <w:footnote w:id="156">
    <w:p w:rsidR="00D47B3A" w:rsidRPr="00261EDA" w:rsidRDefault="000149EE" w:rsidP="006145AE">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C-221 de 2019 y C-405 de 2023.</w:t>
      </w:r>
    </w:p>
  </w:footnote>
  <w:footnote w:id="157">
    <w:p w:rsidR="0095341E" w:rsidRDefault="000149EE">
      <w:pPr>
        <w:pStyle w:val="Textonotapie"/>
      </w:pPr>
      <w:r>
        <w:rPr>
          <w:rStyle w:val="Refdenotaalpie"/>
        </w:rPr>
        <w:footnoteRef/>
      </w:r>
      <w:r>
        <w:t xml:space="preserve"> L</w:t>
      </w:r>
      <w:r w:rsidRPr="0095341E">
        <w:t>a Sala</w:t>
      </w:r>
      <w:r>
        <w:t xml:space="preserve"> reitera que, como fue indicado en el estudio de ap</w:t>
      </w:r>
      <w:r>
        <w:t xml:space="preserve">titud (párr. 53 </w:t>
      </w:r>
      <w:r>
        <w:rPr>
          <w:i/>
          <w:iCs/>
        </w:rPr>
        <w:t>supra</w:t>
      </w:r>
      <w:r>
        <w:t>),</w:t>
      </w:r>
      <w:r w:rsidRPr="0095341E">
        <w:t xml:space="preserve"> estudiará la presunta vulneración de los principios de igualdad y equidad tributaria, en forma conjunta. Esto, por cuanto los cuestionamientos de la demanda están dirigidos contra las mismas disposiciones demandadas. Además, aun cua</w:t>
      </w:r>
      <w:r w:rsidRPr="0095341E">
        <w:t>ndo la demandante formuló dos cargos y los principios de igualdad y equidad tributaria tienen autonomía conceptual, lo cierto es que el fundamento de las acusaciones es el mismo: el presunto trato disímil injustificado entre usuarios industriales de zona f</w:t>
      </w:r>
      <w:r w:rsidRPr="0095341E">
        <w:t>ranca en cuanto a la tarifa aplicable al impuesto sobre la renta.</w:t>
      </w:r>
    </w:p>
  </w:footnote>
  <w:footnote w:id="158">
    <w:p w:rsidR="00D47B3A" w:rsidRPr="0095341E" w:rsidRDefault="000149EE">
      <w:pPr>
        <w:pStyle w:val="Textonotapie"/>
      </w:pPr>
      <w:r w:rsidRPr="0095341E">
        <w:rPr>
          <w:rStyle w:val="Refdenotaalpie"/>
        </w:rPr>
        <w:footnoteRef/>
      </w:r>
      <w:r w:rsidRPr="0095341E">
        <w:t xml:space="preserve"> La Sala resalta que, por regla general, el criterio de comparación en el test de igualdad debe fijarse en función de la finalidad de la norma. Sin embargo, en aquellos casos en los que se </w:t>
      </w:r>
      <w:r w:rsidRPr="0095341E">
        <w:t>cuestiona la razonabilidad del criterio de diferenciación que fijó el legislador de una norma tributaria, la Corte puede acudir a otros elementos para llevar a cabo el estudio de comparabilidad, tales como la naturaleza jurídica de los sujetos y su capacid</w:t>
      </w:r>
      <w:r w:rsidRPr="0095341E">
        <w:t xml:space="preserve">ad contributiva. Lo anterior, con el propósito de resolver el cargo y el problema jurídico en toda su dimensión constitucional. </w:t>
      </w:r>
    </w:p>
  </w:footnote>
  <w:footnote w:id="159">
    <w:p w:rsidR="00D47B3A" w:rsidRDefault="000149EE">
      <w:pPr>
        <w:pStyle w:val="Textonotapie"/>
      </w:pPr>
      <w:r w:rsidRPr="0095341E">
        <w:rPr>
          <w:rStyle w:val="Refdenotaalpie"/>
        </w:rPr>
        <w:footnoteRef/>
      </w:r>
      <w:r w:rsidRPr="0095341E">
        <w:t xml:space="preserve"> Corte Constitucional, sentencias C-057 y C-203 de 2021. Ver también, Corte Constitucional, sentencia C-540 de 2023</w:t>
      </w:r>
      <w:r>
        <w:t>.</w:t>
      </w:r>
    </w:p>
  </w:footnote>
  <w:footnote w:id="160">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Numerales 1 a 8 del inciso 5 del artículo 4 del Decreto 2147 de 2016: “El usuario industrial de servicios es la persona jurídica autorizada para desarrollar, exclusivamente, en una o varias zonas francas, entre otras, las siguientes actividades: 1. Logíst</w:t>
      </w:r>
      <w:r w:rsidRPr="00261EDA">
        <w:rPr>
          <w:color w:val="auto"/>
          <w:szCs w:val="20"/>
        </w:rPr>
        <w:t>ica, transporte, manipulación, distribución, empaque, reempaque, envase, etiquetado o clasificación. 2. Telecomunicaciones, sistemas de tecnología de la información para captura, procesamiento, almacenamiento y transmisión de datos, y organización, gestión</w:t>
      </w:r>
      <w:r w:rsidRPr="00261EDA">
        <w:rPr>
          <w:color w:val="auto"/>
          <w:szCs w:val="20"/>
        </w:rPr>
        <w:t xml:space="preserve"> u operación de bases de datos. 3. Investigación científica y tecnológica. 4. Asistencia médica, odontológica y en general de salud. 5. Turismo. 6. Reparación, limpieza o pruebas de calidad de bienes. 7. Soporte técnico, mantenimiento y reparación de equip</w:t>
      </w:r>
      <w:r w:rsidRPr="00261EDA">
        <w:rPr>
          <w:color w:val="auto"/>
          <w:szCs w:val="20"/>
        </w:rPr>
        <w:t xml:space="preserve">os, naves, aeronaves o maquinaria. 8. Auditoría, administración, corretaje, consultoría o similares”. </w:t>
      </w:r>
    </w:p>
  </w:footnote>
  <w:footnote w:id="161">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C-315 de 2022. </w:t>
      </w:r>
    </w:p>
  </w:footnote>
  <w:footnote w:id="162">
    <w:p w:rsidR="00D47B3A" w:rsidRPr="0095341E" w:rsidRDefault="000149EE" w:rsidP="003D5BB5">
      <w:pPr>
        <w:pStyle w:val="Textonotapie"/>
        <w:rPr>
          <w:color w:val="auto"/>
          <w:szCs w:val="20"/>
        </w:rPr>
      </w:pPr>
      <w:r w:rsidRPr="0095341E">
        <w:rPr>
          <w:rStyle w:val="Refdenotaalpie"/>
          <w:color w:val="auto"/>
          <w:szCs w:val="20"/>
        </w:rPr>
        <w:footnoteRef/>
      </w:r>
      <w:r w:rsidRPr="0095341E">
        <w:rPr>
          <w:color w:val="auto"/>
          <w:szCs w:val="20"/>
        </w:rPr>
        <w:t xml:space="preserve"> Exposición de motivos del MHCP publicada en la Gaceta 917 de 12 de agosto de 2022, p. 8.</w:t>
      </w:r>
    </w:p>
  </w:footnote>
  <w:footnote w:id="163">
    <w:p w:rsidR="00D47B3A" w:rsidRPr="0095341E" w:rsidRDefault="000149EE">
      <w:pPr>
        <w:pStyle w:val="Textonotapie"/>
      </w:pPr>
      <w:r w:rsidRPr="0095341E">
        <w:rPr>
          <w:rStyle w:val="Refdenotaalpie"/>
        </w:rPr>
        <w:footnoteRef/>
      </w:r>
      <w:r w:rsidRPr="0095341E">
        <w:t xml:space="preserve"> El ejemplo</w:t>
      </w:r>
      <w:r w:rsidRPr="0095341E">
        <w:t xml:space="preserve"> propuesto por la DIAN: “supóngase que las rentas determinadas de acuerdo con el artículo 26 del Estatuto Tributario, de un usuario industrial de zona franca son $100. Ahora, los ingresos por concepto de exportaciones de bienes y servicios de ese usuario, </w:t>
      </w:r>
      <w:r w:rsidRPr="0095341E">
        <w:t>excluyendo las ganancias ocasionales, son $55. El total de ingresos fiscales del usuario industrial de zona franca son $200. En este escenario, de acuerdo con la regla fijada en el numeral 1 en comento, de los $100 de renta líquida gravable solo $27.5 se s</w:t>
      </w:r>
      <w:r w:rsidRPr="0095341E">
        <w:t>ometen a la tarifa del 20% y el resto de la renta líquida gravable; es decir, $72.5 se grava a la tarifa general prevista en el artículo 240 del Estatuto Tributario. El valor de $27.5 es el resultado de la siguiente operación: $55 (ingresos por exportacion</w:t>
      </w:r>
      <w:r w:rsidRPr="0095341E">
        <w:t>es) /$200 (ingresos fiscales totales) *$100 = $27.5”. Intervención de la DIAN, p. 15. En este caso, el impuesto sobre la renta de este usuario industrial exportador sería de $30.8. Este es el resultado de la siguiente operación: 27.5 x 0.2 = 5.5 y 72.5 x 0</w:t>
      </w:r>
      <w:r w:rsidRPr="0095341E">
        <w:t>.35 = 25.37, de manera que 5.5 + 25.37 = 30.8.</w:t>
      </w:r>
    </w:p>
  </w:footnote>
  <w:footnote w:id="164">
    <w:p w:rsidR="00D47B3A" w:rsidRPr="00261EDA" w:rsidRDefault="000149EE" w:rsidP="004649DA">
      <w:pPr>
        <w:pStyle w:val="Textonotapie"/>
        <w:rPr>
          <w:color w:val="auto"/>
          <w:szCs w:val="20"/>
        </w:rPr>
      </w:pPr>
      <w:r w:rsidRPr="0095341E">
        <w:rPr>
          <w:rStyle w:val="Refdenotaalpie"/>
          <w:color w:val="auto"/>
          <w:szCs w:val="20"/>
        </w:rPr>
        <w:footnoteRef/>
      </w:r>
      <w:r w:rsidRPr="0095341E">
        <w:rPr>
          <w:color w:val="auto"/>
          <w:szCs w:val="20"/>
        </w:rPr>
        <w:t xml:space="preserve"> Este es el resultado de la siguiente operación: 200 (ingresos por exportación) ÷ 200 (ingresos fiscales totales) x 100 (renta líquida gravable) = 100 y 100 x 0.20= 20.</w:t>
      </w:r>
    </w:p>
  </w:footnote>
  <w:footnote w:id="165">
    <w:p w:rsidR="00D47B3A" w:rsidRPr="00261EDA" w:rsidRDefault="000149EE" w:rsidP="0086599A">
      <w:pPr>
        <w:pStyle w:val="Textonotapie"/>
        <w:rPr>
          <w:color w:val="auto"/>
          <w:szCs w:val="20"/>
        </w:rPr>
      </w:pPr>
      <w:r w:rsidRPr="00261EDA">
        <w:rPr>
          <w:rStyle w:val="Refdenotaalpie"/>
          <w:color w:val="auto"/>
          <w:szCs w:val="20"/>
        </w:rPr>
        <w:footnoteRef/>
      </w:r>
      <w:r w:rsidRPr="00261EDA">
        <w:rPr>
          <w:color w:val="auto"/>
          <w:szCs w:val="20"/>
        </w:rPr>
        <w:t xml:space="preserve"> Este es el resultado de la siguiente </w:t>
      </w:r>
      <w:r w:rsidRPr="00261EDA">
        <w:rPr>
          <w:color w:val="auto"/>
          <w:szCs w:val="20"/>
        </w:rPr>
        <w:t>operación: 200 (ingresos con origen distinto a exportación) ÷ 200 (ingresos fiscales totales) x 100 (renta líquida gravable) = 100 y 100 x 0.35= 35.</w:t>
      </w:r>
    </w:p>
  </w:footnote>
  <w:footnote w:id="166">
    <w:p w:rsidR="00D47B3A" w:rsidRDefault="000149EE">
      <w:pPr>
        <w:pStyle w:val="Textonotapie"/>
      </w:pPr>
      <w:r>
        <w:rPr>
          <w:rStyle w:val="Refdenotaalpie"/>
        </w:rPr>
        <w:footnoteRef/>
      </w:r>
      <w:r>
        <w:t xml:space="preserve"> Este trato </w:t>
      </w:r>
      <w:r w:rsidRPr="00881265">
        <w:t xml:space="preserve">diferente </w:t>
      </w:r>
      <w:r>
        <w:t xml:space="preserve">es </w:t>
      </w:r>
      <w:r w:rsidRPr="00321200">
        <w:rPr>
          <w:i/>
          <w:iCs/>
        </w:rPr>
        <w:t>(i)</w:t>
      </w:r>
      <w:r w:rsidRPr="00881265">
        <w:t xml:space="preserve"> favorable para a los usuarios que obtienen ingresos por exportación y, además</w:t>
      </w:r>
      <w:r w:rsidRPr="00881265">
        <w:t xml:space="preserve">, suscriben y cumplen el PIAV y </w:t>
      </w:r>
      <w:r w:rsidRPr="00321200">
        <w:rPr>
          <w:i/>
          <w:iCs/>
        </w:rPr>
        <w:t>(ii)</w:t>
      </w:r>
      <w:r w:rsidRPr="00881265">
        <w:t xml:space="preserve"> desfavorable para los usuarios que no perciben ingreso de actividades exportación o que no suscriban o incumplan el PIAV</w:t>
      </w:r>
      <w:r>
        <w:t xml:space="preserve">. </w:t>
      </w:r>
    </w:p>
  </w:footnote>
  <w:footnote w:id="167">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C-345 de 2019. Ver también, las sentencias C-304 de 2019 y C-1</w:t>
      </w:r>
      <w:r w:rsidRPr="00261EDA">
        <w:rPr>
          <w:color w:val="auto"/>
          <w:szCs w:val="20"/>
        </w:rPr>
        <w:t xml:space="preserve">61 de 2021, en la que la Corte aplicó un juicio de intensidad leve para examinar el trato diferente entre contribuyentes en cuanto al acceso a beneficios tributarios previstos en la ley. </w:t>
      </w:r>
    </w:p>
  </w:footnote>
  <w:footnote w:id="168">
    <w:p w:rsidR="00D47B3A" w:rsidRPr="0095341E"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Como se expuso, el ICDT argumenta que para examinar la constitucio</w:t>
      </w:r>
      <w:r w:rsidRPr="00261EDA">
        <w:rPr>
          <w:color w:val="auto"/>
          <w:szCs w:val="20"/>
        </w:rPr>
        <w:t>nalidad del trato diferente, la Corte debía aplicar un juicio de igualdad de intensidad intermedia puesto que existía “un indicio de trato discriminatorio</w:t>
      </w:r>
      <w:r w:rsidRPr="0095341E">
        <w:rPr>
          <w:color w:val="auto"/>
          <w:szCs w:val="20"/>
        </w:rPr>
        <w:t>” , puesto que la norma preveía un beneficio fiscal (menor tarifa del impuesto a la renta) para un gru</w:t>
      </w:r>
      <w:r w:rsidRPr="0095341E">
        <w:rPr>
          <w:color w:val="auto"/>
          <w:szCs w:val="20"/>
        </w:rPr>
        <w:t xml:space="preserve">po de contribuyentes (ver párr. 19 </w:t>
      </w:r>
      <w:r w:rsidRPr="0095341E">
        <w:rPr>
          <w:i/>
          <w:iCs/>
          <w:color w:val="auto"/>
          <w:szCs w:val="20"/>
        </w:rPr>
        <w:t>supra</w:t>
      </w:r>
      <w:r w:rsidRPr="0095341E">
        <w:rPr>
          <w:color w:val="auto"/>
          <w:szCs w:val="20"/>
        </w:rPr>
        <w:t xml:space="preserve">). </w:t>
      </w:r>
    </w:p>
  </w:footnote>
  <w:footnote w:id="169">
    <w:p w:rsidR="00D47B3A" w:rsidRPr="0095341E" w:rsidRDefault="000149EE" w:rsidP="005D2389">
      <w:pPr>
        <w:pStyle w:val="Textonotapie"/>
      </w:pPr>
      <w:r w:rsidRPr="0095341E">
        <w:rPr>
          <w:rStyle w:val="Refdenotaalpie"/>
        </w:rPr>
        <w:footnoteRef/>
      </w:r>
      <w:r w:rsidRPr="0095341E">
        <w:t xml:space="preserve"> En estos términos, en el presente asunto, a diferencia de lo que constató la Sala en casos como los analizados en las sentencias C-129 de 2018 y C-161 de 2021, no se analizan disposiciones que graven “sólo a ci</w:t>
      </w:r>
      <w:r w:rsidRPr="0095341E">
        <w:t>ertos contribuyentes y no a otros aunque, prima facie, son competidores en condiciones similares; por lo que la intervención del Estado puede calificarse como arbitraria, inaceptable o no soportable”.</w:t>
      </w:r>
    </w:p>
  </w:footnote>
  <w:footnote w:id="170">
    <w:p w:rsidR="00D47B3A" w:rsidRPr="00261EDA" w:rsidRDefault="000149EE" w:rsidP="003D5BB5">
      <w:pPr>
        <w:pStyle w:val="Textonotapie"/>
        <w:rPr>
          <w:color w:val="auto"/>
          <w:szCs w:val="20"/>
        </w:rPr>
      </w:pPr>
      <w:r w:rsidRPr="0095341E">
        <w:rPr>
          <w:rStyle w:val="Refdenotaalpie"/>
          <w:color w:val="auto"/>
          <w:szCs w:val="20"/>
        </w:rPr>
        <w:footnoteRef/>
      </w:r>
      <w:r w:rsidRPr="0095341E">
        <w:rPr>
          <w:color w:val="auto"/>
          <w:szCs w:val="20"/>
        </w:rPr>
        <w:t xml:space="preserve"> Corte Constitucional, sentencias C-543 de 2007 y</w:t>
      </w:r>
      <w:r w:rsidRPr="00261EDA">
        <w:rPr>
          <w:color w:val="auto"/>
          <w:szCs w:val="20"/>
        </w:rPr>
        <w:t xml:space="preserve"> C-86</w:t>
      </w:r>
      <w:r w:rsidRPr="00261EDA">
        <w:rPr>
          <w:color w:val="auto"/>
          <w:szCs w:val="20"/>
        </w:rPr>
        <w:t xml:space="preserve">2 de 2008. </w:t>
      </w:r>
    </w:p>
  </w:footnote>
  <w:footnote w:id="171">
    <w:p w:rsidR="00D47B3A" w:rsidRPr="00261EDA" w:rsidRDefault="000149EE" w:rsidP="003D5BB5">
      <w:pPr>
        <w:pStyle w:val="Textonotapie"/>
        <w:rPr>
          <w:color w:val="auto"/>
          <w:szCs w:val="20"/>
          <w:lang w:val="es-MX"/>
        </w:rPr>
      </w:pPr>
      <w:r w:rsidRPr="00261EDA">
        <w:rPr>
          <w:rStyle w:val="Refdenotaalpie"/>
          <w:color w:val="auto"/>
          <w:szCs w:val="20"/>
        </w:rPr>
        <w:footnoteRef/>
      </w:r>
      <w:r w:rsidRPr="00261EDA">
        <w:rPr>
          <w:color w:val="auto"/>
          <w:szCs w:val="20"/>
        </w:rPr>
        <w:t xml:space="preserve"> “Por medio de la cual se adopta una reforma tributaria para la igualdad y la justicia social y se dictan otras disposiciones”.</w:t>
      </w:r>
    </w:p>
  </w:footnote>
  <w:footnote w:id="172">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Exposición de motivos del MHCP publicada en la Gaceta 917 de 12 de agosto de 2022, p. 15.</w:t>
      </w:r>
    </w:p>
  </w:footnote>
  <w:footnote w:id="173">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Intervención del MHCP, p. 6. </w:t>
      </w:r>
    </w:p>
  </w:footnote>
  <w:footnote w:id="174">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Intervención del MHCP, p. 6.</w:t>
      </w:r>
    </w:p>
  </w:footnote>
  <w:footnote w:id="175">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sentencias C-478 de 1998, C-304 de 2019 y </w:t>
      </w:r>
      <w:r w:rsidRPr="00261EDA">
        <w:rPr>
          <w:bCs/>
          <w:color w:val="auto"/>
          <w:szCs w:val="20"/>
        </w:rPr>
        <w:t>C-384 de 2023.</w:t>
      </w:r>
    </w:p>
  </w:footnote>
  <w:footnote w:id="176">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C-304 de 2019.</w:t>
      </w:r>
    </w:p>
  </w:footnote>
  <w:footnote w:id="177">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C-674 de 2002.</w:t>
      </w:r>
    </w:p>
  </w:footnote>
  <w:footnote w:id="178">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C-536 de 1999.</w:t>
      </w:r>
    </w:p>
  </w:footnote>
  <w:footnote w:id="179">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C-674 de 2002.</w:t>
      </w:r>
    </w:p>
  </w:footnote>
  <w:footnote w:id="180">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C-198 de 2012.</w:t>
      </w:r>
    </w:p>
  </w:footnote>
  <w:footnote w:id="181">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Concepto de la Procuradora General de la Nación, p. 4.</w:t>
      </w:r>
    </w:p>
  </w:footnote>
  <w:footnote w:id="182">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Corte Constitucional, sentencia C-384 de 2023. </w:t>
      </w:r>
    </w:p>
  </w:footnote>
  <w:footnote w:id="183">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I</w:t>
      </w:r>
      <w:r w:rsidRPr="00261EDA">
        <w:rPr>
          <w:color w:val="auto"/>
          <w:szCs w:val="20"/>
        </w:rPr>
        <w:t xml:space="preserve">b. </w:t>
      </w:r>
    </w:p>
  </w:footnote>
  <w:footnote w:id="184">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Ib.</w:t>
      </w:r>
    </w:p>
  </w:footnote>
  <w:footnote w:id="185">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Ib. </w:t>
      </w:r>
    </w:p>
  </w:footnote>
  <w:footnote w:id="186">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w:t>
      </w:r>
      <w:r w:rsidRPr="00C03F35">
        <w:rPr>
          <w:color w:val="auto"/>
          <w:szCs w:val="20"/>
        </w:rPr>
        <w:t xml:space="preserve">Corte Constitucional, sentencia </w:t>
      </w:r>
      <w:r w:rsidRPr="00261EDA">
        <w:rPr>
          <w:color w:val="auto"/>
          <w:szCs w:val="20"/>
        </w:rPr>
        <w:t xml:space="preserve">C-1064 de 2001, reiterada en la sentencia C-100 de 2013. </w:t>
      </w:r>
    </w:p>
  </w:footnote>
  <w:footnote w:id="187">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w:t>
      </w:r>
      <w:r w:rsidRPr="00840E46">
        <w:rPr>
          <w:color w:val="auto"/>
          <w:szCs w:val="20"/>
        </w:rPr>
        <w:t xml:space="preserve">Corte Constitucional, sentencia </w:t>
      </w:r>
      <w:r w:rsidRPr="00261EDA">
        <w:rPr>
          <w:color w:val="auto"/>
          <w:szCs w:val="20"/>
        </w:rPr>
        <w:t>C-304 de 2019.</w:t>
      </w:r>
    </w:p>
  </w:footnote>
  <w:footnote w:id="188">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w:t>
      </w:r>
      <w:r w:rsidRPr="00840E46">
        <w:rPr>
          <w:color w:val="auto"/>
          <w:szCs w:val="20"/>
        </w:rPr>
        <w:t>Corte Constitucional, sentencia</w:t>
      </w:r>
      <w:r>
        <w:rPr>
          <w:color w:val="auto"/>
          <w:szCs w:val="20"/>
        </w:rPr>
        <w:t>s</w:t>
      </w:r>
      <w:r w:rsidRPr="00840E46">
        <w:rPr>
          <w:color w:val="auto"/>
          <w:szCs w:val="20"/>
        </w:rPr>
        <w:t xml:space="preserve"> </w:t>
      </w:r>
      <w:r w:rsidRPr="00261EDA">
        <w:rPr>
          <w:color w:val="auto"/>
          <w:szCs w:val="20"/>
        </w:rPr>
        <w:t>C-606 de 2019 y C-056 de 2019.</w:t>
      </w:r>
    </w:p>
  </w:footnote>
  <w:footnote w:id="189">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w:t>
      </w:r>
      <w:r w:rsidRPr="00840E46">
        <w:rPr>
          <w:color w:val="auto"/>
          <w:szCs w:val="20"/>
        </w:rPr>
        <w:t>Corte Constitucional, sentenci</w:t>
      </w:r>
      <w:r w:rsidRPr="00840E46">
        <w:rPr>
          <w:color w:val="auto"/>
          <w:szCs w:val="20"/>
        </w:rPr>
        <w:t xml:space="preserve">a </w:t>
      </w:r>
      <w:r w:rsidRPr="00261EDA">
        <w:rPr>
          <w:color w:val="auto"/>
          <w:szCs w:val="20"/>
        </w:rPr>
        <w:t xml:space="preserve">C-056 de 2019. Ver también sentencias </w:t>
      </w:r>
      <w:r w:rsidRPr="00261EDA">
        <w:rPr>
          <w:color w:val="auto"/>
          <w:szCs w:val="20"/>
          <w:lang w:val="es-ES"/>
        </w:rPr>
        <w:t>y C-600 de 2015 y C-169 de 2014.</w:t>
      </w:r>
    </w:p>
  </w:footnote>
  <w:footnote w:id="190">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De la misma forma, en su escrito de intervención, la </w:t>
      </w:r>
      <w:r w:rsidRPr="00261EDA">
        <w:rPr>
          <w:iCs/>
          <w:color w:val="auto"/>
          <w:szCs w:val="20"/>
        </w:rPr>
        <w:t>DIAN manifestó que la medida demandada “innegablemente es un medio adecuado para alcanzar el crecimiento económico que provea al</w:t>
      </w:r>
      <w:r w:rsidRPr="00261EDA">
        <w:rPr>
          <w:iCs/>
          <w:color w:val="auto"/>
          <w:szCs w:val="20"/>
        </w:rPr>
        <w:t xml:space="preserve"> Estado de los medios necesarios para atender su política social y mejorar las condiciones de vida de la población”.</w:t>
      </w:r>
    </w:p>
  </w:footnote>
  <w:footnote w:id="191">
    <w:p w:rsidR="00D47B3A" w:rsidRPr="00261EDA"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Concepto de la Procuradora General de la Nación, p. 4.</w:t>
      </w:r>
    </w:p>
  </w:footnote>
  <w:footnote w:id="192">
    <w:p w:rsidR="00D47B3A" w:rsidRPr="0095341E" w:rsidRDefault="000149EE" w:rsidP="003D5BB5">
      <w:pPr>
        <w:pStyle w:val="Textonotapie"/>
        <w:rPr>
          <w:color w:val="auto"/>
          <w:szCs w:val="20"/>
        </w:rPr>
      </w:pPr>
      <w:r w:rsidRPr="00261EDA">
        <w:rPr>
          <w:rStyle w:val="Refdenotaalpie"/>
          <w:color w:val="auto"/>
          <w:szCs w:val="20"/>
        </w:rPr>
        <w:footnoteRef/>
      </w:r>
      <w:r w:rsidRPr="00261EDA">
        <w:rPr>
          <w:color w:val="auto"/>
          <w:szCs w:val="20"/>
        </w:rPr>
        <w:t xml:space="preserve"> Se puede consultar en el </w:t>
      </w:r>
      <w:r w:rsidRPr="0095341E">
        <w:rPr>
          <w:color w:val="auto"/>
          <w:szCs w:val="20"/>
        </w:rPr>
        <w:t xml:space="preserve">siguiente enlace: </w:t>
      </w:r>
      <w:hyperlink r:id="rId1" w:history="1">
        <w:r w:rsidRPr="0095341E">
          <w:rPr>
            <w:color w:val="auto"/>
            <w:szCs w:val="20"/>
          </w:rPr>
          <w:t>https://www.dane.gov.co/files/operaciones/ZF/bol-ZF-jun2023.pdf</w:t>
        </w:r>
      </w:hyperlink>
      <w:r w:rsidRPr="0095341E">
        <w:rPr>
          <w:color w:val="auto"/>
          <w:szCs w:val="20"/>
        </w:rPr>
        <w:t xml:space="preserve"> </w:t>
      </w:r>
    </w:p>
  </w:footnote>
  <w:footnote w:id="193">
    <w:p w:rsidR="00D47B3A" w:rsidRDefault="000149EE">
      <w:pPr>
        <w:pStyle w:val="Textonotapie"/>
      </w:pPr>
      <w:r w:rsidRPr="0095341E">
        <w:rPr>
          <w:rStyle w:val="Refdenotaalpie"/>
        </w:rPr>
        <w:footnoteRef/>
      </w:r>
      <w:r w:rsidRPr="0095341E">
        <w:t xml:space="preserve"> DANE, </w:t>
      </w:r>
      <w:r w:rsidRPr="0095341E">
        <w:rPr>
          <w:bCs/>
          <w:iCs/>
          <w:lang w:val="es-ES"/>
        </w:rPr>
        <w:t>boletín técnico de Comercio Exterior y Movimiento de Mercancías de Zonas Francas de diciembre de 2023, p.</w:t>
      </w:r>
      <w:r w:rsidRPr="0095341E">
        <w:rPr>
          <w:bCs/>
          <w:iCs/>
          <w:lang w:val="es-ES"/>
        </w:rPr>
        <w:t xml:space="preserve"> 4. Disponible en: https://www.dane.gov.co/files/operaciones/ZF/bol-ZF-dic2023.pdf</w:t>
      </w:r>
      <w:r>
        <w:rPr>
          <w:bCs/>
          <w:iCs/>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6F1F"/>
    <w:multiLevelType w:val="hybridMultilevel"/>
    <w:tmpl w:val="CDFE2F8E"/>
    <w:lvl w:ilvl="0" w:tplc="52D07528">
      <w:start w:val="1"/>
      <w:numFmt w:val="lowerRoman"/>
      <w:lvlText w:val="(%1)"/>
      <w:lvlJc w:val="left"/>
      <w:pPr>
        <w:ind w:left="1080" w:hanging="720"/>
      </w:pPr>
      <w:rPr>
        <w:rFonts w:hint="default"/>
      </w:rPr>
    </w:lvl>
    <w:lvl w:ilvl="1" w:tplc="E20C7024">
      <w:start w:val="1"/>
      <w:numFmt w:val="lowerLetter"/>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EE3561"/>
    <w:multiLevelType w:val="hybridMultilevel"/>
    <w:tmpl w:val="9D148A38"/>
    <w:lvl w:ilvl="0" w:tplc="24F406BA">
      <w:start w:val="1"/>
      <w:numFmt w:val="lowerRoman"/>
      <w:lvlText w:val="(%1)"/>
      <w:lvlJc w:val="left"/>
      <w:pPr>
        <w:ind w:left="1080" w:hanging="72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E05615"/>
    <w:multiLevelType w:val="hybridMultilevel"/>
    <w:tmpl w:val="6972CDE4"/>
    <w:lvl w:ilvl="0" w:tplc="3926D66C">
      <w:start w:val="1"/>
      <w:numFmt w:val="lowerRoman"/>
      <w:lvlText w:val="(%1)"/>
      <w:lvlJc w:val="left"/>
      <w:pPr>
        <w:ind w:left="1080" w:hanging="72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C469C1"/>
    <w:multiLevelType w:val="hybridMultilevel"/>
    <w:tmpl w:val="D8EC85BA"/>
    <w:lvl w:ilvl="0" w:tplc="CE02D078">
      <w:start w:val="1"/>
      <w:numFmt w:val="lowerRoman"/>
      <w:lvlText w:val="(%1)"/>
      <w:lvlJc w:val="left"/>
      <w:pPr>
        <w:ind w:left="1080" w:hanging="720"/>
      </w:pPr>
      <w:rPr>
        <w:rFonts w:hint="default"/>
        <w:b/>
        <w:bCs/>
      </w:rPr>
    </w:lvl>
    <w:lvl w:ilvl="1" w:tplc="FFFFFFFF">
      <w:start w:val="1"/>
      <w:numFmt w:val="lowerLetter"/>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A3232A"/>
    <w:multiLevelType w:val="hybridMultilevel"/>
    <w:tmpl w:val="F6D6F2CE"/>
    <w:lvl w:ilvl="0" w:tplc="7DFCA3DA">
      <w:start w:val="1"/>
      <w:numFmt w:val="lowerRoman"/>
      <w:lvlText w:val="(%1)"/>
      <w:lvlJc w:val="left"/>
      <w:pPr>
        <w:ind w:left="720" w:hanging="360"/>
      </w:pPr>
      <w:rPr>
        <w:rFonts w:hint="default"/>
        <w:i w:val="0"/>
        <w:i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757EBB"/>
    <w:multiLevelType w:val="hybridMultilevel"/>
    <w:tmpl w:val="16867016"/>
    <w:lvl w:ilvl="0" w:tplc="54DCDFEA">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B68F6"/>
    <w:multiLevelType w:val="hybridMultilevel"/>
    <w:tmpl w:val="394204B0"/>
    <w:lvl w:ilvl="0" w:tplc="42CE565C">
      <w:start w:val="1"/>
      <w:numFmt w:val="decimal"/>
      <w:lvlText w:val="%1."/>
      <w:lvlJc w:val="left"/>
      <w:pPr>
        <w:ind w:left="720" w:hanging="360"/>
      </w:pPr>
      <w:rPr>
        <w:rFonts w:ascii="Times New Roman" w:eastAsia="Times New Roman" w:hAnsi="Times New Roman"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903CDE"/>
    <w:multiLevelType w:val="hybridMultilevel"/>
    <w:tmpl w:val="2D70A460"/>
    <w:lvl w:ilvl="0" w:tplc="6D14021E">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F7370C"/>
    <w:multiLevelType w:val="hybridMultilevel"/>
    <w:tmpl w:val="411EA508"/>
    <w:lvl w:ilvl="0" w:tplc="C58C3076">
      <w:start w:val="1"/>
      <w:numFmt w:val="lowerRoman"/>
      <w:lvlText w:val="(%1)"/>
      <w:lvlJc w:val="left"/>
      <w:pPr>
        <w:ind w:left="756" w:hanging="720"/>
      </w:pPr>
      <w:rPr>
        <w:rFonts w:hint="default"/>
        <w:i w:val="0"/>
        <w:iCs/>
      </w:rPr>
    </w:lvl>
    <w:lvl w:ilvl="1" w:tplc="240A0019" w:tentative="1">
      <w:start w:val="1"/>
      <w:numFmt w:val="lowerLetter"/>
      <w:lvlText w:val="%2."/>
      <w:lvlJc w:val="left"/>
      <w:pPr>
        <w:ind w:left="1116" w:hanging="360"/>
      </w:pPr>
    </w:lvl>
    <w:lvl w:ilvl="2" w:tplc="240A001B" w:tentative="1">
      <w:start w:val="1"/>
      <w:numFmt w:val="lowerRoman"/>
      <w:lvlText w:val="%3."/>
      <w:lvlJc w:val="right"/>
      <w:pPr>
        <w:ind w:left="1836" w:hanging="180"/>
      </w:pPr>
    </w:lvl>
    <w:lvl w:ilvl="3" w:tplc="240A000F" w:tentative="1">
      <w:start w:val="1"/>
      <w:numFmt w:val="decimal"/>
      <w:lvlText w:val="%4."/>
      <w:lvlJc w:val="left"/>
      <w:pPr>
        <w:ind w:left="2556" w:hanging="360"/>
      </w:pPr>
    </w:lvl>
    <w:lvl w:ilvl="4" w:tplc="240A0019" w:tentative="1">
      <w:start w:val="1"/>
      <w:numFmt w:val="lowerLetter"/>
      <w:lvlText w:val="%5."/>
      <w:lvlJc w:val="left"/>
      <w:pPr>
        <w:ind w:left="3276" w:hanging="360"/>
      </w:pPr>
    </w:lvl>
    <w:lvl w:ilvl="5" w:tplc="240A001B" w:tentative="1">
      <w:start w:val="1"/>
      <w:numFmt w:val="lowerRoman"/>
      <w:lvlText w:val="%6."/>
      <w:lvlJc w:val="right"/>
      <w:pPr>
        <w:ind w:left="3996" w:hanging="180"/>
      </w:pPr>
    </w:lvl>
    <w:lvl w:ilvl="6" w:tplc="240A000F" w:tentative="1">
      <w:start w:val="1"/>
      <w:numFmt w:val="decimal"/>
      <w:lvlText w:val="%7."/>
      <w:lvlJc w:val="left"/>
      <w:pPr>
        <w:ind w:left="4716" w:hanging="360"/>
      </w:pPr>
    </w:lvl>
    <w:lvl w:ilvl="7" w:tplc="240A0019" w:tentative="1">
      <w:start w:val="1"/>
      <w:numFmt w:val="lowerLetter"/>
      <w:lvlText w:val="%8."/>
      <w:lvlJc w:val="left"/>
      <w:pPr>
        <w:ind w:left="5436" w:hanging="360"/>
      </w:pPr>
    </w:lvl>
    <w:lvl w:ilvl="8" w:tplc="240A001B" w:tentative="1">
      <w:start w:val="1"/>
      <w:numFmt w:val="lowerRoman"/>
      <w:lvlText w:val="%9."/>
      <w:lvlJc w:val="right"/>
      <w:pPr>
        <w:ind w:left="6156" w:hanging="180"/>
      </w:pPr>
    </w:lvl>
  </w:abstractNum>
  <w:abstractNum w:abstractNumId="9" w15:restartNumberingAfterBreak="0">
    <w:nsid w:val="290B4FC8"/>
    <w:multiLevelType w:val="hybridMultilevel"/>
    <w:tmpl w:val="345AEDF0"/>
    <w:lvl w:ilvl="0" w:tplc="CEC28B36">
      <w:start w:val="1"/>
      <w:numFmt w:val="decimal"/>
      <w:lvlText w:val="%1."/>
      <w:lvlJc w:val="left"/>
      <w:pPr>
        <w:ind w:left="720" w:hanging="360"/>
      </w:pPr>
      <w:rPr>
        <w:rFonts w:ascii="Times New Roman" w:eastAsia="Times New Roman" w:hAnsi="Times New Roman" w:cs="Times New Roman"/>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6751E7"/>
    <w:multiLevelType w:val="hybridMultilevel"/>
    <w:tmpl w:val="B62AD6EC"/>
    <w:lvl w:ilvl="0" w:tplc="973EAA16">
      <w:start w:val="1"/>
      <w:numFmt w:val="decimal"/>
      <w:lvlText w:val="%1."/>
      <w:lvlJc w:val="left"/>
      <w:pPr>
        <w:ind w:left="720" w:hanging="360"/>
      </w:pPr>
      <w:rPr>
        <w:rFonts w:ascii="Times New Roman" w:eastAsia="Times New Roman" w:hAnsi="Times New Roman"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E13CC2"/>
    <w:multiLevelType w:val="hybridMultilevel"/>
    <w:tmpl w:val="402086CA"/>
    <w:lvl w:ilvl="0" w:tplc="724C412E">
      <w:start w:val="1"/>
      <w:numFmt w:val="lowerRoman"/>
      <w:lvlText w:val="(%1)"/>
      <w:lvlJc w:val="left"/>
      <w:pPr>
        <w:ind w:left="1571" w:hanging="720"/>
      </w:pPr>
      <w:rPr>
        <w:rFonts w:hint="default"/>
        <w:u w:val="none"/>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2" w15:restartNumberingAfterBreak="0">
    <w:nsid w:val="46FC7908"/>
    <w:multiLevelType w:val="hybridMultilevel"/>
    <w:tmpl w:val="6DF0F83C"/>
    <w:lvl w:ilvl="0" w:tplc="159A195E">
      <w:start w:val="1"/>
      <w:numFmt w:val="decimal"/>
      <w:lvlText w:val="%1."/>
      <w:lvlJc w:val="left"/>
      <w:pPr>
        <w:ind w:left="720" w:hanging="360"/>
      </w:pPr>
      <w:rPr>
        <w:rFonts w:cs="Times New Roman" w:hint="default"/>
        <w:color w:val="000000" w:themeColor="text1"/>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3" w15:restartNumberingAfterBreak="0">
    <w:nsid w:val="4B6E729A"/>
    <w:multiLevelType w:val="hybridMultilevel"/>
    <w:tmpl w:val="5E5EA744"/>
    <w:lvl w:ilvl="0" w:tplc="5C74381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C634EE"/>
    <w:multiLevelType w:val="multilevel"/>
    <w:tmpl w:val="B0228432"/>
    <w:lvl w:ilvl="0">
      <w:start w:val="1"/>
      <w:numFmt w:val="decimal"/>
      <w:lvlText w:val="%1."/>
      <w:lvlJc w:val="left"/>
      <w:pPr>
        <w:ind w:left="2629" w:hanging="360"/>
      </w:pPr>
      <w:rPr>
        <w:rFonts w:ascii="Times New Roman" w:hAnsi="Times New Roman" w:cs="Times New Roman" w:hint="default"/>
        <w:b w:val="0"/>
        <w:i w:val="0"/>
        <w:color w:val="000000"/>
        <w:sz w:val="28"/>
        <w:szCs w:val="28"/>
        <w:vertAlign w:val="baseline"/>
      </w:rPr>
    </w:lvl>
    <w:lvl w:ilvl="1">
      <w:start w:val="1"/>
      <w:numFmt w:val="decimal"/>
      <w:lvlText w:val="%1.%2."/>
      <w:lvlJc w:val="left"/>
      <w:pPr>
        <w:ind w:left="792" w:hanging="432"/>
      </w:pPr>
      <w:rPr>
        <w:rFonts w:cs="Times New Roman"/>
        <w:b w:val="0"/>
        <w:i w:val="0"/>
        <w:color w:val="000000"/>
        <w:sz w:val="28"/>
        <w:szCs w:val="28"/>
        <w:vertAlign w:val="baseline"/>
      </w:rPr>
    </w:lvl>
    <w:lvl w:ilvl="2">
      <w:start w:val="1"/>
      <w:numFmt w:val="decimal"/>
      <w:lvlText w:val="%1.%2.%3."/>
      <w:lvlJc w:val="left"/>
      <w:pPr>
        <w:ind w:left="1224" w:hanging="504"/>
      </w:pPr>
      <w:rPr>
        <w:rFonts w:cs="Times New Roman"/>
        <w:i w:val="0"/>
        <w:vertAlign w:val="baseline"/>
      </w:rPr>
    </w:lvl>
    <w:lvl w:ilvl="3">
      <w:start w:val="1"/>
      <w:numFmt w:val="decimal"/>
      <w:lvlText w:val="%1.%2.%3.%4."/>
      <w:lvlJc w:val="left"/>
      <w:pPr>
        <w:ind w:left="1728" w:hanging="647"/>
      </w:pPr>
      <w:rPr>
        <w:rFonts w:cs="Times New Roman"/>
        <w:i w:val="0"/>
        <w:vertAlign w:val="baseline"/>
      </w:rPr>
    </w:lvl>
    <w:lvl w:ilvl="4">
      <w:start w:val="1"/>
      <w:numFmt w:val="decimal"/>
      <w:lvlText w:val="%1.%2.%3.%4.%5."/>
      <w:lvlJc w:val="left"/>
      <w:pPr>
        <w:ind w:left="2232" w:hanging="792"/>
      </w:pPr>
      <w:rPr>
        <w:rFonts w:cs="Times New Roman"/>
        <w:vertAlign w:val="baseline"/>
      </w:rPr>
    </w:lvl>
    <w:lvl w:ilvl="5">
      <w:start w:val="1"/>
      <w:numFmt w:val="decimal"/>
      <w:lvlText w:val="%1.%2.%3.%4.%5.%6."/>
      <w:lvlJc w:val="left"/>
      <w:pPr>
        <w:ind w:left="2736" w:hanging="935"/>
      </w:pPr>
      <w:rPr>
        <w:rFonts w:cs="Times New Roman"/>
        <w:vertAlign w:val="baseline"/>
      </w:rPr>
    </w:lvl>
    <w:lvl w:ilvl="6">
      <w:start w:val="1"/>
      <w:numFmt w:val="decimal"/>
      <w:lvlText w:val="%1.%2.%3.%4.%5.%6.%7."/>
      <w:lvlJc w:val="left"/>
      <w:pPr>
        <w:ind w:left="3240" w:hanging="1080"/>
      </w:pPr>
      <w:rPr>
        <w:rFonts w:cs="Times New Roman"/>
        <w:vertAlign w:val="baseline"/>
      </w:rPr>
    </w:lvl>
    <w:lvl w:ilvl="7">
      <w:start w:val="1"/>
      <w:numFmt w:val="decimal"/>
      <w:lvlText w:val="%1.%2.%3.%4.%5.%6.%7.%8."/>
      <w:lvlJc w:val="left"/>
      <w:pPr>
        <w:ind w:left="3744" w:hanging="1224"/>
      </w:pPr>
      <w:rPr>
        <w:rFonts w:cs="Times New Roman"/>
        <w:vertAlign w:val="baseline"/>
      </w:rPr>
    </w:lvl>
    <w:lvl w:ilvl="8">
      <w:start w:val="1"/>
      <w:numFmt w:val="decimal"/>
      <w:lvlText w:val="%1.%2.%3.%4.%5.%6.%7.%8.%9."/>
      <w:lvlJc w:val="left"/>
      <w:pPr>
        <w:ind w:left="4320" w:hanging="1440"/>
      </w:pPr>
      <w:rPr>
        <w:rFonts w:cs="Times New Roman"/>
        <w:vertAlign w:val="baseline"/>
      </w:rPr>
    </w:lvl>
  </w:abstractNum>
  <w:abstractNum w:abstractNumId="15" w15:restartNumberingAfterBreak="0">
    <w:nsid w:val="4C687411"/>
    <w:multiLevelType w:val="multilevel"/>
    <w:tmpl w:val="65AABA46"/>
    <w:lvl w:ilvl="0">
      <w:start w:val="1"/>
      <w:numFmt w:val="decimal"/>
      <w:lvlText w:val="%1."/>
      <w:lvlJc w:val="left"/>
      <w:pPr>
        <w:ind w:left="720" w:hanging="360"/>
      </w:pPr>
      <w:rPr>
        <w:rFonts w:eastAsia="Calibri" w:hint="default"/>
        <w:b/>
        <w:bCs/>
        <w:i w:val="0"/>
      </w:rPr>
    </w:lvl>
    <w:lvl w:ilvl="1">
      <w:start w:val="1"/>
      <w:numFmt w:val="decimal"/>
      <w:isLgl/>
      <w:lvlText w:val="%1.%2."/>
      <w:lvlJc w:val="left"/>
      <w:pPr>
        <w:ind w:left="1080" w:hanging="720"/>
      </w:pPr>
      <w:rPr>
        <w:rFonts w:hint="default"/>
        <w:b/>
        <w:bCs/>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BA93BAD"/>
    <w:multiLevelType w:val="hybridMultilevel"/>
    <w:tmpl w:val="DD4E9A8C"/>
    <w:lvl w:ilvl="0" w:tplc="C04EE132">
      <w:start w:val="1"/>
      <w:numFmt w:val="upperRoman"/>
      <w:lvlText w:val="%1."/>
      <w:lvlJc w:val="left"/>
      <w:pPr>
        <w:ind w:left="720" w:hanging="360"/>
      </w:pPr>
      <w:rPr>
        <w:rFonts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2814ED"/>
    <w:multiLevelType w:val="multilevel"/>
    <w:tmpl w:val="002874E4"/>
    <w:lvl w:ilvl="0">
      <w:start w:val="1"/>
      <w:numFmt w:val="decimal"/>
      <w:lvlText w:val="%1."/>
      <w:lvlJc w:val="left"/>
      <w:pPr>
        <w:ind w:left="360" w:hanging="360"/>
      </w:pPr>
      <w:rPr>
        <w:b/>
        <w:bCs w:val="0"/>
      </w:rPr>
    </w:lvl>
    <w:lvl w:ilvl="1">
      <w:start w:val="1"/>
      <w:numFmt w:val="decimal"/>
      <w:lvlText w:val="%1.%2."/>
      <w:lvlJc w:val="left"/>
      <w:pPr>
        <w:ind w:left="792" w:hanging="432"/>
      </w:pPr>
      <w:rPr>
        <w:b/>
        <w:bCs w:val="0"/>
        <w:lang w:val="es-CO"/>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776351"/>
    <w:multiLevelType w:val="hybridMultilevel"/>
    <w:tmpl w:val="4F12E27A"/>
    <w:lvl w:ilvl="0" w:tplc="E042E544">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9E75B65"/>
    <w:multiLevelType w:val="hybridMultilevel"/>
    <w:tmpl w:val="EF4A6990"/>
    <w:lvl w:ilvl="0" w:tplc="5080CB52">
      <w:start w:val="1"/>
      <w:numFmt w:val="lowerRoman"/>
      <w:lvlText w:val="(%1)"/>
      <w:lvlJc w:val="left"/>
      <w:pPr>
        <w:ind w:left="1080" w:hanging="720"/>
      </w:pPr>
      <w:rPr>
        <w:rFonts w:hint="default"/>
        <w:b/>
        <w:bCs/>
        <w:i w:val="0"/>
        <w:iCs w:val="0"/>
      </w:rPr>
    </w:lvl>
    <w:lvl w:ilvl="1" w:tplc="FFFFFFFF">
      <w:start w:val="1"/>
      <w:numFmt w:val="lowerLetter"/>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FA26CD"/>
    <w:multiLevelType w:val="hybridMultilevel"/>
    <w:tmpl w:val="9DB497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5"/>
  </w:num>
  <w:num w:numId="3">
    <w:abstractNumId w:val="14"/>
  </w:num>
  <w:num w:numId="4">
    <w:abstractNumId w:val="4"/>
  </w:num>
  <w:num w:numId="5">
    <w:abstractNumId w:val="20"/>
  </w:num>
  <w:num w:numId="6">
    <w:abstractNumId w:val="7"/>
  </w:num>
  <w:num w:numId="7">
    <w:abstractNumId w:val="17"/>
  </w:num>
  <w:num w:numId="8">
    <w:abstractNumId w:val="5"/>
  </w:num>
  <w:num w:numId="9">
    <w:abstractNumId w:val="1"/>
  </w:num>
  <w:num w:numId="10">
    <w:abstractNumId w:val="11"/>
  </w:num>
  <w:num w:numId="11">
    <w:abstractNumId w:val="0"/>
  </w:num>
  <w:num w:numId="12">
    <w:abstractNumId w:val="9"/>
  </w:num>
  <w:num w:numId="13">
    <w:abstractNumId w:val="2"/>
  </w:num>
  <w:num w:numId="14">
    <w:abstractNumId w:val="10"/>
  </w:num>
  <w:num w:numId="15">
    <w:abstractNumId w:val="18"/>
  </w:num>
  <w:num w:numId="16">
    <w:abstractNumId w:val="8"/>
  </w:num>
  <w:num w:numId="17">
    <w:abstractNumId w:val="3"/>
  </w:num>
  <w:num w:numId="18">
    <w:abstractNumId w:val="6"/>
  </w:num>
  <w:num w:numId="19">
    <w:abstractNumId w:val="19"/>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B28"/>
    <w:rsid w:val="000149EE"/>
    <w:rsid w:val="00482B93"/>
    <w:rsid w:val="00B65B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096A2CF9-2EAF-4A1A-AE2E-45778271D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B612E"/>
    <w:pPr>
      <w:keepNext/>
      <w:keepLines/>
      <w:spacing w:before="240"/>
      <w:outlineLvl w:val="0"/>
    </w:pPr>
    <w:rPr>
      <w:rFonts w:eastAsiaTheme="majorEastAsia" w:cstheme="majorBidi"/>
      <w:b/>
      <w:color w:val="000000" w:themeColor="text1"/>
      <w:szCs w:val="32"/>
    </w:rPr>
  </w:style>
  <w:style w:type="paragraph" w:styleId="Ttulo2">
    <w:name w:val="heading 2"/>
    <w:basedOn w:val="Normal"/>
    <w:next w:val="Normal"/>
    <w:link w:val="Ttulo2Car"/>
    <w:uiPriority w:val="9"/>
    <w:unhideWhenUsed/>
    <w:qFormat/>
    <w:rsid w:val="0060054B"/>
    <w:pPr>
      <w:keepNext/>
      <w:keepLines/>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FD5E02"/>
    <w:pPr>
      <w:keepNext/>
      <w:keepLines/>
      <w:spacing w:before="40"/>
      <w:outlineLvl w:val="2"/>
    </w:pPr>
    <w:rPr>
      <w:rFonts w:eastAsiaTheme="majorEastAsia" w:cstheme="majorBidi"/>
      <w:b/>
      <w:color w:val="000000" w:themeColor="text1"/>
      <w:szCs w:val="24"/>
    </w:rPr>
  </w:style>
  <w:style w:type="paragraph" w:styleId="Ttulo4">
    <w:name w:val="heading 4"/>
    <w:basedOn w:val="Normal"/>
    <w:next w:val="Normal"/>
    <w:link w:val="Ttulo4Car"/>
    <w:uiPriority w:val="9"/>
    <w:unhideWhenUsed/>
    <w:qFormat/>
    <w:rsid w:val="00422809"/>
    <w:pPr>
      <w:keepNext/>
      <w:keepLines/>
      <w:spacing w:before="40"/>
      <w:outlineLvl w:val="3"/>
    </w:pPr>
    <w:rPr>
      <w:rFonts w:eastAsiaTheme="majorEastAsia" w:cstheme="majorBidi"/>
      <w:b/>
      <w:iCs/>
    </w:rPr>
  </w:style>
  <w:style w:type="paragraph" w:styleId="Ttulo5">
    <w:name w:val="heading 5"/>
    <w:basedOn w:val="Normal"/>
    <w:next w:val="Normal"/>
    <w:link w:val="Ttulo5Car"/>
    <w:uiPriority w:val="9"/>
    <w:unhideWhenUsed/>
    <w:qFormat/>
    <w:rsid w:val="00A82B1E"/>
    <w:pPr>
      <w:keepNext/>
      <w:keepLines/>
      <w:spacing w:before="40"/>
      <w:ind w:left="708"/>
      <w:outlineLvl w:val="4"/>
    </w:pPr>
    <w:rPr>
      <w:rFonts w:eastAsiaTheme="majorEastAsia" w:cstheme="majorBidi"/>
      <w:b/>
    </w:rPr>
  </w:style>
  <w:style w:type="paragraph" w:styleId="Ttulo6">
    <w:name w:val="heading 6"/>
    <w:basedOn w:val="Normal"/>
    <w:next w:val="Normal"/>
    <w:link w:val="Ttulo6Car"/>
    <w:uiPriority w:val="9"/>
    <w:unhideWhenUsed/>
    <w:qFormat/>
    <w:rsid w:val="0012509E"/>
    <w:pPr>
      <w:keepNext/>
      <w:keepLines/>
      <w:outlineLvl w:val="5"/>
    </w:pPr>
    <w:rPr>
      <w:rFonts w:eastAsiaTheme="majorEastAsia" w:cstheme="majorBidi"/>
      <w:b/>
    </w:rPr>
  </w:style>
  <w:style w:type="paragraph" w:styleId="Ttulo7">
    <w:name w:val="heading 7"/>
    <w:basedOn w:val="Normal"/>
    <w:next w:val="Normal"/>
    <w:link w:val="Ttulo7Car"/>
    <w:uiPriority w:val="9"/>
    <w:unhideWhenUsed/>
    <w:qFormat/>
    <w:rsid w:val="006E655D"/>
    <w:pPr>
      <w:keepNext/>
      <w:keepLines/>
      <w:outlineLvl w:val="6"/>
    </w:pPr>
    <w:rPr>
      <w:rFonts w:eastAsiaTheme="majorEastAsia" w:cstheme="majorBidi"/>
      <w:b/>
      <w:iCs/>
      <w:color w:val="000000" w:themeColor="text1"/>
    </w:rPr>
  </w:style>
  <w:style w:type="paragraph" w:styleId="Ttulo8">
    <w:name w:val="heading 8"/>
    <w:basedOn w:val="Normal"/>
    <w:next w:val="Normal"/>
    <w:link w:val="Ttulo8Car"/>
    <w:uiPriority w:val="9"/>
    <w:unhideWhenUsed/>
    <w:qFormat/>
    <w:rsid w:val="006C10B0"/>
    <w:pPr>
      <w:keepNext/>
      <w:keepLines/>
      <w:outlineLvl w:val="7"/>
    </w:pPr>
    <w:rPr>
      <w:rFonts w:eastAsiaTheme="majorEastAsia" w:cstheme="majorBidi"/>
      <w:b/>
      <w:color w:val="272727" w:themeColor="text1" w:themeTint="D8"/>
      <w:szCs w:val="21"/>
    </w:rPr>
  </w:style>
  <w:style w:type="paragraph" w:styleId="Ttulo9">
    <w:name w:val="heading 9"/>
    <w:basedOn w:val="Normal"/>
    <w:next w:val="Normal"/>
    <w:link w:val="Ttulo9Car"/>
    <w:uiPriority w:val="9"/>
    <w:unhideWhenUsed/>
    <w:qFormat/>
    <w:rsid w:val="005A4426"/>
    <w:pPr>
      <w:keepNext/>
      <w:keepLines/>
      <w:outlineLvl w:val="8"/>
    </w:pPr>
    <w:rPr>
      <w:rFonts w:eastAsiaTheme="majorEastAsia" w:cstheme="majorBidi"/>
      <w:b/>
      <w:iCs/>
      <w:color w:val="272727" w:themeColor="text1" w:themeTint="D8"/>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612E"/>
    <w:rPr>
      <w:rFonts w:ascii="Times New Roman" w:eastAsiaTheme="majorEastAsia" w:hAnsi="Times New Roman" w:cstheme="majorBidi"/>
      <w:b/>
      <w:color w:val="000000" w:themeColor="text1"/>
      <w:sz w:val="28"/>
      <w:szCs w:val="32"/>
    </w:rPr>
  </w:style>
  <w:style w:type="character" w:customStyle="1" w:styleId="Ttulo2Car">
    <w:name w:val="Título 2 Car"/>
    <w:basedOn w:val="Fuentedeprrafopredeter"/>
    <w:link w:val="Ttulo2"/>
    <w:uiPriority w:val="9"/>
    <w:rsid w:val="0060054B"/>
    <w:rPr>
      <w:rFonts w:ascii="Times New Roman" w:eastAsiaTheme="majorEastAsia" w:hAnsi="Times New Roman" w:cstheme="majorBidi"/>
      <w:b/>
      <w:sz w:val="28"/>
      <w:szCs w:val="26"/>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locked/>
    <w:rsid w:val="00E5257C"/>
    <w:rPr>
      <w:rFonts w:ascii="Times New Roman" w:eastAsia="Arial" w:hAnsi="Times New Roman" w:cs="Arial"/>
      <w:color w:val="000000"/>
      <w:sz w:val="20"/>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notentext,ft"/>
    <w:basedOn w:val="Normal"/>
    <w:link w:val="TextonotapieCar"/>
    <w:uiPriority w:val="99"/>
    <w:unhideWhenUsed/>
    <w:qFormat/>
    <w:rsid w:val="00E5257C"/>
    <w:rPr>
      <w:rFonts w:eastAsia="Arial" w:cs="Arial"/>
      <w:color w:val="000000"/>
      <w:sz w:val="20"/>
    </w:rPr>
  </w:style>
  <w:style w:type="character" w:customStyle="1" w:styleId="TextonotapieCar1">
    <w:name w:val="Texto nota pie Car1"/>
    <w:aliases w:val="Ref. de nota al pie1 Car1,Texto de nota al pie Car1,referencia nota al pie Car1,Footnotes refss Car,Appel note de bas de page Car,Fago Fußnotenzeichen Car,Footnote number Car,BVI fnr Car,f Car,4_G Car,16 Point Car,F Car,FC Car"/>
    <w:basedOn w:val="Fuentedeprrafopredeter"/>
    <w:uiPriority w:val="99"/>
    <w:qFormat/>
    <w:rsid w:val="001A73CA"/>
    <w:rPr>
      <w:sz w:val="20"/>
      <w:szCs w:val="20"/>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1A73CA"/>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1A73CA"/>
    <w:rPr>
      <w:vertAlign w:val="superscript"/>
    </w:rPr>
  </w:style>
  <w:style w:type="paragraph" w:styleId="Encabezado">
    <w:name w:val="header"/>
    <w:basedOn w:val="Normal"/>
    <w:link w:val="EncabezadoCar"/>
    <w:uiPriority w:val="99"/>
    <w:unhideWhenUsed/>
    <w:rsid w:val="001A73CA"/>
    <w:pPr>
      <w:tabs>
        <w:tab w:val="center" w:pos="4419"/>
        <w:tab w:val="right" w:pos="8838"/>
      </w:tabs>
    </w:pPr>
    <w:rPr>
      <w:rFonts w:eastAsia="Calibri" w:cs="Times New Roman"/>
      <w:color w:val="000000"/>
      <w:szCs w:val="28"/>
    </w:rPr>
  </w:style>
  <w:style w:type="character" w:customStyle="1" w:styleId="EncabezadoCar">
    <w:name w:val="Encabezado Car"/>
    <w:basedOn w:val="Fuentedeprrafopredeter"/>
    <w:link w:val="Encabezado"/>
    <w:uiPriority w:val="99"/>
    <w:rsid w:val="001A73CA"/>
    <w:rPr>
      <w:rFonts w:ascii="Times New Roman" w:eastAsia="Calibri" w:hAnsi="Times New Roman" w:cs="Times New Roman"/>
      <w:color w:val="000000"/>
      <w:sz w:val="28"/>
      <w:szCs w:val="28"/>
    </w:rPr>
  </w:style>
  <w:style w:type="paragraph" w:styleId="Piedepgina">
    <w:name w:val="footer"/>
    <w:basedOn w:val="Normal"/>
    <w:link w:val="PiedepginaCar"/>
    <w:uiPriority w:val="99"/>
    <w:unhideWhenUsed/>
    <w:rsid w:val="001A73CA"/>
    <w:pPr>
      <w:tabs>
        <w:tab w:val="center" w:pos="4419"/>
        <w:tab w:val="right" w:pos="8838"/>
      </w:tabs>
    </w:pPr>
    <w:rPr>
      <w:rFonts w:eastAsia="Calibri" w:cs="Times New Roman"/>
      <w:color w:val="000000"/>
      <w:szCs w:val="28"/>
    </w:rPr>
  </w:style>
  <w:style w:type="character" w:customStyle="1" w:styleId="PiedepginaCar">
    <w:name w:val="Pie de página Car"/>
    <w:basedOn w:val="Fuentedeprrafopredeter"/>
    <w:link w:val="Piedepgina"/>
    <w:uiPriority w:val="99"/>
    <w:rsid w:val="001A73CA"/>
    <w:rPr>
      <w:rFonts w:ascii="Times New Roman" w:eastAsia="Calibri" w:hAnsi="Times New Roman" w:cs="Times New Roman"/>
      <w:color w:val="000000"/>
      <w:sz w:val="28"/>
      <w:szCs w:val="28"/>
    </w:rPr>
  </w:style>
  <w:style w:type="paragraph" w:styleId="Textodeglobo">
    <w:name w:val="Balloon Text"/>
    <w:basedOn w:val="Normal"/>
    <w:link w:val="TextodegloboCar"/>
    <w:uiPriority w:val="99"/>
    <w:semiHidden/>
    <w:unhideWhenUsed/>
    <w:rsid w:val="001A73CA"/>
    <w:rPr>
      <w:rFonts w:ascii="Segoe UI" w:eastAsia="Calibri" w:hAnsi="Segoe UI" w:cs="Segoe UI"/>
      <w:color w:val="000000"/>
      <w:sz w:val="18"/>
      <w:szCs w:val="18"/>
    </w:rPr>
  </w:style>
  <w:style w:type="character" w:customStyle="1" w:styleId="TextodegloboCar">
    <w:name w:val="Texto de globo Car"/>
    <w:basedOn w:val="Fuentedeprrafopredeter"/>
    <w:link w:val="Textodeglobo"/>
    <w:uiPriority w:val="99"/>
    <w:semiHidden/>
    <w:rsid w:val="001A73CA"/>
    <w:rPr>
      <w:rFonts w:ascii="Segoe UI" w:eastAsia="Calibri" w:hAnsi="Segoe UI" w:cs="Segoe UI"/>
      <w:color w:val="000000"/>
      <w:sz w:val="18"/>
      <w:szCs w:val="18"/>
    </w:rPr>
  </w:style>
  <w:style w:type="paragraph" w:styleId="Prrafodelista">
    <w:name w:val="List Paragraph"/>
    <w:aliases w:val="Footnote,Colorful List - Accent 11,List Paragraph2,List Paragraph1,Ha,lp1,Párrafo,Numbered Paragraph,Bullets,titulo 3,BOLADEF,BOLA,Párrafo de lista21,Guión,Titulo 8,HOJA,Chulito,Párrafo de lista3,MIBEX B,TITULO1REQ,Párrafo de lista31"/>
    <w:basedOn w:val="Normal"/>
    <w:link w:val="PrrafodelistaCar"/>
    <w:uiPriority w:val="34"/>
    <w:qFormat/>
    <w:rsid w:val="001A73CA"/>
    <w:pPr>
      <w:spacing w:line="276" w:lineRule="auto"/>
      <w:ind w:left="720"/>
      <w:contextualSpacing/>
    </w:pPr>
    <w:rPr>
      <w:rFonts w:eastAsia="Calibri" w:cs="Times New Roman"/>
      <w:color w:val="000000"/>
      <w:szCs w:val="28"/>
    </w:rPr>
  </w:style>
  <w:style w:type="character" w:styleId="Refdecomentario">
    <w:name w:val="annotation reference"/>
    <w:basedOn w:val="Fuentedeprrafopredeter"/>
    <w:uiPriority w:val="99"/>
    <w:semiHidden/>
    <w:unhideWhenUsed/>
    <w:rsid w:val="001A73CA"/>
    <w:rPr>
      <w:sz w:val="16"/>
      <w:szCs w:val="16"/>
    </w:rPr>
  </w:style>
  <w:style w:type="paragraph" w:styleId="Textocomentario">
    <w:name w:val="annotation text"/>
    <w:basedOn w:val="Normal"/>
    <w:link w:val="TextocomentarioCar"/>
    <w:uiPriority w:val="99"/>
    <w:unhideWhenUsed/>
    <w:rsid w:val="001A73CA"/>
    <w:rPr>
      <w:rFonts w:eastAsia="Calibri" w:cs="Times New Roman"/>
      <w:color w:val="000000"/>
      <w:sz w:val="20"/>
      <w:szCs w:val="20"/>
    </w:rPr>
  </w:style>
  <w:style w:type="character" w:customStyle="1" w:styleId="TextocomentarioCar">
    <w:name w:val="Texto comentario Car"/>
    <w:basedOn w:val="Fuentedeprrafopredeter"/>
    <w:link w:val="Textocomentario"/>
    <w:uiPriority w:val="99"/>
    <w:rsid w:val="001A73CA"/>
    <w:rPr>
      <w:rFonts w:ascii="Times New Roman" w:eastAsia="Calibri" w:hAnsi="Times New Roman"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1A73CA"/>
    <w:rPr>
      <w:b/>
      <w:bCs/>
    </w:rPr>
  </w:style>
  <w:style w:type="character" w:customStyle="1" w:styleId="AsuntodelcomentarioCar">
    <w:name w:val="Asunto del comentario Car"/>
    <w:basedOn w:val="TextocomentarioCar"/>
    <w:link w:val="Asuntodelcomentario"/>
    <w:uiPriority w:val="99"/>
    <w:semiHidden/>
    <w:rsid w:val="001A73CA"/>
    <w:rPr>
      <w:rFonts w:ascii="Times New Roman" w:eastAsia="Calibri" w:hAnsi="Times New Roman" w:cs="Times New Roman"/>
      <w:b/>
      <w:bCs/>
      <w:color w:val="000000"/>
      <w:sz w:val="20"/>
      <w:szCs w:val="20"/>
    </w:rPr>
  </w:style>
  <w:style w:type="paragraph" w:styleId="NormalWeb">
    <w:name w:val="Normal (Web)"/>
    <w:basedOn w:val="Normal"/>
    <w:uiPriority w:val="99"/>
    <w:unhideWhenUsed/>
    <w:rsid w:val="001A73CA"/>
    <w:pPr>
      <w:spacing w:before="100" w:beforeAutospacing="1" w:after="100" w:afterAutospacing="1"/>
    </w:pPr>
    <w:rPr>
      <w:rFonts w:eastAsia="Times New Roman" w:cs="Times New Roman"/>
      <w:sz w:val="24"/>
      <w:szCs w:val="24"/>
    </w:rPr>
  </w:style>
  <w:style w:type="paragraph" w:styleId="Sinespaciado">
    <w:name w:val="No Spacing"/>
    <w:aliases w:val="CAPITULO I"/>
    <w:link w:val="SinespaciadoCar"/>
    <w:uiPriority w:val="1"/>
    <w:qFormat/>
    <w:rsid w:val="001A73CA"/>
    <w:pPr>
      <w:spacing w:after="0" w:line="240" w:lineRule="auto"/>
    </w:pPr>
    <w:rPr>
      <w:rFonts w:ascii="Times New Roman" w:eastAsia="Calibri" w:hAnsi="Times New Roman" w:cs="Times New Roman"/>
      <w:color w:val="000000"/>
      <w:sz w:val="28"/>
      <w:szCs w:val="28"/>
    </w:rPr>
  </w:style>
  <w:style w:type="character" w:styleId="Hipervnculo">
    <w:name w:val="Hyperlink"/>
    <w:basedOn w:val="Fuentedeprrafopredeter"/>
    <w:uiPriority w:val="99"/>
    <w:unhideWhenUsed/>
    <w:rsid w:val="001A73CA"/>
    <w:rPr>
      <w:color w:val="0000FF"/>
      <w:u w:val="single"/>
    </w:rPr>
  </w:style>
  <w:style w:type="character" w:customStyle="1" w:styleId="iaj">
    <w:name w:val="i_aj"/>
    <w:basedOn w:val="Fuentedeprrafopredeter"/>
    <w:rsid w:val="001A73CA"/>
  </w:style>
  <w:style w:type="character" w:styleId="Textoennegrita">
    <w:name w:val="Strong"/>
    <w:basedOn w:val="Fuentedeprrafopredeter"/>
    <w:uiPriority w:val="22"/>
    <w:qFormat/>
    <w:rsid w:val="001A73CA"/>
    <w:rPr>
      <w:b/>
      <w:bCs/>
    </w:rPr>
  </w:style>
  <w:style w:type="table" w:styleId="Tablaconcuadrcula">
    <w:name w:val="Table Grid"/>
    <w:basedOn w:val="Tablanormal"/>
    <w:uiPriority w:val="39"/>
    <w:rsid w:val="001A7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1A7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1A73CA"/>
    <w:rPr>
      <w:i/>
      <w:iCs/>
      <w:color w:val="5B9BD5" w:themeColor="accent1"/>
    </w:rPr>
  </w:style>
  <w:style w:type="paragraph" w:styleId="Revisin">
    <w:name w:val="Revision"/>
    <w:hidden/>
    <w:uiPriority w:val="99"/>
    <w:semiHidden/>
    <w:rsid w:val="001A73CA"/>
    <w:pPr>
      <w:spacing w:after="0" w:line="240" w:lineRule="auto"/>
    </w:pPr>
  </w:style>
  <w:style w:type="character" w:styleId="Textodelmarcadordeposicin">
    <w:name w:val="Placeholder Text"/>
    <w:basedOn w:val="Fuentedeprrafopredeter"/>
    <w:uiPriority w:val="99"/>
    <w:semiHidden/>
    <w:rsid w:val="001A73CA"/>
    <w:rPr>
      <w:color w:val="808080"/>
    </w:rPr>
  </w:style>
  <w:style w:type="paragraph" w:styleId="Textoindependiente">
    <w:name w:val="Body Text"/>
    <w:basedOn w:val="Normal"/>
    <w:link w:val="TextoindependienteCar"/>
    <w:uiPriority w:val="99"/>
    <w:semiHidden/>
    <w:rsid w:val="001A73CA"/>
    <w:pPr>
      <w:spacing w:after="120"/>
    </w:pPr>
    <w:rPr>
      <w:rFonts w:eastAsia="Times New Roman" w:cs="Times New Roman"/>
      <w:position w:val="6"/>
      <w:szCs w:val="28"/>
      <w:lang w:eastAsia="es-ES"/>
    </w:rPr>
  </w:style>
  <w:style w:type="character" w:customStyle="1" w:styleId="TextoindependienteCar">
    <w:name w:val="Texto independiente Car"/>
    <w:basedOn w:val="Fuentedeprrafopredeter"/>
    <w:link w:val="Textoindependiente"/>
    <w:uiPriority w:val="99"/>
    <w:semiHidden/>
    <w:rsid w:val="001A73CA"/>
    <w:rPr>
      <w:rFonts w:ascii="Times New Roman" w:eastAsia="Times New Roman" w:hAnsi="Times New Roman" w:cs="Times New Roman"/>
      <w:position w:val="6"/>
      <w:sz w:val="28"/>
      <w:szCs w:val="28"/>
      <w:lang w:eastAsia="es-ES"/>
    </w:rPr>
  </w:style>
  <w:style w:type="character" w:customStyle="1" w:styleId="apple-style-span">
    <w:name w:val="apple-style-span"/>
    <w:uiPriority w:val="99"/>
    <w:rsid w:val="001A73CA"/>
    <w:rPr>
      <w:rFonts w:eastAsia="Times New Roman"/>
      <w:lang w:val="es-CO" w:eastAsia="es-CO"/>
    </w:rPr>
  </w:style>
  <w:style w:type="character" w:customStyle="1" w:styleId="Ref">
    <w:name w:val="Ref"/>
    <w:aliases w:val="de nota al pie"/>
    <w:rsid w:val="001A73CA"/>
    <w:rPr>
      <w:vertAlign w:val="superscript"/>
    </w:rPr>
  </w:style>
  <w:style w:type="character" w:customStyle="1" w:styleId="iaj0">
    <w:name w:val="iaj"/>
    <w:basedOn w:val="Fuentedeprrafopredeter"/>
    <w:rsid w:val="001A73CA"/>
  </w:style>
  <w:style w:type="character" w:customStyle="1" w:styleId="PrrafodelistaCar">
    <w:name w:val="Párrafo de lista Car"/>
    <w:aliases w:val="Footnote Car,Colorful List - Accent 11 Car,List Paragraph2 Car,List Paragraph1 Car,Ha Car,lp1 Car,Párrafo Car,Numbered Paragraph Car,Bullets Car,titulo 3 Car,BOLADEF Car,BOLA Car,Párrafo de lista21 Car,Guión Car,Titulo 8 Car"/>
    <w:link w:val="Prrafodelista"/>
    <w:uiPriority w:val="34"/>
    <w:qFormat/>
    <w:locked/>
    <w:rsid w:val="001A73CA"/>
    <w:rPr>
      <w:rFonts w:ascii="Times New Roman" w:eastAsia="Calibri" w:hAnsi="Times New Roman" w:cs="Times New Roman"/>
      <w:color w:val="000000"/>
      <w:sz w:val="28"/>
      <w:szCs w:val="28"/>
    </w:rPr>
  </w:style>
  <w:style w:type="character" w:customStyle="1" w:styleId="apple-converted-space">
    <w:name w:val="apple-converted-space"/>
    <w:basedOn w:val="Fuentedeprrafopredeter"/>
    <w:rsid w:val="001A73CA"/>
  </w:style>
  <w:style w:type="paragraph" w:customStyle="1" w:styleId="Piedepagina">
    <w:name w:val="Pie de pagina"/>
    <w:aliases w:val="Ref. de nota al pie2"/>
    <w:basedOn w:val="Normal"/>
    <w:uiPriority w:val="99"/>
    <w:qFormat/>
    <w:rsid w:val="00EF731B"/>
    <w:pPr>
      <w:spacing w:line="240" w:lineRule="exact"/>
    </w:pPr>
    <w:rPr>
      <w:vertAlign w:val="superscript"/>
    </w:rPr>
  </w:style>
  <w:style w:type="character" w:customStyle="1" w:styleId="SinespaciadoCar">
    <w:name w:val="Sin espaciado Car"/>
    <w:aliases w:val="CAPITULO I Car"/>
    <w:basedOn w:val="Fuentedeprrafopredeter"/>
    <w:link w:val="Sinespaciado"/>
    <w:uiPriority w:val="1"/>
    <w:locked/>
    <w:rsid w:val="00EF731B"/>
    <w:rPr>
      <w:rFonts w:ascii="Times New Roman" w:eastAsia="Calibri" w:hAnsi="Times New Roman" w:cs="Times New Roman"/>
      <w:color w:val="000000"/>
      <w:sz w:val="28"/>
      <w:szCs w:val="28"/>
    </w:rPr>
  </w:style>
  <w:style w:type="paragraph" w:customStyle="1" w:styleId="Sinespaciado1">
    <w:name w:val="Sin espaciado1"/>
    <w:link w:val="NoSpacingChar"/>
    <w:qFormat/>
    <w:rsid w:val="00EF731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F731B"/>
    <w:rPr>
      <w:rFonts w:ascii="Times New Roman" w:eastAsia="Times New Roman" w:hAnsi="Times New Roman" w:cs="Times New Roman"/>
      <w:sz w:val="24"/>
      <w:szCs w:val="24"/>
      <w:lang w:eastAsia="es-ES"/>
    </w:rPr>
  </w:style>
  <w:style w:type="character" w:customStyle="1" w:styleId="FontStyle21">
    <w:name w:val="Font Style21"/>
    <w:uiPriority w:val="99"/>
    <w:rsid w:val="00EF731B"/>
    <w:rPr>
      <w:rFonts w:ascii="Times New Roman" w:hAnsi="Times New Roman" w:cs="Times New Roman"/>
      <w:sz w:val="26"/>
      <w:szCs w:val="26"/>
    </w:rPr>
  </w:style>
  <w:style w:type="paragraph" w:customStyle="1" w:styleId="Style4">
    <w:name w:val="Style4"/>
    <w:basedOn w:val="Normal"/>
    <w:uiPriority w:val="99"/>
    <w:rsid w:val="00EF731B"/>
    <w:pPr>
      <w:widowControl w:val="0"/>
      <w:autoSpaceDE w:val="0"/>
      <w:autoSpaceDN w:val="0"/>
      <w:adjustRightInd w:val="0"/>
      <w:spacing w:line="360" w:lineRule="exact"/>
    </w:pPr>
    <w:rPr>
      <w:rFonts w:eastAsia="MS Mincho" w:cs="Times New Roman"/>
      <w:sz w:val="24"/>
      <w:szCs w:val="24"/>
      <w:u w:color="000000"/>
      <w:lang w:val="es-ES" w:eastAsia="es-ES"/>
    </w:rPr>
  </w:style>
  <w:style w:type="paragraph" w:styleId="Textonotaalfinal">
    <w:name w:val="endnote text"/>
    <w:basedOn w:val="Normal"/>
    <w:link w:val="TextonotaalfinalCar"/>
    <w:uiPriority w:val="99"/>
    <w:semiHidden/>
    <w:unhideWhenUsed/>
    <w:rsid w:val="00453094"/>
    <w:rPr>
      <w:sz w:val="20"/>
      <w:szCs w:val="20"/>
    </w:rPr>
  </w:style>
  <w:style w:type="character" w:customStyle="1" w:styleId="TextonotaalfinalCar">
    <w:name w:val="Texto nota al final Car"/>
    <w:basedOn w:val="Fuentedeprrafopredeter"/>
    <w:link w:val="Textonotaalfinal"/>
    <w:uiPriority w:val="99"/>
    <w:semiHidden/>
    <w:rsid w:val="00453094"/>
    <w:rPr>
      <w:sz w:val="20"/>
      <w:szCs w:val="20"/>
    </w:rPr>
  </w:style>
  <w:style w:type="character" w:styleId="Refdenotaalfinal">
    <w:name w:val="endnote reference"/>
    <w:basedOn w:val="Fuentedeprrafopredeter"/>
    <w:uiPriority w:val="99"/>
    <w:semiHidden/>
    <w:unhideWhenUsed/>
    <w:rsid w:val="00453094"/>
    <w:rPr>
      <w:vertAlign w:val="superscript"/>
    </w:rPr>
  </w:style>
  <w:style w:type="character" w:customStyle="1" w:styleId="UnresolvedMention">
    <w:name w:val="Unresolved Mention"/>
    <w:basedOn w:val="Fuentedeprrafopredeter"/>
    <w:uiPriority w:val="99"/>
    <w:semiHidden/>
    <w:unhideWhenUsed/>
    <w:rsid w:val="00501CA8"/>
    <w:rPr>
      <w:color w:val="605E5C"/>
      <w:shd w:val="clear" w:color="auto" w:fill="E1DFDD"/>
    </w:rPr>
  </w:style>
  <w:style w:type="paragraph" w:customStyle="1" w:styleId="Normal1">
    <w:name w:val="Normal1"/>
    <w:rsid w:val="00E14CB8"/>
    <w:rPr>
      <w:rFonts w:ascii="Calibri" w:eastAsia="Times New Roman" w:hAnsi="Calibri" w:cs="Calibri"/>
      <w:color w:val="000000"/>
      <w:lang w:val="es-ES" w:eastAsia="es-ES"/>
    </w:rPr>
  </w:style>
  <w:style w:type="paragraph" w:customStyle="1" w:styleId="Default">
    <w:name w:val="Default"/>
    <w:rsid w:val="00544643"/>
    <w:pPr>
      <w:autoSpaceDE w:val="0"/>
      <w:autoSpaceDN w:val="0"/>
      <w:adjustRightInd w:val="0"/>
      <w:spacing w:after="0" w:line="240" w:lineRule="auto"/>
    </w:pPr>
    <w:rPr>
      <w:rFonts w:ascii="Arial" w:hAnsi="Arial" w:cs="Arial"/>
      <w:color w:val="000000"/>
      <w:sz w:val="24"/>
      <w:szCs w:val="24"/>
    </w:rPr>
  </w:style>
  <w:style w:type="table" w:customStyle="1" w:styleId="Tablaconcuadrcula4">
    <w:name w:val="Tabla con cuadrícula4"/>
    <w:basedOn w:val="Tablanormal"/>
    <w:next w:val="Tablaconcuadrcula"/>
    <w:uiPriority w:val="59"/>
    <w:rsid w:val="00735C93"/>
    <w:pPr>
      <w:spacing w:after="0" w:line="240" w:lineRule="auto"/>
    </w:pPr>
    <w:rPr>
      <w:rFonts w:ascii="Calibri" w:eastAsia="Times New Roman"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FD5E02"/>
    <w:rPr>
      <w:rFonts w:ascii="Times New Roman" w:eastAsiaTheme="majorEastAsia" w:hAnsi="Times New Roman" w:cstheme="majorBidi"/>
      <w:b/>
      <w:color w:val="000000" w:themeColor="text1"/>
      <w:sz w:val="28"/>
      <w:szCs w:val="24"/>
    </w:rPr>
  </w:style>
  <w:style w:type="paragraph" w:customStyle="1" w:styleId="Listamedia2-nfasis41">
    <w:name w:val="Lista media 2 - Énfasis 41"/>
    <w:basedOn w:val="Normal"/>
    <w:uiPriority w:val="34"/>
    <w:qFormat/>
    <w:rsid w:val="003F37B0"/>
    <w:pPr>
      <w:shd w:val="clear" w:color="auto" w:fill="FFFFFF"/>
      <w:ind w:left="720"/>
      <w:contextualSpacing/>
      <w:textAlignment w:val="baseline"/>
    </w:pPr>
    <w:rPr>
      <w:rFonts w:eastAsia="Times New Roman" w:cs="Times New Roman"/>
      <w:color w:val="000000" w:themeColor="text1"/>
      <w:szCs w:val="28"/>
      <w:lang w:val="pt-BR" w:eastAsia="pt-BR"/>
    </w:rPr>
  </w:style>
  <w:style w:type="table" w:customStyle="1" w:styleId="Tablaconcuadrcula2">
    <w:name w:val="Tabla con cuadrícula2"/>
    <w:basedOn w:val="Tablanormal"/>
    <w:next w:val="Tablaconcuadrcula"/>
    <w:uiPriority w:val="39"/>
    <w:rsid w:val="00756351"/>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56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422809"/>
    <w:rPr>
      <w:rFonts w:ascii="Times New Roman" w:eastAsiaTheme="majorEastAsia" w:hAnsi="Times New Roman" w:cstheme="majorBidi"/>
      <w:b/>
      <w:iCs/>
      <w:sz w:val="28"/>
    </w:rPr>
  </w:style>
  <w:style w:type="table" w:customStyle="1" w:styleId="Tablaconcuadrcula15">
    <w:name w:val="Tabla con cuadrícula15"/>
    <w:basedOn w:val="Tablanormal"/>
    <w:next w:val="Tablaconcuadrcula"/>
    <w:uiPriority w:val="39"/>
    <w:rsid w:val="00404DA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A82B1E"/>
    <w:rPr>
      <w:rFonts w:ascii="Times New Roman" w:eastAsiaTheme="majorEastAsia" w:hAnsi="Times New Roman" w:cstheme="majorBidi"/>
      <w:b/>
      <w:sz w:val="28"/>
    </w:rPr>
  </w:style>
  <w:style w:type="paragraph" w:customStyle="1" w:styleId="Cuerpo">
    <w:name w:val="Cuerpo"/>
    <w:rsid w:val="000250F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8"/>
      <w:szCs w:val="28"/>
      <w:u w:color="000000"/>
      <w:bdr w:val="nil"/>
    </w:rPr>
  </w:style>
  <w:style w:type="paragraph" w:styleId="Lista">
    <w:name w:val="List"/>
    <w:basedOn w:val="Normal"/>
    <w:unhideWhenUsed/>
    <w:rsid w:val="00533BFE"/>
    <w:pPr>
      <w:spacing w:after="200" w:line="276" w:lineRule="auto"/>
      <w:ind w:left="283" w:hanging="283"/>
      <w:contextualSpacing/>
    </w:pPr>
    <w:rPr>
      <w:rFonts w:eastAsia="Times New Roman" w:cs="Times New Roman"/>
      <w:szCs w:val="24"/>
    </w:rPr>
  </w:style>
  <w:style w:type="paragraph" w:customStyle="1" w:styleId="Sombreadomedio1-nfasis11">
    <w:name w:val="Sombreado medio 1 - Énfasis 11"/>
    <w:uiPriority w:val="1"/>
    <w:qFormat/>
    <w:rsid w:val="00533BFE"/>
    <w:pPr>
      <w:spacing w:after="0" w:line="240" w:lineRule="auto"/>
    </w:pPr>
    <w:rPr>
      <w:rFonts w:ascii="Calibri" w:eastAsia="Times New Roman" w:hAnsi="Calibri" w:cs="Calibri"/>
      <w:color w:val="000000"/>
      <w:lang w:val="es-ES_tradnl" w:eastAsia="es-ES"/>
    </w:rPr>
  </w:style>
  <w:style w:type="table" w:customStyle="1" w:styleId="Tablaconcuadrcula5">
    <w:name w:val="Tabla con cuadrícula5"/>
    <w:basedOn w:val="Tablanormal"/>
    <w:next w:val="Tablaconcuadrcula"/>
    <w:uiPriority w:val="39"/>
    <w:rsid w:val="003E7810"/>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B1492C"/>
    <w:pPr>
      <w:spacing w:after="0" w:line="240" w:lineRule="auto"/>
    </w:pPr>
    <w:rPr>
      <w:rFonts w:eastAsia="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C393B"/>
    <w:pPr>
      <w:spacing w:after="0" w:line="240" w:lineRule="auto"/>
    </w:pPr>
    <w:rPr>
      <w:rFonts w:eastAsia="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basedOn w:val="Fuentedeprrafopredeter"/>
    <w:rsid w:val="00406ED9"/>
  </w:style>
  <w:style w:type="character" w:customStyle="1" w:styleId="Ttulo6Car">
    <w:name w:val="Título 6 Car"/>
    <w:basedOn w:val="Fuentedeprrafopredeter"/>
    <w:link w:val="Ttulo6"/>
    <w:uiPriority w:val="9"/>
    <w:rsid w:val="0012509E"/>
    <w:rPr>
      <w:rFonts w:ascii="Times New Roman" w:eastAsiaTheme="majorEastAsia" w:hAnsi="Times New Roman" w:cstheme="majorBidi"/>
      <w:b/>
      <w:sz w:val="28"/>
    </w:rPr>
  </w:style>
  <w:style w:type="character" w:customStyle="1" w:styleId="Ttulo7Car">
    <w:name w:val="Título 7 Car"/>
    <w:basedOn w:val="Fuentedeprrafopredeter"/>
    <w:link w:val="Ttulo7"/>
    <w:uiPriority w:val="9"/>
    <w:rsid w:val="006E655D"/>
    <w:rPr>
      <w:rFonts w:ascii="Times New Roman" w:eastAsiaTheme="majorEastAsia" w:hAnsi="Times New Roman" w:cstheme="majorBidi"/>
      <w:b/>
      <w:iCs/>
      <w:color w:val="000000" w:themeColor="text1"/>
      <w:sz w:val="28"/>
    </w:rPr>
  </w:style>
  <w:style w:type="character" w:customStyle="1" w:styleId="Ttulo8Car">
    <w:name w:val="Título 8 Car"/>
    <w:basedOn w:val="Fuentedeprrafopredeter"/>
    <w:link w:val="Ttulo8"/>
    <w:uiPriority w:val="9"/>
    <w:rsid w:val="006C10B0"/>
    <w:rPr>
      <w:rFonts w:ascii="Times New Roman" w:eastAsiaTheme="majorEastAsia" w:hAnsi="Times New Roman" w:cstheme="majorBidi"/>
      <w:b/>
      <w:color w:val="272727" w:themeColor="text1" w:themeTint="D8"/>
      <w:sz w:val="28"/>
      <w:szCs w:val="21"/>
    </w:rPr>
  </w:style>
  <w:style w:type="character" w:customStyle="1" w:styleId="Ttulo9Car">
    <w:name w:val="Título 9 Car"/>
    <w:basedOn w:val="Fuentedeprrafopredeter"/>
    <w:link w:val="Ttulo9"/>
    <w:uiPriority w:val="9"/>
    <w:rsid w:val="005A4426"/>
    <w:rPr>
      <w:rFonts w:ascii="Times New Roman" w:eastAsiaTheme="majorEastAsia" w:hAnsi="Times New Roman" w:cstheme="majorBidi"/>
      <w:b/>
      <w:iCs/>
      <w:color w:val="272727" w:themeColor="text1" w:themeTint="D8"/>
      <w:sz w:val="28"/>
      <w:szCs w:val="21"/>
    </w:rPr>
  </w:style>
  <w:style w:type="table" w:customStyle="1" w:styleId="Tablaconcuadrcula54">
    <w:name w:val="Tabla con cuadrícula54"/>
    <w:basedOn w:val="Tablanormal"/>
    <w:next w:val="Tablaconcuadrcula"/>
    <w:uiPriority w:val="39"/>
    <w:rsid w:val="00332C5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32C5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0">
    <w:name w:val="Normal 1"/>
    <w:basedOn w:val="Lista"/>
    <w:link w:val="Normal1Car"/>
    <w:qFormat/>
    <w:rsid w:val="00EF572B"/>
    <w:pPr>
      <w:tabs>
        <w:tab w:val="left" w:pos="0"/>
        <w:tab w:val="left" w:pos="567"/>
      </w:tabs>
      <w:spacing w:after="0" w:line="240" w:lineRule="auto"/>
      <w:ind w:left="0" w:firstLine="0"/>
    </w:pPr>
    <w:rPr>
      <w:rFonts w:eastAsia="Calibri"/>
      <w:szCs w:val="28"/>
      <w:lang w:val="es-ES_tradnl"/>
    </w:rPr>
  </w:style>
  <w:style w:type="character" w:customStyle="1" w:styleId="Normal1Car">
    <w:name w:val="Normal 1 Car"/>
    <w:basedOn w:val="Fuentedeprrafopredeter"/>
    <w:link w:val="Normal10"/>
    <w:rsid w:val="00EF572B"/>
    <w:rPr>
      <w:rFonts w:ascii="Times New Roman" w:eastAsia="Calibri" w:hAnsi="Times New Roman" w:cs="Times New Roman"/>
      <w:sz w:val="28"/>
      <w:szCs w:val="28"/>
      <w:lang w:val="es-ES_tradnl"/>
    </w:rPr>
  </w:style>
  <w:style w:type="table" w:customStyle="1" w:styleId="Tablaconcuadrcula12">
    <w:name w:val="Tabla con cuadrícula12"/>
    <w:basedOn w:val="Tablanormal"/>
    <w:next w:val="Tablaconcuadrcula"/>
    <w:uiPriority w:val="39"/>
    <w:rsid w:val="0098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022555"/>
    <w:pPr>
      <w:spacing w:before="200"/>
      <w:ind w:left="864" w:right="864"/>
      <w:jc w:val="center"/>
    </w:pPr>
    <w:rPr>
      <w:i/>
      <w:iCs/>
      <w:color w:val="404040" w:themeColor="text1" w:themeTint="BF"/>
    </w:rPr>
  </w:style>
  <w:style w:type="character" w:customStyle="1" w:styleId="CitaCar">
    <w:name w:val="Cita Car"/>
    <w:basedOn w:val="Fuentedeprrafopredeter"/>
    <w:link w:val="Cita"/>
    <w:uiPriority w:val="29"/>
    <w:rsid w:val="00022555"/>
    <w:rPr>
      <w:rFonts w:ascii="Times New Roman" w:hAnsi="Times New Roman"/>
      <w:i/>
      <w:iCs/>
      <w:color w:val="404040" w:themeColor="text1" w:themeTint="BF"/>
      <w:sz w:val="28"/>
    </w:rPr>
  </w:style>
  <w:style w:type="paragraph" w:styleId="Ttulo">
    <w:name w:val="Title"/>
    <w:basedOn w:val="Normal"/>
    <w:next w:val="Normal"/>
    <w:link w:val="TtuloCar"/>
    <w:uiPriority w:val="10"/>
    <w:qFormat/>
    <w:rsid w:val="00D91944"/>
    <w:pPr>
      <w:spacing w:after="80"/>
      <w:contextualSpacing/>
    </w:pPr>
    <w:rPr>
      <w:rFonts w:asciiTheme="majorHAnsi" w:eastAsiaTheme="majorEastAsia" w:hAnsiTheme="majorHAnsi"/>
      <w:spacing w:val="-10"/>
      <w:kern w:val="28"/>
      <w:sz w:val="56"/>
      <w:szCs w:val="56"/>
    </w:rPr>
  </w:style>
  <w:style w:type="character" w:customStyle="1" w:styleId="TtuloCar">
    <w:name w:val="Título Car"/>
    <w:basedOn w:val="Fuentedeprrafopredeter"/>
    <w:link w:val="Ttulo"/>
    <w:uiPriority w:val="10"/>
    <w:locked/>
    <w:rsid w:val="00D91944"/>
    <w:rPr>
      <w:rFonts w:asciiTheme="majorHAnsi" w:eastAsiaTheme="majorEastAsia" w:hAnsiTheme="majorHAnsi" w:cs="Times New Roman"/>
      <w:spacing w:val="-10"/>
      <w:kern w:val="28"/>
      <w:sz w:val="56"/>
      <w:szCs w:val="56"/>
      <w:lang w:val="es-ES_tradnl" w:eastAsia="x-none"/>
    </w:rPr>
  </w:style>
  <w:style w:type="paragraph" w:styleId="Subttulo">
    <w:name w:val="Subtitle"/>
    <w:basedOn w:val="Normal"/>
    <w:next w:val="Normal"/>
    <w:link w:val="SubttuloCar"/>
    <w:uiPriority w:val="11"/>
    <w:qFormat/>
    <w:rsid w:val="00D91944"/>
    <w:pPr>
      <w:numPr>
        <w:ilvl w:val="1"/>
      </w:numPr>
    </w:pPr>
    <w:rPr>
      <w:rFonts w:eastAsiaTheme="majorEastAsia"/>
      <w:color w:val="595959" w:themeColor="text1" w:themeTint="A6"/>
      <w:spacing w:val="15"/>
      <w:sz w:val="28"/>
      <w:szCs w:val="28"/>
    </w:rPr>
  </w:style>
  <w:style w:type="character" w:customStyle="1" w:styleId="SubttuloCar">
    <w:name w:val="Subtítulo Car"/>
    <w:basedOn w:val="Fuentedeprrafopredeter"/>
    <w:link w:val="Subttulo"/>
    <w:uiPriority w:val="11"/>
    <w:locked/>
    <w:rsid w:val="00D91944"/>
    <w:rPr>
      <w:rFonts w:eastAsiaTheme="majorEastAsia" w:cs="Times New Roman"/>
      <w:color w:val="595959" w:themeColor="text1" w:themeTint="A6"/>
      <w:spacing w:val="15"/>
      <w:sz w:val="28"/>
      <w:szCs w:val="28"/>
      <w:lang w:val="es-ES_tradnl" w:eastAsia="x-none"/>
    </w:rPr>
  </w:style>
  <w:style w:type="paragraph" w:styleId="Citadestacada">
    <w:name w:val="Intense Quote"/>
    <w:basedOn w:val="Normal"/>
    <w:next w:val="Normal"/>
    <w:link w:val="CitadestacadaCar"/>
    <w:uiPriority w:val="30"/>
    <w:qFormat/>
    <w:rsid w:val="00D9194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locked/>
    <w:rsid w:val="00D91944"/>
    <w:rPr>
      <w:rFonts w:cs="Times New Roman"/>
      <w:i/>
      <w:iCs/>
      <w:color w:val="2E74B5" w:themeColor="accent1" w:themeShade="BF"/>
      <w:lang w:val="es-ES_tradnl" w:eastAsia="x-none"/>
    </w:rPr>
  </w:style>
  <w:style w:type="character" w:styleId="Referenciaintensa">
    <w:name w:val="Intense Reference"/>
    <w:basedOn w:val="Fuentedeprrafopredeter"/>
    <w:uiPriority w:val="32"/>
    <w:qFormat/>
    <w:rsid w:val="00D91944"/>
    <w:rPr>
      <w:rFonts w:cs="Times New Roman"/>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dane.gov.co/files/operaciones/ZF/bol-ZF-jun2023.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22232</Words>
  <Characters>122276</Characters>
  <Application>Microsoft Office Word</Application>
  <DocSecurity>0</DocSecurity>
  <Lines>1018</Lines>
  <Paragraphs>288</Paragraphs>
  <ScaleCrop>false</ScaleCrop>
  <Company/>
  <LinksUpToDate>false</LinksUpToDate>
  <CharactersWithSpaces>144220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2024-09-03T13:41:00Z</dcterms:created>
  <dcterms:modified xsi:type="dcterms:W3CDTF">2024-09-03T13:41:00Z</dcterms:modified>
</cp:coreProperties>
</file>