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4D91" w:rsidRPr="008936AF" w:rsidRDefault="00A96C4D">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8936AF">
        <w:rPr>
          <w:rFonts w:ascii="Times New Roman" w:hAnsi="Times New Roman" w:cs="Times New Roman"/>
          <w:sz w:val="28"/>
          <w:szCs w:val="24"/>
        </w:rPr>
        <w:t xml:space="preserve"> </w:t>
      </w:r>
    </w:p>
    <w:p w:rsidR="004D4D91" w:rsidRPr="008936AF" w:rsidRDefault="004D4D91">
      <w:pPr>
        <w:widowControl w:val="0"/>
        <w:autoSpaceDE w:val="0"/>
        <w:autoSpaceDN w:val="0"/>
        <w:adjustRightInd w:val="0"/>
        <w:spacing w:after="0" w:line="240" w:lineRule="auto"/>
        <w:rPr>
          <w:rFonts w:ascii="Times New Roman" w:hAnsi="Times New Roman" w:cs="Times New Roman"/>
          <w:sz w:val="28"/>
          <w:szCs w:val="28"/>
        </w:rPr>
      </w:pPr>
    </w:p>
    <w:p w:rsidR="004D4D91" w:rsidRPr="008936AF" w:rsidRDefault="00A96C4D">
      <w:pPr>
        <w:widowControl w:val="0"/>
        <w:autoSpaceDE w:val="0"/>
        <w:autoSpaceDN w:val="0"/>
        <w:adjustRightInd w:val="0"/>
        <w:spacing w:after="0" w:line="240" w:lineRule="auto"/>
        <w:jc w:val="center"/>
        <w:rPr>
          <w:rFonts w:ascii="Times New Roman" w:hAnsi="Times New Roman" w:cs="Times New Roman"/>
          <w:b/>
          <w:bCs/>
          <w:sz w:val="28"/>
          <w:szCs w:val="28"/>
        </w:rPr>
      </w:pPr>
      <w:r w:rsidRPr="008936AF">
        <w:rPr>
          <w:rFonts w:ascii="Times New Roman" w:hAnsi="Times New Roman" w:cs="Times New Roman"/>
          <w:b/>
          <w:bCs/>
          <w:sz w:val="28"/>
          <w:szCs w:val="28"/>
        </w:rPr>
        <w:t xml:space="preserve">TEMAS-SUBTEMAS </w:t>
      </w:r>
    </w:p>
    <w:p w:rsidR="004D4D91" w:rsidRPr="008936AF" w:rsidRDefault="004D4D91">
      <w:pPr>
        <w:widowControl w:val="0"/>
        <w:autoSpaceDE w:val="0"/>
        <w:autoSpaceDN w:val="0"/>
        <w:adjustRightInd w:val="0"/>
        <w:spacing w:after="0" w:line="240" w:lineRule="auto"/>
        <w:jc w:val="center"/>
        <w:rPr>
          <w:rFonts w:ascii="Times New Roman" w:hAnsi="Times New Roman" w:cs="Times New Roman"/>
          <w:b/>
          <w:bCs/>
          <w:sz w:val="28"/>
          <w:szCs w:val="28"/>
        </w:rPr>
      </w:pPr>
    </w:p>
    <w:p w:rsidR="004D4D91" w:rsidRPr="008936AF" w:rsidRDefault="00A96C4D">
      <w:pPr>
        <w:widowControl w:val="0"/>
        <w:autoSpaceDE w:val="0"/>
        <w:autoSpaceDN w:val="0"/>
        <w:adjustRightInd w:val="0"/>
        <w:spacing w:after="0" w:line="240" w:lineRule="auto"/>
        <w:jc w:val="center"/>
        <w:rPr>
          <w:rFonts w:ascii="Times New Roman" w:hAnsi="Times New Roman" w:cs="Times New Roman"/>
          <w:sz w:val="28"/>
          <w:szCs w:val="28"/>
        </w:rPr>
      </w:pPr>
      <w:r w:rsidRPr="008936AF">
        <w:rPr>
          <w:rFonts w:ascii="Times New Roman" w:hAnsi="Times New Roman" w:cs="Times New Roman"/>
          <w:b/>
          <w:bCs/>
          <w:sz w:val="28"/>
          <w:szCs w:val="28"/>
        </w:rPr>
        <w:t xml:space="preserve">Sentencia C-212/24 </w:t>
      </w:r>
    </w:p>
    <w:p w:rsidR="004D4D91" w:rsidRPr="008936AF" w:rsidRDefault="004D4D91">
      <w:pPr>
        <w:widowControl w:val="0"/>
        <w:autoSpaceDE w:val="0"/>
        <w:autoSpaceDN w:val="0"/>
        <w:adjustRightInd w:val="0"/>
        <w:spacing w:after="0" w:line="240" w:lineRule="auto"/>
        <w:jc w:val="both"/>
        <w:rPr>
          <w:rFonts w:ascii="Times New Roman" w:hAnsi="Times New Roman" w:cs="Times New Roman"/>
          <w:sz w:val="28"/>
          <w:szCs w:val="28"/>
        </w:rPr>
      </w:pPr>
    </w:p>
    <w:p w:rsidR="004D4D91" w:rsidRPr="008936AF" w:rsidRDefault="00A96C4D">
      <w:pPr>
        <w:widowControl w:val="0"/>
        <w:autoSpaceDE w:val="0"/>
        <w:autoSpaceDN w:val="0"/>
        <w:adjustRightInd w:val="0"/>
        <w:spacing w:after="0" w:line="240" w:lineRule="auto"/>
        <w:jc w:val="both"/>
        <w:rPr>
          <w:rFonts w:ascii="Times New Roman" w:hAnsi="Times New Roman" w:cs="Times New Roman"/>
          <w:sz w:val="28"/>
          <w:szCs w:val="28"/>
        </w:rPr>
      </w:pPr>
      <w:r w:rsidRPr="008936AF">
        <w:rPr>
          <w:rFonts w:ascii="Times New Roman" w:hAnsi="Times New Roman" w:cs="Times New Roman"/>
          <w:b/>
          <w:bCs/>
          <w:sz w:val="28"/>
          <w:szCs w:val="28"/>
        </w:rPr>
        <w:t>INHIBICION DE LA CORTE CONSTITUCIONAL POR INEPTITUD SUSTANTIVA DE LA DEMANDA</w:t>
      </w:r>
      <w:r w:rsidRPr="008936AF">
        <w:rPr>
          <w:rFonts w:ascii="Times New Roman" w:hAnsi="Times New Roman" w:cs="Times New Roman"/>
          <w:sz w:val="28"/>
          <w:szCs w:val="28"/>
        </w:rPr>
        <w:t xml:space="preserve">-Incumplimiento de requisitos de claridad, especificidad y suficiencia en los cargos </w:t>
      </w:r>
    </w:p>
    <w:p w:rsidR="004D4D91" w:rsidRPr="008936AF" w:rsidRDefault="004D4D91">
      <w:pPr>
        <w:widowControl w:val="0"/>
        <w:autoSpaceDE w:val="0"/>
        <w:autoSpaceDN w:val="0"/>
        <w:adjustRightInd w:val="0"/>
        <w:spacing w:after="0" w:line="240" w:lineRule="auto"/>
        <w:jc w:val="both"/>
        <w:rPr>
          <w:rFonts w:ascii="Times New Roman" w:hAnsi="Times New Roman" w:cs="Times New Roman"/>
          <w:sz w:val="28"/>
          <w:szCs w:val="28"/>
        </w:rPr>
      </w:pPr>
    </w:p>
    <w:p w:rsidR="004D4D91" w:rsidRPr="008936AF" w:rsidRDefault="00A96C4D">
      <w:pPr>
        <w:widowControl w:val="0"/>
        <w:autoSpaceDE w:val="0"/>
        <w:autoSpaceDN w:val="0"/>
        <w:adjustRightInd w:val="0"/>
        <w:spacing w:after="0" w:line="240" w:lineRule="auto"/>
        <w:jc w:val="both"/>
        <w:rPr>
          <w:rFonts w:ascii="Times New Roman" w:hAnsi="Times New Roman" w:cs="Times New Roman"/>
          <w:sz w:val="28"/>
          <w:szCs w:val="28"/>
        </w:rPr>
      </w:pPr>
      <w:r w:rsidRPr="008936AF">
        <w:rPr>
          <w:rFonts w:ascii="Times New Roman" w:hAnsi="Times New Roman" w:cs="Times New Roman"/>
          <w:b/>
          <w:bCs/>
          <w:sz w:val="28"/>
          <w:szCs w:val="28"/>
        </w:rPr>
        <w:t>INHIBICION DE LA CORTE EN DEMANDA DE INCONSTITUCIONALIDAD DE INTERPRETACION JUDICIAL</w:t>
      </w:r>
      <w:r w:rsidRPr="008936AF">
        <w:rPr>
          <w:rFonts w:ascii="Times New Roman" w:hAnsi="Times New Roman" w:cs="Times New Roman"/>
          <w:sz w:val="28"/>
          <w:szCs w:val="28"/>
        </w:rPr>
        <w:t xml:space="preserve"> </w:t>
      </w:r>
    </w:p>
    <w:p w:rsidR="004D4D91" w:rsidRPr="008936AF" w:rsidRDefault="004D4D91">
      <w:pPr>
        <w:widowControl w:val="0"/>
        <w:autoSpaceDE w:val="0"/>
        <w:autoSpaceDN w:val="0"/>
        <w:adjustRightInd w:val="0"/>
        <w:spacing w:after="0" w:line="240" w:lineRule="auto"/>
        <w:jc w:val="both"/>
        <w:rPr>
          <w:rFonts w:ascii="Times New Roman" w:hAnsi="Times New Roman" w:cs="Times New Roman"/>
          <w:sz w:val="28"/>
          <w:szCs w:val="28"/>
        </w:rPr>
      </w:pPr>
    </w:p>
    <w:p w:rsidR="004D4D91" w:rsidRPr="008936AF" w:rsidRDefault="00A96C4D">
      <w:pPr>
        <w:widowControl w:val="0"/>
        <w:autoSpaceDE w:val="0"/>
        <w:autoSpaceDN w:val="0"/>
        <w:adjustRightInd w:val="0"/>
        <w:spacing w:after="0" w:line="240" w:lineRule="auto"/>
        <w:jc w:val="both"/>
        <w:rPr>
          <w:rFonts w:ascii="Times New Roman" w:hAnsi="Times New Roman" w:cs="Times New Roman"/>
          <w:sz w:val="28"/>
          <w:szCs w:val="28"/>
        </w:rPr>
      </w:pPr>
      <w:r w:rsidRPr="008936AF">
        <w:rPr>
          <w:rFonts w:ascii="Times New Roman" w:hAnsi="Times New Roman" w:cs="Times New Roman"/>
          <w:b/>
          <w:bCs/>
          <w:sz w:val="28"/>
          <w:szCs w:val="28"/>
        </w:rPr>
        <w:t>DEMANDA DE INCONSTITUCIONALIDAD CONTRA INTERPRETACIONES JUDICIALES Y ADMINISTRATIVAS</w:t>
      </w:r>
      <w:r w:rsidRPr="008936AF">
        <w:rPr>
          <w:rFonts w:ascii="Times New Roman" w:hAnsi="Times New Roman" w:cs="Times New Roman"/>
          <w:sz w:val="28"/>
          <w:szCs w:val="28"/>
        </w:rPr>
        <w:t xml:space="preserve">-Requisitos </w:t>
      </w:r>
    </w:p>
    <w:p w:rsidR="004D4D91" w:rsidRPr="008936AF" w:rsidRDefault="004D4D91">
      <w:pPr>
        <w:widowControl w:val="0"/>
        <w:autoSpaceDE w:val="0"/>
        <w:autoSpaceDN w:val="0"/>
        <w:adjustRightInd w:val="0"/>
        <w:spacing w:after="0" w:line="240" w:lineRule="auto"/>
        <w:jc w:val="both"/>
        <w:rPr>
          <w:rFonts w:ascii="Times New Roman" w:hAnsi="Times New Roman" w:cs="Times New Roman"/>
          <w:sz w:val="28"/>
          <w:szCs w:val="28"/>
        </w:rPr>
      </w:pPr>
    </w:p>
    <w:p w:rsidR="004D4D91" w:rsidRPr="008936AF" w:rsidRDefault="00A96C4D">
      <w:pPr>
        <w:widowControl w:val="0"/>
        <w:autoSpaceDE w:val="0"/>
        <w:autoSpaceDN w:val="0"/>
        <w:adjustRightInd w:val="0"/>
        <w:spacing w:after="0" w:line="240" w:lineRule="auto"/>
        <w:jc w:val="both"/>
        <w:rPr>
          <w:rFonts w:ascii="Times New Roman" w:hAnsi="Times New Roman" w:cs="Times New Roman"/>
          <w:sz w:val="28"/>
          <w:szCs w:val="28"/>
        </w:rPr>
      </w:pPr>
      <w:r w:rsidRPr="008936AF">
        <w:rPr>
          <w:rFonts w:ascii="Times New Roman" w:hAnsi="Times New Roman" w:cs="Times New Roman"/>
          <w:b/>
          <w:bCs/>
          <w:sz w:val="28"/>
          <w:szCs w:val="28"/>
        </w:rPr>
        <w:t>CONTROL CONSTITUCIONAL DE INTERPRETACIONES JUDICIALES</w:t>
      </w:r>
      <w:r w:rsidRPr="008936AF">
        <w:rPr>
          <w:rFonts w:ascii="Times New Roman" w:hAnsi="Times New Roman" w:cs="Times New Roman"/>
          <w:sz w:val="28"/>
          <w:szCs w:val="28"/>
        </w:rPr>
        <w:t>-Jurisprudencia constitucional</w:t>
      </w:r>
      <w:r w:rsidRPr="008936AF">
        <w:rPr>
          <w:rFonts w:ascii="Times New Roman" w:hAnsi="Times New Roman" w:cs="Times New Roman"/>
          <w:b/>
          <w:bCs/>
          <w:sz w:val="28"/>
          <w:szCs w:val="28"/>
        </w:rPr>
        <w:t>/DERECHO VIVIENTE EN CONTROL DE CONSTITUCIONALIDAD</w:t>
      </w:r>
      <w:r w:rsidRPr="008936AF">
        <w:rPr>
          <w:rFonts w:ascii="Times New Roman" w:hAnsi="Times New Roman" w:cs="Times New Roman"/>
          <w:sz w:val="28"/>
          <w:szCs w:val="28"/>
        </w:rPr>
        <w:t xml:space="preserve">-Alcance </w:t>
      </w:r>
    </w:p>
    <w:p w:rsidR="004D4D91" w:rsidRPr="008936AF" w:rsidRDefault="004D4D91">
      <w:pPr>
        <w:widowControl w:val="0"/>
        <w:autoSpaceDE w:val="0"/>
        <w:autoSpaceDN w:val="0"/>
        <w:adjustRightInd w:val="0"/>
        <w:spacing w:after="0" w:line="240" w:lineRule="auto"/>
        <w:jc w:val="both"/>
        <w:rPr>
          <w:rFonts w:ascii="Times New Roman" w:hAnsi="Times New Roman" w:cs="Times New Roman"/>
          <w:sz w:val="28"/>
          <w:szCs w:val="28"/>
        </w:rPr>
      </w:pPr>
    </w:p>
    <w:p w:rsidR="004D4D91" w:rsidRPr="008936AF" w:rsidRDefault="008936AF">
      <w:pPr>
        <w:widowControl w:val="0"/>
        <w:autoSpaceDE w:val="0"/>
        <w:autoSpaceDN w:val="0"/>
        <w:adjustRightInd w:val="0"/>
        <w:spacing w:after="0" w:line="240" w:lineRule="auto"/>
        <w:jc w:val="both"/>
        <w:rPr>
          <w:rFonts w:ascii="Times New Roman" w:hAnsi="Times New Roman" w:cs="Times New Roman"/>
          <w:sz w:val="28"/>
        </w:rPr>
      </w:pPr>
      <w:r w:rsidRPr="008936AF">
        <w:rPr>
          <w:rFonts w:ascii="Times New Roman" w:hAnsi="Times New Roman" w:cs="Times New Roman"/>
          <w:sz w:val="28"/>
          <w:szCs w:val="28"/>
        </w:rPr>
        <w:pict>
          <v:rect id="_x0000_i1025" style="width:0;height:1.5pt" o:hralign="center" o:hrstd="t" o:hr="t" fillcolor="#a0a0a0" stroked="f"/>
        </w:pict>
      </w:r>
    </w:p>
    <w:p w:rsidR="001B753C" w:rsidRPr="008936AF" w:rsidRDefault="008936AF" w:rsidP="009268B9">
      <w:pPr>
        <w:tabs>
          <w:tab w:val="left" w:pos="709"/>
        </w:tabs>
        <w:ind w:left="709" w:right="51" w:hanging="709"/>
        <w:jc w:val="center"/>
        <w:outlineLvl w:val="0"/>
        <w:rPr>
          <w:rFonts w:ascii="Times New Roman" w:hAnsi="Times New Roman" w:cs="Times New Roman"/>
          <w:b/>
          <w:sz w:val="28"/>
          <w:szCs w:val="28"/>
        </w:rPr>
      </w:pPr>
      <w:r w:rsidRPr="008936AF">
        <w:rPr>
          <w:rFonts w:ascii="Times New Roman" w:hAnsi="Times New Roman" w:cs="Times New Roman"/>
          <w:b/>
          <w:sz w:val="28"/>
          <w:szCs w:val="28"/>
        </w:rPr>
        <w:t>REPÚBLICA DE COLOMBIA</w:t>
      </w:r>
    </w:p>
    <w:p w:rsidR="001B753C" w:rsidRPr="008936AF" w:rsidRDefault="008936AF" w:rsidP="009268B9">
      <w:pPr>
        <w:jc w:val="center"/>
        <w:rPr>
          <w:rFonts w:ascii="Times New Roman" w:hAnsi="Times New Roman" w:cs="Times New Roman"/>
          <w:sz w:val="28"/>
          <w:szCs w:val="28"/>
        </w:rPr>
      </w:pPr>
    </w:p>
    <w:p w:rsidR="001B753C" w:rsidRPr="008936AF" w:rsidRDefault="008936AF" w:rsidP="009268B9">
      <w:pPr>
        <w:tabs>
          <w:tab w:val="left" w:pos="709"/>
        </w:tabs>
        <w:ind w:left="709" w:right="51" w:hanging="709"/>
        <w:jc w:val="center"/>
        <w:rPr>
          <w:rFonts w:ascii="Times New Roman" w:hAnsi="Times New Roman" w:cs="Times New Roman"/>
          <w:b/>
          <w:sz w:val="28"/>
          <w:szCs w:val="28"/>
        </w:rPr>
      </w:pPr>
      <w:r w:rsidRPr="008936AF">
        <w:rPr>
          <w:rFonts w:ascii="Times New Roman" w:hAnsi="Times New Roman" w:cs="Times New Roman"/>
          <w:b/>
          <w:noProof/>
          <w:sz w:val="28"/>
          <w:szCs w:val="28"/>
        </w:rPr>
        <w:drawing>
          <wp:inline distT="0" distB="0" distL="0" distR="0">
            <wp:extent cx="800100" cy="838200"/>
            <wp:effectExtent l="0" t="0" r="0" b="0"/>
            <wp:docPr id="1" name="image2.png" descr="imagen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imagenes/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838200"/>
                    </a:xfrm>
                    <a:prstGeom prst="rect">
                      <a:avLst/>
                    </a:prstGeom>
                    <a:noFill/>
                    <a:ln>
                      <a:noFill/>
                    </a:ln>
                  </pic:spPr>
                </pic:pic>
              </a:graphicData>
            </a:graphic>
          </wp:inline>
        </w:drawing>
      </w:r>
    </w:p>
    <w:p w:rsidR="001B753C" w:rsidRPr="008936AF" w:rsidRDefault="008936AF" w:rsidP="009268B9">
      <w:pPr>
        <w:tabs>
          <w:tab w:val="left" w:pos="709"/>
        </w:tabs>
        <w:ind w:right="51"/>
        <w:jc w:val="both"/>
        <w:rPr>
          <w:rFonts w:ascii="Times New Roman" w:hAnsi="Times New Roman" w:cs="Times New Roman"/>
          <w:b/>
          <w:sz w:val="28"/>
          <w:szCs w:val="28"/>
        </w:rPr>
      </w:pPr>
    </w:p>
    <w:p w:rsidR="001B753C" w:rsidRPr="008936AF" w:rsidRDefault="008936AF" w:rsidP="009268B9">
      <w:pPr>
        <w:tabs>
          <w:tab w:val="left" w:pos="709"/>
        </w:tabs>
        <w:ind w:left="709" w:right="51" w:hanging="709"/>
        <w:jc w:val="center"/>
        <w:outlineLvl w:val="0"/>
        <w:rPr>
          <w:rFonts w:ascii="Times New Roman" w:hAnsi="Times New Roman" w:cs="Times New Roman"/>
          <w:b/>
          <w:sz w:val="28"/>
          <w:szCs w:val="28"/>
        </w:rPr>
      </w:pPr>
      <w:r w:rsidRPr="008936AF">
        <w:rPr>
          <w:rFonts w:ascii="Times New Roman" w:hAnsi="Times New Roman" w:cs="Times New Roman"/>
          <w:b/>
          <w:sz w:val="28"/>
          <w:szCs w:val="28"/>
        </w:rPr>
        <w:t>CORTE CONSTITUCIONAL</w:t>
      </w:r>
    </w:p>
    <w:p w:rsidR="004C19EB" w:rsidRPr="008936AF" w:rsidRDefault="008936AF" w:rsidP="009268B9">
      <w:pPr>
        <w:ind w:right="51"/>
        <w:jc w:val="center"/>
        <w:rPr>
          <w:rFonts w:ascii="Times New Roman" w:hAnsi="Times New Roman" w:cs="Times New Roman"/>
          <w:b/>
          <w:sz w:val="28"/>
        </w:rPr>
      </w:pPr>
    </w:p>
    <w:p w:rsidR="000766C8" w:rsidRPr="008936AF" w:rsidRDefault="008936AF" w:rsidP="009268B9">
      <w:pPr>
        <w:pStyle w:val="Textoindependiente2"/>
        <w:ind w:right="51"/>
        <w:rPr>
          <w:rFonts w:ascii="Times New Roman" w:hAnsi="Times New Roman" w:cs="Times New Roman"/>
          <w:sz w:val="28"/>
          <w:szCs w:val="28"/>
        </w:rPr>
      </w:pPr>
      <w:r w:rsidRPr="008936AF">
        <w:rPr>
          <w:rFonts w:ascii="Times New Roman" w:hAnsi="Times New Roman" w:cs="Times New Roman"/>
          <w:sz w:val="28"/>
          <w:szCs w:val="28"/>
        </w:rPr>
        <w:t>SENTENCIA C-</w:t>
      </w:r>
      <w:r w:rsidRPr="008936AF">
        <w:rPr>
          <w:rFonts w:ascii="Times New Roman" w:hAnsi="Times New Roman" w:cs="Times New Roman"/>
          <w:sz w:val="28"/>
          <w:szCs w:val="28"/>
        </w:rPr>
        <w:t>212</w:t>
      </w:r>
      <w:r w:rsidRPr="008936AF">
        <w:rPr>
          <w:rFonts w:ascii="Times New Roman" w:hAnsi="Times New Roman" w:cs="Times New Roman"/>
          <w:sz w:val="28"/>
          <w:szCs w:val="28"/>
        </w:rPr>
        <w:t xml:space="preserve"> DE 2024</w:t>
      </w:r>
    </w:p>
    <w:p w:rsidR="004C19EB" w:rsidRPr="008936AF" w:rsidRDefault="008936AF" w:rsidP="009268B9">
      <w:pPr>
        <w:pStyle w:val="Textoindependiente2"/>
        <w:ind w:right="51"/>
        <w:rPr>
          <w:rFonts w:ascii="Times New Roman" w:hAnsi="Times New Roman" w:cs="Times New Roman"/>
          <w:sz w:val="28"/>
          <w:szCs w:val="28"/>
        </w:rPr>
      </w:pPr>
    </w:p>
    <w:p w:rsidR="00771BFC" w:rsidRPr="008936AF" w:rsidRDefault="008936AF" w:rsidP="009268B9">
      <w:pPr>
        <w:pStyle w:val="Textoindependiente2"/>
        <w:ind w:right="51"/>
        <w:rPr>
          <w:rFonts w:ascii="Times New Roman" w:hAnsi="Times New Roman" w:cs="Times New Roman"/>
          <w:sz w:val="28"/>
          <w:szCs w:val="28"/>
        </w:rPr>
      </w:pPr>
    </w:p>
    <w:p w:rsidR="00A131FA" w:rsidRPr="008936AF" w:rsidRDefault="008936AF" w:rsidP="009268B9">
      <w:pPr>
        <w:tabs>
          <w:tab w:val="left" w:pos="748"/>
          <w:tab w:val="left" w:pos="3960"/>
        </w:tabs>
        <w:ind w:left="3960" w:right="51"/>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Ref.: Expediente D-1</w:t>
      </w:r>
      <w:r w:rsidRPr="008936AF">
        <w:rPr>
          <w:rFonts w:ascii="Times New Roman" w:hAnsi="Times New Roman" w:cs="Times New Roman"/>
          <w:sz w:val="28"/>
          <w:szCs w:val="28"/>
          <w:lang w:val="es-ES"/>
        </w:rPr>
        <w:t>5</w:t>
      </w:r>
      <w:r w:rsidRPr="008936AF">
        <w:rPr>
          <w:rFonts w:ascii="Times New Roman" w:hAnsi="Times New Roman" w:cs="Times New Roman"/>
          <w:sz w:val="28"/>
          <w:szCs w:val="28"/>
          <w:lang w:val="es-ES"/>
        </w:rPr>
        <w:t>563</w:t>
      </w:r>
    </w:p>
    <w:p w:rsidR="00A131FA" w:rsidRPr="008936AF" w:rsidRDefault="008936AF" w:rsidP="009268B9">
      <w:pPr>
        <w:tabs>
          <w:tab w:val="left" w:pos="748"/>
          <w:tab w:val="left" w:pos="3960"/>
        </w:tabs>
        <w:ind w:left="3960" w:right="51"/>
        <w:jc w:val="both"/>
        <w:rPr>
          <w:rFonts w:ascii="Times New Roman" w:hAnsi="Times New Roman" w:cs="Times New Roman"/>
          <w:sz w:val="28"/>
          <w:szCs w:val="28"/>
          <w:lang w:val="es-ES"/>
        </w:rPr>
      </w:pPr>
    </w:p>
    <w:p w:rsidR="004C19EB" w:rsidRPr="008936AF" w:rsidRDefault="008936AF" w:rsidP="009268B9">
      <w:pPr>
        <w:tabs>
          <w:tab w:val="left" w:pos="748"/>
          <w:tab w:val="left" w:pos="3960"/>
        </w:tabs>
        <w:ind w:left="3958" w:right="51"/>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Demanda de inconstitucionalidad</w:t>
      </w:r>
      <w:r w:rsidRPr="008936AF">
        <w:rPr>
          <w:rFonts w:ascii="Times New Roman" w:hAnsi="Times New Roman" w:cs="Times New Roman"/>
          <w:sz w:val="28"/>
          <w:szCs w:val="28"/>
          <w:lang w:val="es-ES"/>
        </w:rPr>
        <w:t xml:space="preserve"> contra </w:t>
      </w:r>
      <w:r w:rsidRPr="008936AF">
        <w:rPr>
          <w:rFonts w:ascii="Times New Roman" w:hAnsi="Times New Roman" w:cs="Times New Roman"/>
          <w:sz w:val="28"/>
          <w:szCs w:val="28"/>
        </w:rPr>
        <w:t xml:space="preserve">el artículo </w:t>
      </w:r>
      <w:r w:rsidRPr="008936AF">
        <w:rPr>
          <w:rFonts w:ascii="Times New Roman" w:hAnsi="Times New Roman" w:cs="Times New Roman"/>
          <w:sz w:val="28"/>
          <w:szCs w:val="28"/>
        </w:rPr>
        <w:t>65</w:t>
      </w:r>
      <w:r w:rsidRPr="008936AF">
        <w:rPr>
          <w:rFonts w:ascii="Times New Roman" w:hAnsi="Times New Roman" w:cs="Times New Roman"/>
          <w:sz w:val="28"/>
        </w:rPr>
        <w:t xml:space="preserve"> </w:t>
      </w:r>
      <w:r w:rsidRPr="008936AF">
        <w:rPr>
          <w:rFonts w:ascii="Times New Roman" w:hAnsi="Times New Roman" w:cs="Times New Roman"/>
          <w:sz w:val="28"/>
        </w:rPr>
        <w:t xml:space="preserve">(parcial) </w:t>
      </w:r>
      <w:r w:rsidRPr="008936AF">
        <w:rPr>
          <w:rFonts w:ascii="Times New Roman" w:hAnsi="Times New Roman" w:cs="Times New Roman"/>
          <w:sz w:val="28"/>
        </w:rPr>
        <w:t xml:space="preserve">del </w:t>
      </w:r>
      <w:r w:rsidRPr="008936AF">
        <w:rPr>
          <w:rFonts w:ascii="Times New Roman" w:hAnsi="Times New Roman" w:cs="Times New Roman"/>
          <w:sz w:val="28"/>
        </w:rPr>
        <w:t>Código Sustantivo del Trabajo</w:t>
      </w:r>
      <w:r w:rsidRPr="008936AF">
        <w:rPr>
          <w:rFonts w:ascii="Times New Roman" w:hAnsi="Times New Roman" w:cs="Times New Roman"/>
          <w:sz w:val="28"/>
        </w:rPr>
        <w:t xml:space="preserve"> modificado por el artículo 29 de la Ley 789 de 2002</w:t>
      </w:r>
      <w:r w:rsidRPr="008936AF">
        <w:rPr>
          <w:rFonts w:ascii="Times New Roman" w:hAnsi="Times New Roman" w:cs="Times New Roman"/>
          <w:sz w:val="28"/>
        </w:rPr>
        <w:t>.</w:t>
      </w:r>
      <w:r w:rsidRPr="008936AF">
        <w:rPr>
          <w:rFonts w:ascii="Times New Roman" w:hAnsi="Times New Roman" w:cs="Times New Roman"/>
          <w:sz w:val="28"/>
        </w:rPr>
        <w:t xml:space="preserve"> </w:t>
      </w:r>
    </w:p>
    <w:p w:rsidR="00771BFC" w:rsidRPr="008936AF" w:rsidRDefault="008936AF" w:rsidP="009268B9">
      <w:pPr>
        <w:tabs>
          <w:tab w:val="left" w:pos="748"/>
          <w:tab w:val="left" w:pos="2520"/>
        </w:tabs>
        <w:ind w:left="3958" w:right="51"/>
        <w:jc w:val="both"/>
        <w:rPr>
          <w:rFonts w:ascii="Times New Roman" w:hAnsi="Times New Roman" w:cs="Times New Roman"/>
          <w:sz w:val="28"/>
          <w:szCs w:val="28"/>
        </w:rPr>
      </w:pPr>
    </w:p>
    <w:p w:rsidR="00D51739" w:rsidRPr="008936AF" w:rsidRDefault="008936AF" w:rsidP="009268B9">
      <w:pPr>
        <w:tabs>
          <w:tab w:val="left" w:pos="748"/>
          <w:tab w:val="left" w:pos="2520"/>
        </w:tabs>
        <w:ind w:left="3960" w:right="51"/>
        <w:jc w:val="both"/>
        <w:rPr>
          <w:rFonts w:ascii="Times New Roman" w:hAnsi="Times New Roman" w:cs="Times New Roman"/>
          <w:sz w:val="28"/>
          <w:szCs w:val="28"/>
        </w:rPr>
      </w:pPr>
      <w:r w:rsidRPr="008936AF">
        <w:rPr>
          <w:rFonts w:ascii="Times New Roman" w:hAnsi="Times New Roman" w:cs="Times New Roman"/>
          <w:sz w:val="28"/>
          <w:szCs w:val="28"/>
        </w:rPr>
        <w:t>Magistrad</w:t>
      </w:r>
      <w:r w:rsidRPr="008936AF">
        <w:rPr>
          <w:rFonts w:ascii="Times New Roman" w:hAnsi="Times New Roman" w:cs="Times New Roman"/>
          <w:sz w:val="28"/>
          <w:szCs w:val="28"/>
        </w:rPr>
        <w:t>a</w:t>
      </w:r>
      <w:r w:rsidRPr="008936AF">
        <w:rPr>
          <w:rFonts w:ascii="Times New Roman" w:hAnsi="Times New Roman" w:cs="Times New Roman"/>
          <w:sz w:val="28"/>
          <w:szCs w:val="28"/>
        </w:rPr>
        <w:t xml:space="preserve"> Sustanciador</w:t>
      </w:r>
      <w:r w:rsidRPr="008936AF">
        <w:rPr>
          <w:rFonts w:ascii="Times New Roman" w:hAnsi="Times New Roman" w:cs="Times New Roman"/>
          <w:sz w:val="28"/>
          <w:szCs w:val="28"/>
        </w:rPr>
        <w:t>a</w:t>
      </w:r>
      <w:r w:rsidRPr="008936AF">
        <w:rPr>
          <w:rFonts w:ascii="Times New Roman" w:hAnsi="Times New Roman" w:cs="Times New Roman"/>
          <w:sz w:val="28"/>
          <w:szCs w:val="28"/>
        </w:rPr>
        <w:t>:</w:t>
      </w:r>
    </w:p>
    <w:p w:rsidR="004C19EB" w:rsidRPr="008936AF" w:rsidRDefault="008936AF" w:rsidP="009268B9">
      <w:pPr>
        <w:tabs>
          <w:tab w:val="left" w:pos="748"/>
          <w:tab w:val="left" w:pos="2520"/>
        </w:tabs>
        <w:ind w:left="3960" w:right="51"/>
        <w:jc w:val="both"/>
        <w:rPr>
          <w:rFonts w:ascii="Times New Roman" w:hAnsi="Times New Roman" w:cs="Times New Roman"/>
          <w:sz w:val="28"/>
          <w:szCs w:val="28"/>
        </w:rPr>
      </w:pPr>
      <w:r w:rsidRPr="008936AF">
        <w:rPr>
          <w:rFonts w:ascii="Times New Roman" w:hAnsi="Times New Roman" w:cs="Times New Roman"/>
          <w:sz w:val="28"/>
          <w:szCs w:val="28"/>
        </w:rPr>
        <w:t>CRISTINA PARDO SCHLESINGER</w:t>
      </w:r>
    </w:p>
    <w:p w:rsidR="004C19EB" w:rsidRPr="008936AF" w:rsidRDefault="008936AF" w:rsidP="009268B9">
      <w:pPr>
        <w:ind w:right="51"/>
        <w:jc w:val="center"/>
        <w:rPr>
          <w:rFonts w:ascii="Times New Roman" w:hAnsi="Times New Roman" w:cs="Times New Roman"/>
          <w:sz w:val="28"/>
          <w:szCs w:val="28"/>
        </w:rPr>
      </w:pPr>
    </w:p>
    <w:p w:rsidR="004C19EB" w:rsidRPr="008936AF" w:rsidRDefault="008936AF" w:rsidP="009268B9">
      <w:pPr>
        <w:ind w:right="51"/>
        <w:jc w:val="both"/>
        <w:rPr>
          <w:rFonts w:ascii="Times New Roman" w:hAnsi="Times New Roman" w:cs="Times New Roman"/>
          <w:sz w:val="28"/>
          <w:szCs w:val="28"/>
        </w:rPr>
      </w:pPr>
      <w:r w:rsidRPr="008936AF">
        <w:rPr>
          <w:rFonts w:ascii="Times New Roman" w:hAnsi="Times New Roman" w:cs="Times New Roman"/>
          <w:sz w:val="28"/>
          <w:szCs w:val="28"/>
        </w:rPr>
        <w:t>Bogotá, D.C.,</w:t>
      </w:r>
      <w:r w:rsidRPr="008936AF">
        <w:rPr>
          <w:rFonts w:ascii="Times New Roman" w:hAnsi="Times New Roman" w:cs="Times New Roman"/>
          <w:sz w:val="28"/>
          <w:szCs w:val="28"/>
        </w:rPr>
        <w:t xml:space="preserve"> </w:t>
      </w:r>
      <w:r w:rsidRPr="008936AF">
        <w:rPr>
          <w:rFonts w:ascii="Times New Roman" w:hAnsi="Times New Roman" w:cs="Times New Roman"/>
          <w:sz w:val="28"/>
          <w:szCs w:val="28"/>
        </w:rPr>
        <w:t>seis</w:t>
      </w:r>
      <w:r w:rsidRPr="008936AF">
        <w:rPr>
          <w:rFonts w:ascii="Times New Roman" w:hAnsi="Times New Roman" w:cs="Times New Roman"/>
          <w:sz w:val="28"/>
          <w:szCs w:val="28"/>
        </w:rPr>
        <w:t xml:space="preserve"> </w:t>
      </w:r>
      <w:r w:rsidRPr="008936AF">
        <w:rPr>
          <w:rFonts w:ascii="Times New Roman" w:hAnsi="Times New Roman" w:cs="Times New Roman"/>
          <w:sz w:val="28"/>
          <w:szCs w:val="28"/>
        </w:rPr>
        <w:t>(</w:t>
      </w:r>
      <w:r w:rsidRPr="008936AF">
        <w:rPr>
          <w:rFonts w:ascii="Times New Roman" w:hAnsi="Times New Roman" w:cs="Times New Roman"/>
          <w:sz w:val="28"/>
          <w:szCs w:val="28"/>
        </w:rPr>
        <w:t>6</w:t>
      </w:r>
      <w:r w:rsidRPr="008936AF">
        <w:rPr>
          <w:rFonts w:ascii="Times New Roman" w:hAnsi="Times New Roman" w:cs="Times New Roman"/>
          <w:sz w:val="28"/>
          <w:szCs w:val="28"/>
        </w:rPr>
        <w:t>)</w:t>
      </w:r>
      <w:r w:rsidRPr="008936AF">
        <w:rPr>
          <w:rFonts w:ascii="Times New Roman" w:hAnsi="Times New Roman" w:cs="Times New Roman"/>
          <w:sz w:val="28"/>
          <w:szCs w:val="28"/>
        </w:rPr>
        <w:t xml:space="preserve"> de </w:t>
      </w:r>
      <w:r w:rsidRPr="008936AF">
        <w:rPr>
          <w:rFonts w:ascii="Times New Roman" w:hAnsi="Times New Roman" w:cs="Times New Roman"/>
          <w:sz w:val="28"/>
          <w:szCs w:val="28"/>
        </w:rPr>
        <w:t>junio</w:t>
      </w:r>
      <w:r w:rsidRPr="008936AF">
        <w:rPr>
          <w:rFonts w:ascii="Times New Roman" w:hAnsi="Times New Roman" w:cs="Times New Roman"/>
          <w:sz w:val="28"/>
          <w:szCs w:val="28"/>
        </w:rPr>
        <w:t xml:space="preserve"> </w:t>
      </w:r>
      <w:r w:rsidRPr="008936AF">
        <w:rPr>
          <w:rFonts w:ascii="Times New Roman" w:hAnsi="Times New Roman" w:cs="Times New Roman"/>
          <w:sz w:val="28"/>
          <w:szCs w:val="28"/>
        </w:rPr>
        <w:t xml:space="preserve">de dos mil </w:t>
      </w:r>
      <w:r w:rsidRPr="008936AF">
        <w:rPr>
          <w:rFonts w:ascii="Times New Roman" w:hAnsi="Times New Roman" w:cs="Times New Roman"/>
          <w:sz w:val="28"/>
          <w:szCs w:val="28"/>
        </w:rPr>
        <w:t>veinti</w:t>
      </w:r>
      <w:r w:rsidRPr="008936AF">
        <w:rPr>
          <w:rFonts w:ascii="Times New Roman" w:hAnsi="Times New Roman" w:cs="Times New Roman"/>
          <w:sz w:val="28"/>
          <w:szCs w:val="28"/>
        </w:rPr>
        <w:t>cuatro</w:t>
      </w:r>
      <w:r w:rsidRPr="008936AF">
        <w:rPr>
          <w:rFonts w:ascii="Times New Roman" w:hAnsi="Times New Roman" w:cs="Times New Roman"/>
          <w:sz w:val="28"/>
          <w:szCs w:val="28"/>
        </w:rPr>
        <w:t xml:space="preserve"> </w:t>
      </w:r>
      <w:r w:rsidRPr="008936AF">
        <w:rPr>
          <w:rFonts w:ascii="Times New Roman" w:hAnsi="Times New Roman" w:cs="Times New Roman"/>
          <w:sz w:val="28"/>
          <w:szCs w:val="28"/>
        </w:rPr>
        <w:t>(20</w:t>
      </w:r>
      <w:r w:rsidRPr="008936AF">
        <w:rPr>
          <w:rFonts w:ascii="Times New Roman" w:hAnsi="Times New Roman" w:cs="Times New Roman"/>
          <w:sz w:val="28"/>
          <w:szCs w:val="28"/>
        </w:rPr>
        <w:t>2</w:t>
      </w:r>
      <w:r w:rsidRPr="008936AF">
        <w:rPr>
          <w:rFonts w:ascii="Times New Roman" w:hAnsi="Times New Roman" w:cs="Times New Roman"/>
          <w:sz w:val="28"/>
          <w:szCs w:val="28"/>
        </w:rPr>
        <w:t>4</w:t>
      </w:r>
      <w:r w:rsidRPr="008936AF">
        <w:rPr>
          <w:rFonts w:ascii="Times New Roman" w:hAnsi="Times New Roman" w:cs="Times New Roman"/>
          <w:sz w:val="28"/>
          <w:szCs w:val="28"/>
        </w:rPr>
        <w:t>)</w:t>
      </w:r>
      <w:r w:rsidRPr="008936AF">
        <w:rPr>
          <w:rFonts w:ascii="Times New Roman" w:hAnsi="Times New Roman" w:cs="Times New Roman"/>
          <w:sz w:val="28"/>
          <w:szCs w:val="28"/>
        </w:rPr>
        <w:t>.</w:t>
      </w:r>
    </w:p>
    <w:p w:rsidR="004C19EB" w:rsidRPr="008936AF" w:rsidRDefault="008936AF" w:rsidP="009268B9">
      <w:pPr>
        <w:ind w:right="51"/>
        <w:jc w:val="both"/>
        <w:rPr>
          <w:rFonts w:ascii="Times New Roman" w:hAnsi="Times New Roman" w:cs="Times New Roman"/>
          <w:sz w:val="28"/>
          <w:szCs w:val="28"/>
        </w:rPr>
      </w:pPr>
    </w:p>
    <w:p w:rsidR="001406A0" w:rsidRPr="008936AF" w:rsidRDefault="008936AF" w:rsidP="009268B9">
      <w:pPr>
        <w:jc w:val="both"/>
        <w:rPr>
          <w:rFonts w:ascii="Times New Roman" w:hAnsi="Times New Roman" w:cs="Times New Roman"/>
          <w:color w:val="000000"/>
          <w:sz w:val="28"/>
          <w:szCs w:val="28"/>
          <w:shd w:val="clear" w:color="auto" w:fill="FFFFFF"/>
        </w:rPr>
      </w:pPr>
      <w:r w:rsidRPr="008936AF">
        <w:rPr>
          <w:rFonts w:ascii="Times New Roman" w:hAnsi="Times New Roman" w:cs="Times New Roman"/>
          <w:color w:val="000000"/>
          <w:sz w:val="28"/>
          <w:szCs w:val="28"/>
          <w:shd w:val="clear" w:color="auto" w:fill="FFFFFF"/>
        </w:rPr>
        <w:t xml:space="preserve">La Sala Plena de la Corte Constitucional, en ejercicio de sus atribuciones </w:t>
      </w:r>
      <w:r w:rsidRPr="008936AF">
        <w:rPr>
          <w:rFonts w:ascii="Times New Roman" w:hAnsi="Times New Roman" w:cs="Times New Roman"/>
          <w:color w:val="000000"/>
          <w:sz w:val="28"/>
          <w:szCs w:val="28"/>
          <w:shd w:val="clear" w:color="auto" w:fill="FFFFFF"/>
        </w:rPr>
        <w:t>constitucionales y legales, en especial de las previstas en el artículo 241.4 de la Constitución Política, cumplidos todos los trámites y requisitos contemplados en el Decreto 2067 de 1991, ha proferido la siguiente</w:t>
      </w:r>
    </w:p>
    <w:p w:rsidR="00795794" w:rsidRPr="008936AF" w:rsidRDefault="008936AF" w:rsidP="009268B9">
      <w:pPr>
        <w:ind w:right="51"/>
        <w:jc w:val="both"/>
        <w:rPr>
          <w:rFonts w:ascii="Times New Roman" w:hAnsi="Times New Roman" w:cs="Times New Roman"/>
          <w:sz w:val="28"/>
          <w:szCs w:val="28"/>
          <w:shd w:val="clear" w:color="auto" w:fill="FFFFFF"/>
        </w:rPr>
      </w:pPr>
    </w:p>
    <w:p w:rsidR="00795794" w:rsidRPr="008936AF" w:rsidRDefault="008936AF" w:rsidP="009268B9">
      <w:pPr>
        <w:jc w:val="center"/>
        <w:rPr>
          <w:rFonts w:ascii="Times New Roman" w:hAnsi="Times New Roman" w:cs="Times New Roman"/>
          <w:b/>
          <w:sz w:val="28"/>
          <w:szCs w:val="28"/>
        </w:rPr>
      </w:pPr>
      <w:r w:rsidRPr="008936AF">
        <w:rPr>
          <w:rFonts w:ascii="Times New Roman" w:hAnsi="Times New Roman" w:cs="Times New Roman"/>
          <w:b/>
          <w:sz w:val="28"/>
          <w:szCs w:val="28"/>
        </w:rPr>
        <w:t>SENTENCIA</w:t>
      </w:r>
    </w:p>
    <w:p w:rsidR="00795794" w:rsidRPr="008936AF" w:rsidRDefault="008936AF" w:rsidP="009268B9">
      <w:pPr>
        <w:ind w:right="51"/>
        <w:jc w:val="both"/>
        <w:rPr>
          <w:rFonts w:ascii="Times New Roman" w:hAnsi="Times New Roman" w:cs="Times New Roman"/>
          <w:sz w:val="28"/>
          <w:szCs w:val="28"/>
        </w:rPr>
      </w:pPr>
    </w:p>
    <w:p w:rsidR="00AC0253" w:rsidRPr="008936AF" w:rsidRDefault="008936AF" w:rsidP="009268B9">
      <w:pPr>
        <w:pStyle w:val="Ttulo1"/>
        <w:spacing w:before="0"/>
        <w:rPr>
          <w:rFonts w:ascii="Times New Roman" w:hAnsi="Times New Roman" w:cs="Times New Roman"/>
          <w:sz w:val="28"/>
        </w:rPr>
      </w:pPr>
      <w:r w:rsidRPr="008936AF">
        <w:rPr>
          <w:rFonts w:ascii="Times New Roman" w:hAnsi="Times New Roman" w:cs="Times New Roman"/>
          <w:sz w:val="28"/>
        </w:rPr>
        <w:t xml:space="preserve">I. </w:t>
      </w:r>
      <w:r w:rsidRPr="008936AF">
        <w:rPr>
          <w:rFonts w:ascii="Times New Roman" w:hAnsi="Times New Roman" w:cs="Times New Roman"/>
          <w:sz w:val="28"/>
        </w:rPr>
        <w:t>Síntesis de la decisión</w:t>
      </w:r>
    </w:p>
    <w:p w:rsidR="00AC0253" w:rsidRPr="008936AF" w:rsidRDefault="008936AF" w:rsidP="009268B9">
      <w:pPr>
        <w:jc w:val="both"/>
        <w:rPr>
          <w:rFonts w:ascii="Times New Roman" w:hAnsi="Times New Roman" w:cs="Times New Roman"/>
          <w:sz w:val="28"/>
        </w:rPr>
      </w:pPr>
    </w:p>
    <w:p w:rsidR="008A47AC" w:rsidRPr="008936AF" w:rsidRDefault="008936AF" w:rsidP="009268B9">
      <w:pPr>
        <w:pStyle w:val="Prrafodelista"/>
        <w:numPr>
          <w:ilvl w:val="0"/>
          <w:numId w:val="1"/>
        </w:numPr>
        <w:ind w:left="0" w:firstLine="0"/>
        <w:jc w:val="both"/>
        <w:rPr>
          <w:rFonts w:ascii="Times New Roman" w:hAnsi="Times New Roman" w:cs="Times New Roman"/>
          <w:sz w:val="28"/>
        </w:rPr>
      </w:pPr>
      <w:r w:rsidRPr="008936AF">
        <w:rPr>
          <w:rFonts w:ascii="Times New Roman" w:hAnsi="Times New Roman" w:cs="Times New Roman"/>
          <w:sz w:val="28"/>
        </w:rPr>
        <w:t xml:space="preserve">En el presente caso le correspondió a la Corte estudiar la demanda interpuesta por un ciudadano en contra de la interpretación que ha hecho la Sala de Casación Laboral de la Corte Suprema de Justicia del artículo 65 del Código Sustantivo del Trabajo. </w:t>
      </w:r>
      <w:r w:rsidRPr="008936AF">
        <w:rPr>
          <w:rFonts w:ascii="Times New Roman" w:hAnsi="Times New Roman" w:cs="Times New Roman"/>
          <w:sz w:val="28"/>
        </w:rPr>
        <w:t>A jui</w:t>
      </w:r>
      <w:r w:rsidRPr="008936AF">
        <w:rPr>
          <w:rFonts w:ascii="Times New Roman" w:hAnsi="Times New Roman" w:cs="Times New Roman"/>
          <w:sz w:val="28"/>
        </w:rPr>
        <w:t>cio del actor, la interpretación e</w:t>
      </w:r>
      <w:r w:rsidRPr="008936AF">
        <w:rPr>
          <w:rFonts w:ascii="Times New Roman" w:hAnsi="Times New Roman" w:cs="Times New Roman"/>
          <w:sz w:val="28"/>
        </w:rPr>
        <w:t>ra</w:t>
      </w:r>
      <w:r w:rsidRPr="008936AF">
        <w:rPr>
          <w:rFonts w:ascii="Times New Roman" w:hAnsi="Times New Roman" w:cs="Times New Roman"/>
          <w:sz w:val="28"/>
        </w:rPr>
        <w:t xml:space="preserve"> incompatible con los artículos 53, 58 y 243 de la Constitución, por cuanto las consecuencias jurídicas de la interpretación «no se coligen del texto normativo y es deber de todo operador judicial elegir la interpretació</w:t>
      </w:r>
      <w:r w:rsidRPr="008936AF">
        <w:rPr>
          <w:rFonts w:ascii="Times New Roman" w:hAnsi="Times New Roman" w:cs="Times New Roman"/>
          <w:sz w:val="28"/>
        </w:rPr>
        <w:t xml:space="preserve">n más favorable al trabajador, ello, en la medida de que la corporación reproduce la exigencia de contenido declarado inexequible, mediante la sentencia C-781 de 2003 y desconoce abiertamente los derechos adquiridos de un día de salario por día de retardo </w:t>
      </w:r>
      <w:r w:rsidRPr="008936AF">
        <w:rPr>
          <w:rFonts w:ascii="Times New Roman" w:hAnsi="Times New Roman" w:cs="Times New Roman"/>
          <w:sz w:val="28"/>
        </w:rPr>
        <w:t>del artículo 65 del CST establecida en la sentencia de constitucionalidad».</w:t>
      </w:r>
    </w:p>
    <w:p w:rsidR="008A47AC" w:rsidRPr="008936AF" w:rsidRDefault="008936AF" w:rsidP="009268B9">
      <w:pPr>
        <w:pStyle w:val="Prrafodelista"/>
        <w:ind w:left="0"/>
        <w:jc w:val="both"/>
        <w:rPr>
          <w:rFonts w:ascii="Times New Roman" w:hAnsi="Times New Roman" w:cs="Times New Roman"/>
          <w:sz w:val="28"/>
        </w:rPr>
      </w:pPr>
    </w:p>
    <w:p w:rsidR="008A47AC" w:rsidRPr="008936AF" w:rsidRDefault="008936AF" w:rsidP="009268B9">
      <w:pPr>
        <w:pStyle w:val="Prrafodelista"/>
        <w:numPr>
          <w:ilvl w:val="0"/>
          <w:numId w:val="1"/>
        </w:numPr>
        <w:ind w:left="0" w:firstLine="0"/>
        <w:jc w:val="both"/>
        <w:rPr>
          <w:rFonts w:ascii="Times New Roman" w:hAnsi="Times New Roman" w:cs="Times New Roman"/>
          <w:sz w:val="28"/>
        </w:rPr>
      </w:pPr>
      <w:r w:rsidRPr="008936AF">
        <w:rPr>
          <w:rFonts w:ascii="Times New Roman" w:hAnsi="Times New Roman" w:cs="Times New Roman"/>
          <w:sz w:val="28"/>
          <w:szCs w:val="28"/>
        </w:rPr>
        <w:t>Dentro del término concedido, el Ministerio Público solicitó una decisión inhibitoria por considerar que los cargos no satisfacían los requisitos de certeza y suficiencia. Al eval</w:t>
      </w:r>
      <w:r w:rsidRPr="008936AF">
        <w:rPr>
          <w:rFonts w:ascii="Times New Roman" w:hAnsi="Times New Roman" w:cs="Times New Roman"/>
          <w:sz w:val="28"/>
          <w:szCs w:val="28"/>
        </w:rPr>
        <w:t xml:space="preserve">uar la aptitud de la demanda, la Sala Plena de la Corte concluyó que los cargos propuestos no cumplían los requisitos de claridad, especificidad y suficiencia necesarios para emitir un pronunciamiento de fondo. </w:t>
      </w:r>
    </w:p>
    <w:p w:rsidR="008A47AC" w:rsidRPr="008936AF" w:rsidRDefault="008936AF" w:rsidP="009268B9">
      <w:pPr>
        <w:pStyle w:val="Prrafodelista"/>
        <w:ind w:left="0"/>
        <w:jc w:val="both"/>
        <w:rPr>
          <w:rFonts w:ascii="Times New Roman" w:hAnsi="Times New Roman" w:cs="Times New Roman"/>
          <w:sz w:val="28"/>
        </w:rPr>
      </w:pPr>
    </w:p>
    <w:p w:rsidR="008A47AC" w:rsidRPr="008936AF" w:rsidRDefault="008936AF" w:rsidP="009268B9">
      <w:pPr>
        <w:pStyle w:val="Prrafodelista"/>
        <w:numPr>
          <w:ilvl w:val="0"/>
          <w:numId w:val="1"/>
        </w:numPr>
        <w:ind w:left="0" w:firstLine="0"/>
        <w:jc w:val="both"/>
        <w:rPr>
          <w:rFonts w:ascii="Times New Roman" w:hAnsi="Times New Roman" w:cs="Times New Roman"/>
          <w:sz w:val="28"/>
        </w:rPr>
      </w:pPr>
      <w:r w:rsidRPr="008936AF">
        <w:rPr>
          <w:rFonts w:ascii="Times New Roman" w:hAnsi="Times New Roman" w:cs="Times New Roman"/>
          <w:sz w:val="28"/>
          <w:szCs w:val="28"/>
        </w:rPr>
        <w:t>La Corte concluyó que la demanda carecía de</w:t>
      </w:r>
      <w:r w:rsidRPr="008936AF">
        <w:rPr>
          <w:rFonts w:ascii="Times New Roman" w:hAnsi="Times New Roman" w:cs="Times New Roman"/>
          <w:sz w:val="28"/>
          <w:szCs w:val="28"/>
        </w:rPr>
        <w:t xml:space="preserve"> una argumentación comprensible respecto del cuestionamiento hecho a la interpretación de la Corte Suprema de Justicia. Lo anterior pues si bien se cuestionaba la pérdida del derecho a la indemnización moratoria desde la terminación del contrato laboral cu</w:t>
      </w:r>
      <w:r w:rsidRPr="008936AF">
        <w:rPr>
          <w:rFonts w:ascii="Times New Roman" w:hAnsi="Times New Roman" w:cs="Times New Roman"/>
          <w:sz w:val="28"/>
          <w:szCs w:val="28"/>
        </w:rPr>
        <w:t>ando el trabajador deja pasar más de 24 meses para reclamar el pago, pérdida de derecho que de tal interpretación judicial se derivaría, para llegar a esta conclusión el demandante se fundaba en una interpretación inferida por él mismo de la sentencia C-78</w:t>
      </w:r>
      <w:r w:rsidRPr="008936AF">
        <w:rPr>
          <w:rFonts w:ascii="Times New Roman" w:hAnsi="Times New Roman" w:cs="Times New Roman"/>
          <w:sz w:val="28"/>
          <w:szCs w:val="28"/>
        </w:rPr>
        <w:t xml:space="preserve">1 de 2003 y no de su verdadero tenor. </w:t>
      </w:r>
    </w:p>
    <w:p w:rsidR="008A47AC" w:rsidRPr="008936AF" w:rsidRDefault="008936AF" w:rsidP="009268B9">
      <w:pPr>
        <w:pStyle w:val="Prrafodelista"/>
        <w:ind w:left="0"/>
        <w:jc w:val="both"/>
        <w:rPr>
          <w:rFonts w:ascii="Times New Roman" w:hAnsi="Times New Roman" w:cs="Times New Roman"/>
          <w:sz w:val="28"/>
        </w:rPr>
      </w:pPr>
    </w:p>
    <w:p w:rsidR="008A47AC" w:rsidRPr="008936AF" w:rsidRDefault="008936AF" w:rsidP="009268B9">
      <w:pPr>
        <w:pStyle w:val="Prrafodelista"/>
        <w:numPr>
          <w:ilvl w:val="0"/>
          <w:numId w:val="1"/>
        </w:numPr>
        <w:ind w:left="0" w:firstLine="0"/>
        <w:jc w:val="both"/>
        <w:rPr>
          <w:rFonts w:ascii="Times New Roman" w:hAnsi="Times New Roman" w:cs="Times New Roman"/>
          <w:sz w:val="28"/>
        </w:rPr>
      </w:pPr>
      <w:r w:rsidRPr="008936AF">
        <w:rPr>
          <w:rFonts w:ascii="Times New Roman" w:hAnsi="Times New Roman" w:cs="Times New Roman"/>
          <w:sz w:val="28"/>
          <w:szCs w:val="28"/>
        </w:rPr>
        <w:t>Con lo anterior, la Corte estimó que la demanda no logró demostrar una oposición clara y específica entre la norma que se deriva de la interpretación de la Corte Suprema de Justicia y los artículos 53, 58 y 243 de la</w:t>
      </w:r>
      <w:r w:rsidRPr="008936AF">
        <w:rPr>
          <w:rFonts w:ascii="Times New Roman" w:hAnsi="Times New Roman" w:cs="Times New Roman"/>
          <w:sz w:val="28"/>
          <w:szCs w:val="28"/>
        </w:rPr>
        <w:t xml:space="preserve"> Constitución, generando como consecuencia que los cargos no despertaran una mínima duda sobre la inconstitucionalidad de la regla interpretativa demandada. </w:t>
      </w:r>
    </w:p>
    <w:p w:rsidR="008A47AC" w:rsidRPr="008936AF" w:rsidRDefault="008936AF" w:rsidP="009268B9">
      <w:pPr>
        <w:pStyle w:val="Prrafodelista"/>
        <w:ind w:left="0"/>
        <w:jc w:val="both"/>
        <w:rPr>
          <w:rFonts w:ascii="Times New Roman" w:hAnsi="Times New Roman" w:cs="Times New Roman"/>
          <w:sz w:val="28"/>
        </w:rPr>
      </w:pPr>
    </w:p>
    <w:p w:rsidR="008A47AC" w:rsidRPr="008936AF" w:rsidRDefault="008936AF" w:rsidP="009268B9">
      <w:pPr>
        <w:pStyle w:val="Prrafodelista"/>
        <w:numPr>
          <w:ilvl w:val="0"/>
          <w:numId w:val="1"/>
        </w:numPr>
        <w:ind w:left="0" w:firstLine="0"/>
        <w:jc w:val="both"/>
        <w:rPr>
          <w:rFonts w:ascii="Times New Roman" w:hAnsi="Times New Roman" w:cs="Times New Roman"/>
          <w:sz w:val="28"/>
        </w:rPr>
      </w:pPr>
      <w:r w:rsidRPr="008936AF">
        <w:rPr>
          <w:rFonts w:ascii="Times New Roman" w:hAnsi="Times New Roman" w:cs="Times New Roman"/>
          <w:sz w:val="28"/>
          <w:szCs w:val="28"/>
        </w:rPr>
        <w:t xml:space="preserve">En consecuencia, la Sala Plena decidió inhibirse de emitir un pronunciamiento de mérito al no </w:t>
      </w:r>
      <w:r w:rsidRPr="008936AF">
        <w:rPr>
          <w:rFonts w:ascii="Times New Roman" w:hAnsi="Times New Roman" w:cs="Times New Roman"/>
          <w:sz w:val="28"/>
          <w:szCs w:val="28"/>
        </w:rPr>
        <w:t>existir un cargo apto que permitiera activar la función jurisdiccional de la Corte.</w:t>
      </w:r>
    </w:p>
    <w:p w:rsidR="009C5F6A" w:rsidRPr="008936AF" w:rsidRDefault="008936AF" w:rsidP="009268B9">
      <w:pPr>
        <w:pStyle w:val="Prrafodelista"/>
        <w:ind w:left="0"/>
        <w:jc w:val="both"/>
        <w:rPr>
          <w:rFonts w:ascii="Times New Roman" w:hAnsi="Times New Roman" w:cs="Times New Roman"/>
          <w:sz w:val="28"/>
        </w:rPr>
      </w:pPr>
    </w:p>
    <w:p w:rsidR="009270A8" w:rsidRPr="008936AF" w:rsidRDefault="008936AF" w:rsidP="009268B9">
      <w:pPr>
        <w:jc w:val="both"/>
        <w:rPr>
          <w:rFonts w:ascii="Times New Roman" w:hAnsi="Times New Roman" w:cs="Times New Roman"/>
          <w:sz w:val="28"/>
        </w:rPr>
      </w:pPr>
    </w:p>
    <w:p w:rsidR="004C19EB" w:rsidRPr="008936AF" w:rsidRDefault="008936AF" w:rsidP="009268B9">
      <w:pPr>
        <w:pStyle w:val="Ttulo1"/>
        <w:spacing w:before="0"/>
        <w:rPr>
          <w:rFonts w:ascii="Times New Roman" w:hAnsi="Times New Roman" w:cs="Times New Roman"/>
          <w:sz w:val="28"/>
        </w:rPr>
      </w:pPr>
      <w:r w:rsidRPr="008936AF">
        <w:rPr>
          <w:rFonts w:ascii="Times New Roman" w:hAnsi="Times New Roman" w:cs="Times New Roman"/>
          <w:sz w:val="28"/>
        </w:rPr>
        <w:t>ANTECEDENTES</w:t>
      </w:r>
    </w:p>
    <w:p w:rsidR="004C19EB" w:rsidRPr="008936AF" w:rsidRDefault="008936AF" w:rsidP="009268B9">
      <w:pPr>
        <w:tabs>
          <w:tab w:val="num" w:pos="-3261"/>
          <w:tab w:val="left" w:pos="709"/>
        </w:tabs>
        <w:ind w:left="567" w:right="51" w:hanging="533"/>
        <w:jc w:val="both"/>
        <w:rPr>
          <w:rFonts w:ascii="Times New Roman" w:hAnsi="Times New Roman" w:cs="Times New Roman"/>
          <w:sz w:val="28"/>
          <w:szCs w:val="28"/>
        </w:rPr>
      </w:pPr>
    </w:p>
    <w:p w:rsidR="00BD462C" w:rsidRPr="008936AF" w:rsidRDefault="008936AF" w:rsidP="009268B9">
      <w:pPr>
        <w:pStyle w:val="Prrafodelista"/>
        <w:numPr>
          <w:ilvl w:val="0"/>
          <w:numId w:val="1"/>
        </w:numPr>
        <w:ind w:left="0" w:right="51" w:firstLine="0"/>
        <w:jc w:val="both"/>
        <w:rPr>
          <w:rFonts w:ascii="Times New Roman" w:hAnsi="Times New Roman" w:cs="Times New Roman"/>
          <w:sz w:val="28"/>
          <w:szCs w:val="28"/>
        </w:rPr>
      </w:pPr>
      <w:r w:rsidRPr="008936AF">
        <w:rPr>
          <w:rFonts w:ascii="Times New Roman" w:hAnsi="Times New Roman" w:cs="Times New Roman"/>
          <w:sz w:val="28"/>
          <w:szCs w:val="28"/>
        </w:rPr>
        <w:t xml:space="preserve">En ejercicio de la acción pública de inconstitucionalidad, </w:t>
      </w:r>
      <w:r w:rsidRPr="008936AF">
        <w:rPr>
          <w:rFonts w:ascii="Times New Roman" w:hAnsi="Times New Roman" w:cs="Times New Roman"/>
          <w:sz w:val="28"/>
          <w:szCs w:val="28"/>
        </w:rPr>
        <w:t xml:space="preserve">el </w:t>
      </w:r>
      <w:r w:rsidRPr="008936AF">
        <w:rPr>
          <w:rFonts w:ascii="Times New Roman" w:hAnsi="Times New Roman" w:cs="Times New Roman"/>
          <w:sz w:val="28"/>
          <w:szCs w:val="28"/>
        </w:rPr>
        <w:t>ciudadano</w:t>
      </w:r>
      <w:r w:rsidRPr="008936AF">
        <w:rPr>
          <w:rFonts w:ascii="Times New Roman" w:hAnsi="Times New Roman" w:cs="Times New Roman"/>
          <w:sz w:val="28"/>
          <w:szCs w:val="28"/>
        </w:rPr>
        <w:t xml:space="preserve"> Edier Esteban Manco Pineda demandó </w:t>
      </w:r>
      <w:r w:rsidRPr="008936AF">
        <w:rPr>
          <w:rFonts w:ascii="Times New Roman" w:hAnsi="Times New Roman" w:cs="Times New Roman"/>
          <w:sz w:val="28"/>
          <w:szCs w:val="28"/>
        </w:rPr>
        <w:t xml:space="preserve">parcialmente el artículo </w:t>
      </w:r>
      <w:r w:rsidRPr="008936AF">
        <w:rPr>
          <w:rFonts w:ascii="Times New Roman" w:hAnsi="Times New Roman" w:cs="Times New Roman"/>
          <w:sz w:val="28"/>
          <w:szCs w:val="28"/>
        </w:rPr>
        <w:t>65 del Código Sustantivo</w:t>
      </w:r>
      <w:r w:rsidRPr="008936AF">
        <w:rPr>
          <w:rFonts w:ascii="Times New Roman" w:hAnsi="Times New Roman" w:cs="Times New Roman"/>
          <w:sz w:val="28"/>
          <w:szCs w:val="28"/>
        </w:rPr>
        <w:t xml:space="preserve"> del Trabajo</w:t>
      </w:r>
      <w:r w:rsidRPr="008936AF">
        <w:rPr>
          <w:rFonts w:ascii="Times New Roman" w:hAnsi="Times New Roman" w:cs="Times New Roman"/>
          <w:sz w:val="28"/>
          <w:szCs w:val="28"/>
        </w:rPr>
        <w:t xml:space="preserve"> (en adelante CST)</w:t>
      </w:r>
      <w:r w:rsidRPr="008936AF">
        <w:rPr>
          <w:rFonts w:ascii="Times New Roman" w:hAnsi="Times New Roman" w:cs="Times New Roman"/>
          <w:sz w:val="28"/>
          <w:szCs w:val="28"/>
        </w:rPr>
        <w:t>, modificado por el artículo 29 de la Ley 789 de 2002</w:t>
      </w:r>
      <w:r w:rsidRPr="008936AF">
        <w:rPr>
          <w:rFonts w:ascii="Times New Roman" w:hAnsi="Times New Roman" w:cs="Times New Roman"/>
          <w:sz w:val="28"/>
        </w:rPr>
        <w:t xml:space="preserve">. </w:t>
      </w:r>
    </w:p>
    <w:p w:rsidR="00033CDA" w:rsidRPr="008936AF" w:rsidRDefault="008936AF" w:rsidP="009268B9">
      <w:pPr>
        <w:pStyle w:val="Prrafodelista"/>
        <w:ind w:left="0" w:right="51"/>
        <w:jc w:val="both"/>
        <w:rPr>
          <w:rFonts w:ascii="Times New Roman" w:hAnsi="Times New Roman" w:cs="Times New Roman"/>
          <w:sz w:val="28"/>
          <w:szCs w:val="28"/>
        </w:rPr>
      </w:pPr>
    </w:p>
    <w:p w:rsidR="00BD462C" w:rsidRPr="008936AF" w:rsidRDefault="008936AF" w:rsidP="009268B9">
      <w:pPr>
        <w:pStyle w:val="Prrafodelista"/>
        <w:numPr>
          <w:ilvl w:val="0"/>
          <w:numId w:val="1"/>
        </w:numPr>
        <w:ind w:left="0" w:right="51" w:firstLine="0"/>
        <w:jc w:val="both"/>
        <w:rPr>
          <w:rFonts w:ascii="Times New Roman" w:hAnsi="Times New Roman" w:cs="Times New Roman"/>
          <w:sz w:val="28"/>
          <w:szCs w:val="28"/>
        </w:rPr>
      </w:pPr>
      <w:r w:rsidRPr="008936AF">
        <w:rPr>
          <w:rFonts w:ascii="Times New Roman" w:hAnsi="Times New Roman" w:cs="Times New Roman"/>
          <w:sz w:val="28"/>
          <w:szCs w:val="28"/>
        </w:rPr>
        <w:t>El texto de la norma demandada es el siguiente</w:t>
      </w:r>
      <w:r w:rsidRPr="008936AF">
        <w:rPr>
          <w:rFonts w:ascii="Times New Roman" w:hAnsi="Times New Roman" w:cs="Times New Roman"/>
          <w:sz w:val="28"/>
          <w:szCs w:val="28"/>
        </w:rPr>
        <w:t xml:space="preserve"> (se resalta el aparte cuestionado)</w:t>
      </w:r>
      <w:r w:rsidRPr="008936AF">
        <w:rPr>
          <w:rFonts w:ascii="Times New Roman" w:hAnsi="Times New Roman" w:cs="Times New Roman"/>
          <w:sz w:val="28"/>
          <w:szCs w:val="28"/>
        </w:rPr>
        <w:t>:</w:t>
      </w:r>
    </w:p>
    <w:p w:rsidR="00BD462C" w:rsidRPr="008936AF" w:rsidRDefault="008936AF" w:rsidP="009268B9">
      <w:pPr>
        <w:ind w:right="51"/>
        <w:jc w:val="both"/>
        <w:rPr>
          <w:rFonts w:ascii="Times New Roman" w:hAnsi="Times New Roman" w:cs="Times New Roman"/>
          <w:sz w:val="28"/>
          <w:szCs w:val="28"/>
        </w:rPr>
      </w:pPr>
    </w:p>
    <w:p w:rsidR="000C2488" w:rsidRPr="008936AF" w:rsidRDefault="008936AF" w:rsidP="009268B9">
      <w:pPr>
        <w:ind w:left="567" w:right="618"/>
        <w:jc w:val="center"/>
        <w:rPr>
          <w:rFonts w:ascii="Times New Roman" w:hAnsi="Times New Roman" w:cs="Times New Roman"/>
          <w:iCs/>
          <w:sz w:val="28"/>
          <w:szCs w:val="24"/>
        </w:rPr>
      </w:pPr>
      <w:r w:rsidRPr="008936AF">
        <w:rPr>
          <w:rFonts w:ascii="Times New Roman" w:hAnsi="Times New Roman" w:cs="Times New Roman"/>
          <w:iCs/>
          <w:sz w:val="28"/>
          <w:szCs w:val="24"/>
        </w:rPr>
        <w:t>LEY 789 DE 2002</w:t>
      </w:r>
    </w:p>
    <w:p w:rsidR="000C2488" w:rsidRPr="008936AF" w:rsidRDefault="008936AF" w:rsidP="009268B9">
      <w:pPr>
        <w:ind w:left="567" w:right="618"/>
        <w:jc w:val="center"/>
        <w:rPr>
          <w:rFonts w:ascii="Times New Roman" w:hAnsi="Times New Roman" w:cs="Times New Roman"/>
          <w:iCs/>
          <w:sz w:val="28"/>
          <w:szCs w:val="24"/>
        </w:rPr>
      </w:pPr>
    </w:p>
    <w:p w:rsidR="000C2488" w:rsidRPr="008936AF" w:rsidRDefault="008936AF" w:rsidP="009268B9">
      <w:pPr>
        <w:ind w:left="567" w:right="618"/>
        <w:jc w:val="center"/>
        <w:rPr>
          <w:rFonts w:ascii="Times New Roman" w:hAnsi="Times New Roman" w:cs="Times New Roman"/>
          <w:iCs/>
          <w:sz w:val="28"/>
          <w:szCs w:val="24"/>
        </w:rPr>
      </w:pPr>
      <w:r w:rsidRPr="008936AF">
        <w:rPr>
          <w:rFonts w:ascii="Times New Roman" w:hAnsi="Times New Roman" w:cs="Times New Roman"/>
          <w:iCs/>
          <w:sz w:val="28"/>
          <w:szCs w:val="24"/>
        </w:rPr>
        <w:t>(diciembre 27)</w:t>
      </w:r>
    </w:p>
    <w:p w:rsidR="000C2488" w:rsidRPr="008936AF" w:rsidRDefault="008936AF" w:rsidP="009268B9">
      <w:pPr>
        <w:ind w:left="567" w:right="618"/>
        <w:jc w:val="center"/>
        <w:rPr>
          <w:rFonts w:ascii="Times New Roman" w:hAnsi="Times New Roman" w:cs="Times New Roman"/>
          <w:iCs/>
          <w:sz w:val="28"/>
          <w:szCs w:val="24"/>
        </w:rPr>
      </w:pPr>
    </w:p>
    <w:p w:rsidR="000C2488" w:rsidRPr="008936AF" w:rsidRDefault="008936AF" w:rsidP="009268B9">
      <w:pPr>
        <w:ind w:left="567" w:right="618"/>
        <w:jc w:val="center"/>
        <w:rPr>
          <w:rFonts w:ascii="Times New Roman" w:hAnsi="Times New Roman" w:cs="Times New Roman"/>
          <w:iCs/>
          <w:sz w:val="28"/>
          <w:szCs w:val="24"/>
        </w:rPr>
      </w:pPr>
      <w:r w:rsidRPr="008936AF">
        <w:rPr>
          <w:rFonts w:ascii="Times New Roman" w:hAnsi="Times New Roman" w:cs="Times New Roman"/>
          <w:iCs/>
          <w:sz w:val="28"/>
          <w:szCs w:val="24"/>
        </w:rPr>
        <w:t>Diario Oficial No 45.046 de 27 de diciembre de 2002</w:t>
      </w:r>
    </w:p>
    <w:p w:rsidR="000C2488" w:rsidRPr="008936AF" w:rsidRDefault="008936AF" w:rsidP="009268B9">
      <w:pPr>
        <w:ind w:left="567" w:right="618"/>
        <w:jc w:val="center"/>
        <w:rPr>
          <w:rFonts w:ascii="Times New Roman" w:hAnsi="Times New Roman" w:cs="Times New Roman"/>
          <w:iCs/>
          <w:sz w:val="28"/>
          <w:szCs w:val="24"/>
        </w:rPr>
      </w:pPr>
    </w:p>
    <w:p w:rsidR="000C2488" w:rsidRPr="008936AF" w:rsidRDefault="008936AF" w:rsidP="009268B9">
      <w:pPr>
        <w:ind w:left="567" w:right="618"/>
        <w:jc w:val="center"/>
        <w:rPr>
          <w:rFonts w:ascii="Times New Roman" w:hAnsi="Times New Roman" w:cs="Times New Roman"/>
          <w:iCs/>
          <w:sz w:val="28"/>
          <w:szCs w:val="24"/>
        </w:rPr>
      </w:pPr>
      <w:r w:rsidRPr="008936AF">
        <w:rPr>
          <w:rFonts w:ascii="Times New Roman" w:hAnsi="Times New Roman" w:cs="Times New Roman"/>
          <w:iCs/>
          <w:sz w:val="28"/>
          <w:szCs w:val="24"/>
        </w:rPr>
        <w:t xml:space="preserve">Por la cual se dictan normas para apoyar el empleo y ampliar la protección social y se modifican algunos artículos del Código Sustantivo de Trabajo. </w:t>
      </w:r>
    </w:p>
    <w:p w:rsidR="000C2488" w:rsidRPr="008936AF" w:rsidRDefault="008936AF" w:rsidP="009268B9">
      <w:pPr>
        <w:ind w:left="567" w:right="618"/>
        <w:jc w:val="center"/>
        <w:rPr>
          <w:rFonts w:ascii="Times New Roman" w:hAnsi="Times New Roman" w:cs="Times New Roman"/>
          <w:iCs/>
          <w:sz w:val="28"/>
          <w:szCs w:val="24"/>
        </w:rPr>
      </w:pPr>
    </w:p>
    <w:p w:rsidR="00167A61" w:rsidRPr="008936AF" w:rsidRDefault="008936AF" w:rsidP="009268B9">
      <w:pPr>
        <w:ind w:left="567" w:right="618"/>
        <w:jc w:val="center"/>
        <w:rPr>
          <w:rFonts w:ascii="Times New Roman" w:hAnsi="Times New Roman" w:cs="Times New Roman"/>
          <w:iCs/>
          <w:sz w:val="28"/>
          <w:szCs w:val="24"/>
        </w:rPr>
      </w:pPr>
      <w:r w:rsidRPr="008936AF">
        <w:rPr>
          <w:rFonts w:ascii="Times New Roman" w:hAnsi="Times New Roman" w:cs="Times New Roman"/>
          <w:iCs/>
          <w:sz w:val="28"/>
          <w:szCs w:val="24"/>
        </w:rPr>
        <w:t>(…)</w:t>
      </w:r>
    </w:p>
    <w:p w:rsidR="000C2488" w:rsidRPr="008936AF" w:rsidRDefault="008936AF" w:rsidP="009268B9">
      <w:pPr>
        <w:ind w:left="567" w:right="618"/>
        <w:jc w:val="center"/>
        <w:rPr>
          <w:rFonts w:ascii="Times New Roman" w:hAnsi="Times New Roman" w:cs="Times New Roman"/>
          <w:iCs/>
          <w:sz w:val="28"/>
          <w:szCs w:val="24"/>
        </w:rPr>
      </w:pPr>
    </w:p>
    <w:p w:rsidR="000C2488" w:rsidRPr="008936AF" w:rsidRDefault="008936AF" w:rsidP="009268B9">
      <w:pPr>
        <w:ind w:left="567" w:right="618"/>
        <w:jc w:val="both"/>
        <w:rPr>
          <w:rFonts w:ascii="Times New Roman" w:hAnsi="Times New Roman" w:cs="Times New Roman"/>
          <w:iCs/>
          <w:sz w:val="28"/>
          <w:szCs w:val="24"/>
        </w:rPr>
      </w:pPr>
      <w:r w:rsidRPr="008936AF">
        <w:rPr>
          <w:rFonts w:ascii="Times New Roman" w:hAnsi="Times New Roman" w:cs="Times New Roman"/>
          <w:iCs/>
          <w:sz w:val="28"/>
          <w:szCs w:val="24"/>
        </w:rPr>
        <w:t>ARTÍCULO 29. INDEMNIZACIÓN POR FALTA DE PAGO. El artículo 65 del Código Sustantivo de Trabajo queda</w:t>
      </w:r>
      <w:r w:rsidRPr="008936AF">
        <w:rPr>
          <w:rFonts w:ascii="Times New Roman" w:hAnsi="Times New Roman" w:cs="Times New Roman"/>
          <w:iCs/>
          <w:sz w:val="28"/>
          <w:szCs w:val="24"/>
        </w:rPr>
        <w:t>rá así:</w:t>
      </w:r>
    </w:p>
    <w:p w:rsidR="000C2488" w:rsidRPr="008936AF" w:rsidRDefault="008936AF" w:rsidP="009268B9">
      <w:pPr>
        <w:ind w:left="567" w:right="618"/>
        <w:jc w:val="both"/>
        <w:rPr>
          <w:rFonts w:ascii="Times New Roman" w:hAnsi="Times New Roman" w:cs="Times New Roman"/>
          <w:iCs/>
          <w:sz w:val="28"/>
          <w:szCs w:val="24"/>
        </w:rPr>
      </w:pPr>
    </w:p>
    <w:p w:rsidR="000C2488" w:rsidRPr="008936AF" w:rsidRDefault="008936AF" w:rsidP="009268B9">
      <w:pPr>
        <w:ind w:left="567" w:right="618"/>
        <w:jc w:val="both"/>
        <w:rPr>
          <w:rFonts w:ascii="Times New Roman" w:hAnsi="Times New Roman" w:cs="Times New Roman"/>
          <w:iCs/>
          <w:sz w:val="28"/>
          <w:szCs w:val="24"/>
        </w:rPr>
      </w:pPr>
      <w:r w:rsidRPr="008936AF">
        <w:rPr>
          <w:rFonts w:ascii="Times New Roman" w:hAnsi="Times New Roman" w:cs="Times New Roman"/>
          <w:iCs/>
          <w:sz w:val="28"/>
          <w:szCs w:val="24"/>
        </w:rPr>
        <w:t>Artículo 65. Indemnización por falta de pago:</w:t>
      </w:r>
    </w:p>
    <w:p w:rsidR="000C2488" w:rsidRPr="008936AF" w:rsidRDefault="008936AF" w:rsidP="009268B9">
      <w:pPr>
        <w:ind w:left="567" w:right="618"/>
        <w:jc w:val="both"/>
        <w:rPr>
          <w:rFonts w:ascii="Times New Roman" w:hAnsi="Times New Roman" w:cs="Times New Roman"/>
          <w:iCs/>
          <w:sz w:val="28"/>
          <w:szCs w:val="24"/>
        </w:rPr>
      </w:pPr>
    </w:p>
    <w:p w:rsidR="001C1DF6" w:rsidRPr="008936AF" w:rsidRDefault="008936AF" w:rsidP="009268B9">
      <w:pPr>
        <w:ind w:left="567" w:right="618"/>
        <w:jc w:val="both"/>
        <w:rPr>
          <w:rFonts w:ascii="Times New Roman" w:hAnsi="Times New Roman" w:cs="Times New Roman"/>
          <w:iCs/>
          <w:sz w:val="28"/>
          <w:szCs w:val="24"/>
        </w:rPr>
      </w:pPr>
      <w:r w:rsidRPr="008936AF">
        <w:rPr>
          <w:rFonts w:ascii="Times New Roman" w:hAnsi="Times New Roman" w:cs="Times New Roman"/>
          <w:iCs/>
          <w:sz w:val="28"/>
          <w:szCs w:val="24"/>
        </w:rPr>
        <w:t xml:space="preserve">1. &lt;Aparte tachado INEXEQUIBLE&gt; </w:t>
      </w:r>
      <w:r w:rsidRPr="008936AF">
        <w:rPr>
          <w:rFonts w:ascii="Times New Roman" w:hAnsi="Times New Roman" w:cs="Times New Roman"/>
          <w:iCs/>
          <w:sz w:val="28"/>
          <w:szCs w:val="24"/>
        </w:rPr>
        <w:t>Si a la terminación del contrato, el empleador no paga al trabajador los salarios y prestaciones debidas, salvo los casos de retención autorizados por la ley o convenid</w:t>
      </w:r>
      <w:r w:rsidRPr="008936AF">
        <w:rPr>
          <w:rFonts w:ascii="Times New Roman" w:hAnsi="Times New Roman" w:cs="Times New Roman"/>
          <w:iCs/>
          <w:sz w:val="28"/>
          <w:szCs w:val="24"/>
        </w:rPr>
        <w:t xml:space="preserve">os por las partes, debe pagar al asalariado, como indemnización, una suma igual al último salario diario por cada día de retardo, hasta por veinticuatro (24) meses, o hasta cuando el pago se verifique si el período es menor. </w:t>
      </w:r>
      <w:r w:rsidRPr="008936AF">
        <w:rPr>
          <w:rFonts w:ascii="Times New Roman" w:hAnsi="Times New Roman" w:cs="Times New Roman"/>
          <w:b/>
          <w:iCs/>
          <w:sz w:val="28"/>
          <w:szCs w:val="24"/>
        </w:rPr>
        <w:t>Si transcurridos veinticuatro (</w:t>
      </w:r>
      <w:r w:rsidRPr="008936AF">
        <w:rPr>
          <w:rFonts w:ascii="Times New Roman" w:hAnsi="Times New Roman" w:cs="Times New Roman"/>
          <w:b/>
          <w:iCs/>
          <w:sz w:val="28"/>
          <w:szCs w:val="24"/>
        </w:rPr>
        <w:t>24) meses contados desde la fecha de terminación del contrato, el trabajador no ha iniciado su reclamación por la vía ordinaria</w:t>
      </w:r>
      <w:r w:rsidRPr="008936AF">
        <w:rPr>
          <w:rFonts w:ascii="Times New Roman" w:hAnsi="Times New Roman" w:cs="Times New Roman"/>
          <w:iCs/>
          <w:sz w:val="28"/>
          <w:szCs w:val="24"/>
        </w:rPr>
        <w:t xml:space="preserve"> </w:t>
      </w:r>
      <w:r w:rsidRPr="008936AF">
        <w:rPr>
          <w:rFonts w:ascii="Times New Roman" w:hAnsi="Times New Roman" w:cs="Times New Roman"/>
          <w:iCs/>
          <w:strike/>
          <w:sz w:val="28"/>
          <w:szCs w:val="24"/>
        </w:rPr>
        <w:t>o si presentara la demanda, no ha habido pronunciamiento judicial,</w:t>
      </w:r>
      <w:r w:rsidRPr="008936AF">
        <w:rPr>
          <w:rFonts w:ascii="Times New Roman" w:hAnsi="Times New Roman" w:cs="Times New Roman"/>
          <w:iCs/>
          <w:sz w:val="28"/>
          <w:szCs w:val="24"/>
        </w:rPr>
        <w:t xml:space="preserve"> el empleador deberá pagar al trabajador intereses moratorios </w:t>
      </w:r>
      <w:r w:rsidRPr="008936AF">
        <w:rPr>
          <w:rFonts w:ascii="Times New Roman" w:hAnsi="Times New Roman" w:cs="Times New Roman"/>
          <w:iCs/>
          <w:sz w:val="28"/>
          <w:szCs w:val="24"/>
        </w:rPr>
        <w:t>a la tasa máxima de créditos de libre asignación certificados por la Superintendencia Bancaria, a partir de la iniciación del mes veinticinco (25) hasta cuando el pago se verifique.</w:t>
      </w:r>
    </w:p>
    <w:p w:rsidR="001C1DF6" w:rsidRPr="008936AF" w:rsidRDefault="008936AF" w:rsidP="009268B9">
      <w:pPr>
        <w:ind w:left="567" w:right="618"/>
        <w:jc w:val="both"/>
        <w:rPr>
          <w:rFonts w:ascii="Times New Roman" w:hAnsi="Times New Roman" w:cs="Times New Roman"/>
          <w:iCs/>
          <w:sz w:val="28"/>
          <w:szCs w:val="24"/>
        </w:rPr>
      </w:pPr>
    </w:p>
    <w:p w:rsidR="00167A61" w:rsidRPr="008936AF" w:rsidRDefault="008936AF" w:rsidP="009268B9">
      <w:pPr>
        <w:ind w:left="567" w:right="618"/>
        <w:jc w:val="both"/>
        <w:rPr>
          <w:rFonts w:ascii="Times New Roman" w:hAnsi="Times New Roman" w:cs="Times New Roman"/>
          <w:iCs/>
          <w:sz w:val="28"/>
          <w:szCs w:val="24"/>
        </w:rPr>
      </w:pPr>
      <w:r w:rsidRPr="008936AF">
        <w:rPr>
          <w:rFonts w:ascii="Times New Roman" w:hAnsi="Times New Roman" w:cs="Times New Roman"/>
          <w:iCs/>
          <w:sz w:val="28"/>
          <w:szCs w:val="24"/>
        </w:rPr>
        <w:t>(…)”</w:t>
      </w:r>
    </w:p>
    <w:p w:rsidR="00B54D01" w:rsidRPr="008936AF" w:rsidRDefault="008936AF" w:rsidP="009268B9">
      <w:pPr>
        <w:ind w:left="567" w:right="618"/>
        <w:jc w:val="both"/>
        <w:rPr>
          <w:rFonts w:ascii="Times New Roman" w:hAnsi="Times New Roman" w:cs="Times New Roman"/>
          <w:iCs/>
          <w:sz w:val="28"/>
          <w:szCs w:val="28"/>
          <w:u w:val="single"/>
        </w:rPr>
      </w:pPr>
    </w:p>
    <w:p w:rsidR="00F334FD"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szCs w:val="28"/>
        </w:rPr>
        <w:t>El cargo admitido</w:t>
      </w:r>
      <w:r w:rsidRPr="008936AF">
        <w:rPr>
          <w:rStyle w:val="Refdenotaalpie"/>
          <w:rFonts w:ascii="Times New Roman" w:hAnsi="Times New Roman" w:cs="Times New Roman"/>
          <w:sz w:val="28"/>
          <w:szCs w:val="16"/>
        </w:rPr>
        <w:footnoteReference w:id="1"/>
      </w:r>
      <w:r w:rsidRPr="008936AF">
        <w:rPr>
          <w:rFonts w:ascii="Times New Roman" w:hAnsi="Times New Roman" w:cs="Times New Roman"/>
          <w:sz w:val="28"/>
          <w:szCs w:val="28"/>
        </w:rPr>
        <w:t xml:space="preserve"> contra la norma cuestionada se fundamenta en que, a juicio del actor, </w:t>
      </w:r>
      <w:r w:rsidRPr="008936AF">
        <w:rPr>
          <w:rFonts w:ascii="Times New Roman" w:hAnsi="Times New Roman" w:cs="Times New Roman"/>
          <w:sz w:val="28"/>
        </w:rPr>
        <w:t xml:space="preserve">la interpretación que la Corte Suprema de Justicia le ha dado a la norma, especialmente a la indemnización moratoria, </w:t>
      </w:r>
      <w:r w:rsidRPr="008936AF">
        <w:rPr>
          <w:rFonts w:ascii="Times New Roman" w:hAnsi="Times New Roman" w:cs="Times New Roman"/>
          <w:sz w:val="28"/>
        </w:rPr>
        <w:t>desconoce los artículos 53, 58 y 243 de la Constitución</w:t>
      </w:r>
      <w:r w:rsidRPr="008936AF">
        <w:rPr>
          <w:rFonts w:ascii="Times New Roman" w:hAnsi="Times New Roman" w:cs="Times New Roman"/>
          <w:sz w:val="28"/>
        </w:rPr>
        <w:t xml:space="preserve">. Aunque el </w:t>
      </w:r>
      <w:r w:rsidRPr="008936AF">
        <w:rPr>
          <w:rFonts w:ascii="Times New Roman" w:hAnsi="Times New Roman" w:cs="Times New Roman"/>
          <w:sz w:val="28"/>
        </w:rPr>
        <w:t xml:space="preserve">actor explica de forma independiente las razones de vulneración de cada uno de los citados artículos superiores, la argumentación de los tres se fundamenta en que </w:t>
      </w:r>
      <w:r w:rsidRPr="008936AF">
        <w:rPr>
          <w:rFonts w:ascii="Times New Roman" w:hAnsi="Times New Roman" w:cs="Times New Roman"/>
          <w:sz w:val="28"/>
        </w:rPr>
        <w:t>las consecuencias jurídicas</w:t>
      </w:r>
      <w:r w:rsidRPr="008936AF">
        <w:rPr>
          <w:rFonts w:ascii="Times New Roman" w:hAnsi="Times New Roman" w:cs="Times New Roman"/>
          <w:sz w:val="28"/>
        </w:rPr>
        <w:t xml:space="preserve"> de la interpretación</w:t>
      </w:r>
      <w:r w:rsidRPr="008936AF">
        <w:rPr>
          <w:rFonts w:ascii="Times New Roman" w:hAnsi="Times New Roman" w:cs="Times New Roman"/>
          <w:sz w:val="28"/>
        </w:rPr>
        <w:t xml:space="preserve"> «no se coligen del texto normativo y es debe</w:t>
      </w:r>
      <w:r w:rsidRPr="008936AF">
        <w:rPr>
          <w:rFonts w:ascii="Times New Roman" w:hAnsi="Times New Roman" w:cs="Times New Roman"/>
          <w:sz w:val="28"/>
        </w:rPr>
        <w:t xml:space="preserve">r de todo operador judicial elegir la interpretación más favorable al trabajador, ello, en la medida de que la corporación reproduce la exigencia de contenido declarado inexequible, mediante la sentencia C-781 de 2003 y desconoce abiertamente los derechos </w:t>
      </w:r>
      <w:r w:rsidRPr="008936AF">
        <w:rPr>
          <w:rFonts w:ascii="Times New Roman" w:hAnsi="Times New Roman" w:cs="Times New Roman"/>
          <w:sz w:val="28"/>
        </w:rPr>
        <w:t>adquiridos de un día de salario por día de retardo del artículo 65 del CST establecida en la sentencia de constitucionalidad»</w:t>
      </w:r>
      <w:r w:rsidRPr="008936AF">
        <w:rPr>
          <w:rStyle w:val="Refdenotaalpie"/>
          <w:rFonts w:ascii="Times New Roman" w:hAnsi="Times New Roman" w:cs="Times New Roman"/>
          <w:sz w:val="28"/>
          <w:szCs w:val="16"/>
        </w:rPr>
        <w:footnoteReference w:id="2"/>
      </w:r>
      <w:r w:rsidRPr="008936AF">
        <w:rPr>
          <w:rFonts w:ascii="Times New Roman" w:hAnsi="Times New Roman" w:cs="Times New Roman"/>
          <w:sz w:val="28"/>
        </w:rPr>
        <w:t>.</w:t>
      </w:r>
    </w:p>
    <w:p w:rsidR="00F334FD" w:rsidRPr="008936AF" w:rsidRDefault="008936AF" w:rsidP="009268B9">
      <w:pPr>
        <w:ind w:right="51"/>
        <w:jc w:val="both"/>
        <w:rPr>
          <w:rFonts w:ascii="Times New Roman" w:hAnsi="Times New Roman" w:cs="Times New Roman"/>
          <w:sz w:val="28"/>
        </w:rPr>
      </w:pPr>
    </w:p>
    <w:p w:rsidR="000C088D"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Relata en primer lugar que, en sentencia SL 1639 de 2022</w:t>
      </w:r>
      <w:r w:rsidRPr="008936AF">
        <w:rPr>
          <w:rFonts w:ascii="Times New Roman" w:hAnsi="Times New Roman" w:cs="Times New Roman"/>
          <w:sz w:val="28"/>
        </w:rPr>
        <w:t>, que reitera varios pronunciamientos allí indicados,</w:t>
      </w:r>
      <w:r w:rsidRPr="008936AF">
        <w:rPr>
          <w:rFonts w:ascii="Times New Roman" w:hAnsi="Times New Roman" w:cs="Times New Roman"/>
          <w:sz w:val="28"/>
        </w:rPr>
        <w:t xml:space="preserve"> la Sala Laboral d</w:t>
      </w:r>
      <w:r w:rsidRPr="008936AF">
        <w:rPr>
          <w:rFonts w:ascii="Times New Roman" w:hAnsi="Times New Roman" w:cs="Times New Roman"/>
          <w:sz w:val="28"/>
        </w:rPr>
        <w:t xml:space="preserve">e la Corte Suprema de Justicia planteó su interpretación sobre dicha disposición normativa y afirmó: </w:t>
      </w:r>
    </w:p>
    <w:p w:rsidR="000C088D" w:rsidRPr="008936AF" w:rsidRDefault="008936AF" w:rsidP="009268B9">
      <w:pPr>
        <w:ind w:right="51"/>
        <w:jc w:val="both"/>
        <w:rPr>
          <w:rFonts w:ascii="Times New Roman" w:hAnsi="Times New Roman" w:cs="Times New Roman"/>
          <w:sz w:val="28"/>
        </w:rPr>
      </w:pPr>
    </w:p>
    <w:p w:rsidR="000C088D" w:rsidRPr="008936AF" w:rsidRDefault="008936AF" w:rsidP="009268B9">
      <w:pPr>
        <w:ind w:left="708" w:right="51"/>
        <w:jc w:val="both"/>
        <w:rPr>
          <w:rFonts w:ascii="Times New Roman" w:hAnsi="Times New Roman" w:cs="Times New Roman"/>
          <w:sz w:val="28"/>
        </w:rPr>
      </w:pPr>
      <w:r w:rsidRPr="008936AF">
        <w:rPr>
          <w:rFonts w:ascii="Times New Roman" w:hAnsi="Times New Roman" w:cs="Times New Roman"/>
          <w:sz w:val="28"/>
        </w:rPr>
        <w:t>El criterio mayoritario de la Sala respecto del alcance e interpretación de esta disposición, es que para que proceda dicha indemnización, se debe instau</w:t>
      </w:r>
      <w:r w:rsidRPr="008936AF">
        <w:rPr>
          <w:rFonts w:ascii="Times New Roman" w:hAnsi="Times New Roman" w:cs="Times New Roman"/>
          <w:sz w:val="28"/>
        </w:rPr>
        <w:t xml:space="preserve">rar la demanda dentro de los 24 meses siguientes a la terminación del contrato de trabajo; si ello no ocurre, el trabajador solo tendrá derecho a los intereses moratorios que dicha preceptiva prevé, a partir del mes 25. </w:t>
      </w:r>
    </w:p>
    <w:p w:rsidR="000C088D" w:rsidRPr="008936AF" w:rsidRDefault="008936AF" w:rsidP="009268B9">
      <w:pPr>
        <w:ind w:left="708" w:right="51"/>
        <w:jc w:val="both"/>
        <w:rPr>
          <w:rFonts w:ascii="Times New Roman" w:hAnsi="Times New Roman" w:cs="Times New Roman"/>
          <w:sz w:val="28"/>
        </w:rPr>
      </w:pPr>
    </w:p>
    <w:p w:rsidR="000C088D" w:rsidRPr="008936AF" w:rsidRDefault="008936AF" w:rsidP="009268B9">
      <w:pPr>
        <w:ind w:left="708" w:right="51"/>
        <w:jc w:val="both"/>
        <w:rPr>
          <w:rFonts w:ascii="Times New Roman" w:hAnsi="Times New Roman" w:cs="Times New Roman"/>
          <w:sz w:val="28"/>
        </w:rPr>
      </w:pPr>
      <w:r w:rsidRPr="008936AF">
        <w:rPr>
          <w:rFonts w:ascii="Times New Roman" w:hAnsi="Times New Roman" w:cs="Times New Roman"/>
          <w:sz w:val="28"/>
        </w:rPr>
        <w:t>Así se dijo en sentencia CSJ SL, 6</w:t>
      </w:r>
      <w:r w:rsidRPr="008936AF">
        <w:rPr>
          <w:rFonts w:ascii="Times New Roman" w:hAnsi="Times New Roman" w:cs="Times New Roman"/>
          <w:sz w:val="28"/>
        </w:rPr>
        <w:t xml:space="preserve"> May 2010, Rad. 36577, reiterada en la CSJ SL10632-2014, y más recientemente en providencia CSJ SL1005-2021, donde se señaló:</w:t>
      </w:r>
    </w:p>
    <w:p w:rsidR="000C088D" w:rsidRPr="008936AF" w:rsidRDefault="008936AF" w:rsidP="009268B9">
      <w:pPr>
        <w:ind w:left="708" w:right="51"/>
        <w:jc w:val="both"/>
        <w:rPr>
          <w:rFonts w:ascii="Times New Roman" w:hAnsi="Times New Roman" w:cs="Times New Roman"/>
          <w:sz w:val="28"/>
        </w:rPr>
      </w:pPr>
    </w:p>
    <w:p w:rsidR="000C088D" w:rsidRPr="008936AF" w:rsidRDefault="008936AF" w:rsidP="009268B9">
      <w:pPr>
        <w:ind w:left="708" w:right="51"/>
        <w:jc w:val="both"/>
        <w:rPr>
          <w:rFonts w:ascii="Times New Roman" w:hAnsi="Times New Roman" w:cs="Times New Roman"/>
          <w:sz w:val="28"/>
        </w:rPr>
      </w:pPr>
      <w:r w:rsidRPr="008936AF">
        <w:rPr>
          <w:rFonts w:ascii="Times New Roman" w:hAnsi="Times New Roman" w:cs="Times New Roman"/>
          <w:sz w:val="28"/>
        </w:rPr>
        <w:t>Cuando no se haya entablado demanda ante los estrados judiciales, dentro de los veinticuatro (24) meses siguientes al fenecimient</w:t>
      </w:r>
      <w:r w:rsidRPr="008936AF">
        <w:rPr>
          <w:rFonts w:ascii="Times New Roman" w:hAnsi="Times New Roman" w:cs="Times New Roman"/>
          <w:sz w:val="28"/>
        </w:rPr>
        <w:t>o del contrato de trabajo, el trabajador no tendrá derecho a la indemnización moratoria equivalente a un (1) día de salario por cada día de mora en la solución de los salarios y prestaciones sociales, dentro de ese lapso, sino a los intereses moratorios, a</w:t>
      </w:r>
      <w:r w:rsidRPr="008936AF">
        <w:rPr>
          <w:rFonts w:ascii="Times New Roman" w:hAnsi="Times New Roman" w:cs="Times New Roman"/>
          <w:sz w:val="28"/>
        </w:rPr>
        <w:t xml:space="preserve"> partir de la terminación del contrato de trabajo, a la tasa máxima de créditos de libre asignación certificada por la Superintendencia Financiera.</w:t>
      </w:r>
    </w:p>
    <w:p w:rsidR="000C088D" w:rsidRPr="008936AF" w:rsidRDefault="008936AF" w:rsidP="009268B9">
      <w:pPr>
        <w:ind w:left="708" w:right="51"/>
        <w:jc w:val="both"/>
        <w:rPr>
          <w:rFonts w:ascii="Times New Roman" w:hAnsi="Times New Roman" w:cs="Times New Roman"/>
          <w:sz w:val="28"/>
        </w:rPr>
      </w:pPr>
    </w:p>
    <w:p w:rsidR="000C088D" w:rsidRPr="008936AF" w:rsidRDefault="008936AF" w:rsidP="009268B9">
      <w:pPr>
        <w:ind w:left="708" w:right="51"/>
        <w:jc w:val="both"/>
        <w:rPr>
          <w:rFonts w:ascii="Times New Roman" w:hAnsi="Times New Roman" w:cs="Times New Roman"/>
          <w:sz w:val="28"/>
        </w:rPr>
      </w:pPr>
      <w:r w:rsidRPr="008936AF">
        <w:rPr>
          <w:rFonts w:ascii="Times New Roman" w:hAnsi="Times New Roman" w:cs="Times New Roman"/>
          <w:sz w:val="28"/>
        </w:rPr>
        <w:t>De tal suerte que la presentación oportuna (entiéndase dentro de los veinticuatro meses siguientes a la ter</w:t>
      </w:r>
      <w:r w:rsidRPr="008936AF">
        <w:rPr>
          <w:rFonts w:ascii="Times New Roman" w:hAnsi="Times New Roman" w:cs="Times New Roman"/>
          <w:sz w:val="28"/>
        </w:rPr>
        <w:t>minación del contrato de trabajo) de la reclamación judicial da al trabajador el derecho a acceder a la indemnización moratoria de un día de salario por cada día de mora hasta por veinticuatro (24) meses, calculados desde la ruptura del nudo de trabajo; y,</w:t>
      </w:r>
      <w:r w:rsidRPr="008936AF">
        <w:rPr>
          <w:rFonts w:ascii="Times New Roman" w:hAnsi="Times New Roman" w:cs="Times New Roman"/>
          <w:sz w:val="28"/>
        </w:rPr>
        <w:t xml:space="preserve"> a partir de la iniciación del mes veinticinco (25), contado desde esa misma ocasión, hace radicar en su cabeza el derecho a los intereses moratorios, en los términos precisados por el legislador.</w:t>
      </w:r>
    </w:p>
    <w:p w:rsidR="000C088D" w:rsidRPr="008936AF" w:rsidRDefault="008936AF" w:rsidP="009268B9">
      <w:pPr>
        <w:ind w:left="708" w:right="51"/>
        <w:jc w:val="both"/>
        <w:rPr>
          <w:rFonts w:ascii="Times New Roman" w:hAnsi="Times New Roman" w:cs="Times New Roman"/>
          <w:sz w:val="28"/>
        </w:rPr>
      </w:pPr>
    </w:p>
    <w:p w:rsidR="000C088D" w:rsidRPr="008936AF" w:rsidRDefault="008936AF" w:rsidP="009268B9">
      <w:pPr>
        <w:ind w:left="708" w:right="51"/>
        <w:jc w:val="both"/>
        <w:rPr>
          <w:rFonts w:ascii="Times New Roman" w:hAnsi="Times New Roman" w:cs="Times New Roman"/>
          <w:sz w:val="28"/>
        </w:rPr>
      </w:pPr>
      <w:r w:rsidRPr="008936AF">
        <w:rPr>
          <w:rFonts w:ascii="Times New Roman" w:hAnsi="Times New Roman" w:cs="Times New Roman"/>
          <w:sz w:val="28"/>
        </w:rPr>
        <w:t>Pero la reclamación inoportuna (fuera del término ya señal</w:t>
      </w:r>
      <w:r w:rsidRPr="008936AF">
        <w:rPr>
          <w:rFonts w:ascii="Times New Roman" w:hAnsi="Times New Roman" w:cs="Times New Roman"/>
          <w:sz w:val="28"/>
        </w:rPr>
        <w:t>ado) comporta para el trabajador la pérdida del derecho a la indemnización moratoria. Sólo le asiste el derecho a los intereses moratorios, contabilizados desde la fecha de la extinción de vínculo jurídico. (Subrayas fuera del texto).</w:t>
      </w:r>
    </w:p>
    <w:p w:rsidR="000C088D" w:rsidRPr="008936AF" w:rsidRDefault="008936AF" w:rsidP="009268B9">
      <w:pPr>
        <w:ind w:left="708" w:right="51"/>
        <w:jc w:val="both"/>
        <w:rPr>
          <w:rFonts w:ascii="Times New Roman" w:hAnsi="Times New Roman" w:cs="Times New Roman"/>
          <w:sz w:val="28"/>
        </w:rPr>
      </w:pPr>
    </w:p>
    <w:p w:rsidR="000C088D" w:rsidRPr="008936AF" w:rsidRDefault="008936AF" w:rsidP="009268B9">
      <w:pPr>
        <w:ind w:left="708" w:right="51"/>
        <w:jc w:val="both"/>
        <w:rPr>
          <w:rFonts w:ascii="Times New Roman" w:hAnsi="Times New Roman" w:cs="Times New Roman"/>
          <w:sz w:val="28"/>
        </w:rPr>
      </w:pPr>
      <w:r w:rsidRPr="008936AF">
        <w:rPr>
          <w:rFonts w:ascii="Times New Roman" w:hAnsi="Times New Roman" w:cs="Times New Roman"/>
          <w:sz w:val="28"/>
        </w:rPr>
        <w:t>Con arreglo al anter</w:t>
      </w:r>
      <w:r w:rsidRPr="008936AF">
        <w:rPr>
          <w:rFonts w:ascii="Times New Roman" w:hAnsi="Times New Roman" w:cs="Times New Roman"/>
          <w:sz w:val="28"/>
        </w:rPr>
        <w:t>ior criterio jurisprudencial, observa la Sala que la relación laboral que se suscitó entre las partes finalizó el 6 de abril de 2003 y la demanda que dio origen al proceso fue presentada el 7 de julio de 2006 según se infiere del acta individual de reparto</w:t>
      </w:r>
      <w:r w:rsidRPr="008936AF">
        <w:rPr>
          <w:rFonts w:ascii="Times New Roman" w:hAnsi="Times New Roman" w:cs="Times New Roman"/>
          <w:sz w:val="28"/>
        </w:rPr>
        <w:t xml:space="preserve"> visible a folio 20, es decir, después de haber transcurrido 24 meses desde la ruptura del vínculo contractual. En estas condiciones, al haber reclamado inoportunamente sus acreencias laborales, la demandante perdió el derecho a la indemnización moratoria </w:t>
      </w:r>
      <w:r w:rsidRPr="008936AF">
        <w:rPr>
          <w:rFonts w:ascii="Times New Roman" w:hAnsi="Times New Roman" w:cs="Times New Roman"/>
          <w:sz w:val="28"/>
        </w:rPr>
        <w:t>de un día de salario por cada día de retraso y solo le asiste derecho a los intereses moratorios sobre los créditos sociales insatisfechos.</w:t>
      </w:r>
    </w:p>
    <w:p w:rsidR="000C088D" w:rsidRPr="008936AF" w:rsidRDefault="008936AF" w:rsidP="009268B9">
      <w:pPr>
        <w:ind w:right="51"/>
        <w:jc w:val="both"/>
        <w:rPr>
          <w:rFonts w:ascii="Times New Roman" w:hAnsi="Times New Roman" w:cs="Times New Roman"/>
          <w:sz w:val="28"/>
        </w:rPr>
      </w:pPr>
    </w:p>
    <w:p w:rsidR="00FF4518"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 xml:space="preserve">En este escenario y respecto de la violación del artículo 53 superior y al principio de </w:t>
      </w:r>
      <w:r w:rsidRPr="008936AF">
        <w:rPr>
          <w:rFonts w:ascii="Times New Roman" w:hAnsi="Times New Roman" w:cs="Times New Roman"/>
          <w:i/>
          <w:sz w:val="28"/>
        </w:rPr>
        <w:t>indubio pro operario</w:t>
      </w:r>
      <w:r w:rsidRPr="008936AF">
        <w:rPr>
          <w:rFonts w:ascii="Times New Roman" w:hAnsi="Times New Roman" w:cs="Times New Roman"/>
          <w:sz w:val="28"/>
        </w:rPr>
        <w:t xml:space="preserve"> que de</w:t>
      </w:r>
      <w:r w:rsidRPr="008936AF">
        <w:rPr>
          <w:rFonts w:ascii="Times New Roman" w:hAnsi="Times New Roman" w:cs="Times New Roman"/>
          <w:sz w:val="28"/>
        </w:rPr>
        <w:t xml:space="preserve"> él se desprende, estima el accionante que </w:t>
      </w:r>
      <w:r w:rsidRPr="008936AF">
        <w:rPr>
          <w:rFonts w:ascii="Times New Roman" w:hAnsi="Times New Roman" w:cs="Times New Roman"/>
          <w:sz w:val="28"/>
        </w:rPr>
        <w:t>la interpretación de este artículo 65 debe ser global, sin fraccionamiento, entendiendo que la disposición, «para los trabajadores que devenguen más de 1 salario mínimo consagra un día de salario por día de retard</w:t>
      </w:r>
      <w:r w:rsidRPr="008936AF">
        <w:rPr>
          <w:rFonts w:ascii="Times New Roman" w:hAnsi="Times New Roman" w:cs="Times New Roman"/>
          <w:sz w:val="28"/>
        </w:rPr>
        <w:t>o hasta por 24 meses y si el trabajador no ha iniciado su reclamación por la vía ordinaria transcurridos 24 meses desde la terminación del contrato, a partir del mes 25 debe pagarse intereses moratorios hasta su efectivo pago».</w:t>
      </w:r>
      <w:r w:rsidRPr="008936AF">
        <w:rPr>
          <w:rFonts w:ascii="Times New Roman" w:hAnsi="Times New Roman" w:cs="Times New Roman"/>
          <w:sz w:val="28"/>
        </w:rPr>
        <w:t xml:space="preserve"> </w:t>
      </w:r>
      <w:r w:rsidRPr="008936AF">
        <w:rPr>
          <w:rFonts w:ascii="Times New Roman" w:hAnsi="Times New Roman" w:cs="Times New Roman"/>
          <w:sz w:val="28"/>
        </w:rPr>
        <w:t>En caso de que inicie reclam</w:t>
      </w:r>
      <w:r w:rsidRPr="008936AF">
        <w:rPr>
          <w:rFonts w:ascii="Times New Roman" w:hAnsi="Times New Roman" w:cs="Times New Roman"/>
          <w:sz w:val="28"/>
        </w:rPr>
        <w:t xml:space="preserve">ación antes del mes 24, </w:t>
      </w:r>
      <w:r w:rsidRPr="008936AF">
        <w:rPr>
          <w:rFonts w:ascii="Times New Roman" w:hAnsi="Times New Roman" w:cs="Times New Roman"/>
          <w:sz w:val="28"/>
        </w:rPr>
        <w:t>afirma</w:t>
      </w:r>
      <w:r w:rsidRPr="008936AF">
        <w:rPr>
          <w:rFonts w:ascii="Times New Roman" w:hAnsi="Times New Roman" w:cs="Times New Roman"/>
          <w:sz w:val="28"/>
        </w:rPr>
        <w:t xml:space="preserve"> el actor que el pago debe seguir realizándose ya que «la expresión “o si presentara demanda, no ha habido pronunciamiento judicial” fue declarada inexequible, en el entendido en que el trabajador, como parte débil de la relac</w:t>
      </w:r>
      <w:r w:rsidRPr="008936AF">
        <w:rPr>
          <w:rFonts w:ascii="Times New Roman" w:hAnsi="Times New Roman" w:cs="Times New Roman"/>
          <w:sz w:val="28"/>
        </w:rPr>
        <w:t>ión, no podía soportar la mora judicial. Así que aquellos trabajadores que reclamaron por la vía ordinaria antes del mes 24, seguirán causándose dicha indemnización hasta su pago efectivo».</w:t>
      </w:r>
    </w:p>
    <w:p w:rsidR="00FF4518" w:rsidRPr="008936AF" w:rsidRDefault="008936AF" w:rsidP="009268B9">
      <w:pPr>
        <w:pStyle w:val="Prrafodelista"/>
        <w:ind w:left="0" w:right="51"/>
        <w:jc w:val="both"/>
        <w:rPr>
          <w:rFonts w:ascii="Times New Roman" w:hAnsi="Times New Roman" w:cs="Times New Roman"/>
          <w:sz w:val="28"/>
        </w:rPr>
      </w:pPr>
    </w:p>
    <w:p w:rsidR="00FF4518"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 xml:space="preserve">Así las cosas, </w:t>
      </w:r>
      <w:r w:rsidRPr="008936AF">
        <w:rPr>
          <w:rFonts w:ascii="Times New Roman" w:hAnsi="Times New Roman" w:cs="Times New Roman"/>
          <w:sz w:val="28"/>
        </w:rPr>
        <w:t xml:space="preserve">a su juicio, </w:t>
      </w:r>
      <w:r w:rsidRPr="008936AF">
        <w:rPr>
          <w:rFonts w:ascii="Times New Roman" w:hAnsi="Times New Roman" w:cs="Times New Roman"/>
          <w:sz w:val="28"/>
        </w:rPr>
        <w:t>leída la norma no es posible entender</w:t>
      </w:r>
      <w:r w:rsidRPr="008936AF">
        <w:rPr>
          <w:rFonts w:ascii="Times New Roman" w:hAnsi="Times New Roman" w:cs="Times New Roman"/>
          <w:sz w:val="28"/>
        </w:rPr>
        <w:t xml:space="preserve"> que</w:t>
      </w:r>
      <w:r w:rsidRPr="008936AF">
        <w:rPr>
          <w:rFonts w:ascii="Times New Roman" w:hAnsi="Times New Roman" w:cs="Times New Roman"/>
          <w:sz w:val="28"/>
        </w:rPr>
        <w:t>,</w:t>
      </w:r>
      <w:r w:rsidRPr="008936AF">
        <w:rPr>
          <w:rFonts w:ascii="Times New Roman" w:hAnsi="Times New Roman" w:cs="Times New Roman"/>
          <w:sz w:val="28"/>
        </w:rPr>
        <w:t xml:space="preserve"> si no se ha hecho el reclamo por vía ordinaria antes del mes 24, a partir del mes 25 se perdería o extinguiría el derecho a la indemnización moratoria de un día de salario por día de retardo. En este caso, dice, «si no ha habido reclamación por la ví</w:t>
      </w:r>
      <w:r w:rsidRPr="008936AF">
        <w:rPr>
          <w:rFonts w:ascii="Times New Roman" w:hAnsi="Times New Roman" w:cs="Times New Roman"/>
          <w:sz w:val="28"/>
        </w:rPr>
        <w:t>a ordinaria dentro de estos 24 meses debe el empleador el interés moratorio, pero a partir del mes 25 hasta su pago».</w:t>
      </w:r>
      <w:r w:rsidRPr="008936AF">
        <w:rPr>
          <w:rFonts w:ascii="Times New Roman" w:hAnsi="Times New Roman" w:cs="Times New Roman"/>
          <w:sz w:val="28"/>
        </w:rPr>
        <w:t xml:space="preserve"> </w:t>
      </w:r>
      <w:r w:rsidRPr="008936AF">
        <w:rPr>
          <w:rFonts w:ascii="Times New Roman" w:hAnsi="Times New Roman" w:cs="Times New Roman"/>
          <w:sz w:val="28"/>
        </w:rPr>
        <w:t>Indica que la Corte Suprema de Justicia, en los apartes interpretativos citados «afirmó que para que proceda la indemnización moratoria se</w:t>
      </w:r>
      <w:r w:rsidRPr="008936AF">
        <w:rPr>
          <w:rFonts w:ascii="Times New Roman" w:hAnsi="Times New Roman" w:cs="Times New Roman"/>
          <w:sz w:val="28"/>
        </w:rPr>
        <w:t xml:space="preserve"> debe instaurar la “demanda” dentro de los 24 meses siguientes a la terminación del contrato de trabajo de lo contrario, sólo tiene derecho a los intereses moratorios a partir del mes 25 y en la otra dice que a partir de la terminación del contrato».</w:t>
      </w:r>
    </w:p>
    <w:p w:rsidR="00FF4518" w:rsidRPr="008936AF" w:rsidRDefault="008936AF" w:rsidP="009268B9">
      <w:pPr>
        <w:pStyle w:val="Prrafodelista"/>
        <w:ind w:left="0" w:right="51"/>
        <w:jc w:val="both"/>
        <w:rPr>
          <w:rFonts w:ascii="Times New Roman" w:hAnsi="Times New Roman" w:cs="Times New Roman"/>
          <w:sz w:val="28"/>
        </w:rPr>
      </w:pPr>
    </w:p>
    <w:p w:rsidR="00FF4518"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Insi</w:t>
      </w:r>
      <w:r w:rsidRPr="008936AF">
        <w:rPr>
          <w:rFonts w:ascii="Times New Roman" w:hAnsi="Times New Roman" w:cs="Times New Roman"/>
          <w:sz w:val="28"/>
        </w:rPr>
        <w:t>ste en que la disposición jurídica ahora analizada «no prescribió en sus consecuencias jurídicas la pérdida de la indemnización moratoria de un día de salario por día de retardo hasta el mes 24» sino que la limitó a esa última fecha entendiendo entonces qu</w:t>
      </w:r>
      <w:r w:rsidRPr="008936AF">
        <w:rPr>
          <w:rFonts w:ascii="Times New Roman" w:hAnsi="Times New Roman" w:cs="Times New Roman"/>
          <w:sz w:val="28"/>
        </w:rPr>
        <w:t>e, «si no ha iniciado la reclamación por la vía ordinaria transcurridos los 24 meses, se debe pagar el interés moratorio a partir del mes 25 hasta su efectivo, pago, igualmente sin que la disposición normativa establezca la pérdida del día de salario por d</w:t>
      </w:r>
      <w:r w:rsidRPr="008936AF">
        <w:rPr>
          <w:rFonts w:ascii="Times New Roman" w:hAnsi="Times New Roman" w:cs="Times New Roman"/>
          <w:sz w:val="28"/>
        </w:rPr>
        <w:t>ía de retardo hasta el mes 24».</w:t>
      </w:r>
    </w:p>
    <w:p w:rsidR="00FF4518" w:rsidRPr="008936AF" w:rsidRDefault="008936AF" w:rsidP="009268B9">
      <w:pPr>
        <w:pStyle w:val="Prrafodelista"/>
        <w:ind w:left="0" w:right="51"/>
        <w:jc w:val="both"/>
        <w:rPr>
          <w:rFonts w:ascii="Times New Roman" w:hAnsi="Times New Roman" w:cs="Times New Roman"/>
          <w:sz w:val="28"/>
        </w:rPr>
      </w:pPr>
    </w:p>
    <w:p w:rsidR="00FF4518"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C</w:t>
      </w:r>
      <w:r w:rsidRPr="008936AF">
        <w:rPr>
          <w:rFonts w:ascii="Times New Roman" w:hAnsi="Times New Roman" w:cs="Times New Roman"/>
          <w:sz w:val="28"/>
        </w:rPr>
        <w:t>onsidera que «donde el legislador no ha prescrito una consecuencia jurídica, por cierto, muy gravosa de la pérdida de la indemnización moratoria, el intérprete no lo debe hacer, sobre todo, porque pasaría de intérprete a l</w:t>
      </w:r>
      <w:r w:rsidRPr="008936AF">
        <w:rPr>
          <w:rFonts w:ascii="Times New Roman" w:hAnsi="Times New Roman" w:cs="Times New Roman"/>
          <w:sz w:val="28"/>
        </w:rPr>
        <w:t>egislador, pues agregaría elementos normativos y consecuencias jurídicas que la misma disposición no contiene».</w:t>
      </w:r>
    </w:p>
    <w:p w:rsidR="00FF4518" w:rsidRPr="008936AF" w:rsidRDefault="008936AF" w:rsidP="009268B9">
      <w:pPr>
        <w:pStyle w:val="Prrafodelista"/>
        <w:ind w:left="0" w:right="51"/>
        <w:jc w:val="both"/>
        <w:rPr>
          <w:rFonts w:ascii="Times New Roman" w:hAnsi="Times New Roman" w:cs="Times New Roman"/>
          <w:sz w:val="28"/>
        </w:rPr>
      </w:pPr>
    </w:p>
    <w:p w:rsidR="005250FE"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 xml:space="preserve">Respecto de la prohibición de reproducir </w:t>
      </w:r>
      <w:r w:rsidRPr="008936AF">
        <w:rPr>
          <w:rFonts w:ascii="Times New Roman" w:hAnsi="Times New Roman" w:cs="Times New Roman"/>
          <w:sz w:val="28"/>
        </w:rPr>
        <w:t>contenidos</w:t>
      </w:r>
      <w:r w:rsidRPr="008936AF">
        <w:rPr>
          <w:rFonts w:ascii="Times New Roman" w:hAnsi="Times New Roman" w:cs="Times New Roman"/>
          <w:sz w:val="28"/>
        </w:rPr>
        <w:t xml:space="preserve"> declarados inexequibles</w:t>
      </w:r>
      <w:r w:rsidRPr="008936AF">
        <w:rPr>
          <w:rFonts w:ascii="Times New Roman" w:hAnsi="Times New Roman" w:cs="Times New Roman"/>
          <w:sz w:val="28"/>
        </w:rPr>
        <w:t xml:space="preserve"> (art. 243 superior) señala que en este caso la expresión «o si pres</w:t>
      </w:r>
      <w:r w:rsidRPr="008936AF">
        <w:rPr>
          <w:rFonts w:ascii="Times New Roman" w:hAnsi="Times New Roman" w:cs="Times New Roman"/>
          <w:sz w:val="28"/>
        </w:rPr>
        <w:t>entara la demanda, no ha habido pronunciamiento judicial» fue declarada inexequible por la Corte Constitucional</w:t>
      </w:r>
      <w:r w:rsidRPr="008936AF">
        <w:rPr>
          <w:rFonts w:ascii="Times New Roman" w:hAnsi="Times New Roman" w:cs="Times New Roman"/>
          <w:sz w:val="28"/>
        </w:rPr>
        <w:t xml:space="preserve"> en </w:t>
      </w:r>
      <w:r w:rsidRPr="008936AF">
        <w:rPr>
          <w:rFonts w:ascii="Times New Roman" w:hAnsi="Times New Roman" w:cs="Times New Roman"/>
          <w:sz w:val="28"/>
        </w:rPr>
        <w:t>sentencia C-781 de 2003</w:t>
      </w:r>
      <w:r w:rsidRPr="008936AF">
        <w:rPr>
          <w:rFonts w:ascii="Times New Roman" w:hAnsi="Times New Roman" w:cs="Times New Roman"/>
          <w:sz w:val="28"/>
        </w:rPr>
        <w:t xml:space="preserve">. A pesar de ello, </w:t>
      </w:r>
      <w:r w:rsidRPr="008936AF">
        <w:rPr>
          <w:rFonts w:ascii="Times New Roman" w:hAnsi="Times New Roman" w:cs="Times New Roman"/>
          <w:sz w:val="28"/>
        </w:rPr>
        <w:t xml:space="preserve">la Sala Laboral de la Corte Suprema de Justicia todavía reproduce dicha expresión, cuando la misma </w:t>
      </w:r>
      <w:r w:rsidRPr="008936AF">
        <w:rPr>
          <w:rFonts w:ascii="Times New Roman" w:hAnsi="Times New Roman" w:cs="Times New Roman"/>
          <w:sz w:val="28"/>
        </w:rPr>
        <w:t>afirma que:</w:t>
      </w:r>
    </w:p>
    <w:p w:rsidR="008C60E8" w:rsidRPr="008936AF" w:rsidRDefault="008936AF" w:rsidP="009268B9">
      <w:pPr>
        <w:ind w:right="51"/>
        <w:jc w:val="both"/>
        <w:rPr>
          <w:rFonts w:ascii="Times New Roman" w:hAnsi="Times New Roman" w:cs="Times New Roman"/>
          <w:sz w:val="28"/>
        </w:rPr>
      </w:pPr>
    </w:p>
    <w:p w:rsidR="003D73D2" w:rsidRPr="008936AF" w:rsidRDefault="008936AF" w:rsidP="009268B9">
      <w:pPr>
        <w:ind w:left="708" w:right="51"/>
        <w:jc w:val="both"/>
        <w:rPr>
          <w:rFonts w:ascii="Times New Roman" w:hAnsi="Times New Roman" w:cs="Times New Roman"/>
          <w:sz w:val="28"/>
        </w:rPr>
      </w:pPr>
      <w:r w:rsidRPr="008936AF">
        <w:rPr>
          <w:rFonts w:ascii="Times New Roman" w:hAnsi="Times New Roman" w:cs="Times New Roman"/>
          <w:sz w:val="28"/>
        </w:rPr>
        <w:t xml:space="preserve">Cuando no se haya entablado demanda ante los estrados judiciales, dentro de los veinticuatro (24) meses siguientes al fenecimiento del contrato de trabajo, el trabajador no tendrá derecho a la indemnización moratoria equivalente a un (1) día </w:t>
      </w:r>
      <w:r w:rsidRPr="008936AF">
        <w:rPr>
          <w:rFonts w:ascii="Times New Roman" w:hAnsi="Times New Roman" w:cs="Times New Roman"/>
          <w:sz w:val="28"/>
        </w:rPr>
        <w:t>de salario por cada día de mora en la solución de los salarios y prestaciones sociales, dentro de ese lapso, sino a los intereses moratorios, a partir de la terminación del contrato de trabajo, a la tasa máxima de créditos de libre asignación certificada p</w:t>
      </w:r>
      <w:r w:rsidRPr="008936AF">
        <w:rPr>
          <w:rFonts w:ascii="Times New Roman" w:hAnsi="Times New Roman" w:cs="Times New Roman"/>
          <w:sz w:val="28"/>
        </w:rPr>
        <w:t>or la Superintendencia Financiera.</w:t>
      </w:r>
      <w:r w:rsidRPr="008936AF">
        <w:rPr>
          <w:rFonts w:ascii="Times New Roman" w:hAnsi="Times New Roman" w:cs="Times New Roman"/>
          <w:sz w:val="28"/>
        </w:rPr>
        <w:t xml:space="preserve"> </w:t>
      </w:r>
    </w:p>
    <w:p w:rsidR="003D73D2" w:rsidRPr="008936AF" w:rsidRDefault="008936AF" w:rsidP="009268B9">
      <w:pPr>
        <w:ind w:right="51"/>
        <w:jc w:val="both"/>
        <w:rPr>
          <w:rFonts w:ascii="Times New Roman" w:hAnsi="Times New Roman" w:cs="Times New Roman"/>
          <w:sz w:val="28"/>
        </w:rPr>
      </w:pPr>
    </w:p>
    <w:p w:rsidR="0029054B"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Alega que e</w:t>
      </w:r>
      <w:r w:rsidRPr="008936AF">
        <w:rPr>
          <w:rFonts w:ascii="Times New Roman" w:hAnsi="Times New Roman" w:cs="Times New Roman"/>
          <w:sz w:val="28"/>
        </w:rPr>
        <w:t xml:space="preserve">l legislador, </w:t>
      </w:r>
      <w:r w:rsidRPr="008936AF">
        <w:rPr>
          <w:rFonts w:ascii="Times New Roman" w:hAnsi="Times New Roman" w:cs="Times New Roman"/>
          <w:sz w:val="28"/>
        </w:rPr>
        <w:t>«</w:t>
      </w:r>
      <w:r w:rsidRPr="008936AF">
        <w:rPr>
          <w:rFonts w:ascii="Times New Roman" w:hAnsi="Times New Roman" w:cs="Times New Roman"/>
          <w:sz w:val="28"/>
        </w:rPr>
        <w:t>en la expedición original del artículo 65 del CST estableció dos instituciones jurídicas diferentes y diferenciables entre sí: la reclamación por la vía ordinaria o si presentara la demanda. Es</w:t>
      </w:r>
      <w:r w:rsidRPr="008936AF">
        <w:rPr>
          <w:rFonts w:ascii="Times New Roman" w:hAnsi="Times New Roman" w:cs="Times New Roman"/>
          <w:sz w:val="28"/>
        </w:rPr>
        <w:t>ta última institución, con su respectivo predicado, fue declarado inconstitucional y ninguna autoridad debe reproducir dicho contenido</w:t>
      </w:r>
      <w:r w:rsidRPr="008936AF">
        <w:rPr>
          <w:rFonts w:ascii="Times New Roman" w:hAnsi="Times New Roman" w:cs="Times New Roman"/>
          <w:sz w:val="28"/>
        </w:rPr>
        <w:t>»</w:t>
      </w:r>
      <w:r w:rsidRPr="008936AF">
        <w:rPr>
          <w:rFonts w:ascii="Times New Roman" w:hAnsi="Times New Roman" w:cs="Times New Roman"/>
          <w:sz w:val="28"/>
        </w:rPr>
        <w:t>.</w:t>
      </w:r>
      <w:r w:rsidRPr="008936AF">
        <w:rPr>
          <w:rFonts w:ascii="Times New Roman" w:hAnsi="Times New Roman" w:cs="Times New Roman"/>
          <w:sz w:val="28"/>
        </w:rPr>
        <w:t xml:space="preserve"> De manera que no es permitido exigir la presentación de una demanda ya que «</w:t>
      </w:r>
      <w:r w:rsidRPr="008936AF">
        <w:rPr>
          <w:rFonts w:ascii="Times New Roman" w:hAnsi="Times New Roman" w:cs="Times New Roman"/>
          <w:sz w:val="28"/>
        </w:rPr>
        <w:t>la institución procesal de la</w:t>
      </w:r>
      <w:r w:rsidRPr="008936AF">
        <w:rPr>
          <w:rFonts w:ascii="Times New Roman" w:hAnsi="Times New Roman" w:cs="Times New Roman"/>
          <w:sz w:val="28"/>
        </w:rPr>
        <w:t xml:space="preserve"> </w:t>
      </w:r>
      <w:r w:rsidRPr="008936AF">
        <w:rPr>
          <w:rFonts w:ascii="Times New Roman" w:hAnsi="Times New Roman" w:cs="Times New Roman"/>
          <w:sz w:val="28"/>
        </w:rPr>
        <w:t xml:space="preserve">“reclamación </w:t>
      </w:r>
      <w:r w:rsidRPr="008936AF">
        <w:rPr>
          <w:rFonts w:ascii="Times New Roman" w:hAnsi="Times New Roman" w:cs="Times New Roman"/>
          <w:sz w:val="28"/>
        </w:rPr>
        <w:t>por la vía ordinaria” descarta la presentación de la d</w:t>
      </w:r>
      <w:r w:rsidRPr="008936AF">
        <w:rPr>
          <w:rFonts w:ascii="Times New Roman" w:hAnsi="Times New Roman" w:cs="Times New Roman"/>
          <w:sz w:val="28"/>
        </w:rPr>
        <w:t>e</w:t>
      </w:r>
      <w:r w:rsidRPr="008936AF">
        <w:rPr>
          <w:rFonts w:ascii="Times New Roman" w:hAnsi="Times New Roman" w:cs="Times New Roman"/>
          <w:sz w:val="28"/>
        </w:rPr>
        <w:t>manda para cualquier</w:t>
      </w:r>
      <w:r w:rsidRPr="008936AF">
        <w:rPr>
          <w:rFonts w:ascii="Times New Roman" w:hAnsi="Times New Roman" w:cs="Times New Roman"/>
          <w:sz w:val="28"/>
        </w:rPr>
        <w:t xml:space="preserve"> </w:t>
      </w:r>
      <w:r w:rsidRPr="008936AF">
        <w:rPr>
          <w:rFonts w:ascii="Times New Roman" w:hAnsi="Times New Roman" w:cs="Times New Roman"/>
          <w:sz w:val="28"/>
        </w:rPr>
        <w:t>efecto, pues esta última fue declarada inexequible, como segunda opción y que cuando el</w:t>
      </w:r>
      <w:r w:rsidRPr="008936AF">
        <w:rPr>
          <w:rFonts w:ascii="Times New Roman" w:hAnsi="Times New Roman" w:cs="Times New Roman"/>
          <w:sz w:val="28"/>
        </w:rPr>
        <w:t xml:space="preserve"> </w:t>
      </w:r>
      <w:r w:rsidRPr="008936AF">
        <w:rPr>
          <w:rFonts w:ascii="Times New Roman" w:hAnsi="Times New Roman" w:cs="Times New Roman"/>
          <w:sz w:val="28"/>
        </w:rPr>
        <w:t>legislador alude a la “reclamación por la vía ordinaria”, no alude a reclamación “judicial”</w:t>
      </w:r>
      <w:r w:rsidRPr="008936AF">
        <w:rPr>
          <w:rFonts w:ascii="Times New Roman" w:hAnsi="Times New Roman" w:cs="Times New Roman"/>
          <w:sz w:val="28"/>
        </w:rPr>
        <w:t>»</w:t>
      </w:r>
      <w:r w:rsidRPr="008936AF">
        <w:rPr>
          <w:rFonts w:ascii="Times New Roman" w:hAnsi="Times New Roman" w:cs="Times New Roman"/>
          <w:sz w:val="28"/>
        </w:rPr>
        <w:t>.</w:t>
      </w:r>
    </w:p>
    <w:p w:rsidR="0029054B" w:rsidRPr="008936AF" w:rsidRDefault="008936AF" w:rsidP="009268B9">
      <w:pPr>
        <w:ind w:right="51"/>
        <w:jc w:val="both"/>
        <w:rPr>
          <w:rFonts w:ascii="Times New Roman" w:hAnsi="Times New Roman" w:cs="Times New Roman"/>
          <w:sz w:val="28"/>
        </w:rPr>
      </w:pPr>
    </w:p>
    <w:p w:rsidR="00F87375"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R</w:t>
      </w:r>
      <w:r w:rsidRPr="008936AF">
        <w:rPr>
          <w:rFonts w:ascii="Times New Roman" w:hAnsi="Times New Roman" w:cs="Times New Roman"/>
          <w:sz w:val="28"/>
        </w:rPr>
        <w:t>especto de</w:t>
      </w:r>
      <w:r w:rsidRPr="008936AF">
        <w:rPr>
          <w:rFonts w:ascii="Times New Roman" w:hAnsi="Times New Roman" w:cs="Times New Roman"/>
          <w:sz w:val="28"/>
        </w:rPr>
        <w:t>l artículo 58, relacionado con</w:t>
      </w:r>
      <w:r w:rsidRPr="008936AF">
        <w:rPr>
          <w:rFonts w:ascii="Times New Roman" w:hAnsi="Times New Roman" w:cs="Times New Roman"/>
          <w:sz w:val="28"/>
        </w:rPr>
        <w:t xml:space="preserve"> los derechos adquiridos</w:t>
      </w:r>
      <w:r w:rsidRPr="008936AF">
        <w:rPr>
          <w:rFonts w:ascii="Times New Roman" w:hAnsi="Times New Roman" w:cs="Times New Roman"/>
          <w:sz w:val="28"/>
        </w:rPr>
        <w:t>,</w:t>
      </w:r>
      <w:r w:rsidRPr="008936AF">
        <w:rPr>
          <w:rFonts w:ascii="Times New Roman" w:hAnsi="Times New Roman" w:cs="Times New Roman"/>
          <w:sz w:val="28"/>
        </w:rPr>
        <w:t xml:space="preserve"> indica que no existe consecuencia jurídica alguna </w:t>
      </w:r>
      <w:r w:rsidRPr="008936AF">
        <w:rPr>
          <w:rFonts w:ascii="Times New Roman" w:hAnsi="Times New Roman" w:cs="Times New Roman"/>
          <w:sz w:val="28"/>
        </w:rPr>
        <w:t xml:space="preserve">en la norma demandada </w:t>
      </w:r>
      <w:r w:rsidRPr="008936AF">
        <w:rPr>
          <w:rFonts w:ascii="Times New Roman" w:hAnsi="Times New Roman" w:cs="Times New Roman"/>
          <w:sz w:val="28"/>
        </w:rPr>
        <w:t>de sólo pagar los intere</w:t>
      </w:r>
      <w:r w:rsidRPr="008936AF">
        <w:rPr>
          <w:rFonts w:ascii="Times New Roman" w:hAnsi="Times New Roman" w:cs="Times New Roman"/>
          <w:sz w:val="28"/>
        </w:rPr>
        <w:t>s</w:t>
      </w:r>
      <w:r w:rsidRPr="008936AF">
        <w:rPr>
          <w:rFonts w:ascii="Times New Roman" w:hAnsi="Times New Roman" w:cs="Times New Roman"/>
          <w:sz w:val="28"/>
        </w:rPr>
        <w:t>es moratorios si se reclama por la vía ordinaria a partir del mes 25</w:t>
      </w:r>
      <w:r w:rsidRPr="008936AF">
        <w:rPr>
          <w:rFonts w:ascii="Times New Roman" w:hAnsi="Times New Roman" w:cs="Times New Roman"/>
          <w:sz w:val="28"/>
        </w:rPr>
        <w:t>.</w:t>
      </w:r>
    </w:p>
    <w:p w:rsidR="001F2EF1" w:rsidRPr="008936AF" w:rsidRDefault="008936AF" w:rsidP="009268B9">
      <w:pPr>
        <w:pStyle w:val="Prrafodelista"/>
        <w:ind w:left="0" w:right="51"/>
        <w:jc w:val="both"/>
        <w:rPr>
          <w:rFonts w:ascii="Times New Roman" w:hAnsi="Times New Roman" w:cs="Times New Roman"/>
          <w:sz w:val="28"/>
        </w:rPr>
      </w:pPr>
    </w:p>
    <w:p w:rsidR="00F87375"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 xml:space="preserve">Estima que </w:t>
      </w:r>
      <w:r w:rsidRPr="008936AF">
        <w:rPr>
          <w:rFonts w:ascii="Times New Roman" w:hAnsi="Times New Roman" w:cs="Times New Roman"/>
          <w:sz w:val="28"/>
        </w:rPr>
        <w:t>la Cort</w:t>
      </w:r>
      <w:r w:rsidRPr="008936AF">
        <w:rPr>
          <w:rFonts w:ascii="Times New Roman" w:hAnsi="Times New Roman" w:cs="Times New Roman"/>
          <w:sz w:val="28"/>
        </w:rPr>
        <w:t xml:space="preserve">e Suprema de Justicia </w:t>
      </w:r>
      <w:r w:rsidRPr="008936AF">
        <w:rPr>
          <w:rFonts w:ascii="Times New Roman" w:hAnsi="Times New Roman" w:cs="Times New Roman"/>
          <w:sz w:val="28"/>
        </w:rPr>
        <w:t>«</w:t>
      </w:r>
      <w:r w:rsidRPr="008936AF">
        <w:rPr>
          <w:rFonts w:ascii="Times New Roman" w:hAnsi="Times New Roman" w:cs="Times New Roman"/>
          <w:sz w:val="28"/>
        </w:rPr>
        <w:t>toma las consecuencias jurídicas de la interposición de la “reclamación por la vía ordinaria” transcurridos 24 meses después de terminado el contrato, como el pago de intereses moratorios, pero aplica que es a partir del mes 25 en ad</w:t>
      </w:r>
      <w:r w:rsidRPr="008936AF">
        <w:rPr>
          <w:rFonts w:ascii="Times New Roman" w:hAnsi="Times New Roman" w:cs="Times New Roman"/>
          <w:sz w:val="28"/>
        </w:rPr>
        <w:t>elante, pues ya el día de salario por día de retardo se ha causado, como derecho adquirido, sino que retrotrae el pago de los intereses moratorios al mes 0 de la terminación del contrato hasta su pago</w:t>
      </w:r>
      <w:r w:rsidRPr="008936AF">
        <w:rPr>
          <w:rFonts w:ascii="Times New Roman" w:hAnsi="Times New Roman" w:cs="Times New Roman"/>
          <w:sz w:val="28"/>
        </w:rPr>
        <w:t>»</w:t>
      </w:r>
      <w:r w:rsidRPr="008936AF">
        <w:rPr>
          <w:rFonts w:ascii="Times New Roman" w:hAnsi="Times New Roman" w:cs="Times New Roman"/>
          <w:sz w:val="28"/>
        </w:rPr>
        <w:t>.</w:t>
      </w:r>
      <w:r w:rsidRPr="008936AF">
        <w:rPr>
          <w:rFonts w:ascii="Times New Roman" w:hAnsi="Times New Roman" w:cs="Times New Roman"/>
          <w:sz w:val="28"/>
        </w:rPr>
        <w:t xml:space="preserve"> Es decir, que se afirma</w:t>
      </w:r>
      <w:r w:rsidRPr="008936AF">
        <w:rPr>
          <w:rFonts w:ascii="Times New Roman" w:hAnsi="Times New Roman" w:cs="Times New Roman"/>
          <w:sz w:val="28"/>
        </w:rPr>
        <w:t xml:space="preserve"> una cosa que la misma disposi</w:t>
      </w:r>
      <w:r w:rsidRPr="008936AF">
        <w:rPr>
          <w:rFonts w:ascii="Times New Roman" w:hAnsi="Times New Roman" w:cs="Times New Roman"/>
          <w:sz w:val="28"/>
        </w:rPr>
        <w:t>ción normativa no prescribe</w:t>
      </w:r>
      <w:r w:rsidRPr="008936AF">
        <w:rPr>
          <w:rFonts w:ascii="Times New Roman" w:hAnsi="Times New Roman" w:cs="Times New Roman"/>
          <w:sz w:val="28"/>
        </w:rPr>
        <w:t xml:space="preserve"> ya que «</w:t>
      </w:r>
      <w:r w:rsidRPr="008936AF">
        <w:rPr>
          <w:rFonts w:ascii="Times New Roman" w:hAnsi="Times New Roman" w:cs="Times New Roman"/>
          <w:sz w:val="28"/>
        </w:rPr>
        <w:t>el pago de intereses moratorios es a partir del mes 25 hacia adelante, siempre y cuando no se</w:t>
      </w:r>
      <w:r w:rsidRPr="008936AF">
        <w:rPr>
          <w:rFonts w:ascii="Times New Roman" w:hAnsi="Times New Roman" w:cs="Times New Roman"/>
          <w:sz w:val="28"/>
        </w:rPr>
        <w:t xml:space="preserve"> </w:t>
      </w:r>
      <w:r w:rsidRPr="008936AF">
        <w:rPr>
          <w:rFonts w:ascii="Times New Roman" w:hAnsi="Times New Roman" w:cs="Times New Roman"/>
          <w:sz w:val="28"/>
        </w:rPr>
        <w:t>haya interpuesto la reclamación por la vía ordinaria en los primeros 24 meses y no, como lo</w:t>
      </w:r>
      <w:r w:rsidRPr="008936AF">
        <w:rPr>
          <w:rFonts w:ascii="Times New Roman" w:hAnsi="Times New Roman" w:cs="Times New Roman"/>
          <w:sz w:val="28"/>
        </w:rPr>
        <w:t xml:space="preserve"> </w:t>
      </w:r>
      <w:r w:rsidRPr="008936AF">
        <w:rPr>
          <w:rFonts w:ascii="Times New Roman" w:hAnsi="Times New Roman" w:cs="Times New Roman"/>
          <w:sz w:val="28"/>
        </w:rPr>
        <w:t xml:space="preserve">afirmó la Sala Laboral, desde la </w:t>
      </w:r>
      <w:r w:rsidRPr="008936AF">
        <w:rPr>
          <w:rFonts w:ascii="Times New Roman" w:hAnsi="Times New Roman" w:cs="Times New Roman"/>
          <w:sz w:val="28"/>
        </w:rPr>
        <w:t>terminación del contrato; en otras palabras, la disposición</w:t>
      </w:r>
      <w:r w:rsidRPr="008936AF">
        <w:rPr>
          <w:rFonts w:ascii="Times New Roman" w:hAnsi="Times New Roman" w:cs="Times New Roman"/>
          <w:sz w:val="28"/>
        </w:rPr>
        <w:t xml:space="preserve"> </w:t>
      </w:r>
      <w:r w:rsidRPr="008936AF">
        <w:rPr>
          <w:rFonts w:ascii="Times New Roman" w:hAnsi="Times New Roman" w:cs="Times New Roman"/>
          <w:sz w:val="28"/>
        </w:rPr>
        <w:t>jurídica no prescribe la consecuencia de perder la indemnización moratoria de un día de</w:t>
      </w:r>
      <w:r w:rsidRPr="008936AF">
        <w:rPr>
          <w:rFonts w:ascii="Times New Roman" w:hAnsi="Times New Roman" w:cs="Times New Roman"/>
          <w:sz w:val="28"/>
        </w:rPr>
        <w:t xml:space="preserve"> </w:t>
      </w:r>
      <w:r w:rsidRPr="008936AF">
        <w:rPr>
          <w:rFonts w:ascii="Times New Roman" w:hAnsi="Times New Roman" w:cs="Times New Roman"/>
          <w:sz w:val="28"/>
        </w:rPr>
        <w:t>salario por día de retardo hasta el mes 24, pues la deja incólume, intacta y sobre ella no genera</w:t>
      </w:r>
      <w:r w:rsidRPr="008936AF">
        <w:rPr>
          <w:rFonts w:ascii="Times New Roman" w:hAnsi="Times New Roman" w:cs="Times New Roman"/>
          <w:sz w:val="28"/>
        </w:rPr>
        <w:t xml:space="preserve"> </w:t>
      </w:r>
      <w:r w:rsidRPr="008936AF">
        <w:rPr>
          <w:rFonts w:ascii="Times New Roman" w:hAnsi="Times New Roman" w:cs="Times New Roman"/>
          <w:sz w:val="28"/>
        </w:rPr>
        <w:t>consecuenc</w:t>
      </w:r>
      <w:r w:rsidRPr="008936AF">
        <w:rPr>
          <w:rFonts w:ascii="Times New Roman" w:hAnsi="Times New Roman" w:cs="Times New Roman"/>
          <w:sz w:val="28"/>
        </w:rPr>
        <w:t>ia jurídica negativa alguna</w:t>
      </w:r>
      <w:r w:rsidRPr="008936AF">
        <w:rPr>
          <w:rFonts w:ascii="Times New Roman" w:hAnsi="Times New Roman" w:cs="Times New Roman"/>
          <w:sz w:val="28"/>
        </w:rPr>
        <w:t>»</w:t>
      </w:r>
      <w:r w:rsidRPr="008936AF">
        <w:rPr>
          <w:rFonts w:ascii="Times New Roman" w:hAnsi="Times New Roman" w:cs="Times New Roman"/>
          <w:sz w:val="28"/>
        </w:rPr>
        <w:t>.</w:t>
      </w:r>
    </w:p>
    <w:p w:rsidR="00F87375" w:rsidRPr="008936AF" w:rsidRDefault="008936AF" w:rsidP="009268B9">
      <w:pPr>
        <w:pStyle w:val="Prrafodelista"/>
        <w:ind w:left="0" w:right="51"/>
        <w:jc w:val="both"/>
        <w:rPr>
          <w:rFonts w:ascii="Times New Roman" w:hAnsi="Times New Roman" w:cs="Times New Roman"/>
          <w:sz w:val="28"/>
        </w:rPr>
      </w:pPr>
    </w:p>
    <w:p w:rsidR="00F87375"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 xml:space="preserve">Por último, </w:t>
      </w:r>
      <w:r w:rsidRPr="008936AF">
        <w:rPr>
          <w:rFonts w:ascii="Times New Roman" w:hAnsi="Times New Roman" w:cs="Times New Roman"/>
          <w:sz w:val="28"/>
        </w:rPr>
        <w:t xml:space="preserve">alega que la intención del </w:t>
      </w:r>
      <w:r w:rsidRPr="008936AF">
        <w:rPr>
          <w:rFonts w:ascii="Times New Roman" w:hAnsi="Times New Roman" w:cs="Times New Roman"/>
          <w:sz w:val="28"/>
        </w:rPr>
        <w:t>legislador</w:t>
      </w:r>
      <w:r w:rsidRPr="008936AF">
        <w:rPr>
          <w:rFonts w:ascii="Times New Roman" w:hAnsi="Times New Roman" w:cs="Times New Roman"/>
          <w:sz w:val="28"/>
        </w:rPr>
        <w:t xml:space="preserve"> en este caso</w:t>
      </w:r>
      <w:r w:rsidRPr="008936AF">
        <w:rPr>
          <w:rFonts w:ascii="Times New Roman" w:hAnsi="Times New Roman" w:cs="Times New Roman"/>
          <w:sz w:val="28"/>
        </w:rPr>
        <w:t xml:space="preserve">, </w:t>
      </w:r>
      <w:r w:rsidRPr="008936AF">
        <w:rPr>
          <w:rFonts w:ascii="Times New Roman" w:hAnsi="Times New Roman" w:cs="Times New Roman"/>
          <w:sz w:val="28"/>
        </w:rPr>
        <w:t>«</w:t>
      </w:r>
      <w:r w:rsidRPr="008936AF">
        <w:rPr>
          <w:rFonts w:ascii="Times New Roman" w:hAnsi="Times New Roman" w:cs="Times New Roman"/>
          <w:sz w:val="28"/>
        </w:rPr>
        <w:t>fue limitar temporalmente la indemnización moratoria de un día de salario por día de retardo y no que la perdiera, como actualmente está interpretando la Sala d</w:t>
      </w:r>
      <w:r w:rsidRPr="008936AF">
        <w:rPr>
          <w:rFonts w:ascii="Times New Roman" w:hAnsi="Times New Roman" w:cs="Times New Roman"/>
          <w:sz w:val="28"/>
        </w:rPr>
        <w:t>e Casación Laboral de la Corte Suprema de Ju</w:t>
      </w:r>
      <w:r w:rsidRPr="008936AF">
        <w:rPr>
          <w:rFonts w:ascii="Times New Roman" w:hAnsi="Times New Roman" w:cs="Times New Roman"/>
          <w:sz w:val="28"/>
        </w:rPr>
        <w:t>sticia</w:t>
      </w:r>
      <w:r w:rsidRPr="008936AF">
        <w:rPr>
          <w:rFonts w:ascii="Times New Roman" w:hAnsi="Times New Roman" w:cs="Times New Roman"/>
          <w:sz w:val="28"/>
        </w:rPr>
        <w:t>.</w:t>
      </w:r>
      <w:r w:rsidRPr="008936AF">
        <w:rPr>
          <w:rFonts w:ascii="Times New Roman" w:hAnsi="Times New Roman" w:cs="Times New Roman"/>
          <w:sz w:val="28"/>
        </w:rPr>
        <w:t xml:space="preserve"> Lo anterior, dice, «porque en los </w:t>
      </w:r>
      <w:r w:rsidRPr="008936AF">
        <w:rPr>
          <w:rFonts w:ascii="Times New Roman" w:hAnsi="Times New Roman" w:cs="Times New Roman"/>
          <w:sz w:val="28"/>
        </w:rPr>
        <w:t xml:space="preserve">debates, por los primeros 6 o 18 meses operaría el fenómeno de los “brazos caídos” y a partir de ese momento los intereses moratorios y prosigue que era una manera de no </w:t>
      </w:r>
      <w:r w:rsidRPr="008936AF">
        <w:rPr>
          <w:rFonts w:ascii="Times New Roman" w:hAnsi="Times New Roman" w:cs="Times New Roman"/>
          <w:sz w:val="28"/>
        </w:rPr>
        <w:t>solamente de indexar esa cuantía, sino de acrecentar un valor importante. Así quedó planteada en la disposición reformada; por los primeros 24 meses y a partir del mes 25 intereses de mora, si el trabajador no ha reclamado por la vía ordinaria, transcurrid</w:t>
      </w:r>
      <w:r w:rsidRPr="008936AF">
        <w:rPr>
          <w:rFonts w:ascii="Times New Roman" w:hAnsi="Times New Roman" w:cs="Times New Roman"/>
          <w:sz w:val="28"/>
        </w:rPr>
        <w:t>os 24 meses desde la finalización del contrato</w:t>
      </w:r>
      <w:r w:rsidRPr="008936AF">
        <w:rPr>
          <w:rFonts w:ascii="Times New Roman" w:hAnsi="Times New Roman" w:cs="Times New Roman"/>
          <w:sz w:val="28"/>
        </w:rPr>
        <w:t>»</w:t>
      </w:r>
      <w:r w:rsidRPr="008936AF">
        <w:rPr>
          <w:rFonts w:ascii="Times New Roman" w:hAnsi="Times New Roman" w:cs="Times New Roman"/>
          <w:sz w:val="28"/>
        </w:rPr>
        <w:t>.</w:t>
      </w:r>
    </w:p>
    <w:p w:rsidR="00F87375" w:rsidRPr="008936AF" w:rsidRDefault="008936AF" w:rsidP="009268B9">
      <w:pPr>
        <w:pStyle w:val="Prrafodelista"/>
        <w:ind w:left="0" w:right="51"/>
        <w:jc w:val="both"/>
        <w:rPr>
          <w:rFonts w:ascii="Times New Roman" w:hAnsi="Times New Roman" w:cs="Times New Roman"/>
          <w:sz w:val="28"/>
        </w:rPr>
      </w:pPr>
    </w:p>
    <w:p w:rsidR="00F87375" w:rsidRPr="008936AF" w:rsidRDefault="008936AF" w:rsidP="009268B9">
      <w:pPr>
        <w:pStyle w:val="Prrafodelista"/>
        <w:numPr>
          <w:ilvl w:val="0"/>
          <w:numId w:val="1"/>
        </w:numPr>
        <w:ind w:left="0" w:right="51" w:firstLine="0"/>
        <w:jc w:val="both"/>
        <w:rPr>
          <w:rFonts w:ascii="Times New Roman" w:hAnsi="Times New Roman" w:cs="Times New Roman"/>
          <w:sz w:val="28"/>
        </w:rPr>
      </w:pPr>
      <w:r w:rsidRPr="008936AF">
        <w:rPr>
          <w:rFonts w:ascii="Times New Roman" w:hAnsi="Times New Roman" w:cs="Times New Roman"/>
          <w:sz w:val="28"/>
        </w:rPr>
        <w:t>En consecuencia, solicita</w:t>
      </w:r>
      <w:r w:rsidRPr="008936AF">
        <w:rPr>
          <w:rFonts w:ascii="Times New Roman" w:hAnsi="Times New Roman" w:cs="Times New Roman"/>
          <w:sz w:val="28"/>
        </w:rPr>
        <w:t xml:space="preserve"> que se declare </w:t>
      </w:r>
      <w:r w:rsidRPr="008936AF">
        <w:rPr>
          <w:rFonts w:ascii="Times New Roman" w:hAnsi="Times New Roman" w:cs="Times New Roman"/>
          <w:sz w:val="28"/>
        </w:rPr>
        <w:t xml:space="preserve">inexequible </w:t>
      </w:r>
      <w:r w:rsidRPr="008936AF">
        <w:rPr>
          <w:rFonts w:ascii="Times New Roman" w:hAnsi="Times New Roman" w:cs="Times New Roman"/>
          <w:sz w:val="28"/>
        </w:rPr>
        <w:t>la interpretación realizada por la honorable Sala de Casación Laboral de la Corte Suprema de Justicia relacionada con el alcance interpretativo de la ind</w:t>
      </w:r>
      <w:r w:rsidRPr="008936AF">
        <w:rPr>
          <w:rFonts w:ascii="Times New Roman" w:hAnsi="Times New Roman" w:cs="Times New Roman"/>
          <w:sz w:val="28"/>
        </w:rPr>
        <w:t xml:space="preserve">emnización moratoria establecida en el artículo 65 del </w:t>
      </w:r>
      <w:r w:rsidRPr="008936AF">
        <w:rPr>
          <w:rFonts w:ascii="Times New Roman" w:hAnsi="Times New Roman" w:cs="Times New Roman"/>
          <w:sz w:val="28"/>
        </w:rPr>
        <w:t>CST</w:t>
      </w:r>
      <w:r w:rsidRPr="008936AF">
        <w:rPr>
          <w:rFonts w:ascii="Times New Roman" w:hAnsi="Times New Roman" w:cs="Times New Roman"/>
          <w:sz w:val="28"/>
        </w:rPr>
        <w:t>.</w:t>
      </w:r>
    </w:p>
    <w:p w:rsidR="00F87375" w:rsidRPr="008936AF" w:rsidRDefault="008936AF" w:rsidP="009268B9">
      <w:pPr>
        <w:pStyle w:val="Prrafodelista"/>
        <w:ind w:left="0" w:right="51"/>
        <w:jc w:val="both"/>
        <w:rPr>
          <w:rFonts w:ascii="Times New Roman" w:hAnsi="Times New Roman" w:cs="Times New Roman"/>
          <w:sz w:val="28"/>
        </w:rPr>
      </w:pPr>
    </w:p>
    <w:p w:rsidR="00F87375" w:rsidRPr="008936AF" w:rsidRDefault="008936AF" w:rsidP="009268B9">
      <w:pPr>
        <w:pStyle w:val="Ttulo1"/>
        <w:spacing w:before="0"/>
        <w:rPr>
          <w:rFonts w:ascii="Times New Roman" w:hAnsi="Times New Roman" w:cs="Times New Roman"/>
          <w:sz w:val="28"/>
        </w:rPr>
      </w:pPr>
      <w:r w:rsidRPr="008936AF">
        <w:rPr>
          <w:rFonts w:ascii="Times New Roman" w:hAnsi="Times New Roman" w:cs="Times New Roman"/>
          <w:sz w:val="28"/>
        </w:rPr>
        <w:t>II. INTERVENCIONES</w:t>
      </w:r>
    </w:p>
    <w:p w:rsidR="00EC4035" w:rsidRPr="008936AF" w:rsidRDefault="008936AF" w:rsidP="009268B9">
      <w:pPr>
        <w:tabs>
          <w:tab w:val="left" w:pos="142"/>
        </w:tabs>
        <w:ind w:right="51"/>
        <w:jc w:val="both"/>
        <w:rPr>
          <w:rFonts w:ascii="Times New Roman" w:hAnsi="Times New Roman" w:cs="Times New Roman"/>
          <w:sz w:val="28"/>
          <w:szCs w:val="28"/>
        </w:rPr>
      </w:pPr>
    </w:p>
    <w:p w:rsidR="0071394D"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rPr>
      </w:pPr>
      <w:r w:rsidRPr="008936AF">
        <w:rPr>
          <w:rFonts w:ascii="Times New Roman" w:hAnsi="Times New Roman" w:cs="Times New Roman"/>
          <w:sz w:val="28"/>
          <w:szCs w:val="28"/>
        </w:rPr>
        <w:t>Dentro del término previsto en el Decreto 2067 de 1991, se recibieron las siguientes intervenciones</w:t>
      </w:r>
      <w:r w:rsidRPr="008936AF">
        <w:rPr>
          <w:rStyle w:val="Refdenotaalpie"/>
          <w:rFonts w:ascii="Times New Roman" w:hAnsi="Times New Roman" w:cs="Times New Roman"/>
          <w:sz w:val="28"/>
          <w:szCs w:val="16"/>
        </w:rPr>
        <w:footnoteReference w:id="3"/>
      </w:r>
      <w:r w:rsidRPr="008936AF">
        <w:rPr>
          <w:rFonts w:ascii="Times New Roman" w:hAnsi="Times New Roman" w:cs="Times New Roman"/>
          <w:sz w:val="28"/>
          <w:szCs w:val="28"/>
        </w:rPr>
        <w:t>:</w:t>
      </w:r>
    </w:p>
    <w:p w:rsidR="00CB1EB3" w:rsidRPr="008936AF" w:rsidRDefault="008936AF" w:rsidP="009268B9">
      <w:pPr>
        <w:pStyle w:val="Prrafodelista"/>
        <w:tabs>
          <w:tab w:val="left" w:pos="142"/>
        </w:tabs>
        <w:ind w:left="0" w:right="51"/>
        <w:jc w:val="both"/>
        <w:rPr>
          <w:rFonts w:ascii="Times New Roman" w:hAnsi="Times New Roman" w:cs="Times New Roman"/>
          <w:sz w:val="28"/>
          <w:szCs w:val="28"/>
        </w:rPr>
      </w:pPr>
    </w:p>
    <w:p w:rsidR="0071394D" w:rsidRPr="008936AF" w:rsidRDefault="008936AF" w:rsidP="009268B9">
      <w:pPr>
        <w:tabs>
          <w:tab w:val="left" w:pos="142"/>
        </w:tabs>
        <w:ind w:right="51"/>
        <w:jc w:val="both"/>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2405"/>
        <w:gridCol w:w="6425"/>
      </w:tblGrid>
      <w:tr w:rsidR="00280907" w:rsidRPr="008936AF" w:rsidTr="00280907">
        <w:tc>
          <w:tcPr>
            <w:tcW w:w="2405" w:type="dxa"/>
            <w:shd w:val="clear" w:color="auto" w:fill="E7E6E6" w:themeFill="background2"/>
          </w:tcPr>
          <w:p w:rsidR="00280907" w:rsidRPr="008936AF" w:rsidRDefault="008936AF" w:rsidP="009268B9">
            <w:pPr>
              <w:tabs>
                <w:tab w:val="left" w:pos="142"/>
              </w:tabs>
              <w:ind w:right="51"/>
              <w:jc w:val="center"/>
              <w:rPr>
                <w:rFonts w:ascii="Times New Roman" w:hAnsi="Times New Roman" w:cs="Times New Roman"/>
                <w:i/>
                <w:sz w:val="28"/>
                <w:szCs w:val="28"/>
              </w:rPr>
            </w:pPr>
            <w:r w:rsidRPr="008936AF">
              <w:rPr>
                <w:rFonts w:ascii="Times New Roman" w:hAnsi="Times New Roman" w:cs="Times New Roman"/>
                <w:i/>
                <w:sz w:val="28"/>
                <w:szCs w:val="28"/>
              </w:rPr>
              <w:t>Interviniente</w:t>
            </w:r>
          </w:p>
        </w:tc>
        <w:tc>
          <w:tcPr>
            <w:tcW w:w="6425" w:type="dxa"/>
            <w:shd w:val="clear" w:color="auto" w:fill="E7E6E6" w:themeFill="background2"/>
          </w:tcPr>
          <w:p w:rsidR="00280907" w:rsidRPr="008936AF" w:rsidRDefault="008936AF" w:rsidP="009268B9">
            <w:pPr>
              <w:tabs>
                <w:tab w:val="left" w:pos="142"/>
              </w:tabs>
              <w:ind w:right="51"/>
              <w:jc w:val="center"/>
              <w:rPr>
                <w:rFonts w:ascii="Times New Roman" w:hAnsi="Times New Roman" w:cs="Times New Roman"/>
                <w:i/>
                <w:sz w:val="28"/>
                <w:szCs w:val="28"/>
              </w:rPr>
            </w:pPr>
            <w:r w:rsidRPr="008936AF">
              <w:rPr>
                <w:rFonts w:ascii="Times New Roman" w:hAnsi="Times New Roman" w:cs="Times New Roman"/>
                <w:i/>
                <w:sz w:val="28"/>
                <w:szCs w:val="28"/>
              </w:rPr>
              <w:t>Argumentos</w:t>
            </w:r>
          </w:p>
        </w:tc>
      </w:tr>
      <w:tr w:rsidR="009C32CA" w:rsidRPr="008936AF" w:rsidTr="009C32CA">
        <w:tc>
          <w:tcPr>
            <w:tcW w:w="2405" w:type="dxa"/>
            <w:shd w:val="clear" w:color="auto" w:fill="FFFFFF" w:themeFill="background1"/>
          </w:tcPr>
          <w:p w:rsidR="009C32CA" w:rsidRPr="008936AF" w:rsidRDefault="008936AF" w:rsidP="009268B9">
            <w:pPr>
              <w:tabs>
                <w:tab w:val="left" w:pos="142"/>
              </w:tabs>
              <w:ind w:right="51"/>
              <w:rPr>
                <w:rFonts w:ascii="Times New Roman" w:hAnsi="Times New Roman" w:cs="Times New Roman"/>
                <w:i/>
                <w:sz w:val="28"/>
                <w:szCs w:val="28"/>
              </w:rPr>
            </w:pPr>
            <w:r w:rsidRPr="008936AF">
              <w:rPr>
                <w:rFonts w:ascii="Times New Roman" w:hAnsi="Times New Roman" w:cs="Times New Roman"/>
                <w:i/>
                <w:sz w:val="28"/>
                <w:szCs w:val="28"/>
              </w:rPr>
              <w:t>Ministerio del Trabajo</w:t>
            </w:r>
          </w:p>
        </w:tc>
        <w:tc>
          <w:tcPr>
            <w:tcW w:w="6425" w:type="dxa"/>
            <w:shd w:val="clear" w:color="auto" w:fill="FFFFFF" w:themeFill="background1"/>
          </w:tcPr>
          <w:p w:rsidR="009C32CA" w:rsidRPr="008936AF" w:rsidRDefault="008936AF" w:rsidP="009268B9">
            <w:pPr>
              <w:tabs>
                <w:tab w:val="left" w:pos="142"/>
              </w:tabs>
              <w:ind w:right="51"/>
              <w:jc w:val="both"/>
              <w:rPr>
                <w:rFonts w:ascii="Times New Roman" w:hAnsi="Times New Roman" w:cs="Times New Roman"/>
                <w:sz w:val="28"/>
                <w:szCs w:val="28"/>
              </w:rPr>
            </w:pPr>
            <w:r w:rsidRPr="008936AF">
              <w:rPr>
                <w:rFonts w:ascii="Times New Roman" w:hAnsi="Times New Roman" w:cs="Times New Roman"/>
                <w:sz w:val="28"/>
                <w:szCs w:val="28"/>
              </w:rPr>
              <w:t xml:space="preserve">Solicita la </w:t>
            </w:r>
            <w:r w:rsidRPr="008936AF">
              <w:rPr>
                <w:rFonts w:ascii="Times New Roman" w:hAnsi="Times New Roman" w:cs="Times New Roman"/>
                <w:sz w:val="28"/>
                <w:szCs w:val="28"/>
              </w:rPr>
              <w:t xml:space="preserve">inexequibilidad de la norma al considerar que la indemnización moratoria se encuentra en estrecha relación con el pago de los derechos irrenunciables del trabajador, al ser una medida que busca prevenir y reprimir la conducta del empleador de no pagar los </w:t>
            </w:r>
            <w:r w:rsidRPr="008936AF">
              <w:rPr>
                <w:rFonts w:ascii="Times New Roman" w:hAnsi="Times New Roman" w:cs="Times New Roman"/>
                <w:sz w:val="28"/>
                <w:szCs w:val="28"/>
              </w:rPr>
              <w:t>salarios y prestaciones debidas, como lo ha reconocido la Corte. Por lo anterior, la expresión demandada «impone, a partir de la vigencia de la Ley 789 de 2002, cargas injustificadas al trabajador con lo cual se genera una contravía directa a los principio</w:t>
            </w:r>
            <w:r w:rsidRPr="008936AF">
              <w:rPr>
                <w:rFonts w:ascii="Times New Roman" w:hAnsi="Times New Roman" w:cs="Times New Roman"/>
                <w:sz w:val="28"/>
                <w:szCs w:val="28"/>
              </w:rPr>
              <w:t>s constitucionales que protegen el trabajo en condiciones dignas y justas y la irrenunciabilidad de los derechos mínimos, lo cual, claramente se refiere al pago del salario y las prestaciones sociales, como elementos necesarios para la supervivencia del tr</w:t>
            </w:r>
            <w:r w:rsidRPr="008936AF">
              <w:rPr>
                <w:rFonts w:ascii="Times New Roman" w:hAnsi="Times New Roman" w:cs="Times New Roman"/>
                <w:sz w:val="28"/>
                <w:szCs w:val="28"/>
              </w:rPr>
              <w:t>abajador y su familia, por tanto, pretender que el trabajador afectado por el no pago de estas garantías mínimas, deba concurrir necesariamente a la justicia ordinaria, además de resultar revictimizante, resulta claramente desproporcionado e ineficaz, en u</w:t>
            </w:r>
            <w:r w:rsidRPr="008936AF">
              <w:rPr>
                <w:rFonts w:ascii="Times New Roman" w:hAnsi="Times New Roman" w:cs="Times New Roman"/>
                <w:sz w:val="28"/>
                <w:szCs w:val="28"/>
              </w:rPr>
              <w:t>n país en el que la justicia carece de agilidad y celeridad».</w:t>
            </w:r>
          </w:p>
        </w:tc>
      </w:tr>
      <w:tr w:rsidR="009C32CA" w:rsidRPr="008936AF" w:rsidTr="009C32CA">
        <w:tc>
          <w:tcPr>
            <w:tcW w:w="2405" w:type="dxa"/>
            <w:shd w:val="clear" w:color="auto" w:fill="FFFFFF" w:themeFill="background1"/>
          </w:tcPr>
          <w:p w:rsidR="009C32CA" w:rsidRPr="008936AF" w:rsidRDefault="008936AF" w:rsidP="009268B9">
            <w:pPr>
              <w:tabs>
                <w:tab w:val="left" w:pos="142"/>
              </w:tabs>
              <w:ind w:right="51"/>
              <w:rPr>
                <w:rFonts w:ascii="Times New Roman" w:hAnsi="Times New Roman" w:cs="Times New Roman"/>
                <w:i/>
                <w:sz w:val="28"/>
                <w:szCs w:val="28"/>
              </w:rPr>
            </w:pPr>
            <w:r w:rsidRPr="008936AF">
              <w:rPr>
                <w:rFonts w:ascii="Times New Roman" w:hAnsi="Times New Roman" w:cs="Times New Roman"/>
                <w:i/>
                <w:sz w:val="28"/>
                <w:szCs w:val="28"/>
              </w:rPr>
              <w:t>Universidad Externado</w:t>
            </w:r>
          </w:p>
        </w:tc>
        <w:tc>
          <w:tcPr>
            <w:tcW w:w="6425" w:type="dxa"/>
            <w:shd w:val="clear" w:color="auto" w:fill="FFFFFF" w:themeFill="background1"/>
          </w:tcPr>
          <w:p w:rsidR="00F47907" w:rsidRPr="008936AF" w:rsidRDefault="008936AF" w:rsidP="009268B9">
            <w:pPr>
              <w:pStyle w:val="Prrafodelista"/>
              <w:tabs>
                <w:tab w:val="left" w:pos="142"/>
              </w:tabs>
              <w:ind w:left="0" w:right="51"/>
              <w:jc w:val="both"/>
              <w:rPr>
                <w:rFonts w:ascii="Times New Roman" w:hAnsi="Times New Roman" w:cs="Times New Roman"/>
                <w:sz w:val="28"/>
                <w:szCs w:val="28"/>
              </w:rPr>
            </w:pPr>
            <w:r w:rsidRPr="008936AF">
              <w:rPr>
                <w:rFonts w:ascii="Times New Roman" w:hAnsi="Times New Roman" w:cs="Times New Roman"/>
                <w:sz w:val="28"/>
                <w:szCs w:val="28"/>
              </w:rPr>
              <w:t>Apoya la exequibilidad. En primer lugar, señala que la indemnización contemplada en la norma es para los eventos en los cuales el empleador adeuda al trabajador salarios y</w:t>
            </w:r>
            <w:r w:rsidRPr="008936AF">
              <w:rPr>
                <w:rFonts w:ascii="Times New Roman" w:hAnsi="Times New Roman" w:cs="Times New Roman"/>
                <w:sz w:val="28"/>
                <w:szCs w:val="28"/>
              </w:rPr>
              <w:t xml:space="preserve"> prestaciones sociales a la finalización de la relación contractual, la cual está delimitada de acuerdo al momento en que el trabajador presenta la reclamación ordinaria correspondiente.</w:t>
            </w:r>
          </w:p>
          <w:p w:rsidR="00F47907" w:rsidRPr="008936AF" w:rsidRDefault="008936AF" w:rsidP="009268B9">
            <w:pPr>
              <w:pStyle w:val="Prrafodelista"/>
              <w:tabs>
                <w:tab w:val="left" w:pos="142"/>
              </w:tabs>
              <w:ind w:left="0" w:right="51"/>
              <w:jc w:val="both"/>
              <w:rPr>
                <w:rFonts w:ascii="Times New Roman" w:hAnsi="Times New Roman" w:cs="Times New Roman"/>
                <w:sz w:val="28"/>
                <w:szCs w:val="24"/>
              </w:rPr>
            </w:pPr>
          </w:p>
          <w:p w:rsidR="00F47907" w:rsidRPr="008936AF" w:rsidRDefault="008936AF" w:rsidP="009268B9">
            <w:pPr>
              <w:pStyle w:val="Prrafodelista"/>
              <w:tabs>
                <w:tab w:val="left" w:pos="142"/>
              </w:tabs>
              <w:ind w:left="0" w:right="51"/>
              <w:jc w:val="both"/>
              <w:rPr>
                <w:rFonts w:ascii="Times New Roman" w:hAnsi="Times New Roman" w:cs="Times New Roman"/>
                <w:sz w:val="28"/>
                <w:szCs w:val="24"/>
              </w:rPr>
            </w:pPr>
            <w:r w:rsidRPr="008936AF">
              <w:rPr>
                <w:rFonts w:ascii="Times New Roman" w:hAnsi="Times New Roman" w:cs="Times New Roman"/>
                <w:sz w:val="28"/>
                <w:szCs w:val="24"/>
              </w:rPr>
              <w:t>Señala la interviniente que después de la sentencia citada del año 2</w:t>
            </w:r>
            <w:r w:rsidRPr="008936AF">
              <w:rPr>
                <w:rFonts w:ascii="Times New Roman" w:hAnsi="Times New Roman" w:cs="Times New Roman"/>
                <w:sz w:val="28"/>
                <w:szCs w:val="24"/>
              </w:rPr>
              <w:t>022, la Corte Suprema de Justicia «resolvió expresamente el problema jurídico de qué sucede si la reclamación del trabajador se presenta después de los veinticuatro meses desde la terminación del contrato de trabajo, para lo cual, reiteró su criterio mayor</w:t>
            </w:r>
            <w:r w:rsidRPr="008936AF">
              <w:rPr>
                <w:rFonts w:ascii="Times New Roman" w:hAnsi="Times New Roman" w:cs="Times New Roman"/>
                <w:sz w:val="28"/>
                <w:szCs w:val="24"/>
              </w:rPr>
              <w:t>itario en la sentencia SL3070 de 2023</w:t>
            </w:r>
            <w:r w:rsidRPr="008936AF">
              <w:rPr>
                <w:rStyle w:val="Refdenotaalpie"/>
                <w:rFonts w:ascii="Times New Roman" w:hAnsi="Times New Roman" w:cs="Times New Roman"/>
                <w:sz w:val="28"/>
                <w:szCs w:val="24"/>
                <w:vertAlign w:val="superscript"/>
              </w:rPr>
              <w:footnoteReference w:id="4"/>
            </w:r>
            <w:r w:rsidRPr="008936AF">
              <w:rPr>
                <w:rFonts w:ascii="Times New Roman" w:hAnsi="Times New Roman" w:cs="Times New Roman"/>
                <w:sz w:val="28"/>
                <w:szCs w:val="24"/>
              </w:rPr>
              <w:t>y resolvió que en ese caso, se debe ordenar el pago de intereses moratorios desde la terminación del contrato de trabajo hasta efectivo</w:t>
            </w:r>
            <w:r w:rsidRPr="008936AF">
              <w:rPr>
                <w:rStyle w:val="Refdenotaalpie"/>
                <w:rFonts w:ascii="Times New Roman" w:hAnsi="Times New Roman" w:cs="Times New Roman"/>
                <w:sz w:val="28"/>
                <w:szCs w:val="24"/>
                <w:vertAlign w:val="superscript"/>
              </w:rPr>
              <w:footnoteReference w:id="5"/>
            </w:r>
            <w:r w:rsidRPr="008936AF">
              <w:rPr>
                <w:rFonts w:ascii="Times New Roman" w:hAnsi="Times New Roman" w:cs="Times New Roman"/>
                <w:sz w:val="28"/>
                <w:szCs w:val="24"/>
              </w:rPr>
              <w:t xml:space="preserve"> el pago.»</w:t>
            </w:r>
          </w:p>
          <w:p w:rsidR="00F47907" w:rsidRPr="008936AF" w:rsidRDefault="008936AF" w:rsidP="009268B9">
            <w:pPr>
              <w:pStyle w:val="Prrafodelista"/>
              <w:tabs>
                <w:tab w:val="left" w:pos="142"/>
              </w:tabs>
              <w:ind w:left="0" w:right="51"/>
              <w:jc w:val="both"/>
              <w:rPr>
                <w:rFonts w:ascii="Times New Roman" w:hAnsi="Times New Roman" w:cs="Times New Roman"/>
                <w:sz w:val="28"/>
                <w:szCs w:val="24"/>
              </w:rPr>
            </w:pPr>
          </w:p>
          <w:p w:rsidR="00F47907" w:rsidRPr="008936AF" w:rsidRDefault="008936AF" w:rsidP="009268B9">
            <w:pPr>
              <w:pStyle w:val="Prrafodelista"/>
              <w:tabs>
                <w:tab w:val="left" w:pos="142"/>
              </w:tabs>
              <w:ind w:left="0" w:right="51"/>
              <w:jc w:val="both"/>
              <w:rPr>
                <w:rFonts w:ascii="Times New Roman" w:hAnsi="Times New Roman" w:cs="Times New Roman"/>
                <w:sz w:val="28"/>
                <w:szCs w:val="28"/>
              </w:rPr>
            </w:pPr>
            <w:r w:rsidRPr="008936AF">
              <w:rPr>
                <w:rFonts w:ascii="Times New Roman" w:hAnsi="Times New Roman" w:cs="Times New Roman"/>
                <w:sz w:val="28"/>
                <w:szCs w:val="24"/>
              </w:rPr>
              <w:t xml:space="preserve">En segundo lugar, </w:t>
            </w:r>
            <w:r w:rsidRPr="008936AF">
              <w:rPr>
                <w:rFonts w:ascii="Times New Roman" w:hAnsi="Times New Roman" w:cs="Times New Roman"/>
                <w:sz w:val="28"/>
                <w:szCs w:val="28"/>
              </w:rPr>
              <w:t>dice que la Corte Suprema ha interpretado el artícul</w:t>
            </w:r>
            <w:r w:rsidRPr="008936AF">
              <w:rPr>
                <w:rFonts w:ascii="Times New Roman" w:hAnsi="Times New Roman" w:cs="Times New Roman"/>
                <w:sz w:val="28"/>
                <w:szCs w:val="28"/>
              </w:rPr>
              <w:t>o 65 cuestionado «como la intención del legislador de delimitar temporalmente la indemnización moratoria para que el trabajador interponga la demanda ordinaria laboral dentro de los veinticuatro meses siguientes a la terminación del contrato de trabajo, pu</w:t>
            </w:r>
            <w:r w:rsidRPr="008936AF">
              <w:rPr>
                <w:rFonts w:ascii="Times New Roman" w:hAnsi="Times New Roman" w:cs="Times New Roman"/>
                <w:sz w:val="28"/>
                <w:szCs w:val="28"/>
              </w:rPr>
              <w:t>es dentro de este término, será acreedor de un día de salario por cada día de retardo</w:t>
            </w:r>
            <w:r w:rsidRPr="008936AF">
              <w:rPr>
                <w:rStyle w:val="Refdenotaalpie"/>
                <w:rFonts w:ascii="Times New Roman" w:hAnsi="Times New Roman" w:cs="Times New Roman"/>
                <w:sz w:val="28"/>
                <w:szCs w:val="16"/>
                <w:vertAlign w:val="superscript"/>
              </w:rPr>
              <w:footnoteReference w:id="6"/>
            </w:r>
            <w:r w:rsidRPr="008936AF">
              <w:rPr>
                <w:rFonts w:ascii="Times New Roman" w:hAnsi="Times New Roman" w:cs="Times New Roman"/>
                <w:sz w:val="28"/>
                <w:szCs w:val="28"/>
              </w:rPr>
              <w:t xml:space="preserve">. </w:t>
            </w:r>
            <w:r w:rsidRPr="008936AF">
              <w:rPr>
                <w:rFonts w:ascii="Times New Roman" w:hAnsi="Times New Roman" w:cs="Times New Roman"/>
                <w:sz w:val="28"/>
                <w:szCs w:val="28"/>
              </w:rPr>
              <w:t>Lo anterior encuentra concordancia con la intervención del Ministerio de Protección social en la sentencia C-781 de 2003 el cual explica que la norma tiene como finalid</w:t>
            </w:r>
            <w:r w:rsidRPr="008936AF">
              <w:rPr>
                <w:rFonts w:ascii="Times New Roman" w:hAnsi="Times New Roman" w:cs="Times New Roman"/>
                <w:sz w:val="28"/>
                <w:szCs w:val="28"/>
              </w:rPr>
              <w:t>ad el uso oportuno de la acción judicial y el impacto económico que la sanción del día de salario por día de retardo puede implicar para la parte empleadora».</w:t>
            </w:r>
            <w:r w:rsidRPr="008936AF">
              <w:rPr>
                <w:rStyle w:val="Refdenotaalpie"/>
                <w:rFonts w:ascii="Times New Roman" w:hAnsi="Times New Roman" w:cs="Times New Roman"/>
                <w:sz w:val="28"/>
                <w:szCs w:val="16"/>
              </w:rPr>
              <w:footnoteReference w:id="7"/>
            </w:r>
          </w:p>
          <w:p w:rsidR="00F47907" w:rsidRPr="008936AF" w:rsidRDefault="008936AF" w:rsidP="009268B9">
            <w:pPr>
              <w:pStyle w:val="Prrafodelista"/>
              <w:tabs>
                <w:tab w:val="left" w:pos="142"/>
              </w:tabs>
              <w:ind w:left="0" w:right="51"/>
              <w:jc w:val="both"/>
              <w:rPr>
                <w:rFonts w:ascii="Times New Roman" w:hAnsi="Times New Roman" w:cs="Times New Roman"/>
                <w:sz w:val="28"/>
                <w:szCs w:val="28"/>
              </w:rPr>
            </w:pPr>
          </w:p>
          <w:p w:rsidR="00F47907" w:rsidRPr="008936AF" w:rsidRDefault="008936AF" w:rsidP="009268B9">
            <w:pPr>
              <w:pStyle w:val="Prrafodelista"/>
              <w:tabs>
                <w:tab w:val="left" w:pos="142"/>
              </w:tabs>
              <w:ind w:left="0" w:right="51"/>
              <w:jc w:val="both"/>
              <w:rPr>
                <w:rFonts w:ascii="Times New Roman" w:hAnsi="Times New Roman" w:cs="Times New Roman"/>
                <w:sz w:val="28"/>
                <w:szCs w:val="24"/>
              </w:rPr>
            </w:pPr>
            <w:r w:rsidRPr="008936AF">
              <w:rPr>
                <w:rFonts w:ascii="Times New Roman" w:hAnsi="Times New Roman" w:cs="Times New Roman"/>
                <w:sz w:val="28"/>
                <w:szCs w:val="28"/>
              </w:rPr>
              <w:t>Concluye que la interpretación de la Corte Suprema, «contrario a lo que indica el demandante, e</w:t>
            </w:r>
            <w:r w:rsidRPr="008936AF">
              <w:rPr>
                <w:rFonts w:ascii="Times New Roman" w:hAnsi="Times New Roman" w:cs="Times New Roman"/>
                <w:sz w:val="28"/>
                <w:szCs w:val="28"/>
              </w:rPr>
              <w:t>s consecuente con lo que consagra el principio in dubio pro operario, pues la Corte finalmente busca amparar al trabajador que, si bien no reclamó dentro de los primeros veinticuatro meses dispuestos por el artículo 65 del C.S.T, de igual manera se ha vist</w:t>
            </w:r>
            <w:r w:rsidRPr="008936AF">
              <w:rPr>
                <w:rFonts w:ascii="Times New Roman" w:hAnsi="Times New Roman" w:cs="Times New Roman"/>
                <w:sz w:val="28"/>
                <w:szCs w:val="28"/>
              </w:rPr>
              <w:t>o afectado por el no pago de sus salarios y prestaciones adeudadas. Por ello, se requiere de esta interpretación que materialice el principio, integrando la norma y adjudicándole un sentido favorable al trabajador, lo cual se traduce en que la postura de l</w:t>
            </w:r>
            <w:r w:rsidRPr="008936AF">
              <w:rPr>
                <w:rFonts w:ascii="Times New Roman" w:hAnsi="Times New Roman" w:cs="Times New Roman"/>
                <w:sz w:val="28"/>
                <w:szCs w:val="28"/>
              </w:rPr>
              <w:t>a CSJ propende porque la situación para el trabajador que presente inoportunamente su reclamación de acuerdo con el artículo 65 del C.S.T, sea corregida de forma justa y equitativa</w:t>
            </w:r>
            <w:r w:rsidRPr="008936AF">
              <w:rPr>
                <w:rStyle w:val="Refdenotaalpie"/>
                <w:rFonts w:ascii="Times New Roman" w:hAnsi="Times New Roman" w:cs="Times New Roman"/>
                <w:sz w:val="28"/>
                <w:szCs w:val="16"/>
              </w:rPr>
              <w:footnoteReference w:id="8"/>
            </w:r>
            <w:r w:rsidRPr="008936AF">
              <w:rPr>
                <w:rFonts w:ascii="Times New Roman" w:hAnsi="Times New Roman" w:cs="Times New Roman"/>
                <w:sz w:val="28"/>
                <w:szCs w:val="28"/>
              </w:rPr>
              <w:t>.»</w:t>
            </w:r>
          </w:p>
          <w:p w:rsidR="009C32CA" w:rsidRPr="008936AF" w:rsidRDefault="008936AF" w:rsidP="009268B9">
            <w:pPr>
              <w:tabs>
                <w:tab w:val="left" w:pos="142"/>
              </w:tabs>
              <w:ind w:right="51"/>
              <w:rPr>
                <w:rFonts w:ascii="Times New Roman" w:hAnsi="Times New Roman" w:cs="Times New Roman"/>
                <w:sz w:val="28"/>
                <w:szCs w:val="28"/>
              </w:rPr>
            </w:pPr>
          </w:p>
        </w:tc>
      </w:tr>
      <w:tr w:rsidR="00280907" w:rsidRPr="008936AF" w:rsidTr="00280907">
        <w:tc>
          <w:tcPr>
            <w:tcW w:w="2405" w:type="dxa"/>
          </w:tcPr>
          <w:p w:rsidR="00280907" w:rsidRPr="008936AF" w:rsidRDefault="008936AF" w:rsidP="009268B9">
            <w:pPr>
              <w:tabs>
                <w:tab w:val="left" w:pos="142"/>
              </w:tabs>
              <w:ind w:right="51"/>
              <w:jc w:val="both"/>
              <w:rPr>
                <w:rFonts w:ascii="Times New Roman" w:hAnsi="Times New Roman" w:cs="Times New Roman"/>
                <w:sz w:val="28"/>
                <w:szCs w:val="28"/>
              </w:rPr>
            </w:pPr>
            <w:r w:rsidRPr="008936AF">
              <w:rPr>
                <w:rFonts w:ascii="Times New Roman" w:hAnsi="Times New Roman" w:cs="Times New Roman"/>
                <w:i/>
                <w:sz w:val="28"/>
                <w:szCs w:val="28"/>
              </w:rPr>
              <w:t>Aura Elisa Pineda Ramírez</w:t>
            </w:r>
          </w:p>
        </w:tc>
        <w:tc>
          <w:tcPr>
            <w:tcW w:w="6425" w:type="dxa"/>
          </w:tcPr>
          <w:p w:rsidR="00280907" w:rsidRPr="008936AF" w:rsidRDefault="008936AF" w:rsidP="009268B9">
            <w:pPr>
              <w:tabs>
                <w:tab w:val="left" w:pos="142"/>
              </w:tabs>
              <w:ind w:right="51"/>
              <w:jc w:val="both"/>
              <w:rPr>
                <w:rFonts w:ascii="Times New Roman" w:hAnsi="Times New Roman" w:cs="Times New Roman"/>
                <w:sz w:val="28"/>
                <w:szCs w:val="28"/>
              </w:rPr>
            </w:pPr>
            <w:r w:rsidRPr="008936AF">
              <w:rPr>
                <w:rFonts w:ascii="Times New Roman" w:hAnsi="Times New Roman" w:cs="Times New Roman"/>
                <w:sz w:val="28"/>
                <w:szCs w:val="28"/>
              </w:rPr>
              <w:t>Apoya la inexequibilidad de la interpretació</w:t>
            </w:r>
            <w:r w:rsidRPr="008936AF">
              <w:rPr>
                <w:rFonts w:ascii="Times New Roman" w:hAnsi="Times New Roman" w:cs="Times New Roman"/>
                <w:sz w:val="28"/>
                <w:szCs w:val="28"/>
              </w:rPr>
              <w:t>n de la norma, por considerar que la Sala Laboral de la Corte Suprema de Justicia, «además de hacer perder la indemnización moratoria si no se presenta una supuesta demanda dentro de los 24 días siguientes a la terminación del contrato, desconoce abiertame</w:t>
            </w:r>
            <w:r w:rsidRPr="008936AF">
              <w:rPr>
                <w:rFonts w:ascii="Times New Roman" w:hAnsi="Times New Roman" w:cs="Times New Roman"/>
                <w:sz w:val="28"/>
                <w:szCs w:val="28"/>
              </w:rPr>
              <w:t>nte el apartado que en una interpretación de manera contraria dice que, si se ha iniciado la reclamación antes del mes 24, sigue la indemnización moratoria. Eso también es un derecho adquirido si se ha iniciado la reclamación antes del 24, pero la Corte Su</w:t>
            </w:r>
            <w:r w:rsidRPr="008936AF">
              <w:rPr>
                <w:rFonts w:ascii="Times New Roman" w:hAnsi="Times New Roman" w:cs="Times New Roman"/>
                <w:sz w:val="28"/>
                <w:szCs w:val="28"/>
              </w:rPr>
              <w:t xml:space="preserve">prema se desentiende absolutamente de esa parte». </w:t>
            </w:r>
          </w:p>
        </w:tc>
      </w:tr>
      <w:tr w:rsidR="00280907" w:rsidRPr="008936AF" w:rsidTr="00280907">
        <w:tc>
          <w:tcPr>
            <w:tcW w:w="2405" w:type="dxa"/>
          </w:tcPr>
          <w:p w:rsidR="00280907" w:rsidRPr="008936AF" w:rsidRDefault="008936AF" w:rsidP="009268B9">
            <w:pPr>
              <w:tabs>
                <w:tab w:val="left" w:pos="142"/>
              </w:tabs>
              <w:ind w:right="51"/>
              <w:jc w:val="both"/>
              <w:rPr>
                <w:rFonts w:ascii="Times New Roman" w:hAnsi="Times New Roman" w:cs="Times New Roman"/>
                <w:sz w:val="28"/>
                <w:szCs w:val="28"/>
              </w:rPr>
            </w:pPr>
            <w:r w:rsidRPr="008936AF">
              <w:rPr>
                <w:rFonts w:ascii="Times New Roman" w:hAnsi="Times New Roman" w:cs="Times New Roman"/>
                <w:i/>
                <w:sz w:val="28"/>
                <w:szCs w:val="28"/>
              </w:rPr>
              <w:t>Oscar Marino Arias</w:t>
            </w:r>
          </w:p>
        </w:tc>
        <w:tc>
          <w:tcPr>
            <w:tcW w:w="6425" w:type="dxa"/>
          </w:tcPr>
          <w:p w:rsidR="00280907" w:rsidRPr="008936AF" w:rsidRDefault="008936AF" w:rsidP="009268B9">
            <w:pPr>
              <w:tabs>
                <w:tab w:val="left" w:pos="142"/>
              </w:tabs>
              <w:ind w:right="51"/>
              <w:jc w:val="both"/>
              <w:rPr>
                <w:rFonts w:ascii="Times New Roman" w:hAnsi="Times New Roman" w:cs="Times New Roman"/>
                <w:sz w:val="28"/>
                <w:szCs w:val="28"/>
              </w:rPr>
            </w:pPr>
            <w:r w:rsidRPr="008936AF">
              <w:rPr>
                <w:rFonts w:ascii="Times New Roman" w:hAnsi="Times New Roman" w:cs="Times New Roman"/>
                <w:sz w:val="28"/>
                <w:szCs w:val="28"/>
              </w:rPr>
              <w:t>Coadyuva la demanda por considerar que la norma desconoce los artículos 53,58, 228 y 243 de la Constitución, por el operador judicial no puede aplicar normatividad que ha sido declarada</w:t>
            </w:r>
            <w:r w:rsidRPr="008936AF">
              <w:rPr>
                <w:rFonts w:ascii="Times New Roman" w:hAnsi="Times New Roman" w:cs="Times New Roman"/>
                <w:sz w:val="28"/>
                <w:szCs w:val="28"/>
              </w:rPr>
              <w:t xml:space="preserve"> inexequible, como en este caso causando perjuicios a los derechos del trabajador.</w:t>
            </w:r>
          </w:p>
        </w:tc>
      </w:tr>
      <w:tr w:rsidR="00280907" w:rsidRPr="008936AF" w:rsidTr="00280907">
        <w:tc>
          <w:tcPr>
            <w:tcW w:w="2405" w:type="dxa"/>
          </w:tcPr>
          <w:p w:rsidR="00280907" w:rsidRPr="008936AF" w:rsidRDefault="008936AF" w:rsidP="009268B9">
            <w:pPr>
              <w:tabs>
                <w:tab w:val="left" w:pos="142"/>
              </w:tabs>
              <w:ind w:right="51"/>
              <w:jc w:val="both"/>
              <w:rPr>
                <w:rFonts w:ascii="Times New Roman" w:hAnsi="Times New Roman" w:cs="Times New Roman"/>
                <w:sz w:val="28"/>
                <w:szCs w:val="28"/>
              </w:rPr>
            </w:pPr>
            <w:r w:rsidRPr="008936AF">
              <w:rPr>
                <w:rFonts w:ascii="Times New Roman" w:hAnsi="Times New Roman" w:cs="Times New Roman"/>
                <w:i/>
                <w:sz w:val="28"/>
                <w:szCs w:val="28"/>
              </w:rPr>
              <w:t>Diego Nicolás Poveda Gómez y Néstor Javier Ortiz</w:t>
            </w:r>
            <w:r w:rsidRPr="008936AF">
              <w:rPr>
                <w:rFonts w:ascii="Times New Roman" w:hAnsi="Times New Roman" w:cs="Times New Roman"/>
                <w:sz w:val="28"/>
                <w:szCs w:val="28"/>
              </w:rPr>
              <w:t xml:space="preserve"> </w:t>
            </w:r>
            <w:r w:rsidRPr="008936AF">
              <w:rPr>
                <w:rFonts w:ascii="Times New Roman" w:hAnsi="Times New Roman" w:cs="Times New Roman"/>
                <w:i/>
                <w:sz w:val="28"/>
                <w:szCs w:val="28"/>
              </w:rPr>
              <w:t>Díaz</w:t>
            </w:r>
          </w:p>
        </w:tc>
        <w:tc>
          <w:tcPr>
            <w:tcW w:w="6425" w:type="dxa"/>
          </w:tcPr>
          <w:p w:rsidR="00340FB4" w:rsidRPr="008936AF" w:rsidRDefault="008936AF" w:rsidP="009268B9">
            <w:pPr>
              <w:pStyle w:val="Prrafodelista"/>
              <w:tabs>
                <w:tab w:val="left" w:pos="142"/>
              </w:tabs>
              <w:ind w:left="0" w:right="51"/>
              <w:jc w:val="both"/>
              <w:rPr>
                <w:rFonts w:ascii="Times New Roman" w:hAnsi="Times New Roman" w:cs="Times New Roman"/>
                <w:sz w:val="28"/>
                <w:szCs w:val="28"/>
              </w:rPr>
            </w:pPr>
            <w:r w:rsidRPr="008936AF">
              <w:rPr>
                <w:rFonts w:ascii="Times New Roman" w:hAnsi="Times New Roman" w:cs="Times New Roman"/>
                <w:sz w:val="28"/>
                <w:szCs w:val="28"/>
              </w:rPr>
              <w:t xml:space="preserve">Solicitan la exequibilidad condicionada de la norma. </w:t>
            </w:r>
            <w:r w:rsidRPr="008936AF">
              <w:rPr>
                <w:rFonts w:ascii="Times New Roman" w:hAnsi="Times New Roman" w:cs="Times New Roman"/>
                <w:sz w:val="28"/>
                <w:szCs w:val="28"/>
              </w:rPr>
              <w:t>Consideran que la interpretación demandada es restrictiva y parte</w:t>
            </w:r>
            <w:r w:rsidRPr="008936AF">
              <w:rPr>
                <w:rFonts w:ascii="Times New Roman" w:hAnsi="Times New Roman" w:cs="Times New Roman"/>
                <w:sz w:val="28"/>
                <w:szCs w:val="28"/>
              </w:rPr>
              <w:t xml:space="preserve"> de la mala fe. Explican que la interpretación vulnera el principio de favorabilidad laboral, «en virtud de que el artículo no consagra una extinción del derecho a obtener el pago de la indemnización moratoria en caso de que no se interponga una demanda» y</w:t>
            </w:r>
            <w:r w:rsidRPr="008936AF">
              <w:rPr>
                <w:rFonts w:ascii="Times New Roman" w:hAnsi="Times New Roman" w:cs="Times New Roman"/>
                <w:sz w:val="28"/>
                <w:szCs w:val="28"/>
              </w:rPr>
              <w:t xml:space="preserve"> desconoce el objetivo de la norma cual es «el de sancionar al empleador que no cumple, creando así un escenario desfavorable para el empleador incumplido en comparación con el empleador que acata la norma. Esta intención es clara en la normatividad labora</w:t>
            </w:r>
            <w:r w:rsidRPr="008936AF">
              <w:rPr>
                <w:rFonts w:ascii="Times New Roman" w:hAnsi="Times New Roman" w:cs="Times New Roman"/>
                <w:sz w:val="28"/>
                <w:szCs w:val="28"/>
              </w:rPr>
              <w:t>l vigente, pues desde la normatividad se establecen ciertos deberes del empleador, y una respectiva consecuencia en caso de incumplimiento.</w:t>
            </w:r>
          </w:p>
          <w:p w:rsidR="00340FB4" w:rsidRPr="008936AF" w:rsidRDefault="008936AF" w:rsidP="009268B9">
            <w:pPr>
              <w:pStyle w:val="Prrafodelista"/>
              <w:tabs>
                <w:tab w:val="left" w:pos="142"/>
              </w:tabs>
              <w:ind w:left="0" w:right="51"/>
              <w:jc w:val="both"/>
              <w:rPr>
                <w:rFonts w:ascii="Times New Roman" w:hAnsi="Times New Roman" w:cs="Times New Roman"/>
                <w:sz w:val="28"/>
                <w:szCs w:val="28"/>
              </w:rPr>
            </w:pPr>
            <w:r w:rsidRPr="008936AF">
              <w:rPr>
                <w:rFonts w:ascii="Times New Roman" w:hAnsi="Times New Roman" w:cs="Times New Roman"/>
                <w:sz w:val="28"/>
                <w:szCs w:val="28"/>
              </w:rPr>
              <w:t>Por consiguiente, solicitan que se declare la exequibilidad condicionada de la disposición demandada en el entendido</w:t>
            </w:r>
            <w:r w:rsidRPr="008936AF">
              <w:rPr>
                <w:rFonts w:ascii="Times New Roman" w:hAnsi="Times New Roman" w:cs="Times New Roman"/>
                <w:sz w:val="28"/>
                <w:szCs w:val="28"/>
              </w:rPr>
              <w:t xml:space="preserve"> de que «la indemnización por falta de pago del artículo 65 del Código Sustantivo del Trabajo en todos los casos es de un día de salario por cada día de retardo hasta que el pago se verifique, salvo una excepción: cuando el trabajador que devenga más de un</w:t>
            </w:r>
            <w:r w:rsidRPr="008936AF">
              <w:rPr>
                <w:rFonts w:ascii="Times New Roman" w:hAnsi="Times New Roman" w:cs="Times New Roman"/>
                <w:sz w:val="28"/>
                <w:szCs w:val="28"/>
              </w:rPr>
              <w:t xml:space="preserve"> salario mínimo no ha iniciado su reclamación por la vía ordinaria, caso en el cual hasta el mes 24 debe pagar un día de salario por cada día de retardo y solamente a partir del mes 25 el empleador deberá pagar al trabajador».</w:t>
            </w:r>
          </w:p>
          <w:p w:rsidR="00280907" w:rsidRPr="008936AF" w:rsidRDefault="008936AF" w:rsidP="009268B9">
            <w:pPr>
              <w:tabs>
                <w:tab w:val="left" w:pos="142"/>
              </w:tabs>
              <w:ind w:right="51"/>
              <w:jc w:val="both"/>
              <w:rPr>
                <w:rFonts w:ascii="Times New Roman" w:hAnsi="Times New Roman" w:cs="Times New Roman"/>
                <w:sz w:val="28"/>
                <w:szCs w:val="28"/>
              </w:rPr>
            </w:pPr>
          </w:p>
        </w:tc>
      </w:tr>
      <w:tr w:rsidR="00280907" w:rsidRPr="008936AF" w:rsidTr="00280907">
        <w:tc>
          <w:tcPr>
            <w:tcW w:w="2405" w:type="dxa"/>
          </w:tcPr>
          <w:p w:rsidR="00280907" w:rsidRPr="008936AF" w:rsidRDefault="008936AF" w:rsidP="009268B9">
            <w:pPr>
              <w:tabs>
                <w:tab w:val="left" w:pos="142"/>
              </w:tabs>
              <w:ind w:right="51"/>
              <w:jc w:val="both"/>
              <w:rPr>
                <w:rFonts w:ascii="Times New Roman" w:hAnsi="Times New Roman" w:cs="Times New Roman"/>
                <w:sz w:val="28"/>
                <w:szCs w:val="28"/>
              </w:rPr>
            </w:pPr>
            <w:r w:rsidRPr="008936AF">
              <w:rPr>
                <w:rFonts w:ascii="Times New Roman" w:hAnsi="Times New Roman" w:cs="Times New Roman"/>
                <w:i/>
                <w:sz w:val="28"/>
                <w:szCs w:val="28"/>
              </w:rPr>
              <w:t>Yulis Andrea Varilla</w:t>
            </w:r>
          </w:p>
        </w:tc>
        <w:tc>
          <w:tcPr>
            <w:tcW w:w="6425" w:type="dxa"/>
          </w:tcPr>
          <w:p w:rsidR="00280907" w:rsidRPr="008936AF" w:rsidRDefault="008936AF" w:rsidP="009268B9">
            <w:pPr>
              <w:tabs>
                <w:tab w:val="left" w:pos="142"/>
              </w:tabs>
              <w:ind w:right="51"/>
              <w:jc w:val="both"/>
              <w:rPr>
                <w:rFonts w:ascii="Times New Roman" w:hAnsi="Times New Roman" w:cs="Times New Roman"/>
                <w:sz w:val="28"/>
                <w:szCs w:val="28"/>
              </w:rPr>
            </w:pPr>
            <w:r w:rsidRPr="008936AF">
              <w:rPr>
                <w:rFonts w:ascii="Times New Roman" w:hAnsi="Times New Roman" w:cs="Times New Roman"/>
                <w:sz w:val="28"/>
                <w:szCs w:val="28"/>
              </w:rPr>
              <w:t>Solici</w:t>
            </w:r>
            <w:r w:rsidRPr="008936AF">
              <w:rPr>
                <w:rFonts w:ascii="Times New Roman" w:hAnsi="Times New Roman" w:cs="Times New Roman"/>
                <w:sz w:val="28"/>
                <w:szCs w:val="28"/>
              </w:rPr>
              <w:t xml:space="preserve">ta la inexequibilidad de la interpretación realizada por la Corte Suprema de Justicia, por considerar que «la Corte borra del mapa constitucional los derechos adquiridos a la indemnización moratoria hasta el mes 24 y si inició la reclamación antes del mes </w:t>
            </w:r>
            <w:r w:rsidRPr="008936AF">
              <w:rPr>
                <w:rFonts w:ascii="Times New Roman" w:hAnsi="Times New Roman" w:cs="Times New Roman"/>
                <w:sz w:val="28"/>
                <w:szCs w:val="28"/>
              </w:rPr>
              <w:t xml:space="preserve">24, el derecho a que se siga pagando la indemnización moratoria después del mes 24 hasta su pago real. Igualmente, porque según el 243 de la Constitución no se puede reproducir contenido inconstitucional y borra el principio del </w:t>
            </w:r>
            <w:r w:rsidRPr="008936AF">
              <w:rPr>
                <w:rFonts w:ascii="Times New Roman" w:hAnsi="Times New Roman" w:cs="Times New Roman"/>
                <w:i/>
                <w:sz w:val="28"/>
                <w:szCs w:val="28"/>
              </w:rPr>
              <w:t>indubio pro operario</w:t>
            </w:r>
            <w:r w:rsidRPr="008936AF">
              <w:rPr>
                <w:rFonts w:ascii="Times New Roman" w:hAnsi="Times New Roman" w:cs="Times New Roman"/>
                <w:sz w:val="28"/>
                <w:szCs w:val="28"/>
              </w:rPr>
              <w:t>, porqu</w:t>
            </w:r>
            <w:r w:rsidRPr="008936AF">
              <w:rPr>
                <w:rFonts w:ascii="Times New Roman" w:hAnsi="Times New Roman" w:cs="Times New Roman"/>
                <w:sz w:val="28"/>
                <w:szCs w:val="28"/>
              </w:rPr>
              <w:t>e, elige la interpretación menos favorable para el trabajador y es la más favorable, no la menos favorable».  En su criterio, la «consecuencia jurídica de pagar los intereses a partir del mes 25 hasta su efectivo pago es si NO ha iniciado la reclamación po</w:t>
            </w:r>
            <w:r w:rsidRPr="008936AF">
              <w:rPr>
                <w:rFonts w:ascii="Times New Roman" w:hAnsi="Times New Roman" w:cs="Times New Roman"/>
                <w:sz w:val="28"/>
                <w:szCs w:val="28"/>
              </w:rPr>
              <w:t>r la vía ordinaria antes del mes 24, pero en este caso, si inició su reclamación por la vía ordinaria antes del mes 24 el trabajador continúa con el derecho a que se siga pagando la indemnización moratoria hasta su pago real, sin consideración al mes 25. L</w:t>
            </w:r>
            <w:r w:rsidRPr="008936AF">
              <w:rPr>
                <w:rFonts w:ascii="Times New Roman" w:hAnsi="Times New Roman" w:cs="Times New Roman"/>
                <w:sz w:val="28"/>
                <w:szCs w:val="28"/>
              </w:rPr>
              <w:t>o que hace la Corte también es hacer perder el derecho a la indemnización moratoria después del mes 25, por lo que, en este punto solicito a la corte constitucional integrar el juicio de constitucionalidad de la violación de los derechos adquiridos respect</w:t>
            </w:r>
            <w:r w:rsidRPr="008936AF">
              <w:rPr>
                <w:rFonts w:ascii="Times New Roman" w:hAnsi="Times New Roman" w:cs="Times New Roman"/>
                <w:sz w:val="28"/>
                <w:szCs w:val="28"/>
              </w:rPr>
              <w:t>o a si el trabajador inició su reclamación antes del mes 24».</w:t>
            </w:r>
          </w:p>
        </w:tc>
      </w:tr>
    </w:tbl>
    <w:p w:rsidR="00280907" w:rsidRPr="008936AF" w:rsidRDefault="008936AF" w:rsidP="009268B9">
      <w:pPr>
        <w:tabs>
          <w:tab w:val="left" w:pos="142"/>
        </w:tabs>
        <w:ind w:right="51"/>
        <w:jc w:val="both"/>
        <w:rPr>
          <w:rFonts w:ascii="Times New Roman" w:hAnsi="Times New Roman" w:cs="Times New Roman"/>
          <w:sz w:val="28"/>
          <w:szCs w:val="28"/>
        </w:rPr>
      </w:pPr>
    </w:p>
    <w:p w:rsidR="00380344" w:rsidRPr="008936AF" w:rsidRDefault="008936AF" w:rsidP="009268B9">
      <w:pPr>
        <w:pStyle w:val="Ttulo1"/>
        <w:spacing w:before="0"/>
        <w:rPr>
          <w:rFonts w:ascii="Times New Roman" w:hAnsi="Times New Roman" w:cs="Times New Roman"/>
          <w:sz w:val="28"/>
        </w:rPr>
      </w:pPr>
      <w:r w:rsidRPr="008936AF">
        <w:rPr>
          <w:rFonts w:ascii="Times New Roman" w:hAnsi="Times New Roman" w:cs="Times New Roman"/>
          <w:sz w:val="28"/>
        </w:rPr>
        <w:t>III. CONCEPTO DE</w:t>
      </w:r>
      <w:r w:rsidRPr="008936AF">
        <w:rPr>
          <w:rFonts w:ascii="Times New Roman" w:hAnsi="Times New Roman" w:cs="Times New Roman"/>
          <w:sz w:val="28"/>
        </w:rPr>
        <w:t xml:space="preserve"> </w:t>
      </w:r>
      <w:r w:rsidRPr="008936AF">
        <w:rPr>
          <w:rFonts w:ascii="Times New Roman" w:hAnsi="Times New Roman" w:cs="Times New Roman"/>
          <w:sz w:val="28"/>
        </w:rPr>
        <w:t>L</w:t>
      </w:r>
      <w:r w:rsidRPr="008936AF">
        <w:rPr>
          <w:rFonts w:ascii="Times New Roman" w:hAnsi="Times New Roman" w:cs="Times New Roman"/>
          <w:sz w:val="28"/>
        </w:rPr>
        <w:t>A PROCURADORA GENERAL DE LA NACIÓN</w:t>
      </w:r>
    </w:p>
    <w:p w:rsidR="00F87375" w:rsidRPr="008936AF" w:rsidRDefault="008936AF" w:rsidP="009268B9">
      <w:pPr>
        <w:tabs>
          <w:tab w:val="left" w:pos="142"/>
        </w:tabs>
        <w:ind w:right="51"/>
        <w:jc w:val="both"/>
        <w:rPr>
          <w:rFonts w:ascii="Times New Roman" w:hAnsi="Times New Roman" w:cs="Times New Roman"/>
          <w:sz w:val="28"/>
          <w:szCs w:val="28"/>
        </w:rPr>
      </w:pPr>
    </w:p>
    <w:p w:rsidR="003C0558"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rPr>
      </w:pPr>
      <w:r w:rsidRPr="008936AF">
        <w:rPr>
          <w:rFonts w:ascii="Times New Roman" w:hAnsi="Times New Roman" w:cs="Times New Roman"/>
          <w:sz w:val="28"/>
          <w:szCs w:val="28"/>
        </w:rPr>
        <w:t xml:space="preserve">La Procuradora General de la Nación solicitó </w:t>
      </w:r>
      <w:r w:rsidRPr="008936AF">
        <w:rPr>
          <w:rFonts w:ascii="Times New Roman" w:hAnsi="Times New Roman" w:cs="Times New Roman"/>
          <w:sz w:val="28"/>
          <w:szCs w:val="28"/>
        </w:rPr>
        <w:t>una decisión inhibitoria</w:t>
      </w:r>
      <w:r w:rsidRPr="008936AF">
        <w:rPr>
          <w:rFonts w:ascii="Times New Roman" w:hAnsi="Times New Roman" w:cs="Times New Roman"/>
          <w:sz w:val="28"/>
          <w:szCs w:val="28"/>
        </w:rPr>
        <w:t xml:space="preserve"> por considerar que el cargo </w:t>
      </w:r>
      <w:r w:rsidRPr="008936AF">
        <w:rPr>
          <w:rFonts w:ascii="Times New Roman" w:hAnsi="Times New Roman" w:cs="Times New Roman"/>
          <w:sz w:val="28"/>
          <w:szCs w:val="28"/>
        </w:rPr>
        <w:t xml:space="preserve">admitido </w:t>
      </w:r>
      <w:r w:rsidRPr="008936AF">
        <w:rPr>
          <w:rFonts w:ascii="Times New Roman" w:hAnsi="Times New Roman" w:cs="Times New Roman"/>
          <w:sz w:val="28"/>
          <w:szCs w:val="28"/>
        </w:rPr>
        <w:t xml:space="preserve">no cumple con </w:t>
      </w:r>
      <w:r w:rsidRPr="008936AF">
        <w:rPr>
          <w:rFonts w:ascii="Times New Roman" w:hAnsi="Times New Roman" w:cs="Times New Roman"/>
          <w:sz w:val="28"/>
          <w:szCs w:val="28"/>
        </w:rPr>
        <w:t>los</w:t>
      </w:r>
      <w:r w:rsidRPr="008936AF">
        <w:rPr>
          <w:rFonts w:ascii="Times New Roman" w:hAnsi="Times New Roman" w:cs="Times New Roman"/>
          <w:sz w:val="28"/>
          <w:szCs w:val="28"/>
        </w:rPr>
        <w:t xml:space="preserve"> presupuesto</w:t>
      </w:r>
      <w:r w:rsidRPr="008936AF">
        <w:rPr>
          <w:rFonts w:ascii="Times New Roman" w:hAnsi="Times New Roman" w:cs="Times New Roman"/>
          <w:sz w:val="28"/>
          <w:szCs w:val="28"/>
        </w:rPr>
        <w:t>s</w:t>
      </w:r>
      <w:r w:rsidRPr="008936AF">
        <w:rPr>
          <w:rFonts w:ascii="Times New Roman" w:hAnsi="Times New Roman" w:cs="Times New Roman"/>
          <w:sz w:val="28"/>
          <w:szCs w:val="28"/>
        </w:rPr>
        <w:t xml:space="preserve"> de </w:t>
      </w:r>
      <w:r w:rsidRPr="008936AF">
        <w:rPr>
          <w:rFonts w:ascii="Times New Roman" w:hAnsi="Times New Roman" w:cs="Times New Roman"/>
          <w:sz w:val="28"/>
          <w:szCs w:val="28"/>
        </w:rPr>
        <w:t xml:space="preserve">certeza y </w:t>
      </w:r>
      <w:r w:rsidRPr="008936AF">
        <w:rPr>
          <w:rFonts w:ascii="Times New Roman" w:hAnsi="Times New Roman" w:cs="Times New Roman"/>
          <w:sz w:val="28"/>
          <w:szCs w:val="28"/>
        </w:rPr>
        <w:t>suficiencia, toda vez que el mismo parte de una lectura incompleta de la jurisprudencia</w:t>
      </w:r>
      <w:r w:rsidRPr="008936AF">
        <w:rPr>
          <w:rFonts w:ascii="Times New Roman" w:hAnsi="Times New Roman" w:cs="Times New Roman"/>
          <w:sz w:val="28"/>
          <w:szCs w:val="28"/>
        </w:rPr>
        <w:t xml:space="preserve"> constitucional, al considerar que esta Corte en la sentencia </w:t>
      </w:r>
      <w:r w:rsidRPr="008936AF">
        <w:rPr>
          <w:rFonts w:ascii="Times New Roman" w:hAnsi="Times New Roman" w:cs="Times New Roman"/>
          <w:sz w:val="28"/>
        </w:rPr>
        <w:t xml:space="preserve">C-781 de 2003 interpretó el artículo 29 de la Ley 789 de 2002, </w:t>
      </w:r>
      <w:r w:rsidRPr="008936AF">
        <w:rPr>
          <w:rFonts w:ascii="Times New Roman" w:hAnsi="Times New Roman" w:cs="Times New Roman"/>
          <w:sz w:val="28"/>
        </w:rPr>
        <w:t>«</w:t>
      </w:r>
      <w:r w:rsidRPr="008936AF">
        <w:rPr>
          <w:rFonts w:ascii="Times New Roman" w:hAnsi="Times New Roman" w:cs="Times New Roman"/>
          <w:sz w:val="28"/>
        </w:rPr>
        <w:t>concluyendo que no era necesa</w:t>
      </w:r>
      <w:r w:rsidRPr="008936AF">
        <w:rPr>
          <w:rFonts w:ascii="Times New Roman" w:hAnsi="Times New Roman" w:cs="Times New Roman"/>
          <w:sz w:val="28"/>
        </w:rPr>
        <w:t>rio acudir ante la justicia laboral a efectos de obtener la indemnización de “brazos caídos”. En este sentido, el actor refiere que, desconociendo el mandato de cosa juzgada y en detrimento del principio in dubio pro operario, en la jurisprudencia de la Sa</w:t>
      </w:r>
      <w:r w:rsidRPr="008936AF">
        <w:rPr>
          <w:rFonts w:ascii="Times New Roman" w:hAnsi="Times New Roman" w:cs="Times New Roman"/>
          <w:sz w:val="28"/>
        </w:rPr>
        <w:t>la de Casación Laboral de Corte Suprema de Justicia sí exige acudir ante la jurisdicción ordinaria para acceder a dicha compensación</w:t>
      </w:r>
      <w:r w:rsidRPr="008936AF">
        <w:rPr>
          <w:rFonts w:ascii="Times New Roman" w:hAnsi="Times New Roman" w:cs="Times New Roman"/>
          <w:sz w:val="28"/>
        </w:rPr>
        <w:t>».</w:t>
      </w:r>
    </w:p>
    <w:p w:rsidR="008E1392" w:rsidRPr="008936AF" w:rsidRDefault="008936AF" w:rsidP="009268B9">
      <w:pPr>
        <w:tabs>
          <w:tab w:val="left" w:pos="142"/>
        </w:tabs>
        <w:ind w:right="51"/>
        <w:jc w:val="both"/>
        <w:rPr>
          <w:rFonts w:ascii="Times New Roman" w:hAnsi="Times New Roman" w:cs="Times New Roman"/>
          <w:sz w:val="28"/>
        </w:rPr>
      </w:pPr>
    </w:p>
    <w:p w:rsidR="00C768CB"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rPr>
      </w:pPr>
      <w:r w:rsidRPr="008936AF">
        <w:rPr>
          <w:rFonts w:ascii="Times New Roman" w:hAnsi="Times New Roman" w:cs="Times New Roman"/>
          <w:sz w:val="28"/>
        </w:rPr>
        <w:t xml:space="preserve">A juicio del Ministerio Público, en dicha sentencia el Tribunal constitucional «no relevó a los interesados de la carga </w:t>
      </w:r>
      <w:r w:rsidRPr="008936AF">
        <w:rPr>
          <w:rFonts w:ascii="Times New Roman" w:hAnsi="Times New Roman" w:cs="Times New Roman"/>
          <w:sz w:val="28"/>
        </w:rPr>
        <w:t>de acudir ante la justicia laboral a efectos de obtener la indemnización de “brazos caídos”», posición que ha sido reiterada en las sentencias C-892 de 2009, T-459 de 2017 y SU-041 de 2020 en las que se ha aclarado el alcance de la norma «acogiendo el ente</w:t>
      </w:r>
      <w:r w:rsidRPr="008936AF">
        <w:rPr>
          <w:rFonts w:ascii="Times New Roman" w:hAnsi="Times New Roman" w:cs="Times New Roman"/>
          <w:sz w:val="28"/>
        </w:rPr>
        <w:t>ndimiento de la forma de pago de la indemnización de “brazos caídos” en términos similares a los desarrollados por la Sala de Casación Laboral de la Corte Suprema de Justicia».</w:t>
      </w:r>
    </w:p>
    <w:p w:rsidR="00C768CB" w:rsidRPr="008936AF" w:rsidRDefault="008936AF" w:rsidP="009268B9">
      <w:pPr>
        <w:pStyle w:val="Prrafodelista"/>
        <w:tabs>
          <w:tab w:val="left" w:pos="142"/>
        </w:tabs>
        <w:ind w:left="0" w:right="51"/>
        <w:jc w:val="both"/>
        <w:rPr>
          <w:rFonts w:ascii="Times New Roman" w:hAnsi="Times New Roman" w:cs="Times New Roman"/>
          <w:sz w:val="28"/>
          <w:szCs w:val="28"/>
        </w:rPr>
      </w:pPr>
    </w:p>
    <w:p w:rsidR="006A5743"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rPr>
      </w:pPr>
      <w:r w:rsidRPr="008936AF">
        <w:rPr>
          <w:rFonts w:ascii="Times New Roman" w:hAnsi="Times New Roman" w:cs="Times New Roman"/>
          <w:sz w:val="28"/>
          <w:szCs w:val="28"/>
        </w:rPr>
        <w:t>Así, la lectura parcializada e incompleta del precedente que fundamenta el car</w:t>
      </w:r>
      <w:r w:rsidRPr="008936AF">
        <w:rPr>
          <w:rFonts w:ascii="Times New Roman" w:hAnsi="Times New Roman" w:cs="Times New Roman"/>
          <w:sz w:val="28"/>
          <w:szCs w:val="28"/>
        </w:rPr>
        <w:t xml:space="preserve">go de inconstitucionalidad, </w:t>
      </w:r>
      <w:r w:rsidRPr="008936AF">
        <w:rPr>
          <w:rFonts w:ascii="Times New Roman" w:hAnsi="Times New Roman" w:cs="Times New Roman"/>
          <w:sz w:val="28"/>
          <w:szCs w:val="28"/>
        </w:rPr>
        <w:t xml:space="preserve">hace que la </w:t>
      </w:r>
      <w:r w:rsidRPr="008936AF">
        <w:rPr>
          <w:rFonts w:ascii="Times New Roman" w:hAnsi="Times New Roman" w:cs="Times New Roman"/>
          <w:sz w:val="28"/>
          <w:szCs w:val="28"/>
        </w:rPr>
        <w:t>demanda no cumpl</w:t>
      </w:r>
      <w:r w:rsidRPr="008936AF">
        <w:rPr>
          <w:rFonts w:ascii="Times New Roman" w:hAnsi="Times New Roman" w:cs="Times New Roman"/>
          <w:sz w:val="28"/>
          <w:szCs w:val="28"/>
        </w:rPr>
        <w:t>a</w:t>
      </w:r>
      <w:r w:rsidRPr="008936AF">
        <w:rPr>
          <w:rFonts w:ascii="Times New Roman" w:hAnsi="Times New Roman" w:cs="Times New Roman"/>
          <w:sz w:val="28"/>
          <w:szCs w:val="28"/>
        </w:rPr>
        <w:t xml:space="preserve"> con la carga de suficiencia y, por ello, solicita que se profiera una decisión inhibitoria, recordando que «la misma “lejos de afectar la garantía de acceso a la administración de justicia contempla</w:t>
      </w:r>
      <w:r w:rsidRPr="008936AF">
        <w:rPr>
          <w:rFonts w:ascii="Times New Roman" w:hAnsi="Times New Roman" w:cs="Times New Roman"/>
          <w:sz w:val="28"/>
          <w:szCs w:val="28"/>
        </w:rPr>
        <w:t>da en el artículo 229 superior, constituye una herramienta idónea para evitar que la presunción de constitucionalidad que acompaña al ordenamiento jurídico sea objeto de reproche a partir de argumentos ” que no suscitan una verdadera controversia constituc</w:t>
      </w:r>
      <w:r w:rsidRPr="008936AF">
        <w:rPr>
          <w:rFonts w:ascii="Times New Roman" w:hAnsi="Times New Roman" w:cs="Times New Roman"/>
          <w:sz w:val="28"/>
          <w:szCs w:val="28"/>
        </w:rPr>
        <w:t>ional».</w:t>
      </w:r>
    </w:p>
    <w:p w:rsidR="004B3989" w:rsidRPr="008936AF" w:rsidRDefault="008936AF" w:rsidP="009268B9">
      <w:pPr>
        <w:pStyle w:val="Prrafodelista"/>
        <w:tabs>
          <w:tab w:val="left" w:pos="142"/>
        </w:tabs>
        <w:ind w:left="0" w:right="51"/>
        <w:jc w:val="both"/>
        <w:rPr>
          <w:rFonts w:ascii="Times New Roman" w:hAnsi="Times New Roman" w:cs="Times New Roman"/>
          <w:sz w:val="28"/>
          <w:szCs w:val="28"/>
        </w:rPr>
      </w:pPr>
    </w:p>
    <w:p w:rsidR="00E82405" w:rsidRPr="008936AF" w:rsidRDefault="008936AF" w:rsidP="009268B9">
      <w:pPr>
        <w:pStyle w:val="Prrafodelista"/>
        <w:tabs>
          <w:tab w:val="left" w:pos="142"/>
        </w:tabs>
        <w:ind w:left="0" w:right="51"/>
        <w:jc w:val="both"/>
        <w:rPr>
          <w:rFonts w:ascii="Times New Roman" w:hAnsi="Times New Roman" w:cs="Times New Roman"/>
          <w:i/>
          <w:sz w:val="28"/>
          <w:szCs w:val="28"/>
        </w:rPr>
      </w:pPr>
      <w:r w:rsidRPr="008936AF">
        <w:rPr>
          <w:rFonts w:ascii="Times New Roman" w:hAnsi="Times New Roman" w:cs="Times New Roman"/>
          <w:i/>
          <w:sz w:val="28"/>
          <w:szCs w:val="28"/>
        </w:rPr>
        <w:t>Intervención demandante con posterioridad al concepto del Ministerio Público</w:t>
      </w:r>
    </w:p>
    <w:p w:rsidR="00E82405" w:rsidRPr="008936AF" w:rsidRDefault="008936AF" w:rsidP="009268B9">
      <w:pPr>
        <w:pStyle w:val="Prrafodelista"/>
        <w:tabs>
          <w:tab w:val="left" w:pos="142"/>
        </w:tabs>
        <w:ind w:left="0" w:right="51"/>
        <w:jc w:val="both"/>
        <w:rPr>
          <w:rFonts w:ascii="Times New Roman" w:hAnsi="Times New Roman" w:cs="Times New Roman"/>
          <w:sz w:val="28"/>
          <w:szCs w:val="28"/>
        </w:rPr>
      </w:pPr>
    </w:p>
    <w:p w:rsidR="004B3989"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rPr>
      </w:pPr>
      <w:r w:rsidRPr="008936AF">
        <w:rPr>
          <w:rFonts w:ascii="Times New Roman" w:hAnsi="Times New Roman" w:cs="Times New Roman"/>
          <w:sz w:val="28"/>
          <w:szCs w:val="28"/>
        </w:rPr>
        <w:t xml:space="preserve">Mediante escrito del 6 de marzo de 2024, </w:t>
      </w:r>
      <w:r w:rsidRPr="008936AF">
        <w:rPr>
          <w:rFonts w:ascii="Times New Roman" w:hAnsi="Times New Roman" w:cs="Times New Roman"/>
          <w:sz w:val="28"/>
          <w:szCs w:val="28"/>
        </w:rPr>
        <w:t xml:space="preserve">por fuera del término de fijación en lista, </w:t>
      </w:r>
      <w:r w:rsidRPr="008936AF">
        <w:rPr>
          <w:rFonts w:ascii="Times New Roman" w:hAnsi="Times New Roman" w:cs="Times New Roman"/>
          <w:sz w:val="28"/>
          <w:szCs w:val="28"/>
        </w:rPr>
        <w:t>el demandante cuestionó el concepto presentado por el Ministerio Público al consider</w:t>
      </w:r>
      <w:r w:rsidRPr="008936AF">
        <w:rPr>
          <w:rFonts w:ascii="Times New Roman" w:hAnsi="Times New Roman" w:cs="Times New Roman"/>
          <w:sz w:val="28"/>
          <w:szCs w:val="28"/>
        </w:rPr>
        <w:t>ar que el mismo no tuvo en cuenta que la demanda contiene tres cargos autónomos admitidos. En este caso, dice, se omitió analizar el problema constitucional con el cargo de «</w:t>
      </w:r>
      <w:r w:rsidRPr="008936AF">
        <w:rPr>
          <w:rFonts w:ascii="Times New Roman" w:hAnsi="Times New Roman" w:cs="Times New Roman"/>
          <w:sz w:val="28"/>
        </w:rPr>
        <w:t>los derechos adquiridos de la indemnización moratoria de un día de salario por día</w:t>
      </w:r>
      <w:r w:rsidRPr="008936AF">
        <w:rPr>
          <w:rFonts w:ascii="Times New Roman" w:hAnsi="Times New Roman" w:cs="Times New Roman"/>
          <w:sz w:val="28"/>
        </w:rPr>
        <w:t xml:space="preserve"> de retardo hasta por 24 meses y, si ha reclamado por la vía ordinaria antes del mes 24, aquél derecho indemnizatorio (brazos caídos) causado con posterioridad al mes 25 hasta su pago (art 58) sin interrupción y si no ha reclamado en los primeros 24 meses </w:t>
      </w:r>
      <w:r w:rsidRPr="008936AF">
        <w:rPr>
          <w:rFonts w:ascii="Times New Roman" w:hAnsi="Times New Roman" w:cs="Times New Roman"/>
          <w:sz w:val="28"/>
        </w:rPr>
        <w:t>de terminado el contrato, se garantiza los brazos caídos hasta el mes 24 y a partir del mes 25 hacia adelante intereses moratorios, sin perder la indemnización hasta el mes 24».</w:t>
      </w:r>
      <w:r w:rsidRPr="008936AF">
        <w:rPr>
          <w:rFonts w:ascii="Times New Roman" w:hAnsi="Times New Roman" w:cs="Times New Roman"/>
          <w:sz w:val="28"/>
        </w:rPr>
        <w:t xml:space="preserve"> Seguidamente, presenta argumentos respaldando los cargos de la demanda en los </w:t>
      </w:r>
      <w:r w:rsidRPr="008936AF">
        <w:rPr>
          <w:rFonts w:ascii="Times New Roman" w:hAnsi="Times New Roman" w:cs="Times New Roman"/>
          <w:sz w:val="28"/>
        </w:rPr>
        <w:t>que se cuestiona la interpretación que la Corte Suprema de Justicia ha hecho del artículo 65 del CST.</w:t>
      </w:r>
    </w:p>
    <w:p w:rsidR="004B3989" w:rsidRPr="008936AF" w:rsidRDefault="008936AF" w:rsidP="009268B9">
      <w:pPr>
        <w:pStyle w:val="Prrafodelista"/>
        <w:tabs>
          <w:tab w:val="left" w:pos="142"/>
        </w:tabs>
        <w:ind w:left="0" w:right="51"/>
        <w:jc w:val="both"/>
        <w:rPr>
          <w:rFonts w:ascii="Times New Roman" w:hAnsi="Times New Roman" w:cs="Times New Roman"/>
          <w:sz w:val="28"/>
          <w:szCs w:val="28"/>
        </w:rPr>
      </w:pPr>
    </w:p>
    <w:p w:rsidR="00334794" w:rsidRPr="008936AF" w:rsidRDefault="008936AF" w:rsidP="009268B9">
      <w:pPr>
        <w:pStyle w:val="Ttulo1"/>
        <w:spacing w:before="0"/>
        <w:rPr>
          <w:rFonts w:ascii="Times New Roman" w:hAnsi="Times New Roman" w:cs="Times New Roman"/>
          <w:sz w:val="28"/>
        </w:rPr>
      </w:pPr>
      <w:r w:rsidRPr="008936AF">
        <w:rPr>
          <w:rFonts w:ascii="Times New Roman" w:hAnsi="Times New Roman" w:cs="Times New Roman"/>
          <w:sz w:val="28"/>
        </w:rPr>
        <w:t>I</w:t>
      </w:r>
      <w:r w:rsidRPr="008936AF">
        <w:rPr>
          <w:rFonts w:ascii="Times New Roman" w:hAnsi="Times New Roman" w:cs="Times New Roman"/>
          <w:sz w:val="28"/>
        </w:rPr>
        <w:t>V</w:t>
      </w:r>
      <w:r w:rsidRPr="008936AF">
        <w:rPr>
          <w:rFonts w:ascii="Times New Roman" w:hAnsi="Times New Roman" w:cs="Times New Roman"/>
          <w:sz w:val="28"/>
        </w:rPr>
        <w:t>. CONSIDERACIONES</w:t>
      </w:r>
      <w:r w:rsidRPr="008936AF">
        <w:rPr>
          <w:rFonts w:ascii="Times New Roman" w:hAnsi="Times New Roman" w:cs="Times New Roman"/>
          <w:sz w:val="28"/>
        </w:rPr>
        <w:t xml:space="preserve"> </w:t>
      </w:r>
    </w:p>
    <w:p w:rsidR="00334794" w:rsidRPr="008936AF" w:rsidRDefault="008936AF" w:rsidP="009268B9">
      <w:pPr>
        <w:tabs>
          <w:tab w:val="left" w:pos="142"/>
        </w:tabs>
        <w:ind w:right="51"/>
        <w:jc w:val="both"/>
        <w:rPr>
          <w:rFonts w:ascii="Times New Roman" w:hAnsi="Times New Roman" w:cs="Times New Roman"/>
          <w:sz w:val="28"/>
          <w:szCs w:val="28"/>
        </w:rPr>
      </w:pPr>
    </w:p>
    <w:p w:rsidR="00C91684" w:rsidRPr="008936AF" w:rsidRDefault="008936AF" w:rsidP="009268B9">
      <w:pPr>
        <w:tabs>
          <w:tab w:val="left" w:pos="142"/>
        </w:tabs>
        <w:ind w:right="51"/>
        <w:jc w:val="both"/>
        <w:rPr>
          <w:rFonts w:ascii="Times New Roman" w:hAnsi="Times New Roman" w:cs="Times New Roman"/>
          <w:b/>
          <w:sz w:val="28"/>
          <w:szCs w:val="28"/>
        </w:rPr>
      </w:pPr>
      <w:r w:rsidRPr="008936AF">
        <w:rPr>
          <w:rFonts w:ascii="Times New Roman" w:hAnsi="Times New Roman" w:cs="Times New Roman"/>
          <w:b/>
          <w:sz w:val="28"/>
          <w:szCs w:val="28"/>
        </w:rPr>
        <w:t>Competencia</w:t>
      </w:r>
    </w:p>
    <w:p w:rsidR="00C91684" w:rsidRPr="008936AF" w:rsidRDefault="008936AF" w:rsidP="009268B9">
      <w:pPr>
        <w:tabs>
          <w:tab w:val="left" w:pos="142"/>
        </w:tabs>
        <w:ind w:right="51"/>
        <w:jc w:val="both"/>
        <w:rPr>
          <w:rFonts w:ascii="Times New Roman" w:hAnsi="Times New Roman" w:cs="Times New Roman"/>
          <w:b/>
          <w:sz w:val="28"/>
          <w:szCs w:val="28"/>
        </w:rPr>
      </w:pPr>
    </w:p>
    <w:p w:rsidR="00C91684"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rPr>
      </w:pPr>
      <w:r w:rsidRPr="008936AF">
        <w:rPr>
          <w:rFonts w:ascii="Times New Roman" w:hAnsi="Times New Roman" w:cs="Times New Roman"/>
          <w:sz w:val="28"/>
          <w:szCs w:val="28"/>
        </w:rPr>
        <w:t>La Corte Constitucional es competente para realizar el control de constitucionalidad solicitado en la demanda formulad</w:t>
      </w:r>
      <w:r w:rsidRPr="008936AF">
        <w:rPr>
          <w:rFonts w:ascii="Times New Roman" w:hAnsi="Times New Roman" w:cs="Times New Roman"/>
          <w:sz w:val="28"/>
          <w:szCs w:val="28"/>
        </w:rPr>
        <w:t>a por el accionante, de conformidad con lo dispuesto por el numeral 4 del artículo 241 del texto superior.</w:t>
      </w:r>
    </w:p>
    <w:p w:rsidR="00D35DCB" w:rsidRPr="008936AF" w:rsidRDefault="008936AF" w:rsidP="009268B9">
      <w:pPr>
        <w:tabs>
          <w:tab w:val="left" w:pos="142"/>
        </w:tabs>
        <w:ind w:right="51"/>
        <w:jc w:val="both"/>
        <w:rPr>
          <w:rFonts w:ascii="Times New Roman" w:hAnsi="Times New Roman" w:cs="Times New Roman"/>
          <w:sz w:val="28"/>
          <w:szCs w:val="28"/>
        </w:rPr>
      </w:pPr>
    </w:p>
    <w:p w:rsidR="00C91684" w:rsidRPr="008936AF" w:rsidRDefault="008936AF" w:rsidP="009268B9">
      <w:pPr>
        <w:tabs>
          <w:tab w:val="left" w:pos="142"/>
        </w:tabs>
        <w:ind w:right="51"/>
        <w:jc w:val="both"/>
        <w:rPr>
          <w:rFonts w:ascii="Times New Roman" w:hAnsi="Times New Roman" w:cs="Times New Roman"/>
          <w:b/>
          <w:sz w:val="28"/>
          <w:szCs w:val="28"/>
        </w:rPr>
      </w:pPr>
      <w:r w:rsidRPr="008936AF">
        <w:rPr>
          <w:rFonts w:ascii="Times New Roman" w:hAnsi="Times New Roman" w:cs="Times New Roman"/>
          <w:b/>
          <w:sz w:val="28"/>
          <w:szCs w:val="28"/>
        </w:rPr>
        <w:t>Cuestión preliminar: aptitud sustantiva de la demanda</w:t>
      </w:r>
    </w:p>
    <w:p w:rsidR="00C91684" w:rsidRPr="008936AF" w:rsidRDefault="008936AF" w:rsidP="009268B9">
      <w:pPr>
        <w:tabs>
          <w:tab w:val="left" w:pos="142"/>
        </w:tabs>
        <w:ind w:right="51"/>
        <w:jc w:val="both"/>
        <w:rPr>
          <w:rFonts w:ascii="Times New Roman" w:hAnsi="Times New Roman" w:cs="Times New Roman"/>
          <w:sz w:val="28"/>
          <w:szCs w:val="28"/>
        </w:rPr>
      </w:pPr>
    </w:p>
    <w:p w:rsidR="00D35DCB"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rPr>
      </w:pPr>
      <w:r w:rsidRPr="008936AF">
        <w:rPr>
          <w:rFonts w:ascii="Times New Roman" w:hAnsi="Times New Roman" w:cs="Times New Roman"/>
          <w:sz w:val="28"/>
          <w:szCs w:val="28"/>
        </w:rPr>
        <w:t>La jurisprudencia constitucional ha sido pacífica al establecer que la Sala Plena puede reali</w:t>
      </w:r>
      <w:r w:rsidRPr="008936AF">
        <w:rPr>
          <w:rFonts w:ascii="Times New Roman" w:hAnsi="Times New Roman" w:cs="Times New Roman"/>
          <w:sz w:val="28"/>
          <w:szCs w:val="28"/>
        </w:rPr>
        <w:t>zar un nuevo examen de aptitud de los cargos, sin perjuicio de la evaluación adelantada prima facie por el magistrado sustanciador en el auto admisorio de la demanda, antes de analizar el fondo del asunto propuesto.  Esto, por cuanto «en este estadio del a</w:t>
      </w:r>
      <w:r w:rsidRPr="008936AF">
        <w:rPr>
          <w:rFonts w:ascii="Times New Roman" w:hAnsi="Times New Roman" w:cs="Times New Roman"/>
          <w:sz w:val="28"/>
          <w:szCs w:val="28"/>
        </w:rPr>
        <w:t>nálisis es posible tener una apreciación más compleja de la controversia planteada por el accionante, cuestión que está dada, entre otras cosas, por la opinión y el concepto de los intervinientes, de los expertos, de la señora Procuradora General de la Nac</w:t>
      </w:r>
      <w:r w:rsidRPr="008936AF">
        <w:rPr>
          <w:rFonts w:ascii="Times New Roman" w:hAnsi="Times New Roman" w:cs="Times New Roman"/>
          <w:sz w:val="28"/>
          <w:szCs w:val="28"/>
        </w:rPr>
        <w:t>ión y desde luego de los magistrados y magistradas que integran el pleno de la Corporación».</w:t>
      </w:r>
      <w:r w:rsidRPr="008936AF">
        <w:rPr>
          <w:rStyle w:val="Refdenotaalpie"/>
          <w:rFonts w:ascii="Times New Roman" w:hAnsi="Times New Roman" w:cs="Times New Roman"/>
          <w:sz w:val="28"/>
          <w:szCs w:val="16"/>
        </w:rPr>
        <w:footnoteReference w:id="9"/>
      </w:r>
    </w:p>
    <w:p w:rsidR="00D35DCB" w:rsidRPr="008936AF" w:rsidRDefault="008936AF" w:rsidP="009268B9">
      <w:pPr>
        <w:pStyle w:val="Prrafodelista"/>
        <w:tabs>
          <w:tab w:val="left" w:pos="142"/>
        </w:tabs>
        <w:ind w:left="0" w:right="51"/>
        <w:jc w:val="both"/>
        <w:rPr>
          <w:rFonts w:ascii="Times New Roman" w:hAnsi="Times New Roman" w:cs="Times New Roman"/>
          <w:sz w:val="28"/>
          <w:szCs w:val="28"/>
        </w:rPr>
      </w:pPr>
    </w:p>
    <w:p w:rsidR="00C91684"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rPr>
      </w:pPr>
      <w:r w:rsidRPr="008936AF">
        <w:rPr>
          <w:rFonts w:ascii="Times New Roman" w:hAnsi="Times New Roman" w:cs="Times New Roman"/>
          <w:sz w:val="28"/>
          <w:szCs w:val="28"/>
        </w:rPr>
        <w:t>En este caso, la Sala Plena estima necesario evaluar de nuevo la aptitud sustantiva de cada uno de los cargos planteados por cuanto, e</w:t>
      </w:r>
      <w:r w:rsidRPr="008936AF">
        <w:rPr>
          <w:rFonts w:ascii="Times New Roman" w:hAnsi="Times New Roman" w:cs="Times New Roman"/>
          <w:sz w:val="28"/>
          <w:szCs w:val="28"/>
        </w:rPr>
        <w:t xml:space="preserve">n opinión del Ministerio Público, la Corte debe emitir un fallo inhibitorio toda vez que </w:t>
      </w:r>
      <w:r w:rsidRPr="008936AF">
        <w:rPr>
          <w:rFonts w:ascii="Times New Roman" w:hAnsi="Times New Roman" w:cs="Times New Roman"/>
          <w:sz w:val="28"/>
          <w:szCs w:val="28"/>
        </w:rPr>
        <w:t>los</w:t>
      </w:r>
      <w:r w:rsidRPr="008936AF">
        <w:rPr>
          <w:rFonts w:ascii="Times New Roman" w:hAnsi="Times New Roman" w:cs="Times New Roman"/>
          <w:sz w:val="28"/>
          <w:szCs w:val="28"/>
        </w:rPr>
        <w:t xml:space="preserve"> cargo</w:t>
      </w:r>
      <w:r w:rsidRPr="008936AF">
        <w:rPr>
          <w:rFonts w:ascii="Times New Roman" w:hAnsi="Times New Roman" w:cs="Times New Roman"/>
          <w:sz w:val="28"/>
          <w:szCs w:val="28"/>
        </w:rPr>
        <w:t>s</w:t>
      </w:r>
      <w:r w:rsidRPr="008936AF">
        <w:rPr>
          <w:rFonts w:ascii="Times New Roman" w:hAnsi="Times New Roman" w:cs="Times New Roman"/>
          <w:sz w:val="28"/>
          <w:szCs w:val="28"/>
        </w:rPr>
        <w:t xml:space="preserve"> de inconstitucionalidad formulado</w:t>
      </w:r>
      <w:r w:rsidRPr="008936AF">
        <w:rPr>
          <w:rFonts w:ascii="Times New Roman" w:hAnsi="Times New Roman" w:cs="Times New Roman"/>
          <w:sz w:val="28"/>
          <w:szCs w:val="28"/>
        </w:rPr>
        <w:t>s</w:t>
      </w:r>
      <w:r w:rsidRPr="008936AF">
        <w:rPr>
          <w:rFonts w:ascii="Times New Roman" w:hAnsi="Times New Roman" w:cs="Times New Roman"/>
          <w:sz w:val="28"/>
          <w:szCs w:val="28"/>
        </w:rPr>
        <w:t xml:space="preserve"> y relacionado</w:t>
      </w:r>
      <w:r w:rsidRPr="008936AF">
        <w:rPr>
          <w:rFonts w:ascii="Times New Roman" w:hAnsi="Times New Roman" w:cs="Times New Roman"/>
          <w:sz w:val="28"/>
          <w:szCs w:val="28"/>
        </w:rPr>
        <w:t>s</w:t>
      </w:r>
      <w:r w:rsidRPr="008936AF">
        <w:rPr>
          <w:rFonts w:ascii="Times New Roman" w:hAnsi="Times New Roman" w:cs="Times New Roman"/>
          <w:sz w:val="28"/>
          <w:szCs w:val="28"/>
        </w:rPr>
        <w:t xml:space="preserve"> con la vulneración de</w:t>
      </w:r>
      <w:r w:rsidRPr="008936AF">
        <w:rPr>
          <w:rFonts w:ascii="Times New Roman" w:hAnsi="Times New Roman" w:cs="Times New Roman"/>
          <w:sz w:val="28"/>
          <w:szCs w:val="28"/>
        </w:rPr>
        <w:t xml:space="preserve"> </w:t>
      </w:r>
      <w:r w:rsidRPr="008936AF">
        <w:rPr>
          <w:rFonts w:ascii="Times New Roman" w:hAnsi="Times New Roman" w:cs="Times New Roman"/>
          <w:sz w:val="28"/>
          <w:szCs w:val="28"/>
        </w:rPr>
        <w:t>l</w:t>
      </w:r>
      <w:r w:rsidRPr="008936AF">
        <w:rPr>
          <w:rFonts w:ascii="Times New Roman" w:hAnsi="Times New Roman" w:cs="Times New Roman"/>
          <w:sz w:val="28"/>
          <w:szCs w:val="28"/>
        </w:rPr>
        <w:t>os</w:t>
      </w:r>
      <w:r w:rsidRPr="008936AF">
        <w:rPr>
          <w:rFonts w:ascii="Times New Roman" w:hAnsi="Times New Roman" w:cs="Times New Roman"/>
          <w:sz w:val="28"/>
          <w:szCs w:val="28"/>
        </w:rPr>
        <w:t xml:space="preserve"> artículo</w:t>
      </w:r>
      <w:r w:rsidRPr="008936AF">
        <w:rPr>
          <w:rFonts w:ascii="Times New Roman" w:hAnsi="Times New Roman" w:cs="Times New Roman"/>
          <w:sz w:val="28"/>
          <w:szCs w:val="28"/>
        </w:rPr>
        <w:t xml:space="preserve">s 53 y </w:t>
      </w:r>
      <w:r w:rsidRPr="008936AF">
        <w:rPr>
          <w:rFonts w:ascii="Times New Roman" w:hAnsi="Times New Roman" w:cs="Times New Roman"/>
          <w:sz w:val="28"/>
          <w:szCs w:val="28"/>
        </w:rPr>
        <w:t>243 superior</w:t>
      </w:r>
      <w:r w:rsidRPr="008936AF">
        <w:rPr>
          <w:rFonts w:ascii="Times New Roman" w:hAnsi="Times New Roman" w:cs="Times New Roman"/>
          <w:sz w:val="28"/>
          <w:szCs w:val="28"/>
        </w:rPr>
        <w:t>es</w:t>
      </w:r>
      <w:r w:rsidRPr="008936AF">
        <w:rPr>
          <w:rFonts w:ascii="Times New Roman" w:hAnsi="Times New Roman" w:cs="Times New Roman"/>
          <w:sz w:val="28"/>
          <w:szCs w:val="28"/>
        </w:rPr>
        <w:t xml:space="preserve"> no satisface</w:t>
      </w:r>
      <w:r w:rsidRPr="008936AF">
        <w:rPr>
          <w:rFonts w:ascii="Times New Roman" w:hAnsi="Times New Roman" w:cs="Times New Roman"/>
          <w:sz w:val="28"/>
          <w:szCs w:val="28"/>
        </w:rPr>
        <w:t>n</w:t>
      </w:r>
      <w:r w:rsidRPr="008936AF">
        <w:rPr>
          <w:rFonts w:ascii="Times New Roman" w:hAnsi="Times New Roman" w:cs="Times New Roman"/>
          <w:sz w:val="28"/>
          <w:szCs w:val="28"/>
        </w:rPr>
        <w:t xml:space="preserve"> los requisitos </w:t>
      </w:r>
      <w:r w:rsidRPr="008936AF">
        <w:rPr>
          <w:rFonts w:ascii="Times New Roman" w:hAnsi="Times New Roman" w:cs="Times New Roman"/>
          <w:sz w:val="28"/>
          <w:szCs w:val="28"/>
        </w:rPr>
        <w:t>de certeza y suficien</w:t>
      </w:r>
      <w:r w:rsidRPr="008936AF">
        <w:rPr>
          <w:rFonts w:ascii="Times New Roman" w:hAnsi="Times New Roman" w:cs="Times New Roman"/>
          <w:sz w:val="28"/>
          <w:szCs w:val="28"/>
        </w:rPr>
        <w:t xml:space="preserve">cia </w:t>
      </w:r>
      <w:r w:rsidRPr="008936AF">
        <w:rPr>
          <w:rFonts w:ascii="Times New Roman" w:hAnsi="Times New Roman" w:cs="Times New Roman"/>
          <w:sz w:val="28"/>
          <w:szCs w:val="28"/>
        </w:rPr>
        <w:t xml:space="preserve">para acometer el control de constitucionalidad. </w:t>
      </w:r>
      <w:r w:rsidRPr="008936AF">
        <w:rPr>
          <w:rFonts w:ascii="Times New Roman" w:hAnsi="Times New Roman" w:cs="Times New Roman"/>
          <w:sz w:val="28"/>
          <w:szCs w:val="28"/>
        </w:rPr>
        <w:t xml:space="preserve">Lo anterior, al partir de una lectura incompleta y parcializada del precedente constitucional. </w:t>
      </w:r>
    </w:p>
    <w:p w:rsidR="00C91684" w:rsidRPr="008936AF" w:rsidRDefault="008936AF" w:rsidP="009268B9">
      <w:pPr>
        <w:tabs>
          <w:tab w:val="left" w:pos="142"/>
        </w:tabs>
        <w:ind w:right="51"/>
        <w:jc w:val="both"/>
        <w:rPr>
          <w:rFonts w:ascii="Times New Roman" w:hAnsi="Times New Roman" w:cs="Times New Roman"/>
          <w:sz w:val="28"/>
          <w:szCs w:val="28"/>
        </w:rPr>
      </w:pPr>
    </w:p>
    <w:p w:rsidR="00334794" w:rsidRPr="008936AF" w:rsidRDefault="008936AF" w:rsidP="009268B9">
      <w:pPr>
        <w:pStyle w:val="Prrafodelista"/>
        <w:numPr>
          <w:ilvl w:val="0"/>
          <w:numId w:val="1"/>
        </w:numPr>
        <w:ind w:left="0" w:firstLine="0"/>
        <w:jc w:val="both"/>
        <w:rPr>
          <w:rFonts w:ascii="Times New Roman" w:hAnsi="Times New Roman" w:cs="Times New Roman"/>
          <w:sz w:val="28"/>
          <w:szCs w:val="28"/>
        </w:rPr>
      </w:pPr>
      <w:r w:rsidRPr="008936AF">
        <w:rPr>
          <w:rFonts w:ascii="Times New Roman" w:hAnsi="Times New Roman" w:cs="Times New Roman"/>
          <w:sz w:val="28"/>
          <w:szCs w:val="28"/>
        </w:rPr>
        <w:t>En su jurisprudencia, l</w:t>
      </w:r>
      <w:r w:rsidRPr="008936AF">
        <w:rPr>
          <w:rFonts w:ascii="Times New Roman" w:hAnsi="Times New Roman" w:cs="Times New Roman"/>
          <w:sz w:val="28"/>
          <w:szCs w:val="28"/>
        </w:rPr>
        <w:t xml:space="preserve">a Corte Constitucional ha establecido los requisitos necesarios para la admisión de </w:t>
      </w:r>
      <w:r w:rsidRPr="008936AF">
        <w:rPr>
          <w:rFonts w:ascii="Times New Roman" w:hAnsi="Times New Roman" w:cs="Times New Roman"/>
          <w:sz w:val="28"/>
          <w:szCs w:val="28"/>
        </w:rPr>
        <w:t>la acción de inconstitucionalidad presentada por los ciudadanos, personas legitimadas para ello. En sentencia C-1052 de 2001</w:t>
      </w:r>
      <w:r w:rsidRPr="008936AF">
        <w:rPr>
          <w:rStyle w:val="Refdenotaalpie"/>
          <w:rFonts w:ascii="Times New Roman" w:hAnsi="Times New Roman" w:cs="Times New Roman"/>
          <w:sz w:val="28"/>
          <w:szCs w:val="28"/>
        </w:rPr>
        <w:footnoteReference w:id="10"/>
      </w:r>
      <w:r w:rsidRPr="008936AF">
        <w:rPr>
          <w:rFonts w:ascii="Times New Roman" w:hAnsi="Times New Roman" w:cs="Times New Roman"/>
          <w:sz w:val="28"/>
          <w:szCs w:val="28"/>
        </w:rPr>
        <w:t xml:space="preserve"> se puntualizó que las acciones de constitucionalidad requieren tres elementos fundamentales: “(1) </w:t>
      </w:r>
      <w:r w:rsidRPr="008936AF">
        <w:rPr>
          <w:rFonts w:ascii="Times New Roman" w:hAnsi="Times New Roman" w:cs="Times New Roman"/>
          <w:i/>
          <w:sz w:val="28"/>
          <w:szCs w:val="28"/>
        </w:rPr>
        <w:t>debe referir con precisión el ob</w:t>
      </w:r>
      <w:r w:rsidRPr="008936AF">
        <w:rPr>
          <w:rFonts w:ascii="Times New Roman" w:hAnsi="Times New Roman" w:cs="Times New Roman"/>
          <w:i/>
          <w:sz w:val="28"/>
          <w:szCs w:val="28"/>
        </w:rPr>
        <w:t>jeto demandado</w:t>
      </w:r>
      <w:r w:rsidRPr="008936AF">
        <w:rPr>
          <w:rFonts w:ascii="Times New Roman" w:hAnsi="Times New Roman" w:cs="Times New Roman"/>
          <w:sz w:val="28"/>
          <w:szCs w:val="28"/>
        </w:rPr>
        <w:t xml:space="preserve">, (2) el concepto de la violación y (3) </w:t>
      </w:r>
      <w:r w:rsidRPr="008936AF">
        <w:rPr>
          <w:rFonts w:ascii="Times New Roman" w:hAnsi="Times New Roman" w:cs="Times New Roman"/>
          <w:i/>
          <w:sz w:val="28"/>
          <w:szCs w:val="28"/>
        </w:rPr>
        <w:t>la razón por la cual la Corte es competente para conocer del asunto</w:t>
      </w:r>
      <w:r w:rsidRPr="008936AF">
        <w:rPr>
          <w:rFonts w:ascii="Times New Roman" w:hAnsi="Times New Roman" w:cs="Times New Roman"/>
          <w:sz w:val="28"/>
          <w:szCs w:val="28"/>
        </w:rPr>
        <w:t xml:space="preserve"> (art. 2, Decreto 2067 de 1991; y jurisprudencia constitucional)”</w:t>
      </w:r>
      <w:r w:rsidRPr="008936AF">
        <w:rPr>
          <w:rStyle w:val="Refdenotaalpie"/>
          <w:rFonts w:ascii="Times New Roman" w:hAnsi="Times New Roman" w:cs="Times New Roman"/>
          <w:sz w:val="28"/>
          <w:szCs w:val="28"/>
        </w:rPr>
        <w:footnoteReference w:id="11"/>
      </w:r>
      <w:r w:rsidRPr="008936AF">
        <w:rPr>
          <w:rFonts w:ascii="Times New Roman" w:hAnsi="Times New Roman" w:cs="Times New Roman"/>
          <w:sz w:val="28"/>
          <w:szCs w:val="28"/>
        </w:rPr>
        <w:t>. El segundo de estos elementos (el concepto de la violación), debe o</w:t>
      </w:r>
      <w:r w:rsidRPr="008936AF">
        <w:rPr>
          <w:rFonts w:ascii="Times New Roman" w:hAnsi="Times New Roman" w:cs="Times New Roman"/>
          <w:sz w:val="28"/>
          <w:szCs w:val="28"/>
        </w:rPr>
        <w:t>bservar, a su vez, tres condiciones mínimas: (i) “</w:t>
      </w:r>
      <w:r w:rsidRPr="008936AF">
        <w:rPr>
          <w:rFonts w:ascii="Times New Roman" w:hAnsi="Times New Roman" w:cs="Times New Roman"/>
          <w:i/>
          <w:sz w:val="28"/>
          <w:szCs w:val="28"/>
        </w:rPr>
        <w:t xml:space="preserve">el señalamiento de las normas constitucionales que consideren infringidas “(art. 2, num.2, Decreto 2067 de 1991); </w:t>
      </w:r>
      <w:r w:rsidRPr="008936AF">
        <w:rPr>
          <w:rFonts w:ascii="Times New Roman" w:hAnsi="Times New Roman" w:cs="Times New Roman"/>
          <w:sz w:val="28"/>
          <w:szCs w:val="28"/>
        </w:rPr>
        <w:t>(ii)</w:t>
      </w:r>
      <w:r w:rsidRPr="008936AF">
        <w:rPr>
          <w:rFonts w:ascii="Times New Roman" w:hAnsi="Times New Roman" w:cs="Times New Roman"/>
          <w:i/>
          <w:sz w:val="28"/>
          <w:szCs w:val="28"/>
        </w:rPr>
        <w:t xml:space="preserve"> “la exposición del contenido normativo de las disposiciones constitucionales que riñe c</w:t>
      </w:r>
      <w:r w:rsidRPr="008936AF">
        <w:rPr>
          <w:rFonts w:ascii="Times New Roman" w:hAnsi="Times New Roman" w:cs="Times New Roman"/>
          <w:i/>
          <w:sz w:val="28"/>
          <w:szCs w:val="28"/>
        </w:rPr>
        <w:t>on las normas demandadas “</w:t>
      </w:r>
      <w:r w:rsidRPr="008936AF">
        <w:rPr>
          <w:rStyle w:val="Refdenotaalpie"/>
          <w:rFonts w:ascii="Times New Roman" w:hAnsi="Times New Roman" w:cs="Times New Roman"/>
          <w:i/>
          <w:sz w:val="28"/>
          <w:szCs w:val="28"/>
        </w:rPr>
        <w:footnoteReference w:id="12"/>
      </w:r>
      <w:r w:rsidRPr="008936AF">
        <w:rPr>
          <w:rFonts w:ascii="Times New Roman" w:hAnsi="Times New Roman" w:cs="Times New Roman"/>
          <w:i/>
          <w:sz w:val="28"/>
          <w:szCs w:val="28"/>
        </w:rPr>
        <w:t xml:space="preserve"> </w:t>
      </w:r>
      <w:r w:rsidRPr="008936AF">
        <w:rPr>
          <w:rFonts w:ascii="Times New Roman" w:hAnsi="Times New Roman" w:cs="Times New Roman"/>
          <w:sz w:val="28"/>
          <w:szCs w:val="28"/>
        </w:rPr>
        <w:t>y (iii) exponer las razones por las cuales las disposiciones normativas demandadas violan la Constitución, las cuales deberán ser, al menos, “</w:t>
      </w:r>
      <w:r w:rsidRPr="008936AF">
        <w:rPr>
          <w:rFonts w:ascii="Times New Roman" w:hAnsi="Times New Roman" w:cs="Times New Roman"/>
          <w:i/>
          <w:sz w:val="28"/>
          <w:szCs w:val="28"/>
        </w:rPr>
        <w:t>claras, ciertas, específicas, pertinentes y suficientes</w:t>
      </w:r>
      <w:r w:rsidRPr="008936AF">
        <w:rPr>
          <w:rFonts w:ascii="Times New Roman" w:hAnsi="Times New Roman" w:cs="Times New Roman"/>
          <w:sz w:val="28"/>
          <w:szCs w:val="28"/>
        </w:rPr>
        <w:t>”.</w:t>
      </w:r>
      <w:r w:rsidRPr="008936AF">
        <w:rPr>
          <w:rStyle w:val="Refdenotaalpie"/>
          <w:rFonts w:ascii="Times New Roman" w:hAnsi="Times New Roman" w:cs="Times New Roman"/>
          <w:sz w:val="28"/>
          <w:szCs w:val="28"/>
        </w:rPr>
        <w:footnoteReference w:id="13"/>
      </w:r>
      <w:r w:rsidRPr="008936AF">
        <w:rPr>
          <w:rFonts w:ascii="Times New Roman" w:hAnsi="Times New Roman" w:cs="Times New Roman"/>
          <w:sz w:val="28"/>
          <w:szCs w:val="28"/>
        </w:rPr>
        <w:t xml:space="preserve"> </w:t>
      </w:r>
    </w:p>
    <w:p w:rsidR="00334794" w:rsidRPr="008936AF" w:rsidRDefault="008936AF" w:rsidP="009268B9">
      <w:pPr>
        <w:pStyle w:val="Prrafodelista"/>
        <w:ind w:left="0"/>
        <w:jc w:val="both"/>
        <w:rPr>
          <w:rFonts w:ascii="Times New Roman" w:hAnsi="Times New Roman" w:cs="Times New Roman"/>
          <w:sz w:val="28"/>
          <w:szCs w:val="28"/>
        </w:rPr>
      </w:pPr>
    </w:p>
    <w:p w:rsidR="00334794"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Dichas características, q</w:t>
      </w:r>
      <w:r w:rsidRPr="008936AF">
        <w:rPr>
          <w:rFonts w:ascii="Times New Roman" w:hAnsi="Times New Roman" w:cs="Times New Roman"/>
          <w:sz w:val="28"/>
          <w:szCs w:val="28"/>
          <w:lang w:val="es-ES"/>
        </w:rPr>
        <w:t xml:space="preserve">ue debe reunir el concepto de violación formulado por quien demanda la norma, fueron definidas por la Corte. En cuanto al requisito de la </w:t>
      </w:r>
      <w:r w:rsidRPr="008936AF">
        <w:rPr>
          <w:rFonts w:ascii="Times New Roman" w:hAnsi="Times New Roman" w:cs="Times New Roman"/>
          <w:i/>
          <w:sz w:val="28"/>
          <w:szCs w:val="28"/>
          <w:lang w:val="es-ES"/>
        </w:rPr>
        <w:t>claridad</w:t>
      </w:r>
      <w:r w:rsidRPr="008936AF">
        <w:rPr>
          <w:rFonts w:ascii="Times New Roman" w:hAnsi="Times New Roman" w:cs="Times New Roman"/>
          <w:sz w:val="28"/>
          <w:szCs w:val="28"/>
          <w:lang w:val="es-ES"/>
        </w:rPr>
        <w:t>, indicó esta Corporación que el mismo se refiere a la existencia de un hilo conductor en la argumentación, qu</w:t>
      </w:r>
      <w:r w:rsidRPr="008936AF">
        <w:rPr>
          <w:rFonts w:ascii="Times New Roman" w:hAnsi="Times New Roman" w:cs="Times New Roman"/>
          <w:sz w:val="28"/>
          <w:szCs w:val="28"/>
          <w:lang w:val="es-ES"/>
        </w:rPr>
        <w:t>e permita al lector la comprensión del contenido en su demanda</w:t>
      </w:r>
      <w:r w:rsidRPr="008936AF">
        <w:rPr>
          <w:rFonts w:ascii="Times New Roman" w:hAnsi="Times New Roman" w:cs="Times New Roman"/>
          <w:sz w:val="28"/>
          <w:vertAlign w:val="superscript"/>
          <w:lang w:val="es-ES"/>
        </w:rPr>
        <w:footnoteReference w:id="14"/>
      </w:r>
      <w:r w:rsidRPr="008936AF">
        <w:rPr>
          <w:rFonts w:ascii="Times New Roman" w:hAnsi="Times New Roman" w:cs="Times New Roman"/>
          <w:sz w:val="28"/>
          <w:szCs w:val="28"/>
          <w:lang w:val="es-ES"/>
        </w:rPr>
        <w:t>.</w:t>
      </w:r>
      <w:r w:rsidRPr="008936AF">
        <w:rPr>
          <w:rFonts w:ascii="Times New Roman" w:hAnsi="Times New Roman" w:cs="Times New Roman"/>
          <w:sz w:val="28"/>
          <w:szCs w:val="28"/>
          <w:lang w:val="es-ES"/>
        </w:rPr>
        <w:t xml:space="preserve"> La condición de </w:t>
      </w:r>
      <w:r w:rsidRPr="008936AF">
        <w:rPr>
          <w:rFonts w:ascii="Times New Roman" w:hAnsi="Times New Roman" w:cs="Times New Roman"/>
          <w:i/>
          <w:sz w:val="28"/>
          <w:szCs w:val="28"/>
          <w:lang w:val="es-ES"/>
        </w:rPr>
        <w:t xml:space="preserve">certeza, </w:t>
      </w:r>
      <w:r w:rsidRPr="008936AF">
        <w:rPr>
          <w:rFonts w:ascii="Times New Roman" w:hAnsi="Times New Roman" w:cs="Times New Roman"/>
          <w:sz w:val="28"/>
          <w:szCs w:val="28"/>
          <w:lang w:val="es-ES"/>
        </w:rPr>
        <w:t>por su lado,</w:t>
      </w:r>
      <w:r w:rsidRPr="008936AF">
        <w:rPr>
          <w:rFonts w:ascii="Times New Roman" w:hAnsi="Times New Roman" w:cs="Times New Roman"/>
          <w:i/>
          <w:sz w:val="28"/>
          <w:szCs w:val="28"/>
          <w:lang w:val="es-ES"/>
        </w:rPr>
        <w:t xml:space="preserve"> </w:t>
      </w:r>
      <w:r w:rsidRPr="008936AF">
        <w:rPr>
          <w:rFonts w:ascii="Times New Roman" w:hAnsi="Times New Roman" w:cs="Times New Roman"/>
          <w:sz w:val="28"/>
          <w:szCs w:val="28"/>
          <w:lang w:val="es-ES"/>
        </w:rPr>
        <w:t xml:space="preserve">exige al actor presentar cargos contra una proposición jurídica real, existente y que tenga conexión con el texto de la norma acusada, y no una simple </w:t>
      </w:r>
      <w:r w:rsidRPr="008936AF">
        <w:rPr>
          <w:rFonts w:ascii="Times New Roman" w:hAnsi="Times New Roman" w:cs="Times New Roman"/>
          <w:sz w:val="28"/>
          <w:szCs w:val="28"/>
          <w:lang w:val="es-ES"/>
        </w:rPr>
        <w:t>deducción del demandante</w:t>
      </w:r>
      <w:r w:rsidRPr="008936AF">
        <w:rPr>
          <w:rFonts w:ascii="Times New Roman" w:hAnsi="Times New Roman" w:cs="Times New Roman"/>
          <w:sz w:val="28"/>
          <w:vertAlign w:val="superscript"/>
          <w:lang w:val="es-ES"/>
        </w:rPr>
        <w:footnoteReference w:id="15"/>
      </w:r>
      <w:r w:rsidRPr="008936AF">
        <w:rPr>
          <w:rFonts w:ascii="Times New Roman" w:hAnsi="Times New Roman" w:cs="Times New Roman"/>
          <w:sz w:val="28"/>
          <w:szCs w:val="28"/>
          <w:lang w:val="es-ES"/>
        </w:rPr>
        <w:t>.</w:t>
      </w:r>
      <w:r w:rsidRPr="008936AF">
        <w:rPr>
          <w:rFonts w:ascii="Times New Roman" w:hAnsi="Times New Roman" w:cs="Times New Roman"/>
          <w:sz w:val="28"/>
          <w:szCs w:val="28"/>
          <w:lang w:val="es-ES"/>
        </w:rPr>
        <w:t xml:space="preserve"> La exigencia de </w:t>
      </w:r>
      <w:r w:rsidRPr="008936AF">
        <w:rPr>
          <w:rFonts w:ascii="Times New Roman" w:hAnsi="Times New Roman" w:cs="Times New Roman"/>
          <w:i/>
          <w:sz w:val="28"/>
          <w:szCs w:val="28"/>
          <w:lang w:val="es-ES"/>
        </w:rPr>
        <w:t>especificidad</w:t>
      </w:r>
      <w:r w:rsidRPr="008936AF">
        <w:rPr>
          <w:rFonts w:ascii="Times New Roman" w:hAnsi="Times New Roman" w:cs="Times New Roman"/>
          <w:sz w:val="28"/>
          <w:szCs w:val="28"/>
          <w:lang w:val="es-ES"/>
        </w:rPr>
        <w:t xml:space="preserve"> hace alusión a que el demandante debe formular, al menos, un cargo constitucional concreto y directamente relacionado con las disposiciones que se acusan, pues exponer motivos vagos o indeterminados </w:t>
      </w:r>
      <w:r w:rsidRPr="008936AF">
        <w:rPr>
          <w:rFonts w:ascii="Times New Roman" w:hAnsi="Times New Roman" w:cs="Times New Roman"/>
          <w:sz w:val="28"/>
          <w:szCs w:val="28"/>
          <w:lang w:val="es-ES"/>
        </w:rPr>
        <w:t>impediría un juicio de constitucionalidad.</w:t>
      </w:r>
      <w:r w:rsidRPr="008936AF">
        <w:rPr>
          <w:rFonts w:ascii="Times New Roman" w:hAnsi="Times New Roman" w:cs="Times New Roman"/>
          <w:sz w:val="28"/>
          <w:vertAlign w:val="superscript"/>
          <w:lang w:val="es-ES"/>
        </w:rPr>
        <w:footnoteReference w:id="16"/>
      </w:r>
      <w:r w:rsidRPr="008936AF">
        <w:rPr>
          <w:rFonts w:ascii="Times New Roman" w:hAnsi="Times New Roman" w:cs="Times New Roman"/>
          <w:sz w:val="28"/>
          <w:szCs w:val="28"/>
          <w:lang w:val="es-ES"/>
        </w:rPr>
        <w:t xml:space="preserve"> En cuanto a la </w:t>
      </w:r>
      <w:r w:rsidRPr="008936AF">
        <w:rPr>
          <w:rFonts w:ascii="Times New Roman" w:hAnsi="Times New Roman" w:cs="Times New Roman"/>
          <w:i/>
          <w:sz w:val="28"/>
          <w:szCs w:val="28"/>
          <w:lang w:val="es-ES"/>
        </w:rPr>
        <w:t xml:space="preserve">pertinencia, </w:t>
      </w:r>
      <w:r w:rsidRPr="008936AF">
        <w:rPr>
          <w:rFonts w:ascii="Times New Roman" w:hAnsi="Times New Roman" w:cs="Times New Roman"/>
          <w:sz w:val="28"/>
          <w:szCs w:val="28"/>
          <w:lang w:val="es-ES"/>
        </w:rPr>
        <w:t xml:space="preserve">la Corte ha establecido que la misma se relaciona con la existencia de reproches basados en la confrontación del contenido de una norma superior con aquel de la disposición demandada, </w:t>
      </w:r>
      <w:r w:rsidRPr="008936AF">
        <w:rPr>
          <w:rFonts w:ascii="Times New Roman" w:hAnsi="Times New Roman" w:cs="Times New Roman"/>
          <w:sz w:val="28"/>
          <w:szCs w:val="28"/>
          <w:lang w:val="es-ES"/>
        </w:rPr>
        <w:t>por lo cual no puede tratarse de argumentos de orden legal o doctrinario, o de puntos de vista subjetivos del accionante</w:t>
      </w:r>
      <w:r w:rsidRPr="008936AF">
        <w:rPr>
          <w:rFonts w:ascii="Times New Roman" w:hAnsi="Times New Roman" w:cs="Times New Roman"/>
          <w:sz w:val="28"/>
          <w:vertAlign w:val="superscript"/>
          <w:lang w:val="es-ES"/>
        </w:rPr>
        <w:footnoteReference w:id="17"/>
      </w:r>
      <w:r w:rsidRPr="008936AF">
        <w:rPr>
          <w:rFonts w:ascii="Times New Roman" w:hAnsi="Times New Roman" w:cs="Times New Roman"/>
          <w:sz w:val="28"/>
          <w:szCs w:val="28"/>
          <w:lang w:val="es-ES"/>
        </w:rPr>
        <w:t xml:space="preserve">. Con respecto a la </w:t>
      </w:r>
      <w:r w:rsidRPr="008936AF">
        <w:rPr>
          <w:rFonts w:ascii="Times New Roman" w:hAnsi="Times New Roman" w:cs="Times New Roman"/>
          <w:i/>
          <w:sz w:val="28"/>
          <w:szCs w:val="28"/>
          <w:lang w:val="es-ES"/>
        </w:rPr>
        <w:t xml:space="preserve">suficiencia, </w:t>
      </w:r>
      <w:r w:rsidRPr="008936AF">
        <w:rPr>
          <w:rFonts w:ascii="Times New Roman" w:hAnsi="Times New Roman" w:cs="Times New Roman"/>
          <w:sz w:val="28"/>
          <w:szCs w:val="28"/>
          <w:lang w:val="es-ES"/>
        </w:rPr>
        <w:t>e</w:t>
      </w:r>
      <w:r w:rsidRPr="008936AF">
        <w:rPr>
          <w:rFonts w:ascii="Times New Roman" w:hAnsi="Times New Roman" w:cs="Times New Roman"/>
          <w:sz w:val="28"/>
          <w:szCs w:val="28"/>
          <w:lang w:val="es-ES"/>
        </w:rPr>
        <w:t>sta guarda relación con la exposición de los elementos de juicio necesarios para llevar a cabo un jui</w:t>
      </w:r>
      <w:r w:rsidRPr="008936AF">
        <w:rPr>
          <w:rFonts w:ascii="Times New Roman" w:hAnsi="Times New Roman" w:cs="Times New Roman"/>
          <w:sz w:val="28"/>
          <w:szCs w:val="28"/>
          <w:lang w:val="es-ES"/>
        </w:rPr>
        <w:t>cio de constitucionalidad y con el empleo de argumentos que despierten una duda mínima</w:t>
      </w:r>
      <w:r w:rsidRPr="008936AF">
        <w:rPr>
          <w:rFonts w:ascii="Times New Roman" w:hAnsi="Times New Roman" w:cs="Times New Roman"/>
          <w:i/>
          <w:sz w:val="28"/>
          <w:szCs w:val="28"/>
          <w:lang w:val="es-ES"/>
        </w:rPr>
        <w:t xml:space="preserve"> </w:t>
      </w:r>
      <w:r w:rsidRPr="008936AF">
        <w:rPr>
          <w:rFonts w:ascii="Times New Roman" w:hAnsi="Times New Roman" w:cs="Times New Roman"/>
          <w:sz w:val="28"/>
          <w:szCs w:val="28"/>
          <w:lang w:val="es-ES"/>
        </w:rPr>
        <w:t>sobre la constitucionalidad de la disposición atacada, logrando así que la demanda tenga un alcance persuasivo</w:t>
      </w:r>
      <w:r w:rsidRPr="008936AF">
        <w:rPr>
          <w:rFonts w:ascii="Times New Roman" w:hAnsi="Times New Roman" w:cs="Times New Roman"/>
          <w:sz w:val="28"/>
          <w:vertAlign w:val="superscript"/>
          <w:lang w:val="es-ES"/>
        </w:rPr>
        <w:footnoteReference w:id="18"/>
      </w:r>
      <w:r w:rsidRPr="008936AF">
        <w:rPr>
          <w:rFonts w:ascii="Times New Roman" w:hAnsi="Times New Roman" w:cs="Times New Roman"/>
          <w:sz w:val="28"/>
          <w:szCs w:val="28"/>
          <w:lang w:val="es-ES"/>
        </w:rPr>
        <w:t xml:space="preserve">. </w:t>
      </w:r>
    </w:p>
    <w:p w:rsidR="00334794" w:rsidRPr="008936AF" w:rsidRDefault="008936AF" w:rsidP="009268B9">
      <w:pPr>
        <w:tabs>
          <w:tab w:val="left" w:pos="142"/>
        </w:tabs>
        <w:ind w:right="51"/>
        <w:jc w:val="both"/>
        <w:rPr>
          <w:rFonts w:ascii="Times New Roman" w:hAnsi="Times New Roman" w:cs="Times New Roman"/>
          <w:sz w:val="28"/>
          <w:szCs w:val="28"/>
          <w:lang w:val="es-ES"/>
        </w:rPr>
      </w:pPr>
    </w:p>
    <w:p w:rsidR="00D35DCB" w:rsidRPr="008936AF" w:rsidRDefault="008936AF" w:rsidP="009268B9">
      <w:pPr>
        <w:tabs>
          <w:tab w:val="left" w:pos="142"/>
        </w:tabs>
        <w:ind w:right="51"/>
        <w:jc w:val="both"/>
        <w:rPr>
          <w:rFonts w:ascii="Times New Roman" w:hAnsi="Times New Roman" w:cs="Times New Roman"/>
          <w:i/>
          <w:sz w:val="28"/>
          <w:szCs w:val="28"/>
          <w:lang w:val="es-ES"/>
        </w:rPr>
      </w:pPr>
      <w:r w:rsidRPr="008936AF">
        <w:rPr>
          <w:rFonts w:ascii="Times New Roman" w:hAnsi="Times New Roman" w:cs="Times New Roman"/>
          <w:i/>
          <w:sz w:val="28"/>
          <w:szCs w:val="28"/>
          <w:lang w:val="es-ES"/>
        </w:rPr>
        <w:t>Requisitos de las demandas de inconstitucionalidad con</w:t>
      </w:r>
      <w:r w:rsidRPr="008936AF">
        <w:rPr>
          <w:rFonts w:ascii="Times New Roman" w:hAnsi="Times New Roman" w:cs="Times New Roman"/>
          <w:i/>
          <w:sz w:val="28"/>
          <w:szCs w:val="28"/>
          <w:lang w:val="es-ES"/>
        </w:rPr>
        <w:t>tra interpretaciones judiciales y administrativas. Reiteración de jurisprudencia</w:t>
      </w:r>
    </w:p>
    <w:p w:rsidR="00D35DCB" w:rsidRPr="008936AF" w:rsidRDefault="008936AF" w:rsidP="009268B9">
      <w:pPr>
        <w:tabs>
          <w:tab w:val="left" w:pos="142"/>
        </w:tabs>
        <w:ind w:right="51"/>
        <w:jc w:val="both"/>
        <w:rPr>
          <w:rFonts w:ascii="Times New Roman" w:hAnsi="Times New Roman" w:cs="Times New Roman"/>
          <w:sz w:val="28"/>
          <w:szCs w:val="28"/>
          <w:lang w:val="es-ES"/>
        </w:rPr>
      </w:pPr>
    </w:p>
    <w:p w:rsidR="008E0D9E"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iCs/>
          <w:sz w:val="28"/>
          <w:szCs w:val="28"/>
        </w:rPr>
      </w:pPr>
      <w:r w:rsidRPr="008936AF">
        <w:rPr>
          <w:rFonts w:ascii="Times New Roman" w:hAnsi="Times New Roman" w:cs="Times New Roman"/>
          <w:iCs/>
          <w:sz w:val="28"/>
          <w:szCs w:val="28"/>
        </w:rPr>
        <w:t>De manera reiterada, la Corte Constitucional</w:t>
      </w:r>
      <w:r w:rsidRPr="008936AF">
        <w:rPr>
          <w:rStyle w:val="Refdenotaalpie"/>
          <w:rFonts w:ascii="Times New Roman" w:hAnsi="Times New Roman" w:cs="Times New Roman"/>
          <w:iCs/>
          <w:sz w:val="28"/>
          <w:szCs w:val="16"/>
        </w:rPr>
        <w:footnoteReference w:id="19"/>
      </w:r>
      <w:r w:rsidRPr="008936AF">
        <w:rPr>
          <w:rFonts w:ascii="Times New Roman" w:hAnsi="Times New Roman" w:cs="Times New Roman"/>
          <w:iCs/>
          <w:sz w:val="28"/>
          <w:szCs w:val="28"/>
        </w:rPr>
        <w:t xml:space="preserve"> ha señalado que, en principio, el juez constitucional no es competente para «resolver controversias derivadas del proceso de apl</w:t>
      </w:r>
      <w:r w:rsidRPr="008936AF">
        <w:rPr>
          <w:rFonts w:ascii="Times New Roman" w:hAnsi="Times New Roman" w:cs="Times New Roman"/>
          <w:iCs/>
          <w:sz w:val="28"/>
          <w:szCs w:val="28"/>
        </w:rPr>
        <w:t>icación o interpretación de la ley, pues el objeto principal del control que ejerce la Corte a través de la acción pública de inconstitucionalidad es el de realizar un juicio abstracto de confrontación entre las normas acusadas y la Carta Política, para de</w:t>
      </w:r>
      <w:r w:rsidRPr="008936AF">
        <w:rPr>
          <w:rFonts w:ascii="Times New Roman" w:hAnsi="Times New Roman" w:cs="Times New Roman"/>
          <w:iCs/>
          <w:sz w:val="28"/>
          <w:szCs w:val="28"/>
        </w:rPr>
        <w:t>rivar de allí su conformidad u oposición con el texto constitucional»</w:t>
      </w:r>
      <w:r w:rsidRPr="008936AF">
        <w:rPr>
          <w:rStyle w:val="Refdenotaalpie"/>
          <w:rFonts w:ascii="Times New Roman" w:hAnsi="Times New Roman" w:cs="Times New Roman"/>
          <w:iCs/>
          <w:sz w:val="28"/>
          <w:szCs w:val="16"/>
        </w:rPr>
        <w:footnoteReference w:id="20"/>
      </w:r>
      <w:r w:rsidRPr="008936AF">
        <w:rPr>
          <w:rFonts w:ascii="Times New Roman" w:hAnsi="Times New Roman" w:cs="Times New Roman"/>
          <w:iCs/>
          <w:sz w:val="28"/>
          <w:szCs w:val="28"/>
        </w:rPr>
        <w:t xml:space="preserve">. </w:t>
      </w:r>
    </w:p>
    <w:p w:rsidR="008E0D9E" w:rsidRPr="008936AF" w:rsidRDefault="008936AF" w:rsidP="009268B9">
      <w:pPr>
        <w:tabs>
          <w:tab w:val="left" w:pos="142"/>
        </w:tabs>
        <w:ind w:right="51"/>
        <w:jc w:val="both"/>
        <w:rPr>
          <w:rFonts w:ascii="Times New Roman" w:hAnsi="Times New Roman" w:cs="Times New Roman"/>
          <w:iCs/>
          <w:sz w:val="28"/>
          <w:szCs w:val="28"/>
        </w:rPr>
      </w:pPr>
    </w:p>
    <w:p w:rsidR="008E0D9E"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iCs/>
          <w:sz w:val="28"/>
          <w:szCs w:val="28"/>
        </w:rPr>
      </w:pPr>
      <w:r w:rsidRPr="008936AF">
        <w:rPr>
          <w:rFonts w:ascii="Times New Roman" w:hAnsi="Times New Roman" w:cs="Times New Roman"/>
          <w:iCs/>
          <w:sz w:val="28"/>
          <w:szCs w:val="28"/>
        </w:rPr>
        <w:t>No obstante, en ciertas ocasiones la Corte ha reconocido su competencia para pronunciarse respecto de la interpretación de las normas jurídicas, siempre y cuando la misma involucre p</w:t>
      </w:r>
      <w:r w:rsidRPr="008936AF">
        <w:rPr>
          <w:rFonts w:ascii="Times New Roman" w:hAnsi="Times New Roman" w:cs="Times New Roman"/>
          <w:iCs/>
          <w:sz w:val="28"/>
          <w:szCs w:val="28"/>
        </w:rPr>
        <w:t xml:space="preserve">roblemas de </w:t>
      </w:r>
      <w:r w:rsidRPr="008936AF">
        <w:rPr>
          <w:rFonts w:ascii="Times New Roman" w:hAnsi="Times New Roman" w:cs="Times New Roman"/>
          <w:iCs/>
          <w:sz w:val="28"/>
          <w:szCs w:val="28"/>
        </w:rPr>
        <w:t xml:space="preserve">exégesis </w:t>
      </w:r>
      <w:r w:rsidRPr="008936AF">
        <w:rPr>
          <w:rFonts w:ascii="Times New Roman" w:hAnsi="Times New Roman" w:cs="Times New Roman"/>
          <w:iCs/>
          <w:sz w:val="28"/>
          <w:szCs w:val="28"/>
        </w:rPr>
        <w:t>constitucional. En la sentencia C-354 de 2015 este Tribunal señaló al respecto que «cabe el pronunciamiento de la Corte en los casos en que existan interpretaciones judiciales o administrativas contrarias a la Constitución y que se pon</w:t>
      </w:r>
      <w:r w:rsidRPr="008936AF">
        <w:rPr>
          <w:rFonts w:ascii="Times New Roman" w:hAnsi="Times New Roman" w:cs="Times New Roman"/>
          <w:iCs/>
          <w:sz w:val="28"/>
          <w:szCs w:val="28"/>
        </w:rPr>
        <w:t>gan en evidencia mediante una demanda de inconstitucionalidad, siempre que se cumplan con las exigencias constitucionales, legales y jurisprudenciales, cuya verificación es necesaria a objeto de evitar el riesgo de interferir, de manera indebida, en el ámb</w:t>
      </w:r>
      <w:r w:rsidRPr="008936AF">
        <w:rPr>
          <w:rFonts w:ascii="Times New Roman" w:hAnsi="Times New Roman" w:cs="Times New Roman"/>
          <w:iCs/>
          <w:sz w:val="28"/>
          <w:szCs w:val="28"/>
        </w:rPr>
        <w:t>ito de competencia de otros poderes públicos, irrespetando el principio de legalidad y de separación de poderes».</w:t>
      </w:r>
    </w:p>
    <w:p w:rsidR="00D35DCB" w:rsidRPr="008936AF" w:rsidRDefault="008936AF" w:rsidP="009268B9">
      <w:pPr>
        <w:tabs>
          <w:tab w:val="left" w:pos="142"/>
        </w:tabs>
        <w:ind w:right="51"/>
        <w:jc w:val="both"/>
        <w:rPr>
          <w:rFonts w:ascii="Times New Roman" w:hAnsi="Times New Roman" w:cs="Times New Roman"/>
          <w:sz w:val="28"/>
          <w:szCs w:val="28"/>
          <w:lang w:val="es-ES"/>
        </w:rPr>
      </w:pPr>
    </w:p>
    <w:p w:rsidR="008E0D9E"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iCs/>
          <w:sz w:val="28"/>
          <w:szCs w:val="28"/>
        </w:rPr>
      </w:pPr>
      <w:r w:rsidRPr="008936AF">
        <w:rPr>
          <w:rFonts w:ascii="Times New Roman" w:hAnsi="Times New Roman" w:cs="Times New Roman"/>
          <w:iCs/>
          <w:sz w:val="28"/>
          <w:szCs w:val="28"/>
        </w:rPr>
        <w:t>Igualmente, en la sentencia C-259 de 2015 la Corte indicó que «[E]n lo atinente a la teoría del derecho viviente el fundamento que en ella en</w:t>
      </w:r>
      <w:r w:rsidRPr="008936AF">
        <w:rPr>
          <w:rFonts w:ascii="Times New Roman" w:hAnsi="Times New Roman" w:cs="Times New Roman"/>
          <w:iCs/>
          <w:sz w:val="28"/>
          <w:szCs w:val="28"/>
        </w:rPr>
        <w:t>cuentra el control constitucional de interpretaciones judiciales radica en que la mencionada teoría propicia la realización de un juicio de constitucionalidad basado en el contexto dentro del cual la disposición “ha sido interpretada” o “ha vivido”, de mod</w:t>
      </w:r>
      <w:r w:rsidRPr="008936AF">
        <w:rPr>
          <w:rFonts w:ascii="Times New Roman" w:hAnsi="Times New Roman" w:cs="Times New Roman"/>
          <w:iCs/>
          <w:sz w:val="28"/>
          <w:szCs w:val="28"/>
        </w:rPr>
        <w:t>o que el pronunciamiento de la Corte no se funde en los sentidos hipotéticos de la disposición controlada, sino en su “sentido real” conferido por “la jurisdicción responsable de aplicarla”, de modo que si ese sentido real está “claramente establecido y of</w:t>
      </w:r>
      <w:r w:rsidRPr="008936AF">
        <w:rPr>
          <w:rFonts w:ascii="Times New Roman" w:hAnsi="Times New Roman" w:cs="Times New Roman"/>
          <w:iCs/>
          <w:sz w:val="28"/>
          <w:szCs w:val="28"/>
        </w:rPr>
        <w:t>rece rasgos de coherencia y unidad”, la Corte debe admitirlo “como el sentido en que dicha preceptiva ha de ser interpretada, al momento de decidir sobre su exequibilidad”»</w:t>
      </w:r>
      <w:r w:rsidRPr="008936AF">
        <w:rPr>
          <w:rStyle w:val="Refdenotaalpie"/>
          <w:rFonts w:ascii="Times New Roman" w:hAnsi="Times New Roman" w:cs="Times New Roman"/>
          <w:iCs/>
          <w:sz w:val="28"/>
          <w:szCs w:val="16"/>
        </w:rPr>
        <w:footnoteReference w:id="21"/>
      </w:r>
      <w:r w:rsidRPr="008936AF">
        <w:rPr>
          <w:rFonts w:ascii="Times New Roman" w:hAnsi="Times New Roman" w:cs="Times New Roman"/>
          <w:iCs/>
          <w:sz w:val="28"/>
          <w:szCs w:val="28"/>
        </w:rPr>
        <w:t>.</w:t>
      </w:r>
    </w:p>
    <w:p w:rsidR="008E0D9E" w:rsidRPr="008936AF" w:rsidRDefault="008936AF" w:rsidP="009268B9">
      <w:pPr>
        <w:tabs>
          <w:tab w:val="left" w:pos="142"/>
        </w:tabs>
        <w:ind w:right="51"/>
        <w:jc w:val="both"/>
        <w:rPr>
          <w:rFonts w:ascii="Times New Roman" w:hAnsi="Times New Roman" w:cs="Times New Roman"/>
          <w:sz w:val="28"/>
          <w:szCs w:val="28"/>
          <w:lang w:val="es-ES"/>
        </w:rPr>
      </w:pPr>
    </w:p>
    <w:p w:rsidR="00D26B81"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lang w:eastAsia="es-ES"/>
        </w:rPr>
      </w:pPr>
      <w:r w:rsidRPr="008936AF">
        <w:rPr>
          <w:rFonts w:ascii="Times New Roman" w:hAnsi="Times New Roman" w:cs="Times New Roman"/>
          <w:sz w:val="28"/>
          <w:szCs w:val="28"/>
          <w:lang w:eastAsia="es-ES"/>
        </w:rPr>
        <w:t xml:space="preserve">Ahora bien, respecto de las demandas contra interpretaciones judiciales y </w:t>
      </w:r>
      <w:r w:rsidRPr="008936AF">
        <w:rPr>
          <w:rFonts w:ascii="Times New Roman" w:hAnsi="Times New Roman" w:cs="Times New Roman"/>
          <w:sz w:val="28"/>
          <w:szCs w:val="28"/>
          <w:lang w:eastAsia="es-ES"/>
        </w:rPr>
        <w:t>administrativas, esta corporación ha exigido al demandante una mayor carga argumentativa con el fin de proteger la autonomía de los jueces y autoridades administrativas y el respecto por el principio de legalidad de la competencia</w:t>
      </w:r>
      <w:r w:rsidRPr="008936AF">
        <w:rPr>
          <w:rStyle w:val="Refdenotaalpie"/>
          <w:rFonts w:ascii="Times New Roman" w:hAnsi="Times New Roman" w:cs="Times New Roman"/>
          <w:sz w:val="28"/>
          <w:szCs w:val="16"/>
          <w:lang w:eastAsia="es-ES"/>
        </w:rPr>
        <w:footnoteReference w:id="22"/>
      </w:r>
      <w:r w:rsidRPr="008936AF">
        <w:rPr>
          <w:rFonts w:ascii="Times New Roman" w:hAnsi="Times New Roman" w:cs="Times New Roman"/>
          <w:sz w:val="28"/>
          <w:szCs w:val="28"/>
          <w:lang w:eastAsia="es-ES"/>
        </w:rPr>
        <w:t xml:space="preserve">.  </w:t>
      </w:r>
      <w:r w:rsidRPr="008936AF">
        <w:rPr>
          <w:rFonts w:ascii="Times New Roman" w:hAnsi="Times New Roman" w:cs="Times New Roman"/>
          <w:sz w:val="28"/>
          <w:szCs w:val="28"/>
          <w:lang w:eastAsia="es-ES"/>
        </w:rPr>
        <w:t>Los re</w:t>
      </w:r>
      <w:r w:rsidRPr="008936AF">
        <w:rPr>
          <w:rFonts w:ascii="Times New Roman" w:hAnsi="Times New Roman" w:cs="Times New Roman"/>
          <w:sz w:val="28"/>
          <w:szCs w:val="28"/>
          <w:lang w:eastAsia="es-ES"/>
        </w:rPr>
        <w:t>quisitos de proc</w:t>
      </w:r>
      <w:r w:rsidRPr="008936AF">
        <w:rPr>
          <w:rFonts w:ascii="Times New Roman" w:hAnsi="Times New Roman" w:cs="Times New Roman"/>
          <w:sz w:val="28"/>
          <w:szCs w:val="28"/>
          <w:lang w:eastAsia="es-ES"/>
        </w:rPr>
        <w:t>edencia que deberá cumplir la acción pública de constitucionalidad</w:t>
      </w:r>
      <w:r w:rsidRPr="008936AF">
        <w:rPr>
          <w:rFonts w:ascii="Times New Roman" w:hAnsi="Times New Roman" w:cs="Times New Roman"/>
          <w:sz w:val="28"/>
          <w:szCs w:val="28"/>
          <w:lang w:eastAsia="es-ES"/>
        </w:rPr>
        <w:t xml:space="preserve"> en estos eventos fueron </w:t>
      </w:r>
      <w:r w:rsidRPr="008936AF">
        <w:rPr>
          <w:rFonts w:ascii="Times New Roman" w:hAnsi="Times New Roman" w:cs="Times New Roman"/>
          <w:sz w:val="28"/>
          <w:szCs w:val="28"/>
          <w:lang w:eastAsia="es-ES"/>
        </w:rPr>
        <w:t xml:space="preserve">expuestos y sintetizados en la sentencia C-802 de 2008, </w:t>
      </w:r>
      <w:r w:rsidRPr="008936AF">
        <w:rPr>
          <w:rFonts w:ascii="Times New Roman" w:hAnsi="Times New Roman" w:cs="Times New Roman"/>
          <w:sz w:val="28"/>
          <w:szCs w:val="28"/>
          <w:lang w:eastAsia="es-ES"/>
        </w:rPr>
        <w:t>de la siguiente manera</w:t>
      </w:r>
      <w:r w:rsidRPr="008936AF">
        <w:rPr>
          <w:rFonts w:ascii="Times New Roman" w:hAnsi="Times New Roman" w:cs="Times New Roman"/>
          <w:sz w:val="28"/>
          <w:szCs w:val="28"/>
          <w:lang w:eastAsia="es-ES"/>
        </w:rPr>
        <w:t>:</w:t>
      </w:r>
    </w:p>
    <w:p w:rsidR="00D26B81" w:rsidRPr="008936AF" w:rsidRDefault="008936AF" w:rsidP="009268B9">
      <w:pPr>
        <w:tabs>
          <w:tab w:val="left" w:pos="142"/>
        </w:tabs>
        <w:ind w:right="51"/>
        <w:jc w:val="both"/>
        <w:rPr>
          <w:rFonts w:ascii="Times New Roman" w:hAnsi="Times New Roman" w:cs="Times New Roman"/>
          <w:sz w:val="28"/>
          <w:szCs w:val="26"/>
          <w:lang w:eastAsia="es-ES"/>
        </w:rPr>
      </w:pP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r w:rsidRPr="008936AF">
        <w:rPr>
          <w:rFonts w:ascii="Times New Roman" w:hAnsi="Times New Roman" w:cs="Times New Roman"/>
          <w:sz w:val="28"/>
          <w:szCs w:val="26"/>
          <w:lang w:eastAsia="es-ES"/>
        </w:rPr>
        <w:t>a.- En cuanto al requisito de claridad, el ciudadano no sólo debe señalar cuál es la</w:t>
      </w:r>
      <w:r w:rsidRPr="008936AF">
        <w:rPr>
          <w:rFonts w:ascii="Times New Roman" w:hAnsi="Times New Roman" w:cs="Times New Roman"/>
          <w:sz w:val="28"/>
          <w:szCs w:val="26"/>
          <w:lang w:eastAsia="es-ES"/>
        </w:rPr>
        <w:t xml:space="preserve"> disposición acusada como inconstitucional (numeral 1º del artículo 3º del Decreto 2067 de 1991), sino que, en demandas contra interpretaciones judiciales, es necesario indicar con absoluta precisión cuál es el contenido normativo o “norma” derivada de la </w:t>
      </w:r>
      <w:r w:rsidRPr="008936AF">
        <w:rPr>
          <w:rFonts w:ascii="Times New Roman" w:hAnsi="Times New Roman" w:cs="Times New Roman"/>
          <w:sz w:val="28"/>
          <w:szCs w:val="26"/>
          <w:lang w:eastAsia="es-ES"/>
        </w:rPr>
        <w:t>disposición acusada. En otras palabras, sólo habrá lugar a un pronunciamiento de fondo “cuando se establezca claramente el enunciado o enunciados normativos que según el demandante generan la presunta situación de inconstitucionalidad”. Así, el ciudadano d</w:t>
      </w:r>
      <w:r w:rsidRPr="008936AF">
        <w:rPr>
          <w:rFonts w:ascii="Times New Roman" w:hAnsi="Times New Roman" w:cs="Times New Roman"/>
          <w:sz w:val="28"/>
          <w:szCs w:val="26"/>
          <w:lang w:eastAsia="es-ES"/>
        </w:rPr>
        <w:t>ebe indicar, de manera suficientemente comprensible, cuál es la interpretación de la disposición acusada que considera contraria a la Constitución, dejando de lado todo tipo de ambigüedades o anfibologías en la identificación de la norma impugnada.</w:t>
      </w: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r w:rsidRPr="008936AF">
        <w:rPr>
          <w:rFonts w:ascii="Times New Roman" w:hAnsi="Times New Roman" w:cs="Times New Roman"/>
          <w:sz w:val="28"/>
          <w:szCs w:val="26"/>
          <w:lang w:eastAsia="es-ES"/>
        </w:rPr>
        <w:t>b.- En</w:t>
      </w:r>
      <w:r w:rsidRPr="008936AF">
        <w:rPr>
          <w:rFonts w:ascii="Times New Roman" w:hAnsi="Times New Roman" w:cs="Times New Roman"/>
          <w:sz w:val="28"/>
          <w:szCs w:val="26"/>
          <w:lang w:eastAsia="es-ES"/>
        </w:rPr>
        <w:t xml:space="preserve"> cuanto al requisito de certeza, las demandas contra interpretaciones judiciales comprenden al menos tres dimensiones. Por un lado, (i) debe tratarse de una interpretación que realmente fije un contenido normativo derivado de la disposición impugnada. Esto</w:t>
      </w:r>
      <w:r w:rsidRPr="008936AF">
        <w:rPr>
          <w:rFonts w:ascii="Times New Roman" w:hAnsi="Times New Roman" w:cs="Times New Roman"/>
          <w:sz w:val="28"/>
          <w:szCs w:val="26"/>
          <w:lang w:eastAsia="es-ES"/>
        </w:rPr>
        <w:t xml:space="preserve"> significa que la interpretación debe derivarse directamente de la disposición demandada.</w:t>
      </w: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r w:rsidRPr="008936AF">
        <w:rPr>
          <w:rFonts w:ascii="Times New Roman" w:hAnsi="Times New Roman" w:cs="Times New Roman"/>
          <w:sz w:val="28"/>
          <w:szCs w:val="26"/>
          <w:lang w:eastAsia="es-ES"/>
        </w:rPr>
        <w:t xml:space="preserve">De otro lado, (ii) no puede considerarse satisfecho el requisito de certeza cuando el reproche de inconstitucionalidad se sustenta en simples “hipótesis </w:t>
      </w:r>
      <w:r w:rsidRPr="008936AF">
        <w:rPr>
          <w:rFonts w:ascii="Times New Roman" w:hAnsi="Times New Roman" w:cs="Times New Roman"/>
          <w:sz w:val="28"/>
          <w:szCs w:val="26"/>
          <w:lang w:eastAsia="es-ES"/>
        </w:rPr>
        <w:t xml:space="preserve">hermenéuticas” que no hallan sustento en una real y cierta interpretación judicial, o donde la interpretación no conduce a las implicaciones reprochadas, sino que responden a una proposición jurídica inferida por el actor o que recaiga sobre disposiciones </w:t>
      </w:r>
      <w:r w:rsidRPr="008936AF">
        <w:rPr>
          <w:rFonts w:ascii="Times New Roman" w:hAnsi="Times New Roman" w:cs="Times New Roman"/>
          <w:sz w:val="28"/>
          <w:szCs w:val="26"/>
          <w:lang w:eastAsia="es-ES"/>
        </w:rPr>
        <w:t xml:space="preserve">que no han sido acusadas. En este punto cobra relevancia la doctrina del derecho viviente, pues el control constitucional sobre interpretaciones judiciales “recae sobre el derecho realmente vivido por los ciudadanos, y no sobre contenidos hipotéticos, que </w:t>
      </w:r>
      <w:r w:rsidRPr="008936AF">
        <w:rPr>
          <w:rFonts w:ascii="Times New Roman" w:hAnsi="Times New Roman" w:cs="Times New Roman"/>
          <w:sz w:val="28"/>
          <w:szCs w:val="26"/>
          <w:lang w:eastAsia="es-ES"/>
        </w:rPr>
        <w:t>podrían eventualmente inferirse del texto acusado, pero que no han tenido ninguna aplicación práctica”.</w:t>
      </w: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r w:rsidRPr="008936AF">
        <w:rPr>
          <w:rFonts w:ascii="Times New Roman" w:hAnsi="Times New Roman" w:cs="Times New Roman"/>
          <w:sz w:val="28"/>
          <w:szCs w:val="26"/>
          <w:lang w:eastAsia="es-ES"/>
        </w:rPr>
        <w:t>Finalmente, (iii) no se cumple el requisito de certeza cuando la interpretación no se deriva de normas con fuerza material de ley, sino de otro tipo de</w:t>
      </w:r>
      <w:r w:rsidRPr="008936AF">
        <w:rPr>
          <w:rFonts w:ascii="Times New Roman" w:hAnsi="Times New Roman" w:cs="Times New Roman"/>
          <w:sz w:val="28"/>
          <w:szCs w:val="26"/>
          <w:lang w:eastAsia="es-ES"/>
        </w:rPr>
        <w:t xml:space="preserve"> disposiciones como actos administrativos, contratos estatales o cualquier otra fuente de derecho. Así ocurrió, por ejemplo, en el Auto 103 de 2005, en cuyo caso la Corte encontró que la demanda se dirigía a cuestionar una práctica habitual de los jueces e</w:t>
      </w:r>
      <w:r w:rsidRPr="008936AF">
        <w:rPr>
          <w:rFonts w:ascii="Times New Roman" w:hAnsi="Times New Roman" w:cs="Times New Roman"/>
          <w:sz w:val="28"/>
          <w:szCs w:val="26"/>
          <w:lang w:eastAsia="es-ES"/>
        </w:rPr>
        <w:t>n la aplicación de un acto administrativo en la jurisdicción ordinaria.</w:t>
      </w: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r w:rsidRPr="008936AF">
        <w:rPr>
          <w:rFonts w:ascii="Times New Roman" w:hAnsi="Times New Roman" w:cs="Times New Roman"/>
          <w:sz w:val="28"/>
          <w:szCs w:val="26"/>
          <w:lang w:eastAsia="es-ES"/>
        </w:rPr>
        <w:t>c.- En cuanto al requisito de especificidad, en esta clase de demandas lo que se exige es que las razones de inconstitucionalidad sean puntuales y recaigan sobre el contenido normativ</w:t>
      </w:r>
      <w:r w:rsidRPr="008936AF">
        <w:rPr>
          <w:rFonts w:ascii="Times New Roman" w:hAnsi="Times New Roman" w:cs="Times New Roman"/>
          <w:sz w:val="28"/>
          <w:szCs w:val="26"/>
          <w:lang w:eastAsia="es-ES"/>
        </w:rPr>
        <w:t>o cuyo alcance específico ha sido fijado por la interpretación acusada, pero no sobre la base de argumentos “vagos, indeterminados, indirectos, abstractos y globales”.</w:t>
      </w: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r w:rsidRPr="008936AF">
        <w:rPr>
          <w:rFonts w:ascii="Times New Roman" w:hAnsi="Times New Roman" w:cs="Times New Roman"/>
          <w:sz w:val="28"/>
          <w:szCs w:val="26"/>
          <w:lang w:eastAsia="es-ES"/>
        </w:rPr>
        <w:t>d.- En cuanto al requisito de pertinencia, es necesario que el demandante señale cómo y</w:t>
      </w:r>
      <w:r w:rsidRPr="008936AF">
        <w:rPr>
          <w:rFonts w:ascii="Times New Roman" w:hAnsi="Times New Roman" w:cs="Times New Roman"/>
          <w:sz w:val="28"/>
          <w:szCs w:val="26"/>
          <w:lang w:eastAsia="es-ES"/>
        </w:rPr>
        <w:t xml:space="preserve"> en qué medida la interpretación judicial impugnada plantea al menos un problema de relevancia constitucional, “y no razones de orden legal, personal, doctrinal o de simple conveniencia”.</w:t>
      </w:r>
    </w:p>
    <w:p w:rsidR="00D26B81" w:rsidRPr="008936AF" w:rsidRDefault="008936AF" w:rsidP="009268B9">
      <w:pPr>
        <w:tabs>
          <w:tab w:val="left" w:pos="142"/>
        </w:tabs>
        <w:ind w:right="51"/>
        <w:jc w:val="both"/>
        <w:rPr>
          <w:rFonts w:ascii="Times New Roman" w:hAnsi="Times New Roman" w:cs="Times New Roman"/>
          <w:sz w:val="28"/>
          <w:szCs w:val="26"/>
          <w:lang w:eastAsia="es-ES"/>
        </w:rPr>
      </w:pP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r w:rsidRPr="008936AF">
        <w:rPr>
          <w:rFonts w:ascii="Times New Roman" w:hAnsi="Times New Roman" w:cs="Times New Roman"/>
          <w:sz w:val="28"/>
          <w:szCs w:val="26"/>
          <w:lang w:eastAsia="es-ES"/>
        </w:rPr>
        <w:t>La jurisprudencia de esta Corporación ha sido particularmente cuida</w:t>
      </w:r>
      <w:r w:rsidRPr="008936AF">
        <w:rPr>
          <w:rFonts w:ascii="Times New Roman" w:hAnsi="Times New Roman" w:cs="Times New Roman"/>
          <w:sz w:val="28"/>
          <w:szCs w:val="26"/>
          <w:lang w:eastAsia="es-ES"/>
        </w:rPr>
        <w:t>dosa al examinar el requisito de pertinencia en demandas contra interpretaciones judiciales. De manera insistente ha señalado que el control por esta vía no es procedente si se involucran controversias hermenéuticas o discusiones puramente legales, por cua</w:t>
      </w:r>
      <w:r w:rsidRPr="008936AF">
        <w:rPr>
          <w:rFonts w:ascii="Times New Roman" w:hAnsi="Times New Roman" w:cs="Times New Roman"/>
          <w:sz w:val="28"/>
          <w:szCs w:val="26"/>
          <w:lang w:eastAsia="es-ES"/>
        </w:rPr>
        <w:t>nto “no le corresponde al juez constitucional resolver aquellos debates suscitados en torno al proceso de aplicación o interpretación de la ley”, a menos que la controversia “trascienda el ámbito estrictamente legal y adquiera relevancia constitucional”.</w:t>
      </w: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r w:rsidRPr="008936AF">
        <w:rPr>
          <w:rFonts w:ascii="Times New Roman" w:hAnsi="Times New Roman" w:cs="Times New Roman"/>
          <w:sz w:val="28"/>
          <w:szCs w:val="26"/>
          <w:lang w:eastAsia="es-ES"/>
        </w:rPr>
        <w:t xml:space="preserve">En la misma dirección ha explicado que no compete a la Corte determinar la manera como deben interpretarse los textos legales, ni adelantar una suerte de “corrección hermenéutica” de las decisiones judiciales que fijan el sentido de las leyes, a menos que </w:t>
      </w:r>
      <w:r w:rsidRPr="008936AF">
        <w:rPr>
          <w:rFonts w:ascii="Times New Roman" w:hAnsi="Times New Roman" w:cs="Times New Roman"/>
          <w:sz w:val="28"/>
          <w:szCs w:val="26"/>
          <w:lang w:eastAsia="es-ES"/>
        </w:rPr>
        <w:t>la decisión implique una problemática de orden constitucional.</w:t>
      </w: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p>
    <w:p w:rsidR="00D26B81" w:rsidRPr="008936AF" w:rsidRDefault="008936AF" w:rsidP="009268B9">
      <w:pPr>
        <w:tabs>
          <w:tab w:val="left" w:pos="142"/>
        </w:tabs>
        <w:ind w:left="708" w:right="51"/>
        <w:jc w:val="both"/>
        <w:rPr>
          <w:rFonts w:ascii="Times New Roman" w:hAnsi="Times New Roman" w:cs="Times New Roman"/>
          <w:sz w:val="28"/>
          <w:szCs w:val="26"/>
          <w:lang w:eastAsia="es-ES"/>
        </w:rPr>
      </w:pPr>
      <w:r w:rsidRPr="008936AF">
        <w:rPr>
          <w:rFonts w:ascii="Times New Roman" w:hAnsi="Times New Roman" w:cs="Times New Roman"/>
          <w:sz w:val="28"/>
          <w:szCs w:val="26"/>
          <w:lang w:eastAsia="es-ES"/>
        </w:rPr>
        <w:t>e.- Por último, el requisito de suficiencia exige, en demandas contra interpretaciones judiciales, demostrar que se está ante una posición consistente y reiterada del operador jurídico y no pr</w:t>
      </w:r>
      <w:r w:rsidRPr="008936AF">
        <w:rPr>
          <w:rFonts w:ascii="Times New Roman" w:hAnsi="Times New Roman" w:cs="Times New Roman"/>
          <w:sz w:val="28"/>
          <w:szCs w:val="26"/>
          <w:lang w:eastAsia="es-ES"/>
        </w:rPr>
        <w:t>oducto de un caso en particular, pues “una sola decisión judicial en la que se interprete una norma no constituye per se una doctrina del derecho viviente y en caso de serlo debe demostrarse”. Más allá de una cuestión relativa a la certeza de la interpreta</w:t>
      </w:r>
      <w:r w:rsidRPr="008936AF">
        <w:rPr>
          <w:rFonts w:ascii="Times New Roman" w:hAnsi="Times New Roman" w:cs="Times New Roman"/>
          <w:sz w:val="28"/>
          <w:szCs w:val="26"/>
          <w:lang w:eastAsia="es-ES"/>
        </w:rPr>
        <w:t>ción, el criterio de suficiencia exige aportar los elementos fácticos y argumentativos para demostrar que la interpretación no sólo existe, sino que plantea una verdadera problemática constitucional”.</w:t>
      </w:r>
    </w:p>
    <w:p w:rsidR="002476A7" w:rsidRPr="008936AF" w:rsidRDefault="008936AF" w:rsidP="009268B9">
      <w:pPr>
        <w:tabs>
          <w:tab w:val="left" w:pos="142"/>
        </w:tabs>
        <w:ind w:right="51"/>
        <w:jc w:val="both"/>
        <w:rPr>
          <w:rFonts w:ascii="Times New Roman" w:hAnsi="Times New Roman" w:cs="Times New Roman"/>
          <w:iCs/>
          <w:sz w:val="28"/>
          <w:szCs w:val="28"/>
        </w:rPr>
      </w:pPr>
    </w:p>
    <w:p w:rsidR="00C44E3C"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lang w:eastAsia="es-ES"/>
        </w:rPr>
      </w:pPr>
      <w:r w:rsidRPr="008936AF">
        <w:rPr>
          <w:rFonts w:ascii="Times New Roman" w:hAnsi="Times New Roman" w:cs="Times New Roman"/>
          <w:sz w:val="28"/>
          <w:szCs w:val="28"/>
          <w:lang w:eastAsia="es-ES"/>
        </w:rPr>
        <w:t>Ahora, si bien se cuestiona</w:t>
      </w:r>
      <w:r w:rsidRPr="008936AF">
        <w:rPr>
          <w:rFonts w:ascii="Times New Roman" w:hAnsi="Times New Roman" w:cs="Times New Roman"/>
          <w:sz w:val="28"/>
          <w:szCs w:val="28"/>
          <w:lang w:eastAsia="es-ES"/>
        </w:rPr>
        <w:t xml:space="preserve"> por parte del Ministerio P</w:t>
      </w:r>
      <w:r w:rsidRPr="008936AF">
        <w:rPr>
          <w:rFonts w:ascii="Times New Roman" w:hAnsi="Times New Roman" w:cs="Times New Roman"/>
          <w:sz w:val="28"/>
          <w:szCs w:val="28"/>
          <w:lang w:eastAsia="es-ES"/>
        </w:rPr>
        <w:t>úblico únicamente</w:t>
      </w:r>
      <w:r w:rsidRPr="008936AF">
        <w:rPr>
          <w:rFonts w:ascii="Times New Roman" w:hAnsi="Times New Roman" w:cs="Times New Roman"/>
          <w:sz w:val="28"/>
          <w:szCs w:val="28"/>
          <w:lang w:eastAsia="es-ES"/>
        </w:rPr>
        <w:t xml:space="preserve"> el incumplimiento de los requisitos de certeza y suficiencia, </w:t>
      </w:r>
      <w:r w:rsidRPr="008936AF">
        <w:rPr>
          <w:rFonts w:ascii="Times New Roman" w:hAnsi="Times New Roman" w:cs="Times New Roman"/>
          <w:sz w:val="28"/>
          <w:szCs w:val="28"/>
          <w:lang w:eastAsia="es-ES"/>
        </w:rPr>
        <w:t xml:space="preserve">en caso de advertir que los mismos se superan y </w:t>
      </w:r>
      <w:r w:rsidRPr="008936AF">
        <w:rPr>
          <w:rFonts w:ascii="Times New Roman" w:hAnsi="Times New Roman" w:cs="Times New Roman"/>
          <w:sz w:val="28"/>
          <w:szCs w:val="28"/>
          <w:lang w:eastAsia="es-ES"/>
        </w:rPr>
        <w:t xml:space="preserve">con el fin de comprobar plenamente la aptitud de la demanda, se revisará el cumplimiento de los </w:t>
      </w:r>
      <w:r w:rsidRPr="008936AF">
        <w:rPr>
          <w:rFonts w:ascii="Times New Roman" w:hAnsi="Times New Roman" w:cs="Times New Roman"/>
          <w:sz w:val="28"/>
          <w:szCs w:val="28"/>
          <w:lang w:eastAsia="es-ES"/>
        </w:rPr>
        <w:t xml:space="preserve">demás </w:t>
      </w:r>
      <w:r w:rsidRPr="008936AF">
        <w:rPr>
          <w:rFonts w:ascii="Times New Roman" w:hAnsi="Times New Roman" w:cs="Times New Roman"/>
          <w:sz w:val="28"/>
          <w:szCs w:val="28"/>
          <w:lang w:eastAsia="es-ES"/>
        </w:rPr>
        <w:t>presupuestos exigidos para</w:t>
      </w:r>
      <w:r w:rsidRPr="008936AF">
        <w:rPr>
          <w:rFonts w:ascii="Times New Roman" w:hAnsi="Times New Roman" w:cs="Times New Roman"/>
          <w:sz w:val="28"/>
          <w:szCs w:val="28"/>
          <w:lang w:eastAsia="es-ES"/>
        </w:rPr>
        <w:t xml:space="preserve"> este tipo de demandas.</w:t>
      </w:r>
    </w:p>
    <w:p w:rsidR="00C44E3C" w:rsidRPr="008936AF" w:rsidRDefault="008936AF" w:rsidP="009268B9">
      <w:pPr>
        <w:pStyle w:val="Prrafodelista"/>
        <w:tabs>
          <w:tab w:val="left" w:pos="142"/>
        </w:tabs>
        <w:ind w:left="0" w:right="51"/>
        <w:jc w:val="both"/>
        <w:rPr>
          <w:rFonts w:ascii="Times New Roman" w:hAnsi="Times New Roman" w:cs="Times New Roman"/>
          <w:sz w:val="28"/>
          <w:szCs w:val="28"/>
          <w:lang w:eastAsia="es-ES"/>
        </w:rPr>
      </w:pPr>
    </w:p>
    <w:p w:rsidR="0017361E" w:rsidRPr="008936AF" w:rsidRDefault="008936AF" w:rsidP="009268B9">
      <w:pPr>
        <w:pStyle w:val="Prrafodelista"/>
        <w:tabs>
          <w:tab w:val="left" w:pos="142"/>
        </w:tabs>
        <w:ind w:left="0" w:right="51"/>
        <w:jc w:val="both"/>
        <w:rPr>
          <w:rFonts w:ascii="Times New Roman" w:hAnsi="Times New Roman" w:cs="Times New Roman"/>
          <w:b/>
          <w:sz w:val="28"/>
          <w:szCs w:val="28"/>
          <w:lang w:eastAsia="es-ES"/>
        </w:rPr>
      </w:pPr>
      <w:r w:rsidRPr="008936AF">
        <w:rPr>
          <w:rFonts w:ascii="Times New Roman" w:hAnsi="Times New Roman" w:cs="Times New Roman"/>
          <w:b/>
          <w:sz w:val="28"/>
          <w:szCs w:val="28"/>
          <w:lang w:eastAsia="es-ES"/>
        </w:rPr>
        <w:t>Ineptitud sustantiva de la demanda contra interpretaciones judiciales por falta de c</w:t>
      </w:r>
      <w:r w:rsidRPr="008936AF">
        <w:rPr>
          <w:rFonts w:ascii="Times New Roman" w:hAnsi="Times New Roman" w:cs="Times New Roman"/>
          <w:b/>
          <w:sz w:val="28"/>
          <w:szCs w:val="28"/>
          <w:lang w:eastAsia="es-ES"/>
        </w:rPr>
        <w:t>laridad, especificidad y suficiencia</w:t>
      </w:r>
      <w:r w:rsidRPr="008936AF">
        <w:rPr>
          <w:rFonts w:ascii="Times New Roman" w:hAnsi="Times New Roman" w:cs="Times New Roman"/>
          <w:b/>
          <w:sz w:val="28"/>
          <w:szCs w:val="28"/>
          <w:lang w:eastAsia="es-ES"/>
        </w:rPr>
        <w:t xml:space="preserve"> </w:t>
      </w:r>
    </w:p>
    <w:p w:rsidR="0017361E" w:rsidRPr="008936AF" w:rsidRDefault="008936AF" w:rsidP="009268B9">
      <w:pPr>
        <w:pStyle w:val="Prrafodelista"/>
        <w:tabs>
          <w:tab w:val="left" w:pos="142"/>
        </w:tabs>
        <w:ind w:left="0" w:right="51"/>
        <w:jc w:val="both"/>
        <w:rPr>
          <w:rFonts w:ascii="Times New Roman" w:hAnsi="Times New Roman" w:cs="Times New Roman"/>
          <w:sz w:val="28"/>
          <w:szCs w:val="28"/>
          <w:lang w:eastAsia="es-ES"/>
        </w:rPr>
      </w:pPr>
    </w:p>
    <w:p w:rsidR="005444A1"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rPr>
      </w:pPr>
      <w:r w:rsidRPr="008936AF">
        <w:rPr>
          <w:rFonts w:ascii="Times New Roman" w:hAnsi="Times New Roman" w:cs="Times New Roman"/>
          <w:sz w:val="28"/>
          <w:szCs w:val="28"/>
          <w:lang w:eastAsia="es-ES"/>
        </w:rPr>
        <w:t xml:space="preserve">En esta oportunidad, </w:t>
      </w:r>
      <w:r w:rsidRPr="008936AF">
        <w:rPr>
          <w:rFonts w:ascii="Times New Roman" w:hAnsi="Times New Roman" w:cs="Times New Roman"/>
          <w:sz w:val="28"/>
          <w:szCs w:val="28"/>
          <w:lang w:eastAsia="es-ES"/>
        </w:rPr>
        <w:t xml:space="preserve">es claro </w:t>
      </w:r>
      <w:r w:rsidRPr="008936AF">
        <w:rPr>
          <w:rFonts w:ascii="Times New Roman" w:hAnsi="Times New Roman" w:cs="Times New Roman"/>
          <w:sz w:val="28"/>
          <w:szCs w:val="28"/>
          <w:lang w:eastAsia="es-ES"/>
        </w:rPr>
        <w:t>que la demanda no se dirige contra el texto de una disposición legal, sino con</w:t>
      </w:r>
      <w:r w:rsidRPr="008936AF">
        <w:rPr>
          <w:rFonts w:ascii="Times New Roman" w:hAnsi="Times New Roman" w:cs="Times New Roman"/>
          <w:sz w:val="28"/>
          <w:szCs w:val="28"/>
          <w:lang w:eastAsia="es-ES"/>
        </w:rPr>
        <w:t xml:space="preserve">tra la interpretación que ha desarrollado la Sala de Casación Laboral de la Corte Suprema de Justicia respecto de ella. </w:t>
      </w:r>
      <w:r w:rsidRPr="008936AF">
        <w:rPr>
          <w:rFonts w:ascii="Times New Roman" w:hAnsi="Times New Roman" w:cs="Times New Roman"/>
          <w:sz w:val="28"/>
          <w:szCs w:val="28"/>
          <w:lang w:eastAsia="es-ES"/>
        </w:rPr>
        <w:t xml:space="preserve">De manera que, para considerar satisfecho este presupuesto como se expuso previamente, el reproche «no puede sustentarse en </w:t>
      </w:r>
      <w:r w:rsidRPr="008936AF">
        <w:rPr>
          <w:rFonts w:ascii="Times New Roman" w:hAnsi="Times New Roman" w:cs="Times New Roman"/>
          <w:iCs/>
          <w:sz w:val="28"/>
          <w:lang w:val="es-ES"/>
        </w:rPr>
        <w:t>simples “hip</w:t>
      </w:r>
      <w:r w:rsidRPr="008936AF">
        <w:rPr>
          <w:rFonts w:ascii="Times New Roman" w:hAnsi="Times New Roman" w:cs="Times New Roman"/>
          <w:iCs/>
          <w:sz w:val="28"/>
          <w:lang w:val="es-ES"/>
        </w:rPr>
        <w:t>ótesis hermenéuticas” que no hallan sustento en una real y cierta interpretación judicial, o donde la interpretación no conduce a las implicaciones reprochadas, sino que responden a una proposición jurídica inferida por el actor o que recaiga sobre disposi</w:t>
      </w:r>
      <w:r w:rsidRPr="008936AF">
        <w:rPr>
          <w:rFonts w:ascii="Times New Roman" w:hAnsi="Times New Roman" w:cs="Times New Roman"/>
          <w:iCs/>
          <w:sz w:val="28"/>
          <w:lang w:val="es-ES"/>
        </w:rPr>
        <w:t>ciones que no han sido acusadas. En este punto cobra relevancia la doctrina del derecho viviente, pues el control constitucional sobre interpretaciones judiciales “recae sobre el derecho realmente vivido por los ciudadanos, y no sobre contenidos hipotético</w:t>
      </w:r>
      <w:r w:rsidRPr="008936AF">
        <w:rPr>
          <w:rFonts w:ascii="Times New Roman" w:hAnsi="Times New Roman" w:cs="Times New Roman"/>
          <w:iCs/>
          <w:sz w:val="28"/>
          <w:lang w:val="es-ES"/>
        </w:rPr>
        <w:t>s, que podrían eventualmente inferirse del texto acusado, pero que no han tenido ninguna aplicación práctica”»</w:t>
      </w:r>
      <w:r w:rsidRPr="008936AF">
        <w:rPr>
          <w:rStyle w:val="Refdenotaalpie"/>
          <w:rFonts w:ascii="Times New Roman" w:hAnsi="Times New Roman" w:cs="Times New Roman"/>
          <w:iCs/>
          <w:sz w:val="28"/>
          <w:szCs w:val="16"/>
          <w:lang w:val="es-ES"/>
        </w:rPr>
        <w:footnoteReference w:id="23"/>
      </w:r>
    </w:p>
    <w:p w:rsidR="005444A1" w:rsidRPr="008936AF" w:rsidRDefault="008936AF" w:rsidP="009268B9">
      <w:pPr>
        <w:pStyle w:val="Prrafodelista"/>
        <w:tabs>
          <w:tab w:val="left" w:pos="142"/>
        </w:tabs>
        <w:ind w:left="0" w:right="51"/>
        <w:jc w:val="both"/>
        <w:rPr>
          <w:rFonts w:ascii="Times New Roman" w:hAnsi="Times New Roman" w:cs="Times New Roman"/>
          <w:sz w:val="28"/>
          <w:szCs w:val="28"/>
          <w:lang w:eastAsia="es-ES"/>
        </w:rPr>
      </w:pPr>
    </w:p>
    <w:p w:rsidR="00924495"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lang w:eastAsia="es-ES"/>
        </w:rPr>
      </w:pPr>
      <w:r w:rsidRPr="008936AF">
        <w:rPr>
          <w:rFonts w:ascii="Times New Roman" w:hAnsi="Times New Roman" w:cs="Times New Roman"/>
          <w:sz w:val="28"/>
          <w:szCs w:val="28"/>
          <w:lang w:eastAsia="es-ES"/>
        </w:rPr>
        <w:t xml:space="preserve">Para el Ministerio Público, </w:t>
      </w:r>
      <w:r w:rsidRPr="008936AF">
        <w:rPr>
          <w:rFonts w:ascii="Times New Roman" w:hAnsi="Times New Roman" w:cs="Times New Roman"/>
          <w:sz w:val="28"/>
          <w:szCs w:val="28"/>
          <w:lang w:eastAsia="es-ES"/>
        </w:rPr>
        <w:t>los</w:t>
      </w:r>
      <w:r w:rsidRPr="008936AF">
        <w:rPr>
          <w:rFonts w:ascii="Times New Roman" w:hAnsi="Times New Roman" w:cs="Times New Roman"/>
          <w:sz w:val="28"/>
          <w:szCs w:val="28"/>
          <w:lang w:eastAsia="es-ES"/>
        </w:rPr>
        <w:t xml:space="preserve"> cargo</w:t>
      </w:r>
      <w:r w:rsidRPr="008936AF">
        <w:rPr>
          <w:rFonts w:ascii="Times New Roman" w:hAnsi="Times New Roman" w:cs="Times New Roman"/>
          <w:sz w:val="28"/>
          <w:szCs w:val="28"/>
          <w:lang w:eastAsia="es-ES"/>
        </w:rPr>
        <w:t>s</w:t>
      </w:r>
      <w:r w:rsidRPr="008936AF">
        <w:rPr>
          <w:rFonts w:ascii="Times New Roman" w:hAnsi="Times New Roman" w:cs="Times New Roman"/>
          <w:sz w:val="28"/>
          <w:szCs w:val="28"/>
          <w:lang w:eastAsia="es-ES"/>
        </w:rPr>
        <w:t xml:space="preserve"> carece</w:t>
      </w:r>
      <w:r w:rsidRPr="008936AF">
        <w:rPr>
          <w:rFonts w:ascii="Times New Roman" w:hAnsi="Times New Roman" w:cs="Times New Roman"/>
          <w:sz w:val="28"/>
          <w:szCs w:val="28"/>
          <w:lang w:eastAsia="es-ES"/>
        </w:rPr>
        <w:t>n</w:t>
      </w:r>
      <w:r w:rsidRPr="008936AF">
        <w:rPr>
          <w:rFonts w:ascii="Times New Roman" w:hAnsi="Times New Roman" w:cs="Times New Roman"/>
          <w:sz w:val="28"/>
          <w:szCs w:val="28"/>
          <w:lang w:eastAsia="es-ES"/>
        </w:rPr>
        <w:t xml:space="preserve"> </w:t>
      </w:r>
      <w:r w:rsidRPr="008936AF">
        <w:rPr>
          <w:rFonts w:ascii="Times New Roman" w:hAnsi="Times New Roman" w:cs="Times New Roman"/>
          <w:sz w:val="28"/>
          <w:szCs w:val="28"/>
          <w:lang w:eastAsia="es-ES"/>
        </w:rPr>
        <w:t xml:space="preserve">de certeza </w:t>
      </w:r>
      <w:r w:rsidRPr="008936AF">
        <w:rPr>
          <w:rFonts w:ascii="Times New Roman" w:hAnsi="Times New Roman" w:cs="Times New Roman"/>
          <w:sz w:val="28"/>
          <w:szCs w:val="28"/>
          <w:lang w:eastAsia="es-ES"/>
        </w:rPr>
        <w:t xml:space="preserve">toda vez que parte de una </w:t>
      </w:r>
      <w:r w:rsidRPr="008936AF">
        <w:rPr>
          <w:rFonts w:ascii="Times New Roman" w:hAnsi="Times New Roman" w:cs="Times New Roman"/>
          <w:sz w:val="28"/>
          <w:szCs w:val="28"/>
          <w:lang w:eastAsia="es-ES"/>
        </w:rPr>
        <w:t xml:space="preserve">lectura incompleta de la jurisprudencia constitucional, la </w:t>
      </w:r>
      <w:r w:rsidRPr="008936AF">
        <w:rPr>
          <w:rFonts w:ascii="Times New Roman" w:hAnsi="Times New Roman" w:cs="Times New Roman"/>
          <w:sz w:val="28"/>
          <w:szCs w:val="28"/>
          <w:lang w:eastAsia="es-ES"/>
        </w:rPr>
        <w:t>cual no ha eliminado la exigencia de acudir a la jurisdicción ordinaria para acceder a la prestación contemplada en la norma.</w:t>
      </w:r>
    </w:p>
    <w:p w:rsidR="00924495" w:rsidRPr="008936AF" w:rsidRDefault="008936AF" w:rsidP="009268B9">
      <w:pPr>
        <w:pStyle w:val="Prrafodelista"/>
        <w:tabs>
          <w:tab w:val="left" w:pos="142"/>
        </w:tabs>
        <w:ind w:left="0" w:right="51"/>
        <w:jc w:val="both"/>
        <w:rPr>
          <w:rFonts w:ascii="Times New Roman" w:hAnsi="Times New Roman" w:cs="Times New Roman"/>
          <w:sz w:val="28"/>
          <w:szCs w:val="28"/>
          <w:lang w:eastAsia="es-ES"/>
        </w:rPr>
      </w:pPr>
    </w:p>
    <w:p w:rsidR="00924495"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lang w:eastAsia="es-ES"/>
        </w:rPr>
      </w:pPr>
      <w:r w:rsidRPr="008936AF">
        <w:rPr>
          <w:rFonts w:ascii="Times New Roman" w:hAnsi="Times New Roman" w:cs="Times New Roman"/>
          <w:sz w:val="28"/>
          <w:szCs w:val="28"/>
          <w:lang w:eastAsia="es-ES"/>
        </w:rPr>
        <w:t xml:space="preserve">En el presente caso, esta Sala considera que no es posible un pronunciamiento de fondo sobre la problemática jurídica planteada, </w:t>
      </w:r>
      <w:r w:rsidRPr="008936AF">
        <w:rPr>
          <w:rFonts w:ascii="Times New Roman" w:hAnsi="Times New Roman" w:cs="Times New Roman"/>
          <w:sz w:val="28"/>
          <w:szCs w:val="28"/>
          <w:lang w:eastAsia="es-ES"/>
        </w:rPr>
        <w:t xml:space="preserve">por cuanto la demanda no cumple con </w:t>
      </w:r>
      <w:r w:rsidRPr="008936AF">
        <w:rPr>
          <w:rFonts w:ascii="Times New Roman" w:hAnsi="Times New Roman" w:cs="Times New Roman"/>
          <w:sz w:val="28"/>
          <w:szCs w:val="28"/>
          <w:lang w:eastAsia="es-ES"/>
        </w:rPr>
        <w:t xml:space="preserve">los </w:t>
      </w:r>
      <w:r w:rsidRPr="008936AF">
        <w:rPr>
          <w:rFonts w:ascii="Times New Roman" w:hAnsi="Times New Roman" w:cs="Times New Roman"/>
          <w:sz w:val="28"/>
          <w:szCs w:val="28"/>
          <w:lang w:eastAsia="es-ES"/>
        </w:rPr>
        <w:t>requisito</w:t>
      </w:r>
      <w:r w:rsidRPr="008936AF">
        <w:rPr>
          <w:rFonts w:ascii="Times New Roman" w:hAnsi="Times New Roman" w:cs="Times New Roman"/>
          <w:sz w:val="28"/>
          <w:szCs w:val="28"/>
          <w:lang w:eastAsia="es-ES"/>
        </w:rPr>
        <w:t>s</w:t>
      </w:r>
      <w:r w:rsidRPr="008936AF">
        <w:rPr>
          <w:rFonts w:ascii="Times New Roman" w:hAnsi="Times New Roman" w:cs="Times New Roman"/>
          <w:sz w:val="28"/>
          <w:szCs w:val="28"/>
          <w:lang w:eastAsia="es-ES"/>
        </w:rPr>
        <w:t xml:space="preserve"> de c</w:t>
      </w:r>
      <w:r w:rsidRPr="008936AF">
        <w:rPr>
          <w:rFonts w:ascii="Times New Roman" w:hAnsi="Times New Roman" w:cs="Times New Roman"/>
          <w:sz w:val="28"/>
          <w:szCs w:val="28"/>
          <w:lang w:eastAsia="es-ES"/>
        </w:rPr>
        <w:t>laridad</w:t>
      </w:r>
      <w:r w:rsidRPr="008936AF">
        <w:rPr>
          <w:rFonts w:ascii="Times New Roman" w:hAnsi="Times New Roman" w:cs="Times New Roman"/>
          <w:sz w:val="28"/>
          <w:szCs w:val="28"/>
          <w:lang w:eastAsia="es-ES"/>
        </w:rPr>
        <w:t>, especificidad y suficiencia</w:t>
      </w:r>
      <w:r w:rsidRPr="008936AF">
        <w:rPr>
          <w:rFonts w:ascii="Times New Roman" w:hAnsi="Times New Roman" w:cs="Times New Roman"/>
          <w:sz w:val="28"/>
          <w:szCs w:val="28"/>
          <w:lang w:eastAsia="es-ES"/>
        </w:rPr>
        <w:t xml:space="preserve"> dispuesto</w:t>
      </w:r>
      <w:r w:rsidRPr="008936AF">
        <w:rPr>
          <w:rFonts w:ascii="Times New Roman" w:hAnsi="Times New Roman" w:cs="Times New Roman"/>
          <w:sz w:val="28"/>
          <w:szCs w:val="28"/>
          <w:lang w:eastAsia="es-ES"/>
        </w:rPr>
        <w:t>s</w:t>
      </w:r>
      <w:r w:rsidRPr="008936AF">
        <w:rPr>
          <w:rFonts w:ascii="Times New Roman" w:hAnsi="Times New Roman" w:cs="Times New Roman"/>
          <w:sz w:val="28"/>
          <w:szCs w:val="28"/>
          <w:lang w:eastAsia="es-ES"/>
        </w:rPr>
        <w:t xml:space="preserve"> por la jurisprudencia para que proceda el estudio contra una interpretación proferida por una autoridad judicial. </w:t>
      </w:r>
    </w:p>
    <w:p w:rsidR="00924495" w:rsidRPr="008936AF" w:rsidRDefault="008936AF" w:rsidP="009268B9">
      <w:pPr>
        <w:pStyle w:val="Prrafodelista"/>
        <w:tabs>
          <w:tab w:val="left" w:pos="142"/>
        </w:tabs>
        <w:ind w:left="0" w:right="51"/>
        <w:jc w:val="both"/>
        <w:rPr>
          <w:rFonts w:ascii="Times New Roman" w:hAnsi="Times New Roman" w:cs="Times New Roman"/>
          <w:sz w:val="28"/>
          <w:szCs w:val="28"/>
          <w:lang w:eastAsia="es-ES"/>
        </w:rPr>
      </w:pPr>
    </w:p>
    <w:p w:rsidR="00EC0B44"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rPr>
      </w:pPr>
      <w:r w:rsidRPr="008936AF">
        <w:rPr>
          <w:rFonts w:ascii="Times New Roman" w:hAnsi="Times New Roman" w:cs="Times New Roman"/>
          <w:sz w:val="28"/>
          <w:szCs w:val="28"/>
          <w:lang w:eastAsia="es-ES"/>
        </w:rPr>
        <w:t xml:space="preserve">En primer lugar, </w:t>
      </w:r>
      <w:r w:rsidRPr="008936AF">
        <w:rPr>
          <w:rFonts w:ascii="Times New Roman" w:hAnsi="Times New Roman" w:cs="Times New Roman"/>
          <w:i/>
          <w:sz w:val="28"/>
          <w:szCs w:val="28"/>
          <w:lang w:eastAsia="es-ES"/>
        </w:rPr>
        <w:t>respecto de la presu</w:t>
      </w:r>
      <w:r w:rsidRPr="008936AF">
        <w:rPr>
          <w:rFonts w:ascii="Times New Roman" w:hAnsi="Times New Roman" w:cs="Times New Roman"/>
          <w:i/>
          <w:sz w:val="28"/>
          <w:szCs w:val="28"/>
          <w:lang w:eastAsia="es-ES"/>
        </w:rPr>
        <w:t>nta vulneración del artículo 243 superior</w:t>
      </w:r>
      <w:r w:rsidRPr="008936AF">
        <w:rPr>
          <w:rFonts w:ascii="Times New Roman" w:hAnsi="Times New Roman" w:cs="Times New Roman"/>
          <w:sz w:val="28"/>
          <w:szCs w:val="28"/>
          <w:lang w:eastAsia="es-ES"/>
        </w:rPr>
        <w:t xml:space="preserve">, </w:t>
      </w:r>
      <w:r w:rsidRPr="008936AF">
        <w:rPr>
          <w:rFonts w:ascii="Times New Roman" w:hAnsi="Times New Roman" w:cs="Times New Roman"/>
          <w:sz w:val="28"/>
          <w:szCs w:val="28"/>
          <w:lang w:eastAsia="es-ES"/>
        </w:rPr>
        <w:t>advierte la Sala Plena que</w:t>
      </w:r>
      <w:r w:rsidRPr="008936AF">
        <w:rPr>
          <w:rFonts w:ascii="Times New Roman" w:hAnsi="Times New Roman" w:cs="Times New Roman"/>
          <w:sz w:val="28"/>
          <w:szCs w:val="28"/>
          <w:lang w:eastAsia="es-ES"/>
        </w:rPr>
        <w:t xml:space="preserve"> </w:t>
      </w:r>
      <w:r w:rsidRPr="008936AF">
        <w:rPr>
          <w:rFonts w:ascii="Times New Roman" w:hAnsi="Times New Roman" w:cs="Times New Roman"/>
          <w:sz w:val="28"/>
          <w:szCs w:val="28"/>
          <w:lang w:eastAsia="es-ES"/>
        </w:rPr>
        <w:t xml:space="preserve">le asiste razón a la Procuradora al señalar que la jurisprudencia constitucional y particularmente la sentencia C-781 de 2003 al declarar inexequible el aparte «o </w:t>
      </w:r>
      <w:r w:rsidRPr="008936AF">
        <w:rPr>
          <w:rFonts w:ascii="Times New Roman" w:hAnsi="Times New Roman" w:cs="Times New Roman"/>
          <w:sz w:val="28"/>
          <w:szCs w:val="28"/>
          <w:lang w:eastAsia="es-ES"/>
        </w:rPr>
        <w:t xml:space="preserve">si </w:t>
      </w:r>
      <w:r w:rsidRPr="008936AF">
        <w:rPr>
          <w:rFonts w:ascii="Times New Roman" w:hAnsi="Times New Roman" w:cs="Times New Roman"/>
          <w:sz w:val="28"/>
          <w:szCs w:val="28"/>
          <w:lang w:eastAsia="es-ES"/>
        </w:rPr>
        <w:t>presentara la demand</w:t>
      </w:r>
      <w:r w:rsidRPr="008936AF">
        <w:rPr>
          <w:rFonts w:ascii="Times New Roman" w:hAnsi="Times New Roman" w:cs="Times New Roman"/>
          <w:sz w:val="28"/>
          <w:szCs w:val="28"/>
          <w:lang w:eastAsia="es-ES"/>
        </w:rPr>
        <w:t xml:space="preserve">a, no ha habido pronunciamiento judicial» </w:t>
      </w:r>
      <w:r w:rsidRPr="008936AF">
        <w:rPr>
          <w:rFonts w:ascii="Times New Roman" w:hAnsi="Times New Roman" w:cs="Times New Roman"/>
          <w:sz w:val="28"/>
          <w:szCs w:val="28"/>
          <w:lang w:eastAsia="es-ES"/>
        </w:rPr>
        <w:t xml:space="preserve">no </w:t>
      </w:r>
      <w:r w:rsidRPr="008936AF">
        <w:rPr>
          <w:rFonts w:ascii="Times New Roman" w:hAnsi="Times New Roman" w:cs="Times New Roman"/>
          <w:sz w:val="28"/>
          <w:szCs w:val="28"/>
          <w:lang w:eastAsia="es-ES"/>
        </w:rPr>
        <w:t>consideró, como lo afirma</w:t>
      </w:r>
      <w:r w:rsidRPr="008936AF">
        <w:rPr>
          <w:rFonts w:ascii="Times New Roman" w:hAnsi="Times New Roman" w:cs="Times New Roman"/>
          <w:sz w:val="28"/>
          <w:szCs w:val="28"/>
          <w:lang w:eastAsia="es-ES"/>
        </w:rPr>
        <w:t>n</w:t>
      </w:r>
      <w:r w:rsidRPr="008936AF">
        <w:rPr>
          <w:rFonts w:ascii="Times New Roman" w:hAnsi="Times New Roman" w:cs="Times New Roman"/>
          <w:sz w:val="28"/>
          <w:szCs w:val="28"/>
          <w:lang w:eastAsia="es-ES"/>
        </w:rPr>
        <w:t xml:space="preserve"> el demandante y algunos intervinientes que apoyan este cargo, que el trabajador quedaba eximido de acudir a la jurisdicción ordinaria para </w:t>
      </w:r>
      <w:r w:rsidRPr="008936AF">
        <w:rPr>
          <w:rFonts w:ascii="Times New Roman" w:hAnsi="Times New Roman" w:cs="Times New Roman"/>
          <w:sz w:val="28"/>
          <w:szCs w:val="28"/>
          <w:lang w:eastAsia="es-ES"/>
        </w:rPr>
        <w:t>cumplir con</w:t>
      </w:r>
      <w:r w:rsidRPr="008936AF">
        <w:rPr>
          <w:rFonts w:ascii="Times New Roman" w:hAnsi="Times New Roman" w:cs="Times New Roman"/>
          <w:sz w:val="28"/>
          <w:szCs w:val="28"/>
          <w:lang w:eastAsia="es-ES"/>
        </w:rPr>
        <w:t xml:space="preserve"> el reclamo exigido por la norma</w:t>
      </w:r>
      <w:r w:rsidRPr="008936AF">
        <w:rPr>
          <w:rFonts w:ascii="Times New Roman" w:hAnsi="Times New Roman" w:cs="Times New Roman"/>
          <w:sz w:val="28"/>
          <w:szCs w:val="28"/>
          <w:lang w:eastAsia="es-ES"/>
        </w:rPr>
        <w:t xml:space="preserve">. </w:t>
      </w:r>
    </w:p>
    <w:p w:rsidR="00EC0B44" w:rsidRPr="008936AF" w:rsidRDefault="008936AF" w:rsidP="009268B9">
      <w:pPr>
        <w:pStyle w:val="Prrafodelista"/>
        <w:tabs>
          <w:tab w:val="left" w:pos="142"/>
        </w:tabs>
        <w:ind w:left="0" w:right="51"/>
        <w:jc w:val="both"/>
        <w:rPr>
          <w:rFonts w:ascii="Times New Roman" w:hAnsi="Times New Roman" w:cs="Times New Roman"/>
          <w:sz w:val="28"/>
        </w:rPr>
      </w:pPr>
    </w:p>
    <w:p w:rsidR="00651071"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rPr>
      </w:pPr>
      <w:r w:rsidRPr="008936AF">
        <w:rPr>
          <w:rFonts w:ascii="Times New Roman" w:hAnsi="Times New Roman" w:cs="Times New Roman"/>
          <w:color w:val="000000" w:themeColor="text1"/>
          <w:sz w:val="28"/>
          <w:lang w:val="es-ES"/>
        </w:rPr>
        <w:t>En esa oportunidad, el cargo de inconstitucionalidad presentado no se relacionaba con el supuesto de hecho que regula la presentación de la demanda por fuera del término de los 24 meses, sino que cuestionaba que la decisión del juez se profiriera pasados</w:t>
      </w:r>
      <w:r w:rsidRPr="008936AF">
        <w:rPr>
          <w:rFonts w:ascii="Times New Roman" w:hAnsi="Times New Roman" w:cs="Times New Roman"/>
          <w:color w:val="000000" w:themeColor="text1"/>
          <w:sz w:val="28"/>
          <w:lang w:val="es-ES"/>
        </w:rPr>
        <w:t xml:space="preserve"> los 24 meses. De manera que uno de los problemas jurídicos planteados era «s</w:t>
      </w:r>
      <w:r w:rsidRPr="008936AF">
        <w:rPr>
          <w:rFonts w:ascii="Times New Roman" w:hAnsi="Times New Roman" w:cs="Times New Roman"/>
          <w:sz w:val="28"/>
        </w:rPr>
        <w:t>i el segmento normativo del numeral primero de la disposición impugnada, al disponer que “Si transcurridos veinticuatro (24) meses contados desde la fecha de terminación del contr</w:t>
      </w:r>
      <w:r w:rsidRPr="008936AF">
        <w:rPr>
          <w:rFonts w:ascii="Times New Roman" w:hAnsi="Times New Roman" w:cs="Times New Roman"/>
          <w:sz w:val="28"/>
        </w:rPr>
        <w:t>ato, el trabajador no ha iniciado su reclamación por la vía ordinaria o si presentara la demanda, no ha habido pronunciamiento judicial, el empleador deberá pagar al trabajador intereses moratorios a la tasa máxima de créditos de libre asignación certifica</w:t>
      </w:r>
      <w:r w:rsidRPr="008936AF">
        <w:rPr>
          <w:rFonts w:ascii="Times New Roman" w:hAnsi="Times New Roman" w:cs="Times New Roman"/>
          <w:sz w:val="28"/>
        </w:rPr>
        <w:t>dos por la Superintendencia Bancaria”, somete al trabajador a la morosidad de los despachos judiciales, recorta su oportunidad de recuperar lo que en justicia se le debe, y se convierte en estímulo a la negligencia del empleador, infringiendo de esta maner</w:t>
      </w:r>
      <w:r w:rsidRPr="008936AF">
        <w:rPr>
          <w:rFonts w:ascii="Times New Roman" w:hAnsi="Times New Roman" w:cs="Times New Roman"/>
          <w:sz w:val="28"/>
        </w:rPr>
        <w:t>a los artículos 13 y 25 de la Constitución».</w:t>
      </w:r>
    </w:p>
    <w:p w:rsidR="00651071" w:rsidRPr="008936AF" w:rsidRDefault="008936AF" w:rsidP="009268B9">
      <w:pPr>
        <w:tabs>
          <w:tab w:val="left" w:pos="142"/>
        </w:tabs>
        <w:ind w:right="51"/>
        <w:jc w:val="both"/>
        <w:rPr>
          <w:rFonts w:ascii="Times New Roman" w:hAnsi="Times New Roman" w:cs="Times New Roman"/>
          <w:sz w:val="28"/>
        </w:rPr>
      </w:pPr>
    </w:p>
    <w:p w:rsidR="00651071"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rPr>
      </w:pPr>
      <w:r w:rsidRPr="008936AF">
        <w:rPr>
          <w:rFonts w:ascii="Times New Roman" w:hAnsi="Times New Roman" w:cs="Times New Roman"/>
          <w:sz w:val="28"/>
        </w:rPr>
        <w:t>Al resolver dicho asunto, la Corte explicó que la norma tenía como consecuencia que el trabajador perdía el derecho a recibir la indemnización moratoria desde el mes 25 de no pago cuando a pesar de haber promov</w:t>
      </w:r>
      <w:r w:rsidRPr="008936AF">
        <w:rPr>
          <w:rFonts w:ascii="Times New Roman" w:hAnsi="Times New Roman" w:cs="Times New Roman"/>
          <w:sz w:val="28"/>
        </w:rPr>
        <w:t>ido demanda ante la jurisdicción ordinaria</w:t>
      </w:r>
      <w:r w:rsidRPr="008936AF">
        <w:rPr>
          <w:rFonts w:ascii="Times New Roman" w:hAnsi="Times New Roman" w:cs="Times New Roman"/>
          <w:sz w:val="28"/>
        </w:rPr>
        <w:t>,</w:t>
      </w:r>
      <w:r w:rsidRPr="008936AF">
        <w:rPr>
          <w:rFonts w:ascii="Times New Roman" w:hAnsi="Times New Roman" w:cs="Times New Roman"/>
          <w:sz w:val="28"/>
        </w:rPr>
        <w:t xml:space="preserve"> la autoridad encargada de conocer de su caso no había adoptado una decisión.  Dicha situación, fue considerada inconstitucional, pues, en últimas, el sujeto más débil de la relación laboral –el trabajador -, se v</w:t>
      </w:r>
      <w:r w:rsidRPr="008936AF">
        <w:rPr>
          <w:rFonts w:ascii="Times New Roman" w:hAnsi="Times New Roman" w:cs="Times New Roman"/>
          <w:sz w:val="28"/>
        </w:rPr>
        <w:t>eía afectado como consecuencia directa de la tardanza de la administración de justicia en resolver sus demandas.</w:t>
      </w:r>
    </w:p>
    <w:p w:rsidR="000A7BD8" w:rsidRPr="008936AF" w:rsidRDefault="008936AF" w:rsidP="009268B9">
      <w:pPr>
        <w:pStyle w:val="Prrafodelista"/>
        <w:tabs>
          <w:tab w:val="left" w:pos="142"/>
        </w:tabs>
        <w:ind w:left="0" w:right="51"/>
        <w:jc w:val="both"/>
        <w:rPr>
          <w:rFonts w:ascii="Times New Roman" w:hAnsi="Times New Roman" w:cs="Times New Roman"/>
          <w:sz w:val="28"/>
        </w:rPr>
      </w:pPr>
    </w:p>
    <w:p w:rsidR="00B84041"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rPr>
      </w:pPr>
      <w:r w:rsidRPr="008936AF">
        <w:rPr>
          <w:rFonts w:ascii="Times New Roman" w:hAnsi="Times New Roman" w:cs="Times New Roman"/>
          <w:color w:val="000000" w:themeColor="text1"/>
          <w:sz w:val="28"/>
          <w:lang w:val="es-ES"/>
        </w:rPr>
        <w:t>En la citada sentencia, es</w:t>
      </w:r>
      <w:r w:rsidRPr="008936AF">
        <w:rPr>
          <w:rFonts w:ascii="Times New Roman" w:hAnsi="Times New Roman" w:cs="Times New Roman"/>
          <w:sz w:val="28"/>
          <w:szCs w:val="28"/>
          <w:lang w:eastAsia="es-ES"/>
        </w:rPr>
        <w:t>ta Corporación resaltó y respetó la intención del legislador al modificar la norma, siendo est</w:t>
      </w:r>
      <w:r w:rsidRPr="008936AF">
        <w:rPr>
          <w:rFonts w:ascii="Times New Roman" w:hAnsi="Times New Roman" w:cs="Times New Roman"/>
          <w:sz w:val="28"/>
          <w:szCs w:val="28"/>
          <w:lang w:eastAsia="es-ES"/>
        </w:rPr>
        <w:t>a</w:t>
      </w:r>
      <w:r w:rsidRPr="008936AF">
        <w:rPr>
          <w:rFonts w:ascii="Times New Roman" w:hAnsi="Times New Roman" w:cs="Times New Roman"/>
          <w:sz w:val="28"/>
          <w:szCs w:val="28"/>
          <w:lang w:eastAsia="es-ES"/>
        </w:rPr>
        <w:t xml:space="preserve"> </w:t>
      </w:r>
      <w:r w:rsidRPr="008936AF">
        <w:rPr>
          <w:rFonts w:ascii="Times New Roman" w:hAnsi="Times New Roman" w:cs="Times New Roman"/>
          <w:sz w:val="28"/>
          <w:szCs w:val="28"/>
          <w:lang w:eastAsia="es-ES"/>
        </w:rPr>
        <w:t xml:space="preserve">la de </w:t>
      </w:r>
      <w:r w:rsidRPr="008936AF">
        <w:rPr>
          <w:rFonts w:ascii="Times New Roman" w:hAnsi="Times New Roman" w:cs="Times New Roman"/>
          <w:sz w:val="28"/>
        </w:rPr>
        <w:t xml:space="preserve">evitar un </w:t>
      </w:r>
      <w:r w:rsidRPr="008936AF">
        <w:rPr>
          <w:rFonts w:ascii="Times New Roman" w:hAnsi="Times New Roman" w:cs="Times New Roman"/>
          <w:b/>
          <w:sz w:val="28"/>
        </w:rPr>
        <w:t>recl</w:t>
      </w:r>
      <w:r w:rsidRPr="008936AF">
        <w:rPr>
          <w:rFonts w:ascii="Times New Roman" w:hAnsi="Times New Roman" w:cs="Times New Roman"/>
          <w:b/>
          <w:sz w:val="28"/>
        </w:rPr>
        <w:t>amo judicial</w:t>
      </w:r>
      <w:r w:rsidRPr="008936AF">
        <w:rPr>
          <w:rFonts w:ascii="Times New Roman" w:hAnsi="Times New Roman" w:cs="Times New Roman"/>
          <w:sz w:val="28"/>
        </w:rPr>
        <w:t xml:space="preserve"> </w:t>
      </w:r>
      <w:r w:rsidRPr="008936AF">
        <w:rPr>
          <w:rFonts w:ascii="Times New Roman" w:hAnsi="Times New Roman" w:cs="Times New Roman"/>
          <w:b/>
          <w:sz w:val="28"/>
        </w:rPr>
        <w:t>tardío</w:t>
      </w:r>
      <w:r w:rsidRPr="008936AF">
        <w:rPr>
          <w:rFonts w:ascii="Times New Roman" w:hAnsi="Times New Roman" w:cs="Times New Roman"/>
          <w:sz w:val="28"/>
        </w:rPr>
        <w:t xml:space="preserve"> con el fin de recibir una cuantiosa suma de dinero.</w:t>
      </w:r>
      <w:r w:rsidRPr="008936AF">
        <w:rPr>
          <w:rFonts w:ascii="Times New Roman" w:hAnsi="Times New Roman" w:cs="Times New Roman"/>
          <w:sz w:val="28"/>
        </w:rPr>
        <w:t xml:space="preserve"> </w:t>
      </w:r>
      <w:r w:rsidRPr="008936AF">
        <w:rPr>
          <w:rFonts w:ascii="Times New Roman" w:hAnsi="Times New Roman" w:cs="Times New Roman"/>
          <w:sz w:val="28"/>
        </w:rPr>
        <w:t xml:space="preserve">Al contextualizar la modificación introducida a la norma del CST, la sentencia C-781 de 2003 indica que: </w:t>
      </w:r>
    </w:p>
    <w:p w:rsidR="00561486" w:rsidRPr="008936AF" w:rsidRDefault="008936AF" w:rsidP="009268B9">
      <w:pPr>
        <w:pStyle w:val="Prrafodelista"/>
        <w:tabs>
          <w:tab w:val="left" w:pos="142"/>
        </w:tabs>
        <w:ind w:left="0" w:right="51"/>
        <w:jc w:val="both"/>
        <w:rPr>
          <w:rFonts w:ascii="Times New Roman" w:hAnsi="Times New Roman" w:cs="Times New Roman"/>
          <w:sz w:val="28"/>
        </w:rPr>
      </w:pPr>
    </w:p>
    <w:p w:rsidR="00EC0B44" w:rsidRPr="008936AF" w:rsidRDefault="008936AF" w:rsidP="009268B9">
      <w:pPr>
        <w:pStyle w:val="Prrafodelista"/>
        <w:tabs>
          <w:tab w:val="left" w:pos="142"/>
        </w:tabs>
        <w:ind w:right="51"/>
        <w:jc w:val="both"/>
        <w:rPr>
          <w:rFonts w:ascii="Times New Roman" w:hAnsi="Times New Roman" w:cs="Times New Roman"/>
          <w:sz w:val="28"/>
          <w:szCs w:val="26"/>
        </w:rPr>
      </w:pPr>
      <w:r w:rsidRPr="008936AF">
        <w:rPr>
          <w:rFonts w:ascii="Times New Roman" w:hAnsi="Times New Roman" w:cs="Times New Roman"/>
          <w:sz w:val="28"/>
          <w:szCs w:val="26"/>
        </w:rPr>
        <w:t>[</w:t>
      </w:r>
      <w:r w:rsidRPr="008936AF">
        <w:rPr>
          <w:rFonts w:ascii="Times New Roman" w:hAnsi="Times New Roman" w:cs="Times New Roman"/>
          <w:sz w:val="28"/>
          <w:szCs w:val="26"/>
        </w:rPr>
        <w:t>E</w:t>
      </w:r>
      <w:r w:rsidRPr="008936AF">
        <w:rPr>
          <w:rFonts w:ascii="Times New Roman" w:hAnsi="Times New Roman" w:cs="Times New Roman"/>
          <w:sz w:val="28"/>
          <w:szCs w:val="26"/>
        </w:rPr>
        <w:t>]</w:t>
      </w:r>
      <w:r w:rsidRPr="008936AF">
        <w:rPr>
          <w:rFonts w:ascii="Times New Roman" w:hAnsi="Times New Roman" w:cs="Times New Roman"/>
          <w:sz w:val="28"/>
          <w:szCs w:val="26"/>
        </w:rPr>
        <w:t>n otras palabras, si el trabajador</w:t>
      </w:r>
      <w:r w:rsidRPr="008936AF">
        <w:rPr>
          <w:rFonts w:ascii="Times New Roman" w:hAnsi="Times New Roman" w:cs="Times New Roman"/>
          <w:b/>
          <w:sz w:val="28"/>
          <w:szCs w:val="26"/>
        </w:rPr>
        <w:t xml:space="preserve"> no ha presentado demanda por la vía jud</w:t>
      </w:r>
      <w:r w:rsidRPr="008936AF">
        <w:rPr>
          <w:rFonts w:ascii="Times New Roman" w:hAnsi="Times New Roman" w:cs="Times New Roman"/>
          <w:b/>
          <w:sz w:val="28"/>
          <w:szCs w:val="26"/>
        </w:rPr>
        <w:t>icial ordinaria dentro de los veinticuatro (24) meses siguientes a la terminación de su vínculo laboral, o si la misma no ha sido resuelta</w:t>
      </w:r>
      <w:r w:rsidRPr="008936AF">
        <w:rPr>
          <w:rFonts w:ascii="Times New Roman" w:hAnsi="Times New Roman" w:cs="Times New Roman"/>
          <w:sz w:val="28"/>
          <w:szCs w:val="26"/>
        </w:rPr>
        <w:t xml:space="preserve"> definitivamente por la autoridad judicial, ya no se continúa haciendo exigible el pago de la indemnización moratoria </w:t>
      </w:r>
      <w:r w:rsidRPr="008936AF">
        <w:rPr>
          <w:rFonts w:ascii="Times New Roman" w:hAnsi="Times New Roman" w:cs="Times New Roman"/>
          <w:sz w:val="28"/>
          <w:szCs w:val="26"/>
        </w:rPr>
        <w:t>–un día de salario por cada día de retardo -, sino únicamente el pago de intereses moratorios.</w:t>
      </w:r>
    </w:p>
    <w:p w:rsidR="00EC0B44" w:rsidRPr="008936AF" w:rsidRDefault="008936AF" w:rsidP="009268B9">
      <w:pPr>
        <w:pStyle w:val="Prrafodelista"/>
        <w:tabs>
          <w:tab w:val="left" w:pos="142"/>
        </w:tabs>
        <w:ind w:left="1416" w:right="51"/>
        <w:jc w:val="both"/>
        <w:rPr>
          <w:rFonts w:ascii="Times New Roman" w:hAnsi="Times New Roman" w:cs="Times New Roman"/>
          <w:sz w:val="28"/>
          <w:szCs w:val="26"/>
        </w:rPr>
      </w:pPr>
    </w:p>
    <w:p w:rsidR="00EC0B44" w:rsidRPr="008936AF" w:rsidRDefault="008936AF" w:rsidP="009268B9">
      <w:pPr>
        <w:pStyle w:val="Prrafodelista"/>
        <w:tabs>
          <w:tab w:val="left" w:pos="142"/>
        </w:tabs>
        <w:ind w:right="51"/>
        <w:jc w:val="both"/>
        <w:rPr>
          <w:rFonts w:ascii="Times New Roman" w:hAnsi="Times New Roman" w:cs="Times New Roman"/>
          <w:sz w:val="28"/>
          <w:szCs w:val="26"/>
        </w:rPr>
      </w:pPr>
      <w:r w:rsidRPr="008936AF">
        <w:rPr>
          <w:rFonts w:ascii="Times New Roman" w:hAnsi="Times New Roman" w:cs="Times New Roman"/>
          <w:sz w:val="28"/>
          <w:szCs w:val="26"/>
        </w:rPr>
        <w:t>El mencionado cambio obedeció, en opinión del legislador, a que se había constituido una “...forma de enriquecimiento de los trabajadores debido a la lentitud d</w:t>
      </w:r>
      <w:r w:rsidRPr="008936AF">
        <w:rPr>
          <w:rFonts w:ascii="Times New Roman" w:hAnsi="Times New Roman" w:cs="Times New Roman"/>
          <w:sz w:val="28"/>
          <w:szCs w:val="26"/>
        </w:rPr>
        <w:t>e la justicia cuando el trámite de un proceso laboral de primera instancia, si se cumplieran los términos no debería durar, incluida la apelación, más de seis (6) meses” pues “</w:t>
      </w:r>
      <w:r w:rsidRPr="008936AF">
        <w:rPr>
          <w:rFonts w:ascii="Times New Roman" w:hAnsi="Times New Roman" w:cs="Times New Roman"/>
          <w:sz w:val="28"/>
          <w:szCs w:val="26"/>
          <w:u w:val="single"/>
        </w:rPr>
        <w:t xml:space="preserve">la manera como está prevista la indemnización por falta de pago ha dado lugar a </w:t>
      </w:r>
      <w:r w:rsidRPr="008936AF">
        <w:rPr>
          <w:rFonts w:ascii="Times New Roman" w:hAnsi="Times New Roman" w:cs="Times New Roman"/>
          <w:sz w:val="28"/>
          <w:szCs w:val="26"/>
          <w:u w:val="single"/>
        </w:rPr>
        <w:t>que los</w:t>
      </w:r>
      <w:r w:rsidRPr="008936AF">
        <w:rPr>
          <w:rFonts w:ascii="Times New Roman" w:hAnsi="Times New Roman" w:cs="Times New Roman"/>
          <w:sz w:val="28"/>
          <w:szCs w:val="26"/>
        </w:rPr>
        <w:t xml:space="preserve"> </w:t>
      </w:r>
      <w:r w:rsidRPr="008936AF">
        <w:rPr>
          <w:rFonts w:ascii="Times New Roman" w:hAnsi="Times New Roman" w:cs="Times New Roman"/>
          <w:sz w:val="28"/>
          <w:szCs w:val="26"/>
          <w:u w:val="single"/>
        </w:rPr>
        <w:t>trabajadores esperen para presentar sus demandas cuando están para cumplirse los tres (3) años, término de prescripción y le juegan a una cuantiosa indemnización moratoria a veces injusta</w:t>
      </w:r>
      <w:r w:rsidRPr="008936AF">
        <w:rPr>
          <w:rFonts w:ascii="Times New Roman" w:hAnsi="Times New Roman" w:cs="Times New Roman"/>
          <w:sz w:val="28"/>
          <w:szCs w:val="26"/>
        </w:rPr>
        <w:t xml:space="preserve"> ya que, de acuerdo con la jurisprudencia, en este caso se pr</w:t>
      </w:r>
      <w:r w:rsidRPr="008936AF">
        <w:rPr>
          <w:rFonts w:ascii="Times New Roman" w:hAnsi="Times New Roman" w:cs="Times New Roman"/>
          <w:sz w:val="28"/>
          <w:szCs w:val="26"/>
        </w:rPr>
        <w:t>esume la mala fe del empleador”[2]. (Subrayado no original).</w:t>
      </w:r>
    </w:p>
    <w:p w:rsidR="00EC0B44" w:rsidRPr="008936AF" w:rsidRDefault="008936AF" w:rsidP="009268B9">
      <w:pPr>
        <w:pStyle w:val="Prrafodelista"/>
        <w:tabs>
          <w:tab w:val="left" w:pos="142"/>
        </w:tabs>
        <w:ind w:right="51"/>
        <w:jc w:val="both"/>
        <w:rPr>
          <w:rFonts w:ascii="Times New Roman" w:hAnsi="Times New Roman" w:cs="Times New Roman"/>
          <w:sz w:val="28"/>
          <w:szCs w:val="26"/>
        </w:rPr>
      </w:pPr>
    </w:p>
    <w:p w:rsidR="00EC0B44" w:rsidRPr="008936AF" w:rsidRDefault="008936AF" w:rsidP="009268B9">
      <w:pPr>
        <w:pStyle w:val="Prrafodelista"/>
        <w:tabs>
          <w:tab w:val="left" w:pos="142"/>
        </w:tabs>
        <w:ind w:right="51"/>
        <w:jc w:val="both"/>
        <w:rPr>
          <w:rFonts w:ascii="Times New Roman" w:hAnsi="Times New Roman" w:cs="Times New Roman"/>
          <w:sz w:val="28"/>
          <w:szCs w:val="26"/>
        </w:rPr>
      </w:pPr>
      <w:r w:rsidRPr="008936AF">
        <w:rPr>
          <w:rFonts w:ascii="Times New Roman" w:hAnsi="Times New Roman" w:cs="Times New Roman"/>
          <w:sz w:val="28"/>
          <w:szCs w:val="26"/>
        </w:rPr>
        <w:t>Como puede observarse con facilidad, de esta forma el Legislador quiso exigir de los trabajadores con ingresos superiores a un salario mínimo, una carga adicional para tener derecho a la indemni</w:t>
      </w:r>
      <w:r w:rsidRPr="008936AF">
        <w:rPr>
          <w:rFonts w:ascii="Times New Roman" w:hAnsi="Times New Roman" w:cs="Times New Roman"/>
          <w:sz w:val="28"/>
          <w:szCs w:val="26"/>
        </w:rPr>
        <w:t xml:space="preserve">zación moratoria luego de transcurridos 24 meses de terminada su relación laboral, </w:t>
      </w:r>
      <w:r w:rsidRPr="008936AF">
        <w:rPr>
          <w:rFonts w:ascii="Times New Roman" w:hAnsi="Times New Roman" w:cs="Times New Roman"/>
          <w:b/>
          <w:sz w:val="28"/>
          <w:szCs w:val="26"/>
        </w:rPr>
        <w:t>consistente en acudir durante ese lapso ante los jueces ordinarios y reclamar el pago pronto de sus acreencias</w:t>
      </w:r>
      <w:r w:rsidRPr="008936AF">
        <w:rPr>
          <w:rFonts w:ascii="Times New Roman" w:hAnsi="Times New Roman" w:cs="Times New Roman"/>
          <w:sz w:val="28"/>
          <w:szCs w:val="26"/>
        </w:rPr>
        <w:t>.</w:t>
      </w:r>
      <w:r w:rsidRPr="008936AF">
        <w:rPr>
          <w:rFonts w:ascii="Times New Roman" w:hAnsi="Times New Roman" w:cs="Times New Roman"/>
          <w:sz w:val="28"/>
          <w:szCs w:val="26"/>
        </w:rPr>
        <w:t xml:space="preserve"> (Negrillas fuera del texto original).</w:t>
      </w:r>
    </w:p>
    <w:p w:rsidR="00EC0B44" w:rsidRPr="008936AF" w:rsidRDefault="008936AF" w:rsidP="009268B9">
      <w:pPr>
        <w:pStyle w:val="Prrafodelista"/>
        <w:tabs>
          <w:tab w:val="left" w:pos="142"/>
        </w:tabs>
        <w:ind w:left="0" w:right="51"/>
        <w:jc w:val="both"/>
        <w:rPr>
          <w:rFonts w:ascii="Times New Roman" w:hAnsi="Times New Roman" w:cs="Times New Roman"/>
          <w:sz w:val="28"/>
        </w:rPr>
      </w:pPr>
    </w:p>
    <w:p w:rsidR="00EC0B44"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rPr>
      </w:pPr>
      <w:r w:rsidRPr="008936AF">
        <w:rPr>
          <w:rFonts w:ascii="Times New Roman" w:hAnsi="Times New Roman" w:cs="Times New Roman"/>
          <w:sz w:val="28"/>
        </w:rPr>
        <w:t xml:space="preserve">Así mismo, sobre la </w:t>
      </w:r>
      <w:r w:rsidRPr="008936AF">
        <w:rPr>
          <w:rFonts w:ascii="Times New Roman" w:hAnsi="Times New Roman" w:cs="Times New Roman"/>
          <w:bCs/>
          <w:sz w:val="28"/>
          <w:lang w:val="es-ES"/>
        </w:rPr>
        <w:t xml:space="preserve">morosidad en el trámite de reclamaciones ante la jurisdicción ordinaria y la </w:t>
      </w:r>
      <w:r w:rsidRPr="008936AF">
        <w:rPr>
          <w:rFonts w:ascii="Times New Roman" w:hAnsi="Times New Roman" w:cs="Times New Roman"/>
          <w:sz w:val="28"/>
        </w:rPr>
        <w:t xml:space="preserve">inconstitucionalidad del aparte relacionado con la demanda, </w:t>
      </w:r>
      <w:r w:rsidRPr="008936AF">
        <w:rPr>
          <w:rFonts w:ascii="Times New Roman" w:hAnsi="Times New Roman" w:cs="Times New Roman"/>
          <w:sz w:val="28"/>
        </w:rPr>
        <w:t xml:space="preserve">la </w:t>
      </w:r>
      <w:r w:rsidRPr="008936AF">
        <w:rPr>
          <w:rFonts w:ascii="Times New Roman" w:hAnsi="Times New Roman" w:cs="Times New Roman"/>
          <w:i/>
          <w:sz w:val="28"/>
        </w:rPr>
        <w:t>ratio</w:t>
      </w:r>
      <w:r w:rsidRPr="008936AF">
        <w:rPr>
          <w:rFonts w:ascii="Times New Roman" w:hAnsi="Times New Roman" w:cs="Times New Roman"/>
          <w:sz w:val="28"/>
        </w:rPr>
        <w:t xml:space="preserve"> de la decisión </w:t>
      </w:r>
      <w:r w:rsidRPr="008936AF">
        <w:rPr>
          <w:rFonts w:ascii="Times New Roman" w:hAnsi="Times New Roman" w:cs="Times New Roman"/>
          <w:sz w:val="28"/>
        </w:rPr>
        <w:t>señala:</w:t>
      </w:r>
    </w:p>
    <w:p w:rsidR="00EC0B44" w:rsidRPr="008936AF" w:rsidRDefault="008936AF" w:rsidP="009268B9">
      <w:pPr>
        <w:pStyle w:val="Prrafodelista"/>
        <w:tabs>
          <w:tab w:val="left" w:pos="142"/>
        </w:tabs>
        <w:ind w:left="0" w:right="51"/>
        <w:jc w:val="both"/>
        <w:rPr>
          <w:rFonts w:ascii="Times New Roman" w:hAnsi="Times New Roman" w:cs="Times New Roman"/>
          <w:sz w:val="28"/>
        </w:rPr>
      </w:pPr>
    </w:p>
    <w:p w:rsidR="00EC0B44" w:rsidRPr="008936AF" w:rsidRDefault="008936AF" w:rsidP="009268B9">
      <w:pPr>
        <w:pStyle w:val="Prrafodelista"/>
        <w:tabs>
          <w:tab w:val="left" w:pos="142"/>
        </w:tabs>
        <w:ind w:left="709" w:right="51"/>
        <w:jc w:val="both"/>
        <w:rPr>
          <w:rFonts w:ascii="Times New Roman" w:hAnsi="Times New Roman" w:cs="Times New Roman"/>
          <w:sz w:val="28"/>
        </w:rPr>
      </w:pPr>
      <w:r w:rsidRPr="008936AF">
        <w:rPr>
          <w:rFonts w:ascii="Times New Roman" w:hAnsi="Times New Roman" w:cs="Times New Roman"/>
          <w:sz w:val="28"/>
          <w:szCs w:val="26"/>
        </w:rPr>
        <w:t>el diseño acogido por el Legislador en este sentido consagra una exigencia que resulta</w:t>
      </w:r>
      <w:r w:rsidRPr="008936AF">
        <w:rPr>
          <w:rFonts w:ascii="Times New Roman" w:hAnsi="Times New Roman" w:cs="Times New Roman"/>
          <w:sz w:val="28"/>
          <w:szCs w:val="26"/>
        </w:rPr>
        <w:t xml:space="preserve"> desproporcionada para el trabajador y constituye un detrimento de sus derechos, en particular a recibir la indemnización moratoria, por cuanto aquel se vería afectado como consecuencia de una conducta que le es extraña: </w:t>
      </w:r>
      <w:r w:rsidRPr="008936AF">
        <w:rPr>
          <w:rFonts w:ascii="Times New Roman" w:hAnsi="Times New Roman" w:cs="Times New Roman"/>
          <w:b/>
          <w:sz w:val="28"/>
          <w:szCs w:val="26"/>
        </w:rPr>
        <w:t>la tardanza de la administración de</w:t>
      </w:r>
      <w:r w:rsidRPr="008936AF">
        <w:rPr>
          <w:rFonts w:ascii="Times New Roman" w:hAnsi="Times New Roman" w:cs="Times New Roman"/>
          <w:b/>
          <w:sz w:val="28"/>
          <w:szCs w:val="26"/>
        </w:rPr>
        <w:t xml:space="preserve"> justicia en la definición de las controversias laborales</w:t>
      </w:r>
      <w:r w:rsidRPr="008936AF">
        <w:rPr>
          <w:rFonts w:ascii="Times New Roman" w:hAnsi="Times New Roman" w:cs="Times New Roman"/>
          <w:sz w:val="28"/>
        </w:rPr>
        <w:t>.</w:t>
      </w:r>
      <w:r w:rsidRPr="008936AF">
        <w:rPr>
          <w:rFonts w:ascii="Times New Roman" w:hAnsi="Times New Roman" w:cs="Times New Roman"/>
          <w:sz w:val="28"/>
        </w:rPr>
        <w:t xml:space="preserve"> </w:t>
      </w:r>
      <w:r w:rsidRPr="008936AF">
        <w:rPr>
          <w:rFonts w:ascii="Times New Roman" w:hAnsi="Times New Roman" w:cs="Times New Roman"/>
          <w:sz w:val="28"/>
        </w:rPr>
        <w:t xml:space="preserve">Al respecto la Sala entiende que </w:t>
      </w:r>
      <w:r w:rsidRPr="008936AF">
        <w:rPr>
          <w:rFonts w:ascii="Times New Roman" w:hAnsi="Times New Roman" w:cs="Times New Roman"/>
          <w:b/>
          <w:sz w:val="28"/>
        </w:rPr>
        <w:t>el trabajador mantiene intacto su derecho a la indemnización moratoria si dentro de los 24 meses siguientes a la ruptura de su nexo contractual reclama por la vía o</w:t>
      </w:r>
      <w:r w:rsidRPr="008936AF">
        <w:rPr>
          <w:rFonts w:ascii="Times New Roman" w:hAnsi="Times New Roman" w:cs="Times New Roman"/>
          <w:b/>
          <w:sz w:val="28"/>
        </w:rPr>
        <w:t>rdinaria el pago de sus acreencias insolutas</w:t>
      </w:r>
      <w:r w:rsidRPr="008936AF">
        <w:rPr>
          <w:rFonts w:ascii="Times New Roman" w:hAnsi="Times New Roman" w:cs="Times New Roman"/>
          <w:sz w:val="28"/>
        </w:rPr>
        <w:t xml:space="preserve">, </w:t>
      </w:r>
      <w:r w:rsidRPr="008936AF">
        <w:rPr>
          <w:rFonts w:ascii="Times New Roman" w:hAnsi="Times New Roman" w:cs="Times New Roman"/>
          <w:b/>
          <w:sz w:val="28"/>
        </w:rPr>
        <w:t>toda vez que con ello cumple con el propósito que llevó al Legislador a plantear la reforma, es decir, evitar un reclamo judicial tardío con el fin de recibir una cuantiosa suma de dinero</w:t>
      </w:r>
      <w:r w:rsidRPr="008936AF">
        <w:rPr>
          <w:rFonts w:ascii="Times New Roman" w:hAnsi="Times New Roman" w:cs="Times New Roman"/>
          <w:sz w:val="28"/>
        </w:rPr>
        <w:t xml:space="preserve">. </w:t>
      </w:r>
      <w:r w:rsidRPr="008936AF">
        <w:rPr>
          <w:rFonts w:ascii="Times New Roman" w:hAnsi="Times New Roman" w:cs="Times New Roman"/>
          <w:sz w:val="28"/>
        </w:rPr>
        <w:t>(Negrita fuera del te</w:t>
      </w:r>
      <w:r w:rsidRPr="008936AF">
        <w:rPr>
          <w:rFonts w:ascii="Times New Roman" w:hAnsi="Times New Roman" w:cs="Times New Roman"/>
          <w:sz w:val="28"/>
        </w:rPr>
        <w:t>xto original).</w:t>
      </w:r>
    </w:p>
    <w:p w:rsidR="00EC0B44" w:rsidRPr="008936AF" w:rsidRDefault="008936AF" w:rsidP="009268B9">
      <w:pPr>
        <w:pStyle w:val="Prrafodelista"/>
        <w:tabs>
          <w:tab w:val="left" w:pos="142"/>
        </w:tabs>
        <w:ind w:left="0" w:right="51"/>
        <w:jc w:val="both"/>
        <w:rPr>
          <w:rFonts w:ascii="Times New Roman" w:hAnsi="Times New Roman" w:cs="Times New Roman"/>
          <w:sz w:val="28"/>
        </w:rPr>
      </w:pPr>
    </w:p>
    <w:p w:rsidR="00F40D3B"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rPr>
      </w:pPr>
      <w:r w:rsidRPr="008936AF">
        <w:rPr>
          <w:rFonts w:ascii="Times New Roman" w:hAnsi="Times New Roman" w:cs="Times New Roman"/>
          <w:sz w:val="28"/>
        </w:rPr>
        <w:t xml:space="preserve"> En consecuencia, </w:t>
      </w:r>
      <w:r w:rsidRPr="008936AF">
        <w:rPr>
          <w:rFonts w:ascii="Times New Roman" w:hAnsi="Times New Roman" w:cs="Times New Roman"/>
          <w:sz w:val="28"/>
        </w:rPr>
        <w:t xml:space="preserve">lo que se estimó inconstitucional fue la carga </w:t>
      </w:r>
      <w:r w:rsidRPr="008936AF">
        <w:rPr>
          <w:rFonts w:ascii="Times New Roman" w:hAnsi="Times New Roman" w:cs="Times New Roman"/>
          <w:sz w:val="28"/>
        </w:rPr>
        <w:t>impuesta por el legislador a</w:t>
      </w:r>
      <w:r w:rsidRPr="008936AF">
        <w:rPr>
          <w:rFonts w:ascii="Times New Roman" w:hAnsi="Times New Roman" w:cs="Times New Roman"/>
          <w:sz w:val="28"/>
        </w:rPr>
        <w:t xml:space="preserve">l trabajador </w:t>
      </w:r>
      <w:r w:rsidRPr="008936AF">
        <w:rPr>
          <w:rFonts w:ascii="Times New Roman" w:hAnsi="Times New Roman" w:cs="Times New Roman"/>
          <w:b/>
          <w:sz w:val="28"/>
        </w:rPr>
        <w:t>de soportar la mora judicial</w:t>
      </w:r>
      <w:r w:rsidRPr="008936AF">
        <w:rPr>
          <w:rFonts w:ascii="Times New Roman" w:hAnsi="Times New Roman" w:cs="Times New Roman"/>
          <w:sz w:val="28"/>
        </w:rPr>
        <w:t xml:space="preserve"> a efectos del reconocimiento de la indemnización moratoria, más no la necesidad de hacer el reclamo judic</w:t>
      </w:r>
      <w:r w:rsidRPr="008936AF">
        <w:rPr>
          <w:rFonts w:ascii="Times New Roman" w:hAnsi="Times New Roman" w:cs="Times New Roman"/>
          <w:sz w:val="28"/>
        </w:rPr>
        <w:t>ial</w:t>
      </w:r>
      <w:r w:rsidRPr="008936AF">
        <w:rPr>
          <w:rFonts w:ascii="Times New Roman" w:hAnsi="Times New Roman" w:cs="Times New Roman"/>
          <w:sz w:val="28"/>
        </w:rPr>
        <w:t>. Aspecto que, se aclara</w:t>
      </w:r>
      <w:r w:rsidRPr="008936AF">
        <w:rPr>
          <w:rFonts w:ascii="Times New Roman" w:hAnsi="Times New Roman" w:cs="Times New Roman"/>
          <w:sz w:val="28"/>
        </w:rPr>
        <w:t xml:space="preserve">, nunca fue cuestionado ni por el entonces demandante ni </w:t>
      </w:r>
      <w:r w:rsidRPr="008936AF">
        <w:rPr>
          <w:rFonts w:ascii="Times New Roman" w:hAnsi="Times New Roman" w:cs="Times New Roman"/>
          <w:sz w:val="28"/>
        </w:rPr>
        <w:t xml:space="preserve">abordado </w:t>
      </w:r>
      <w:r w:rsidRPr="008936AF">
        <w:rPr>
          <w:rFonts w:ascii="Times New Roman" w:hAnsi="Times New Roman" w:cs="Times New Roman"/>
          <w:sz w:val="28"/>
        </w:rPr>
        <w:t>por la Corte Constitucional en la sentencia</w:t>
      </w:r>
      <w:r w:rsidRPr="008936AF">
        <w:rPr>
          <w:rFonts w:ascii="Times New Roman" w:hAnsi="Times New Roman" w:cs="Times New Roman"/>
          <w:sz w:val="28"/>
        </w:rPr>
        <w:t xml:space="preserve">. </w:t>
      </w:r>
    </w:p>
    <w:p w:rsidR="00F40D3B" w:rsidRPr="008936AF" w:rsidRDefault="008936AF" w:rsidP="009268B9">
      <w:pPr>
        <w:pStyle w:val="Prrafodelista"/>
        <w:tabs>
          <w:tab w:val="left" w:pos="142"/>
        </w:tabs>
        <w:ind w:left="0" w:right="51"/>
        <w:jc w:val="both"/>
        <w:rPr>
          <w:rFonts w:ascii="Times New Roman" w:hAnsi="Times New Roman" w:cs="Times New Roman"/>
          <w:sz w:val="28"/>
        </w:rPr>
      </w:pPr>
    </w:p>
    <w:p w:rsidR="00C62A37"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rPr>
      </w:pPr>
      <w:r w:rsidRPr="008936AF">
        <w:rPr>
          <w:rFonts w:ascii="Times New Roman" w:hAnsi="Times New Roman" w:cs="Times New Roman"/>
          <w:sz w:val="28"/>
        </w:rPr>
        <w:t xml:space="preserve">Bajo ese entendido, </w:t>
      </w:r>
      <w:r w:rsidRPr="008936AF">
        <w:rPr>
          <w:rFonts w:ascii="Times New Roman" w:hAnsi="Times New Roman" w:cs="Times New Roman"/>
          <w:sz w:val="28"/>
        </w:rPr>
        <w:t xml:space="preserve">las razones que explican la </w:t>
      </w:r>
      <w:r w:rsidRPr="008936AF">
        <w:rPr>
          <w:rFonts w:ascii="Times New Roman" w:hAnsi="Times New Roman" w:cs="Times New Roman"/>
          <w:sz w:val="28"/>
        </w:rPr>
        <w:t>vulneración d</w:t>
      </w:r>
      <w:r w:rsidRPr="008936AF">
        <w:rPr>
          <w:rFonts w:ascii="Times New Roman" w:hAnsi="Times New Roman" w:cs="Times New Roman"/>
          <w:sz w:val="28"/>
        </w:rPr>
        <w:t xml:space="preserve">el artículo 243 </w:t>
      </w:r>
      <w:r w:rsidRPr="008936AF">
        <w:rPr>
          <w:rFonts w:ascii="Times New Roman" w:hAnsi="Times New Roman" w:cs="Times New Roman"/>
          <w:sz w:val="28"/>
        </w:rPr>
        <w:t>superior</w:t>
      </w:r>
      <w:r w:rsidRPr="008936AF">
        <w:rPr>
          <w:rFonts w:ascii="Times New Roman" w:hAnsi="Times New Roman" w:cs="Times New Roman"/>
          <w:sz w:val="28"/>
        </w:rPr>
        <w:t xml:space="preserve">, según </w:t>
      </w:r>
      <w:r w:rsidRPr="008936AF">
        <w:rPr>
          <w:rFonts w:ascii="Times New Roman" w:hAnsi="Times New Roman" w:cs="Times New Roman"/>
          <w:sz w:val="28"/>
        </w:rPr>
        <w:t xml:space="preserve">las cuales </w:t>
      </w:r>
      <w:r w:rsidRPr="008936AF">
        <w:rPr>
          <w:rFonts w:ascii="Times New Roman" w:hAnsi="Times New Roman" w:cs="Times New Roman"/>
          <w:sz w:val="28"/>
        </w:rPr>
        <w:t xml:space="preserve">la Corte </w:t>
      </w:r>
      <w:r w:rsidRPr="008936AF">
        <w:rPr>
          <w:rFonts w:ascii="Times New Roman" w:hAnsi="Times New Roman" w:cs="Times New Roman"/>
          <w:sz w:val="28"/>
        </w:rPr>
        <w:t>Suprema de Justicia estaría reproduciendo en sus sentencias un contenido declarado inexequible,</w:t>
      </w:r>
      <w:r w:rsidRPr="008936AF">
        <w:rPr>
          <w:rFonts w:ascii="Times New Roman" w:hAnsi="Times New Roman" w:cs="Times New Roman"/>
          <w:sz w:val="28"/>
        </w:rPr>
        <w:t xml:space="preserve"> </w:t>
      </w:r>
      <w:r w:rsidRPr="008936AF">
        <w:rPr>
          <w:rFonts w:ascii="Times New Roman" w:hAnsi="Times New Roman" w:cs="Times New Roman"/>
          <w:sz w:val="28"/>
        </w:rPr>
        <w:t>no satisface</w:t>
      </w:r>
      <w:r w:rsidRPr="008936AF">
        <w:rPr>
          <w:rFonts w:ascii="Times New Roman" w:hAnsi="Times New Roman" w:cs="Times New Roman"/>
          <w:sz w:val="28"/>
        </w:rPr>
        <w:t>n</w:t>
      </w:r>
      <w:r w:rsidRPr="008936AF">
        <w:rPr>
          <w:rFonts w:ascii="Times New Roman" w:hAnsi="Times New Roman" w:cs="Times New Roman"/>
          <w:sz w:val="28"/>
        </w:rPr>
        <w:t xml:space="preserve"> </w:t>
      </w:r>
      <w:r w:rsidRPr="008936AF">
        <w:rPr>
          <w:rFonts w:ascii="Times New Roman" w:hAnsi="Times New Roman" w:cs="Times New Roman"/>
          <w:sz w:val="28"/>
        </w:rPr>
        <w:t>los</w:t>
      </w:r>
      <w:r w:rsidRPr="008936AF">
        <w:rPr>
          <w:rFonts w:ascii="Times New Roman" w:hAnsi="Times New Roman" w:cs="Times New Roman"/>
          <w:sz w:val="28"/>
        </w:rPr>
        <w:t xml:space="preserve"> requisito</w:t>
      </w:r>
      <w:r w:rsidRPr="008936AF">
        <w:rPr>
          <w:rFonts w:ascii="Times New Roman" w:hAnsi="Times New Roman" w:cs="Times New Roman"/>
          <w:sz w:val="28"/>
        </w:rPr>
        <w:t>s</w:t>
      </w:r>
      <w:r w:rsidRPr="008936AF">
        <w:rPr>
          <w:rFonts w:ascii="Times New Roman" w:hAnsi="Times New Roman" w:cs="Times New Roman"/>
          <w:sz w:val="28"/>
        </w:rPr>
        <w:t xml:space="preserve"> de </w:t>
      </w:r>
      <w:r w:rsidRPr="008936AF">
        <w:rPr>
          <w:rFonts w:ascii="Times New Roman" w:hAnsi="Times New Roman" w:cs="Times New Roman"/>
          <w:i/>
          <w:sz w:val="28"/>
        </w:rPr>
        <w:t>claridad y especificidad</w:t>
      </w:r>
      <w:r w:rsidRPr="008936AF">
        <w:rPr>
          <w:rFonts w:ascii="Times New Roman" w:hAnsi="Times New Roman" w:cs="Times New Roman"/>
          <w:i/>
          <w:sz w:val="28"/>
        </w:rPr>
        <w:t>,</w:t>
      </w:r>
      <w:r w:rsidRPr="008936AF">
        <w:rPr>
          <w:rFonts w:ascii="Times New Roman" w:hAnsi="Times New Roman" w:cs="Times New Roman"/>
          <w:sz w:val="28"/>
        </w:rPr>
        <w:t xml:space="preserve"> al no cumplir con la carga de </w:t>
      </w:r>
      <w:r w:rsidRPr="008936AF">
        <w:rPr>
          <w:rFonts w:ascii="Times New Roman" w:hAnsi="Times New Roman" w:cs="Times New Roman"/>
          <w:sz w:val="28"/>
        </w:rPr>
        <w:t xml:space="preserve">presentar </w:t>
      </w:r>
      <w:r w:rsidRPr="008936AF">
        <w:rPr>
          <w:rFonts w:ascii="Times New Roman" w:hAnsi="Times New Roman" w:cs="Times New Roman"/>
          <w:sz w:val="28"/>
          <w:szCs w:val="28"/>
        </w:rPr>
        <w:t>una argumentación comprensible respecto del cuestionamiento he</w:t>
      </w:r>
      <w:r w:rsidRPr="008936AF">
        <w:rPr>
          <w:rFonts w:ascii="Times New Roman" w:hAnsi="Times New Roman" w:cs="Times New Roman"/>
          <w:sz w:val="28"/>
          <w:szCs w:val="28"/>
        </w:rPr>
        <w:t>cho a la interpretación de la Corte Suprema de Justicia</w:t>
      </w:r>
      <w:r w:rsidRPr="008936AF">
        <w:rPr>
          <w:rFonts w:ascii="Times New Roman" w:hAnsi="Times New Roman" w:cs="Times New Roman"/>
          <w:bCs/>
          <w:iCs/>
          <w:sz w:val="28"/>
        </w:rPr>
        <w:t xml:space="preserve"> y de </w:t>
      </w:r>
      <w:r w:rsidRPr="008936AF">
        <w:rPr>
          <w:rFonts w:ascii="Times New Roman" w:hAnsi="Times New Roman" w:cs="Times New Roman"/>
          <w:bCs/>
          <w:iCs/>
          <w:sz w:val="28"/>
        </w:rPr>
        <w:t>explicar</w:t>
      </w:r>
      <w:r w:rsidRPr="008936AF">
        <w:rPr>
          <w:rFonts w:ascii="Times New Roman" w:hAnsi="Times New Roman" w:cs="Times New Roman"/>
          <w:bCs/>
          <w:iCs/>
          <w:sz w:val="28"/>
        </w:rPr>
        <w:t xml:space="preserve"> </w:t>
      </w:r>
      <w:r w:rsidRPr="008936AF">
        <w:rPr>
          <w:rFonts w:ascii="Times New Roman" w:hAnsi="Times New Roman" w:cs="Times New Roman"/>
          <w:bCs/>
          <w:iCs/>
          <w:sz w:val="28"/>
        </w:rPr>
        <w:t>por qué la norma que se deriva de la interpretación judicial desconoce la Constitución. E</w:t>
      </w:r>
      <w:r w:rsidRPr="008936AF">
        <w:rPr>
          <w:rFonts w:ascii="Times New Roman" w:hAnsi="Times New Roman" w:cs="Times New Roman"/>
          <w:bCs/>
          <w:iCs/>
          <w:sz w:val="28"/>
        </w:rPr>
        <w:t>n su demanda e</w:t>
      </w:r>
      <w:r w:rsidRPr="008936AF">
        <w:rPr>
          <w:rFonts w:ascii="Times New Roman" w:hAnsi="Times New Roman" w:cs="Times New Roman"/>
          <w:bCs/>
          <w:iCs/>
          <w:sz w:val="28"/>
        </w:rPr>
        <w:t xml:space="preserve">l actor no logró </w:t>
      </w:r>
      <w:r w:rsidRPr="008936AF">
        <w:rPr>
          <w:rFonts w:ascii="Times New Roman" w:hAnsi="Times New Roman" w:cs="Times New Roman"/>
          <w:bCs/>
          <w:iCs/>
          <w:sz w:val="28"/>
        </w:rPr>
        <w:t>demostrar una oposición clara entre la norma que se deriva de la i</w:t>
      </w:r>
      <w:r w:rsidRPr="008936AF">
        <w:rPr>
          <w:rFonts w:ascii="Times New Roman" w:hAnsi="Times New Roman" w:cs="Times New Roman"/>
          <w:bCs/>
          <w:iCs/>
          <w:sz w:val="28"/>
        </w:rPr>
        <w:t xml:space="preserve">nterpretación de la Corte Suprema de Justicia y el artículo 243 de la Constitución, al entender </w:t>
      </w:r>
      <w:r w:rsidRPr="008936AF">
        <w:rPr>
          <w:rFonts w:ascii="Times New Roman" w:hAnsi="Times New Roman" w:cs="Times New Roman"/>
          <w:bCs/>
          <w:iCs/>
          <w:sz w:val="28"/>
        </w:rPr>
        <w:t>que la Corte Constitucional, en la sentencia C-781 de 2003, consideró que el trabajador no debía cumplir con el requisito de demandar para poder acceder a la in</w:t>
      </w:r>
      <w:r w:rsidRPr="008936AF">
        <w:rPr>
          <w:rFonts w:ascii="Times New Roman" w:hAnsi="Times New Roman" w:cs="Times New Roman"/>
          <w:bCs/>
          <w:iCs/>
          <w:sz w:val="28"/>
        </w:rPr>
        <w:t xml:space="preserve">demnización moratoria. Pero, como se explicó anteriormente, esa no fue la intención de este Tribunal. Por lo tanto, </w:t>
      </w:r>
      <w:r w:rsidRPr="008936AF">
        <w:rPr>
          <w:rFonts w:ascii="Times New Roman" w:hAnsi="Times New Roman" w:cs="Times New Roman"/>
          <w:bCs/>
          <w:iCs/>
          <w:sz w:val="28"/>
        </w:rPr>
        <w:t xml:space="preserve">el contenido normativo que supuestamente se reproduce en la interpretación de la CSJ no coincide con aquel que fue declarado inexequible en </w:t>
      </w:r>
      <w:r w:rsidRPr="008936AF">
        <w:rPr>
          <w:rFonts w:ascii="Times New Roman" w:hAnsi="Times New Roman" w:cs="Times New Roman"/>
          <w:bCs/>
          <w:iCs/>
          <w:sz w:val="28"/>
        </w:rPr>
        <w:t xml:space="preserve">la mencionada providencia. Es decir, </w:t>
      </w:r>
      <w:r w:rsidRPr="008936AF">
        <w:rPr>
          <w:rFonts w:ascii="Times New Roman" w:hAnsi="Times New Roman" w:cs="Times New Roman"/>
          <w:sz w:val="28"/>
        </w:rPr>
        <w:t xml:space="preserve">no hay coincidencia entre la disposición que la Corte Constitucional excluyó del ordenamiento y aquella que el actor demanda. En tales condiciones, el cargo también carece de </w:t>
      </w:r>
      <w:r w:rsidRPr="008936AF">
        <w:rPr>
          <w:rFonts w:ascii="Times New Roman" w:hAnsi="Times New Roman" w:cs="Times New Roman"/>
          <w:i/>
          <w:sz w:val="28"/>
        </w:rPr>
        <w:t>suficiencia</w:t>
      </w:r>
      <w:r w:rsidRPr="008936AF">
        <w:rPr>
          <w:rFonts w:ascii="Times New Roman" w:hAnsi="Times New Roman" w:cs="Times New Roman"/>
          <w:sz w:val="28"/>
        </w:rPr>
        <w:t xml:space="preserve"> para generar una duda mínima sob</w:t>
      </w:r>
      <w:r w:rsidRPr="008936AF">
        <w:rPr>
          <w:rFonts w:ascii="Times New Roman" w:hAnsi="Times New Roman" w:cs="Times New Roman"/>
          <w:sz w:val="28"/>
        </w:rPr>
        <w:t>re la inconstitucionalidad alegada.</w:t>
      </w:r>
    </w:p>
    <w:p w:rsidR="00C62A37" w:rsidRPr="008936AF" w:rsidRDefault="008936AF" w:rsidP="009268B9">
      <w:pPr>
        <w:pStyle w:val="Prrafodelista"/>
        <w:tabs>
          <w:tab w:val="left" w:pos="142"/>
        </w:tabs>
        <w:ind w:left="0" w:right="51"/>
        <w:jc w:val="both"/>
        <w:rPr>
          <w:rFonts w:ascii="Times New Roman" w:hAnsi="Times New Roman" w:cs="Times New Roman"/>
          <w:sz w:val="28"/>
        </w:rPr>
      </w:pPr>
    </w:p>
    <w:p w:rsidR="00116348"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iCs/>
          <w:sz w:val="28"/>
        </w:rPr>
      </w:pPr>
      <w:r w:rsidRPr="008936AF">
        <w:rPr>
          <w:rFonts w:ascii="Times New Roman" w:hAnsi="Times New Roman" w:cs="Times New Roman"/>
          <w:sz w:val="28"/>
        </w:rPr>
        <w:t xml:space="preserve">En segundo lugar, </w:t>
      </w:r>
      <w:r w:rsidRPr="008936AF">
        <w:rPr>
          <w:rFonts w:ascii="Times New Roman" w:hAnsi="Times New Roman" w:cs="Times New Roman"/>
          <w:i/>
          <w:sz w:val="28"/>
        </w:rPr>
        <w:t>en cuanto al cargo por la presunta vulneración del artículo 58 superior</w:t>
      </w:r>
      <w:r w:rsidRPr="008936AF">
        <w:rPr>
          <w:rFonts w:ascii="Times New Roman" w:hAnsi="Times New Roman" w:cs="Times New Roman"/>
          <w:sz w:val="28"/>
        </w:rPr>
        <w:t xml:space="preserve">, </w:t>
      </w:r>
      <w:r w:rsidRPr="008936AF">
        <w:rPr>
          <w:rFonts w:ascii="Times New Roman" w:hAnsi="Times New Roman" w:cs="Times New Roman"/>
          <w:sz w:val="28"/>
        </w:rPr>
        <w:t xml:space="preserve">se advierte que el mismo </w:t>
      </w:r>
      <w:r w:rsidRPr="008936AF">
        <w:rPr>
          <w:rFonts w:ascii="Times New Roman" w:hAnsi="Times New Roman" w:cs="Times New Roman"/>
          <w:bCs/>
          <w:iCs/>
          <w:sz w:val="28"/>
        </w:rPr>
        <w:t xml:space="preserve">no supera el requisito de la </w:t>
      </w:r>
      <w:r w:rsidRPr="008936AF">
        <w:rPr>
          <w:rFonts w:ascii="Times New Roman" w:hAnsi="Times New Roman" w:cs="Times New Roman"/>
          <w:bCs/>
          <w:i/>
          <w:sz w:val="28"/>
        </w:rPr>
        <w:t>especificidad,</w:t>
      </w:r>
      <w:r w:rsidRPr="008936AF">
        <w:rPr>
          <w:rFonts w:ascii="Times New Roman" w:hAnsi="Times New Roman" w:cs="Times New Roman"/>
          <w:bCs/>
          <w:iCs/>
          <w:sz w:val="28"/>
        </w:rPr>
        <w:t xml:space="preserve"> en tanto el actor no </w:t>
      </w:r>
      <w:r w:rsidRPr="008936AF">
        <w:rPr>
          <w:rFonts w:ascii="Times New Roman" w:hAnsi="Times New Roman" w:cs="Times New Roman"/>
          <w:bCs/>
          <w:iCs/>
          <w:sz w:val="28"/>
        </w:rPr>
        <w:t>presenta</w:t>
      </w:r>
      <w:r w:rsidRPr="008936AF">
        <w:rPr>
          <w:rFonts w:ascii="Times New Roman" w:hAnsi="Times New Roman" w:cs="Times New Roman"/>
          <w:bCs/>
          <w:iCs/>
          <w:sz w:val="28"/>
        </w:rPr>
        <w:t xml:space="preserve"> una oposición entre la interpretación que se cuestiona y el citado </w:t>
      </w:r>
      <w:r w:rsidRPr="008936AF">
        <w:rPr>
          <w:rFonts w:ascii="Times New Roman" w:hAnsi="Times New Roman" w:cs="Times New Roman"/>
          <w:bCs/>
          <w:iCs/>
          <w:sz w:val="28"/>
        </w:rPr>
        <w:t>artículo,</w:t>
      </w:r>
      <w:r w:rsidRPr="008936AF">
        <w:rPr>
          <w:rFonts w:ascii="Times New Roman" w:hAnsi="Times New Roman" w:cs="Times New Roman"/>
          <w:bCs/>
          <w:iCs/>
          <w:sz w:val="28"/>
        </w:rPr>
        <w:t xml:space="preserve"> sino que se limita a afirmar que la interpretación de la Corte Suprema de Justicia desconoce que la indemnización moratoria es un “</w:t>
      </w:r>
      <w:r w:rsidRPr="008936AF">
        <w:rPr>
          <w:rFonts w:ascii="Times New Roman" w:hAnsi="Times New Roman" w:cs="Times New Roman"/>
          <w:bCs/>
          <w:i/>
          <w:sz w:val="28"/>
        </w:rPr>
        <w:t>derecho adquirido</w:t>
      </w:r>
      <w:r w:rsidRPr="008936AF">
        <w:rPr>
          <w:rFonts w:ascii="Times New Roman" w:hAnsi="Times New Roman" w:cs="Times New Roman"/>
          <w:bCs/>
          <w:iCs/>
          <w:sz w:val="28"/>
        </w:rPr>
        <w:t>”. Lo anterior</w:t>
      </w:r>
      <w:r w:rsidRPr="008936AF">
        <w:rPr>
          <w:rFonts w:ascii="Times New Roman" w:hAnsi="Times New Roman" w:cs="Times New Roman"/>
          <w:bCs/>
          <w:iCs/>
          <w:sz w:val="28"/>
        </w:rPr>
        <w:t>,</w:t>
      </w:r>
      <w:r w:rsidRPr="008936AF">
        <w:rPr>
          <w:rFonts w:ascii="Times New Roman" w:hAnsi="Times New Roman" w:cs="Times New Roman"/>
          <w:bCs/>
          <w:iCs/>
          <w:sz w:val="28"/>
        </w:rPr>
        <w:t xml:space="preserve"> </w:t>
      </w:r>
      <w:r w:rsidRPr="008936AF">
        <w:rPr>
          <w:rFonts w:ascii="Times New Roman" w:hAnsi="Times New Roman" w:cs="Times New Roman"/>
          <w:bCs/>
          <w:iCs/>
          <w:sz w:val="28"/>
          <w:szCs w:val="28"/>
        </w:rPr>
        <w:t xml:space="preserve">sin </w:t>
      </w:r>
      <w:r w:rsidRPr="008936AF">
        <w:rPr>
          <w:rFonts w:ascii="Times New Roman" w:hAnsi="Times New Roman" w:cs="Times New Roman"/>
          <w:bCs/>
          <w:iCs/>
          <w:sz w:val="28"/>
          <w:szCs w:val="28"/>
          <w:shd w:val="clear" w:color="auto" w:fill="FFFFFF"/>
        </w:rPr>
        <w:t>explicar p</w:t>
      </w:r>
      <w:r w:rsidRPr="008936AF">
        <w:rPr>
          <w:rFonts w:ascii="Times New Roman" w:hAnsi="Times New Roman" w:cs="Times New Roman"/>
          <w:bCs/>
          <w:iCs/>
          <w:sz w:val="28"/>
          <w:szCs w:val="28"/>
          <w:shd w:val="clear" w:color="auto" w:fill="FFFFFF"/>
        </w:rPr>
        <w:t>or qué dicha indemnización se considera un derecho adquirido o, por qué el legislador no podía establecer reformas respecto de la manera en que dicha indemnización debía pagarse (</w:t>
      </w:r>
      <w:r w:rsidRPr="008936AF">
        <w:rPr>
          <w:rFonts w:ascii="Times New Roman" w:hAnsi="Times New Roman" w:cs="Times New Roman"/>
          <w:bCs/>
          <w:iCs/>
          <w:sz w:val="28"/>
          <w:szCs w:val="28"/>
          <w:shd w:val="clear" w:color="auto" w:fill="FFFFFF"/>
        </w:rPr>
        <w:t xml:space="preserve">tal como se realizó a través del </w:t>
      </w:r>
      <w:r w:rsidRPr="008936AF">
        <w:rPr>
          <w:rFonts w:ascii="Times New Roman" w:hAnsi="Times New Roman" w:cs="Times New Roman"/>
          <w:bCs/>
          <w:iCs/>
          <w:sz w:val="28"/>
          <w:szCs w:val="28"/>
          <w:shd w:val="clear" w:color="auto" w:fill="FFFFFF"/>
        </w:rPr>
        <w:t>artículo 28 de la Ley 789 de 2002)</w:t>
      </w:r>
      <w:r w:rsidRPr="008936AF">
        <w:rPr>
          <w:rFonts w:ascii="Times New Roman" w:hAnsi="Times New Roman" w:cs="Times New Roman"/>
          <w:bCs/>
          <w:iCs/>
          <w:sz w:val="28"/>
          <w:szCs w:val="28"/>
        </w:rPr>
        <w:t>.</w:t>
      </w:r>
      <w:r w:rsidRPr="008936AF">
        <w:rPr>
          <w:rFonts w:ascii="Times New Roman" w:hAnsi="Times New Roman" w:cs="Times New Roman"/>
          <w:bCs/>
          <w:iCs/>
          <w:sz w:val="28"/>
        </w:rPr>
        <w:t xml:space="preserve"> </w:t>
      </w:r>
    </w:p>
    <w:p w:rsidR="00116348" w:rsidRPr="008936AF" w:rsidRDefault="008936AF" w:rsidP="009268B9">
      <w:pPr>
        <w:pStyle w:val="Prrafodelista"/>
        <w:tabs>
          <w:tab w:val="left" w:pos="142"/>
        </w:tabs>
        <w:ind w:left="0" w:right="51"/>
        <w:jc w:val="both"/>
        <w:rPr>
          <w:rFonts w:ascii="Times New Roman" w:hAnsi="Times New Roman" w:cs="Times New Roman"/>
          <w:iCs/>
          <w:sz w:val="28"/>
        </w:rPr>
      </w:pPr>
    </w:p>
    <w:p w:rsidR="006C6515" w:rsidRPr="008936AF" w:rsidRDefault="008936AF" w:rsidP="00D84869">
      <w:pPr>
        <w:pStyle w:val="Prrafodelista"/>
        <w:numPr>
          <w:ilvl w:val="0"/>
          <w:numId w:val="1"/>
        </w:numPr>
        <w:tabs>
          <w:tab w:val="left" w:pos="142"/>
        </w:tabs>
        <w:ind w:left="0" w:right="51" w:firstLine="0"/>
        <w:jc w:val="both"/>
        <w:rPr>
          <w:rFonts w:ascii="Times New Roman" w:hAnsi="Times New Roman" w:cs="Times New Roman"/>
          <w:sz w:val="28"/>
          <w:szCs w:val="28"/>
          <w:lang w:eastAsia="es-ES"/>
        </w:rPr>
      </w:pPr>
      <w:r w:rsidRPr="008936AF">
        <w:rPr>
          <w:rFonts w:ascii="Times New Roman" w:hAnsi="Times New Roman" w:cs="Times New Roman"/>
          <w:sz w:val="28"/>
        </w:rPr>
        <w:t>Finalm</w:t>
      </w:r>
      <w:r w:rsidRPr="008936AF">
        <w:rPr>
          <w:rFonts w:ascii="Times New Roman" w:hAnsi="Times New Roman" w:cs="Times New Roman"/>
          <w:sz w:val="28"/>
        </w:rPr>
        <w:t xml:space="preserve">ente, respecto de la presunta </w:t>
      </w:r>
      <w:r w:rsidRPr="008936AF">
        <w:rPr>
          <w:rFonts w:ascii="Times New Roman" w:hAnsi="Times New Roman" w:cs="Times New Roman"/>
          <w:i/>
          <w:sz w:val="28"/>
        </w:rPr>
        <w:t>vulneración del artículo 53 de la Constitución</w:t>
      </w:r>
      <w:r w:rsidRPr="008936AF">
        <w:rPr>
          <w:rFonts w:ascii="Times New Roman" w:hAnsi="Times New Roman" w:cs="Times New Roman"/>
          <w:sz w:val="28"/>
        </w:rPr>
        <w:t xml:space="preserve">, la Sala Plena </w:t>
      </w:r>
      <w:r w:rsidRPr="008936AF">
        <w:rPr>
          <w:rFonts w:ascii="Times New Roman" w:hAnsi="Times New Roman" w:cs="Times New Roman"/>
          <w:sz w:val="28"/>
        </w:rPr>
        <w:t xml:space="preserve">considera que el demandante no cumple con el presupuesto de </w:t>
      </w:r>
      <w:r w:rsidRPr="008936AF">
        <w:rPr>
          <w:rFonts w:ascii="Times New Roman" w:hAnsi="Times New Roman" w:cs="Times New Roman"/>
          <w:i/>
          <w:sz w:val="28"/>
        </w:rPr>
        <w:t>especificidad</w:t>
      </w:r>
      <w:r w:rsidRPr="008936AF">
        <w:rPr>
          <w:rFonts w:ascii="Times New Roman" w:hAnsi="Times New Roman" w:cs="Times New Roman"/>
          <w:sz w:val="28"/>
        </w:rPr>
        <w:t xml:space="preserve"> ya que no logra explicar </w:t>
      </w:r>
      <w:r w:rsidRPr="008936AF">
        <w:rPr>
          <w:rFonts w:ascii="Times New Roman" w:hAnsi="Times New Roman" w:cs="Times New Roman"/>
          <w:sz w:val="28"/>
        </w:rPr>
        <w:t>por qué el reconocimiento de los intereses moratorios al trabajad</w:t>
      </w:r>
      <w:r w:rsidRPr="008936AF">
        <w:rPr>
          <w:rFonts w:ascii="Times New Roman" w:hAnsi="Times New Roman" w:cs="Times New Roman"/>
          <w:sz w:val="28"/>
        </w:rPr>
        <w:t>or, aun</w:t>
      </w:r>
      <w:r w:rsidRPr="008936AF">
        <w:rPr>
          <w:rFonts w:ascii="Times New Roman" w:hAnsi="Times New Roman" w:cs="Times New Roman"/>
          <w:sz w:val="28"/>
        </w:rPr>
        <w:t>que no se haya realizado el reclamo d</w:t>
      </w:r>
      <w:r w:rsidRPr="008936AF">
        <w:rPr>
          <w:rFonts w:ascii="Times New Roman" w:hAnsi="Times New Roman" w:cs="Times New Roman"/>
          <w:sz w:val="28"/>
        </w:rPr>
        <w:t xml:space="preserve">el pago de sus acreencias laborales por más de dos años, constituye una interpretación que desconoce el principio de favorabilidad del trabajador. </w:t>
      </w:r>
    </w:p>
    <w:p w:rsidR="00D84869" w:rsidRPr="008936AF" w:rsidRDefault="008936AF" w:rsidP="00D84869">
      <w:pPr>
        <w:pStyle w:val="Prrafodelista"/>
        <w:tabs>
          <w:tab w:val="left" w:pos="142"/>
        </w:tabs>
        <w:ind w:left="0" w:right="51"/>
        <w:jc w:val="both"/>
        <w:rPr>
          <w:rFonts w:ascii="Times New Roman" w:hAnsi="Times New Roman" w:cs="Times New Roman"/>
          <w:sz w:val="28"/>
          <w:szCs w:val="28"/>
          <w:lang w:eastAsia="es-ES"/>
        </w:rPr>
      </w:pPr>
    </w:p>
    <w:p w:rsidR="008B0BAF" w:rsidRPr="008936AF" w:rsidRDefault="008936AF" w:rsidP="009268B9">
      <w:pPr>
        <w:pStyle w:val="Prrafodelista"/>
        <w:numPr>
          <w:ilvl w:val="0"/>
          <w:numId w:val="1"/>
        </w:numPr>
        <w:tabs>
          <w:tab w:val="left" w:pos="142"/>
        </w:tabs>
        <w:ind w:left="0" w:right="51" w:firstLine="0"/>
        <w:jc w:val="both"/>
        <w:rPr>
          <w:rFonts w:ascii="Times New Roman" w:hAnsi="Times New Roman" w:cs="Times New Roman"/>
          <w:sz w:val="28"/>
          <w:szCs w:val="28"/>
          <w:lang w:eastAsia="es-ES"/>
        </w:rPr>
      </w:pPr>
      <w:r w:rsidRPr="008936AF">
        <w:rPr>
          <w:rFonts w:ascii="Times New Roman" w:hAnsi="Times New Roman" w:cs="Times New Roman"/>
          <w:sz w:val="28"/>
          <w:szCs w:val="28"/>
          <w:shd w:val="clear" w:color="auto" w:fill="FFFFFF"/>
        </w:rPr>
        <w:t>Bajo este contexto</w:t>
      </w:r>
      <w:r w:rsidRPr="008936AF">
        <w:rPr>
          <w:rFonts w:ascii="Times New Roman" w:hAnsi="Times New Roman" w:cs="Times New Roman"/>
          <w:sz w:val="28"/>
          <w:szCs w:val="28"/>
          <w:shd w:val="clear" w:color="auto" w:fill="FFFFFF"/>
        </w:rPr>
        <w:t xml:space="preserve">, </w:t>
      </w:r>
      <w:r w:rsidRPr="008936AF">
        <w:rPr>
          <w:rFonts w:ascii="Times New Roman" w:hAnsi="Times New Roman" w:cs="Times New Roman"/>
          <w:sz w:val="28"/>
          <w:szCs w:val="28"/>
          <w:shd w:val="clear" w:color="auto" w:fill="FFFFFF"/>
        </w:rPr>
        <w:t xml:space="preserve">no encuentra la Sala Plena </w:t>
      </w:r>
      <w:r w:rsidRPr="008936AF">
        <w:rPr>
          <w:rFonts w:ascii="Times New Roman" w:hAnsi="Times New Roman" w:cs="Times New Roman"/>
          <w:sz w:val="28"/>
          <w:szCs w:val="28"/>
          <w:shd w:val="clear" w:color="auto" w:fill="FFFFFF"/>
        </w:rPr>
        <w:t xml:space="preserve">el cumplimiento de los </w:t>
      </w:r>
      <w:r w:rsidRPr="008936AF">
        <w:rPr>
          <w:rFonts w:ascii="Times New Roman" w:hAnsi="Times New Roman" w:cs="Times New Roman"/>
          <w:sz w:val="28"/>
          <w:szCs w:val="28"/>
          <w:shd w:val="clear" w:color="auto" w:fill="FFFFFF"/>
        </w:rPr>
        <w:t xml:space="preserve">presupuestos necesarios para continuar con el proceso de control abstracto y </w:t>
      </w:r>
      <w:r w:rsidRPr="008936AF">
        <w:rPr>
          <w:rFonts w:ascii="Times New Roman" w:hAnsi="Times New Roman" w:cs="Times New Roman"/>
          <w:sz w:val="28"/>
          <w:szCs w:val="28"/>
          <w:shd w:val="clear" w:color="auto" w:fill="FFFFFF"/>
        </w:rPr>
        <w:t xml:space="preserve">emitir un pronunciamiento de fondo. En </w:t>
      </w:r>
      <w:r w:rsidRPr="008936AF">
        <w:rPr>
          <w:rFonts w:ascii="Times New Roman" w:hAnsi="Times New Roman" w:cs="Times New Roman"/>
          <w:sz w:val="28"/>
          <w:szCs w:val="28"/>
          <w:shd w:val="clear" w:color="auto" w:fill="FFFFFF"/>
        </w:rPr>
        <w:t xml:space="preserve">consecuencia, </w:t>
      </w:r>
      <w:r w:rsidRPr="008936AF">
        <w:rPr>
          <w:rFonts w:ascii="Times New Roman" w:hAnsi="Times New Roman" w:cs="Times New Roman"/>
          <w:sz w:val="28"/>
          <w:szCs w:val="28"/>
          <w:lang w:eastAsia="es-ES"/>
        </w:rPr>
        <w:t>la Corte</w:t>
      </w:r>
      <w:r w:rsidRPr="008936AF">
        <w:rPr>
          <w:rFonts w:ascii="Times New Roman" w:hAnsi="Times New Roman" w:cs="Times New Roman"/>
          <w:sz w:val="28"/>
          <w:szCs w:val="28"/>
          <w:lang w:eastAsia="es-ES"/>
        </w:rPr>
        <w:t xml:space="preserve"> deberá declararse inhibida, por tratarse, en el presente caso, de una demanda que no satisfizo</w:t>
      </w:r>
      <w:r w:rsidRPr="008936AF">
        <w:rPr>
          <w:rFonts w:ascii="Times New Roman" w:hAnsi="Times New Roman" w:cs="Times New Roman"/>
          <w:sz w:val="28"/>
          <w:szCs w:val="28"/>
          <w:lang w:eastAsia="es-ES"/>
        </w:rPr>
        <w:t xml:space="preserve"> la exigencia de c</w:t>
      </w:r>
      <w:r w:rsidRPr="008936AF">
        <w:rPr>
          <w:rFonts w:ascii="Times New Roman" w:hAnsi="Times New Roman" w:cs="Times New Roman"/>
          <w:sz w:val="28"/>
          <w:szCs w:val="28"/>
          <w:lang w:eastAsia="es-ES"/>
        </w:rPr>
        <w:t>laridad, especificidad y suficiencia</w:t>
      </w:r>
      <w:r w:rsidRPr="008936AF">
        <w:rPr>
          <w:rFonts w:ascii="Times New Roman" w:hAnsi="Times New Roman" w:cs="Times New Roman"/>
          <w:sz w:val="28"/>
          <w:szCs w:val="28"/>
          <w:lang w:eastAsia="es-ES"/>
        </w:rPr>
        <w:t>.</w:t>
      </w:r>
    </w:p>
    <w:p w:rsidR="008B0BAF" w:rsidRPr="008936AF" w:rsidRDefault="008936AF" w:rsidP="009268B9">
      <w:pPr>
        <w:pStyle w:val="Prrafodelista"/>
        <w:tabs>
          <w:tab w:val="left" w:pos="142"/>
        </w:tabs>
        <w:ind w:left="0" w:right="51"/>
        <w:jc w:val="both"/>
        <w:rPr>
          <w:rFonts w:ascii="Times New Roman" w:hAnsi="Times New Roman" w:cs="Times New Roman"/>
          <w:sz w:val="28"/>
          <w:szCs w:val="28"/>
          <w:lang w:eastAsia="es-ES"/>
        </w:rPr>
      </w:pPr>
    </w:p>
    <w:p w:rsidR="00D07D6F" w:rsidRPr="008936AF" w:rsidRDefault="008936AF" w:rsidP="009268B9">
      <w:pPr>
        <w:tabs>
          <w:tab w:val="left" w:pos="284"/>
        </w:tabs>
        <w:ind w:right="56"/>
        <w:contextualSpacing/>
        <w:jc w:val="both"/>
        <w:rPr>
          <w:rFonts w:ascii="Times New Roman" w:hAnsi="Times New Roman" w:cs="Times New Roman"/>
          <w:b/>
          <w:sz w:val="28"/>
          <w:szCs w:val="28"/>
          <w:lang w:eastAsia="es-ES"/>
        </w:rPr>
      </w:pPr>
      <w:r w:rsidRPr="008936AF">
        <w:rPr>
          <w:rFonts w:ascii="Times New Roman" w:hAnsi="Times New Roman" w:cs="Times New Roman"/>
          <w:b/>
          <w:sz w:val="28"/>
          <w:szCs w:val="28"/>
          <w:lang w:eastAsia="es-ES"/>
        </w:rPr>
        <w:t xml:space="preserve">III. DECISIÓN </w:t>
      </w:r>
    </w:p>
    <w:p w:rsidR="00D07D6F" w:rsidRPr="008936AF" w:rsidRDefault="008936AF" w:rsidP="009268B9">
      <w:pPr>
        <w:tabs>
          <w:tab w:val="left" w:pos="8931"/>
        </w:tabs>
        <w:ind w:left="709" w:right="56"/>
        <w:contextualSpacing/>
        <w:jc w:val="both"/>
        <w:rPr>
          <w:rFonts w:ascii="Times New Roman" w:hAnsi="Times New Roman" w:cs="Times New Roman"/>
          <w:sz w:val="28"/>
          <w:szCs w:val="28"/>
          <w:lang w:eastAsia="es-ES"/>
        </w:rPr>
      </w:pPr>
    </w:p>
    <w:p w:rsidR="00F801C2" w:rsidRPr="008936AF" w:rsidRDefault="008936AF" w:rsidP="009268B9">
      <w:pPr>
        <w:jc w:val="both"/>
        <w:rPr>
          <w:rFonts w:ascii="Times New Roman" w:hAnsi="Times New Roman" w:cs="Times New Roman"/>
          <w:sz w:val="28"/>
          <w:szCs w:val="28"/>
        </w:rPr>
      </w:pPr>
      <w:r w:rsidRPr="008936AF">
        <w:rPr>
          <w:rFonts w:ascii="Times New Roman" w:hAnsi="Times New Roman" w:cs="Times New Roman"/>
          <w:sz w:val="28"/>
          <w:szCs w:val="28"/>
        </w:rPr>
        <w:t>En mérito de lo expuesto, la Corte Constitucional de la República de Colombia, administrando justicia en nombre del pueblo y por mandato de la Constitución,</w:t>
      </w:r>
    </w:p>
    <w:p w:rsidR="00F801C2" w:rsidRPr="008936AF" w:rsidRDefault="008936AF" w:rsidP="009268B9">
      <w:pPr>
        <w:jc w:val="both"/>
        <w:rPr>
          <w:rFonts w:ascii="Times New Roman" w:hAnsi="Times New Roman" w:cs="Times New Roman"/>
          <w:sz w:val="28"/>
          <w:szCs w:val="28"/>
        </w:rPr>
      </w:pPr>
    </w:p>
    <w:p w:rsidR="00F801C2" w:rsidRPr="008936AF" w:rsidRDefault="008936AF" w:rsidP="009268B9">
      <w:pPr>
        <w:jc w:val="center"/>
        <w:rPr>
          <w:rFonts w:ascii="Times New Roman" w:hAnsi="Times New Roman" w:cs="Times New Roman"/>
          <w:b/>
          <w:sz w:val="28"/>
          <w:szCs w:val="28"/>
        </w:rPr>
      </w:pPr>
      <w:r w:rsidRPr="008936AF">
        <w:rPr>
          <w:rFonts w:ascii="Times New Roman" w:hAnsi="Times New Roman" w:cs="Times New Roman"/>
          <w:b/>
          <w:sz w:val="28"/>
          <w:szCs w:val="28"/>
        </w:rPr>
        <w:t>RESUELVE</w:t>
      </w:r>
    </w:p>
    <w:p w:rsidR="00F801C2" w:rsidRPr="008936AF" w:rsidRDefault="008936AF" w:rsidP="009268B9">
      <w:pPr>
        <w:jc w:val="both"/>
        <w:rPr>
          <w:rFonts w:ascii="Times New Roman" w:hAnsi="Times New Roman" w:cs="Times New Roman"/>
          <w:sz w:val="28"/>
          <w:szCs w:val="28"/>
        </w:rPr>
      </w:pPr>
    </w:p>
    <w:p w:rsidR="00334794" w:rsidRPr="008936AF" w:rsidRDefault="008936AF" w:rsidP="009268B9">
      <w:pPr>
        <w:jc w:val="both"/>
        <w:rPr>
          <w:rFonts w:ascii="Times New Roman" w:hAnsi="Times New Roman" w:cs="Times New Roman"/>
          <w:sz w:val="28"/>
          <w:szCs w:val="28"/>
        </w:rPr>
      </w:pPr>
      <w:r w:rsidRPr="008936AF">
        <w:rPr>
          <w:rFonts w:ascii="Times New Roman" w:hAnsi="Times New Roman" w:cs="Times New Roman"/>
          <w:sz w:val="28"/>
          <w:szCs w:val="28"/>
        </w:rPr>
        <w:t xml:space="preserve">Declararse </w:t>
      </w:r>
      <w:r w:rsidRPr="008936AF">
        <w:rPr>
          <w:rFonts w:ascii="Times New Roman" w:hAnsi="Times New Roman" w:cs="Times New Roman"/>
          <w:b/>
          <w:sz w:val="28"/>
          <w:szCs w:val="28"/>
        </w:rPr>
        <w:t>INHIBIDA</w:t>
      </w:r>
      <w:r w:rsidRPr="008936AF">
        <w:rPr>
          <w:rFonts w:ascii="Times New Roman" w:hAnsi="Times New Roman" w:cs="Times New Roman"/>
          <w:sz w:val="28"/>
          <w:szCs w:val="28"/>
        </w:rPr>
        <w:t xml:space="preserve"> para pronunciarse sobre la constitucionalidad de la </w:t>
      </w:r>
      <w:r w:rsidRPr="008936AF">
        <w:rPr>
          <w:rFonts w:ascii="Times New Roman" w:hAnsi="Times New Roman" w:cs="Times New Roman"/>
          <w:sz w:val="28"/>
          <w:szCs w:val="28"/>
        </w:rPr>
        <w:t xml:space="preserve">expresión demandada </w:t>
      </w:r>
      <w:r w:rsidRPr="008936AF">
        <w:rPr>
          <w:rFonts w:ascii="Times New Roman" w:hAnsi="Times New Roman" w:cs="Times New Roman"/>
          <w:sz w:val="28"/>
          <w:szCs w:val="28"/>
        </w:rPr>
        <w:t>del artículo 65 del CST, por ineptitud sustantiva de la demanda.</w:t>
      </w:r>
    </w:p>
    <w:p w:rsidR="009E36F5" w:rsidRPr="008936AF" w:rsidRDefault="008936AF" w:rsidP="009268B9">
      <w:pPr>
        <w:jc w:val="both"/>
        <w:rPr>
          <w:rFonts w:ascii="Times New Roman" w:hAnsi="Times New Roman" w:cs="Times New Roman"/>
          <w:sz w:val="28"/>
          <w:szCs w:val="28"/>
        </w:rPr>
      </w:pPr>
    </w:p>
    <w:p w:rsidR="00BC0A31" w:rsidRPr="008936AF" w:rsidRDefault="008936AF" w:rsidP="009268B9">
      <w:pPr>
        <w:shd w:val="clear" w:color="auto" w:fill="FFFFFF"/>
        <w:jc w:val="both"/>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Notifíquese, comuníquese y cúmplase,</w:t>
      </w:r>
    </w:p>
    <w:p w:rsidR="00F471C0" w:rsidRPr="008936AF" w:rsidRDefault="008936AF" w:rsidP="009268B9">
      <w:pPr>
        <w:shd w:val="clear" w:color="auto" w:fill="FFFFFF"/>
        <w:jc w:val="both"/>
        <w:rPr>
          <w:rFonts w:ascii="Times New Roman" w:hAnsi="Times New Roman" w:cs="Times New Roman"/>
          <w:color w:val="2D2D2D"/>
          <w:sz w:val="28"/>
          <w:szCs w:val="28"/>
          <w:lang w:val="es-ES"/>
        </w:rPr>
      </w:pPr>
    </w:p>
    <w:p w:rsidR="00F471C0" w:rsidRPr="008936AF" w:rsidRDefault="008936AF" w:rsidP="009268B9">
      <w:pPr>
        <w:shd w:val="clear" w:color="auto" w:fill="FFFFFF"/>
        <w:jc w:val="both"/>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JOSE FERNANDO REYES CUARTAS</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Presidente</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NATALIA ÁNGEL CABO</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Magistrada</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JUAN CARLOS CORTÉS GONZÁLEZ</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 xml:space="preserve">Magistrado </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 xml:space="preserve">Con Salvamento de voto </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DIANA FAJARDO RIVERA</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Magistrada</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VLADIMIR FERNÁNDEZ ANDRADE</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Magistrado</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 xml:space="preserve">JORGE ENRIQUE IBÁÑEZ NAJAR </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Magistrado</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ANTONIO JOSÉ LIZARAZO OCAMPO</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Magistrado</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 xml:space="preserve">Ausente con </w:t>
      </w:r>
      <w:r w:rsidRPr="008936AF">
        <w:rPr>
          <w:rFonts w:ascii="Times New Roman" w:hAnsi="Times New Roman" w:cs="Times New Roman"/>
          <w:color w:val="2D2D2D"/>
          <w:sz w:val="28"/>
          <w:szCs w:val="28"/>
          <w:lang w:val="es-ES"/>
        </w:rPr>
        <w:t>comisión</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PAOLA ANDREA MENESES MOSQUERA</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Magistrada</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CRISTINA PARDO SCHLESINGER</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Magistrada</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ANDREA LILIANA ROMERO LOPEZ</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t>Secretaria General</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1F0F34" w:rsidRPr="008936AF" w:rsidRDefault="008936AF" w:rsidP="00F471C0">
      <w:pPr>
        <w:shd w:val="clear" w:color="auto" w:fill="FFFFFF"/>
        <w:jc w:val="center"/>
        <w:rPr>
          <w:rFonts w:ascii="Times New Roman" w:hAnsi="Times New Roman" w:cs="Times New Roman"/>
          <w:color w:val="2D2D2D"/>
          <w:sz w:val="28"/>
          <w:szCs w:val="28"/>
          <w:lang w:val="es-ES"/>
        </w:rPr>
      </w:pPr>
    </w:p>
    <w:p w:rsidR="001F0F34" w:rsidRPr="008936AF" w:rsidRDefault="008936AF">
      <w:pPr>
        <w:rPr>
          <w:rFonts w:ascii="Times New Roman" w:hAnsi="Times New Roman" w:cs="Times New Roman"/>
          <w:color w:val="2D2D2D"/>
          <w:sz w:val="28"/>
          <w:szCs w:val="28"/>
          <w:lang w:val="es-ES"/>
        </w:rPr>
      </w:pPr>
      <w:r w:rsidRPr="008936AF">
        <w:rPr>
          <w:rFonts w:ascii="Times New Roman" w:hAnsi="Times New Roman" w:cs="Times New Roman"/>
          <w:color w:val="2D2D2D"/>
          <w:sz w:val="28"/>
          <w:szCs w:val="28"/>
          <w:lang w:val="es-ES"/>
        </w:rPr>
        <w:br w:type="page"/>
      </w:r>
    </w:p>
    <w:p w:rsidR="001F0F34" w:rsidRPr="008936AF" w:rsidRDefault="008936AF" w:rsidP="001F0F34">
      <w:pPr>
        <w:ind w:right="-70"/>
        <w:jc w:val="center"/>
        <w:rPr>
          <w:rFonts w:ascii="Times New Roman" w:hAnsi="Times New Roman" w:cs="Times New Roman"/>
          <w:b/>
          <w:sz w:val="28"/>
          <w:szCs w:val="28"/>
          <w:lang w:val="es-ES"/>
        </w:rPr>
      </w:pPr>
      <w:r w:rsidRPr="008936AF">
        <w:rPr>
          <w:rFonts w:ascii="Times New Roman" w:hAnsi="Times New Roman" w:cs="Times New Roman"/>
          <w:b/>
          <w:sz w:val="28"/>
          <w:szCs w:val="28"/>
          <w:lang w:val="es-ES"/>
        </w:rPr>
        <w:t>SALVAMENTO DE VOTO DEL MAGISTRADO</w:t>
      </w:r>
    </w:p>
    <w:p w:rsidR="001F0F34" w:rsidRPr="008936AF" w:rsidRDefault="008936AF" w:rsidP="001F0F34">
      <w:pPr>
        <w:ind w:right="-70"/>
        <w:jc w:val="center"/>
        <w:rPr>
          <w:rFonts w:ascii="Times New Roman" w:hAnsi="Times New Roman" w:cs="Times New Roman"/>
          <w:b/>
          <w:sz w:val="28"/>
          <w:szCs w:val="28"/>
          <w:lang w:val="es-ES"/>
        </w:rPr>
      </w:pPr>
      <w:r w:rsidRPr="008936AF">
        <w:rPr>
          <w:rFonts w:ascii="Times New Roman" w:hAnsi="Times New Roman" w:cs="Times New Roman"/>
          <w:b/>
          <w:sz w:val="28"/>
          <w:szCs w:val="28"/>
          <w:lang w:val="es-ES"/>
        </w:rPr>
        <w:t xml:space="preserve"> JUAN CARLOS CORTÉS GONZÁLEZ</w:t>
      </w:r>
    </w:p>
    <w:p w:rsidR="001F0F34" w:rsidRPr="008936AF" w:rsidRDefault="008936AF" w:rsidP="001F0F34">
      <w:pPr>
        <w:ind w:right="-70"/>
        <w:jc w:val="center"/>
        <w:rPr>
          <w:rFonts w:ascii="Times New Roman" w:hAnsi="Times New Roman" w:cs="Times New Roman"/>
          <w:b/>
          <w:sz w:val="28"/>
          <w:szCs w:val="28"/>
          <w:lang w:val="es-ES"/>
        </w:rPr>
      </w:pPr>
      <w:r w:rsidRPr="008936AF">
        <w:rPr>
          <w:rFonts w:ascii="Times New Roman" w:hAnsi="Times New Roman" w:cs="Times New Roman"/>
          <w:b/>
          <w:sz w:val="28"/>
          <w:szCs w:val="28"/>
          <w:lang w:val="es-ES"/>
        </w:rPr>
        <w:t xml:space="preserve"> A LA SENTENCIA C-212/24</w:t>
      </w:r>
    </w:p>
    <w:p w:rsidR="001F0F34" w:rsidRPr="008936AF" w:rsidRDefault="008936AF" w:rsidP="001F0F34">
      <w:pPr>
        <w:ind w:right="-70"/>
        <w:jc w:val="center"/>
        <w:rPr>
          <w:rFonts w:ascii="Times New Roman" w:hAnsi="Times New Roman" w:cs="Times New Roman"/>
          <w:b/>
          <w:sz w:val="28"/>
          <w:szCs w:val="28"/>
          <w:lang w:val="es-ES"/>
        </w:rPr>
      </w:pPr>
    </w:p>
    <w:p w:rsidR="001F0F34" w:rsidRPr="008936AF" w:rsidRDefault="008936AF" w:rsidP="001F0F34">
      <w:pPr>
        <w:ind w:right="-70"/>
        <w:jc w:val="center"/>
        <w:rPr>
          <w:rFonts w:ascii="Times New Roman" w:hAnsi="Times New Roman" w:cs="Times New Roman"/>
          <w:b/>
          <w:sz w:val="28"/>
          <w:szCs w:val="28"/>
          <w:lang w:val="es-ES"/>
        </w:rPr>
      </w:pPr>
    </w:p>
    <w:p w:rsidR="001F0F34" w:rsidRPr="008936AF" w:rsidRDefault="008936AF" w:rsidP="001F0F34">
      <w:pPr>
        <w:ind w:left="3969" w:right="-68"/>
        <w:jc w:val="both"/>
        <w:rPr>
          <w:rFonts w:ascii="Times New Roman" w:hAnsi="Times New Roman" w:cs="Times New Roman"/>
          <w:bCs/>
          <w:sz w:val="28"/>
          <w:szCs w:val="28"/>
          <w:highlight w:val="white"/>
          <w:lang w:val="es-ES"/>
        </w:rPr>
      </w:pPr>
      <w:r w:rsidRPr="008936AF">
        <w:rPr>
          <w:rFonts w:ascii="Times New Roman" w:hAnsi="Times New Roman" w:cs="Times New Roman"/>
          <w:bCs/>
          <w:sz w:val="28"/>
          <w:szCs w:val="28"/>
          <w:lang w:val="es-ES"/>
        </w:rPr>
        <w:t xml:space="preserve">Referencia: </w:t>
      </w:r>
      <w:r w:rsidRPr="008936AF">
        <w:rPr>
          <w:rFonts w:ascii="Times New Roman" w:hAnsi="Times New Roman" w:cs="Times New Roman"/>
          <w:bCs/>
          <w:sz w:val="28"/>
          <w:szCs w:val="28"/>
          <w:lang w:val="es-ES"/>
        </w:rPr>
        <w:t>expediente D-15563</w:t>
      </w:r>
    </w:p>
    <w:p w:rsidR="001F0F34" w:rsidRPr="008936AF" w:rsidRDefault="008936AF" w:rsidP="001F0F34">
      <w:pPr>
        <w:ind w:left="3969" w:right="-68"/>
        <w:jc w:val="both"/>
        <w:rPr>
          <w:rFonts w:ascii="Times New Roman" w:hAnsi="Times New Roman" w:cs="Times New Roman"/>
          <w:bCs/>
          <w:sz w:val="28"/>
          <w:szCs w:val="28"/>
          <w:lang w:val="es-ES"/>
        </w:rPr>
      </w:pPr>
    </w:p>
    <w:p w:rsidR="001F0F34" w:rsidRPr="008936AF" w:rsidRDefault="008936AF" w:rsidP="001F0F34">
      <w:pPr>
        <w:widowControl w:val="0"/>
        <w:spacing w:line="317" w:lineRule="exact"/>
        <w:ind w:left="3969"/>
        <w:jc w:val="both"/>
        <w:rPr>
          <w:rFonts w:ascii="Times New Roman" w:hAnsi="Times New Roman" w:cs="Times New Roman"/>
          <w:bCs/>
          <w:color w:val="000000" w:themeColor="text1"/>
          <w:sz w:val="28"/>
          <w:szCs w:val="26"/>
          <w:lang w:eastAsia="es-ES"/>
        </w:rPr>
      </w:pPr>
      <w:r w:rsidRPr="008936AF">
        <w:rPr>
          <w:rFonts w:ascii="Times New Roman" w:hAnsi="Times New Roman" w:cs="Times New Roman"/>
          <w:bCs/>
          <w:color w:val="000000" w:themeColor="text1"/>
          <w:sz w:val="28"/>
          <w:szCs w:val="26"/>
          <w:lang w:eastAsia="es-ES"/>
        </w:rPr>
        <w:t xml:space="preserve">Demanda de inconstitucionalidad contra el artículo 65 (parcial) del Código Sustantivo del Trabajo, modificado por el artículo 29 de la Ley 789 de 2002 </w:t>
      </w:r>
    </w:p>
    <w:p w:rsidR="001F0F34" w:rsidRPr="008936AF" w:rsidRDefault="008936AF" w:rsidP="001F0F34">
      <w:pPr>
        <w:ind w:left="3969"/>
        <w:jc w:val="both"/>
        <w:rPr>
          <w:rFonts w:ascii="Times New Roman" w:hAnsi="Times New Roman" w:cs="Times New Roman"/>
          <w:bCs/>
          <w:sz w:val="28"/>
          <w:szCs w:val="24"/>
        </w:rPr>
      </w:pPr>
    </w:p>
    <w:p w:rsidR="001F0F34" w:rsidRPr="008936AF" w:rsidRDefault="008936AF" w:rsidP="001F0F34">
      <w:pPr>
        <w:ind w:left="3969" w:right="-68"/>
        <w:jc w:val="both"/>
        <w:rPr>
          <w:rFonts w:ascii="Times New Roman" w:hAnsi="Times New Roman" w:cs="Times New Roman"/>
          <w:bCs/>
          <w:sz w:val="28"/>
          <w:szCs w:val="28"/>
          <w:lang w:val="es-ES"/>
        </w:rPr>
      </w:pPr>
      <w:r w:rsidRPr="008936AF">
        <w:rPr>
          <w:rFonts w:ascii="Times New Roman" w:hAnsi="Times New Roman" w:cs="Times New Roman"/>
          <w:bCs/>
          <w:sz w:val="28"/>
          <w:szCs w:val="28"/>
          <w:lang w:val="es-ES"/>
        </w:rPr>
        <w:t xml:space="preserve">Magistrada ponente: </w:t>
      </w:r>
      <w:r w:rsidRPr="008936AF">
        <w:rPr>
          <w:rFonts w:ascii="Times New Roman" w:hAnsi="Times New Roman" w:cs="Times New Roman"/>
          <w:bCs/>
          <w:color w:val="000000" w:themeColor="text1"/>
          <w:sz w:val="28"/>
          <w:szCs w:val="26"/>
          <w:lang w:val="es-ES" w:eastAsia="es-ES"/>
        </w:rPr>
        <w:t xml:space="preserve">Cristina Pardo Schlesinger </w:t>
      </w:r>
    </w:p>
    <w:p w:rsidR="001F0F34" w:rsidRPr="008936AF" w:rsidRDefault="008936AF" w:rsidP="001F0F34">
      <w:pPr>
        <w:ind w:right="-68"/>
        <w:jc w:val="both"/>
        <w:rPr>
          <w:rFonts w:ascii="Times New Roman" w:hAnsi="Times New Roman" w:cs="Times New Roman"/>
          <w:sz w:val="28"/>
          <w:szCs w:val="28"/>
          <w:lang w:val="es-ES"/>
        </w:rPr>
      </w:pPr>
    </w:p>
    <w:p w:rsidR="001F0F34" w:rsidRPr="008936AF" w:rsidRDefault="008936AF" w:rsidP="001F0F34">
      <w:pPr>
        <w:ind w:right="-68"/>
        <w:jc w:val="both"/>
        <w:rPr>
          <w:rFonts w:ascii="Times New Roman" w:hAnsi="Times New Roman" w:cs="Times New Roman"/>
          <w:sz w:val="28"/>
          <w:szCs w:val="28"/>
          <w:lang w:val="es-ES"/>
        </w:rPr>
      </w:pPr>
    </w:p>
    <w:p w:rsidR="001F0F34" w:rsidRPr="008936AF" w:rsidRDefault="008936AF" w:rsidP="001F0F34">
      <w:pPr>
        <w:numPr>
          <w:ilvl w:val="0"/>
          <w:numId w:val="2"/>
        </w:numPr>
        <w:tabs>
          <w:tab w:val="left" w:pos="284"/>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 xml:space="preserve">Con el acostumbrado respeto por </w:t>
      </w:r>
      <w:r w:rsidRPr="008936AF">
        <w:rPr>
          <w:rFonts w:ascii="Times New Roman" w:hAnsi="Times New Roman" w:cs="Times New Roman"/>
          <w:sz w:val="28"/>
          <w:szCs w:val="28"/>
          <w:lang w:val="es-ES"/>
        </w:rPr>
        <w:t>las decisiones de la Corte Constitucional, presento las razones que me llevan a salvar el voto en el presente asunto. No comparto la decisión inhibitoria acogida por la mayoría de la Sala Plena, por considerar que la demanda contenía un cargo de inconstitu</w:t>
      </w:r>
      <w:r w:rsidRPr="008936AF">
        <w:rPr>
          <w:rFonts w:ascii="Times New Roman" w:hAnsi="Times New Roman" w:cs="Times New Roman"/>
          <w:sz w:val="28"/>
          <w:szCs w:val="28"/>
          <w:lang w:val="es-ES"/>
        </w:rPr>
        <w:t>cionalidad apto, que ameritaba un pronunciamiento de fondo. En mi concepto, el alcance y la interpretación mayoritaria que la Sala de Casación Laboral de la Corte Suprema de Justicia ha realizado sobre el contenido del inciso 1º del artículo 65 del CST, ta</w:t>
      </w:r>
      <w:r w:rsidRPr="008936AF">
        <w:rPr>
          <w:rFonts w:ascii="Times New Roman" w:hAnsi="Times New Roman" w:cs="Times New Roman"/>
          <w:sz w:val="28"/>
          <w:szCs w:val="28"/>
          <w:lang w:val="es-ES"/>
        </w:rPr>
        <w:t>l como fue modificado por el artículo 29 de la Ley 789 de 2002, según la cual se extingue el derecho a la indemnización moratoria llamada de “brazos caídos” cuando el trabajador no reclama por la vía ordinaria dentro de los 24 meses siguientes al despido y</w:t>
      </w:r>
      <w:r w:rsidRPr="008936AF">
        <w:rPr>
          <w:rFonts w:ascii="Times New Roman" w:hAnsi="Times New Roman" w:cs="Times New Roman"/>
          <w:sz w:val="28"/>
          <w:szCs w:val="28"/>
          <w:lang w:val="es-ES"/>
        </w:rPr>
        <w:t>, a cambio, se reconocen intereses moratorios, agregó un ingrediente normativo desfavorable al trabajador que resulta inconstitucional, tal como lo argumentó la demanda.</w:t>
      </w:r>
    </w:p>
    <w:p w:rsidR="001F0F34" w:rsidRPr="008936AF" w:rsidRDefault="008936AF" w:rsidP="001F0F34">
      <w:pPr>
        <w:tabs>
          <w:tab w:val="left" w:pos="284"/>
        </w:tabs>
        <w:ind w:right="51"/>
        <w:contextualSpacing/>
        <w:jc w:val="both"/>
        <w:rPr>
          <w:rFonts w:ascii="Times New Roman" w:hAnsi="Times New Roman" w:cs="Times New Roman"/>
          <w:sz w:val="28"/>
          <w:szCs w:val="28"/>
          <w:lang w:val="es-ES"/>
        </w:rPr>
      </w:pPr>
    </w:p>
    <w:p w:rsidR="001F0F34" w:rsidRPr="008936AF" w:rsidRDefault="008936AF" w:rsidP="001F0F34">
      <w:pPr>
        <w:numPr>
          <w:ilvl w:val="0"/>
          <w:numId w:val="2"/>
        </w:numPr>
        <w:tabs>
          <w:tab w:val="left" w:pos="284"/>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A efectos de ahondar en las razones que justifican mi disentimiento de la decisión ma</w:t>
      </w:r>
      <w:r w:rsidRPr="008936AF">
        <w:rPr>
          <w:rFonts w:ascii="Times New Roman" w:hAnsi="Times New Roman" w:cs="Times New Roman"/>
          <w:sz w:val="28"/>
          <w:szCs w:val="28"/>
          <w:lang w:val="es-ES"/>
        </w:rPr>
        <w:t xml:space="preserve">yoritaria de la Sala Plena, procederé a </w:t>
      </w:r>
      <w:r w:rsidRPr="008936AF">
        <w:rPr>
          <w:rFonts w:ascii="Times New Roman" w:hAnsi="Times New Roman" w:cs="Times New Roman"/>
          <w:i/>
          <w:iCs/>
          <w:sz w:val="28"/>
          <w:szCs w:val="28"/>
          <w:lang w:val="es-ES"/>
        </w:rPr>
        <w:t xml:space="preserve">(i) </w:t>
      </w:r>
      <w:r w:rsidRPr="008936AF">
        <w:rPr>
          <w:rFonts w:ascii="Times New Roman" w:hAnsi="Times New Roman" w:cs="Times New Roman"/>
          <w:sz w:val="28"/>
          <w:szCs w:val="28"/>
          <w:lang w:val="es-ES"/>
        </w:rPr>
        <w:t xml:space="preserve">referirme brevemente a la decisión adoptada en la Sentencia C-212 de 2024, y luego a </w:t>
      </w:r>
      <w:r w:rsidRPr="008936AF">
        <w:rPr>
          <w:rFonts w:ascii="Times New Roman" w:hAnsi="Times New Roman" w:cs="Times New Roman"/>
          <w:i/>
          <w:iCs/>
          <w:sz w:val="28"/>
          <w:szCs w:val="28"/>
          <w:lang w:val="es-ES"/>
        </w:rPr>
        <w:t xml:space="preserve">(ii) </w:t>
      </w:r>
      <w:r w:rsidRPr="008936AF">
        <w:rPr>
          <w:rFonts w:ascii="Times New Roman" w:hAnsi="Times New Roman" w:cs="Times New Roman"/>
          <w:sz w:val="28"/>
          <w:szCs w:val="28"/>
          <w:lang w:val="es-ES"/>
        </w:rPr>
        <w:t xml:space="preserve">explicar el análisis que, en mi criterio, debió efectuarse para abordar el debate constitucional planteado. </w:t>
      </w:r>
    </w:p>
    <w:p w:rsidR="001F0F34" w:rsidRPr="008936AF" w:rsidRDefault="008936AF" w:rsidP="001F0F34">
      <w:pPr>
        <w:ind w:left="720"/>
        <w:contextualSpacing/>
        <w:jc w:val="both"/>
        <w:rPr>
          <w:rFonts w:ascii="Times New Roman" w:hAnsi="Times New Roman" w:cs="Times New Roman"/>
          <w:i/>
          <w:iCs/>
          <w:sz w:val="28"/>
          <w:szCs w:val="28"/>
          <w:lang w:val="es-ES"/>
        </w:rPr>
      </w:pPr>
    </w:p>
    <w:p w:rsidR="001F0F34" w:rsidRPr="008936AF" w:rsidRDefault="008936AF" w:rsidP="001F0F34">
      <w:pPr>
        <w:numPr>
          <w:ilvl w:val="0"/>
          <w:numId w:val="2"/>
        </w:numPr>
        <w:tabs>
          <w:tab w:val="left" w:pos="284"/>
          <w:tab w:val="left" w:pos="426"/>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i/>
          <w:iCs/>
          <w:sz w:val="28"/>
          <w:szCs w:val="28"/>
          <w:lang w:val="es-ES"/>
        </w:rPr>
        <w:t xml:space="preserve">Decisión de la Sentencia C-212 de 2024. </w:t>
      </w:r>
      <w:r w:rsidRPr="008936AF">
        <w:rPr>
          <w:rFonts w:ascii="Times New Roman" w:hAnsi="Times New Roman" w:cs="Times New Roman"/>
          <w:sz w:val="28"/>
          <w:szCs w:val="28"/>
          <w:lang w:val="es-ES"/>
        </w:rPr>
        <w:t>La Sala Plena concluyó que la demanda carecía de una argumentación comprensible respecto del cuestionamiento hecho a la interpretación de la Corte Suprema de Justicia. Esto porque, si bien se cuestionaba la pérdida d</w:t>
      </w:r>
      <w:r w:rsidRPr="008936AF">
        <w:rPr>
          <w:rFonts w:ascii="Times New Roman" w:hAnsi="Times New Roman" w:cs="Times New Roman"/>
          <w:sz w:val="28"/>
          <w:szCs w:val="28"/>
          <w:lang w:val="es-ES"/>
        </w:rPr>
        <w:t>el derecho a la indemnización moratoria desde la terminación del contrato laboral cuando el trabajador deja pasar más de 24 meses para reclamar el pago, pérdida de derecho que de tal interpretación judicial se derivaría, la demanda no logró demostrar una o</w:t>
      </w:r>
      <w:r w:rsidRPr="008936AF">
        <w:rPr>
          <w:rFonts w:ascii="Times New Roman" w:hAnsi="Times New Roman" w:cs="Times New Roman"/>
          <w:sz w:val="28"/>
          <w:szCs w:val="28"/>
          <w:lang w:val="es-ES"/>
        </w:rPr>
        <w:t xml:space="preserve">posición clara y específica entre la norma de la que se desprendía dicha interpretación y los artículos 53, 58 y 243 de la Constitución. </w:t>
      </w:r>
    </w:p>
    <w:p w:rsidR="001F0F34" w:rsidRPr="008936AF" w:rsidRDefault="008936AF" w:rsidP="001F0F34">
      <w:pPr>
        <w:ind w:left="720"/>
        <w:contextualSpacing/>
        <w:jc w:val="both"/>
        <w:rPr>
          <w:rFonts w:ascii="Times New Roman" w:hAnsi="Times New Roman" w:cs="Times New Roman"/>
          <w:sz w:val="28"/>
          <w:szCs w:val="28"/>
          <w:lang w:val="es-ES"/>
        </w:rPr>
      </w:pPr>
    </w:p>
    <w:p w:rsidR="001F0F34" w:rsidRPr="008936AF" w:rsidRDefault="008936AF" w:rsidP="001F0F34">
      <w:pPr>
        <w:numPr>
          <w:ilvl w:val="0"/>
          <w:numId w:val="2"/>
        </w:numPr>
        <w:tabs>
          <w:tab w:val="left" w:pos="284"/>
          <w:tab w:val="left" w:pos="426"/>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 xml:space="preserve">En consecuencia, la Sala Plena decidió inhibirse de emitir un pronunciamiento de mérito, al no existir un cargo apto </w:t>
      </w:r>
      <w:r w:rsidRPr="008936AF">
        <w:rPr>
          <w:rFonts w:ascii="Times New Roman" w:hAnsi="Times New Roman" w:cs="Times New Roman"/>
          <w:sz w:val="28"/>
          <w:szCs w:val="28"/>
          <w:lang w:val="es-ES"/>
        </w:rPr>
        <w:t>que permitiera activar la función jurisdiccional de la Corte Constitucional.</w:t>
      </w:r>
    </w:p>
    <w:p w:rsidR="001F0F34" w:rsidRPr="008936AF" w:rsidRDefault="008936AF" w:rsidP="001F0F34">
      <w:pPr>
        <w:ind w:left="720"/>
        <w:contextualSpacing/>
        <w:jc w:val="both"/>
        <w:rPr>
          <w:rFonts w:ascii="Times New Roman" w:hAnsi="Times New Roman" w:cs="Times New Roman"/>
          <w:i/>
          <w:iCs/>
          <w:sz w:val="28"/>
          <w:szCs w:val="28"/>
          <w:lang w:val="es-ES"/>
        </w:rPr>
      </w:pPr>
    </w:p>
    <w:p w:rsidR="001F0F34" w:rsidRPr="008936AF" w:rsidRDefault="008936AF" w:rsidP="001F0F34">
      <w:pPr>
        <w:numPr>
          <w:ilvl w:val="0"/>
          <w:numId w:val="2"/>
        </w:numPr>
        <w:tabs>
          <w:tab w:val="left" w:pos="284"/>
          <w:tab w:val="left" w:pos="426"/>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i/>
          <w:iCs/>
          <w:sz w:val="28"/>
          <w:szCs w:val="28"/>
          <w:lang w:val="es-ES"/>
        </w:rPr>
        <w:t>Decisión alternativa que resultaba más favorable a los trabajadores despedidos que reclaman el derecho a la indemnización moratoria sobre las sumas adeudadas por salarios y prest</w:t>
      </w:r>
      <w:r w:rsidRPr="008936AF">
        <w:rPr>
          <w:rFonts w:ascii="Times New Roman" w:hAnsi="Times New Roman" w:cs="Times New Roman"/>
          <w:i/>
          <w:iCs/>
          <w:sz w:val="28"/>
          <w:szCs w:val="28"/>
          <w:lang w:val="es-ES"/>
        </w:rPr>
        <w:t xml:space="preserve">aciones sociales. </w:t>
      </w:r>
      <w:r w:rsidRPr="008936AF">
        <w:rPr>
          <w:rFonts w:ascii="Times New Roman" w:hAnsi="Times New Roman" w:cs="Times New Roman"/>
          <w:sz w:val="28"/>
          <w:szCs w:val="28"/>
          <w:lang w:val="es-ES"/>
        </w:rPr>
        <w:t>Respecto de la presunta vulneración del artículo 53 de la Constitución, la Sala Plena consideró que el demandante no cumplió con el presupuesto de especificidad, ya que no logró explicar por qué el reconocimiento de los intereses moratori</w:t>
      </w:r>
      <w:r w:rsidRPr="008936AF">
        <w:rPr>
          <w:rFonts w:ascii="Times New Roman" w:hAnsi="Times New Roman" w:cs="Times New Roman"/>
          <w:sz w:val="28"/>
          <w:szCs w:val="28"/>
          <w:lang w:val="es-ES"/>
        </w:rPr>
        <w:t xml:space="preserve">os al trabajador, aunque no se haya realizado el reclamo del pago de sus acreencias laborales por más de dos años, constituye una interpretación que desconoce el principio de favorabilidad del trabajador. </w:t>
      </w:r>
    </w:p>
    <w:p w:rsidR="001F0F34" w:rsidRPr="008936AF" w:rsidRDefault="008936AF" w:rsidP="001F0F34">
      <w:pPr>
        <w:tabs>
          <w:tab w:val="left" w:pos="0"/>
          <w:tab w:val="left" w:pos="284"/>
        </w:tabs>
        <w:ind w:left="360" w:right="51"/>
        <w:contextualSpacing/>
        <w:jc w:val="both"/>
        <w:rPr>
          <w:rFonts w:ascii="Times New Roman" w:hAnsi="Times New Roman" w:cs="Times New Roman"/>
          <w:sz w:val="28"/>
          <w:szCs w:val="28"/>
          <w:lang w:val="es-ES"/>
        </w:rPr>
      </w:pPr>
    </w:p>
    <w:p w:rsidR="001F0F34" w:rsidRPr="008936AF" w:rsidRDefault="008936AF" w:rsidP="001F0F34">
      <w:pPr>
        <w:numPr>
          <w:ilvl w:val="0"/>
          <w:numId w:val="2"/>
        </w:numPr>
        <w:tabs>
          <w:tab w:val="left" w:pos="0"/>
          <w:tab w:val="left" w:pos="284"/>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Contrario a ello, estimo que la demanda acreditab</w:t>
      </w:r>
      <w:r w:rsidRPr="008936AF">
        <w:rPr>
          <w:rFonts w:ascii="Times New Roman" w:hAnsi="Times New Roman" w:cs="Times New Roman"/>
          <w:sz w:val="28"/>
          <w:szCs w:val="28"/>
          <w:lang w:val="es-ES"/>
        </w:rPr>
        <w:t>a la mayor carga argumentativa que se exige para censuras contra interpretaciones judiciales frente al cargo por la presunta vulneración del artículo 53 superior, tal como explico enseguida:</w:t>
      </w:r>
    </w:p>
    <w:p w:rsidR="001F0F34" w:rsidRPr="008936AF" w:rsidRDefault="008936AF" w:rsidP="001F0F34">
      <w:pPr>
        <w:ind w:left="720"/>
        <w:contextualSpacing/>
        <w:jc w:val="both"/>
        <w:rPr>
          <w:rFonts w:ascii="Times New Roman" w:hAnsi="Times New Roman" w:cs="Times New Roman"/>
          <w:sz w:val="28"/>
          <w:szCs w:val="28"/>
          <w:lang w:val="es-ES"/>
        </w:rPr>
      </w:pPr>
    </w:p>
    <w:p w:rsidR="001F0F34" w:rsidRPr="008936AF" w:rsidRDefault="008936AF" w:rsidP="001F0F34">
      <w:pPr>
        <w:numPr>
          <w:ilvl w:val="1"/>
          <w:numId w:val="3"/>
        </w:numPr>
        <w:tabs>
          <w:tab w:val="left" w:pos="567"/>
        </w:tabs>
        <w:ind w:right="49"/>
        <w:contextualSpacing/>
        <w:jc w:val="both"/>
        <w:rPr>
          <w:rFonts w:ascii="Times New Roman" w:hAnsi="Times New Roman" w:cs="Times New Roman"/>
          <w:sz w:val="28"/>
          <w:szCs w:val="28"/>
          <w:lang w:val="es-ES"/>
        </w:rPr>
      </w:pPr>
      <w:r w:rsidRPr="008936AF">
        <w:rPr>
          <w:rFonts w:ascii="Times New Roman" w:hAnsi="Times New Roman" w:cs="Times New Roman"/>
          <w:i/>
          <w:sz w:val="28"/>
          <w:szCs w:val="28"/>
          <w:lang w:val="es-ES"/>
        </w:rPr>
        <w:t>Presupuesto de claridad</w:t>
      </w:r>
      <w:r w:rsidRPr="008936AF">
        <w:rPr>
          <w:rFonts w:ascii="Times New Roman" w:hAnsi="Times New Roman" w:cs="Times New Roman"/>
          <w:sz w:val="28"/>
          <w:szCs w:val="28"/>
          <w:lang w:val="es-ES"/>
        </w:rPr>
        <w:t>. El actor señaló que la norma sobre la c</w:t>
      </w:r>
      <w:r w:rsidRPr="008936AF">
        <w:rPr>
          <w:rFonts w:ascii="Times New Roman" w:hAnsi="Times New Roman" w:cs="Times New Roman"/>
          <w:sz w:val="28"/>
          <w:szCs w:val="28"/>
          <w:lang w:val="es-ES"/>
        </w:rPr>
        <w:t>ual se predica el cargo es el artículo 65 del CST, modificado por el artículo 29 de la Ley 789 de 2002. Y precisó el contenido normativo que se deriva de la interpretación acusada, fijada por el órgano de cierre de la jurisdicción ordinaria en su especiali</w:t>
      </w:r>
      <w:r w:rsidRPr="008936AF">
        <w:rPr>
          <w:rFonts w:ascii="Times New Roman" w:hAnsi="Times New Roman" w:cs="Times New Roman"/>
          <w:sz w:val="28"/>
          <w:szCs w:val="28"/>
          <w:lang w:val="es-ES"/>
        </w:rPr>
        <w:t>dad laboral: “El criterio mayoritario de la Sala respecto del alcance e interpretación de esta disposición, es que para que proceda dicha indemnización, se debe instaurar la demanda dentro de los 24 meses siguientes a la terminación del contrato de trabajo</w:t>
      </w:r>
      <w:r w:rsidRPr="008936AF">
        <w:rPr>
          <w:rFonts w:ascii="Times New Roman" w:hAnsi="Times New Roman" w:cs="Times New Roman"/>
          <w:sz w:val="28"/>
          <w:szCs w:val="28"/>
          <w:lang w:val="es-ES"/>
        </w:rPr>
        <w:t>; si ello no ocurre, el trabajador solo tendrá derecho a los intereses moratorios que dicha preceptiva prevé, a partir del mes 25”, desde el fin del vínculo del contrato de trabajo.</w:t>
      </w:r>
    </w:p>
    <w:p w:rsidR="001F0F34" w:rsidRPr="008936AF" w:rsidRDefault="008936AF" w:rsidP="001F0F34">
      <w:pPr>
        <w:tabs>
          <w:tab w:val="left" w:pos="567"/>
        </w:tabs>
        <w:ind w:left="720" w:right="49"/>
        <w:contextualSpacing/>
        <w:jc w:val="both"/>
        <w:rPr>
          <w:rFonts w:ascii="Times New Roman" w:hAnsi="Times New Roman" w:cs="Times New Roman"/>
          <w:i/>
          <w:sz w:val="28"/>
          <w:szCs w:val="28"/>
          <w:lang w:val="es-ES"/>
        </w:rPr>
      </w:pPr>
    </w:p>
    <w:p w:rsidR="001F0F34" w:rsidRPr="008936AF" w:rsidRDefault="008936AF" w:rsidP="001F0F34">
      <w:pPr>
        <w:numPr>
          <w:ilvl w:val="1"/>
          <w:numId w:val="3"/>
        </w:numPr>
        <w:tabs>
          <w:tab w:val="left" w:pos="567"/>
        </w:tabs>
        <w:ind w:right="49"/>
        <w:contextualSpacing/>
        <w:jc w:val="both"/>
        <w:rPr>
          <w:rFonts w:ascii="Times New Roman" w:hAnsi="Times New Roman" w:cs="Times New Roman"/>
          <w:sz w:val="28"/>
          <w:szCs w:val="28"/>
          <w:lang w:val="es-ES"/>
        </w:rPr>
      </w:pPr>
      <w:r w:rsidRPr="008936AF">
        <w:rPr>
          <w:rFonts w:ascii="Times New Roman" w:hAnsi="Times New Roman" w:cs="Times New Roman"/>
          <w:i/>
          <w:sz w:val="28"/>
          <w:szCs w:val="28"/>
          <w:lang w:val="es-ES"/>
        </w:rPr>
        <w:t>Presupuesto de certeza</w:t>
      </w:r>
      <w:r w:rsidRPr="008936AF">
        <w:rPr>
          <w:rFonts w:ascii="Times New Roman" w:hAnsi="Times New Roman" w:cs="Times New Roman"/>
          <w:sz w:val="28"/>
          <w:szCs w:val="28"/>
          <w:lang w:val="es-ES"/>
        </w:rPr>
        <w:t>. El reproche hallaba sustento en una real y cierta</w:t>
      </w:r>
      <w:r w:rsidRPr="008936AF">
        <w:rPr>
          <w:rFonts w:ascii="Times New Roman" w:hAnsi="Times New Roman" w:cs="Times New Roman"/>
          <w:sz w:val="28"/>
          <w:szCs w:val="28"/>
          <w:lang w:val="es-ES"/>
        </w:rPr>
        <w:t xml:space="preserve"> interpretación judicial, efectuada por la Sala de Casación Laboral de la Corte Suprema de Justicia, respaldada en su aplicación a casos concretos resueltos (derecho viviente). </w:t>
      </w:r>
    </w:p>
    <w:p w:rsidR="001F0F34" w:rsidRPr="008936AF" w:rsidRDefault="008936AF" w:rsidP="001F0F34">
      <w:pPr>
        <w:tabs>
          <w:tab w:val="left" w:pos="567"/>
        </w:tabs>
        <w:ind w:left="720" w:right="49"/>
        <w:contextualSpacing/>
        <w:jc w:val="both"/>
        <w:rPr>
          <w:rFonts w:ascii="Times New Roman" w:hAnsi="Times New Roman" w:cs="Times New Roman"/>
          <w:i/>
          <w:sz w:val="28"/>
          <w:szCs w:val="28"/>
          <w:lang w:val="es-ES"/>
        </w:rPr>
      </w:pPr>
    </w:p>
    <w:p w:rsidR="001F0F34" w:rsidRPr="008936AF" w:rsidRDefault="008936AF" w:rsidP="001F0F34">
      <w:pPr>
        <w:numPr>
          <w:ilvl w:val="1"/>
          <w:numId w:val="3"/>
        </w:numPr>
        <w:tabs>
          <w:tab w:val="left" w:pos="567"/>
        </w:tabs>
        <w:ind w:right="49"/>
        <w:contextualSpacing/>
        <w:jc w:val="both"/>
        <w:rPr>
          <w:rFonts w:ascii="Times New Roman" w:hAnsi="Times New Roman" w:cs="Times New Roman"/>
          <w:sz w:val="28"/>
          <w:szCs w:val="28"/>
          <w:lang w:val="es-ES"/>
        </w:rPr>
      </w:pPr>
      <w:r w:rsidRPr="008936AF">
        <w:rPr>
          <w:rFonts w:ascii="Times New Roman" w:hAnsi="Times New Roman" w:cs="Times New Roman"/>
          <w:i/>
          <w:sz w:val="28"/>
          <w:szCs w:val="28"/>
          <w:lang w:val="es-ES"/>
        </w:rPr>
        <w:t>Presupuesto de especificidad</w:t>
      </w:r>
      <w:r w:rsidRPr="008936AF">
        <w:rPr>
          <w:rFonts w:ascii="Times New Roman" w:hAnsi="Times New Roman" w:cs="Times New Roman"/>
          <w:sz w:val="28"/>
          <w:szCs w:val="28"/>
          <w:lang w:val="es-ES"/>
        </w:rPr>
        <w:t>. Las razones de inconstitucionalidad eran puntua</w:t>
      </w:r>
      <w:r w:rsidRPr="008936AF">
        <w:rPr>
          <w:rFonts w:ascii="Times New Roman" w:hAnsi="Times New Roman" w:cs="Times New Roman"/>
          <w:sz w:val="28"/>
          <w:szCs w:val="28"/>
          <w:lang w:val="es-ES"/>
        </w:rPr>
        <w:t>les y recayeron sobre el contenido normativo cuyo alcance específico ha sido fijado por la interpretación judicial acusada. Concretamente por cuanto el “texto normativo no consagra la consecuencia jurídica de la pérdida o la extinción del derecho a la inde</w:t>
      </w:r>
      <w:r w:rsidRPr="008936AF">
        <w:rPr>
          <w:rFonts w:ascii="Times New Roman" w:hAnsi="Times New Roman" w:cs="Times New Roman"/>
          <w:sz w:val="28"/>
          <w:szCs w:val="28"/>
          <w:lang w:val="es-ES"/>
        </w:rPr>
        <w:t>mnización moratoria de un día de salario por día de retardo hasta el mes 24 si el trabajador no ha reclamado por la vía ordinaria a partir del mes 25”.</w:t>
      </w:r>
    </w:p>
    <w:p w:rsidR="001F0F34" w:rsidRPr="008936AF" w:rsidRDefault="008936AF" w:rsidP="001F0F34">
      <w:pPr>
        <w:tabs>
          <w:tab w:val="left" w:pos="567"/>
        </w:tabs>
        <w:ind w:left="720" w:right="49"/>
        <w:contextualSpacing/>
        <w:jc w:val="both"/>
        <w:rPr>
          <w:rFonts w:ascii="Times New Roman" w:hAnsi="Times New Roman" w:cs="Times New Roman"/>
          <w:i/>
          <w:sz w:val="28"/>
          <w:szCs w:val="28"/>
          <w:lang w:val="es-ES"/>
        </w:rPr>
      </w:pPr>
    </w:p>
    <w:p w:rsidR="001F0F34" w:rsidRPr="008936AF" w:rsidRDefault="008936AF" w:rsidP="001F0F34">
      <w:pPr>
        <w:numPr>
          <w:ilvl w:val="1"/>
          <w:numId w:val="3"/>
        </w:numPr>
        <w:tabs>
          <w:tab w:val="left" w:pos="567"/>
        </w:tabs>
        <w:ind w:right="49"/>
        <w:contextualSpacing/>
        <w:jc w:val="both"/>
        <w:rPr>
          <w:rFonts w:ascii="Times New Roman" w:hAnsi="Times New Roman" w:cs="Times New Roman"/>
          <w:sz w:val="28"/>
          <w:szCs w:val="28"/>
          <w:lang w:val="es-ES"/>
        </w:rPr>
      </w:pPr>
      <w:r w:rsidRPr="008936AF">
        <w:rPr>
          <w:rFonts w:ascii="Times New Roman" w:hAnsi="Times New Roman" w:cs="Times New Roman"/>
          <w:i/>
          <w:sz w:val="28"/>
          <w:szCs w:val="28"/>
          <w:lang w:val="es-ES"/>
        </w:rPr>
        <w:t>Presupuesto de pertinencia</w:t>
      </w:r>
      <w:r w:rsidRPr="008936AF">
        <w:rPr>
          <w:rFonts w:ascii="Times New Roman" w:hAnsi="Times New Roman" w:cs="Times New Roman"/>
          <w:sz w:val="28"/>
          <w:szCs w:val="28"/>
          <w:lang w:val="es-ES"/>
        </w:rPr>
        <w:t xml:space="preserve">. El demandante planteó un problema de relevancia constitucional derivado de </w:t>
      </w:r>
      <w:r w:rsidRPr="008936AF">
        <w:rPr>
          <w:rFonts w:ascii="Times New Roman" w:hAnsi="Times New Roman" w:cs="Times New Roman"/>
          <w:sz w:val="28"/>
          <w:szCs w:val="28"/>
          <w:lang w:val="es-ES"/>
        </w:rPr>
        <w:t xml:space="preserve">la interpretación judicial impugnada: la vulneración del principio de favorabilidad o </w:t>
      </w:r>
      <w:r w:rsidRPr="008936AF">
        <w:rPr>
          <w:rFonts w:ascii="Times New Roman" w:hAnsi="Times New Roman" w:cs="Times New Roman"/>
          <w:i/>
          <w:sz w:val="28"/>
          <w:szCs w:val="28"/>
          <w:lang w:val="es-ES"/>
        </w:rPr>
        <w:t>in dubio pro</w:t>
      </w:r>
      <w:r w:rsidRPr="008936AF">
        <w:rPr>
          <w:rFonts w:ascii="Times New Roman" w:hAnsi="Times New Roman" w:cs="Times New Roman"/>
          <w:sz w:val="28"/>
          <w:szCs w:val="28"/>
          <w:lang w:val="es-ES"/>
        </w:rPr>
        <w:t xml:space="preserve"> </w:t>
      </w:r>
      <w:r w:rsidRPr="008936AF">
        <w:rPr>
          <w:rFonts w:ascii="Times New Roman" w:hAnsi="Times New Roman" w:cs="Times New Roman"/>
          <w:i/>
          <w:iCs/>
          <w:sz w:val="28"/>
          <w:szCs w:val="28"/>
          <w:lang w:val="es-ES"/>
        </w:rPr>
        <w:t>operario</w:t>
      </w:r>
      <w:r w:rsidRPr="008936AF">
        <w:rPr>
          <w:rFonts w:ascii="Times New Roman" w:hAnsi="Times New Roman" w:cs="Times New Roman"/>
          <w:sz w:val="28"/>
          <w:szCs w:val="28"/>
          <w:lang w:val="es-ES"/>
        </w:rPr>
        <w:t xml:space="preserve"> generada, directamente, con la intelección que se realiza sobre las fuentes formales de derecho laboral. De acuerdo con este principio, si de una mi</w:t>
      </w:r>
      <w:r w:rsidRPr="008936AF">
        <w:rPr>
          <w:rFonts w:ascii="Times New Roman" w:hAnsi="Times New Roman" w:cs="Times New Roman"/>
          <w:sz w:val="28"/>
          <w:szCs w:val="28"/>
          <w:lang w:val="es-ES"/>
        </w:rPr>
        <w:t xml:space="preserve">sma disposición jurídica aplicable a un caso concreto pueden desprenderse dos o más interpretaciones jurídicas para la resolución del mismo, el operador judicial deberá aplicar aquella que resulte más benéfica para el trabajador. </w:t>
      </w:r>
    </w:p>
    <w:p w:rsidR="001F0F34" w:rsidRPr="008936AF" w:rsidRDefault="008936AF" w:rsidP="001F0F34">
      <w:pPr>
        <w:tabs>
          <w:tab w:val="left" w:pos="567"/>
        </w:tabs>
        <w:ind w:left="720" w:right="49"/>
        <w:contextualSpacing/>
        <w:jc w:val="both"/>
        <w:rPr>
          <w:rFonts w:ascii="Times New Roman" w:hAnsi="Times New Roman" w:cs="Times New Roman"/>
          <w:i/>
          <w:sz w:val="28"/>
          <w:szCs w:val="28"/>
          <w:lang w:val="es-ES"/>
        </w:rPr>
      </w:pPr>
    </w:p>
    <w:p w:rsidR="001F0F34" w:rsidRPr="008936AF" w:rsidRDefault="008936AF" w:rsidP="001F0F34">
      <w:pPr>
        <w:numPr>
          <w:ilvl w:val="1"/>
          <w:numId w:val="3"/>
        </w:numPr>
        <w:tabs>
          <w:tab w:val="left" w:pos="567"/>
        </w:tabs>
        <w:ind w:right="49"/>
        <w:contextualSpacing/>
        <w:jc w:val="both"/>
        <w:rPr>
          <w:rFonts w:ascii="Times New Roman" w:hAnsi="Times New Roman" w:cs="Times New Roman"/>
          <w:sz w:val="28"/>
          <w:szCs w:val="28"/>
          <w:lang w:val="es-ES"/>
        </w:rPr>
      </w:pPr>
      <w:r w:rsidRPr="008936AF">
        <w:rPr>
          <w:rFonts w:ascii="Times New Roman" w:hAnsi="Times New Roman" w:cs="Times New Roman"/>
          <w:i/>
          <w:sz w:val="28"/>
          <w:szCs w:val="28"/>
          <w:lang w:val="es-ES"/>
        </w:rPr>
        <w:t xml:space="preserve">Presupuesto de </w:t>
      </w:r>
      <w:r w:rsidRPr="008936AF">
        <w:rPr>
          <w:rFonts w:ascii="Times New Roman" w:hAnsi="Times New Roman" w:cs="Times New Roman"/>
          <w:i/>
          <w:sz w:val="28"/>
          <w:szCs w:val="28"/>
          <w:lang w:val="es-ES"/>
        </w:rPr>
        <w:t>suficiencia</w:t>
      </w:r>
      <w:r w:rsidRPr="008936AF">
        <w:rPr>
          <w:rFonts w:ascii="Times New Roman" w:hAnsi="Times New Roman" w:cs="Times New Roman"/>
          <w:sz w:val="28"/>
          <w:szCs w:val="28"/>
          <w:lang w:val="es-ES"/>
        </w:rPr>
        <w:t>. La demanda demostró que se está ante una posición consistente y reiterada del operador jurídico y no producto de un caso en particular al citar la sentencia SL 1639 de 2022 que, a su vez citó la sentencia CSJ SL, 6 May 2010, Rad. 36577, reiter</w:t>
      </w:r>
      <w:r w:rsidRPr="008936AF">
        <w:rPr>
          <w:rFonts w:ascii="Times New Roman" w:hAnsi="Times New Roman" w:cs="Times New Roman"/>
          <w:sz w:val="28"/>
          <w:szCs w:val="28"/>
          <w:lang w:val="es-ES"/>
        </w:rPr>
        <w:t>ada en la CSJ SL10632-2014, y más recientemente en providencia CSJ SL1005-2021. Esto, además, había sido reconocido en el auto admisorio de la demanda.</w:t>
      </w:r>
    </w:p>
    <w:p w:rsidR="001F0F34" w:rsidRPr="008936AF" w:rsidRDefault="008936AF" w:rsidP="001F0F34">
      <w:pPr>
        <w:tabs>
          <w:tab w:val="left" w:pos="0"/>
          <w:tab w:val="left" w:pos="284"/>
        </w:tabs>
        <w:ind w:right="51"/>
        <w:contextualSpacing/>
        <w:jc w:val="both"/>
        <w:rPr>
          <w:rFonts w:ascii="Times New Roman" w:hAnsi="Times New Roman" w:cs="Times New Roman"/>
          <w:sz w:val="28"/>
          <w:szCs w:val="28"/>
          <w:lang w:val="es-ES"/>
        </w:rPr>
      </w:pPr>
    </w:p>
    <w:p w:rsidR="001F0F34" w:rsidRPr="008936AF" w:rsidRDefault="008936AF" w:rsidP="001F0F34">
      <w:pPr>
        <w:numPr>
          <w:ilvl w:val="0"/>
          <w:numId w:val="2"/>
        </w:numPr>
        <w:tabs>
          <w:tab w:val="left" w:pos="0"/>
          <w:tab w:val="left" w:pos="284"/>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En armonía con lo anterior, a mi juicio, el estudio de fondo de la demanda hubiera conducido a establec</w:t>
      </w:r>
      <w:r w:rsidRPr="008936AF">
        <w:rPr>
          <w:rFonts w:ascii="Times New Roman" w:hAnsi="Times New Roman" w:cs="Times New Roman"/>
          <w:sz w:val="28"/>
          <w:szCs w:val="28"/>
          <w:lang w:val="es-ES"/>
        </w:rPr>
        <w:t>er que sí existe una interpretación constitucional alternativa más favorable al trabajador según la cual, incluso cuando el trabajador no reclama por la vía ordinaria dentro de los 24 meses siguientes al despido, hay lugar al reconocimiento y pago del dere</w:t>
      </w:r>
      <w:r w:rsidRPr="008936AF">
        <w:rPr>
          <w:rFonts w:ascii="Times New Roman" w:hAnsi="Times New Roman" w:cs="Times New Roman"/>
          <w:sz w:val="28"/>
          <w:szCs w:val="28"/>
          <w:lang w:val="es-ES"/>
        </w:rPr>
        <w:t>cho a la indemnización moratoria sobre las sumas adeudadas por salarios y prestaciones sociales, desde la fecha de terminación del vínculo laboral y solo hasta los 24 meses siguientes. Esto porque la demora en la presentación de la demanda no conlleva la e</w:t>
      </w:r>
      <w:r w:rsidRPr="008936AF">
        <w:rPr>
          <w:rFonts w:ascii="Times New Roman" w:hAnsi="Times New Roman" w:cs="Times New Roman"/>
          <w:sz w:val="28"/>
          <w:szCs w:val="28"/>
          <w:lang w:val="es-ES"/>
        </w:rPr>
        <w:t>xtinción del derecho a la indemnización moratoria, sino que tan solo lo limita al tiempo previsto por el legislador (24 meses). Y, por supuesto, no da lugar a sustituir el pago de “brazos caídos” por el derecho a intereses moratorios dentro de los 24 meses</w:t>
      </w:r>
      <w:r w:rsidRPr="008936AF">
        <w:rPr>
          <w:rFonts w:ascii="Times New Roman" w:hAnsi="Times New Roman" w:cs="Times New Roman"/>
          <w:sz w:val="28"/>
          <w:szCs w:val="28"/>
          <w:lang w:val="es-ES"/>
        </w:rPr>
        <w:t xml:space="preserve"> siguientes al despido, como reiteradamente lo ha declarado la Sala de Casación Laboral. </w:t>
      </w:r>
    </w:p>
    <w:p w:rsidR="001F0F34" w:rsidRPr="008936AF" w:rsidRDefault="008936AF" w:rsidP="001F0F34">
      <w:pPr>
        <w:tabs>
          <w:tab w:val="left" w:pos="0"/>
          <w:tab w:val="left" w:pos="284"/>
        </w:tabs>
        <w:ind w:right="51"/>
        <w:contextualSpacing/>
        <w:jc w:val="both"/>
        <w:rPr>
          <w:rFonts w:ascii="Times New Roman" w:hAnsi="Times New Roman" w:cs="Times New Roman"/>
          <w:sz w:val="28"/>
          <w:szCs w:val="28"/>
          <w:lang w:val="es-ES"/>
        </w:rPr>
      </w:pPr>
    </w:p>
    <w:p w:rsidR="001F0F34" w:rsidRPr="008936AF" w:rsidRDefault="008936AF" w:rsidP="001F0F34">
      <w:pPr>
        <w:numPr>
          <w:ilvl w:val="0"/>
          <w:numId w:val="2"/>
        </w:numPr>
        <w:tabs>
          <w:tab w:val="left" w:pos="0"/>
          <w:tab w:val="left" w:pos="284"/>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 xml:space="preserve">Desde mi punto de vista, no fue intención del legislador ni se reguló así, extinguir el derecho a la indemnización moratoria cuando el trabajador no reclama, por la </w:t>
      </w:r>
      <w:r w:rsidRPr="008936AF">
        <w:rPr>
          <w:rFonts w:ascii="Times New Roman" w:hAnsi="Times New Roman" w:cs="Times New Roman"/>
          <w:sz w:val="28"/>
          <w:szCs w:val="28"/>
          <w:lang w:val="es-ES"/>
        </w:rPr>
        <w:t xml:space="preserve">vía ordinaria, dentro de los 24 meses siguientes al despido. Lo pretendido fue acotar su procedencia en el tiempo para evitar demandas tardías, espacio que se estimó en 24 meses, para que, a partir de ese lapso, es decir del mes 25, solamente se generaran </w:t>
      </w:r>
      <w:r w:rsidRPr="008936AF">
        <w:rPr>
          <w:rFonts w:ascii="Times New Roman" w:hAnsi="Times New Roman" w:cs="Times New Roman"/>
          <w:sz w:val="28"/>
          <w:szCs w:val="28"/>
          <w:lang w:val="es-ES"/>
        </w:rPr>
        <w:t>intereses moratorios. Tampoco se deriva esta consecuencia del contenido literal del inciso 1º del artículo 65 del CST, como fue modificado por el artículo 29 de la Ley 789 de 2002, ni del precedente constitucional proferido, hasta ahora, sobre la disposici</w:t>
      </w:r>
      <w:r w:rsidRPr="008936AF">
        <w:rPr>
          <w:rFonts w:ascii="Times New Roman" w:hAnsi="Times New Roman" w:cs="Times New Roman"/>
          <w:sz w:val="28"/>
          <w:szCs w:val="28"/>
          <w:lang w:val="es-ES"/>
        </w:rPr>
        <w:t xml:space="preserve">ón en comento, especialmente en la Sentencia C-781 de 2003. </w:t>
      </w:r>
    </w:p>
    <w:p w:rsidR="001F0F34" w:rsidRPr="008936AF" w:rsidRDefault="008936AF" w:rsidP="001F0F34">
      <w:pPr>
        <w:ind w:left="720"/>
        <w:contextualSpacing/>
        <w:jc w:val="both"/>
        <w:rPr>
          <w:rFonts w:ascii="Times New Roman" w:hAnsi="Times New Roman" w:cs="Times New Roman"/>
          <w:sz w:val="28"/>
          <w:szCs w:val="28"/>
          <w:lang w:val="es-ES"/>
        </w:rPr>
      </w:pPr>
    </w:p>
    <w:p w:rsidR="001F0F34" w:rsidRPr="008936AF" w:rsidRDefault="008936AF" w:rsidP="001F0F34">
      <w:pPr>
        <w:numPr>
          <w:ilvl w:val="0"/>
          <w:numId w:val="2"/>
        </w:numPr>
        <w:tabs>
          <w:tab w:val="left" w:pos="0"/>
          <w:tab w:val="left" w:pos="284"/>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Sobre esto último, vale resaltar que el precedente constitucional establecido en la mencionada sentencia definió que los trabajadores despedidos no deben soportar el retraso judicial y, por tant</w:t>
      </w:r>
      <w:r w:rsidRPr="008936AF">
        <w:rPr>
          <w:rFonts w:ascii="Times New Roman" w:hAnsi="Times New Roman" w:cs="Times New Roman"/>
          <w:sz w:val="28"/>
          <w:szCs w:val="28"/>
          <w:lang w:val="es-ES"/>
        </w:rPr>
        <w:t xml:space="preserve">o, tienen derecho a la </w:t>
      </w:r>
      <w:r w:rsidRPr="008936AF">
        <w:rPr>
          <w:rFonts w:ascii="Times New Roman" w:hAnsi="Times New Roman" w:cs="Times New Roman"/>
          <w:i/>
          <w:iCs/>
          <w:sz w:val="28"/>
          <w:szCs w:val="28"/>
          <w:lang w:val="es-ES"/>
        </w:rPr>
        <w:t>indemnización moratoria después del despido</w:t>
      </w:r>
      <w:r w:rsidRPr="008936AF">
        <w:rPr>
          <w:rFonts w:ascii="Times New Roman" w:hAnsi="Times New Roman" w:cs="Times New Roman"/>
          <w:sz w:val="28"/>
          <w:szCs w:val="28"/>
          <w:lang w:val="es-ES"/>
        </w:rPr>
        <w:t xml:space="preserve"> cuando, pese a haber interpuesto la demanda antes del mencionado término, la justicia no ha resuelto su litigio. Pero en ningún momento decidió la pérdida del derecho a la indemnización mor</w:t>
      </w:r>
      <w:r w:rsidRPr="008936AF">
        <w:rPr>
          <w:rFonts w:ascii="Times New Roman" w:hAnsi="Times New Roman" w:cs="Times New Roman"/>
          <w:sz w:val="28"/>
          <w:szCs w:val="28"/>
          <w:lang w:val="es-ES"/>
        </w:rPr>
        <w:t>atoria por la no interposición de la demanda laboral dentro de los 24 meses siguientes al despido, que es lo que interpreta, aún actualmente, la Sala de Casación Laboral de la Corte Suprema de Justicia y reclamó fundadamente el accionante.</w:t>
      </w:r>
    </w:p>
    <w:p w:rsidR="001F0F34" w:rsidRPr="008936AF" w:rsidRDefault="008936AF" w:rsidP="001F0F34">
      <w:pPr>
        <w:ind w:left="720"/>
        <w:contextualSpacing/>
        <w:jc w:val="both"/>
        <w:rPr>
          <w:rFonts w:ascii="Times New Roman" w:hAnsi="Times New Roman" w:cs="Times New Roman"/>
          <w:sz w:val="28"/>
          <w:szCs w:val="28"/>
          <w:lang w:val="es-ES"/>
        </w:rPr>
      </w:pPr>
    </w:p>
    <w:p w:rsidR="001F0F34" w:rsidRPr="008936AF" w:rsidRDefault="008936AF" w:rsidP="001F0F34">
      <w:pPr>
        <w:numPr>
          <w:ilvl w:val="0"/>
          <w:numId w:val="2"/>
        </w:numPr>
        <w:tabs>
          <w:tab w:val="left" w:pos="0"/>
          <w:tab w:val="left" w:pos="284"/>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 xml:space="preserve">No sobra tener </w:t>
      </w:r>
      <w:r w:rsidRPr="008936AF">
        <w:rPr>
          <w:rFonts w:ascii="Times New Roman" w:hAnsi="Times New Roman" w:cs="Times New Roman"/>
          <w:sz w:val="28"/>
          <w:szCs w:val="28"/>
          <w:lang w:val="es-ES"/>
        </w:rPr>
        <w:t xml:space="preserve">en cuenta, en el análisis global, la posibilidad que tiene el empleador de consignar a favor del trabajador las sumas dinerarias que estén en duda sobre su causación, a efectos de evitar pagos desproporcionados generados por la tardanza en la presentación </w:t>
      </w:r>
      <w:r w:rsidRPr="008936AF">
        <w:rPr>
          <w:rFonts w:ascii="Times New Roman" w:hAnsi="Times New Roman" w:cs="Times New Roman"/>
          <w:sz w:val="28"/>
          <w:szCs w:val="28"/>
          <w:lang w:val="es-ES"/>
        </w:rPr>
        <w:t>de la demanda ordinaria laboral o de demora en la resolución judicial del caso. Así mismo, no debe olvidarse que la procedencia de la estudiada indemnización depende de la mala fe en la actuación del empleador.  Y, en el mismo sentido, cabe considerar la r</w:t>
      </w:r>
      <w:r w:rsidRPr="008936AF">
        <w:rPr>
          <w:rFonts w:ascii="Times New Roman" w:hAnsi="Times New Roman" w:cs="Times New Roman"/>
          <w:sz w:val="28"/>
          <w:szCs w:val="28"/>
          <w:lang w:val="es-ES"/>
        </w:rPr>
        <w:t>egulación general sobre prescripción de los derechos laborales, que aplica con alcance general, respecto a omisiones del trabajador en el reclamo judicial de aquellos.</w:t>
      </w:r>
    </w:p>
    <w:p w:rsidR="001F0F34" w:rsidRPr="008936AF" w:rsidRDefault="008936AF" w:rsidP="001F0F34">
      <w:pPr>
        <w:tabs>
          <w:tab w:val="left" w:pos="0"/>
          <w:tab w:val="left" w:pos="284"/>
        </w:tabs>
        <w:ind w:right="51"/>
        <w:contextualSpacing/>
        <w:jc w:val="both"/>
        <w:rPr>
          <w:rFonts w:ascii="Times New Roman" w:hAnsi="Times New Roman" w:cs="Times New Roman"/>
          <w:sz w:val="28"/>
          <w:szCs w:val="28"/>
          <w:lang w:val="es-ES"/>
        </w:rPr>
      </w:pPr>
    </w:p>
    <w:p w:rsidR="001F0F34" w:rsidRPr="008936AF" w:rsidRDefault="008936AF" w:rsidP="001F0F34">
      <w:pPr>
        <w:numPr>
          <w:ilvl w:val="0"/>
          <w:numId w:val="2"/>
        </w:numPr>
        <w:tabs>
          <w:tab w:val="left" w:pos="0"/>
          <w:tab w:val="left" w:pos="284"/>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bCs/>
          <w:color w:val="000000"/>
          <w:sz w:val="28"/>
          <w:szCs w:val="28"/>
          <w:lang w:val="es-ES"/>
        </w:rPr>
        <w:t xml:space="preserve">En síntesis, </w:t>
      </w:r>
      <w:r w:rsidRPr="008936AF">
        <w:rPr>
          <w:rFonts w:ascii="Times New Roman" w:hAnsi="Times New Roman" w:cs="Times New Roman"/>
          <w:bCs/>
          <w:color w:val="000000"/>
          <w:sz w:val="28"/>
          <w:szCs w:val="28"/>
          <w:lang w:val="es-MX"/>
        </w:rPr>
        <w:t>considero que el análisis de fondo de la demanda por el cargo planteado co</w:t>
      </w:r>
      <w:r w:rsidRPr="008936AF">
        <w:rPr>
          <w:rFonts w:ascii="Times New Roman" w:hAnsi="Times New Roman" w:cs="Times New Roman"/>
          <w:bCs/>
          <w:color w:val="000000"/>
          <w:sz w:val="28"/>
          <w:szCs w:val="28"/>
          <w:lang w:val="es-MX"/>
        </w:rPr>
        <w:t>n respecto a la presunta vulneración del artículo 53 de la Constitución resultaba procedente y podría haber conducido a adoptar la fórmula de decisión alternativa que propuse</w:t>
      </w:r>
      <w:r w:rsidRPr="008936AF">
        <w:rPr>
          <w:rFonts w:ascii="Times New Roman" w:hAnsi="Times New Roman" w:cs="Times New Roman"/>
          <w:sz w:val="28"/>
          <w:szCs w:val="28"/>
          <w:lang w:val="es-ES"/>
        </w:rPr>
        <w:t>. Esta determinación habría podido aclarar cualquier duda respecto de la consagrac</w:t>
      </w:r>
      <w:r w:rsidRPr="008936AF">
        <w:rPr>
          <w:rFonts w:ascii="Times New Roman" w:hAnsi="Times New Roman" w:cs="Times New Roman"/>
          <w:sz w:val="28"/>
          <w:szCs w:val="28"/>
          <w:lang w:val="es-ES"/>
        </w:rPr>
        <w:t>ión legislativa del derecho a la indemnización moratoria de las sumas adeudadas por salarios y prestaciones sociales, a partir de la fecha de terminación del vínculo laboral, así como dar por terminada la discusión frente al término máximo de 24 meses post</w:t>
      </w:r>
      <w:r w:rsidRPr="008936AF">
        <w:rPr>
          <w:rFonts w:ascii="Times New Roman" w:hAnsi="Times New Roman" w:cs="Times New Roman"/>
          <w:sz w:val="28"/>
          <w:szCs w:val="28"/>
          <w:lang w:val="es-ES"/>
        </w:rPr>
        <w:t>eriores al despido para su reconocimiento y pago.</w:t>
      </w:r>
    </w:p>
    <w:p w:rsidR="001F0F34" w:rsidRPr="008936AF" w:rsidRDefault="008936AF" w:rsidP="001F0F34">
      <w:pPr>
        <w:ind w:left="720"/>
        <w:contextualSpacing/>
        <w:jc w:val="both"/>
        <w:rPr>
          <w:rFonts w:ascii="Times New Roman" w:hAnsi="Times New Roman" w:cs="Times New Roman"/>
          <w:sz w:val="28"/>
          <w:szCs w:val="28"/>
          <w:lang w:val="es-ES"/>
        </w:rPr>
      </w:pPr>
    </w:p>
    <w:p w:rsidR="001F0F34" w:rsidRPr="008936AF" w:rsidRDefault="008936AF" w:rsidP="001F0F34">
      <w:pPr>
        <w:numPr>
          <w:ilvl w:val="0"/>
          <w:numId w:val="2"/>
        </w:numPr>
        <w:tabs>
          <w:tab w:val="left" w:pos="0"/>
          <w:tab w:val="left" w:pos="284"/>
        </w:tabs>
        <w:ind w:left="0" w:right="51" w:firstLine="0"/>
        <w:contextualSpacing/>
        <w:jc w:val="both"/>
        <w:rPr>
          <w:rFonts w:ascii="Times New Roman" w:hAnsi="Times New Roman" w:cs="Times New Roman"/>
          <w:sz w:val="28"/>
          <w:szCs w:val="28"/>
          <w:lang w:val="es-ES"/>
        </w:rPr>
      </w:pPr>
      <w:r w:rsidRPr="008936AF">
        <w:rPr>
          <w:rFonts w:ascii="Times New Roman" w:hAnsi="Times New Roman" w:cs="Times New Roman"/>
          <w:sz w:val="28"/>
          <w:szCs w:val="28"/>
          <w:lang w:val="es-ES"/>
        </w:rPr>
        <w:t>En estos términos quedan expuestas las razones por las cuales salvo el voto respecto de la Sentencia C-212 de 2024.</w:t>
      </w:r>
    </w:p>
    <w:p w:rsidR="001F0F34" w:rsidRPr="008936AF" w:rsidRDefault="008936AF" w:rsidP="001F0F34">
      <w:pPr>
        <w:ind w:right="-70"/>
        <w:jc w:val="both"/>
        <w:rPr>
          <w:rFonts w:ascii="Times New Roman" w:hAnsi="Times New Roman" w:cs="Times New Roman"/>
          <w:sz w:val="28"/>
          <w:szCs w:val="28"/>
          <w:lang w:val="es-ES"/>
        </w:rPr>
      </w:pPr>
    </w:p>
    <w:p w:rsidR="001F0F34" w:rsidRPr="008936AF" w:rsidRDefault="008936AF" w:rsidP="001F0F34">
      <w:pPr>
        <w:ind w:right="-70"/>
        <w:jc w:val="both"/>
        <w:rPr>
          <w:rFonts w:ascii="Times New Roman" w:hAnsi="Times New Roman" w:cs="Times New Roman"/>
          <w:i/>
          <w:sz w:val="28"/>
          <w:szCs w:val="28"/>
          <w:lang w:val="es-ES"/>
        </w:rPr>
      </w:pPr>
      <w:r w:rsidRPr="008936AF">
        <w:rPr>
          <w:rFonts w:ascii="Times New Roman" w:hAnsi="Times New Roman" w:cs="Times New Roman"/>
          <w:sz w:val="28"/>
          <w:szCs w:val="28"/>
          <w:lang w:val="es-ES"/>
        </w:rPr>
        <w:t>Fecha</w:t>
      </w:r>
      <w:r w:rsidRPr="008936AF">
        <w:rPr>
          <w:rFonts w:ascii="Times New Roman" w:hAnsi="Times New Roman" w:cs="Times New Roman"/>
          <w:i/>
          <w:sz w:val="28"/>
          <w:szCs w:val="28"/>
          <w:lang w:val="es-ES"/>
        </w:rPr>
        <w:t xml:space="preserve"> ut supra</w:t>
      </w:r>
    </w:p>
    <w:p w:rsidR="001F0F34" w:rsidRPr="008936AF" w:rsidRDefault="008936AF" w:rsidP="001F0F34">
      <w:pPr>
        <w:ind w:right="-70"/>
        <w:jc w:val="both"/>
        <w:rPr>
          <w:rFonts w:ascii="Times New Roman" w:hAnsi="Times New Roman" w:cs="Times New Roman"/>
          <w:sz w:val="28"/>
          <w:szCs w:val="28"/>
          <w:lang w:val="es-ES"/>
        </w:rPr>
      </w:pPr>
    </w:p>
    <w:p w:rsidR="001F0F34" w:rsidRPr="008936AF" w:rsidRDefault="008936AF" w:rsidP="001F0F34">
      <w:pPr>
        <w:ind w:right="-70"/>
        <w:jc w:val="both"/>
        <w:rPr>
          <w:rFonts w:ascii="Times New Roman" w:hAnsi="Times New Roman" w:cs="Times New Roman"/>
          <w:sz w:val="28"/>
          <w:szCs w:val="28"/>
          <w:lang w:val="es-ES"/>
        </w:rPr>
      </w:pPr>
    </w:p>
    <w:p w:rsidR="001F0F34" w:rsidRPr="008936AF" w:rsidRDefault="008936AF" w:rsidP="001F0F34">
      <w:pPr>
        <w:ind w:right="-70"/>
        <w:jc w:val="center"/>
        <w:rPr>
          <w:rFonts w:ascii="Times New Roman" w:hAnsi="Times New Roman" w:cs="Times New Roman"/>
          <w:b/>
          <w:bCs/>
          <w:sz w:val="28"/>
          <w:szCs w:val="28"/>
          <w:lang w:val="es-ES"/>
        </w:rPr>
      </w:pPr>
      <w:r w:rsidRPr="008936AF">
        <w:rPr>
          <w:rFonts w:ascii="Times New Roman" w:hAnsi="Times New Roman" w:cs="Times New Roman"/>
          <w:b/>
          <w:bCs/>
          <w:sz w:val="28"/>
          <w:szCs w:val="28"/>
          <w:lang w:val="es-ES"/>
        </w:rPr>
        <w:t>JUAN CARLOS CORTÉS GONZÁLEZ</w:t>
      </w:r>
    </w:p>
    <w:p w:rsidR="001F0F34" w:rsidRPr="008936AF" w:rsidRDefault="008936AF" w:rsidP="001F0F34">
      <w:pPr>
        <w:ind w:right="-70"/>
        <w:jc w:val="center"/>
        <w:rPr>
          <w:rFonts w:ascii="Times New Roman" w:hAnsi="Times New Roman" w:cs="Times New Roman"/>
          <w:sz w:val="28"/>
          <w:szCs w:val="28"/>
          <w:lang w:val="es-ES"/>
        </w:rPr>
      </w:pPr>
      <w:r w:rsidRPr="008936AF">
        <w:rPr>
          <w:rFonts w:ascii="Times New Roman" w:hAnsi="Times New Roman" w:cs="Times New Roman"/>
          <w:b/>
          <w:bCs/>
          <w:sz w:val="28"/>
          <w:szCs w:val="28"/>
          <w:lang w:val="es-ES"/>
        </w:rPr>
        <w:t>Magistrado</w:t>
      </w: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p w:rsidR="00F471C0" w:rsidRPr="008936AF" w:rsidRDefault="008936AF" w:rsidP="00F471C0">
      <w:pPr>
        <w:shd w:val="clear" w:color="auto" w:fill="FFFFFF"/>
        <w:jc w:val="center"/>
        <w:rPr>
          <w:rFonts w:ascii="Times New Roman" w:hAnsi="Times New Roman" w:cs="Times New Roman"/>
          <w:color w:val="2D2D2D"/>
          <w:sz w:val="28"/>
          <w:szCs w:val="28"/>
          <w:lang w:val="es-ES"/>
        </w:rPr>
      </w:pPr>
    </w:p>
    <w:sectPr w:rsidR="00F471C0" w:rsidRPr="008936AF">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936AF">
      <w:pPr>
        <w:spacing w:after="0" w:line="240" w:lineRule="auto"/>
      </w:pPr>
      <w:r>
        <w:separator/>
      </w:r>
    </w:p>
  </w:endnote>
  <w:endnote w:type="continuationSeparator" w:id="0">
    <w:p w:rsidR="00000000" w:rsidRDefault="00893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936AF">
      <w:pPr>
        <w:spacing w:after="0" w:line="240" w:lineRule="auto"/>
      </w:pPr>
      <w:r>
        <w:separator/>
      </w:r>
    </w:p>
  </w:footnote>
  <w:footnote w:type="continuationSeparator" w:id="0">
    <w:p w:rsidR="00000000" w:rsidRDefault="008936AF">
      <w:pPr>
        <w:spacing w:after="0" w:line="240" w:lineRule="auto"/>
      </w:pPr>
      <w:r>
        <w:continuationSeparator/>
      </w:r>
    </w:p>
  </w:footnote>
  <w:footnote w:id="1">
    <w:p w:rsidR="004D4D91" w:rsidRDefault="008936AF" w:rsidP="00092AFD">
      <w:pPr>
        <w:pStyle w:val="Textonotapie"/>
        <w:jc w:val="both"/>
      </w:pPr>
      <w:r>
        <w:rPr>
          <w:rStyle w:val="Refdenotaalpie"/>
          <w:szCs w:val="16"/>
        </w:rPr>
        <w:footnoteRef/>
      </w:r>
      <w:r>
        <w:t xml:space="preserve"> </w:t>
      </w:r>
      <w:r w:rsidRPr="0042123A">
        <w:t xml:space="preserve">Como se aclaró en auto del 27 de noviembre de 2023, </w:t>
      </w:r>
      <w:r w:rsidRPr="0042123A">
        <w:t xml:space="preserve">el ciudadano presentó dos demandas con argumentos distintos contra la misma norma, las cuales, por una actuación ajena al despacho sustanciador, se radicaron bajo el mismo número, </w:t>
      </w:r>
      <w:r w:rsidRPr="0042123A">
        <w:rPr>
          <w:szCs w:val="28"/>
        </w:rPr>
        <w:t>D-15563. En consecuencia</w:t>
      </w:r>
      <w:r w:rsidRPr="0042123A">
        <w:rPr>
          <w:szCs w:val="28"/>
        </w:rPr>
        <w:t xml:space="preserve">, se </w:t>
      </w:r>
      <w:r w:rsidRPr="0042123A">
        <w:rPr>
          <w:szCs w:val="28"/>
        </w:rPr>
        <w:t xml:space="preserve">estableció que el actor había presentado </w:t>
      </w:r>
      <w:r w:rsidRPr="0042123A">
        <w:rPr>
          <w:szCs w:val="28"/>
        </w:rPr>
        <w:t xml:space="preserve">dos </w:t>
      </w:r>
      <w:r w:rsidRPr="0042123A">
        <w:rPr>
          <w:szCs w:val="28"/>
        </w:rPr>
        <w:t xml:space="preserve">cargos contra el artículo </w:t>
      </w:r>
      <w:r w:rsidRPr="0042123A">
        <w:rPr>
          <w:szCs w:val="28"/>
        </w:rPr>
        <w:t xml:space="preserve">65 del CST, modificado por el </w:t>
      </w:r>
      <w:r w:rsidRPr="0042123A">
        <w:rPr>
          <w:szCs w:val="28"/>
        </w:rPr>
        <w:t>29 de la Ley 789 de 2002. El relacionado con la presunta vulneración de l</w:t>
      </w:r>
      <w:r w:rsidRPr="0042123A">
        <w:rPr>
          <w:szCs w:val="28"/>
        </w:rPr>
        <w:t>os artículos 53, 58 y 243 de l</w:t>
      </w:r>
      <w:r w:rsidRPr="0042123A">
        <w:rPr>
          <w:szCs w:val="28"/>
        </w:rPr>
        <w:t>a Constitución por la interpretación que la Cor</w:t>
      </w:r>
      <w:r w:rsidRPr="0042123A">
        <w:rPr>
          <w:szCs w:val="28"/>
        </w:rPr>
        <w:t xml:space="preserve">te Suprema de Justicia ha hecho de la mencionada disposición fue admitido y el relacionado con la violación del principio de unidad de materia </w:t>
      </w:r>
      <w:r w:rsidRPr="0042123A">
        <w:t xml:space="preserve">fue inadmitido mediante auto del 27 de noviembre de 2023. Al no ser subsanado, </w:t>
      </w:r>
      <w:r w:rsidRPr="0042123A">
        <w:t xml:space="preserve">este último </w:t>
      </w:r>
      <w:r w:rsidRPr="0042123A">
        <w:t xml:space="preserve">fue rechazado en auto </w:t>
      </w:r>
      <w:r w:rsidRPr="0042123A">
        <w:t>del 12 de diciembre de 2023.</w:t>
      </w:r>
    </w:p>
  </w:footnote>
  <w:footnote w:id="2">
    <w:p w:rsidR="004D4D91" w:rsidRDefault="008936AF">
      <w:pPr>
        <w:pStyle w:val="Textonotapie"/>
      </w:pPr>
      <w:r>
        <w:rPr>
          <w:rStyle w:val="Refdenotaalpie"/>
          <w:szCs w:val="16"/>
        </w:rPr>
        <w:footnoteRef/>
      </w:r>
      <w:r>
        <w:t xml:space="preserve"> Ver folio 2 del expediente digital. </w:t>
      </w:r>
      <w:r w:rsidRPr="00691FC6">
        <w:t>D0015563-Presentación Demanda-(2023-10-18 11-40-43).pdf</w:t>
      </w:r>
      <w:r>
        <w:t xml:space="preserve"> </w:t>
      </w:r>
    </w:p>
  </w:footnote>
  <w:footnote w:id="3">
    <w:p w:rsidR="00C331B1" w:rsidRPr="000F4175" w:rsidRDefault="008936AF" w:rsidP="00C331B1">
      <w:pPr>
        <w:pStyle w:val="Textonotapie"/>
        <w:jc w:val="both"/>
      </w:pPr>
      <w:r>
        <w:rPr>
          <w:rStyle w:val="Refdenotaalpie"/>
          <w:szCs w:val="16"/>
        </w:rPr>
        <w:footnoteRef/>
      </w:r>
      <w:r>
        <w:t xml:space="preserve"> </w:t>
      </w:r>
      <w:r>
        <w:t>Por fuera del término de fijación en lista, se recibió intervención de la señora Gloria Ceballos Cardona.</w:t>
      </w:r>
      <w:r w:rsidRPr="00C331B1">
        <w:t xml:space="preserve"> </w:t>
      </w:r>
      <w:r>
        <w:t>En atención a que el mem</w:t>
      </w:r>
      <w:r>
        <w:t>orial fue remitido fuera del término establecido, no será considerado por esta corporación.</w:t>
      </w:r>
    </w:p>
    <w:p w:rsidR="004D4D91" w:rsidRDefault="004D4D91" w:rsidP="00C331B1">
      <w:pPr>
        <w:pStyle w:val="Textonotapie"/>
        <w:jc w:val="both"/>
      </w:pPr>
    </w:p>
  </w:footnote>
  <w:footnote w:id="4">
    <w:p w:rsidR="004D4D91" w:rsidRDefault="008936AF" w:rsidP="00F47907">
      <w:pPr>
        <w:pStyle w:val="Textonotapie"/>
      </w:pPr>
      <w:r>
        <w:rPr>
          <w:rStyle w:val="Refdenotaalpie"/>
          <w:szCs w:val="16"/>
        </w:rPr>
        <w:footnoteRef/>
      </w:r>
      <w:r>
        <w:t xml:space="preserve"> Corte Suprema de Justicia, sentencia SL3070 de 2023, con radicación Nº91860, Magistrado Ponente Iván Mauricio Lenis.</w:t>
      </w:r>
    </w:p>
  </w:footnote>
  <w:footnote w:id="5">
    <w:p w:rsidR="004D4D91" w:rsidRDefault="008936AF" w:rsidP="00F47907">
      <w:pPr>
        <w:pStyle w:val="Textonotapie"/>
        <w:jc w:val="both"/>
      </w:pPr>
      <w:r>
        <w:rPr>
          <w:rStyle w:val="Refdenotaalpie"/>
          <w:szCs w:val="16"/>
        </w:rPr>
        <w:footnoteRef/>
      </w:r>
      <w:r>
        <w:t xml:space="preserve"> Incluso, esta postura ha sido reiterada po</w:t>
      </w:r>
      <w:r>
        <w:t>steriormente por la Sala de Descongestión de la Corte Suprema de Justicia, en sentencias SL2925 de 2023 y SL611 de 2023.</w:t>
      </w:r>
    </w:p>
  </w:footnote>
  <w:footnote w:id="6">
    <w:p w:rsidR="004D4D91" w:rsidRDefault="008936AF" w:rsidP="00F47907">
      <w:pPr>
        <w:pStyle w:val="Textonotapie"/>
        <w:jc w:val="both"/>
      </w:pPr>
      <w:r>
        <w:rPr>
          <w:rStyle w:val="Refdenotaalpie"/>
          <w:szCs w:val="16"/>
        </w:rPr>
        <w:footnoteRef/>
      </w:r>
      <w:r>
        <w:t xml:space="preserve"> Corte Suprema de Justicia, sentencia CSJ del 6 de may. de 2010, No. 36577, reiterada en múltiples oportunidades por esta Corporación.</w:t>
      </w:r>
    </w:p>
  </w:footnote>
  <w:footnote w:id="7">
    <w:p w:rsidR="004D4D91" w:rsidRDefault="008936AF" w:rsidP="00F47907">
      <w:pPr>
        <w:pStyle w:val="Textonotapie"/>
      </w:pPr>
      <w:r>
        <w:rPr>
          <w:rStyle w:val="Refdenotaalpie"/>
          <w:szCs w:val="16"/>
        </w:rPr>
        <w:footnoteRef/>
      </w:r>
      <w:r>
        <w:t xml:space="preserve"> Adicionalmente, la Corte Constitucional citó en esta sentencia (C-781 de 2003), un aparte de la ponencia de para primer debate en el Senado de la República de la Ley 789 de 2002, en la que se entiende la intención de la parte trabajadora para la indemni</w:t>
      </w:r>
      <w:r>
        <w:t>zación moratoria, como una forma de enriquecimiento de los trabajadores al interponer la demanda a la finalización del término de prescripción de tres años.</w:t>
      </w:r>
    </w:p>
  </w:footnote>
  <w:footnote w:id="8">
    <w:p w:rsidR="004D4D91" w:rsidRDefault="008936AF" w:rsidP="00F47907">
      <w:pPr>
        <w:pStyle w:val="Textonotapie"/>
        <w:jc w:val="both"/>
      </w:pPr>
      <w:r>
        <w:rPr>
          <w:rStyle w:val="Refdenotaalpie"/>
          <w:szCs w:val="16"/>
        </w:rPr>
        <w:footnoteRef/>
      </w:r>
      <w:r>
        <w:t xml:space="preserve"> Postura que ha defendido la Corte Suprema de Justicia, entre otras, en las sentencias: CSJ SL, 6 </w:t>
      </w:r>
      <w:r>
        <w:t>mayo de 2010, rad. 36577, reiterada en la sentencia SL16280 de 2014.</w:t>
      </w:r>
    </w:p>
  </w:footnote>
  <w:footnote w:id="9">
    <w:p w:rsidR="004D4D91" w:rsidRDefault="008936AF">
      <w:pPr>
        <w:pStyle w:val="Textonotapie"/>
      </w:pPr>
      <w:r>
        <w:rPr>
          <w:rStyle w:val="Refdenotaalpie"/>
          <w:szCs w:val="16"/>
        </w:rPr>
        <w:footnoteRef/>
      </w:r>
      <w:r>
        <w:t xml:space="preserve"> </w:t>
      </w:r>
      <w:r>
        <w:t>Corte Constitucional. Sentencia C-128 de 2023. (MP. Jorge Enrique Ibáñez).</w:t>
      </w:r>
    </w:p>
  </w:footnote>
  <w:footnote w:id="10">
    <w:p w:rsidR="004D4D91" w:rsidRDefault="008936AF" w:rsidP="00334794">
      <w:pPr>
        <w:pStyle w:val="Textonotapie"/>
        <w:jc w:val="both"/>
      </w:pPr>
      <w:r w:rsidRPr="00BB5496">
        <w:rPr>
          <w:rStyle w:val="Refdenotaalpie"/>
          <w:sz w:val="20"/>
        </w:rPr>
        <w:footnoteRef/>
      </w:r>
      <w:r w:rsidRPr="00CB3926">
        <w:rPr>
          <w:lang w:val="pt-BR"/>
        </w:rPr>
        <w:t xml:space="preserve"> Corte Constitucional, sentencia C-1052 de 2001 (MP Manuel José Cepeda Espinosa). </w:t>
      </w:r>
      <w:r w:rsidRPr="00BB5496">
        <w:t>Los criterios recogidos y f</w:t>
      </w:r>
      <w:r w:rsidRPr="00BB5496">
        <w:t xml:space="preserve">ijados en esta sentencia han sido reiterados en muchas decisiones posteriores de la Sala Plena. Entre otras, ver por ejemplo: Sentencia C-874 de 2002 (MP Rodrigo Escobar Gil), Sentencia C-371 de 2004 (MP Jaime Córdoba Triviño), Auto 033 de 2005 (MP Álvaro </w:t>
      </w:r>
      <w:r w:rsidRPr="00BB5496">
        <w:t>Tafur Galvis), Auto 031 de 2006 (MP Clara Inés Vargas Gutiérrez), Auto 267 de 2007 (MP Marco Gerardo Monroy Cabra), Auto 091 de 2008 (MP Humberto Antonio Sierra Porto), Auto 112 de 2009 (MP Clara Elena Reales Gutiérrez), Sentencia C-942 de 2010 (MP Juan Ca</w:t>
      </w:r>
      <w:r w:rsidRPr="00BB5496">
        <w:t>rlos Henao Pérez), Auto 070 de 2011 (MP Gabriel Eduardo Mendoza Martelo), Sentencia C-243 de 2012 (MP Luis Ernesto Vargas Silva; AV Nilson Elías Pinilla Pinilla y Humberto Antonio Sierra Porto), Auto 105 de 2013 (MP Jorge Ignacio Pretelt Chaljub), Auto 243</w:t>
      </w:r>
      <w:r w:rsidRPr="00BB5496">
        <w:t xml:space="preserve"> de 2014 (MP Mauricio González Cuervo), Auto 145 de 2014 (MP Alberto Rojas Ríos), Auto 324 de 2014 (MP Gloria Stella Ortiz Delgado), Auto 367 de 2015 (MP Jorge Iván Palacio Palacio), Auto 527 de 2015 (MP María Victoria Calle Correa) y Sentencia C-088 de 20</w:t>
      </w:r>
      <w:r w:rsidRPr="00BB5496">
        <w:t xml:space="preserve">16 (MP Jorge Iván Palacio Palacio). En todas estas providencias se citan y emplean los criterios establecidos en la sentencia C-1052 de 2001 para resolver los asuntos tratados en cada uno de aquellos procesos. </w:t>
      </w:r>
    </w:p>
  </w:footnote>
  <w:footnote w:id="11">
    <w:p w:rsidR="004D4D91" w:rsidRDefault="008936AF" w:rsidP="00334794">
      <w:pPr>
        <w:pStyle w:val="Textonotapie"/>
      </w:pPr>
      <w:r w:rsidRPr="00BB5496">
        <w:rPr>
          <w:rStyle w:val="Refdenotaalpie"/>
          <w:sz w:val="20"/>
        </w:rPr>
        <w:footnoteRef/>
      </w:r>
      <w:r w:rsidRPr="00CB3926">
        <w:rPr>
          <w:lang w:val="pt-BR"/>
        </w:rPr>
        <w:t xml:space="preserve"> Corte Constitucional, sentencia C-1052 de 2001 (MP Manuel José Cepeda Espinosa).</w:t>
      </w:r>
    </w:p>
  </w:footnote>
  <w:footnote w:id="12">
    <w:p w:rsidR="004D4D91" w:rsidRDefault="008936AF" w:rsidP="00334794">
      <w:pPr>
        <w:pStyle w:val="Textonotapie"/>
      </w:pPr>
      <w:r w:rsidRPr="00BB5496">
        <w:rPr>
          <w:rStyle w:val="Refdenotaalpie"/>
          <w:sz w:val="20"/>
        </w:rPr>
        <w:footnoteRef/>
      </w:r>
      <w:r w:rsidRPr="00CB3926">
        <w:rPr>
          <w:lang w:val="pt-BR"/>
        </w:rPr>
        <w:t xml:space="preserve"> Corte Constitucional, Sentencia C-1052 de 2001 (MP Manuel José Cepeda Espinosa).</w:t>
      </w:r>
    </w:p>
  </w:footnote>
  <w:footnote w:id="13">
    <w:p w:rsidR="004D4D91" w:rsidRDefault="008936AF" w:rsidP="00334794">
      <w:pPr>
        <w:pStyle w:val="Textonotapie"/>
        <w:ind w:right="-92"/>
        <w:jc w:val="both"/>
      </w:pPr>
      <w:r w:rsidRPr="00BB5496">
        <w:rPr>
          <w:rStyle w:val="Refdenotaalpie"/>
          <w:sz w:val="20"/>
        </w:rPr>
        <w:footnoteRef/>
      </w:r>
      <w:r w:rsidRPr="00CB3926">
        <w:rPr>
          <w:lang w:val="pt-BR"/>
        </w:rPr>
        <w:t xml:space="preserve"> Corte Constitucional, Sentencia C-1052 de 2001 (MP Manuel José Cepeda Espinosa). </w:t>
      </w:r>
      <w:r w:rsidRPr="00BB5496">
        <w:t xml:space="preserve">Al respecto, ver el apartado (3.4.2) de las consideraciones de la sentencia. </w:t>
      </w:r>
    </w:p>
  </w:footnote>
  <w:footnote w:id="14">
    <w:p w:rsidR="004D4D91" w:rsidRDefault="008936AF" w:rsidP="00334794">
      <w:pPr>
        <w:pStyle w:val="Textonotapie"/>
        <w:jc w:val="both"/>
      </w:pPr>
      <w:r w:rsidRPr="00BB5496">
        <w:rPr>
          <w:rStyle w:val="Refdenotaalpie"/>
          <w:sz w:val="20"/>
        </w:rPr>
        <w:footnoteRef/>
      </w:r>
      <w:r w:rsidRPr="00BB5496">
        <w:t xml:space="preserve"> </w:t>
      </w:r>
      <w:r w:rsidRPr="00BB5496">
        <w:t>Corte Constitucional, Sentencia C-382 de 2012 (MP Gabriel Eduardo Mendoza Martelo), en la cual la Corte puntualizó que no se cumple con el requisito de claridad al no explicars</w:t>
      </w:r>
      <w:r w:rsidRPr="00BB5496">
        <w:t>e por qué el precepto acusado infringe la norma superior, y Sentencia C- 227 de 2015 (MP Jorge Ignacio Pretelt Chaljub), providencia en la cual se explicó que se presenta falta de claridad al existir en la demanda consideraciones que pueden ser contradicto</w:t>
      </w:r>
      <w:r w:rsidRPr="00BB5496">
        <w:t>ras.</w:t>
      </w:r>
    </w:p>
  </w:footnote>
  <w:footnote w:id="15">
    <w:p w:rsidR="004D4D91" w:rsidRDefault="008936AF" w:rsidP="00334794">
      <w:pPr>
        <w:jc w:val="both"/>
      </w:pPr>
      <w:r w:rsidRPr="00BB5496">
        <w:rPr>
          <w:rStyle w:val="Refdenotaalpie"/>
          <w:sz w:val="20"/>
        </w:rPr>
        <w:footnoteRef/>
      </w:r>
      <w:r w:rsidRPr="00BB5496">
        <w:rPr>
          <w:sz w:val="20"/>
        </w:rPr>
        <w:t xml:space="preserve"> Corte Constitucional, </w:t>
      </w:r>
      <w:r w:rsidRPr="00BB5496">
        <w:rPr>
          <w:bCs/>
          <w:sz w:val="20"/>
          <w:bdr w:val="none" w:sz="0" w:space="0" w:color="auto" w:frame="1"/>
        </w:rPr>
        <w:t>Sentencia C-913 de 2004 (MP Manuel José Cepeda Espinosa), en la que se aclaró que no se observó el requisito de certeza, por cuanto la demanda no recae sobre una proposición jurídica real y existente, sino en una deducida por q</w:t>
      </w:r>
      <w:r w:rsidRPr="00BB5496">
        <w:rPr>
          <w:bCs/>
          <w:sz w:val="20"/>
          <w:bdr w:val="none" w:sz="0" w:space="0" w:color="auto" w:frame="1"/>
        </w:rPr>
        <w:t>uien plantea la demanda, o que está contenida en una norma jurídica que no fue demandada</w:t>
      </w:r>
      <w:r w:rsidRPr="00BB5496">
        <w:rPr>
          <w:sz w:val="20"/>
        </w:rPr>
        <w:t xml:space="preserve"> </w:t>
      </w:r>
      <w:r w:rsidRPr="00BB5496">
        <w:rPr>
          <w:bCs/>
          <w:sz w:val="20"/>
          <w:bdr w:val="none" w:sz="0" w:space="0" w:color="auto" w:frame="1"/>
        </w:rPr>
        <w:t>Sentencia C-1154 de 2005, (MP Manuel José Cepeda Espinosa), en la cual se señala que se presenta falta de certeza cuando el cargo no se predica del texto acusado,  y S</w:t>
      </w:r>
      <w:r w:rsidRPr="00BB5496">
        <w:rPr>
          <w:bCs/>
          <w:sz w:val="20"/>
          <w:bdr w:val="none" w:sz="0" w:space="0" w:color="auto" w:frame="1"/>
        </w:rPr>
        <w:t xml:space="preserve">entencia </w:t>
      </w:r>
      <w:r w:rsidRPr="00BB5496">
        <w:rPr>
          <w:bCs/>
          <w:sz w:val="20"/>
          <w:bdr w:val="none" w:sz="0" w:space="0" w:color="auto" w:frame="1"/>
          <w:lang w:val="es-419"/>
        </w:rPr>
        <w:t>C-619 d</w:t>
      </w:r>
      <w:r w:rsidRPr="00BB5496">
        <w:rPr>
          <w:bCs/>
          <w:sz w:val="20"/>
          <w:bdr w:val="none" w:sz="0" w:space="0" w:color="auto" w:frame="1"/>
        </w:rPr>
        <w:t>e 20</w:t>
      </w:r>
      <w:r w:rsidRPr="00BB5496">
        <w:rPr>
          <w:bCs/>
          <w:sz w:val="20"/>
          <w:bdr w:val="none" w:sz="0" w:space="0" w:color="auto" w:frame="1"/>
          <w:lang w:val="es-419"/>
        </w:rPr>
        <w:t>15</w:t>
      </w:r>
      <w:r w:rsidRPr="00BB5496">
        <w:rPr>
          <w:bCs/>
          <w:sz w:val="20"/>
          <w:bdr w:val="none" w:sz="0" w:space="0" w:color="auto" w:frame="1"/>
        </w:rPr>
        <w:t xml:space="preserve"> (MP Gloria Stella Ortiz Delgado), en la que se indica que la demanda carece de tal requisito </w:t>
      </w:r>
      <w:r w:rsidRPr="00BB5496">
        <w:rPr>
          <w:sz w:val="20"/>
          <w:shd w:val="clear" w:color="auto" w:fill="FFFFFF"/>
        </w:rPr>
        <w:t>al fundarse en una proposición normativa que no está contenida en la expresión demandada</w:t>
      </w:r>
      <w:r w:rsidRPr="00BB5496">
        <w:rPr>
          <w:bCs/>
          <w:sz w:val="20"/>
          <w:bdr w:val="none" w:sz="0" w:space="0" w:color="auto" w:frame="1"/>
        </w:rPr>
        <w:t xml:space="preserve">. </w:t>
      </w:r>
    </w:p>
  </w:footnote>
  <w:footnote w:id="16">
    <w:p w:rsidR="004D4D91" w:rsidRDefault="008936AF" w:rsidP="00334794">
      <w:pPr>
        <w:jc w:val="both"/>
      </w:pPr>
      <w:r w:rsidRPr="00BB5496">
        <w:rPr>
          <w:rStyle w:val="Refdenotaalpie"/>
          <w:sz w:val="20"/>
        </w:rPr>
        <w:footnoteRef/>
      </w:r>
      <w:r w:rsidRPr="00BB5496">
        <w:rPr>
          <w:sz w:val="20"/>
        </w:rPr>
        <w:t xml:space="preserve"> Corte Constitucional, Sentencia C-555 de 2005 (</w:t>
      </w:r>
      <w:r w:rsidRPr="00BB5496">
        <w:rPr>
          <w:sz w:val="20"/>
        </w:rPr>
        <w:t xml:space="preserve">MP Clara Inés Vargas Hernández), en la cual se afirmó que no se cumplió con el requisito de especificidad porque los </w:t>
      </w:r>
      <w:r w:rsidRPr="00BB5496">
        <w:rPr>
          <w:sz w:val="20"/>
          <w:shd w:val="clear" w:color="auto" w:fill="FFFFFF"/>
        </w:rPr>
        <w:t>fundamentos fueron formulados a partir de apreciaciones subjetivas o propias del pensamiento e ideología que el actor tiene sobre el alcanc</w:t>
      </w:r>
      <w:r w:rsidRPr="00BB5496">
        <w:rPr>
          <w:sz w:val="20"/>
          <w:shd w:val="clear" w:color="auto" w:fill="FFFFFF"/>
        </w:rPr>
        <w:t>e de la manipulación genética y su incidencia en la humanidad y Sentencia C-614 de 2013 (MP Mauricio González Cuervo), en la que se concluyó que no se trataba de razones específicas porque la argumentación se limitó a citar algunas sentencias de la Corte a</w:t>
      </w:r>
      <w:r w:rsidRPr="00BB5496">
        <w:rPr>
          <w:sz w:val="20"/>
          <w:shd w:val="clear" w:color="auto" w:fill="FFFFFF"/>
        </w:rPr>
        <w:t xml:space="preserve">compañadas de motivos de orden legal y de mera conveniencia. </w:t>
      </w:r>
    </w:p>
  </w:footnote>
  <w:footnote w:id="17">
    <w:p w:rsidR="004D4D91" w:rsidRDefault="008936AF" w:rsidP="00334794">
      <w:pPr>
        <w:shd w:val="clear" w:color="auto" w:fill="FFFFFF"/>
        <w:jc w:val="both"/>
      </w:pPr>
      <w:r w:rsidRPr="00BB5496">
        <w:rPr>
          <w:rStyle w:val="Refdenotaalpie"/>
          <w:sz w:val="20"/>
        </w:rPr>
        <w:footnoteRef/>
      </w:r>
      <w:r w:rsidRPr="00BB5496">
        <w:rPr>
          <w:sz w:val="20"/>
        </w:rPr>
        <w:t xml:space="preserve"> Corte Constitucional</w:t>
      </w:r>
      <w:r>
        <w:rPr>
          <w:sz w:val="20"/>
        </w:rPr>
        <w:t>.</w:t>
      </w:r>
      <w:r w:rsidRPr="00BB5496">
        <w:rPr>
          <w:sz w:val="20"/>
        </w:rPr>
        <w:t xml:space="preserve"> Sentencia C-259 de 2008 (MP Jaime Araújo Rentería), en la cual se </w:t>
      </w:r>
      <w:r w:rsidRPr="00BB5496">
        <w:rPr>
          <w:bCs/>
          <w:sz w:val="20"/>
          <w:bdr w:val="none" w:sz="0" w:space="0" w:color="auto" w:frame="1"/>
        </w:rPr>
        <w:t xml:space="preserve">señala que la demanda carece de pertinencia por cuanto se funda simplemente en </w:t>
      </w:r>
      <w:r w:rsidRPr="00BB5496">
        <w:rPr>
          <w:iCs/>
          <w:sz w:val="20"/>
          <w:bdr w:val="none" w:sz="0" w:space="0" w:color="auto" w:frame="1"/>
        </w:rPr>
        <w:t>conjeturas relacionadas c</w:t>
      </w:r>
      <w:r w:rsidRPr="00BB5496">
        <w:rPr>
          <w:iCs/>
          <w:sz w:val="20"/>
          <w:bdr w:val="none" w:sz="0" w:space="0" w:color="auto" w:frame="1"/>
        </w:rPr>
        <w:t xml:space="preserve">on los provechos o las ventajas de la norma en cuestión y Sentencia C-229 de 2015, (MP Gabriel Eduardo Mendoza Martelo), en la que se </w:t>
      </w:r>
      <w:r w:rsidRPr="00BB5496">
        <w:rPr>
          <w:sz w:val="20"/>
          <w:bdr w:val="none" w:sz="0" w:space="0" w:color="auto" w:frame="1"/>
        </w:rPr>
        <w:t>consideró que la acción pública de inconstitucionalidad en razón de su objeto, no es un mecanismo encaminado a resolver si</w:t>
      </w:r>
      <w:r w:rsidRPr="00BB5496">
        <w:rPr>
          <w:sz w:val="20"/>
          <w:bdr w:val="none" w:sz="0" w:space="0" w:color="auto" w:frame="1"/>
        </w:rPr>
        <w:t>tuaciones particulares, ni a revivir disposiciones que resulten deseables para quien formula una demanda.</w:t>
      </w:r>
    </w:p>
  </w:footnote>
  <w:footnote w:id="18">
    <w:p w:rsidR="004D4D91" w:rsidRDefault="008936AF" w:rsidP="00334794">
      <w:pPr>
        <w:pStyle w:val="Textonotapie"/>
        <w:jc w:val="both"/>
      </w:pPr>
      <w:r w:rsidRPr="00BB5496">
        <w:rPr>
          <w:rStyle w:val="Refdenotaalpie"/>
          <w:sz w:val="20"/>
        </w:rPr>
        <w:footnoteRef/>
      </w:r>
      <w:r w:rsidRPr="00BB5496">
        <w:t xml:space="preserve"> Corte Constitucional. Sentencia C-048 de 2006 (MP Marco Gerardo Monroy Cabra), en la que esta Corporación señaló que las razones expuestas en la demanda no eran suficientes al no haberse estructurado una argumentación completa que explicara con todos los </w:t>
      </w:r>
      <w:r w:rsidRPr="00BB5496">
        <w:t xml:space="preserve">elementos necesarios, por qué la norma acusada es contraria al precepto constitucional supuestamente vulnerado, y Sentencia C-819 de 2011 (MP Gabriel Eduardo Mendoza Martelo), en la cual se afirmó que la acusación carecía de suficiencia al no contener los </w:t>
      </w:r>
      <w:r w:rsidRPr="00BB5496">
        <w:t>elementos fácticos necesarios para generar una sospecha o duda mínima sobre la constitucionalidad del precepto impugnado.</w:t>
      </w:r>
    </w:p>
  </w:footnote>
  <w:footnote w:id="19">
    <w:p w:rsidR="004D4D91" w:rsidRDefault="008936AF" w:rsidP="008E0D9E">
      <w:pPr>
        <w:pStyle w:val="Textonotapie"/>
      </w:pPr>
      <w:r>
        <w:rPr>
          <w:rStyle w:val="Refdenotaalpie"/>
          <w:szCs w:val="16"/>
        </w:rPr>
        <w:footnoteRef/>
      </w:r>
      <w:r>
        <w:t xml:space="preserve"> Ver entre otras, las sentencias </w:t>
      </w:r>
      <w:r w:rsidRPr="000373C0">
        <w:t>C-426 de 2002, C-259 de 2015</w:t>
      </w:r>
      <w:r>
        <w:t xml:space="preserve"> y C-136 de 2017.</w:t>
      </w:r>
    </w:p>
  </w:footnote>
  <w:footnote w:id="20">
    <w:p w:rsidR="004D4D91" w:rsidRDefault="008936AF" w:rsidP="008E0D9E">
      <w:pPr>
        <w:pStyle w:val="Textonotapie"/>
      </w:pPr>
      <w:r>
        <w:rPr>
          <w:rStyle w:val="Refdenotaalpie"/>
          <w:szCs w:val="16"/>
        </w:rPr>
        <w:footnoteRef/>
      </w:r>
      <w:r>
        <w:t xml:space="preserve"> </w:t>
      </w:r>
      <w:r>
        <w:t>Corte Constitucional. Sentencia C-136 de 2017 (MP. A</w:t>
      </w:r>
      <w:r>
        <w:t>lejandro Linares Cantillo).</w:t>
      </w:r>
    </w:p>
  </w:footnote>
  <w:footnote w:id="21">
    <w:p w:rsidR="004D4D91" w:rsidRDefault="008936AF" w:rsidP="008E0D9E">
      <w:pPr>
        <w:pStyle w:val="Textonotapie"/>
      </w:pPr>
      <w:r>
        <w:rPr>
          <w:rStyle w:val="Refdenotaalpie"/>
          <w:szCs w:val="16"/>
        </w:rPr>
        <w:footnoteRef/>
      </w:r>
      <w:r>
        <w:t xml:space="preserve"> </w:t>
      </w:r>
      <w:r>
        <w:t>Reiterado en la sentencia C-136 de 2017.</w:t>
      </w:r>
    </w:p>
  </w:footnote>
  <w:footnote w:id="22">
    <w:p w:rsidR="004D4D91" w:rsidRDefault="008936AF" w:rsidP="00D26B81">
      <w:pPr>
        <w:pStyle w:val="Textonotapie"/>
        <w:jc w:val="both"/>
      </w:pPr>
      <w:r>
        <w:rPr>
          <w:rStyle w:val="Refdenotaalpie"/>
          <w:szCs w:val="16"/>
        </w:rPr>
        <w:footnoteRef/>
      </w:r>
      <w:r>
        <w:t xml:space="preserve"> </w:t>
      </w:r>
      <w:r>
        <w:t>Corte Constitucional. Sentencias</w:t>
      </w:r>
      <w:r w:rsidRPr="00D26B81">
        <w:t xml:space="preserve"> C-802 de 2008</w:t>
      </w:r>
      <w:r>
        <w:t xml:space="preserve"> (MP. Clara Inés Vargas) </w:t>
      </w:r>
      <w:r w:rsidRPr="00450592">
        <w:t>C-304 de 2013</w:t>
      </w:r>
      <w:r>
        <w:t xml:space="preserve"> (MP. Gabriel Eduardo Mendoza) , C-136 de 2017 (MP. Alejandro Linares Cantillo) entre otras. </w:t>
      </w:r>
    </w:p>
  </w:footnote>
  <w:footnote w:id="23">
    <w:p w:rsidR="004D4D91" w:rsidRDefault="008936AF">
      <w:pPr>
        <w:pStyle w:val="Textonotapie"/>
      </w:pPr>
      <w:r>
        <w:rPr>
          <w:rStyle w:val="Refdenotaalpie"/>
          <w:szCs w:val="16"/>
        </w:rPr>
        <w:footnoteRef/>
      </w:r>
      <w:r>
        <w:t xml:space="preserve"> Cor</w:t>
      </w:r>
      <w:r>
        <w:t xml:space="preserve">te Constitucional. Sentencia </w:t>
      </w:r>
      <w:r w:rsidRPr="00B32383">
        <w:rPr>
          <w:szCs w:val="28"/>
        </w:rPr>
        <w:t>C-802 de 2008</w:t>
      </w:r>
      <w:r>
        <w:rPr>
          <w:szCs w:val="2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006B6"/>
    <w:multiLevelType w:val="hybridMultilevel"/>
    <w:tmpl w:val="9A84253E"/>
    <w:lvl w:ilvl="0" w:tplc="EA92697E">
      <w:start w:val="1"/>
      <w:numFmt w:val="decimal"/>
      <w:lvlText w:val="%1."/>
      <w:lvlJc w:val="left"/>
      <w:pPr>
        <w:ind w:left="108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362F73AE"/>
    <w:multiLevelType w:val="multilevel"/>
    <w:tmpl w:val="FA149C1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112" w:hanging="360"/>
      </w:pPr>
      <w:rPr>
        <w:rFonts w:cs="Times New Roman"/>
      </w:rPr>
    </w:lvl>
    <w:lvl w:ilvl="2">
      <w:start w:val="1"/>
      <w:numFmt w:val="lowerRoman"/>
      <w:lvlText w:val="%3."/>
      <w:lvlJc w:val="right"/>
      <w:pPr>
        <w:ind w:left="-392" w:hanging="180"/>
      </w:pPr>
      <w:rPr>
        <w:rFonts w:cs="Times New Roman"/>
      </w:rPr>
    </w:lvl>
    <w:lvl w:ilvl="3">
      <w:start w:val="1"/>
      <w:numFmt w:val="decimal"/>
      <w:lvlText w:val="%4."/>
      <w:lvlJc w:val="left"/>
      <w:pPr>
        <w:ind w:left="328" w:hanging="360"/>
      </w:pPr>
      <w:rPr>
        <w:rFonts w:cs="Times New Roman"/>
      </w:rPr>
    </w:lvl>
    <w:lvl w:ilvl="4">
      <w:start w:val="1"/>
      <w:numFmt w:val="lowerLetter"/>
      <w:lvlText w:val="%5."/>
      <w:lvlJc w:val="left"/>
      <w:pPr>
        <w:ind w:left="1048" w:hanging="360"/>
      </w:pPr>
      <w:rPr>
        <w:rFonts w:cs="Times New Roman"/>
      </w:rPr>
    </w:lvl>
    <w:lvl w:ilvl="5">
      <w:start w:val="1"/>
      <w:numFmt w:val="lowerRoman"/>
      <w:lvlText w:val="%6."/>
      <w:lvlJc w:val="right"/>
      <w:pPr>
        <w:ind w:left="1768" w:hanging="180"/>
      </w:pPr>
      <w:rPr>
        <w:rFonts w:cs="Times New Roman"/>
      </w:rPr>
    </w:lvl>
    <w:lvl w:ilvl="6">
      <w:start w:val="1"/>
      <w:numFmt w:val="decimal"/>
      <w:lvlText w:val="%7."/>
      <w:lvlJc w:val="left"/>
      <w:pPr>
        <w:ind w:left="2488" w:hanging="360"/>
      </w:pPr>
      <w:rPr>
        <w:rFonts w:cs="Times New Roman"/>
      </w:rPr>
    </w:lvl>
    <w:lvl w:ilvl="7">
      <w:start w:val="1"/>
      <w:numFmt w:val="lowerLetter"/>
      <w:lvlText w:val="%8."/>
      <w:lvlJc w:val="left"/>
      <w:pPr>
        <w:ind w:left="3208" w:hanging="360"/>
      </w:pPr>
      <w:rPr>
        <w:rFonts w:cs="Times New Roman"/>
      </w:rPr>
    </w:lvl>
    <w:lvl w:ilvl="8">
      <w:start w:val="1"/>
      <w:numFmt w:val="lowerRoman"/>
      <w:lvlText w:val="%9."/>
      <w:lvlJc w:val="right"/>
      <w:pPr>
        <w:ind w:left="3928" w:hanging="180"/>
      </w:pPr>
      <w:rPr>
        <w:rFonts w:cs="Times New Roman"/>
      </w:rPr>
    </w:lvl>
  </w:abstractNum>
  <w:abstractNum w:abstractNumId="2" w15:restartNumberingAfterBreak="0">
    <w:nsid w:val="44D029E0"/>
    <w:multiLevelType w:val="multilevel"/>
    <w:tmpl w:val="7CCAAF8C"/>
    <w:lvl w:ilvl="0">
      <w:start w:val="6"/>
      <w:numFmt w:val="decimal"/>
      <w:lvlText w:val="%1."/>
      <w:lvlJc w:val="left"/>
      <w:pPr>
        <w:ind w:left="450" w:hanging="450"/>
      </w:pPr>
      <w:rPr>
        <w:rFonts w:cs="Times New Roman" w:hint="default"/>
        <w:i/>
      </w:rPr>
    </w:lvl>
    <w:lvl w:ilvl="1">
      <w:start w:val="1"/>
      <w:numFmt w:val="decimal"/>
      <w:lvlText w:val="%1.%2."/>
      <w:lvlJc w:val="left"/>
      <w:pPr>
        <w:ind w:left="720" w:hanging="720"/>
      </w:pPr>
      <w:rPr>
        <w:rFonts w:cs="Times New Roman" w:hint="default"/>
        <w:i/>
      </w:rPr>
    </w:lvl>
    <w:lvl w:ilvl="2">
      <w:start w:val="1"/>
      <w:numFmt w:val="decimal"/>
      <w:lvlText w:val="%1.%2.%3."/>
      <w:lvlJc w:val="left"/>
      <w:pPr>
        <w:ind w:left="720" w:hanging="720"/>
      </w:pPr>
      <w:rPr>
        <w:rFonts w:cs="Times New Roman" w:hint="default"/>
        <w:i/>
      </w:rPr>
    </w:lvl>
    <w:lvl w:ilvl="3">
      <w:start w:val="1"/>
      <w:numFmt w:val="decimal"/>
      <w:lvlText w:val="%1.%2.%3.%4."/>
      <w:lvlJc w:val="left"/>
      <w:pPr>
        <w:ind w:left="1080" w:hanging="1080"/>
      </w:pPr>
      <w:rPr>
        <w:rFonts w:cs="Times New Roman" w:hint="default"/>
        <w:i/>
      </w:rPr>
    </w:lvl>
    <w:lvl w:ilvl="4">
      <w:start w:val="1"/>
      <w:numFmt w:val="decimal"/>
      <w:lvlText w:val="%1.%2.%3.%4.%5."/>
      <w:lvlJc w:val="left"/>
      <w:pPr>
        <w:ind w:left="1080" w:hanging="1080"/>
      </w:pPr>
      <w:rPr>
        <w:rFonts w:cs="Times New Roman" w:hint="default"/>
        <w:i/>
      </w:rPr>
    </w:lvl>
    <w:lvl w:ilvl="5">
      <w:start w:val="1"/>
      <w:numFmt w:val="decimal"/>
      <w:lvlText w:val="%1.%2.%3.%4.%5.%6."/>
      <w:lvlJc w:val="left"/>
      <w:pPr>
        <w:ind w:left="1440" w:hanging="1440"/>
      </w:pPr>
      <w:rPr>
        <w:rFonts w:cs="Times New Roman" w:hint="default"/>
        <w:i/>
      </w:rPr>
    </w:lvl>
    <w:lvl w:ilvl="6">
      <w:start w:val="1"/>
      <w:numFmt w:val="decimal"/>
      <w:lvlText w:val="%1.%2.%3.%4.%5.%6.%7."/>
      <w:lvlJc w:val="left"/>
      <w:pPr>
        <w:ind w:left="1800" w:hanging="1800"/>
      </w:pPr>
      <w:rPr>
        <w:rFonts w:cs="Times New Roman" w:hint="default"/>
        <w:i/>
      </w:rPr>
    </w:lvl>
    <w:lvl w:ilvl="7">
      <w:start w:val="1"/>
      <w:numFmt w:val="decimal"/>
      <w:lvlText w:val="%1.%2.%3.%4.%5.%6.%7.%8."/>
      <w:lvlJc w:val="left"/>
      <w:pPr>
        <w:ind w:left="1800" w:hanging="1800"/>
      </w:pPr>
      <w:rPr>
        <w:rFonts w:cs="Times New Roman" w:hint="default"/>
        <w:i/>
      </w:rPr>
    </w:lvl>
    <w:lvl w:ilvl="8">
      <w:start w:val="1"/>
      <w:numFmt w:val="decimal"/>
      <w:lvlText w:val="%1.%2.%3.%4.%5.%6.%7.%8.%9."/>
      <w:lvlJc w:val="left"/>
      <w:pPr>
        <w:ind w:left="2160" w:hanging="2160"/>
      </w:pPr>
      <w:rPr>
        <w:rFonts w:cs="Times New Roman" w:hint="default"/>
        <w:i/>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C4D"/>
    <w:rsid w:val="004D4D91"/>
    <w:rsid w:val="008936AF"/>
    <w:rsid w:val="00A96C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2369D3A7-E836-421B-91F0-25826B8D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autoRedefine/>
    <w:uiPriority w:val="9"/>
    <w:qFormat/>
    <w:rsid w:val="00F60AF8"/>
    <w:pPr>
      <w:keepNext/>
      <w:keepLines/>
      <w:spacing w:before="240"/>
      <w:ind w:right="-232"/>
      <w:outlineLvl w:val="0"/>
    </w:pPr>
    <w:rPr>
      <w:rFonts w:eastAsiaTheme="majorEastAsia"/>
      <w:b/>
      <w:szCs w:val="32"/>
    </w:rPr>
  </w:style>
  <w:style w:type="paragraph" w:styleId="Ttulo3">
    <w:name w:val="heading 3"/>
    <w:aliases w:val="subtítulo"/>
    <w:basedOn w:val="Normal"/>
    <w:next w:val="Normal"/>
    <w:link w:val="Ttulo3Car"/>
    <w:uiPriority w:val="9"/>
    <w:qFormat/>
    <w:rsid w:val="00A25E56"/>
    <w:pPr>
      <w:keepNext/>
      <w:outlineLvl w:val="2"/>
    </w:pPr>
    <w:rPr>
      <w:b/>
      <w:spacing w:val="26"/>
    </w:rPr>
  </w:style>
  <w:style w:type="paragraph" w:styleId="Ttulo4">
    <w:name w:val="heading 4"/>
    <w:basedOn w:val="Normal"/>
    <w:next w:val="Normal"/>
    <w:link w:val="Ttulo4Car"/>
    <w:uiPriority w:val="9"/>
    <w:semiHidden/>
    <w:unhideWhenUsed/>
    <w:qFormat/>
    <w:rsid w:val="00F334FD"/>
    <w:pPr>
      <w:keepNext/>
      <w:keepLines/>
      <w:spacing w:before="40"/>
      <w:outlineLvl w:val="3"/>
    </w:pPr>
    <w:rPr>
      <w:rFonts w:asciiTheme="majorHAnsi" w:eastAsiaTheme="majorEastAsia" w:hAnsiTheme="majorHAnsi"/>
      <w:i/>
      <w:iCs/>
      <w:color w:val="2E74B5" w:themeColor="accent1" w:themeShade="BF"/>
    </w:rPr>
  </w:style>
  <w:style w:type="paragraph" w:styleId="Ttulo6">
    <w:name w:val="heading 6"/>
    <w:basedOn w:val="Normal"/>
    <w:next w:val="Normal"/>
    <w:link w:val="Ttulo6Car"/>
    <w:uiPriority w:val="9"/>
    <w:semiHidden/>
    <w:unhideWhenUsed/>
    <w:qFormat/>
    <w:rsid w:val="009B1463"/>
    <w:pPr>
      <w:spacing w:before="240" w:after="60"/>
      <w:outlineLvl w:val="5"/>
    </w:pPr>
    <w:rPr>
      <w:rFonts w:ascii="Calibri" w:hAnsi="Calibri"/>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F60AF8"/>
    <w:rPr>
      <w:rFonts w:eastAsiaTheme="majorEastAsia" w:cs="Times New Roman"/>
      <w:b/>
      <w:sz w:val="32"/>
      <w:szCs w:val="32"/>
      <w:lang w:val="es-ES_tradnl" w:eastAsia="es-MX"/>
    </w:rPr>
  </w:style>
  <w:style w:type="character" w:customStyle="1" w:styleId="Ttulo3Car">
    <w:name w:val="Título 3 Car"/>
    <w:aliases w:val="subtítulo Car"/>
    <w:basedOn w:val="Fuentedeprrafopredeter"/>
    <w:link w:val="Ttulo3"/>
    <w:uiPriority w:val="9"/>
    <w:locked/>
    <w:rsid w:val="00A25E56"/>
    <w:rPr>
      <w:b/>
      <w:spacing w:val="26"/>
      <w:sz w:val="28"/>
      <w:lang w:val="es-ES_tradnl" w:eastAsia="es-MX"/>
    </w:rPr>
  </w:style>
  <w:style w:type="character" w:customStyle="1" w:styleId="Ttulo4Car">
    <w:name w:val="Título 4 Car"/>
    <w:basedOn w:val="Fuentedeprrafopredeter"/>
    <w:link w:val="Ttulo4"/>
    <w:uiPriority w:val="9"/>
    <w:semiHidden/>
    <w:locked/>
    <w:rsid w:val="00F334FD"/>
    <w:rPr>
      <w:rFonts w:asciiTheme="majorHAnsi" w:eastAsiaTheme="majorEastAsia" w:hAnsiTheme="majorHAnsi" w:cs="Times New Roman"/>
      <w:i/>
      <w:iCs/>
      <w:color w:val="2E74B5" w:themeColor="accent1" w:themeShade="BF"/>
      <w:sz w:val="28"/>
      <w:lang w:val="es-ES_tradnl" w:eastAsia="es-MX"/>
    </w:rPr>
  </w:style>
  <w:style w:type="character" w:customStyle="1" w:styleId="Ttulo6Car">
    <w:name w:val="Título 6 Car"/>
    <w:basedOn w:val="Fuentedeprrafopredeter"/>
    <w:link w:val="Ttulo6"/>
    <w:uiPriority w:val="9"/>
    <w:semiHidden/>
    <w:locked/>
    <w:rsid w:val="009B1463"/>
    <w:rPr>
      <w:rFonts w:ascii="Calibri" w:hAnsi="Calibri"/>
      <w:b/>
      <w:sz w:val="22"/>
      <w:lang w:val="es-ES_tradnl" w:eastAsia="es-MX"/>
    </w:rPr>
  </w:style>
  <w:style w:type="paragraph" w:styleId="Encabezado">
    <w:name w:val="header"/>
    <w:basedOn w:val="Normal"/>
    <w:link w:val="EncabezadoCar"/>
    <w:uiPriority w:val="99"/>
    <w:rsid w:val="004C19EB"/>
    <w:pPr>
      <w:tabs>
        <w:tab w:val="center" w:pos="4819"/>
        <w:tab w:val="right" w:pos="9071"/>
      </w:tabs>
      <w:spacing w:line="360" w:lineRule="auto"/>
      <w:jc w:val="both"/>
    </w:pPr>
  </w:style>
  <w:style w:type="character" w:customStyle="1" w:styleId="EncabezadoCar">
    <w:name w:val="Encabezado Car"/>
    <w:basedOn w:val="Fuentedeprrafopredeter"/>
    <w:link w:val="Encabezado"/>
    <w:uiPriority w:val="99"/>
    <w:locked/>
    <w:rsid w:val="004C19EB"/>
    <w:rPr>
      <w:sz w:val="28"/>
      <w:lang w:val="es-ES_tradnl" w:eastAsia="es-MX"/>
    </w:rPr>
  </w:style>
  <w:style w:type="character" w:styleId="Nmerodepgina">
    <w:name w:val="page number"/>
    <w:basedOn w:val="Fuentedeprrafopredeter"/>
    <w:uiPriority w:val="99"/>
    <w:rsid w:val="004C19EB"/>
    <w:rPr>
      <w:rFonts w:cs="Times New Roman"/>
    </w:rPr>
  </w:style>
  <w:style w:type="paragraph" w:customStyle="1" w:styleId="Puesto">
    <w:name w:val="Puesto"/>
    <w:basedOn w:val="Normal"/>
    <w:qFormat/>
    <w:rsid w:val="004C19EB"/>
    <w:pPr>
      <w:jc w:val="center"/>
    </w:pPr>
    <w:rPr>
      <w:b/>
      <w:lang w:eastAsia="es-ES"/>
    </w:rPr>
  </w:style>
  <w:style w:type="paragraph" w:styleId="Textoindependiente2">
    <w:name w:val="Body Text 2"/>
    <w:basedOn w:val="Normal"/>
    <w:link w:val="Textoindependiente2Car"/>
    <w:uiPriority w:val="99"/>
    <w:rsid w:val="004C19EB"/>
    <w:pPr>
      <w:jc w:val="center"/>
    </w:pPr>
    <w:rPr>
      <w:b/>
      <w:sz w:val="36"/>
      <w:lang w:eastAsia="es-ES"/>
    </w:rPr>
  </w:style>
  <w:style w:type="character" w:customStyle="1" w:styleId="Textoindependiente2Car">
    <w:name w:val="Texto independiente 2 Car"/>
    <w:basedOn w:val="Fuentedeprrafopredeter"/>
    <w:link w:val="Textoindependiente2"/>
    <w:uiPriority w:val="99"/>
    <w:semiHidden/>
    <w:rPr>
      <w:sz w:val="28"/>
      <w:lang w:val="es-ES_tradnl" w:eastAsia="es-MX"/>
    </w:rPr>
  </w:style>
  <w:style w:type="paragraph" w:styleId="NormalWeb">
    <w:name w:val="Normal (Web)"/>
    <w:basedOn w:val="Normal"/>
    <w:uiPriority w:val="99"/>
    <w:rsid w:val="004C19EB"/>
    <w:pPr>
      <w:spacing w:before="100" w:beforeAutospacing="1" w:after="100" w:afterAutospacing="1"/>
    </w:pPr>
    <w:rPr>
      <w:sz w:val="24"/>
      <w:szCs w:val="24"/>
      <w:lang w:val="es-ES" w:eastAsia="es-ES"/>
    </w:rPr>
  </w:style>
  <w:style w:type="paragraph" w:styleId="Piedepgina">
    <w:name w:val="footer"/>
    <w:basedOn w:val="Normal"/>
    <w:link w:val="PiedepginaCar"/>
    <w:uiPriority w:val="99"/>
    <w:rsid w:val="00344157"/>
    <w:pPr>
      <w:tabs>
        <w:tab w:val="center" w:pos="4252"/>
        <w:tab w:val="right" w:pos="8504"/>
      </w:tabs>
    </w:pPr>
  </w:style>
  <w:style w:type="character" w:customStyle="1" w:styleId="PiedepginaCar">
    <w:name w:val="Pie de página Car"/>
    <w:basedOn w:val="Fuentedeprrafopredeter"/>
    <w:link w:val="Piedepgina"/>
    <w:uiPriority w:val="99"/>
    <w:locked/>
    <w:rsid w:val="006516FE"/>
    <w:rPr>
      <w:sz w:val="28"/>
      <w:lang w:val="es-ES_tradnl" w:eastAsia="x-none"/>
    </w:rPr>
  </w:style>
  <w:style w:type="paragraph" w:styleId="Prrafodelista">
    <w:name w:val="List Paragraph"/>
    <w:basedOn w:val="Normal"/>
    <w:uiPriority w:val="34"/>
    <w:qFormat/>
    <w:rsid w:val="00BB6404"/>
    <w:pPr>
      <w:ind w:left="708"/>
    </w:pPr>
  </w:style>
  <w:style w:type="character" w:styleId="Refdenotaalpie">
    <w:name w:val="footnote reference"/>
    <w:aliases w:val="Texto de nota al pie,Footnotes refss,Appel note de bas de page,referencia nota al pie,Footnote number,BVI fnr,f,4_G,16 Point,Superscript 6 Point,Texto nota al pie,Ref. de nota al pie 2,Fago Fußnotenzeichen,Footnote Reference Char3,R"/>
    <w:basedOn w:val="Fuentedeprrafopredeter"/>
    <w:uiPriority w:val="99"/>
    <w:qFormat/>
    <w:rsid w:val="00421A94"/>
    <w:rPr>
      <w:position w:val="6"/>
      <w:sz w:val="16"/>
    </w:rPr>
  </w:style>
  <w:style w:type="paragraph" w:styleId="Textonotapie">
    <w:name w:val="footnote text"/>
    <w:aliases w:val="Texto nota pie Car,Footnote Text Char Char Char Char Char,Footnote Text Char Char Char Char,Ref. de nota al pie1,FA Fu,texto de nota al pie,Ref. de nota al pie11,Footnote Text Char Char Char,ft,Footnote Text Char,Footnote referenc,Ca,FA"/>
    <w:basedOn w:val="Normal"/>
    <w:next w:val="Normal"/>
    <w:link w:val="TextonotapieCar1"/>
    <w:uiPriority w:val="99"/>
    <w:qFormat/>
    <w:rsid w:val="00421A94"/>
    <w:rPr>
      <w:sz w:val="20"/>
      <w:lang w:eastAsia="es-ES"/>
    </w:rPr>
  </w:style>
  <w:style w:type="paragraph" w:styleId="Textoindependiente3">
    <w:name w:val="Body Text 3"/>
    <w:basedOn w:val="Normal"/>
    <w:link w:val="Textoindependiente3Car"/>
    <w:uiPriority w:val="99"/>
    <w:rsid w:val="00F5236D"/>
    <w:pPr>
      <w:spacing w:after="120"/>
    </w:pPr>
    <w:rPr>
      <w:sz w:val="16"/>
      <w:szCs w:val="16"/>
    </w:rPr>
  </w:style>
  <w:style w:type="character" w:customStyle="1" w:styleId="TextonotapieCar1">
    <w:name w:val="Texto nota pie Car1"/>
    <w:aliases w:val="Texto nota pie Car Car1,Footnote Text Char Char Char Char Char Car1,Footnote Text Char Char Char Char Car1,Ref. de nota al pie1 Car1,FA Fu Car,texto de nota al pie Car1,Ref. de nota al pie11 Car,Footnote Text Char Char Char Car1"/>
    <w:link w:val="Textonotapie"/>
    <w:uiPriority w:val="99"/>
    <w:qFormat/>
    <w:locked/>
    <w:rsid w:val="00421A94"/>
    <w:rPr>
      <w:lang w:val="es-ES_tradnl" w:eastAsia="es-ES"/>
    </w:rPr>
  </w:style>
  <w:style w:type="character" w:customStyle="1" w:styleId="Textoindependiente3Car">
    <w:name w:val="Texto independiente 3 Car"/>
    <w:basedOn w:val="Fuentedeprrafopredeter"/>
    <w:link w:val="Textoindependiente3"/>
    <w:uiPriority w:val="99"/>
    <w:locked/>
    <w:rsid w:val="00F5236D"/>
    <w:rPr>
      <w:sz w:val="16"/>
      <w:lang w:val="es-ES_tradnl" w:eastAsia="x-none"/>
    </w:rPr>
  </w:style>
  <w:style w:type="character" w:styleId="Hipervnculo">
    <w:name w:val="Hyperlink"/>
    <w:basedOn w:val="Fuentedeprrafopredeter"/>
    <w:uiPriority w:val="99"/>
    <w:rsid w:val="00DB56DB"/>
    <w:rPr>
      <w:color w:val="0000FF"/>
      <w:u w:val="single"/>
    </w:rPr>
  </w:style>
  <w:style w:type="character" w:customStyle="1" w:styleId="textonavy">
    <w:name w:val="texto_navy"/>
    <w:basedOn w:val="Fuentedeprrafopredeter"/>
    <w:rsid w:val="00DB56DB"/>
    <w:rPr>
      <w:rFonts w:cs="Times New Roman"/>
    </w:rPr>
  </w:style>
  <w:style w:type="character" w:styleId="nfasis">
    <w:name w:val="Emphasis"/>
    <w:basedOn w:val="Fuentedeprrafopredeter"/>
    <w:uiPriority w:val="20"/>
    <w:qFormat/>
    <w:rsid w:val="00ED5DF8"/>
    <w:rPr>
      <w:i/>
    </w:rPr>
  </w:style>
  <w:style w:type="character" w:customStyle="1" w:styleId="TextonotapieCarCar">
    <w:name w:val="Texto nota pie Car Car"/>
    <w:aliases w:val="Footnote Text Char Char Char Char Char Car,Footnote Text Char Char Char Char Car,Footnote reference Car,FA Fu Car Car,texto de nota al pie Car,Ref. de nota al pie1 Car,Footnote Text Char Char Char Car,ft Car,Footnote Text Char Ca"/>
    <w:rsid w:val="00761CF7"/>
    <w:rPr>
      <w:lang w:val="es-ES_tradnl" w:eastAsia="es-MX"/>
    </w:rPr>
  </w:style>
  <w:style w:type="character" w:customStyle="1" w:styleId="apple-converted-space">
    <w:name w:val="apple-converted-space"/>
    <w:rsid w:val="00021147"/>
  </w:style>
  <w:style w:type="paragraph" w:styleId="Textodeglobo">
    <w:name w:val="Balloon Text"/>
    <w:basedOn w:val="Normal"/>
    <w:link w:val="TextodegloboCar"/>
    <w:uiPriority w:val="99"/>
    <w:rsid w:val="00C01584"/>
    <w:rPr>
      <w:rFonts w:ascii="Segoe UI" w:hAnsi="Segoe UI" w:cs="Segoe UI"/>
      <w:sz w:val="18"/>
      <w:szCs w:val="18"/>
    </w:rPr>
  </w:style>
  <w:style w:type="character" w:customStyle="1" w:styleId="TextodegloboCar">
    <w:name w:val="Texto de globo Car"/>
    <w:basedOn w:val="Fuentedeprrafopredeter"/>
    <w:link w:val="Textodeglobo"/>
    <w:uiPriority w:val="99"/>
    <w:locked/>
    <w:rsid w:val="00C01584"/>
    <w:rPr>
      <w:rFonts w:ascii="Segoe UI" w:hAnsi="Segoe UI"/>
      <w:sz w:val="18"/>
      <w:lang w:val="es-ES_tradnl" w:eastAsia="es-MX"/>
    </w:rPr>
  </w:style>
  <w:style w:type="paragraph" w:customStyle="1" w:styleId="Estilo">
    <w:name w:val="Estilo"/>
    <w:basedOn w:val="Normal"/>
    <w:rsid w:val="00E12EEE"/>
    <w:pPr>
      <w:spacing w:line="240" w:lineRule="exact"/>
    </w:pPr>
    <w:rPr>
      <w:noProof/>
      <w:color w:val="000000"/>
      <w:sz w:val="20"/>
      <w:lang w:eastAsia="es-ES"/>
    </w:rPr>
  </w:style>
  <w:style w:type="paragraph" w:customStyle="1" w:styleId="bodytext25">
    <w:name w:val="bodytext25"/>
    <w:basedOn w:val="Normal"/>
    <w:rsid w:val="00756D47"/>
    <w:pPr>
      <w:spacing w:before="100" w:beforeAutospacing="1" w:after="100" w:afterAutospacing="1"/>
    </w:pPr>
    <w:rPr>
      <w:sz w:val="24"/>
      <w:szCs w:val="24"/>
      <w:lang w:val="es-ES" w:eastAsia="es-ES"/>
    </w:rPr>
  </w:style>
  <w:style w:type="character" w:customStyle="1" w:styleId="Mencinsinresolver1">
    <w:name w:val="Mención sin resolver1"/>
    <w:uiPriority w:val="99"/>
    <w:semiHidden/>
    <w:unhideWhenUsed/>
    <w:rsid w:val="005B7A27"/>
    <w:rPr>
      <w:color w:val="605E5C"/>
      <w:shd w:val="clear" w:color="auto" w:fill="E1DFDD"/>
    </w:rPr>
  </w:style>
  <w:style w:type="paragraph" w:styleId="Ttulo">
    <w:name w:val="Title"/>
    <w:basedOn w:val="Normal"/>
    <w:next w:val="Normal"/>
    <w:link w:val="TtuloCar"/>
    <w:autoRedefine/>
    <w:uiPriority w:val="10"/>
    <w:qFormat/>
    <w:rsid w:val="00380344"/>
    <w:pPr>
      <w:contextualSpacing/>
    </w:pPr>
    <w:rPr>
      <w:rFonts w:eastAsiaTheme="majorEastAsia"/>
      <w:b/>
      <w:spacing w:val="-10"/>
      <w:kern w:val="28"/>
      <w:szCs w:val="56"/>
    </w:rPr>
  </w:style>
  <w:style w:type="character" w:customStyle="1" w:styleId="TtuloCar">
    <w:name w:val="Título Car"/>
    <w:basedOn w:val="Fuentedeprrafopredeter"/>
    <w:link w:val="Ttulo"/>
    <w:uiPriority w:val="10"/>
    <w:locked/>
    <w:rsid w:val="00380344"/>
    <w:rPr>
      <w:rFonts w:eastAsiaTheme="majorEastAsia" w:cs="Times New Roman"/>
      <w:b/>
      <w:spacing w:val="-10"/>
      <w:kern w:val="28"/>
      <w:sz w:val="56"/>
      <w:szCs w:val="56"/>
      <w:lang w:val="es-ES_tradnl" w:eastAsia="es-MX"/>
    </w:rPr>
  </w:style>
  <w:style w:type="paragraph" w:styleId="Subttulo">
    <w:name w:val="Subtitle"/>
    <w:basedOn w:val="Normal"/>
    <w:next w:val="Normal"/>
    <w:link w:val="SubttuloCar"/>
    <w:autoRedefine/>
    <w:uiPriority w:val="11"/>
    <w:qFormat/>
    <w:rsid w:val="00A25E56"/>
    <w:pPr>
      <w:numPr>
        <w:ilvl w:val="1"/>
      </w:numPr>
      <w:jc w:val="both"/>
    </w:pPr>
    <w:rPr>
      <w:b/>
      <w:spacing w:val="15"/>
    </w:rPr>
  </w:style>
  <w:style w:type="character" w:customStyle="1" w:styleId="SubttuloCar">
    <w:name w:val="Subtítulo Car"/>
    <w:basedOn w:val="Fuentedeprrafopredeter"/>
    <w:link w:val="Subttulo"/>
    <w:uiPriority w:val="11"/>
    <w:locked/>
    <w:rsid w:val="00A25E56"/>
    <w:rPr>
      <w:rFonts w:eastAsiaTheme="minorEastAsia" w:cs="Times New Roman"/>
      <w:b/>
      <w:spacing w:val="15"/>
      <w:sz w:val="22"/>
      <w:szCs w:val="22"/>
      <w:lang w:val="es-ES_tradnl" w:eastAsia="es-MX"/>
    </w:rPr>
  </w:style>
  <w:style w:type="character" w:styleId="Textoennegrita">
    <w:name w:val="Strong"/>
    <w:basedOn w:val="Fuentedeprrafopredeter"/>
    <w:uiPriority w:val="22"/>
    <w:qFormat/>
    <w:rsid w:val="001C7732"/>
    <w:rPr>
      <w:rFonts w:cs="Times New Roman"/>
      <w:b/>
      <w:bCs/>
    </w:rPr>
  </w:style>
  <w:style w:type="table" w:styleId="Tablaconcuadrcula">
    <w:name w:val="Table Grid"/>
    <w:basedOn w:val="Tablanormal"/>
    <w:uiPriority w:val="39"/>
    <w:rsid w:val="0091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636FF9"/>
    <w:pPr>
      <w:spacing w:after="120"/>
    </w:pPr>
  </w:style>
  <w:style w:type="character" w:customStyle="1" w:styleId="TextoindependienteCar">
    <w:name w:val="Texto independiente Car"/>
    <w:basedOn w:val="Fuentedeprrafopredeter"/>
    <w:link w:val="Textoindependiente"/>
    <w:uiPriority w:val="99"/>
    <w:locked/>
    <w:rsid w:val="00636FF9"/>
    <w:rPr>
      <w:rFonts w:cs="Times New Roman"/>
      <w:sz w:val="28"/>
      <w:lang w:val="es-ES_tradnl" w:eastAsia="es-MX"/>
    </w:rPr>
  </w:style>
  <w:style w:type="paragraph" w:customStyle="1" w:styleId="BodyText21">
    <w:name w:val="Body Text 21"/>
    <w:basedOn w:val="Normal"/>
    <w:uiPriority w:val="99"/>
    <w:rsid w:val="00636FF9"/>
    <w:pPr>
      <w:widowControl w:val="0"/>
      <w:jc w:val="both"/>
    </w:pPr>
    <w:rPr>
      <w:szCs w:val="28"/>
      <w:lang w:val="es-ES" w:eastAsia="es-ES"/>
    </w:rPr>
  </w:style>
  <w:style w:type="character" w:styleId="Refdecomentario">
    <w:name w:val="annotation reference"/>
    <w:basedOn w:val="Fuentedeprrafopredeter"/>
    <w:uiPriority w:val="99"/>
    <w:rsid w:val="008C7F73"/>
    <w:rPr>
      <w:rFonts w:cs="Times New Roman"/>
      <w:sz w:val="16"/>
      <w:szCs w:val="16"/>
    </w:rPr>
  </w:style>
  <w:style w:type="paragraph" w:styleId="Textocomentario">
    <w:name w:val="annotation text"/>
    <w:basedOn w:val="Normal"/>
    <w:link w:val="TextocomentarioCar"/>
    <w:uiPriority w:val="99"/>
    <w:rsid w:val="008C7F73"/>
    <w:rPr>
      <w:sz w:val="20"/>
    </w:rPr>
  </w:style>
  <w:style w:type="character" w:customStyle="1" w:styleId="TextocomentarioCar">
    <w:name w:val="Texto comentario Car"/>
    <w:basedOn w:val="Fuentedeprrafopredeter"/>
    <w:link w:val="Textocomentario"/>
    <w:uiPriority w:val="99"/>
    <w:locked/>
    <w:rsid w:val="008C7F73"/>
    <w:rPr>
      <w:rFonts w:cs="Times New Roman"/>
      <w:lang w:val="es-ES_tradnl" w:eastAsia="es-MX"/>
    </w:rPr>
  </w:style>
  <w:style w:type="paragraph" w:styleId="Asuntodelcomentario">
    <w:name w:val="annotation subject"/>
    <w:basedOn w:val="Textocomentario"/>
    <w:next w:val="Textocomentario"/>
    <w:link w:val="AsuntodelcomentarioCar"/>
    <w:uiPriority w:val="99"/>
    <w:semiHidden/>
    <w:unhideWhenUsed/>
    <w:rsid w:val="008C7F73"/>
    <w:rPr>
      <w:b/>
      <w:bCs/>
    </w:rPr>
  </w:style>
  <w:style w:type="character" w:customStyle="1" w:styleId="AsuntodelcomentarioCar">
    <w:name w:val="Asunto del comentario Car"/>
    <w:basedOn w:val="TextocomentarioCar"/>
    <w:link w:val="Asuntodelcomentario"/>
    <w:uiPriority w:val="99"/>
    <w:semiHidden/>
    <w:locked/>
    <w:rsid w:val="008C7F73"/>
    <w:rPr>
      <w:rFonts w:cs="Times New Roman"/>
      <w:b/>
      <w:bCs/>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9094</Words>
  <Characters>50020</Characters>
  <Application>Microsoft Office Word</Application>
  <DocSecurity>0</DocSecurity>
  <Lines>416</Lines>
  <Paragraphs>117</Paragraphs>
  <ScaleCrop>false</ScaleCrop>
  <Company/>
  <LinksUpToDate>false</LinksUpToDate>
  <CharactersWithSpaces>58997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2024-07-17T16:10:00Z</dcterms:created>
  <dcterms:modified xsi:type="dcterms:W3CDTF">2024-07-17T16:10:00Z</dcterms:modified>
</cp:coreProperties>
</file>