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EA1" w:rsidRPr="00580C2D" w:rsidRDefault="009F4F6A">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80C2D">
        <w:rPr>
          <w:rFonts w:ascii="Times New Roman" w:hAnsi="Times New Roman" w:cs="Times New Roman"/>
          <w:sz w:val="28"/>
          <w:szCs w:val="24"/>
        </w:rPr>
        <w:t xml:space="preserve"> </w:t>
      </w:r>
    </w:p>
    <w:p w:rsidR="00ED1EA1" w:rsidRPr="00580C2D" w:rsidRDefault="00ED1EA1">
      <w:pPr>
        <w:widowControl w:val="0"/>
        <w:autoSpaceDE w:val="0"/>
        <w:autoSpaceDN w:val="0"/>
        <w:adjustRightInd w:val="0"/>
        <w:spacing w:after="0" w:line="240" w:lineRule="auto"/>
        <w:rPr>
          <w:rFonts w:ascii="Times New Roman" w:hAnsi="Times New Roman" w:cs="Times New Roman"/>
          <w:sz w:val="28"/>
          <w:szCs w:val="28"/>
        </w:rPr>
      </w:pPr>
    </w:p>
    <w:p w:rsidR="00ED1EA1" w:rsidRPr="00580C2D" w:rsidRDefault="009F4F6A">
      <w:pPr>
        <w:widowControl w:val="0"/>
        <w:autoSpaceDE w:val="0"/>
        <w:autoSpaceDN w:val="0"/>
        <w:adjustRightInd w:val="0"/>
        <w:spacing w:after="0" w:line="240" w:lineRule="auto"/>
        <w:jc w:val="center"/>
        <w:rPr>
          <w:rFonts w:ascii="Times New Roman" w:hAnsi="Times New Roman" w:cs="Times New Roman"/>
          <w:b/>
          <w:bCs/>
          <w:sz w:val="28"/>
          <w:szCs w:val="28"/>
        </w:rPr>
      </w:pPr>
      <w:r w:rsidRPr="00580C2D">
        <w:rPr>
          <w:rFonts w:ascii="Times New Roman" w:hAnsi="Times New Roman" w:cs="Times New Roman"/>
          <w:b/>
          <w:bCs/>
          <w:sz w:val="28"/>
          <w:szCs w:val="28"/>
        </w:rPr>
        <w:t xml:space="preserve">TEMAS-SUBTEMAS </w:t>
      </w:r>
    </w:p>
    <w:p w:rsidR="00ED1EA1" w:rsidRPr="00580C2D" w:rsidRDefault="00ED1EA1">
      <w:pPr>
        <w:widowControl w:val="0"/>
        <w:autoSpaceDE w:val="0"/>
        <w:autoSpaceDN w:val="0"/>
        <w:adjustRightInd w:val="0"/>
        <w:spacing w:after="0" w:line="240" w:lineRule="auto"/>
        <w:jc w:val="center"/>
        <w:rPr>
          <w:rFonts w:ascii="Times New Roman" w:hAnsi="Times New Roman" w:cs="Times New Roman"/>
          <w:b/>
          <w:bCs/>
          <w:sz w:val="28"/>
          <w:szCs w:val="28"/>
        </w:rPr>
      </w:pPr>
    </w:p>
    <w:p w:rsidR="00ED1EA1" w:rsidRPr="00580C2D" w:rsidRDefault="009F4F6A">
      <w:pPr>
        <w:widowControl w:val="0"/>
        <w:autoSpaceDE w:val="0"/>
        <w:autoSpaceDN w:val="0"/>
        <w:adjustRightInd w:val="0"/>
        <w:spacing w:after="0" w:line="240" w:lineRule="auto"/>
        <w:jc w:val="center"/>
        <w:rPr>
          <w:rFonts w:ascii="Times New Roman" w:hAnsi="Times New Roman" w:cs="Times New Roman"/>
          <w:sz w:val="28"/>
          <w:szCs w:val="28"/>
        </w:rPr>
      </w:pPr>
      <w:r w:rsidRPr="00580C2D">
        <w:rPr>
          <w:rFonts w:ascii="Times New Roman" w:hAnsi="Times New Roman" w:cs="Times New Roman"/>
          <w:b/>
          <w:bCs/>
          <w:sz w:val="28"/>
          <w:szCs w:val="28"/>
        </w:rPr>
        <w:t xml:space="preserve">Sentencia C-240/24 </w:t>
      </w:r>
    </w:p>
    <w:p w:rsidR="00ED1EA1" w:rsidRPr="00580C2D" w:rsidRDefault="00ED1EA1">
      <w:pPr>
        <w:widowControl w:val="0"/>
        <w:autoSpaceDE w:val="0"/>
        <w:autoSpaceDN w:val="0"/>
        <w:adjustRightInd w:val="0"/>
        <w:spacing w:after="0" w:line="240" w:lineRule="auto"/>
        <w:jc w:val="both"/>
        <w:rPr>
          <w:rFonts w:ascii="Times New Roman" w:hAnsi="Times New Roman" w:cs="Times New Roman"/>
          <w:sz w:val="28"/>
          <w:szCs w:val="28"/>
        </w:rPr>
      </w:pPr>
    </w:p>
    <w:p w:rsidR="00ED1EA1" w:rsidRPr="00580C2D" w:rsidRDefault="009F4F6A">
      <w:pPr>
        <w:widowControl w:val="0"/>
        <w:autoSpaceDE w:val="0"/>
        <w:autoSpaceDN w:val="0"/>
        <w:adjustRightInd w:val="0"/>
        <w:spacing w:after="0" w:line="240" w:lineRule="auto"/>
        <w:jc w:val="both"/>
        <w:rPr>
          <w:rFonts w:ascii="Times New Roman" w:hAnsi="Times New Roman" w:cs="Times New Roman"/>
          <w:sz w:val="28"/>
          <w:szCs w:val="28"/>
        </w:rPr>
      </w:pPr>
      <w:r w:rsidRPr="00580C2D">
        <w:rPr>
          <w:rFonts w:ascii="Times New Roman" w:hAnsi="Times New Roman" w:cs="Times New Roman"/>
          <w:b/>
          <w:bCs/>
          <w:sz w:val="28"/>
          <w:szCs w:val="28"/>
        </w:rPr>
        <w:t>DEMANDA DE INCONSTITUCIONALIDAD</w:t>
      </w:r>
      <w:r w:rsidRPr="00580C2D">
        <w:rPr>
          <w:rFonts w:ascii="Times New Roman" w:hAnsi="Times New Roman" w:cs="Times New Roman"/>
          <w:sz w:val="28"/>
          <w:szCs w:val="28"/>
        </w:rPr>
        <w:t xml:space="preserve">-Requisitos mínimos </w:t>
      </w:r>
    </w:p>
    <w:p w:rsidR="00ED1EA1" w:rsidRPr="00580C2D" w:rsidRDefault="00ED1EA1">
      <w:pPr>
        <w:widowControl w:val="0"/>
        <w:autoSpaceDE w:val="0"/>
        <w:autoSpaceDN w:val="0"/>
        <w:adjustRightInd w:val="0"/>
        <w:spacing w:after="0" w:line="240" w:lineRule="auto"/>
        <w:jc w:val="both"/>
        <w:rPr>
          <w:rFonts w:ascii="Times New Roman" w:hAnsi="Times New Roman" w:cs="Times New Roman"/>
          <w:sz w:val="28"/>
          <w:szCs w:val="28"/>
        </w:rPr>
      </w:pPr>
    </w:p>
    <w:p w:rsidR="00ED1EA1" w:rsidRPr="00580C2D" w:rsidRDefault="009F4F6A">
      <w:pPr>
        <w:widowControl w:val="0"/>
        <w:autoSpaceDE w:val="0"/>
        <w:autoSpaceDN w:val="0"/>
        <w:adjustRightInd w:val="0"/>
        <w:spacing w:after="0" w:line="240" w:lineRule="auto"/>
        <w:jc w:val="both"/>
        <w:rPr>
          <w:rFonts w:ascii="Times New Roman" w:hAnsi="Times New Roman" w:cs="Times New Roman"/>
          <w:sz w:val="28"/>
          <w:szCs w:val="28"/>
        </w:rPr>
      </w:pPr>
      <w:r w:rsidRPr="00580C2D">
        <w:rPr>
          <w:rFonts w:ascii="Times New Roman" w:hAnsi="Times New Roman" w:cs="Times New Roman"/>
          <w:b/>
          <w:bCs/>
          <w:sz w:val="28"/>
          <w:szCs w:val="28"/>
        </w:rPr>
        <w:t>DEMANDA DE INCONSTITUCIONALIDAD CONTRA NORMA TRIBUTARIA</w:t>
      </w:r>
      <w:r w:rsidRPr="00580C2D">
        <w:rPr>
          <w:rFonts w:ascii="Times New Roman" w:hAnsi="Times New Roman" w:cs="Times New Roman"/>
          <w:sz w:val="28"/>
          <w:szCs w:val="28"/>
        </w:rPr>
        <w:t xml:space="preserve">-Inhibición por ineptitud sustantiva de la demanda </w:t>
      </w:r>
    </w:p>
    <w:p w:rsidR="00ED1EA1" w:rsidRPr="00580C2D" w:rsidRDefault="00ED1EA1">
      <w:pPr>
        <w:widowControl w:val="0"/>
        <w:autoSpaceDE w:val="0"/>
        <w:autoSpaceDN w:val="0"/>
        <w:adjustRightInd w:val="0"/>
        <w:spacing w:after="0" w:line="240" w:lineRule="auto"/>
        <w:jc w:val="both"/>
        <w:rPr>
          <w:rFonts w:ascii="Times New Roman" w:hAnsi="Times New Roman" w:cs="Times New Roman"/>
          <w:sz w:val="28"/>
          <w:szCs w:val="28"/>
        </w:rPr>
      </w:pPr>
    </w:p>
    <w:p w:rsidR="00ED1EA1" w:rsidRPr="00580C2D" w:rsidRDefault="009F4F6A">
      <w:pPr>
        <w:widowControl w:val="0"/>
        <w:autoSpaceDE w:val="0"/>
        <w:autoSpaceDN w:val="0"/>
        <w:adjustRightInd w:val="0"/>
        <w:spacing w:after="0" w:line="240" w:lineRule="auto"/>
        <w:jc w:val="both"/>
        <w:rPr>
          <w:rFonts w:ascii="Times New Roman" w:hAnsi="Times New Roman" w:cs="Times New Roman"/>
          <w:sz w:val="28"/>
          <w:szCs w:val="28"/>
        </w:rPr>
      </w:pPr>
      <w:r w:rsidRPr="00580C2D">
        <w:rPr>
          <w:rFonts w:ascii="Times New Roman" w:hAnsi="Times New Roman" w:cs="Times New Roman"/>
          <w:b/>
          <w:bCs/>
          <w:sz w:val="28"/>
          <w:szCs w:val="28"/>
        </w:rPr>
        <w:t>INHIBICION DE LA CORTE CONSTITUCIONAL POR INEPTITUD SUSTANTIVA DE LA DEMANDA</w:t>
      </w:r>
      <w:r w:rsidRPr="00580C2D">
        <w:rPr>
          <w:rFonts w:ascii="Times New Roman" w:hAnsi="Times New Roman" w:cs="Times New Roman"/>
          <w:sz w:val="28"/>
          <w:szCs w:val="28"/>
        </w:rPr>
        <w:t xml:space="preserve">-Incumplimiento de requisitos de certeza, especificidad, pertinencia y suficiencia en los cargos </w:t>
      </w:r>
    </w:p>
    <w:p w:rsidR="00ED1EA1" w:rsidRPr="00580C2D" w:rsidRDefault="00ED1EA1">
      <w:pPr>
        <w:widowControl w:val="0"/>
        <w:autoSpaceDE w:val="0"/>
        <w:autoSpaceDN w:val="0"/>
        <w:adjustRightInd w:val="0"/>
        <w:spacing w:after="0" w:line="240" w:lineRule="auto"/>
        <w:jc w:val="both"/>
        <w:rPr>
          <w:rFonts w:ascii="Times New Roman" w:hAnsi="Times New Roman" w:cs="Times New Roman"/>
          <w:sz w:val="28"/>
          <w:szCs w:val="28"/>
        </w:rPr>
      </w:pPr>
    </w:p>
    <w:p w:rsidR="00ED1EA1" w:rsidRPr="00580C2D" w:rsidRDefault="009F4F6A">
      <w:pPr>
        <w:widowControl w:val="0"/>
        <w:autoSpaceDE w:val="0"/>
        <w:autoSpaceDN w:val="0"/>
        <w:adjustRightInd w:val="0"/>
        <w:spacing w:after="0" w:line="240" w:lineRule="auto"/>
        <w:jc w:val="both"/>
        <w:rPr>
          <w:rFonts w:ascii="Times New Roman" w:hAnsi="Times New Roman" w:cs="Times New Roman"/>
          <w:sz w:val="28"/>
          <w:szCs w:val="28"/>
        </w:rPr>
      </w:pPr>
      <w:r w:rsidRPr="00580C2D">
        <w:rPr>
          <w:rFonts w:ascii="Times New Roman" w:hAnsi="Times New Roman" w:cs="Times New Roman"/>
          <w:b/>
          <w:bCs/>
          <w:sz w:val="28"/>
          <w:szCs w:val="28"/>
        </w:rPr>
        <w:t>FACULTADES EXTRAORDINARIAS PARA CODIFICACION</w:t>
      </w:r>
      <w:r w:rsidRPr="00580C2D">
        <w:rPr>
          <w:rFonts w:ascii="Times New Roman" w:hAnsi="Times New Roman" w:cs="Times New Roman"/>
          <w:sz w:val="28"/>
          <w:szCs w:val="28"/>
        </w:rPr>
        <w:t xml:space="preserve">-Otorgamiento bajo Constitución de 1886 </w:t>
      </w:r>
    </w:p>
    <w:p w:rsidR="00ED1EA1" w:rsidRPr="00580C2D" w:rsidRDefault="00ED1EA1">
      <w:pPr>
        <w:widowControl w:val="0"/>
        <w:autoSpaceDE w:val="0"/>
        <w:autoSpaceDN w:val="0"/>
        <w:adjustRightInd w:val="0"/>
        <w:spacing w:after="0" w:line="240" w:lineRule="auto"/>
        <w:jc w:val="both"/>
        <w:rPr>
          <w:rFonts w:ascii="Times New Roman" w:hAnsi="Times New Roman" w:cs="Times New Roman"/>
          <w:sz w:val="28"/>
          <w:szCs w:val="28"/>
        </w:rPr>
      </w:pPr>
    </w:p>
    <w:p w:rsidR="00ED1EA1" w:rsidRPr="00580C2D" w:rsidRDefault="00580C2D">
      <w:pPr>
        <w:widowControl w:val="0"/>
        <w:autoSpaceDE w:val="0"/>
        <w:autoSpaceDN w:val="0"/>
        <w:adjustRightInd w:val="0"/>
        <w:spacing w:after="0" w:line="240" w:lineRule="auto"/>
        <w:jc w:val="both"/>
        <w:rPr>
          <w:rFonts w:ascii="Times New Roman" w:hAnsi="Times New Roman" w:cs="Times New Roman"/>
          <w:sz w:val="28"/>
        </w:rPr>
      </w:pPr>
      <w:r w:rsidRPr="00580C2D">
        <w:rPr>
          <w:rFonts w:ascii="Times New Roman" w:hAnsi="Times New Roman" w:cs="Times New Roman"/>
          <w:sz w:val="28"/>
          <w:szCs w:val="28"/>
        </w:rPr>
        <w:pict>
          <v:rect id="_x0000_i1025" style="width:0;height:1.5pt" o:hralign="center" o:hrstd="t" o:hr="t" fillcolor="#a0a0a0" stroked="f"/>
        </w:pict>
      </w:r>
    </w:p>
    <w:p w:rsidR="00E262FA" w:rsidRPr="00580C2D" w:rsidRDefault="00580C2D" w:rsidP="00745774">
      <w:pPr>
        <w:pStyle w:val="Encabezado"/>
        <w:jc w:val="center"/>
        <w:rPr>
          <w:rFonts w:cs="Times New Roman"/>
          <w:b/>
          <w:bCs/>
          <w:sz w:val="28"/>
          <w:szCs w:val="32"/>
          <w:lang w:val="es-ES"/>
        </w:rPr>
      </w:pPr>
      <w:r w:rsidRPr="00580C2D">
        <w:rPr>
          <w:rFonts w:cs="Times New Roman"/>
          <w:b/>
          <w:bCs/>
          <w:sz w:val="28"/>
          <w:szCs w:val="32"/>
          <w:lang w:val="es-ES"/>
        </w:rPr>
        <w:t>REPÚBLICA DE COLOMBIA</w:t>
      </w:r>
    </w:p>
    <w:p w:rsidR="00E262FA" w:rsidRPr="00580C2D" w:rsidRDefault="00580C2D" w:rsidP="00745774">
      <w:pPr>
        <w:pStyle w:val="Encabezado"/>
        <w:jc w:val="center"/>
        <w:rPr>
          <w:rFonts w:cs="Times New Roman"/>
          <w:b/>
          <w:bCs/>
          <w:sz w:val="28"/>
          <w:szCs w:val="32"/>
          <w:lang w:val="es-ES"/>
        </w:rPr>
      </w:pPr>
      <w:r w:rsidRPr="00580C2D">
        <w:rPr>
          <w:rFonts w:cs="Times New Roman"/>
          <w:b/>
          <w:bCs/>
          <w:noProof/>
          <w:sz w:val="28"/>
          <w:szCs w:val="32"/>
          <w:lang w:val="es-CO" w:eastAsia="es-CO"/>
        </w:rPr>
        <w:drawing>
          <wp:inline distT="0" distB="0" distL="0" distR="0" wp14:anchorId="7302D0EC" wp14:editId="7CFB0B37">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E262FA" w:rsidRPr="00580C2D" w:rsidRDefault="00580C2D" w:rsidP="00745774">
      <w:pPr>
        <w:pStyle w:val="Encabezado"/>
        <w:jc w:val="center"/>
        <w:rPr>
          <w:rFonts w:cs="Times New Roman"/>
          <w:b/>
          <w:bCs/>
          <w:sz w:val="28"/>
          <w:szCs w:val="32"/>
          <w:lang w:val="es-ES"/>
        </w:rPr>
      </w:pPr>
      <w:r w:rsidRPr="00580C2D">
        <w:rPr>
          <w:rFonts w:cs="Times New Roman"/>
          <w:b/>
          <w:bCs/>
          <w:sz w:val="28"/>
          <w:szCs w:val="32"/>
          <w:lang w:val="es-ES"/>
        </w:rPr>
        <w:t>CORTE CONSTITUCIONAL</w:t>
      </w:r>
    </w:p>
    <w:p w:rsidR="00A870A3" w:rsidRPr="00580C2D" w:rsidRDefault="00580C2D" w:rsidP="00745774">
      <w:pPr>
        <w:pStyle w:val="Encabezado"/>
        <w:jc w:val="center"/>
        <w:rPr>
          <w:rFonts w:cs="Times New Roman"/>
          <w:b/>
          <w:bCs/>
          <w:sz w:val="28"/>
          <w:szCs w:val="32"/>
          <w:lang w:val="es-ES"/>
        </w:rPr>
      </w:pPr>
      <w:r w:rsidRPr="00580C2D">
        <w:rPr>
          <w:rFonts w:cs="Times New Roman"/>
          <w:b/>
          <w:bCs/>
          <w:sz w:val="28"/>
          <w:szCs w:val="32"/>
          <w:lang w:val="es-ES"/>
        </w:rPr>
        <w:t>Sala Plena</w:t>
      </w:r>
    </w:p>
    <w:p w:rsidR="00E262FA" w:rsidRPr="00580C2D" w:rsidRDefault="00580C2D" w:rsidP="00CC26D7">
      <w:pPr>
        <w:pStyle w:val="CuerpoA"/>
        <w:jc w:val="center"/>
        <w:rPr>
          <w:rStyle w:val="Ninguno"/>
          <w:rFonts w:ascii="Times New Roman" w:eastAsia="Times New Roman" w:hAnsi="Times New Roman" w:cs="Times New Roman"/>
          <w:b/>
          <w:bCs/>
          <w:sz w:val="28"/>
          <w:szCs w:val="28"/>
          <w:lang w:val="es-ES"/>
        </w:rPr>
      </w:pPr>
    </w:p>
    <w:p w:rsidR="00E262FA" w:rsidRPr="00580C2D" w:rsidRDefault="00580C2D" w:rsidP="00CC26D7">
      <w:pPr>
        <w:pStyle w:val="CuerpoA"/>
        <w:jc w:val="center"/>
        <w:rPr>
          <w:rStyle w:val="Ninguno"/>
          <w:rFonts w:ascii="Times New Roman" w:eastAsia="Times New Roman" w:hAnsi="Times New Roman" w:cs="Times New Roman"/>
          <w:b/>
          <w:bCs/>
          <w:sz w:val="28"/>
          <w:szCs w:val="28"/>
          <w:lang w:val="es-ES"/>
        </w:rPr>
      </w:pPr>
      <w:r w:rsidRPr="00580C2D">
        <w:rPr>
          <w:rStyle w:val="Ninguno"/>
          <w:rFonts w:ascii="Times New Roman" w:hAnsi="Times New Roman" w:cs="Times New Roman"/>
          <w:b/>
          <w:bCs/>
          <w:sz w:val="28"/>
          <w:szCs w:val="28"/>
          <w:lang w:val="es-ES"/>
        </w:rPr>
        <w:t xml:space="preserve">SENTENCIA </w:t>
      </w:r>
      <w:r w:rsidRPr="00580C2D">
        <w:rPr>
          <w:rStyle w:val="Ninguno"/>
          <w:rFonts w:ascii="Times New Roman" w:hAnsi="Times New Roman" w:cs="Times New Roman"/>
          <w:b/>
          <w:bCs/>
          <w:sz w:val="28"/>
          <w:szCs w:val="28"/>
          <w:lang w:val="es-ES"/>
        </w:rPr>
        <w:t>C-240 de 2024</w:t>
      </w:r>
    </w:p>
    <w:p w:rsidR="00E262FA" w:rsidRPr="00580C2D" w:rsidRDefault="00580C2D" w:rsidP="00552B02">
      <w:pPr>
        <w:pStyle w:val="CuerpoA"/>
        <w:jc w:val="both"/>
        <w:rPr>
          <w:rStyle w:val="Ninguno"/>
          <w:rFonts w:ascii="Times New Roman" w:eastAsia="Times New Roman" w:hAnsi="Times New Roman" w:cs="Times New Roman"/>
          <w:sz w:val="28"/>
          <w:szCs w:val="28"/>
          <w:lang w:val="es-ES"/>
        </w:rPr>
      </w:pPr>
    </w:p>
    <w:p w:rsidR="00E262FA" w:rsidRPr="00580C2D" w:rsidRDefault="00580C2D" w:rsidP="00552B02">
      <w:pPr>
        <w:pStyle w:val="CuerpoA"/>
        <w:jc w:val="both"/>
        <w:rPr>
          <w:rStyle w:val="Ninguno"/>
          <w:rFonts w:ascii="Times New Roman" w:eastAsia="Times New Roman" w:hAnsi="Times New Roman" w:cs="Times New Roman"/>
          <w:sz w:val="28"/>
          <w:szCs w:val="28"/>
          <w:lang w:val="es-ES"/>
        </w:rPr>
      </w:pPr>
    </w:p>
    <w:p w:rsidR="00E262FA" w:rsidRPr="00580C2D" w:rsidRDefault="00580C2D" w:rsidP="00552B02">
      <w:pPr>
        <w:pStyle w:val="CuerpoA"/>
        <w:ind w:left="4111"/>
        <w:jc w:val="both"/>
        <w:rPr>
          <w:rStyle w:val="Ninguno"/>
          <w:rFonts w:ascii="Times New Roman" w:eastAsia="Times New Roman" w:hAnsi="Times New Roman" w:cs="Times New Roman"/>
          <w:b/>
          <w:bCs/>
          <w:sz w:val="28"/>
          <w:szCs w:val="28"/>
          <w:lang w:val="es-ES"/>
        </w:rPr>
      </w:pPr>
      <w:r w:rsidRPr="00580C2D">
        <w:rPr>
          <w:rStyle w:val="Ninguno"/>
          <w:rFonts w:ascii="Times New Roman" w:hAnsi="Times New Roman" w:cs="Times New Roman"/>
          <w:b/>
          <w:bCs/>
          <w:sz w:val="28"/>
          <w:szCs w:val="28"/>
          <w:lang w:val="es-ES"/>
        </w:rPr>
        <w:t xml:space="preserve">Referencia: </w:t>
      </w:r>
      <w:r w:rsidRPr="00580C2D">
        <w:rPr>
          <w:rStyle w:val="Ninguno"/>
          <w:rFonts w:ascii="Times New Roman" w:hAnsi="Times New Roman" w:cs="Times New Roman"/>
          <w:sz w:val="28"/>
          <w:szCs w:val="28"/>
          <w:lang w:val="es-ES"/>
        </w:rPr>
        <w:t>Expediente D-15.498</w:t>
      </w:r>
    </w:p>
    <w:p w:rsidR="00E262FA" w:rsidRPr="00580C2D" w:rsidRDefault="00580C2D" w:rsidP="0003380D">
      <w:pPr>
        <w:pStyle w:val="CuerpoA"/>
        <w:jc w:val="both"/>
        <w:rPr>
          <w:rStyle w:val="Ninguno"/>
          <w:rFonts w:ascii="Times New Roman" w:hAnsi="Times New Roman" w:cs="Times New Roman"/>
          <w:b/>
          <w:bCs/>
          <w:sz w:val="28"/>
          <w:szCs w:val="28"/>
          <w:lang w:val="es-ES"/>
        </w:rPr>
      </w:pPr>
    </w:p>
    <w:p w:rsidR="00E262FA" w:rsidRPr="00580C2D" w:rsidRDefault="00580C2D" w:rsidP="00552B02">
      <w:pPr>
        <w:pStyle w:val="CuerpoA"/>
        <w:ind w:left="4111"/>
        <w:jc w:val="both"/>
        <w:rPr>
          <w:rStyle w:val="Ninguno"/>
          <w:rFonts w:ascii="Times New Roman" w:eastAsia="Times New Roman" w:hAnsi="Times New Roman" w:cs="Times New Roman"/>
          <w:b/>
          <w:bCs/>
          <w:sz w:val="28"/>
          <w:szCs w:val="28"/>
          <w:lang w:val="es-ES"/>
        </w:rPr>
      </w:pPr>
      <w:r w:rsidRPr="00580C2D">
        <w:rPr>
          <w:rStyle w:val="Ninguno"/>
          <w:rFonts w:ascii="Times New Roman" w:hAnsi="Times New Roman" w:cs="Times New Roman"/>
          <w:b/>
          <w:bCs/>
          <w:sz w:val="28"/>
          <w:szCs w:val="28"/>
          <w:lang w:val="es-ES"/>
        </w:rPr>
        <w:t>Asunto:</w:t>
      </w:r>
    </w:p>
    <w:p w:rsidR="00E262FA" w:rsidRPr="00580C2D" w:rsidRDefault="00580C2D" w:rsidP="00EB5D7A">
      <w:pPr>
        <w:pStyle w:val="CuerpoA"/>
        <w:ind w:left="4111" w:right="49"/>
        <w:jc w:val="both"/>
        <w:rPr>
          <w:rStyle w:val="Ninguno"/>
          <w:rFonts w:ascii="Times New Roman" w:eastAsia="Times New Roman" w:hAnsi="Times New Roman" w:cs="Times New Roman"/>
          <w:sz w:val="28"/>
          <w:szCs w:val="28"/>
          <w:lang w:val="es-ES"/>
        </w:rPr>
      </w:pPr>
      <w:r w:rsidRPr="00580C2D">
        <w:rPr>
          <w:rStyle w:val="Ninguno"/>
          <w:rFonts w:ascii="Times New Roman" w:eastAsia="Times New Roman" w:hAnsi="Times New Roman" w:cs="Times New Roman"/>
          <w:sz w:val="28"/>
          <w:szCs w:val="28"/>
          <w:lang w:val="es-ES"/>
        </w:rPr>
        <w:t>Demanda de inconstitucionalidad</w:t>
      </w:r>
      <w:r w:rsidRPr="00580C2D">
        <w:rPr>
          <w:rStyle w:val="Ninguno"/>
          <w:rFonts w:ascii="Times New Roman" w:eastAsia="Times New Roman" w:hAnsi="Times New Roman" w:cs="Times New Roman"/>
          <w:sz w:val="28"/>
          <w:szCs w:val="28"/>
          <w:lang w:val="es-ES"/>
        </w:rPr>
        <w:t xml:space="preserve"> presentada por el ciudadano</w:t>
      </w:r>
      <w:r w:rsidRPr="00580C2D">
        <w:rPr>
          <w:rStyle w:val="Ninguno"/>
          <w:rFonts w:ascii="Times New Roman" w:eastAsia="Times New Roman" w:hAnsi="Times New Roman" w:cs="Times New Roman"/>
          <w:sz w:val="28"/>
          <w:szCs w:val="28"/>
          <w:lang w:val="es-ES"/>
        </w:rPr>
        <w:t xml:space="preserve"> </w:t>
      </w:r>
      <w:r w:rsidRPr="00580C2D">
        <w:rPr>
          <w:rStyle w:val="Ninguno"/>
          <w:rFonts w:ascii="Times New Roman" w:eastAsia="Times New Roman" w:hAnsi="Times New Roman" w:cs="Times New Roman"/>
          <w:sz w:val="28"/>
          <w:szCs w:val="28"/>
          <w:lang w:val="es-ES"/>
        </w:rPr>
        <w:t xml:space="preserve">Óscar Iván González Herrera </w:t>
      </w:r>
      <w:r w:rsidRPr="00580C2D">
        <w:rPr>
          <w:rStyle w:val="Ninguno"/>
          <w:rFonts w:ascii="Times New Roman" w:eastAsia="Times New Roman" w:hAnsi="Times New Roman" w:cs="Times New Roman"/>
          <w:sz w:val="28"/>
          <w:szCs w:val="28"/>
          <w:lang w:val="es-ES"/>
        </w:rPr>
        <w:t>en contra los artículos 172 y 226 del Decreto Ley 1333 de 1986</w:t>
      </w:r>
      <w:r w:rsidRPr="00580C2D">
        <w:rPr>
          <w:rStyle w:val="Refdenotaalpie"/>
          <w:rFonts w:ascii="Times New Roman" w:eastAsia="Times New Roman" w:hAnsi="Times New Roman" w:cs="Times New Roman"/>
          <w:sz w:val="28"/>
          <w:szCs w:val="28"/>
          <w:lang w:val="es-ES"/>
        </w:rPr>
        <w:footnoteReference w:id="1"/>
      </w:r>
    </w:p>
    <w:p w:rsidR="00E262FA" w:rsidRPr="00580C2D" w:rsidRDefault="00580C2D" w:rsidP="0003380D">
      <w:pPr>
        <w:pStyle w:val="CuerpoA"/>
        <w:jc w:val="both"/>
        <w:rPr>
          <w:rStyle w:val="Ninguno"/>
          <w:rFonts w:ascii="Times New Roman" w:eastAsia="Times New Roman" w:hAnsi="Times New Roman" w:cs="Times New Roman"/>
          <w:sz w:val="28"/>
          <w:szCs w:val="28"/>
          <w:lang w:val="es-ES"/>
        </w:rPr>
      </w:pPr>
    </w:p>
    <w:p w:rsidR="00E262FA" w:rsidRPr="00580C2D" w:rsidRDefault="00580C2D" w:rsidP="00552B02">
      <w:pPr>
        <w:pStyle w:val="CuerpoA"/>
        <w:ind w:left="4111"/>
        <w:jc w:val="both"/>
        <w:rPr>
          <w:rStyle w:val="Ninguno"/>
          <w:rFonts w:ascii="Times New Roman" w:hAnsi="Times New Roman" w:cs="Times New Roman"/>
          <w:b/>
          <w:bCs/>
          <w:sz w:val="28"/>
          <w:szCs w:val="28"/>
          <w:lang w:val="es-ES"/>
        </w:rPr>
      </w:pPr>
      <w:r w:rsidRPr="00580C2D">
        <w:rPr>
          <w:rStyle w:val="Ninguno"/>
          <w:rFonts w:ascii="Times New Roman" w:hAnsi="Times New Roman" w:cs="Times New Roman"/>
          <w:b/>
          <w:bCs/>
          <w:sz w:val="28"/>
          <w:szCs w:val="28"/>
          <w:lang w:val="es-ES"/>
        </w:rPr>
        <w:t xml:space="preserve">Magistrado sustanciador: </w:t>
      </w:r>
    </w:p>
    <w:p w:rsidR="00E262FA" w:rsidRPr="00580C2D" w:rsidRDefault="00580C2D" w:rsidP="00552B02">
      <w:pPr>
        <w:pStyle w:val="CuerpoA"/>
        <w:ind w:left="4111"/>
        <w:jc w:val="both"/>
        <w:rPr>
          <w:rStyle w:val="Ninguno"/>
          <w:rFonts w:ascii="Times New Roman" w:eastAsia="Times New Roman" w:hAnsi="Times New Roman" w:cs="Times New Roman"/>
          <w:sz w:val="28"/>
          <w:szCs w:val="28"/>
          <w:lang w:val="es-ES"/>
        </w:rPr>
      </w:pPr>
      <w:r w:rsidRPr="00580C2D">
        <w:rPr>
          <w:rStyle w:val="Ninguno"/>
          <w:rFonts w:ascii="Times New Roman" w:hAnsi="Times New Roman" w:cs="Times New Roman"/>
          <w:sz w:val="28"/>
          <w:szCs w:val="28"/>
          <w:lang w:val="es-ES"/>
        </w:rPr>
        <w:t>ANTONIO JOSÉ LIZARAZO OCAMPO</w:t>
      </w:r>
    </w:p>
    <w:p w:rsidR="00E262FA" w:rsidRPr="00580C2D" w:rsidRDefault="00580C2D" w:rsidP="00552B02">
      <w:pPr>
        <w:pStyle w:val="CuerpoA"/>
        <w:jc w:val="both"/>
        <w:rPr>
          <w:rStyle w:val="Ninguno"/>
          <w:rFonts w:ascii="Times New Roman" w:eastAsia="Times New Roman" w:hAnsi="Times New Roman" w:cs="Times New Roman"/>
          <w:sz w:val="28"/>
          <w:szCs w:val="28"/>
          <w:lang w:val="es-ES"/>
        </w:rPr>
      </w:pPr>
    </w:p>
    <w:p w:rsidR="00E262FA" w:rsidRPr="00580C2D" w:rsidRDefault="00580C2D" w:rsidP="00552B02">
      <w:pPr>
        <w:pStyle w:val="CuerpoA"/>
        <w:jc w:val="both"/>
        <w:rPr>
          <w:rStyle w:val="Ninguno"/>
          <w:rFonts w:ascii="Times New Roman" w:eastAsia="Times New Roman" w:hAnsi="Times New Roman" w:cs="Times New Roman"/>
          <w:sz w:val="28"/>
          <w:szCs w:val="28"/>
          <w:lang w:val="es-ES"/>
        </w:rPr>
      </w:pPr>
    </w:p>
    <w:p w:rsidR="00BE477F" w:rsidRPr="00580C2D" w:rsidRDefault="00580C2D" w:rsidP="00552B02">
      <w:pPr>
        <w:pStyle w:val="CuerpoA"/>
        <w:jc w:val="both"/>
        <w:rPr>
          <w:rStyle w:val="Ninguno"/>
          <w:rFonts w:ascii="Times New Roman" w:eastAsia="Times New Roman" w:hAnsi="Times New Roman" w:cs="Times New Roman"/>
          <w:sz w:val="28"/>
          <w:szCs w:val="28"/>
          <w:lang w:val="es-ES"/>
        </w:rPr>
      </w:pPr>
    </w:p>
    <w:p w:rsidR="00887457" w:rsidRPr="00580C2D" w:rsidRDefault="00580C2D" w:rsidP="00EB5D7A">
      <w:pPr>
        <w:pStyle w:val="Ttulo1"/>
        <w:numPr>
          <w:ilvl w:val="0"/>
          <w:numId w:val="0"/>
        </w:numPr>
        <w:pBdr>
          <w:top w:val="single" w:sz="4" w:space="1" w:color="auto"/>
          <w:left w:val="single" w:sz="4" w:space="1" w:color="auto"/>
          <w:bottom w:val="single" w:sz="4" w:space="1" w:color="auto"/>
          <w:right w:val="single" w:sz="4" w:space="4" w:color="auto"/>
        </w:pBdr>
        <w:ind w:right="49" w:firstLine="4111"/>
        <w:rPr>
          <w:rFonts w:eastAsia="Arial Unicode MS"/>
          <w:b w:val="0"/>
          <w:bCs w:val="0"/>
          <w:lang w:val="es-ES"/>
        </w:rPr>
      </w:pPr>
      <w:r w:rsidRPr="00580C2D">
        <w:rPr>
          <w:rStyle w:val="Ninguno"/>
          <w:rFonts w:eastAsia="Arial Unicode MS"/>
          <w:lang w:val="es-ES"/>
        </w:rPr>
        <w:t>Síntesis de la decisión</w:t>
      </w:r>
      <w:r w:rsidRPr="00580C2D">
        <w:rPr>
          <w:rStyle w:val="Ninguno"/>
          <w:rFonts w:eastAsia="Arial Unicode MS"/>
          <w:lang w:val="es-ES"/>
        </w:rPr>
        <w:t xml:space="preserve">. </w:t>
      </w:r>
      <w:r w:rsidRPr="00580C2D">
        <w:rPr>
          <w:b w:val="0"/>
          <w:bCs w:val="0"/>
          <w:lang w:val="es-ES"/>
        </w:rPr>
        <w:t>La Sala Plena</w:t>
      </w:r>
      <w:r w:rsidRPr="00580C2D">
        <w:rPr>
          <w:b w:val="0"/>
          <w:bCs w:val="0"/>
          <w:lang w:val="es-ES"/>
        </w:rPr>
        <w:t xml:space="preserve"> de la Corte Constitucional </w:t>
      </w:r>
      <w:r w:rsidRPr="00580C2D">
        <w:rPr>
          <w:b w:val="0"/>
          <w:bCs w:val="0"/>
          <w:lang w:val="es-ES"/>
        </w:rPr>
        <w:t xml:space="preserve">concluyó que </w:t>
      </w:r>
      <w:r w:rsidRPr="00580C2D">
        <w:rPr>
          <w:rFonts w:eastAsia="Arial Unicode MS"/>
          <w:b w:val="0"/>
          <w:bCs w:val="0"/>
          <w:lang w:val="es-ES"/>
        </w:rPr>
        <w:t xml:space="preserve">no es posible decidir de fondo el presente asunto debido a que el demandante no </w:t>
      </w:r>
      <w:r w:rsidRPr="00580C2D">
        <w:rPr>
          <w:rFonts w:eastAsia="Arial Unicode MS"/>
          <w:b w:val="0"/>
          <w:bCs w:val="0"/>
          <w:lang w:val="es-ES"/>
        </w:rPr>
        <w:t>cumplió con el requisito de</w:t>
      </w:r>
      <w:r w:rsidRPr="00580C2D">
        <w:rPr>
          <w:rFonts w:eastAsia="Arial Unicode MS"/>
          <w:b w:val="0"/>
          <w:bCs w:val="0"/>
          <w:lang w:val="es-ES"/>
        </w:rPr>
        <w:t xml:space="preserve"> carga argumentativa </w:t>
      </w:r>
      <w:r w:rsidRPr="00580C2D">
        <w:rPr>
          <w:rFonts w:eastAsia="Arial Unicode MS"/>
          <w:b w:val="0"/>
          <w:bCs w:val="0"/>
          <w:lang w:val="es-ES"/>
        </w:rPr>
        <w:t>para activar el control de constitucionalidad a cargo de la Corte.</w:t>
      </w:r>
    </w:p>
    <w:p w:rsidR="00887457" w:rsidRPr="00580C2D" w:rsidRDefault="00580C2D" w:rsidP="00EB5D7A">
      <w:pPr>
        <w:pStyle w:val="Ttulo1"/>
        <w:numPr>
          <w:ilvl w:val="0"/>
          <w:numId w:val="0"/>
        </w:numPr>
        <w:pBdr>
          <w:top w:val="single" w:sz="4" w:space="1" w:color="auto"/>
          <w:left w:val="single" w:sz="4" w:space="1" w:color="auto"/>
          <w:bottom w:val="single" w:sz="4" w:space="1" w:color="auto"/>
          <w:right w:val="single" w:sz="4" w:space="4" w:color="auto"/>
        </w:pBdr>
        <w:rPr>
          <w:rFonts w:eastAsia="Arial Unicode MS"/>
          <w:b w:val="0"/>
          <w:bCs w:val="0"/>
          <w:lang w:val="es-ES"/>
        </w:rPr>
      </w:pPr>
    </w:p>
    <w:p w:rsidR="00887457" w:rsidRPr="00580C2D" w:rsidRDefault="00580C2D" w:rsidP="00EB5D7A">
      <w:pPr>
        <w:pStyle w:val="Ttulo1"/>
        <w:numPr>
          <w:ilvl w:val="0"/>
          <w:numId w:val="0"/>
        </w:numPr>
        <w:pBdr>
          <w:top w:val="single" w:sz="4" w:space="1" w:color="auto"/>
          <w:left w:val="single" w:sz="4" w:space="1" w:color="auto"/>
          <w:bottom w:val="single" w:sz="4" w:space="1" w:color="auto"/>
          <w:right w:val="single" w:sz="4" w:space="4" w:color="auto"/>
        </w:pBdr>
        <w:rPr>
          <w:rFonts w:eastAsia="Arial Unicode MS"/>
          <w:b w:val="0"/>
          <w:bCs w:val="0"/>
          <w:lang w:val="es-ES"/>
        </w:rPr>
      </w:pPr>
      <w:r w:rsidRPr="00580C2D">
        <w:rPr>
          <w:rFonts w:eastAsia="Arial Unicode MS"/>
          <w:b w:val="0"/>
          <w:bCs w:val="0"/>
        </w:rPr>
        <w:t>La demanda</w:t>
      </w:r>
      <w:r w:rsidRPr="00580C2D">
        <w:rPr>
          <w:rFonts w:eastAsia="Arial Unicode MS"/>
          <w:b w:val="0"/>
          <w:bCs w:val="0"/>
        </w:rPr>
        <w:t xml:space="preserve"> planteó dos cargos. En el primero sostuvo que los artículos 172 y 226 del Decreto 1333 de 1986 vulneran el artículo </w:t>
      </w:r>
      <w:r w:rsidRPr="00580C2D">
        <w:rPr>
          <w:rFonts w:eastAsia="Arial Unicode MS"/>
          <w:b w:val="0"/>
          <w:bCs w:val="0"/>
          <w:lang w:val="es-ES"/>
        </w:rPr>
        <w:t xml:space="preserve">150.10 de la Constitución Política, en </w:t>
      </w:r>
      <w:r w:rsidRPr="00580C2D">
        <w:rPr>
          <w:rFonts w:eastAsia="Arial Unicode MS"/>
          <w:b w:val="0"/>
          <w:bCs w:val="0"/>
          <w:lang w:val="es-ES"/>
        </w:rPr>
        <w:t>tanto exceden las facultades extraordinarias otorgadas al presidente de la República mediante el artículo 76 de la Ley 11 de 1986, pues dichas facultades lo habilitaban únicamente para codificar la normatividad vigente relativa a la organización y funciona</w:t>
      </w:r>
      <w:r w:rsidRPr="00580C2D">
        <w:rPr>
          <w:rFonts w:eastAsia="Arial Unicode MS"/>
          <w:b w:val="0"/>
          <w:bCs w:val="0"/>
          <w:lang w:val="es-ES"/>
        </w:rPr>
        <w:t>miento de los municipios, y no para crear o autorizar impuestos.</w:t>
      </w:r>
      <w:r w:rsidRPr="00580C2D">
        <w:rPr>
          <w:rFonts w:eastAsia="Arial Unicode MS"/>
          <w:b w:val="0"/>
          <w:bCs w:val="0"/>
          <w:i/>
          <w:iCs/>
        </w:rPr>
        <w:t xml:space="preserve"> </w:t>
      </w:r>
      <w:r w:rsidRPr="00580C2D">
        <w:rPr>
          <w:rFonts w:eastAsia="Arial Unicode MS"/>
          <w:b w:val="0"/>
          <w:bCs w:val="0"/>
          <w:lang w:val="es-ES"/>
        </w:rPr>
        <w:t>En el segundo cargo señaló que los artículos 172 y 226 del Decreto Ley 1333 de 1986 vulneran los principios constitucionales de legalidad, reserva de ley y certeza tributaria</w:t>
      </w:r>
      <w:r w:rsidRPr="00580C2D">
        <w:rPr>
          <w:rFonts w:eastAsia="Arial Unicode MS"/>
          <w:b w:val="0"/>
          <w:bCs w:val="0"/>
          <w:lang w:val="es-ES"/>
        </w:rPr>
        <w:t>,</w:t>
      </w:r>
      <w:r w:rsidRPr="00580C2D">
        <w:rPr>
          <w:rFonts w:eastAsia="Arial Unicode MS"/>
          <w:b w:val="0"/>
          <w:bCs w:val="0"/>
          <w:lang w:val="es-ES"/>
        </w:rPr>
        <w:t xml:space="preserve"> contemplados en</w:t>
      </w:r>
      <w:r w:rsidRPr="00580C2D">
        <w:rPr>
          <w:rFonts w:eastAsia="Arial Unicode MS"/>
          <w:b w:val="0"/>
          <w:bCs w:val="0"/>
          <w:lang w:val="es-ES"/>
        </w:rPr>
        <w:t xml:space="preserve"> los artículos 150.12 y 338 de la Constitución Política, pues solo hacen referencia al impuesto y no reúnen las exigencias mínimas previstas en la Constitución para las leyes que </w:t>
      </w:r>
      <w:r w:rsidRPr="00580C2D">
        <w:rPr>
          <w:rFonts w:eastAsia="Arial Unicode MS"/>
          <w:b w:val="0"/>
          <w:bCs w:val="0"/>
          <w:lang w:val="es-ES"/>
        </w:rPr>
        <w:t>crean o autorizan</w:t>
      </w:r>
      <w:r w:rsidRPr="00580C2D">
        <w:rPr>
          <w:rFonts w:eastAsia="Arial Unicode MS"/>
          <w:b w:val="0"/>
          <w:bCs w:val="0"/>
          <w:lang w:val="es-ES"/>
        </w:rPr>
        <w:t xml:space="preserve"> tributos territoriales. </w:t>
      </w:r>
    </w:p>
    <w:p w:rsidR="00887457" w:rsidRPr="00580C2D" w:rsidRDefault="00580C2D" w:rsidP="00EB5D7A">
      <w:pPr>
        <w:pStyle w:val="Ttulo1"/>
        <w:numPr>
          <w:ilvl w:val="0"/>
          <w:numId w:val="0"/>
        </w:numPr>
        <w:pBdr>
          <w:top w:val="single" w:sz="4" w:space="1" w:color="auto"/>
          <w:left w:val="single" w:sz="4" w:space="1" w:color="auto"/>
          <w:bottom w:val="single" w:sz="4" w:space="1" w:color="auto"/>
          <w:right w:val="single" w:sz="4" w:space="4" w:color="auto"/>
        </w:pBdr>
        <w:rPr>
          <w:rFonts w:eastAsia="Arial Unicode MS"/>
          <w:b w:val="0"/>
          <w:bCs w:val="0"/>
          <w:lang w:val="es-ES"/>
        </w:rPr>
      </w:pPr>
    </w:p>
    <w:p w:rsidR="00887457" w:rsidRPr="00580C2D" w:rsidRDefault="00580C2D" w:rsidP="00EB5D7A">
      <w:pPr>
        <w:pStyle w:val="Ttulo1"/>
        <w:numPr>
          <w:ilvl w:val="0"/>
          <w:numId w:val="0"/>
        </w:numPr>
        <w:pBdr>
          <w:top w:val="single" w:sz="4" w:space="1" w:color="auto"/>
          <w:left w:val="single" w:sz="4" w:space="1" w:color="auto"/>
          <w:bottom w:val="single" w:sz="4" w:space="1" w:color="auto"/>
          <w:right w:val="single" w:sz="4" w:space="4" w:color="auto"/>
        </w:pBdr>
        <w:rPr>
          <w:rFonts w:eastAsia="Arial Unicode MS"/>
          <w:b w:val="0"/>
          <w:bCs w:val="0"/>
          <w:lang w:val="es-ES"/>
        </w:rPr>
      </w:pPr>
      <w:r w:rsidRPr="00580C2D">
        <w:rPr>
          <w:rFonts w:eastAsia="Arial Unicode MS"/>
          <w:b w:val="0"/>
          <w:bCs w:val="0"/>
          <w:lang w:val="es-ES"/>
        </w:rPr>
        <w:t xml:space="preserve">La Corte observó que los cargos </w:t>
      </w:r>
      <w:r w:rsidRPr="00580C2D">
        <w:rPr>
          <w:rFonts w:eastAsia="Arial Unicode MS"/>
          <w:b w:val="0"/>
          <w:bCs w:val="0"/>
          <w:lang w:val="es-ES"/>
        </w:rPr>
        <w:t>f</w:t>
      </w:r>
      <w:r w:rsidRPr="00580C2D">
        <w:rPr>
          <w:rFonts w:eastAsia="Arial Unicode MS"/>
          <w:b w:val="0"/>
          <w:bCs w:val="0"/>
          <w:lang w:val="es-ES"/>
        </w:rPr>
        <w:t>ormulados</w:t>
      </w:r>
      <w:r w:rsidRPr="00580C2D">
        <w:rPr>
          <w:rFonts w:eastAsia="Arial Unicode MS"/>
          <w:b w:val="0"/>
          <w:bCs w:val="0"/>
          <w:lang w:val="es-ES"/>
        </w:rPr>
        <w:t xml:space="preserve"> carecen de </w:t>
      </w:r>
      <w:r w:rsidRPr="00580C2D">
        <w:rPr>
          <w:rFonts w:eastAsia="Arial Unicode MS"/>
          <w:b w:val="0"/>
          <w:bCs w:val="0"/>
          <w:i/>
          <w:iCs/>
          <w:lang w:val="es-ES"/>
        </w:rPr>
        <w:t>certeza</w:t>
      </w:r>
      <w:r w:rsidRPr="00580C2D">
        <w:rPr>
          <w:rFonts w:eastAsia="Arial Unicode MS"/>
          <w:b w:val="0"/>
          <w:bCs w:val="0"/>
          <w:lang w:val="es-ES"/>
        </w:rPr>
        <w:t xml:space="preserve">, </w:t>
      </w:r>
      <w:r w:rsidRPr="00580C2D">
        <w:rPr>
          <w:rFonts w:eastAsia="Arial Unicode MS"/>
          <w:b w:val="0"/>
          <w:bCs w:val="0"/>
          <w:i/>
          <w:iCs/>
          <w:lang w:val="es-ES"/>
        </w:rPr>
        <w:t>especificidad</w:t>
      </w:r>
      <w:r w:rsidRPr="00580C2D">
        <w:rPr>
          <w:rFonts w:eastAsia="Arial Unicode MS"/>
          <w:b w:val="0"/>
          <w:bCs w:val="0"/>
          <w:lang w:val="es-ES"/>
        </w:rPr>
        <w:t xml:space="preserve">, </w:t>
      </w:r>
      <w:r w:rsidRPr="00580C2D">
        <w:rPr>
          <w:rFonts w:eastAsia="Arial Unicode MS"/>
          <w:b w:val="0"/>
          <w:bCs w:val="0"/>
          <w:i/>
          <w:iCs/>
          <w:lang w:val="es-ES"/>
        </w:rPr>
        <w:t>pertinencia</w:t>
      </w:r>
      <w:r w:rsidRPr="00580C2D">
        <w:rPr>
          <w:rFonts w:eastAsia="Arial Unicode MS"/>
          <w:b w:val="0"/>
          <w:bCs w:val="0"/>
          <w:lang w:val="es-ES"/>
        </w:rPr>
        <w:t xml:space="preserve"> y </w:t>
      </w:r>
      <w:r w:rsidRPr="00580C2D">
        <w:rPr>
          <w:rFonts w:eastAsia="Arial Unicode MS"/>
          <w:b w:val="0"/>
          <w:bCs w:val="0"/>
          <w:i/>
          <w:iCs/>
          <w:lang w:val="es-ES"/>
        </w:rPr>
        <w:t>suficiencia</w:t>
      </w:r>
      <w:r w:rsidRPr="00580C2D">
        <w:rPr>
          <w:rFonts w:eastAsia="Arial Unicode MS"/>
          <w:b w:val="0"/>
          <w:bCs w:val="0"/>
          <w:lang w:val="es-ES"/>
        </w:rPr>
        <w:t xml:space="preserve">, </w:t>
      </w:r>
      <w:r w:rsidRPr="00580C2D">
        <w:rPr>
          <w:rFonts w:eastAsia="Arial Unicode MS"/>
          <w:b w:val="0"/>
          <w:bCs w:val="0"/>
          <w:lang w:val="es-ES"/>
        </w:rPr>
        <w:t xml:space="preserve">principalmente </w:t>
      </w:r>
      <w:r w:rsidRPr="00580C2D">
        <w:rPr>
          <w:rFonts w:eastAsia="Arial Unicode MS"/>
          <w:b w:val="0"/>
          <w:bCs w:val="0"/>
          <w:lang w:val="es-ES"/>
        </w:rPr>
        <w:t xml:space="preserve">porque </w:t>
      </w:r>
      <w:r w:rsidRPr="00580C2D">
        <w:rPr>
          <w:rFonts w:eastAsia="Arial Unicode MS"/>
          <w:b w:val="0"/>
          <w:bCs w:val="0"/>
          <w:lang w:val="es-ES"/>
        </w:rPr>
        <w:t>l</w:t>
      </w:r>
      <w:r w:rsidRPr="00580C2D">
        <w:rPr>
          <w:rFonts w:eastAsia="Arial Unicode MS"/>
          <w:b w:val="0"/>
          <w:bCs w:val="0"/>
          <w:lang w:val="es-ES"/>
        </w:rPr>
        <w:t>a proposición jurídica que</w:t>
      </w:r>
      <w:r w:rsidRPr="00580C2D">
        <w:rPr>
          <w:rFonts w:eastAsia="Arial Unicode MS"/>
          <w:b w:val="0"/>
          <w:bCs w:val="0"/>
          <w:lang w:val="es-ES"/>
        </w:rPr>
        <w:t xml:space="preserve"> se objeta no tiene el contenido ni produce</w:t>
      </w:r>
      <w:r w:rsidRPr="00580C2D">
        <w:rPr>
          <w:rFonts w:eastAsia="Arial Unicode MS"/>
          <w:b w:val="0"/>
          <w:bCs w:val="0"/>
          <w:lang w:val="es-ES"/>
        </w:rPr>
        <w:t xml:space="preserve"> los efectos que le atribuye</w:t>
      </w:r>
      <w:r w:rsidRPr="00580C2D">
        <w:rPr>
          <w:rFonts w:eastAsia="Arial Unicode MS"/>
          <w:b w:val="0"/>
          <w:bCs w:val="0"/>
          <w:lang w:val="es-ES"/>
        </w:rPr>
        <w:t xml:space="preserve"> el accionante</w:t>
      </w:r>
      <w:r w:rsidRPr="00580C2D">
        <w:rPr>
          <w:rFonts w:eastAsia="Arial Unicode MS"/>
          <w:b w:val="0"/>
          <w:bCs w:val="0"/>
          <w:lang w:val="es-ES"/>
        </w:rPr>
        <w:t xml:space="preserve">. Además, la demanda no tuvo en cuenta </w:t>
      </w:r>
      <w:r w:rsidRPr="00580C2D">
        <w:rPr>
          <w:rFonts w:eastAsia="Arial Unicode MS"/>
          <w:b w:val="0"/>
          <w:bCs w:val="0"/>
        </w:rPr>
        <w:t xml:space="preserve">que su </w:t>
      </w:r>
      <w:r w:rsidRPr="00580C2D">
        <w:rPr>
          <w:rFonts w:eastAsia="Arial Unicode MS"/>
          <w:b w:val="0"/>
          <w:bCs w:val="0"/>
        </w:rPr>
        <w:t>reproche se debe examinar a la luz d</w:t>
      </w:r>
      <w:r w:rsidRPr="00580C2D">
        <w:rPr>
          <w:rFonts w:eastAsia="Arial Unicode MS"/>
          <w:b w:val="0"/>
          <w:bCs w:val="0"/>
        </w:rPr>
        <w:t>e la</w:t>
      </w:r>
      <w:r w:rsidRPr="00580C2D">
        <w:rPr>
          <w:rFonts w:eastAsia="Arial Unicode MS"/>
          <w:b w:val="0"/>
          <w:bCs w:val="0"/>
        </w:rPr>
        <w:t xml:space="preserve"> Constitución de 1886, </w:t>
      </w:r>
      <w:r w:rsidRPr="00580C2D">
        <w:rPr>
          <w:rFonts w:eastAsia="Arial Unicode MS"/>
          <w:b w:val="0"/>
          <w:bCs w:val="0"/>
        </w:rPr>
        <w:t xml:space="preserve">y su interpretación </w:t>
      </w:r>
      <w:r w:rsidRPr="00580C2D">
        <w:rPr>
          <w:rFonts w:eastAsia="Arial Unicode MS"/>
          <w:b w:val="0"/>
          <w:bCs w:val="0"/>
        </w:rPr>
        <w:t xml:space="preserve">vigente al momento </w:t>
      </w:r>
      <w:r w:rsidRPr="00580C2D">
        <w:rPr>
          <w:rFonts w:eastAsia="Arial Unicode MS"/>
          <w:b w:val="0"/>
          <w:bCs w:val="0"/>
        </w:rPr>
        <w:t xml:space="preserve">del otorgamiento de las facultades extraordinarias que habilitaron al </w:t>
      </w:r>
      <w:r w:rsidRPr="00580C2D">
        <w:rPr>
          <w:rFonts w:eastAsia="Arial Unicode MS"/>
          <w:b w:val="0"/>
          <w:bCs w:val="0"/>
        </w:rPr>
        <w:t>p</w:t>
      </w:r>
      <w:r w:rsidRPr="00580C2D">
        <w:rPr>
          <w:rFonts w:eastAsia="Arial Unicode MS"/>
          <w:b w:val="0"/>
          <w:bCs w:val="0"/>
        </w:rPr>
        <w:t>residente de la República para promulgar las disposiciones acusadas</w:t>
      </w:r>
      <w:r w:rsidRPr="00580C2D">
        <w:rPr>
          <w:rFonts w:eastAsia="Arial Unicode MS"/>
          <w:b w:val="0"/>
          <w:bCs w:val="0"/>
        </w:rPr>
        <w:t xml:space="preserve">. Asimismo, </w:t>
      </w:r>
      <w:r w:rsidRPr="00580C2D">
        <w:rPr>
          <w:rFonts w:eastAsia="Arial Unicode MS"/>
          <w:b w:val="0"/>
          <w:bCs w:val="0"/>
          <w:lang w:val="es-ES"/>
        </w:rPr>
        <w:t>no a</w:t>
      </w:r>
      <w:r w:rsidRPr="00580C2D">
        <w:rPr>
          <w:rFonts w:eastAsia="Arial Unicode MS"/>
          <w:b w:val="0"/>
          <w:bCs w:val="0"/>
          <w:lang w:val="es-ES"/>
        </w:rPr>
        <w:t xml:space="preserve">tendió al contexto histórico y jurídico en el que se produjeron la Ley 20 de 1908 </w:t>
      </w:r>
      <w:r w:rsidRPr="00580C2D">
        <w:rPr>
          <w:rFonts w:eastAsia="Arial Unicode MS"/>
          <w:b w:val="0"/>
          <w:bCs w:val="0"/>
          <w:lang w:val="es-ES"/>
        </w:rPr>
        <w:t>–</w:t>
      </w:r>
      <w:r w:rsidRPr="00580C2D">
        <w:rPr>
          <w:rFonts w:eastAsia="Arial Unicode MS"/>
          <w:b w:val="0"/>
          <w:bCs w:val="0"/>
          <w:lang w:val="es-ES"/>
        </w:rPr>
        <w:t>que a su juicio crea el impuesto de degüello de ganado menor</w:t>
      </w:r>
      <w:r w:rsidRPr="00580C2D">
        <w:rPr>
          <w:rFonts w:eastAsia="Arial Unicode MS"/>
          <w:b w:val="0"/>
          <w:bCs w:val="0"/>
          <w:lang w:val="es-ES"/>
        </w:rPr>
        <w:t>–</w:t>
      </w:r>
      <w:r w:rsidRPr="00580C2D">
        <w:rPr>
          <w:rFonts w:eastAsia="Arial Unicode MS"/>
          <w:b w:val="0"/>
          <w:bCs w:val="0"/>
          <w:lang w:val="es-ES"/>
        </w:rPr>
        <w:t xml:space="preserve"> y la Ley 4 de 1913, ni de qué manera esta última reguló la creación de impuestos municipales y departamentales </w:t>
      </w:r>
      <w:r w:rsidRPr="00580C2D">
        <w:rPr>
          <w:rFonts w:eastAsia="Arial Unicode MS"/>
          <w:b w:val="0"/>
          <w:bCs w:val="0"/>
          <w:lang w:val="es-ES"/>
        </w:rPr>
        <w:t xml:space="preserve">cuando derogó aquélla. </w:t>
      </w:r>
    </w:p>
    <w:p w:rsidR="00887457" w:rsidRPr="00580C2D" w:rsidRDefault="00580C2D" w:rsidP="00EB5D7A">
      <w:pPr>
        <w:pStyle w:val="Ttulo1"/>
        <w:numPr>
          <w:ilvl w:val="0"/>
          <w:numId w:val="0"/>
        </w:numPr>
        <w:pBdr>
          <w:top w:val="single" w:sz="4" w:space="1" w:color="auto"/>
          <w:left w:val="single" w:sz="4" w:space="1" w:color="auto"/>
          <w:bottom w:val="single" w:sz="4" w:space="1" w:color="auto"/>
          <w:right w:val="single" w:sz="4" w:space="4" w:color="auto"/>
        </w:pBdr>
        <w:rPr>
          <w:rFonts w:eastAsia="Arial Unicode MS"/>
          <w:b w:val="0"/>
          <w:bCs w:val="0"/>
          <w:lang w:val="es-ES"/>
        </w:rPr>
      </w:pPr>
    </w:p>
    <w:p w:rsidR="00625363" w:rsidRPr="00580C2D" w:rsidRDefault="00580C2D" w:rsidP="00EB5D7A">
      <w:pPr>
        <w:pStyle w:val="Ttulo1"/>
        <w:numPr>
          <w:ilvl w:val="0"/>
          <w:numId w:val="0"/>
        </w:numPr>
        <w:pBdr>
          <w:top w:val="single" w:sz="4" w:space="1" w:color="auto"/>
          <w:left w:val="single" w:sz="4" w:space="1" w:color="auto"/>
          <w:bottom w:val="single" w:sz="4" w:space="1" w:color="auto"/>
          <w:right w:val="single" w:sz="4" w:space="4" w:color="auto"/>
        </w:pBdr>
        <w:rPr>
          <w:rFonts w:eastAsia="Arial Unicode MS"/>
          <w:b w:val="0"/>
          <w:bCs w:val="0"/>
          <w:lang w:val="es-ES"/>
        </w:rPr>
      </w:pPr>
      <w:r w:rsidRPr="00580C2D">
        <w:rPr>
          <w:rFonts w:eastAsia="Arial Unicode MS"/>
          <w:b w:val="0"/>
          <w:bCs w:val="0"/>
        </w:rPr>
        <w:t xml:space="preserve">Adicionalmente, </w:t>
      </w:r>
      <w:r w:rsidRPr="00580C2D">
        <w:rPr>
          <w:rFonts w:eastAsia="Arial Unicode MS"/>
          <w:b w:val="0"/>
          <w:bCs w:val="0"/>
          <w:lang w:val="es-ES"/>
        </w:rPr>
        <w:t>la Sala Plena observó que</w:t>
      </w:r>
      <w:r w:rsidRPr="00580C2D">
        <w:rPr>
          <w:rFonts w:eastAsia="Arial Unicode MS"/>
          <w:b w:val="0"/>
          <w:bCs w:val="0"/>
          <w:lang w:val="es-ES"/>
        </w:rPr>
        <w:t>,</w:t>
      </w:r>
      <w:r w:rsidRPr="00580C2D">
        <w:rPr>
          <w:rFonts w:eastAsia="Arial Unicode MS"/>
          <w:b w:val="0"/>
          <w:bCs w:val="0"/>
          <w:lang w:val="es-ES"/>
        </w:rPr>
        <w:t xml:space="preserve"> ante la falta de </w:t>
      </w:r>
      <w:r w:rsidRPr="00580C2D">
        <w:rPr>
          <w:rFonts w:eastAsia="Arial Unicode MS"/>
          <w:b w:val="0"/>
          <w:bCs w:val="0"/>
          <w:i/>
          <w:iCs/>
          <w:lang w:val="es-ES"/>
        </w:rPr>
        <w:t xml:space="preserve">certeza </w:t>
      </w:r>
      <w:r w:rsidRPr="00580C2D">
        <w:rPr>
          <w:rFonts w:eastAsia="Arial Unicode MS"/>
          <w:b w:val="0"/>
          <w:bCs w:val="0"/>
          <w:lang w:val="es-ES"/>
        </w:rPr>
        <w:t xml:space="preserve">del contenido que se atribuye a las disposiciones normativas demandadas, no es posible valorar la presunta vulneración de los principios de certeza, legalidad </w:t>
      </w:r>
      <w:r w:rsidRPr="00580C2D">
        <w:rPr>
          <w:rFonts w:eastAsia="Arial Unicode MS"/>
          <w:b w:val="0"/>
          <w:bCs w:val="0"/>
          <w:lang w:val="es-ES"/>
        </w:rPr>
        <w:t>ni</w:t>
      </w:r>
      <w:r w:rsidRPr="00580C2D">
        <w:rPr>
          <w:rFonts w:eastAsia="Arial Unicode MS"/>
          <w:b w:val="0"/>
          <w:bCs w:val="0"/>
          <w:lang w:val="es-ES"/>
        </w:rPr>
        <w:t xml:space="preserve"> reserva de ley alegada. En efecto, tal análisis s</w:t>
      </w:r>
      <w:r w:rsidRPr="00580C2D">
        <w:rPr>
          <w:rFonts w:eastAsia="Arial Unicode MS"/>
          <w:b w:val="0"/>
          <w:bCs w:val="0"/>
          <w:lang w:val="es-ES"/>
        </w:rPr>
        <w:t>o</w:t>
      </w:r>
      <w:r w:rsidRPr="00580C2D">
        <w:rPr>
          <w:rFonts w:eastAsia="Arial Unicode MS"/>
          <w:b w:val="0"/>
          <w:bCs w:val="0"/>
          <w:lang w:val="es-ES"/>
        </w:rPr>
        <w:t>lo es posible respecto de las normas creadoras de un tributo que, en este caso, no fueron identificadas.</w:t>
      </w:r>
    </w:p>
    <w:p w:rsidR="00B01962" w:rsidRPr="00580C2D" w:rsidRDefault="00580C2D" w:rsidP="00BE477F">
      <w:pPr>
        <w:pStyle w:val="Prrafodelista"/>
        <w:ind w:left="0"/>
        <w:jc w:val="both"/>
        <w:rPr>
          <w:rFonts w:cs="Times New Roman"/>
        </w:rPr>
      </w:pPr>
    </w:p>
    <w:p w:rsidR="00BE477F" w:rsidRPr="00580C2D" w:rsidRDefault="00580C2D" w:rsidP="00552B02">
      <w:pPr>
        <w:pStyle w:val="CuerpoA"/>
        <w:jc w:val="both"/>
        <w:rPr>
          <w:rStyle w:val="Ninguno"/>
          <w:rFonts w:ascii="Times New Roman" w:eastAsia="Times New Roman" w:hAnsi="Times New Roman" w:cs="Times New Roman"/>
          <w:sz w:val="28"/>
          <w:szCs w:val="28"/>
          <w:lang w:val="es-ES"/>
        </w:rPr>
      </w:pPr>
    </w:p>
    <w:p w:rsidR="00E262FA" w:rsidRPr="00580C2D" w:rsidRDefault="00580C2D" w:rsidP="00552B02">
      <w:pPr>
        <w:pStyle w:val="CuerpoA"/>
        <w:jc w:val="both"/>
        <w:rPr>
          <w:rStyle w:val="Ninguno"/>
          <w:rFonts w:ascii="Times New Roman" w:eastAsia="Times New Roman" w:hAnsi="Times New Roman" w:cs="Times New Roman"/>
          <w:sz w:val="28"/>
          <w:szCs w:val="28"/>
          <w:lang w:val="es-ES"/>
        </w:rPr>
      </w:pPr>
      <w:r w:rsidRPr="00580C2D">
        <w:rPr>
          <w:rStyle w:val="Ninguno"/>
          <w:rFonts w:ascii="Times New Roman" w:hAnsi="Times New Roman" w:cs="Times New Roman"/>
          <w:sz w:val="28"/>
          <w:szCs w:val="28"/>
          <w:lang w:val="es-ES"/>
        </w:rPr>
        <w:t xml:space="preserve">Bogotá, D. C., </w:t>
      </w:r>
      <w:r w:rsidRPr="00580C2D">
        <w:rPr>
          <w:rStyle w:val="Ninguno"/>
          <w:rFonts w:ascii="Times New Roman" w:hAnsi="Times New Roman" w:cs="Times New Roman"/>
          <w:sz w:val="28"/>
          <w:szCs w:val="28"/>
          <w:lang w:val="es-ES"/>
        </w:rPr>
        <w:t>20</w:t>
      </w:r>
      <w:r w:rsidRPr="00580C2D">
        <w:rPr>
          <w:rStyle w:val="Ninguno"/>
          <w:rFonts w:ascii="Times New Roman" w:hAnsi="Times New Roman" w:cs="Times New Roman"/>
          <w:sz w:val="28"/>
          <w:szCs w:val="28"/>
          <w:lang w:val="es-ES"/>
        </w:rPr>
        <w:t xml:space="preserve"> de </w:t>
      </w:r>
      <w:r w:rsidRPr="00580C2D">
        <w:rPr>
          <w:rStyle w:val="Ninguno"/>
          <w:rFonts w:ascii="Times New Roman" w:hAnsi="Times New Roman" w:cs="Times New Roman"/>
          <w:sz w:val="28"/>
          <w:szCs w:val="28"/>
          <w:lang w:val="es-ES"/>
        </w:rPr>
        <w:t>junio</w:t>
      </w:r>
      <w:r w:rsidRPr="00580C2D">
        <w:rPr>
          <w:rStyle w:val="Ninguno"/>
          <w:rFonts w:ascii="Times New Roman" w:hAnsi="Times New Roman" w:cs="Times New Roman"/>
          <w:sz w:val="28"/>
          <w:szCs w:val="28"/>
          <w:lang w:val="es-ES"/>
        </w:rPr>
        <w:t xml:space="preserve"> de dos mil veinticuatro (2024)</w:t>
      </w:r>
    </w:p>
    <w:p w:rsidR="00E262FA" w:rsidRPr="00580C2D" w:rsidRDefault="00580C2D" w:rsidP="00552B02">
      <w:pPr>
        <w:pStyle w:val="CuerpoA"/>
        <w:jc w:val="both"/>
        <w:rPr>
          <w:rStyle w:val="Ninguno"/>
          <w:rFonts w:ascii="Times New Roman" w:eastAsia="Times New Roman" w:hAnsi="Times New Roman" w:cs="Times New Roman"/>
          <w:sz w:val="28"/>
          <w:szCs w:val="28"/>
          <w:lang w:val="es-ES"/>
        </w:rPr>
      </w:pPr>
    </w:p>
    <w:p w:rsidR="00E262FA" w:rsidRPr="00580C2D" w:rsidRDefault="00580C2D" w:rsidP="00BE477F">
      <w:pPr>
        <w:pStyle w:val="CuerpoA"/>
        <w:jc w:val="both"/>
        <w:rPr>
          <w:rStyle w:val="Ninguno"/>
          <w:rFonts w:ascii="Times New Roman" w:hAnsi="Times New Roman" w:cs="Times New Roman"/>
          <w:sz w:val="28"/>
          <w:szCs w:val="28"/>
          <w:lang w:val="es-ES"/>
        </w:rPr>
      </w:pPr>
      <w:r w:rsidRPr="00580C2D">
        <w:rPr>
          <w:rStyle w:val="Ninguno"/>
          <w:rFonts w:ascii="Times New Roman" w:hAnsi="Times New Roman" w:cs="Times New Roman"/>
          <w:sz w:val="28"/>
          <w:szCs w:val="28"/>
          <w:lang w:val="es-ES"/>
        </w:rPr>
        <w:t>La Sala Plena de la Corte Constituciona</w:t>
      </w:r>
      <w:r w:rsidRPr="00580C2D">
        <w:rPr>
          <w:rStyle w:val="Ninguno"/>
          <w:rFonts w:ascii="Times New Roman" w:hAnsi="Times New Roman" w:cs="Times New Roman"/>
          <w:sz w:val="28"/>
          <w:szCs w:val="28"/>
          <w:lang w:val="es-ES"/>
        </w:rPr>
        <w:t xml:space="preserve">l, con fundamento en </w:t>
      </w:r>
      <w:r w:rsidRPr="00580C2D">
        <w:rPr>
          <w:rStyle w:val="Ninguno"/>
          <w:rFonts w:ascii="Times New Roman" w:hAnsi="Times New Roman" w:cs="Times New Roman"/>
          <w:sz w:val="28"/>
          <w:szCs w:val="28"/>
          <w:lang w:val="es-ES"/>
        </w:rPr>
        <w:t>el</w:t>
      </w:r>
      <w:r w:rsidRPr="00580C2D">
        <w:rPr>
          <w:rStyle w:val="Ninguno"/>
          <w:rFonts w:ascii="Times New Roman" w:hAnsi="Times New Roman" w:cs="Times New Roman"/>
          <w:sz w:val="28"/>
          <w:szCs w:val="28"/>
          <w:lang w:val="es-ES"/>
        </w:rPr>
        <w:t xml:space="preserve"> artículo 241.5 de la Constitución Política de 1991, </w:t>
      </w:r>
      <w:r w:rsidRPr="00580C2D">
        <w:rPr>
          <w:rStyle w:val="Ninguno"/>
          <w:rFonts w:ascii="Times New Roman" w:hAnsi="Times New Roman" w:cs="Times New Roman"/>
          <w:sz w:val="28"/>
          <w:szCs w:val="28"/>
          <w:lang w:val="es-ES"/>
        </w:rPr>
        <w:t>cumplidos los trámites previstos en el Decreto Ley 2067 de 1991</w:t>
      </w:r>
      <w:r w:rsidRPr="00580C2D">
        <w:rPr>
          <w:rStyle w:val="Refdenotaalpie"/>
          <w:rFonts w:ascii="Times New Roman" w:hAnsi="Times New Roman" w:cs="Times New Roman"/>
          <w:sz w:val="28"/>
          <w:szCs w:val="28"/>
          <w:lang w:val="es-ES"/>
        </w:rPr>
        <w:footnoteReference w:id="2"/>
      </w:r>
      <w:r w:rsidRPr="00580C2D">
        <w:rPr>
          <w:rStyle w:val="Ninguno"/>
          <w:rFonts w:ascii="Times New Roman" w:hAnsi="Times New Roman" w:cs="Times New Roman"/>
          <w:sz w:val="28"/>
          <w:szCs w:val="28"/>
          <w:lang w:val="es-ES"/>
        </w:rPr>
        <w:t xml:space="preserve">, decide sobre la demanda presentada por el ciudadano </w:t>
      </w:r>
      <w:r w:rsidRPr="00580C2D">
        <w:rPr>
          <w:rStyle w:val="Ninguno"/>
          <w:rFonts w:ascii="Times New Roman" w:eastAsia="Times New Roman" w:hAnsi="Times New Roman" w:cs="Times New Roman"/>
          <w:sz w:val="28"/>
          <w:szCs w:val="28"/>
          <w:lang w:val="es-ES"/>
        </w:rPr>
        <w:t>Óscar Iván González Herrera</w:t>
      </w:r>
      <w:r w:rsidRPr="00580C2D">
        <w:rPr>
          <w:rStyle w:val="Ninguno"/>
          <w:rFonts w:ascii="Times New Roman" w:hAnsi="Times New Roman" w:cs="Times New Roman"/>
          <w:sz w:val="28"/>
          <w:szCs w:val="28"/>
          <w:lang w:val="es-ES"/>
        </w:rPr>
        <w:t xml:space="preserve"> </w:t>
      </w:r>
      <w:r w:rsidRPr="00580C2D">
        <w:rPr>
          <w:rStyle w:val="Ninguno"/>
          <w:rFonts w:ascii="Times New Roman" w:hAnsi="Times New Roman" w:cs="Times New Roman"/>
          <w:sz w:val="28"/>
          <w:szCs w:val="28"/>
          <w:lang w:val="es-ES"/>
        </w:rPr>
        <w:t xml:space="preserve">en ejercicio de la acción pública </w:t>
      </w:r>
      <w:r w:rsidRPr="00580C2D">
        <w:rPr>
          <w:rStyle w:val="Ninguno"/>
          <w:rFonts w:ascii="Times New Roman" w:hAnsi="Times New Roman" w:cs="Times New Roman"/>
          <w:sz w:val="28"/>
          <w:szCs w:val="28"/>
          <w:lang w:val="es-ES"/>
        </w:rPr>
        <w:t>de inconstitucionalidad contemplada en el artículo 40.6 de la Constitución, contra los artículos 172 y 226 del Decreto Ley 1333 de 1986, “por el cual se expide el Código de Régimen Municipal”, cuyo texto es el siguiente:</w:t>
      </w:r>
    </w:p>
    <w:p w:rsidR="00BE477F" w:rsidRPr="00580C2D" w:rsidRDefault="00580C2D" w:rsidP="00BE477F">
      <w:pPr>
        <w:pStyle w:val="CuerpoA"/>
        <w:jc w:val="both"/>
        <w:rPr>
          <w:rStyle w:val="Ninguno"/>
          <w:rFonts w:ascii="Times New Roman" w:hAnsi="Times New Roman" w:cs="Times New Roman"/>
          <w:sz w:val="28"/>
          <w:szCs w:val="28"/>
          <w:lang w:val="es-ES"/>
        </w:rPr>
      </w:pPr>
    </w:p>
    <w:p w:rsidR="00E262FA" w:rsidRPr="00580C2D" w:rsidRDefault="00580C2D" w:rsidP="00552B02">
      <w:pPr>
        <w:pStyle w:val="NormalWeb"/>
        <w:spacing w:before="0" w:after="0"/>
        <w:ind w:right="40"/>
        <w:jc w:val="both"/>
        <w:rPr>
          <w:rStyle w:val="Ninguno"/>
          <w:rFonts w:eastAsia="Arial Unicode MS"/>
          <w:b/>
          <w:bCs/>
          <w:sz w:val="28"/>
          <w:szCs w:val="28"/>
          <w:lang w:val="es-ES"/>
        </w:rPr>
      </w:pPr>
    </w:p>
    <w:p w:rsidR="00E262FA" w:rsidRPr="00580C2D" w:rsidRDefault="00580C2D" w:rsidP="00552B02">
      <w:pPr>
        <w:pStyle w:val="Sinespaciado"/>
        <w:numPr>
          <w:ilvl w:val="0"/>
          <w:numId w:val="0"/>
        </w:numPr>
        <w:rPr>
          <w:rStyle w:val="Ninguno"/>
          <w:rFonts w:eastAsia="Arial Unicode MS"/>
          <w:lang w:val="es-ES"/>
        </w:rPr>
      </w:pPr>
      <w:r w:rsidRPr="00580C2D">
        <w:rPr>
          <w:rStyle w:val="Ninguno"/>
          <w:rFonts w:eastAsia="Arial Unicode MS"/>
          <w:lang w:val="es-ES"/>
        </w:rPr>
        <w:t>TEXTO DE LA DISPOSICIÓN DEMANDADA</w:t>
      </w:r>
    </w:p>
    <w:p w:rsidR="00E262FA" w:rsidRPr="00580C2D" w:rsidRDefault="00580C2D" w:rsidP="00552B02">
      <w:pPr>
        <w:pStyle w:val="NormalWeb"/>
        <w:spacing w:before="0" w:after="0"/>
        <w:ind w:left="1080" w:right="40"/>
        <w:jc w:val="both"/>
        <w:rPr>
          <w:rStyle w:val="Ninguno"/>
          <w:rFonts w:eastAsia="Arial Unicode MS"/>
          <w:b/>
          <w:bCs/>
          <w:sz w:val="28"/>
          <w:szCs w:val="28"/>
          <w:lang w:val="es-ES"/>
        </w:rPr>
      </w:pPr>
    </w:p>
    <w:p w:rsidR="00E262FA" w:rsidRPr="00580C2D" w:rsidRDefault="00580C2D" w:rsidP="007933B0">
      <w:pPr>
        <w:pStyle w:val="NormalWeb"/>
        <w:ind w:right="40"/>
        <w:jc w:val="center"/>
        <w:rPr>
          <w:b/>
          <w:bCs/>
          <w:sz w:val="28"/>
          <w:szCs w:val="28"/>
          <w:lang w:val="es-ES"/>
        </w:rPr>
      </w:pPr>
      <w:r w:rsidRPr="00580C2D">
        <w:rPr>
          <w:b/>
          <w:bCs/>
          <w:sz w:val="28"/>
          <w:szCs w:val="28"/>
          <w:lang w:val="es-ES"/>
        </w:rPr>
        <w:t>“DECRETO 1333 DE 1986</w:t>
      </w:r>
    </w:p>
    <w:p w:rsidR="00E262FA" w:rsidRPr="00580C2D" w:rsidRDefault="00580C2D" w:rsidP="00686286">
      <w:pPr>
        <w:pStyle w:val="NormalWeb"/>
        <w:ind w:right="40"/>
        <w:jc w:val="center"/>
        <w:rPr>
          <w:sz w:val="28"/>
          <w:szCs w:val="28"/>
          <w:lang w:val="es-ES"/>
        </w:rPr>
      </w:pPr>
      <w:r w:rsidRPr="00580C2D">
        <w:rPr>
          <w:sz w:val="28"/>
          <w:szCs w:val="28"/>
          <w:lang w:val="es-ES"/>
        </w:rPr>
        <w:t>“Por el cual se expide el Código de Régimen Municipal”</w:t>
      </w:r>
    </w:p>
    <w:p w:rsidR="00E262FA" w:rsidRPr="00580C2D" w:rsidRDefault="00580C2D" w:rsidP="00552B02">
      <w:pPr>
        <w:pStyle w:val="NormalWeb"/>
        <w:ind w:right="40"/>
        <w:jc w:val="both"/>
        <w:rPr>
          <w:sz w:val="28"/>
          <w:szCs w:val="28"/>
          <w:lang w:val="es-ES"/>
        </w:rPr>
      </w:pPr>
    </w:p>
    <w:p w:rsidR="00E262FA" w:rsidRPr="00580C2D" w:rsidRDefault="00580C2D" w:rsidP="00552B02">
      <w:pPr>
        <w:pStyle w:val="NormalWeb"/>
        <w:ind w:right="40"/>
        <w:jc w:val="both"/>
        <w:rPr>
          <w:sz w:val="28"/>
          <w:szCs w:val="28"/>
          <w:lang w:val="es-ES"/>
        </w:rPr>
      </w:pPr>
      <w:r w:rsidRPr="00580C2D">
        <w:rPr>
          <w:sz w:val="28"/>
          <w:szCs w:val="28"/>
          <w:lang w:val="es-ES"/>
        </w:rPr>
        <w:t>El Presidente</w:t>
      </w:r>
      <w:r w:rsidRPr="00580C2D">
        <w:rPr>
          <w:sz w:val="28"/>
          <w:szCs w:val="28"/>
          <w:lang w:val="es-ES"/>
        </w:rPr>
        <w:t xml:space="preserve"> de la República de Colombia, en ejercicio de las facultades extraordinarias que le confiere la Ley 11 de 1986 y oída la Comisión Asesora a que ella se refiere, decreta:</w:t>
      </w:r>
    </w:p>
    <w:p w:rsidR="00E262FA" w:rsidRPr="00580C2D" w:rsidRDefault="00580C2D" w:rsidP="00552B02">
      <w:pPr>
        <w:pStyle w:val="NormalWeb"/>
        <w:tabs>
          <w:tab w:val="left" w:pos="3638"/>
        </w:tabs>
        <w:ind w:right="40"/>
        <w:jc w:val="both"/>
        <w:rPr>
          <w:sz w:val="28"/>
          <w:szCs w:val="28"/>
          <w:lang w:val="es-ES"/>
        </w:rPr>
      </w:pPr>
      <w:r w:rsidRPr="00580C2D">
        <w:rPr>
          <w:sz w:val="28"/>
          <w:szCs w:val="28"/>
          <w:lang w:val="es-ES"/>
        </w:rPr>
        <w:t>(…)</w:t>
      </w:r>
      <w:r w:rsidRPr="00580C2D">
        <w:rPr>
          <w:sz w:val="28"/>
          <w:szCs w:val="28"/>
          <w:lang w:val="es-ES"/>
        </w:rPr>
        <w:tab/>
      </w:r>
    </w:p>
    <w:p w:rsidR="00E262FA" w:rsidRPr="00580C2D" w:rsidRDefault="00580C2D" w:rsidP="00686286">
      <w:pPr>
        <w:pStyle w:val="NormalWeb"/>
        <w:ind w:right="40"/>
        <w:jc w:val="center"/>
        <w:rPr>
          <w:b/>
          <w:bCs/>
          <w:sz w:val="28"/>
          <w:szCs w:val="28"/>
          <w:lang w:val="es-ES"/>
        </w:rPr>
      </w:pPr>
      <w:r w:rsidRPr="00580C2D">
        <w:rPr>
          <w:b/>
          <w:bCs/>
          <w:sz w:val="28"/>
          <w:szCs w:val="28"/>
          <w:lang w:val="es-ES"/>
        </w:rPr>
        <w:t>CAPÍTULO II.</w:t>
      </w:r>
    </w:p>
    <w:p w:rsidR="00E262FA" w:rsidRPr="00580C2D" w:rsidRDefault="00580C2D" w:rsidP="00686286">
      <w:pPr>
        <w:pStyle w:val="NormalWeb"/>
        <w:ind w:right="40"/>
        <w:jc w:val="center"/>
        <w:rPr>
          <w:b/>
          <w:bCs/>
          <w:sz w:val="28"/>
          <w:szCs w:val="28"/>
          <w:lang w:val="es-ES"/>
        </w:rPr>
      </w:pPr>
      <w:r w:rsidRPr="00580C2D">
        <w:rPr>
          <w:b/>
          <w:bCs/>
          <w:sz w:val="28"/>
          <w:szCs w:val="28"/>
          <w:lang w:val="es-ES"/>
        </w:rPr>
        <w:t>DE LOS IMPUESTOS MUNICIPALES</w:t>
      </w:r>
    </w:p>
    <w:p w:rsidR="00BE477F" w:rsidRPr="00580C2D" w:rsidRDefault="00580C2D" w:rsidP="00CE272F">
      <w:pPr>
        <w:pStyle w:val="NormalWeb"/>
        <w:spacing w:before="0" w:after="0"/>
        <w:ind w:right="40"/>
        <w:jc w:val="both"/>
        <w:rPr>
          <w:sz w:val="28"/>
          <w:szCs w:val="28"/>
          <w:lang w:val="es-ES"/>
        </w:rPr>
      </w:pPr>
      <w:r w:rsidRPr="00580C2D">
        <w:rPr>
          <w:sz w:val="28"/>
          <w:szCs w:val="28"/>
          <w:lang w:val="es-ES"/>
        </w:rPr>
        <w:t>(…)</w:t>
      </w:r>
    </w:p>
    <w:p w:rsidR="00CE272F" w:rsidRPr="00580C2D" w:rsidRDefault="00580C2D" w:rsidP="00CE272F">
      <w:pPr>
        <w:pStyle w:val="NormalWeb"/>
        <w:spacing w:before="0" w:after="0"/>
        <w:ind w:right="40"/>
        <w:jc w:val="both"/>
        <w:rPr>
          <w:sz w:val="28"/>
          <w:szCs w:val="28"/>
          <w:lang w:val="es-ES"/>
        </w:rPr>
      </w:pPr>
    </w:p>
    <w:p w:rsidR="00E262FA" w:rsidRPr="00580C2D" w:rsidRDefault="00580C2D" w:rsidP="00CE272F">
      <w:pPr>
        <w:pStyle w:val="NormalWeb"/>
        <w:spacing w:before="0" w:after="0"/>
        <w:ind w:right="40"/>
        <w:jc w:val="both"/>
        <w:rPr>
          <w:sz w:val="28"/>
          <w:szCs w:val="28"/>
          <w:lang w:val="es-ES"/>
        </w:rPr>
      </w:pPr>
      <w:r w:rsidRPr="00580C2D">
        <w:rPr>
          <w:sz w:val="28"/>
          <w:szCs w:val="28"/>
          <w:lang w:val="es-ES"/>
        </w:rPr>
        <w:t>ARTICULO 172. Además de los existe</w:t>
      </w:r>
      <w:r w:rsidRPr="00580C2D">
        <w:rPr>
          <w:sz w:val="28"/>
          <w:szCs w:val="28"/>
          <w:lang w:val="es-ES"/>
        </w:rPr>
        <w:t>ntes hoy legalmente, los Municipios y el Distrito Especial de Bogotá pueden crear los impuestos y contribuciones a que se refieren los artículos siguientes.</w:t>
      </w:r>
    </w:p>
    <w:p w:rsidR="00E262FA" w:rsidRPr="00580C2D" w:rsidRDefault="00580C2D" w:rsidP="00CE272F">
      <w:pPr>
        <w:pStyle w:val="NormalWeb"/>
        <w:spacing w:before="0" w:after="0"/>
        <w:ind w:right="40"/>
        <w:jc w:val="both"/>
        <w:rPr>
          <w:sz w:val="28"/>
          <w:szCs w:val="28"/>
          <w:lang w:val="es-ES"/>
        </w:rPr>
      </w:pPr>
      <w:r w:rsidRPr="00580C2D">
        <w:rPr>
          <w:sz w:val="28"/>
          <w:szCs w:val="28"/>
          <w:lang w:val="es-ES"/>
        </w:rPr>
        <w:t>(…)</w:t>
      </w:r>
    </w:p>
    <w:p w:rsidR="00084E4F" w:rsidRPr="00580C2D" w:rsidRDefault="00580C2D" w:rsidP="00CE272F">
      <w:pPr>
        <w:pStyle w:val="NormalWeb"/>
        <w:spacing w:before="0" w:after="0"/>
        <w:ind w:right="40"/>
        <w:jc w:val="both"/>
        <w:rPr>
          <w:b/>
          <w:bCs/>
          <w:sz w:val="28"/>
          <w:szCs w:val="28"/>
          <w:lang w:val="es-ES"/>
        </w:rPr>
      </w:pPr>
    </w:p>
    <w:p w:rsidR="00E262FA" w:rsidRPr="00580C2D" w:rsidRDefault="00580C2D" w:rsidP="00CE272F">
      <w:pPr>
        <w:pStyle w:val="NormalWeb"/>
        <w:spacing w:before="0" w:after="0"/>
        <w:ind w:right="40"/>
        <w:jc w:val="both"/>
        <w:rPr>
          <w:rStyle w:val="Ninguno"/>
          <w:rFonts w:eastAsia="Arial Unicode MS"/>
          <w:sz w:val="28"/>
          <w:szCs w:val="28"/>
          <w:lang w:val="es-ES"/>
        </w:rPr>
      </w:pPr>
      <w:r w:rsidRPr="00580C2D">
        <w:rPr>
          <w:sz w:val="28"/>
          <w:szCs w:val="28"/>
          <w:lang w:val="es-ES"/>
        </w:rPr>
        <w:t>ARTICULO 226. Las rentas sobre degüello de ganado menor no podrán darse en arrendamiento.”</w:t>
      </w:r>
    </w:p>
    <w:p w:rsidR="00615847" w:rsidRPr="00580C2D" w:rsidRDefault="00580C2D" w:rsidP="00615847">
      <w:pPr>
        <w:jc w:val="both"/>
        <w:rPr>
          <w:rFonts w:ascii="Times New Roman" w:eastAsia="Arial Unicode MS" w:hAnsi="Times New Roman" w:cs="Times New Roman"/>
          <w:sz w:val="28"/>
          <w:szCs w:val="28"/>
          <w:lang w:val="es-ES"/>
        </w:rPr>
      </w:pPr>
    </w:p>
    <w:p w:rsidR="00A53F18" w:rsidRPr="00580C2D" w:rsidRDefault="00580C2D" w:rsidP="00615847">
      <w:pPr>
        <w:jc w:val="both"/>
        <w:rPr>
          <w:rFonts w:ascii="Times New Roman" w:eastAsia="Arial Unicode MS" w:hAnsi="Times New Roman" w:cs="Times New Roman"/>
          <w:sz w:val="28"/>
          <w:szCs w:val="28"/>
          <w:lang w:val="es-ES"/>
        </w:rPr>
      </w:pPr>
    </w:p>
    <w:p w:rsidR="00E262FA" w:rsidRPr="00580C2D" w:rsidRDefault="00580C2D" w:rsidP="00C01FEC">
      <w:pPr>
        <w:pStyle w:val="Sinespaciado"/>
        <w:rPr>
          <w:rStyle w:val="Ninguno"/>
          <w:rFonts w:eastAsia="Arial Unicode MS"/>
          <w:lang w:val="es-ES"/>
        </w:rPr>
      </w:pPr>
      <w:r w:rsidRPr="00580C2D">
        <w:rPr>
          <w:rStyle w:val="Ninguno"/>
          <w:rFonts w:eastAsia="Arial Unicode MS"/>
          <w:lang w:val="es-ES"/>
        </w:rPr>
        <w:t>L</w:t>
      </w:r>
      <w:r w:rsidRPr="00580C2D">
        <w:rPr>
          <w:rStyle w:val="Ninguno"/>
          <w:rFonts w:eastAsia="Arial Unicode MS"/>
          <w:lang w:val="es-ES"/>
        </w:rPr>
        <w:t>A DEMANDA</w:t>
      </w:r>
    </w:p>
    <w:p w:rsidR="00E262FA" w:rsidRPr="00580C2D" w:rsidRDefault="00580C2D" w:rsidP="00552B02">
      <w:pPr>
        <w:pStyle w:val="NormalWeb"/>
        <w:spacing w:before="0" w:after="0"/>
        <w:ind w:right="40"/>
        <w:jc w:val="both"/>
        <w:rPr>
          <w:rStyle w:val="Ninguno"/>
          <w:rFonts w:eastAsia="Arial Unicode MS"/>
          <w:sz w:val="28"/>
          <w:szCs w:val="28"/>
          <w:lang w:val="es-ES"/>
        </w:rPr>
      </w:pPr>
    </w:p>
    <w:p w:rsidR="002169AC" w:rsidRPr="00580C2D" w:rsidRDefault="00580C2D" w:rsidP="00BE477F">
      <w:pPr>
        <w:pStyle w:val="NormalWeb"/>
        <w:numPr>
          <w:ilvl w:val="0"/>
          <w:numId w:val="3"/>
        </w:numPr>
        <w:spacing w:before="0" w:after="0"/>
        <w:ind w:left="0" w:right="40" w:firstLine="0"/>
        <w:jc w:val="both"/>
        <w:rPr>
          <w:rStyle w:val="Ninguno"/>
          <w:rFonts w:eastAsia="Arial Unicode MS"/>
          <w:sz w:val="28"/>
          <w:szCs w:val="28"/>
          <w:lang w:val="es-ES"/>
        </w:rPr>
      </w:pPr>
      <w:r w:rsidRPr="00580C2D">
        <w:rPr>
          <w:rStyle w:val="Ninguno"/>
          <w:rFonts w:eastAsia="Arial Unicode MS"/>
          <w:sz w:val="28"/>
          <w:szCs w:val="28"/>
          <w:lang w:val="es-ES"/>
        </w:rPr>
        <w:t>En el escrito de corrección</w:t>
      </w:r>
      <w:r w:rsidRPr="00580C2D">
        <w:rPr>
          <w:rStyle w:val="Ninguno"/>
          <w:rFonts w:eastAsia="Arial Unicode MS"/>
          <w:sz w:val="28"/>
          <w:szCs w:val="28"/>
          <w:lang w:val="es-ES"/>
        </w:rPr>
        <w:t>,</w:t>
      </w:r>
      <w:r w:rsidRPr="00580C2D">
        <w:rPr>
          <w:rStyle w:val="Ninguno"/>
          <w:rFonts w:eastAsia="Arial Unicode MS"/>
          <w:sz w:val="28"/>
          <w:szCs w:val="28"/>
          <w:lang w:val="es-ES"/>
        </w:rPr>
        <w:t xml:space="preserve"> el demandante aclaró que formula dos cargos</w:t>
      </w:r>
      <w:r w:rsidRPr="00580C2D">
        <w:rPr>
          <w:rStyle w:val="Refdenotaalpie"/>
          <w:rFonts w:eastAsia="Arial Unicode MS"/>
          <w:sz w:val="28"/>
          <w:szCs w:val="28"/>
        </w:rPr>
        <w:footnoteReference w:id="3"/>
      </w:r>
      <w:r w:rsidRPr="00580C2D">
        <w:rPr>
          <w:rStyle w:val="Ninguno"/>
          <w:rFonts w:eastAsia="Arial Unicode MS"/>
          <w:sz w:val="28"/>
          <w:szCs w:val="28"/>
          <w:lang w:val="es-ES"/>
        </w:rPr>
        <w:t xml:space="preserve"> contra los artículos 172 y 226 del Decreto Ley 1333 de 1986 por considerar que</w:t>
      </w:r>
      <w:r w:rsidRPr="00580C2D">
        <w:rPr>
          <w:rStyle w:val="Ninguno"/>
          <w:rFonts w:eastAsia="Arial Unicode MS"/>
          <w:sz w:val="28"/>
          <w:szCs w:val="28"/>
          <w:lang w:val="es-ES"/>
        </w:rPr>
        <w:t xml:space="preserve"> </w:t>
      </w:r>
      <w:r w:rsidRPr="00580C2D">
        <w:rPr>
          <w:rStyle w:val="Ninguno"/>
          <w:rFonts w:eastAsia="Arial Unicode MS"/>
          <w:sz w:val="28"/>
          <w:szCs w:val="28"/>
          <w:lang w:val="es-ES"/>
        </w:rPr>
        <w:t xml:space="preserve">infringen los artículos 150.10, 150.12 y 338 de la Constitución Política. </w:t>
      </w:r>
      <w:r w:rsidRPr="00580C2D">
        <w:rPr>
          <w:rStyle w:val="Ninguno"/>
          <w:rFonts w:eastAsia="Arial Unicode MS"/>
          <w:sz w:val="28"/>
          <w:szCs w:val="28"/>
          <w:lang w:val="es-ES"/>
        </w:rPr>
        <w:t>Frente a</w:t>
      </w:r>
      <w:r w:rsidRPr="00580C2D">
        <w:rPr>
          <w:rStyle w:val="Ninguno"/>
          <w:rFonts w:eastAsia="Arial Unicode MS"/>
          <w:sz w:val="28"/>
          <w:szCs w:val="28"/>
          <w:lang w:val="es-ES"/>
        </w:rPr>
        <w:t>l</w:t>
      </w:r>
      <w:r w:rsidRPr="00580C2D">
        <w:rPr>
          <w:rStyle w:val="Ninguno"/>
          <w:rFonts w:eastAsia="Arial Unicode MS"/>
          <w:b/>
          <w:bCs/>
          <w:i/>
          <w:iCs/>
          <w:sz w:val="28"/>
          <w:szCs w:val="28"/>
          <w:lang w:val="es-ES"/>
        </w:rPr>
        <w:t xml:space="preserve"> cargo primero</w:t>
      </w:r>
      <w:r w:rsidRPr="00580C2D">
        <w:rPr>
          <w:rStyle w:val="Ninguno"/>
          <w:rFonts w:eastAsia="Arial Unicode MS"/>
          <w:sz w:val="28"/>
          <w:szCs w:val="28"/>
          <w:lang w:val="es-ES"/>
        </w:rPr>
        <w:t xml:space="preserve"> por presunta vulneración del artículo 150.10 de la Constitución Política</w:t>
      </w:r>
      <w:r w:rsidRPr="00580C2D">
        <w:rPr>
          <w:rStyle w:val="Refdenotaalpie"/>
          <w:sz w:val="28"/>
          <w:szCs w:val="28"/>
          <w:lang w:val="es-ES"/>
        </w:rPr>
        <w:footnoteReference w:id="4"/>
      </w:r>
      <w:r w:rsidRPr="00580C2D">
        <w:rPr>
          <w:rStyle w:val="Ninguno"/>
          <w:rFonts w:eastAsia="Arial Unicode MS"/>
          <w:sz w:val="28"/>
          <w:szCs w:val="28"/>
          <w:lang w:val="es-ES"/>
        </w:rPr>
        <w:t xml:space="preserve"> argument</w:t>
      </w:r>
      <w:r w:rsidRPr="00580C2D">
        <w:rPr>
          <w:rStyle w:val="Ninguno"/>
          <w:rFonts w:eastAsia="Arial Unicode MS"/>
          <w:sz w:val="28"/>
          <w:szCs w:val="28"/>
          <w:lang w:val="es-ES"/>
        </w:rPr>
        <w:t>ó</w:t>
      </w:r>
      <w:r w:rsidRPr="00580C2D">
        <w:rPr>
          <w:rStyle w:val="Ninguno"/>
          <w:rFonts w:eastAsia="Arial Unicode MS"/>
          <w:sz w:val="28"/>
          <w:szCs w:val="28"/>
          <w:lang w:val="es-ES"/>
        </w:rPr>
        <w:t xml:space="preserve"> que los artículos 172 y 226 del Decreto Ley de 1333 de 1986 exceden las facultades extraordinarias otorgadas al </w:t>
      </w:r>
      <w:r w:rsidRPr="00580C2D">
        <w:rPr>
          <w:rStyle w:val="Ninguno"/>
          <w:rFonts w:eastAsia="Arial Unicode MS"/>
          <w:sz w:val="28"/>
          <w:szCs w:val="28"/>
          <w:lang w:val="es-ES"/>
        </w:rPr>
        <w:t>presidente</w:t>
      </w:r>
      <w:r w:rsidRPr="00580C2D">
        <w:rPr>
          <w:rStyle w:val="Ninguno"/>
          <w:rFonts w:eastAsia="Arial Unicode MS"/>
          <w:sz w:val="28"/>
          <w:szCs w:val="28"/>
          <w:lang w:val="es-ES"/>
        </w:rPr>
        <w:t xml:space="preserve"> de la República mediante</w:t>
      </w:r>
      <w:r w:rsidRPr="00580C2D">
        <w:rPr>
          <w:rStyle w:val="Ninguno"/>
          <w:rFonts w:eastAsia="Arial Unicode MS"/>
          <w:sz w:val="28"/>
          <w:szCs w:val="28"/>
          <w:lang w:val="es-ES"/>
        </w:rPr>
        <w:t xml:space="preserve"> el artícu</w:t>
      </w:r>
      <w:r w:rsidRPr="00580C2D">
        <w:rPr>
          <w:rStyle w:val="Ninguno"/>
          <w:rFonts w:eastAsia="Arial Unicode MS"/>
          <w:sz w:val="28"/>
          <w:szCs w:val="28"/>
          <w:lang w:val="es-ES"/>
        </w:rPr>
        <w:t>lo 76 de</w:t>
      </w:r>
      <w:r w:rsidRPr="00580C2D">
        <w:rPr>
          <w:rStyle w:val="Ninguno"/>
          <w:rFonts w:eastAsia="Arial Unicode MS"/>
          <w:sz w:val="28"/>
          <w:szCs w:val="28"/>
          <w:lang w:val="es-ES"/>
        </w:rPr>
        <w:t xml:space="preserve"> la Ley 11 de 1986, pues dichas facultades lo habilitaban únicamente para </w:t>
      </w:r>
      <w:r w:rsidRPr="00580C2D">
        <w:rPr>
          <w:rStyle w:val="Ninguno"/>
          <w:rFonts w:eastAsia="Arial Unicode MS"/>
          <w:sz w:val="28"/>
          <w:szCs w:val="28"/>
          <w:lang w:val="es-ES"/>
        </w:rPr>
        <w:t xml:space="preserve">codificar </w:t>
      </w:r>
      <w:r w:rsidRPr="00580C2D">
        <w:rPr>
          <w:rStyle w:val="Ninguno"/>
          <w:rFonts w:eastAsia="Arial Unicode MS"/>
          <w:sz w:val="28"/>
          <w:szCs w:val="28"/>
          <w:lang w:val="es-ES"/>
        </w:rPr>
        <w:t xml:space="preserve">la normatividad vigente relativa a la organización y funcionamiento de los municipios, y no para la creación o autorización de impuestos. </w:t>
      </w:r>
      <w:r w:rsidRPr="00580C2D">
        <w:rPr>
          <w:rStyle w:val="Ninguno"/>
          <w:rFonts w:eastAsia="Arial Unicode MS"/>
          <w:sz w:val="28"/>
          <w:szCs w:val="28"/>
          <w:lang w:val="es-ES"/>
        </w:rPr>
        <w:t>En concreto</w:t>
      </w:r>
      <w:r w:rsidRPr="00580C2D">
        <w:rPr>
          <w:rStyle w:val="Ninguno"/>
          <w:rFonts w:eastAsia="Arial Unicode MS"/>
          <w:sz w:val="28"/>
          <w:szCs w:val="28"/>
          <w:lang w:val="es-ES"/>
        </w:rPr>
        <w:t>, el demandante</w:t>
      </w:r>
      <w:r w:rsidRPr="00580C2D">
        <w:rPr>
          <w:rStyle w:val="Ninguno"/>
          <w:rFonts w:eastAsia="Arial Unicode MS"/>
          <w:sz w:val="28"/>
          <w:szCs w:val="28"/>
          <w:lang w:val="es-ES"/>
        </w:rPr>
        <w:t xml:space="preserve"> advi</w:t>
      </w:r>
      <w:r w:rsidRPr="00580C2D">
        <w:rPr>
          <w:rStyle w:val="Ninguno"/>
          <w:rFonts w:eastAsia="Arial Unicode MS"/>
          <w:sz w:val="28"/>
          <w:szCs w:val="28"/>
          <w:lang w:val="es-ES"/>
        </w:rPr>
        <w:t>rtió</w:t>
      </w:r>
      <w:r w:rsidRPr="00580C2D">
        <w:rPr>
          <w:rStyle w:val="Ninguno"/>
          <w:rFonts w:eastAsia="Arial Unicode MS"/>
          <w:sz w:val="28"/>
          <w:szCs w:val="28"/>
          <w:lang w:val="es-ES"/>
        </w:rPr>
        <w:t xml:space="preserve"> que no existía una norma legal vigente que creara o autorizara dicho tributo en el momento en que se realizó la compilación de que trata el Decreto Ley atacado.</w:t>
      </w:r>
    </w:p>
    <w:p w:rsidR="002169AC" w:rsidRPr="00580C2D" w:rsidRDefault="00580C2D" w:rsidP="002169AC">
      <w:pPr>
        <w:pStyle w:val="Prrafodelista"/>
        <w:ind w:left="0"/>
        <w:rPr>
          <w:rStyle w:val="Ninguno"/>
          <w:rFonts w:cs="Times New Roman"/>
          <w:kern w:val="2"/>
          <w:lang w:val="es-ES"/>
        </w:rPr>
      </w:pPr>
    </w:p>
    <w:p w:rsidR="00E262FA" w:rsidRPr="00580C2D" w:rsidRDefault="00580C2D" w:rsidP="002A73CE">
      <w:pPr>
        <w:pStyle w:val="NormalWeb"/>
        <w:numPr>
          <w:ilvl w:val="0"/>
          <w:numId w:val="3"/>
        </w:numPr>
        <w:spacing w:before="0" w:after="0"/>
        <w:ind w:left="0" w:right="40" w:firstLine="0"/>
        <w:jc w:val="both"/>
        <w:rPr>
          <w:rStyle w:val="Ninguno"/>
          <w:rFonts w:eastAsia="Arial Unicode MS"/>
          <w:sz w:val="28"/>
          <w:szCs w:val="28"/>
          <w:lang w:val="es-ES"/>
        </w:rPr>
      </w:pPr>
      <w:r w:rsidRPr="00580C2D">
        <w:rPr>
          <w:rStyle w:val="Ninguno"/>
          <w:rFonts w:eastAsia="Arial Unicode MS"/>
          <w:kern w:val="2"/>
          <w:sz w:val="28"/>
          <w:szCs w:val="28"/>
          <w:lang w:val="es-ES"/>
        </w:rPr>
        <w:t xml:space="preserve">En el </w:t>
      </w:r>
      <w:r w:rsidRPr="00580C2D">
        <w:rPr>
          <w:rStyle w:val="Ninguno"/>
          <w:rFonts w:eastAsia="Arial Unicode MS"/>
          <w:b/>
          <w:bCs/>
          <w:i/>
          <w:iCs/>
          <w:kern w:val="2"/>
          <w:sz w:val="28"/>
          <w:szCs w:val="28"/>
          <w:lang w:val="es-ES"/>
        </w:rPr>
        <w:t>segundo cargo</w:t>
      </w:r>
      <w:r w:rsidRPr="00580C2D">
        <w:rPr>
          <w:rStyle w:val="Ninguno"/>
          <w:rFonts w:eastAsia="Arial Unicode MS"/>
          <w:kern w:val="2"/>
          <w:sz w:val="28"/>
          <w:szCs w:val="28"/>
          <w:lang w:val="es-ES"/>
        </w:rPr>
        <w:t xml:space="preserve"> </w:t>
      </w:r>
      <w:r w:rsidRPr="00580C2D">
        <w:rPr>
          <w:rStyle w:val="Ninguno"/>
          <w:rFonts w:eastAsia="Arial Unicode MS"/>
          <w:sz w:val="28"/>
          <w:szCs w:val="28"/>
          <w:lang w:val="es-ES"/>
        </w:rPr>
        <w:t>el demandante señaló que</w:t>
      </w:r>
      <w:r w:rsidRPr="00580C2D">
        <w:rPr>
          <w:sz w:val="28"/>
          <w:szCs w:val="28"/>
          <w:lang w:val="es-ES"/>
        </w:rPr>
        <w:t xml:space="preserve"> los artículos 172 y 226 del Decreto Ley 1333 de 1986 no reúnen las exigencias mínimas previstas en la Constitución</w:t>
      </w:r>
      <w:r w:rsidRPr="00580C2D">
        <w:rPr>
          <w:sz w:val="28"/>
          <w:szCs w:val="28"/>
          <w:lang w:val="es-ES"/>
        </w:rPr>
        <w:t xml:space="preserve"> </w:t>
      </w:r>
      <w:r w:rsidRPr="00580C2D">
        <w:rPr>
          <w:sz w:val="28"/>
          <w:szCs w:val="28"/>
          <w:lang w:val="es-ES"/>
        </w:rPr>
        <w:t>y la jurisprudencia constitucional</w:t>
      </w:r>
      <w:r w:rsidRPr="00580C2D">
        <w:rPr>
          <w:rStyle w:val="Refdenotaalpie"/>
          <w:sz w:val="28"/>
          <w:szCs w:val="28"/>
          <w:lang w:val="es-ES"/>
        </w:rPr>
        <w:footnoteReference w:id="5"/>
      </w:r>
      <w:r w:rsidRPr="00580C2D">
        <w:rPr>
          <w:sz w:val="28"/>
          <w:szCs w:val="28"/>
          <w:lang w:val="es-ES"/>
        </w:rPr>
        <w:t xml:space="preserve"> para las leyes que dan origen a tributos territoriales, “en la medida en que dichas normas solamente hac</w:t>
      </w:r>
      <w:r w:rsidRPr="00580C2D">
        <w:rPr>
          <w:sz w:val="28"/>
          <w:szCs w:val="28"/>
          <w:lang w:val="es-ES"/>
        </w:rPr>
        <w:t>en referencia al impuesto, sin que contengan (ni siquiera de manera básica) una creación o autorización”</w:t>
      </w:r>
      <w:r w:rsidRPr="00580C2D">
        <w:rPr>
          <w:sz w:val="28"/>
          <w:szCs w:val="28"/>
          <w:lang w:val="es-ES"/>
        </w:rPr>
        <w:t xml:space="preserve"> y por lo tanto vulneran los principios constitucionales de legalidad</w:t>
      </w:r>
      <w:r w:rsidRPr="00580C2D">
        <w:rPr>
          <w:sz w:val="28"/>
          <w:szCs w:val="28"/>
          <w:lang w:val="es-ES"/>
        </w:rPr>
        <w:t>, reserva de ley</w:t>
      </w:r>
      <w:r w:rsidRPr="00580C2D">
        <w:rPr>
          <w:sz w:val="28"/>
          <w:szCs w:val="28"/>
          <w:lang w:val="es-ES"/>
        </w:rPr>
        <w:t xml:space="preserve"> y certeza tributaria</w:t>
      </w:r>
      <w:r w:rsidRPr="00580C2D">
        <w:rPr>
          <w:sz w:val="28"/>
          <w:szCs w:val="28"/>
          <w:lang w:val="es-ES"/>
        </w:rPr>
        <w:t xml:space="preserve">. En consecuencia, </w:t>
      </w:r>
      <w:r w:rsidRPr="00580C2D">
        <w:rPr>
          <w:rStyle w:val="Ninguno"/>
          <w:rFonts w:eastAsia="Arial Unicode MS"/>
          <w:sz w:val="28"/>
          <w:szCs w:val="28"/>
          <w:lang w:val="es-ES"/>
        </w:rPr>
        <w:t>la Sala encontró que, frent</w:t>
      </w:r>
      <w:r w:rsidRPr="00580C2D">
        <w:rPr>
          <w:rStyle w:val="Ninguno"/>
          <w:rFonts w:eastAsia="Arial Unicode MS"/>
          <w:sz w:val="28"/>
          <w:szCs w:val="28"/>
          <w:lang w:val="es-ES"/>
        </w:rPr>
        <w:t>e a este segundo cargo, la demanda cumple con la carga argumentativa solo para estructurar la posible violación de los artículos 150.12 y 338 de la Constitución, por presuntamente desconocer que las leyes que autorizan o habilitan tributos territoriales de</w:t>
      </w:r>
      <w:r w:rsidRPr="00580C2D">
        <w:rPr>
          <w:rStyle w:val="Ninguno"/>
          <w:rFonts w:eastAsia="Arial Unicode MS"/>
          <w:sz w:val="28"/>
          <w:szCs w:val="28"/>
          <w:lang w:val="es-ES"/>
        </w:rPr>
        <w:t xml:space="preserve">ben contar con unos elementos mínimos que determinen claramente el marco de acción de los órganos de representación local. </w:t>
      </w:r>
    </w:p>
    <w:p w:rsidR="009140E6" w:rsidRPr="00580C2D" w:rsidRDefault="00580C2D" w:rsidP="00841681">
      <w:pPr>
        <w:pStyle w:val="Prrafodelista"/>
        <w:pBdr>
          <w:top w:val="none" w:sz="0" w:space="0" w:color="auto"/>
          <w:left w:val="none" w:sz="0" w:space="0" w:color="auto"/>
          <w:bottom w:val="none" w:sz="0" w:space="0" w:color="auto"/>
          <w:right w:val="none" w:sz="0" w:space="0" w:color="auto"/>
          <w:between w:val="none" w:sz="0" w:space="0" w:color="auto"/>
          <w:bar w:val="none" w:sz="0" w:color="auto"/>
        </w:pBdr>
        <w:tabs>
          <w:tab w:val="left" w:pos="426"/>
        </w:tabs>
        <w:autoSpaceDE w:val="0"/>
        <w:autoSpaceDN w:val="0"/>
        <w:spacing w:line="280" w:lineRule="atLeast"/>
        <w:ind w:left="0" w:right="49"/>
        <w:jc w:val="both"/>
        <w:textAlignment w:val="baseline"/>
        <w:rPr>
          <w:rStyle w:val="Ninguno"/>
          <w:rFonts w:cs="Times New Roman"/>
          <w:lang w:val="es-ES"/>
        </w:rPr>
      </w:pPr>
    </w:p>
    <w:p w:rsidR="00273CF0" w:rsidRPr="00580C2D" w:rsidRDefault="00580C2D" w:rsidP="00841681">
      <w:pPr>
        <w:pStyle w:val="Prrafodelista"/>
        <w:pBdr>
          <w:top w:val="none" w:sz="0" w:space="0" w:color="auto"/>
          <w:left w:val="none" w:sz="0" w:space="0" w:color="auto"/>
          <w:bottom w:val="none" w:sz="0" w:space="0" w:color="auto"/>
          <w:right w:val="none" w:sz="0" w:space="0" w:color="auto"/>
          <w:between w:val="none" w:sz="0" w:space="0" w:color="auto"/>
          <w:bar w:val="none" w:sz="0" w:color="auto"/>
        </w:pBdr>
        <w:tabs>
          <w:tab w:val="left" w:pos="426"/>
        </w:tabs>
        <w:autoSpaceDE w:val="0"/>
        <w:autoSpaceDN w:val="0"/>
        <w:spacing w:line="280" w:lineRule="atLeast"/>
        <w:ind w:left="0" w:right="49"/>
        <w:jc w:val="both"/>
        <w:textAlignment w:val="baseline"/>
        <w:rPr>
          <w:rStyle w:val="Ninguno"/>
          <w:rFonts w:cs="Times New Roman"/>
          <w:lang w:val="es-ES"/>
        </w:rPr>
      </w:pPr>
    </w:p>
    <w:p w:rsidR="00E262FA" w:rsidRPr="00580C2D" w:rsidRDefault="00580C2D" w:rsidP="00552B02">
      <w:pPr>
        <w:pStyle w:val="Sinespaciado"/>
        <w:rPr>
          <w:rStyle w:val="Ninguno"/>
          <w:rFonts w:eastAsia="Arial Unicode MS"/>
          <w:lang w:val="es-ES"/>
        </w:rPr>
      </w:pPr>
      <w:r w:rsidRPr="00580C2D">
        <w:rPr>
          <w:rStyle w:val="Ninguno"/>
          <w:rFonts w:eastAsia="Arial Unicode MS"/>
          <w:lang w:val="es-ES"/>
        </w:rPr>
        <w:t>INTERVENCIONES</w:t>
      </w:r>
    </w:p>
    <w:p w:rsidR="00E262FA" w:rsidRPr="00580C2D" w:rsidRDefault="00580C2D" w:rsidP="00552B02">
      <w:pPr>
        <w:pStyle w:val="Sinespaciado"/>
        <w:numPr>
          <w:ilvl w:val="0"/>
          <w:numId w:val="0"/>
        </w:numPr>
        <w:rPr>
          <w:rStyle w:val="Ninguno"/>
          <w:rFonts w:eastAsia="Arial Unicode MS"/>
          <w:lang w:val="es-ES"/>
        </w:rPr>
      </w:pPr>
    </w:p>
    <w:p w:rsidR="00412FF1" w:rsidRPr="00580C2D" w:rsidRDefault="00580C2D" w:rsidP="002169AC">
      <w:pPr>
        <w:pStyle w:val="Sinespaciado"/>
        <w:numPr>
          <w:ilvl w:val="0"/>
          <w:numId w:val="3"/>
        </w:numPr>
        <w:ind w:left="0" w:firstLine="0"/>
        <w:rPr>
          <w:rStyle w:val="Ninguno"/>
          <w:rFonts w:eastAsia="Arial Unicode MS"/>
          <w:b w:val="0"/>
          <w:bCs w:val="0"/>
          <w:lang w:val="es-ES"/>
        </w:rPr>
      </w:pPr>
      <w:r w:rsidRPr="00580C2D">
        <w:rPr>
          <w:rStyle w:val="Ninguno"/>
          <w:rFonts w:eastAsia="Arial Unicode MS"/>
          <w:b w:val="0"/>
          <w:bCs w:val="0"/>
          <w:lang w:val="es-ES"/>
        </w:rPr>
        <w:t>Dentro del término de fijación en lista de la norma demandada</w:t>
      </w:r>
      <w:r w:rsidRPr="00580C2D">
        <w:rPr>
          <w:rStyle w:val="Refdenotaalpie"/>
          <w:rFonts w:eastAsia="Arial Unicode MS"/>
          <w:b w:val="0"/>
          <w:bCs w:val="0"/>
          <w:lang w:val="es-ES"/>
        </w:rPr>
        <w:footnoteReference w:id="6"/>
      </w:r>
      <w:r w:rsidRPr="00580C2D">
        <w:rPr>
          <w:rStyle w:val="Ninguno"/>
          <w:rFonts w:eastAsia="Arial Unicode MS"/>
          <w:b w:val="0"/>
          <w:bCs w:val="0"/>
          <w:lang w:val="es-ES"/>
        </w:rPr>
        <w:t xml:space="preserve"> no se recibió ninguna intervención ciudadana. </w:t>
      </w:r>
    </w:p>
    <w:p w:rsidR="00412FF1" w:rsidRPr="00580C2D" w:rsidRDefault="00580C2D" w:rsidP="00B20829">
      <w:pPr>
        <w:pStyle w:val="Sinespaciado"/>
        <w:numPr>
          <w:ilvl w:val="0"/>
          <w:numId w:val="0"/>
        </w:numPr>
        <w:rPr>
          <w:rStyle w:val="Ninguno"/>
          <w:rFonts w:eastAsia="Arial Unicode MS"/>
          <w:b w:val="0"/>
          <w:bCs w:val="0"/>
          <w:color w:val="auto"/>
          <w:szCs w:val="24"/>
          <w:bdr w:val="none" w:sz="0" w:space="0" w:color="auto"/>
          <w:lang w:val="es-ES"/>
        </w:rPr>
      </w:pPr>
    </w:p>
    <w:p w:rsidR="00E262FA" w:rsidRPr="00580C2D" w:rsidRDefault="00580C2D" w:rsidP="002169AC">
      <w:pPr>
        <w:pStyle w:val="Sinespaciado"/>
        <w:numPr>
          <w:ilvl w:val="0"/>
          <w:numId w:val="3"/>
        </w:numPr>
        <w:ind w:left="0" w:firstLine="0"/>
        <w:rPr>
          <w:rStyle w:val="Ninguno"/>
          <w:rFonts w:eastAsia="Arial Unicode MS"/>
          <w:b w:val="0"/>
          <w:bCs w:val="0"/>
          <w:lang w:val="es-ES"/>
        </w:rPr>
      </w:pPr>
      <w:r w:rsidRPr="00580C2D">
        <w:rPr>
          <w:rStyle w:val="Ninguno"/>
          <w:rFonts w:eastAsia="Arial Unicode MS"/>
          <w:b w:val="0"/>
          <w:bCs w:val="0"/>
          <w:lang w:val="es-ES"/>
        </w:rPr>
        <w:t xml:space="preserve">Sin embargo, </w:t>
      </w:r>
      <w:r w:rsidRPr="00580C2D">
        <w:rPr>
          <w:rStyle w:val="Ninguno"/>
          <w:rFonts w:eastAsia="Arial Unicode MS"/>
          <w:b w:val="0"/>
          <w:bCs w:val="0"/>
          <w:lang w:val="es-ES"/>
        </w:rPr>
        <w:t>s</w:t>
      </w:r>
      <w:r w:rsidRPr="00580C2D">
        <w:rPr>
          <w:rStyle w:val="Ninguno"/>
          <w:rFonts w:eastAsia="Arial Unicode MS"/>
          <w:b w:val="0"/>
          <w:bCs w:val="0"/>
          <w:lang w:val="es-ES"/>
        </w:rPr>
        <w:t xml:space="preserve">e recibieron </w:t>
      </w:r>
      <w:r w:rsidRPr="00580C2D">
        <w:rPr>
          <w:rStyle w:val="Ninguno"/>
          <w:rFonts w:eastAsia="Arial Unicode MS"/>
          <w:b w:val="0"/>
          <w:bCs w:val="0"/>
          <w:lang w:val="es-ES"/>
        </w:rPr>
        <w:t>6</w:t>
      </w:r>
      <w:r w:rsidRPr="00580C2D">
        <w:rPr>
          <w:rStyle w:val="Ninguno"/>
          <w:rFonts w:eastAsia="Arial Unicode MS"/>
          <w:b w:val="0"/>
          <w:bCs w:val="0"/>
          <w:lang w:val="es-ES"/>
        </w:rPr>
        <w:t xml:space="preserve"> conceptos</w:t>
      </w:r>
      <w:r w:rsidRPr="00580C2D">
        <w:rPr>
          <w:rStyle w:val="Ninguno"/>
          <w:rFonts w:eastAsia="Arial Unicode MS"/>
          <w:b w:val="0"/>
          <w:bCs w:val="0"/>
          <w:lang w:val="es-ES"/>
        </w:rPr>
        <w:t xml:space="preserve"> de entidades públicas, organizaciones privadas y expertos invitados</w:t>
      </w:r>
      <w:r w:rsidRPr="00580C2D">
        <w:rPr>
          <w:rStyle w:val="Ninguno"/>
          <w:rFonts w:eastAsia="Arial Unicode MS"/>
          <w:b w:val="0"/>
          <w:bCs w:val="0"/>
          <w:lang w:val="es-ES"/>
        </w:rPr>
        <w:t>. El siguiente es el</w:t>
      </w:r>
      <w:r w:rsidRPr="00580C2D">
        <w:rPr>
          <w:rStyle w:val="Ninguno"/>
          <w:rFonts w:eastAsia="Arial Unicode MS"/>
          <w:b w:val="0"/>
          <w:bCs w:val="0"/>
          <w:lang w:val="es-ES"/>
        </w:rPr>
        <w:t xml:space="preserve"> sentido de las intervenciones</w:t>
      </w:r>
      <w:r w:rsidRPr="00580C2D">
        <w:rPr>
          <w:rStyle w:val="Ninguno"/>
          <w:rFonts w:eastAsia="Arial Unicode MS"/>
          <w:b w:val="0"/>
          <w:bCs w:val="0"/>
          <w:lang w:val="es-ES"/>
        </w:rPr>
        <w:t>, así como del concepto de la Procuradora General de la Nación. Posteriormente se expon</w:t>
      </w:r>
      <w:r w:rsidRPr="00580C2D">
        <w:rPr>
          <w:rStyle w:val="Ninguno"/>
          <w:rFonts w:eastAsia="Arial Unicode MS"/>
          <w:b w:val="0"/>
          <w:bCs w:val="0"/>
          <w:lang w:val="es-ES"/>
        </w:rPr>
        <w:t>drá</w:t>
      </w:r>
      <w:r w:rsidRPr="00580C2D">
        <w:rPr>
          <w:rStyle w:val="Ninguno"/>
          <w:rFonts w:eastAsia="Arial Unicode MS"/>
          <w:b w:val="0"/>
          <w:bCs w:val="0"/>
          <w:lang w:val="es-ES"/>
        </w:rPr>
        <w:t xml:space="preserve">n </w:t>
      </w:r>
      <w:r w:rsidRPr="00580C2D">
        <w:rPr>
          <w:rStyle w:val="Ninguno"/>
          <w:rFonts w:eastAsia="Arial Unicode MS"/>
          <w:b w:val="0"/>
          <w:bCs w:val="0"/>
          <w:lang w:val="es-ES"/>
        </w:rPr>
        <w:t>sus</w:t>
      </w:r>
      <w:r w:rsidRPr="00580C2D">
        <w:rPr>
          <w:rStyle w:val="Ninguno"/>
          <w:rFonts w:eastAsia="Arial Unicode MS"/>
          <w:b w:val="0"/>
          <w:bCs w:val="0"/>
          <w:lang w:val="es-ES"/>
        </w:rPr>
        <w:t xml:space="preserve"> principales argumentos.</w:t>
      </w:r>
    </w:p>
    <w:p w:rsidR="00E262FA" w:rsidRPr="00580C2D" w:rsidRDefault="00580C2D" w:rsidP="00552B02">
      <w:pPr>
        <w:pStyle w:val="Sinespaciado"/>
        <w:numPr>
          <w:ilvl w:val="0"/>
          <w:numId w:val="0"/>
        </w:numPr>
        <w:rPr>
          <w:rStyle w:val="Ninguno"/>
          <w:rFonts w:eastAsia="Arial Unicode MS"/>
          <w:lang w:val="es-ES"/>
        </w:rPr>
      </w:pPr>
    </w:p>
    <w:tbl>
      <w:tblPr>
        <w:tblStyle w:val="Tablaconcuadrcula"/>
        <w:tblW w:w="0" w:type="auto"/>
        <w:jc w:val="center"/>
        <w:tblLook w:val="04A0" w:firstRow="1" w:lastRow="0" w:firstColumn="1" w:lastColumn="0" w:noHBand="0" w:noVBand="1"/>
      </w:tblPr>
      <w:tblGrid>
        <w:gridCol w:w="2182"/>
        <w:gridCol w:w="2386"/>
        <w:gridCol w:w="2484"/>
        <w:gridCol w:w="1776"/>
      </w:tblGrid>
      <w:tr w:rsidR="00E262FA" w:rsidRPr="00580C2D" w:rsidTr="007933B0">
        <w:trPr>
          <w:jc w:val="center"/>
        </w:trPr>
        <w:tc>
          <w:tcPr>
            <w:tcW w:w="2182" w:type="dxa"/>
            <w:shd w:val="clear" w:color="auto" w:fill="E7E6E6" w:themeFill="background2"/>
            <w:vAlign w:val="center"/>
          </w:tcPr>
          <w:p w:rsidR="00E262FA" w:rsidRPr="00580C2D" w:rsidRDefault="00580C2D" w:rsidP="007933B0">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Style w:val="Ninguno"/>
                <w:rFonts w:eastAsia="Arial Unicode MS"/>
                <w:lang w:val="es-ES"/>
              </w:rPr>
            </w:pPr>
            <w:r w:rsidRPr="00580C2D">
              <w:rPr>
                <w:rStyle w:val="Ninguno"/>
                <w:rFonts w:eastAsia="Arial Unicode MS"/>
                <w:lang w:val="es-ES"/>
              </w:rPr>
              <w:t>Tipo de participación</w:t>
            </w:r>
          </w:p>
        </w:tc>
        <w:tc>
          <w:tcPr>
            <w:tcW w:w="2386" w:type="dxa"/>
            <w:shd w:val="clear" w:color="auto" w:fill="E7E6E6" w:themeFill="background2"/>
            <w:vAlign w:val="center"/>
          </w:tcPr>
          <w:p w:rsidR="00E262FA" w:rsidRPr="00580C2D" w:rsidRDefault="00580C2D" w:rsidP="007933B0">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Style w:val="Ninguno"/>
                <w:rFonts w:eastAsia="Arial Unicode MS"/>
                <w:lang w:val="es-ES"/>
              </w:rPr>
            </w:pPr>
            <w:r w:rsidRPr="00580C2D">
              <w:rPr>
                <w:rStyle w:val="Ninguno"/>
                <w:rFonts w:eastAsia="Arial Unicode MS"/>
                <w:lang w:val="es-ES"/>
              </w:rPr>
              <w:t>Exequibilidad</w:t>
            </w:r>
          </w:p>
        </w:tc>
        <w:tc>
          <w:tcPr>
            <w:tcW w:w="2484" w:type="dxa"/>
            <w:shd w:val="clear" w:color="auto" w:fill="E7E6E6" w:themeFill="background2"/>
            <w:vAlign w:val="center"/>
          </w:tcPr>
          <w:p w:rsidR="00E262FA" w:rsidRPr="00580C2D" w:rsidRDefault="00580C2D" w:rsidP="007933B0">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Style w:val="Ninguno"/>
                <w:rFonts w:eastAsia="Arial Unicode MS"/>
                <w:lang w:val="es-ES"/>
              </w:rPr>
            </w:pPr>
            <w:r w:rsidRPr="00580C2D">
              <w:rPr>
                <w:rStyle w:val="Ninguno"/>
                <w:rFonts w:eastAsia="Arial Unicode MS"/>
                <w:lang w:val="es-ES"/>
              </w:rPr>
              <w:t>Inexequibilidad</w:t>
            </w:r>
          </w:p>
        </w:tc>
        <w:tc>
          <w:tcPr>
            <w:tcW w:w="1776" w:type="dxa"/>
            <w:shd w:val="clear" w:color="auto" w:fill="E7E6E6" w:themeFill="background2"/>
            <w:vAlign w:val="center"/>
          </w:tcPr>
          <w:p w:rsidR="00E262FA" w:rsidRPr="00580C2D" w:rsidRDefault="00580C2D" w:rsidP="007933B0">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Style w:val="Ninguno"/>
                <w:rFonts w:eastAsia="Arial Unicode MS"/>
                <w:lang w:val="es-ES"/>
              </w:rPr>
            </w:pPr>
            <w:r w:rsidRPr="00580C2D">
              <w:rPr>
                <w:rStyle w:val="Ninguno"/>
                <w:rFonts w:eastAsia="Arial Unicode MS"/>
                <w:lang w:val="es-ES"/>
              </w:rPr>
              <w:t>No formula una pretensión específica</w:t>
            </w:r>
          </w:p>
        </w:tc>
      </w:tr>
      <w:tr w:rsidR="00E262FA" w:rsidRPr="00580C2D" w:rsidTr="0004725C">
        <w:trPr>
          <w:jc w:val="center"/>
        </w:trPr>
        <w:tc>
          <w:tcPr>
            <w:tcW w:w="2182" w:type="dxa"/>
          </w:tcPr>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i/>
                <w:iCs/>
                <w:lang w:val="es-ES"/>
              </w:rPr>
            </w:pPr>
            <w:r w:rsidRPr="00580C2D">
              <w:rPr>
                <w:rStyle w:val="Ninguno"/>
                <w:rFonts w:eastAsia="Arial Unicode MS"/>
                <w:b w:val="0"/>
                <w:bCs w:val="0"/>
                <w:i/>
                <w:iCs/>
                <w:lang w:val="es-ES"/>
              </w:rPr>
              <w:t>Conceptos de entidades públicas, organizaciones privadas y expertos invitados</w:t>
            </w:r>
          </w:p>
        </w:tc>
        <w:tc>
          <w:tcPr>
            <w:tcW w:w="2386" w:type="dxa"/>
          </w:tcPr>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r w:rsidRPr="00580C2D">
              <w:rPr>
                <w:rStyle w:val="Ninguno"/>
                <w:rFonts w:eastAsia="Arial Unicode MS"/>
                <w:b w:val="0"/>
                <w:bCs w:val="0"/>
                <w:lang w:val="es-ES"/>
              </w:rPr>
              <w:t>Ministerio de Hacienda y Crédito Público</w:t>
            </w:r>
          </w:p>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p>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r w:rsidRPr="00580C2D">
              <w:rPr>
                <w:rStyle w:val="Ninguno"/>
                <w:rFonts w:eastAsia="Arial Unicode MS"/>
                <w:b w:val="0"/>
                <w:bCs w:val="0"/>
                <w:lang w:val="es-ES"/>
              </w:rPr>
              <w:t>Fedemunicipios</w:t>
            </w:r>
          </w:p>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p>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r w:rsidRPr="00580C2D">
              <w:rPr>
                <w:rStyle w:val="Ninguno"/>
                <w:rFonts w:eastAsia="Arial Unicode MS"/>
                <w:b w:val="0"/>
                <w:bCs w:val="0"/>
                <w:lang w:val="es-ES"/>
              </w:rPr>
              <w:t>Asocapitales</w:t>
            </w:r>
          </w:p>
        </w:tc>
        <w:tc>
          <w:tcPr>
            <w:tcW w:w="2484" w:type="dxa"/>
          </w:tcPr>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r w:rsidRPr="00580C2D">
              <w:rPr>
                <w:rStyle w:val="Ninguno"/>
                <w:rFonts w:eastAsia="Arial Unicode MS"/>
                <w:b w:val="0"/>
                <w:bCs w:val="0"/>
                <w:lang w:val="es-ES"/>
              </w:rPr>
              <w:t>Instituto Colombiano de Derecho Tributario ICDT</w:t>
            </w:r>
          </w:p>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p>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r w:rsidRPr="00580C2D">
              <w:rPr>
                <w:rStyle w:val="Ninguno"/>
                <w:rFonts w:eastAsia="Arial Unicode MS"/>
                <w:b w:val="0"/>
                <w:bCs w:val="0"/>
                <w:lang w:val="es-ES"/>
              </w:rPr>
              <w:t>Universidad de Antioquia</w:t>
            </w:r>
          </w:p>
        </w:tc>
        <w:tc>
          <w:tcPr>
            <w:tcW w:w="1776" w:type="dxa"/>
            <w:vMerge w:val="restart"/>
          </w:tcPr>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r w:rsidRPr="00580C2D">
              <w:rPr>
                <w:rStyle w:val="Ninguno"/>
                <w:rFonts w:eastAsia="Arial Unicode MS"/>
                <w:b w:val="0"/>
                <w:bCs w:val="0"/>
                <w:lang w:val="es-ES"/>
              </w:rPr>
              <w:t xml:space="preserve">Federación colombiana de ganaderos FEDEGÁN </w:t>
            </w:r>
          </w:p>
        </w:tc>
      </w:tr>
      <w:tr w:rsidR="00E262FA" w:rsidRPr="00580C2D" w:rsidTr="0004725C">
        <w:trPr>
          <w:jc w:val="center"/>
        </w:trPr>
        <w:tc>
          <w:tcPr>
            <w:tcW w:w="2182" w:type="dxa"/>
          </w:tcPr>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i/>
                <w:iCs/>
                <w:lang w:val="es-ES"/>
              </w:rPr>
            </w:pPr>
            <w:r w:rsidRPr="00580C2D">
              <w:rPr>
                <w:rStyle w:val="Ninguno"/>
                <w:rFonts w:eastAsia="Arial Unicode MS"/>
                <w:b w:val="0"/>
                <w:bCs w:val="0"/>
                <w:i/>
                <w:iCs/>
                <w:lang w:val="es-ES"/>
              </w:rPr>
              <w:t>Concepto de la Procuradora General de la Nación</w:t>
            </w:r>
          </w:p>
        </w:tc>
        <w:tc>
          <w:tcPr>
            <w:tcW w:w="2386" w:type="dxa"/>
          </w:tcPr>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r w:rsidRPr="00580C2D">
              <w:rPr>
                <w:rStyle w:val="Ninguno"/>
                <w:rFonts w:eastAsia="Arial Unicode MS"/>
                <w:b w:val="0"/>
                <w:bCs w:val="0"/>
                <w:lang w:val="es-ES"/>
              </w:rPr>
              <w:t>Procuradora General de la Nación</w:t>
            </w:r>
          </w:p>
        </w:tc>
        <w:tc>
          <w:tcPr>
            <w:tcW w:w="2484" w:type="dxa"/>
          </w:tcPr>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p>
        </w:tc>
        <w:tc>
          <w:tcPr>
            <w:tcW w:w="1776" w:type="dxa"/>
            <w:vMerge/>
          </w:tcPr>
          <w:p w:rsidR="00E262FA" w:rsidRPr="00580C2D" w:rsidRDefault="00580C2D" w:rsidP="00552B02">
            <w:pPr>
              <w:pStyle w:val="Sinespaciado"/>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rPr>
                <w:rStyle w:val="Ninguno"/>
                <w:rFonts w:eastAsia="Arial Unicode MS"/>
                <w:b w:val="0"/>
                <w:bCs w:val="0"/>
                <w:lang w:val="es-ES"/>
              </w:rPr>
            </w:pPr>
          </w:p>
        </w:tc>
      </w:tr>
    </w:tbl>
    <w:p w:rsidR="006C40EF" w:rsidRPr="00580C2D" w:rsidRDefault="00580C2D" w:rsidP="000329EE">
      <w:pPr>
        <w:pStyle w:val="Sinespaciado"/>
        <w:numPr>
          <w:ilvl w:val="0"/>
          <w:numId w:val="0"/>
        </w:numPr>
        <w:rPr>
          <w:rStyle w:val="Ninguno"/>
          <w:rFonts w:eastAsia="Arial Unicode MS"/>
          <w:b w:val="0"/>
          <w:bCs w:val="0"/>
          <w:u w:val="single"/>
          <w:lang w:val="es-ES"/>
        </w:rPr>
      </w:pPr>
    </w:p>
    <w:p w:rsidR="00E262FA" w:rsidRPr="00580C2D" w:rsidRDefault="00580C2D" w:rsidP="00D71F8C">
      <w:pPr>
        <w:pStyle w:val="Sinespaciado"/>
        <w:numPr>
          <w:ilvl w:val="0"/>
          <w:numId w:val="0"/>
        </w:numPr>
        <w:rPr>
          <w:rStyle w:val="Ninguno"/>
          <w:rFonts w:eastAsia="Arial Unicode MS"/>
          <w:b w:val="0"/>
          <w:bCs w:val="0"/>
          <w:i/>
          <w:iCs/>
          <w:u w:val="single"/>
          <w:lang w:val="es-ES"/>
        </w:rPr>
      </w:pPr>
      <w:r w:rsidRPr="00580C2D">
        <w:rPr>
          <w:rStyle w:val="Ninguno"/>
          <w:rFonts w:eastAsia="Arial Unicode MS"/>
          <w:i/>
          <w:iCs/>
          <w:lang w:val="es-ES"/>
        </w:rPr>
        <w:t>Intervenciones</w:t>
      </w:r>
      <w:r w:rsidRPr="00580C2D">
        <w:rPr>
          <w:rStyle w:val="Ninguno"/>
          <w:rFonts w:eastAsia="Arial Unicode MS"/>
          <w:i/>
          <w:iCs/>
          <w:lang w:val="es-ES"/>
        </w:rPr>
        <w:t xml:space="preserve"> de las entidades públicas, organizaciones privadas y expertos invitados</w:t>
      </w:r>
      <w:r w:rsidRPr="00580C2D">
        <w:rPr>
          <w:rStyle w:val="Refdenotaalpie"/>
          <w:b w:val="0"/>
          <w:bCs w:val="0"/>
          <w:lang w:val="es-ES"/>
        </w:rPr>
        <w:footnoteReference w:id="7"/>
      </w:r>
      <w:r w:rsidRPr="00580C2D">
        <w:rPr>
          <w:rStyle w:val="Ninguno"/>
          <w:rFonts w:eastAsia="Arial Unicode MS"/>
          <w:i/>
          <w:iCs/>
          <w:lang w:val="es-ES"/>
        </w:rPr>
        <w:t xml:space="preserve"> </w:t>
      </w:r>
    </w:p>
    <w:p w:rsidR="00E262FA" w:rsidRPr="00580C2D" w:rsidRDefault="00580C2D" w:rsidP="00552B02">
      <w:pPr>
        <w:pStyle w:val="Sinespaciado"/>
        <w:numPr>
          <w:ilvl w:val="0"/>
          <w:numId w:val="0"/>
        </w:numPr>
        <w:rPr>
          <w:rStyle w:val="Ninguno"/>
          <w:rFonts w:eastAsia="Arial Unicode MS"/>
          <w:b w:val="0"/>
          <w:bCs w:val="0"/>
          <w:u w:val="single"/>
          <w:lang w:val="es-ES"/>
        </w:rPr>
      </w:pPr>
    </w:p>
    <w:p w:rsidR="00E262FA" w:rsidRPr="00580C2D" w:rsidRDefault="00580C2D" w:rsidP="002169AC">
      <w:pPr>
        <w:pStyle w:val="Sinespaciado"/>
        <w:numPr>
          <w:ilvl w:val="0"/>
          <w:numId w:val="3"/>
        </w:numPr>
        <w:ind w:left="0" w:firstLine="0"/>
        <w:rPr>
          <w:rStyle w:val="Ninguno"/>
          <w:rFonts w:eastAsia="Arial Unicode MS"/>
          <w:b w:val="0"/>
          <w:bCs w:val="0"/>
          <w:lang w:val="es-ES"/>
        </w:rPr>
      </w:pPr>
      <w:r w:rsidRPr="00580C2D">
        <w:rPr>
          <w:rStyle w:val="Ninguno"/>
          <w:rFonts w:eastAsia="Arial Unicode MS"/>
          <w:i/>
          <w:iCs/>
          <w:lang w:val="es-ES"/>
        </w:rPr>
        <w:t xml:space="preserve">La Federación Colombiana de Municipios </w:t>
      </w:r>
      <w:r w:rsidRPr="00580C2D">
        <w:rPr>
          <w:rStyle w:val="Ninguno"/>
          <w:rFonts w:eastAsia="Arial Unicode MS"/>
          <w:i/>
          <w:iCs/>
          <w:lang w:val="es-ES"/>
        </w:rPr>
        <w:t>(</w:t>
      </w:r>
      <w:r w:rsidRPr="00580C2D">
        <w:rPr>
          <w:rStyle w:val="Ninguno"/>
          <w:rFonts w:eastAsia="Arial Unicode MS"/>
          <w:i/>
          <w:iCs/>
          <w:lang w:val="es-ES"/>
        </w:rPr>
        <w:t>FEDEMUNICIPIOS</w:t>
      </w:r>
      <w:r w:rsidRPr="00580C2D">
        <w:rPr>
          <w:rStyle w:val="Ninguno"/>
          <w:rFonts w:eastAsia="Arial Unicode MS"/>
          <w:i/>
          <w:iCs/>
          <w:lang w:val="es-ES"/>
        </w:rPr>
        <w:t>)</w:t>
      </w:r>
      <w:r w:rsidRPr="00580C2D">
        <w:rPr>
          <w:rStyle w:val="Refdenotaalpie"/>
          <w:b w:val="0"/>
          <w:bCs w:val="0"/>
          <w:lang w:val="es-ES"/>
        </w:rPr>
        <w:footnoteReference w:id="8"/>
      </w:r>
      <w:r w:rsidRPr="00580C2D">
        <w:rPr>
          <w:rStyle w:val="Ninguno"/>
          <w:rFonts w:eastAsia="Arial Unicode MS"/>
          <w:b w:val="0"/>
          <w:bCs w:val="0"/>
          <w:lang w:val="es-ES"/>
        </w:rPr>
        <w:t xml:space="preserve">, sostuvo que el gravamen objeto de análisis se encuentra acorde con los principios de legalidad tributaria, reserva de ley </w:t>
      </w:r>
      <w:r w:rsidRPr="00580C2D">
        <w:rPr>
          <w:rStyle w:val="Ninguno"/>
          <w:rFonts w:eastAsia="Arial Unicode MS"/>
          <w:b w:val="0"/>
          <w:bCs w:val="0"/>
          <w:lang w:val="es-ES"/>
        </w:rPr>
        <w:t>y certeza tributaria, puesto que se trata de un impuesto que cuenta con antecedentes normativos en la Ley 20 de 1908 (art. 17)</w:t>
      </w:r>
      <w:r w:rsidRPr="00580C2D">
        <w:rPr>
          <w:rStyle w:val="Refdenotaalpie"/>
          <w:b w:val="0"/>
          <w:bCs w:val="0"/>
          <w:lang w:val="es-ES"/>
        </w:rPr>
        <w:footnoteReference w:id="9"/>
      </w:r>
      <w:r w:rsidRPr="00580C2D">
        <w:rPr>
          <w:rStyle w:val="Ninguno"/>
          <w:rFonts w:eastAsia="Arial Unicode MS"/>
          <w:b w:val="0"/>
          <w:bCs w:val="0"/>
          <w:lang w:val="es-ES"/>
        </w:rPr>
        <w:t>, la Ley 31 de 1945 (art. 3)</w:t>
      </w:r>
      <w:r w:rsidRPr="00580C2D">
        <w:rPr>
          <w:rStyle w:val="Refdenotaalpie"/>
          <w:b w:val="0"/>
          <w:bCs w:val="0"/>
          <w:lang w:val="es-ES"/>
        </w:rPr>
        <w:footnoteReference w:id="10"/>
      </w:r>
      <w:r w:rsidRPr="00580C2D">
        <w:rPr>
          <w:rStyle w:val="Ninguno"/>
          <w:rFonts w:eastAsia="Arial Unicode MS"/>
          <w:b w:val="0"/>
          <w:bCs w:val="0"/>
          <w:lang w:val="es-ES"/>
        </w:rPr>
        <w:t xml:space="preserve"> y la Ley 20 de 1946 (art. 2).</w:t>
      </w:r>
      <w:r w:rsidRPr="00580C2D">
        <w:rPr>
          <w:rStyle w:val="Refdenotaalpie"/>
          <w:b w:val="0"/>
          <w:bCs w:val="0"/>
          <w:lang w:val="es-ES"/>
        </w:rPr>
        <w:footnoteReference w:id="11"/>
      </w:r>
    </w:p>
    <w:p w:rsidR="00E262FA" w:rsidRPr="00580C2D" w:rsidRDefault="00580C2D" w:rsidP="00552B02">
      <w:pPr>
        <w:pStyle w:val="Sinespaciado"/>
        <w:numPr>
          <w:ilvl w:val="0"/>
          <w:numId w:val="0"/>
        </w:numPr>
        <w:rPr>
          <w:b w:val="0"/>
          <w:bCs w:val="0"/>
          <w:lang w:val="es-ES"/>
        </w:rPr>
      </w:pPr>
    </w:p>
    <w:p w:rsidR="00E262FA" w:rsidRPr="00580C2D" w:rsidRDefault="00580C2D" w:rsidP="002169AC">
      <w:pPr>
        <w:pStyle w:val="Prrafodelista"/>
        <w:numPr>
          <w:ilvl w:val="0"/>
          <w:numId w:val="3"/>
        </w:numPr>
        <w:ind w:left="0" w:firstLine="1"/>
        <w:jc w:val="both"/>
        <w:rPr>
          <w:rFonts w:cs="Times New Roman"/>
          <w:lang w:val="es-ES"/>
        </w:rPr>
      </w:pPr>
      <w:r w:rsidRPr="00580C2D">
        <w:rPr>
          <w:rFonts w:cs="Times New Roman"/>
          <w:lang w:val="es-ES"/>
        </w:rPr>
        <w:t>Adujo que en desarrollo de los principios de legalidad tributaria y</w:t>
      </w:r>
      <w:r w:rsidRPr="00580C2D">
        <w:rPr>
          <w:rFonts w:cs="Times New Roman"/>
          <w:lang w:val="es-ES"/>
        </w:rPr>
        <w:t xml:space="preserve"> reserva de ley que resultan del articulado antes expuesto, la creación de impuestos es propia del legislativo. Destacó que este impuesto entró en nuestro ordenamiento jurídico desde una ley de 1908 y, por lo tanto, cumplió con el requisito de representaci</w:t>
      </w:r>
      <w:r w:rsidRPr="00580C2D">
        <w:rPr>
          <w:rFonts w:cs="Times New Roman"/>
          <w:lang w:val="es-ES"/>
        </w:rPr>
        <w:t>ón. Por lo tanto, argumentó que es justamente en cumplimiento del artículo 313 de la Constitución, que los Concejos Municipales han adoptado dicho tributo mediante Acuerdos Municipales. También advirtió que el impuesto de degüello de ganado menor es un rec</w:t>
      </w:r>
      <w:r w:rsidRPr="00580C2D">
        <w:rPr>
          <w:rFonts w:cs="Times New Roman"/>
          <w:lang w:val="es-ES"/>
        </w:rPr>
        <w:t>urso del que han participado las autoridades territoriales desde hace más de medio siglo para cubrir las demandas propias de sus territorios.</w:t>
      </w:r>
    </w:p>
    <w:p w:rsidR="00E262FA" w:rsidRPr="00580C2D" w:rsidRDefault="00580C2D" w:rsidP="00552B02">
      <w:pPr>
        <w:pStyle w:val="Prrafodelista"/>
        <w:jc w:val="both"/>
        <w:rPr>
          <w:rFonts w:cs="Times New Roman"/>
          <w:lang w:val="es-ES"/>
        </w:rPr>
      </w:pPr>
    </w:p>
    <w:p w:rsidR="00E262FA" w:rsidRPr="00580C2D" w:rsidRDefault="00580C2D" w:rsidP="002169AC">
      <w:pPr>
        <w:pStyle w:val="Prrafodelista"/>
        <w:numPr>
          <w:ilvl w:val="0"/>
          <w:numId w:val="3"/>
        </w:numPr>
        <w:ind w:left="0" w:firstLine="1"/>
        <w:jc w:val="both"/>
        <w:rPr>
          <w:rFonts w:cs="Times New Roman"/>
          <w:lang w:val="es-ES"/>
        </w:rPr>
      </w:pPr>
      <w:r w:rsidRPr="00580C2D">
        <w:rPr>
          <w:rFonts w:cs="Times New Roman"/>
          <w:lang w:val="es-ES"/>
        </w:rPr>
        <w:t>En cuanto al principio de certeza tributaria acudió a la Sentencia C-594 de 2010 para argumentar que la procedenc</w:t>
      </w:r>
      <w:r w:rsidRPr="00580C2D">
        <w:rPr>
          <w:rFonts w:cs="Times New Roman"/>
          <w:lang w:val="es-ES"/>
        </w:rPr>
        <w:t>ia de una declaratoria de inexequibilidad solo es posible cuando la falta de claridad sea insuperable, o sea, cuando no sea posible establecer el sentido y alcance de las disposiciones. Así mismo advirtió que en tal ocasión, la Corte hizo la salvedad de qu</w:t>
      </w:r>
      <w:r w:rsidRPr="00580C2D">
        <w:rPr>
          <w:rFonts w:cs="Times New Roman"/>
          <w:lang w:val="es-ES"/>
        </w:rPr>
        <w:t>e solo se considera que una norma tributaria vulnera la Constitución, cuando los problemas interpretativos resulten irresolubles por oscuridad invencible. Sin embargo, sostuvo que ese no sería el caso de las disposiciones aquí demandadas, puesto que “los a</w:t>
      </w:r>
      <w:r w:rsidRPr="00580C2D">
        <w:rPr>
          <w:rFonts w:cs="Times New Roman"/>
          <w:lang w:val="es-ES"/>
        </w:rPr>
        <w:t>ntecedentes de dicho impuesto, la doctrina jurisprudencial, e incluso carteras de orden nacional como la Dirección de Apoyo Fiscal del Ministerio de Hacienda y los innumerables Acuerdos Municipales aclaran cualquier interpretación frente a este impuesto.”</w:t>
      </w:r>
    </w:p>
    <w:p w:rsidR="00E262FA" w:rsidRPr="00580C2D" w:rsidRDefault="00580C2D" w:rsidP="00552B02">
      <w:pPr>
        <w:pStyle w:val="Prrafodelista"/>
        <w:jc w:val="both"/>
        <w:rPr>
          <w:rFonts w:cs="Times New Roman"/>
          <w:lang w:val="es-ES"/>
        </w:rPr>
      </w:pPr>
    </w:p>
    <w:p w:rsidR="00E262FA" w:rsidRPr="00580C2D" w:rsidRDefault="00580C2D" w:rsidP="002169AC">
      <w:pPr>
        <w:pStyle w:val="Prrafodelista"/>
        <w:numPr>
          <w:ilvl w:val="0"/>
          <w:numId w:val="3"/>
        </w:numPr>
        <w:ind w:left="0" w:firstLine="1"/>
        <w:jc w:val="both"/>
        <w:rPr>
          <w:rFonts w:cs="Times New Roman"/>
          <w:lang w:val="es-ES"/>
        </w:rPr>
      </w:pPr>
      <w:r w:rsidRPr="00580C2D">
        <w:rPr>
          <w:rFonts w:cs="Times New Roman"/>
          <w:lang w:val="es-ES"/>
        </w:rPr>
        <w:t>Finalmente, se refirió a la Sentencia C-080 de 1996 y transcribió algunos de sus apartados, para reiterar que este tributo no fue creado arbitrariamente por las entidades territoriales, sino que cuenta con antecedentes legislativos incluso previos a la Co</w:t>
      </w:r>
      <w:r w:rsidRPr="00580C2D">
        <w:rPr>
          <w:rFonts w:cs="Times New Roman"/>
          <w:lang w:val="es-ES"/>
        </w:rPr>
        <w:t xml:space="preserve">nstitución de 1991. Destacó que </w:t>
      </w:r>
      <w:r w:rsidRPr="00580C2D">
        <w:rPr>
          <w:rFonts w:cs="Times New Roman"/>
          <w:lang w:val="es-ES"/>
        </w:rPr>
        <w:t>el pago de este impuesto</w:t>
      </w:r>
      <w:r w:rsidRPr="00580C2D">
        <w:rPr>
          <w:rFonts w:cs="Times New Roman"/>
          <w:lang w:val="es-ES"/>
        </w:rPr>
        <w:t xml:space="preserve"> le ha permitido a los municipios cumplir con sus obligaciones y que su ausencia acarrearía un déficit fiscal negativo </w:t>
      </w:r>
      <w:r w:rsidRPr="00580C2D">
        <w:rPr>
          <w:rFonts w:cs="Times New Roman"/>
          <w:lang w:val="es-ES"/>
        </w:rPr>
        <w:t>para estas entidades territoriales</w:t>
      </w:r>
      <w:r w:rsidRPr="00580C2D">
        <w:rPr>
          <w:rFonts w:cs="Times New Roman"/>
          <w:lang w:val="es-ES"/>
        </w:rPr>
        <w:t xml:space="preserve"> en un país de vocación agrícola y ganadera.</w:t>
      </w:r>
    </w:p>
    <w:p w:rsidR="00E262FA" w:rsidRPr="00580C2D" w:rsidRDefault="00580C2D" w:rsidP="00552B02">
      <w:pPr>
        <w:pStyle w:val="Prrafodelista"/>
        <w:jc w:val="both"/>
        <w:rPr>
          <w:rStyle w:val="Ninguno"/>
          <w:rFonts w:cs="Times New Roman"/>
          <w:lang w:val="es-ES"/>
        </w:rPr>
      </w:pPr>
    </w:p>
    <w:p w:rsidR="00E262FA" w:rsidRPr="00580C2D" w:rsidRDefault="00580C2D" w:rsidP="002169AC">
      <w:pPr>
        <w:pStyle w:val="Prrafodelista"/>
        <w:numPr>
          <w:ilvl w:val="0"/>
          <w:numId w:val="3"/>
        </w:numPr>
        <w:ind w:left="0" w:firstLine="1"/>
        <w:jc w:val="both"/>
        <w:rPr>
          <w:rStyle w:val="Ninguno"/>
          <w:rFonts w:cs="Times New Roman"/>
          <w:lang w:val="es-ES"/>
        </w:rPr>
      </w:pPr>
      <w:r w:rsidRPr="00580C2D">
        <w:rPr>
          <w:rStyle w:val="Ninguno"/>
          <w:rFonts w:cs="Times New Roman"/>
          <w:b/>
          <w:bCs/>
          <w:i/>
          <w:iCs/>
          <w:lang w:val="es-ES"/>
        </w:rPr>
        <w:t>L</w:t>
      </w:r>
      <w:r w:rsidRPr="00580C2D">
        <w:rPr>
          <w:rStyle w:val="Ninguno"/>
          <w:rFonts w:cs="Times New Roman"/>
          <w:b/>
          <w:bCs/>
          <w:i/>
          <w:iCs/>
          <w:lang w:val="es-ES"/>
        </w:rPr>
        <w:t xml:space="preserve">a Asociación Colombiana de Ciudades Capitales </w:t>
      </w:r>
      <w:r w:rsidRPr="00580C2D">
        <w:rPr>
          <w:rStyle w:val="Ninguno"/>
          <w:rFonts w:cs="Times New Roman"/>
          <w:i/>
          <w:iCs/>
          <w:lang w:val="es-ES"/>
        </w:rPr>
        <w:t>(</w:t>
      </w:r>
      <w:r w:rsidRPr="00580C2D">
        <w:rPr>
          <w:rStyle w:val="Ninguno"/>
          <w:rFonts w:cs="Times New Roman"/>
          <w:b/>
          <w:bCs/>
          <w:i/>
          <w:iCs/>
          <w:lang w:val="es-ES"/>
        </w:rPr>
        <w:t>ASOCAPITALES</w:t>
      </w:r>
      <w:r w:rsidRPr="00580C2D">
        <w:rPr>
          <w:rStyle w:val="Ninguno"/>
          <w:rFonts w:cs="Times New Roman"/>
          <w:lang w:val="es-ES"/>
        </w:rPr>
        <w:t>)</w:t>
      </w:r>
      <w:r w:rsidRPr="00580C2D">
        <w:rPr>
          <w:rStyle w:val="Refdenotaalpie"/>
          <w:rFonts w:cs="Times New Roman"/>
          <w:lang w:val="es-ES"/>
        </w:rPr>
        <w:footnoteReference w:id="12"/>
      </w:r>
      <w:r w:rsidRPr="00580C2D">
        <w:rPr>
          <w:rStyle w:val="Ninguno"/>
          <w:rFonts w:cs="Times New Roman"/>
          <w:lang w:val="es-ES"/>
        </w:rPr>
        <w:t xml:space="preserve"> realizó un recuento normativo del impuesto de degüello,</w:t>
      </w:r>
      <w:r w:rsidRPr="00580C2D">
        <w:rPr>
          <w:rStyle w:val="Ninguno"/>
          <w:rFonts w:cs="Times New Roman"/>
          <w:lang w:val="es-ES"/>
        </w:rPr>
        <w:t xml:space="preserve"> en el que identificó</w:t>
      </w:r>
      <w:r w:rsidRPr="00580C2D">
        <w:rPr>
          <w:rStyle w:val="Ninguno"/>
          <w:rFonts w:cs="Times New Roman"/>
          <w:lang w:val="es-ES"/>
        </w:rPr>
        <w:t xml:space="preserve"> </w:t>
      </w:r>
      <w:r w:rsidRPr="00580C2D">
        <w:rPr>
          <w:rStyle w:val="Ninguno"/>
          <w:rFonts w:cs="Times New Roman"/>
          <w:lang w:val="es-ES"/>
        </w:rPr>
        <w:t>el</w:t>
      </w:r>
      <w:r w:rsidRPr="00580C2D">
        <w:rPr>
          <w:rStyle w:val="Ninguno"/>
          <w:rFonts w:cs="Times New Roman"/>
          <w:lang w:val="es-ES"/>
        </w:rPr>
        <w:t xml:space="preserve"> origen</w:t>
      </w:r>
      <w:r w:rsidRPr="00580C2D">
        <w:rPr>
          <w:rStyle w:val="Ninguno"/>
          <w:rFonts w:cs="Times New Roman"/>
          <w:lang w:val="es-ES"/>
        </w:rPr>
        <w:t xml:space="preserve"> de este tributo</w:t>
      </w:r>
      <w:r w:rsidRPr="00580C2D">
        <w:rPr>
          <w:rStyle w:val="Ninguno"/>
          <w:rFonts w:cs="Times New Roman"/>
          <w:lang w:val="es-ES"/>
        </w:rPr>
        <w:t xml:space="preserve"> en la Ley 20 de 1908, norma posteriormente derogada por la Ley 4 de 1914 (sic) y luego codi</w:t>
      </w:r>
      <w:r w:rsidRPr="00580C2D">
        <w:rPr>
          <w:rStyle w:val="Ninguno"/>
          <w:rFonts w:cs="Times New Roman"/>
          <w:lang w:val="es-ES"/>
        </w:rPr>
        <w:t>ficada en los artículos 161 y 162 del Decreto Extraordinario 1222 de 1986, “Por el cual se expide el Código de Régimen Departamental”. Recalcó que la Sentencia C-080 de 1996 realizó un análisis detallado sobre la vigencia de las normas asociadas al impuest</w:t>
      </w:r>
      <w:r w:rsidRPr="00580C2D">
        <w:rPr>
          <w:rStyle w:val="Ninguno"/>
          <w:rFonts w:cs="Times New Roman"/>
          <w:lang w:val="es-ES"/>
        </w:rPr>
        <w:t>o de degüello en el que concluyó que los artículos 161 y 162 del Decreto 1222 de 1986 “Por el cual se expide el Código de Régimen Departamental” constituyen la base legal actual del impuesto de degüello de ganado menor para los municipios.</w:t>
      </w:r>
    </w:p>
    <w:p w:rsidR="00E262FA" w:rsidRPr="00580C2D" w:rsidRDefault="00580C2D" w:rsidP="00552B02">
      <w:pPr>
        <w:pStyle w:val="Prrafodelista"/>
        <w:jc w:val="both"/>
        <w:rPr>
          <w:rStyle w:val="Ninguno"/>
          <w:rFonts w:cs="Times New Roman"/>
          <w:lang w:val="es-ES"/>
        </w:rPr>
      </w:pPr>
    </w:p>
    <w:p w:rsidR="00E262FA" w:rsidRPr="00580C2D" w:rsidRDefault="00580C2D" w:rsidP="002169AC">
      <w:pPr>
        <w:pStyle w:val="Prrafodelista"/>
        <w:numPr>
          <w:ilvl w:val="0"/>
          <w:numId w:val="3"/>
        </w:numPr>
        <w:ind w:left="0" w:firstLine="1"/>
        <w:jc w:val="both"/>
        <w:rPr>
          <w:rStyle w:val="Ninguno"/>
          <w:rFonts w:cs="Times New Roman"/>
          <w:lang w:val="es-ES"/>
        </w:rPr>
      </w:pPr>
      <w:r w:rsidRPr="00580C2D">
        <w:rPr>
          <w:rStyle w:val="Ninguno"/>
          <w:rFonts w:cs="Times New Roman"/>
          <w:lang w:val="es-ES"/>
        </w:rPr>
        <w:t>Sostuvo que act</w:t>
      </w:r>
      <w:r w:rsidRPr="00580C2D">
        <w:rPr>
          <w:rStyle w:val="Ninguno"/>
          <w:rFonts w:cs="Times New Roman"/>
          <w:lang w:val="es-ES"/>
        </w:rPr>
        <w:t>ualmente el impuesto de degüello de ganado menor se encuentra compilado en el Decreto Ley 1333 de 1986, “Por el cual se expide el Código de Régimen Municipal” y que por lo tanto, no es cierto que los artículos demandados vulneren el artículo 150 de la Cons</w:t>
      </w:r>
      <w:r w:rsidRPr="00580C2D">
        <w:rPr>
          <w:rStyle w:val="Ninguno"/>
          <w:rFonts w:cs="Times New Roman"/>
          <w:lang w:val="es-ES"/>
        </w:rPr>
        <w:t>titución Política, “como quiera que el presidente no creó el tributo de manera autónoma para las entidades territoriales, sino que compiló las disposiciones dispersas sobre el impuesto de degüello de ganado menor siguiendo los lineamientos de la jurisprude</w:t>
      </w:r>
      <w:r w:rsidRPr="00580C2D">
        <w:rPr>
          <w:rStyle w:val="Ninguno"/>
          <w:rFonts w:cs="Times New Roman"/>
          <w:lang w:val="es-ES"/>
        </w:rPr>
        <w:t>ncia de la Corte Constitucional.”</w:t>
      </w:r>
    </w:p>
    <w:p w:rsidR="00E262FA" w:rsidRPr="00580C2D" w:rsidRDefault="00580C2D" w:rsidP="00552B02">
      <w:pPr>
        <w:pStyle w:val="Prrafodelista"/>
        <w:jc w:val="both"/>
        <w:rPr>
          <w:rStyle w:val="Ninguno"/>
          <w:rFonts w:cs="Times New Roman"/>
          <w:lang w:val="es-ES"/>
        </w:rPr>
      </w:pPr>
    </w:p>
    <w:p w:rsidR="00E262FA" w:rsidRPr="00580C2D" w:rsidRDefault="00580C2D" w:rsidP="002169AC">
      <w:pPr>
        <w:pStyle w:val="Prrafodelista"/>
        <w:numPr>
          <w:ilvl w:val="0"/>
          <w:numId w:val="3"/>
        </w:numPr>
        <w:ind w:left="0" w:firstLine="1"/>
        <w:jc w:val="both"/>
        <w:rPr>
          <w:rStyle w:val="Ninguno"/>
          <w:rFonts w:cs="Times New Roman"/>
          <w:lang w:val="es-ES"/>
        </w:rPr>
      </w:pPr>
      <w:r w:rsidRPr="00580C2D">
        <w:rPr>
          <w:rStyle w:val="Ninguno"/>
          <w:rFonts w:cs="Times New Roman"/>
          <w:lang w:val="es-ES"/>
        </w:rPr>
        <w:t>En cuanto al segundo cargo, argumentó que el principio de certeza no es absoluto, sino que se reviste de cierto grado de flexibilidad y permite que existan niveles de indeterminación. Solamente cuando esta sea enteramente</w:t>
      </w:r>
      <w:r w:rsidRPr="00580C2D">
        <w:rPr>
          <w:rStyle w:val="Ninguno"/>
          <w:rFonts w:cs="Times New Roman"/>
          <w:lang w:val="es-ES"/>
        </w:rPr>
        <w:t xml:space="preserve"> insuperable se podría considerar como vulnerado el artículo 338 superior. En consecuencia, propuso un ejercicio hermenéutico de los artículos acusados, a la luz de lo dispuesto en la Sentencia C-080 de 1996, “que al momento de estudiar el impuesto de degü</w:t>
      </w:r>
      <w:r w:rsidRPr="00580C2D">
        <w:rPr>
          <w:rStyle w:val="Ninguno"/>
          <w:rFonts w:cs="Times New Roman"/>
          <w:lang w:val="es-ES"/>
        </w:rPr>
        <w:t>ello de ganado a nivel departamental, aclaró que los elementos de la obligación tributaria son los mismos a nivel municipal”. Derivó de lo anterior, que los elementos estructurales del impuesto de degüello de ganado menor se encuentran plenamente identific</w:t>
      </w:r>
      <w:r w:rsidRPr="00580C2D">
        <w:rPr>
          <w:rStyle w:val="Ninguno"/>
          <w:rFonts w:cs="Times New Roman"/>
          <w:lang w:val="es-ES"/>
        </w:rPr>
        <w:t>ados en los artículos 172 y 226 del Decreto Ley 1333 de 1986 y que fueron iterados en la mencionada sentencia constitucional, así: sujeto activo: el municipio donde se efectúa el sacrificio del ganado menor; sujeto pasivo, la persona dedicada al sacrificio</w:t>
      </w:r>
      <w:r w:rsidRPr="00580C2D">
        <w:rPr>
          <w:rStyle w:val="Ninguno"/>
          <w:rFonts w:cs="Times New Roman"/>
          <w:lang w:val="es-ES"/>
        </w:rPr>
        <w:t>; hecho generador: el sacrificio de ganado menor; causación: el momento del sacrificio; la base gravable, tarifa y periodo gravable, son elementos que quedan a discreción del concejo municipal, permitiendo una adaptación a las condiciones y necesidades esp</w:t>
      </w:r>
      <w:r w:rsidRPr="00580C2D">
        <w:rPr>
          <w:rStyle w:val="Ninguno"/>
          <w:rFonts w:cs="Times New Roman"/>
          <w:lang w:val="es-ES"/>
        </w:rPr>
        <w:t>ecíficas de la comunidad local.</w:t>
      </w:r>
    </w:p>
    <w:p w:rsidR="00E262FA" w:rsidRPr="00580C2D" w:rsidRDefault="00580C2D" w:rsidP="00552B02">
      <w:pPr>
        <w:pStyle w:val="Prrafodelista"/>
        <w:ind w:left="1"/>
        <w:jc w:val="both"/>
        <w:rPr>
          <w:rStyle w:val="Ninguno"/>
          <w:rFonts w:cs="Times New Roman"/>
          <w:lang w:val="es-ES"/>
        </w:rPr>
      </w:pPr>
    </w:p>
    <w:p w:rsidR="00E262FA" w:rsidRPr="00580C2D" w:rsidRDefault="00580C2D" w:rsidP="002169AC">
      <w:pPr>
        <w:pStyle w:val="Prrafodelista"/>
        <w:numPr>
          <w:ilvl w:val="0"/>
          <w:numId w:val="3"/>
        </w:numPr>
        <w:ind w:left="0" w:firstLine="1"/>
        <w:jc w:val="both"/>
        <w:rPr>
          <w:rStyle w:val="Ninguno"/>
          <w:rFonts w:cs="Times New Roman"/>
          <w:lang w:val="es-ES"/>
        </w:rPr>
      </w:pPr>
      <w:r w:rsidRPr="00580C2D">
        <w:rPr>
          <w:rStyle w:val="Ninguno"/>
          <w:rFonts w:cs="Times New Roman"/>
          <w:lang w:val="es-ES"/>
        </w:rPr>
        <w:t>Finalmente, destacó la importancia de comprender el contexto en el cual se concibe este impuesto que tiene como finalidad gravar la actividad del sacrificio y no el consumo de la carne, lo que contribuye al equilibrio y des</w:t>
      </w:r>
      <w:r w:rsidRPr="00580C2D">
        <w:rPr>
          <w:rStyle w:val="Ninguno"/>
          <w:rFonts w:cs="Times New Roman"/>
          <w:lang w:val="es-ES"/>
        </w:rPr>
        <w:t>arrollo fiscal autónomo de los municipios colombianos.</w:t>
      </w:r>
    </w:p>
    <w:p w:rsidR="00E262FA" w:rsidRPr="00580C2D" w:rsidRDefault="00580C2D" w:rsidP="00552B02">
      <w:pPr>
        <w:pStyle w:val="Sinespaciado"/>
        <w:numPr>
          <w:ilvl w:val="0"/>
          <w:numId w:val="0"/>
        </w:numPr>
        <w:rPr>
          <w:rStyle w:val="Ninguno"/>
          <w:rFonts w:eastAsia="Arial Unicode MS"/>
          <w:b w:val="0"/>
          <w:bCs w:val="0"/>
          <w:lang w:val="es-ES"/>
        </w:rPr>
      </w:pPr>
    </w:p>
    <w:p w:rsidR="00E262FA" w:rsidRPr="00580C2D" w:rsidRDefault="00580C2D" w:rsidP="002169AC">
      <w:pPr>
        <w:pStyle w:val="Sinespaciado"/>
        <w:numPr>
          <w:ilvl w:val="0"/>
          <w:numId w:val="3"/>
        </w:numPr>
        <w:ind w:left="0" w:firstLine="0"/>
        <w:rPr>
          <w:rStyle w:val="Ninguno"/>
          <w:rFonts w:eastAsia="Arial Unicode MS"/>
          <w:lang w:val="es-ES"/>
        </w:rPr>
      </w:pPr>
      <w:r w:rsidRPr="00580C2D">
        <w:rPr>
          <w:rStyle w:val="Ninguno"/>
          <w:rFonts w:eastAsia="Arial Unicode MS"/>
          <w:i/>
          <w:iCs/>
          <w:lang w:val="es-ES"/>
        </w:rPr>
        <w:t>El Ministerio de Hacienda y Crédito Público</w:t>
      </w:r>
      <w:r w:rsidRPr="00580C2D">
        <w:rPr>
          <w:rStyle w:val="Refdenotaalpie"/>
          <w:b w:val="0"/>
          <w:bCs w:val="0"/>
          <w:lang w:val="es-ES"/>
        </w:rPr>
        <w:footnoteReference w:id="13"/>
      </w:r>
      <w:r w:rsidRPr="00580C2D">
        <w:rPr>
          <w:rStyle w:val="Ninguno"/>
          <w:rFonts w:eastAsia="Arial Unicode MS"/>
          <w:lang w:val="es-ES"/>
        </w:rPr>
        <w:t xml:space="preserve"> </w:t>
      </w:r>
      <w:r w:rsidRPr="00580C2D">
        <w:rPr>
          <w:rStyle w:val="Ninguno"/>
          <w:rFonts w:eastAsia="Arial Unicode MS"/>
          <w:b w:val="0"/>
          <w:bCs w:val="0"/>
          <w:lang w:val="es-ES"/>
        </w:rPr>
        <w:t xml:space="preserve">argumentó que las normas acusadas no exceden las facultades extraordinarias otorgadas al </w:t>
      </w:r>
      <w:r w:rsidRPr="00580C2D">
        <w:rPr>
          <w:rStyle w:val="Ninguno"/>
          <w:rFonts w:eastAsia="Arial Unicode MS"/>
          <w:b w:val="0"/>
          <w:bCs w:val="0"/>
          <w:lang w:val="es-ES"/>
        </w:rPr>
        <w:t>p</w:t>
      </w:r>
      <w:r w:rsidRPr="00580C2D">
        <w:rPr>
          <w:rStyle w:val="Ninguno"/>
          <w:rFonts w:eastAsia="Arial Unicode MS"/>
          <w:b w:val="0"/>
          <w:bCs w:val="0"/>
          <w:lang w:val="es-ES"/>
        </w:rPr>
        <w:t xml:space="preserve">residente de la República y no desconocen el principio de legalidad tributaria. </w:t>
      </w:r>
    </w:p>
    <w:p w:rsidR="00E262FA" w:rsidRPr="00580C2D" w:rsidRDefault="00580C2D" w:rsidP="00552B02">
      <w:pPr>
        <w:pStyle w:val="Prrafodelista"/>
        <w:jc w:val="both"/>
        <w:rPr>
          <w:rStyle w:val="Ninguno"/>
          <w:rFonts w:cs="Times New Roman"/>
          <w:b/>
          <w:bCs/>
          <w:lang w:val="es-ES"/>
        </w:rPr>
      </w:pPr>
    </w:p>
    <w:p w:rsidR="00E262FA" w:rsidRPr="00580C2D" w:rsidRDefault="00580C2D" w:rsidP="002169AC">
      <w:pPr>
        <w:pStyle w:val="Sinespaciado"/>
        <w:numPr>
          <w:ilvl w:val="0"/>
          <w:numId w:val="3"/>
        </w:numPr>
        <w:ind w:left="0" w:firstLine="0"/>
        <w:rPr>
          <w:rStyle w:val="Ninguno"/>
          <w:rFonts w:eastAsia="Arial Unicode MS"/>
          <w:lang w:val="es-ES"/>
        </w:rPr>
      </w:pPr>
      <w:r w:rsidRPr="00580C2D">
        <w:rPr>
          <w:rStyle w:val="Ninguno"/>
          <w:rFonts w:eastAsia="Arial Unicode MS"/>
          <w:b w:val="0"/>
          <w:bCs w:val="0"/>
          <w:lang w:val="es-ES"/>
        </w:rPr>
        <w:t xml:space="preserve">En cuanto al cargo primero, por supuestamente exceder las facultades extraordinarias otorgadas al </w:t>
      </w:r>
      <w:r w:rsidRPr="00580C2D">
        <w:rPr>
          <w:rStyle w:val="Ninguno"/>
          <w:rFonts w:eastAsia="Arial Unicode MS"/>
          <w:b w:val="0"/>
          <w:bCs w:val="0"/>
          <w:lang w:val="es-ES"/>
        </w:rPr>
        <w:t>p</w:t>
      </w:r>
      <w:r w:rsidRPr="00580C2D">
        <w:rPr>
          <w:rStyle w:val="Ninguno"/>
          <w:rFonts w:eastAsia="Arial Unicode MS"/>
          <w:b w:val="0"/>
          <w:bCs w:val="0"/>
          <w:lang w:val="es-ES"/>
        </w:rPr>
        <w:t>residente de la República, sostuvo que el origen del impuesto de degüello d</w:t>
      </w:r>
      <w:r w:rsidRPr="00580C2D">
        <w:rPr>
          <w:rStyle w:val="Ninguno"/>
          <w:rFonts w:eastAsia="Arial Unicode MS"/>
          <w:b w:val="0"/>
          <w:bCs w:val="0"/>
          <w:lang w:val="es-ES"/>
        </w:rPr>
        <w:t>e ganado es anterior a 1886 y que existe una gran cantidad de normas que han regulado sus elementos estructurales a lo largo de los años, antes de la expedición del Decreto Ley 1333 de 1986. Dentro de estas destaca el Decreto 418 de 1877, el Decreto 397 de</w:t>
      </w:r>
      <w:r w:rsidRPr="00580C2D">
        <w:rPr>
          <w:rStyle w:val="Ninguno"/>
          <w:rFonts w:eastAsia="Arial Unicode MS"/>
          <w:b w:val="0"/>
          <w:bCs w:val="0"/>
          <w:lang w:val="es-ES"/>
        </w:rPr>
        <w:t xml:space="preserve"> 1877, la Ley 19 de 1887, el Decreto 20 de 1888, el Decreto 392 de 1892, la Ley 70 de 1894, el Decreto 392 de 1897, el Decreto 232 de 1900, el Decreto 225 de 1906, el Decreto 620 de 1905, la Ley 20 de 1908, el Decreto 545 de 1908, el Decreto 1344 de 1908, </w:t>
      </w:r>
      <w:r w:rsidRPr="00580C2D">
        <w:rPr>
          <w:rStyle w:val="Ninguno"/>
          <w:rFonts w:eastAsia="Arial Unicode MS"/>
          <w:b w:val="0"/>
          <w:bCs w:val="0"/>
          <w:lang w:val="es-ES"/>
        </w:rPr>
        <w:t xml:space="preserve">la Ley 8 de 1909, la Ley 60 de 1912, el Decreto 453 de 1912, el Decreto 64 de 1915, la Ley 56 de 1918, la Ley 34 de 1925, el Decreto 780 de 1928, el Decreto 1688 de 1928, el Decreto 1549 de 1939, el Decreto 570 de 1932, el Decreto 1813 de 1933, el Decreto </w:t>
      </w:r>
      <w:r w:rsidRPr="00580C2D">
        <w:rPr>
          <w:rStyle w:val="Ninguno"/>
          <w:rFonts w:eastAsia="Arial Unicode MS"/>
          <w:b w:val="0"/>
          <w:bCs w:val="0"/>
          <w:lang w:val="es-ES"/>
        </w:rPr>
        <w:t>917 de 1937, el Decreto 339 de 1940, la Ley 31 de 1945, el Decreto 2194 de 1945, la Ley 20 de 1946, y el Decreto 897 de 1950.</w:t>
      </w:r>
    </w:p>
    <w:p w:rsidR="00E262FA" w:rsidRPr="00580C2D" w:rsidRDefault="00580C2D" w:rsidP="00552B02">
      <w:pPr>
        <w:pStyle w:val="Prrafodelista"/>
        <w:jc w:val="both"/>
        <w:rPr>
          <w:rStyle w:val="Ninguno"/>
          <w:rFonts w:cs="Times New Roman"/>
          <w:lang w:val="es-ES"/>
        </w:rPr>
      </w:pPr>
    </w:p>
    <w:p w:rsidR="00E262FA" w:rsidRPr="00580C2D" w:rsidRDefault="00580C2D" w:rsidP="002169AC">
      <w:pPr>
        <w:pStyle w:val="Sinespaciado"/>
        <w:numPr>
          <w:ilvl w:val="0"/>
          <w:numId w:val="3"/>
        </w:numPr>
        <w:ind w:left="0" w:firstLine="0"/>
        <w:rPr>
          <w:rStyle w:val="Ninguno"/>
          <w:rFonts w:eastAsia="Arial Unicode MS"/>
          <w:b w:val="0"/>
          <w:bCs w:val="0"/>
          <w:lang w:val="es-ES"/>
        </w:rPr>
      </w:pPr>
      <w:r w:rsidRPr="00580C2D">
        <w:rPr>
          <w:rStyle w:val="Ninguno"/>
          <w:rFonts w:eastAsia="Arial Unicode MS"/>
          <w:b w:val="0"/>
          <w:bCs w:val="0"/>
          <w:lang w:val="es-ES"/>
        </w:rPr>
        <w:t>A partir del recuento anterior, sostuvo que no es cierta la afirmación de la demanda sobre la inexistencia de una norma legal vig</w:t>
      </w:r>
      <w:r w:rsidRPr="00580C2D">
        <w:rPr>
          <w:rStyle w:val="Ninguno"/>
          <w:rFonts w:eastAsia="Arial Unicode MS"/>
          <w:b w:val="0"/>
          <w:bCs w:val="0"/>
          <w:lang w:val="es-ES"/>
        </w:rPr>
        <w:t xml:space="preserve">ente al momento de la compilación efectuada por el Decreto Ley 1333 de 1986, que creara o autorizara el impuesto de degüello. De hecho, recordó que la Corte Constitucional, a través de la Sentencia C-080 de 1996 reconoció que “(...) el impuesto de </w:t>
      </w:r>
      <w:r w:rsidRPr="00580C2D">
        <w:rPr>
          <w:rStyle w:val="Ninguno"/>
          <w:rFonts w:eastAsia="Arial Unicode MS"/>
          <w:b w:val="0"/>
          <w:bCs w:val="0"/>
          <w:lang w:val="es-ES"/>
        </w:rPr>
        <w:t>degüello</w:t>
      </w:r>
      <w:r w:rsidRPr="00580C2D">
        <w:rPr>
          <w:rStyle w:val="Ninguno"/>
          <w:rFonts w:eastAsia="Arial Unicode MS"/>
          <w:b w:val="0"/>
          <w:bCs w:val="0"/>
          <w:lang w:val="es-ES"/>
        </w:rPr>
        <w:t xml:space="preserve"> aparece en nuestra legislación desde la colonia y ha permanecido en ella a todo lo largo de la evolución de nuestras instituciones, presentando algunas modificaciones en cuanto a sus destinatarios, formas de recaudo y obviamente valor; (...)”</w:t>
      </w:r>
    </w:p>
    <w:p w:rsidR="00E262FA" w:rsidRPr="00580C2D" w:rsidRDefault="00580C2D" w:rsidP="00552B02">
      <w:pPr>
        <w:pStyle w:val="Prrafodelista"/>
        <w:jc w:val="both"/>
        <w:rPr>
          <w:rStyle w:val="Ninguno"/>
          <w:rFonts w:cs="Times New Roman"/>
          <w:b/>
          <w:bCs/>
          <w:lang w:val="es-ES"/>
        </w:rPr>
      </w:pPr>
    </w:p>
    <w:p w:rsidR="00E262FA" w:rsidRPr="00580C2D" w:rsidRDefault="00580C2D" w:rsidP="002169AC">
      <w:pPr>
        <w:pStyle w:val="Sinespaciado"/>
        <w:numPr>
          <w:ilvl w:val="0"/>
          <w:numId w:val="3"/>
        </w:numPr>
        <w:ind w:left="0" w:firstLine="0"/>
        <w:rPr>
          <w:rStyle w:val="Ninguno"/>
          <w:rFonts w:eastAsia="Arial Unicode MS"/>
          <w:b w:val="0"/>
          <w:bCs w:val="0"/>
          <w:lang w:val="es-ES"/>
        </w:rPr>
      </w:pPr>
      <w:r w:rsidRPr="00580C2D">
        <w:rPr>
          <w:rStyle w:val="Ninguno"/>
          <w:rFonts w:eastAsia="Arial Unicode MS"/>
          <w:b w:val="0"/>
          <w:bCs w:val="0"/>
          <w:lang w:val="es-ES"/>
        </w:rPr>
        <w:t>Agregó que,</w:t>
      </w:r>
      <w:r w:rsidRPr="00580C2D">
        <w:rPr>
          <w:rStyle w:val="Ninguno"/>
          <w:rFonts w:eastAsia="Arial Unicode MS"/>
          <w:b w:val="0"/>
          <w:bCs w:val="0"/>
          <w:lang w:val="es-ES"/>
        </w:rPr>
        <w:t xml:space="preserve"> en consecuencia, tampoco es cierto que el </w:t>
      </w:r>
      <w:r w:rsidRPr="00580C2D">
        <w:rPr>
          <w:rStyle w:val="Ninguno"/>
          <w:rFonts w:eastAsia="Arial Unicode MS"/>
          <w:b w:val="0"/>
          <w:bCs w:val="0"/>
          <w:lang w:val="es-ES"/>
        </w:rPr>
        <w:t>presidente</w:t>
      </w:r>
      <w:r w:rsidRPr="00580C2D">
        <w:rPr>
          <w:rStyle w:val="Ninguno"/>
          <w:rFonts w:eastAsia="Arial Unicode MS"/>
          <w:b w:val="0"/>
          <w:bCs w:val="0"/>
          <w:lang w:val="es-ES"/>
        </w:rPr>
        <w:t xml:space="preserve"> de la República se haya excedido en el ejercicio de las facultades extraordinarias otorgadas por la supuesta creación de un nuevo impuesto. Por el contrario, las normas acusadas son el reflejo de dispos</w:t>
      </w:r>
      <w:r w:rsidRPr="00580C2D">
        <w:rPr>
          <w:rStyle w:val="Ninguno"/>
          <w:rFonts w:eastAsia="Arial Unicode MS"/>
          <w:b w:val="0"/>
          <w:bCs w:val="0"/>
          <w:lang w:val="es-ES"/>
        </w:rPr>
        <w:t>iciones legales que, tal y como lo dispuso el literal b) del artículo 76 de la Ley 11 de 1986, se codificaron “(…) para la organización y el funcionamiento de la Administración Municipal”. Por tanto, argumentó que el ejecutivo reconoció la existencia del i</w:t>
      </w:r>
      <w:r w:rsidRPr="00580C2D">
        <w:rPr>
          <w:rStyle w:val="Ninguno"/>
          <w:rFonts w:eastAsia="Arial Unicode MS"/>
          <w:b w:val="0"/>
          <w:bCs w:val="0"/>
          <w:lang w:val="es-ES"/>
        </w:rPr>
        <w:t>mpuesto a través de su incorporación en el título IX del capítulo II, así como la única regla aplicable a todos los municipios del país, que es la prohibición de darlo en arrendamiento.</w:t>
      </w:r>
      <w:r w:rsidRPr="00580C2D">
        <w:rPr>
          <w:rStyle w:val="Refdenotaalpie"/>
          <w:b w:val="0"/>
          <w:bCs w:val="0"/>
          <w:lang w:val="es-ES"/>
        </w:rPr>
        <w:footnoteReference w:id="14"/>
      </w:r>
      <w:r w:rsidRPr="00580C2D">
        <w:rPr>
          <w:rStyle w:val="Ninguno"/>
          <w:rFonts w:eastAsia="Arial Unicode MS"/>
          <w:b w:val="0"/>
          <w:bCs w:val="0"/>
          <w:lang w:val="es-ES"/>
        </w:rPr>
        <w:t xml:space="preserve"> </w:t>
      </w:r>
    </w:p>
    <w:p w:rsidR="00E262FA" w:rsidRPr="00580C2D" w:rsidRDefault="00580C2D" w:rsidP="00552B02">
      <w:pPr>
        <w:pStyle w:val="Prrafodelista"/>
        <w:jc w:val="both"/>
        <w:rPr>
          <w:rStyle w:val="Ninguno"/>
          <w:rFonts w:cs="Times New Roman"/>
          <w:b/>
          <w:bCs/>
          <w:lang w:val="es-ES"/>
        </w:rPr>
      </w:pPr>
    </w:p>
    <w:p w:rsidR="00E262FA" w:rsidRPr="00580C2D" w:rsidRDefault="00580C2D" w:rsidP="002169AC">
      <w:pPr>
        <w:pStyle w:val="Sinespaciado"/>
        <w:numPr>
          <w:ilvl w:val="0"/>
          <w:numId w:val="3"/>
        </w:numPr>
        <w:ind w:left="0" w:firstLine="0"/>
        <w:rPr>
          <w:rStyle w:val="Ninguno"/>
          <w:rFonts w:eastAsia="Arial Unicode MS"/>
          <w:b w:val="0"/>
          <w:bCs w:val="0"/>
          <w:lang w:val="es-ES"/>
        </w:rPr>
      </w:pPr>
      <w:r w:rsidRPr="00580C2D">
        <w:rPr>
          <w:rStyle w:val="Ninguno"/>
          <w:rFonts w:eastAsia="Arial Unicode MS"/>
          <w:b w:val="0"/>
          <w:bCs w:val="0"/>
          <w:lang w:val="es-ES"/>
        </w:rPr>
        <w:t xml:space="preserve">Sumado a lo anterior, sostuvo que la Corte Constitucional no solo </w:t>
      </w:r>
      <w:r w:rsidRPr="00580C2D">
        <w:rPr>
          <w:rStyle w:val="Ninguno"/>
          <w:rFonts w:eastAsia="Arial Unicode MS"/>
          <w:b w:val="0"/>
          <w:bCs w:val="0"/>
          <w:lang w:val="es-ES"/>
        </w:rPr>
        <w:t>ha reconocido la existencia centenaria de este impuesto en la legislación, sino que también ha advertido el fenómeno de la subrogación del artículo 17 de la Ley 20 de 1908, “que es uno de los diversos presupuestos normativos que constituyen la creación y a</w:t>
      </w:r>
      <w:r w:rsidRPr="00580C2D">
        <w:rPr>
          <w:rStyle w:val="Ninguno"/>
          <w:rFonts w:eastAsia="Arial Unicode MS"/>
          <w:b w:val="0"/>
          <w:bCs w:val="0"/>
          <w:lang w:val="es-ES"/>
        </w:rPr>
        <w:t>utorización legal de este impuesto por parte del legislador.” Específicamente, se refirió a la Sentencia C-080 de 1996, en la que la Sala Plena advirtió que aquella norma “(…) fue subrogada por incorporación en el Decreto 1333 de 1986.” En consecuencia, co</w:t>
      </w:r>
      <w:r w:rsidRPr="00580C2D">
        <w:rPr>
          <w:rStyle w:val="Ninguno"/>
          <w:rFonts w:eastAsia="Arial Unicode MS"/>
          <w:b w:val="0"/>
          <w:bCs w:val="0"/>
          <w:lang w:val="es-ES"/>
        </w:rPr>
        <w:t>nsideró que no era necesario que este decreto reprodujera literalmente las disposiciones subrogadas, “pues la subrogación implica su permanencia en el ordenamiento jurídico a través del reconocimiento de la existencia del impuesto y la consecuente facultad</w:t>
      </w:r>
      <w:r w:rsidRPr="00580C2D">
        <w:rPr>
          <w:rStyle w:val="Ninguno"/>
          <w:rFonts w:eastAsia="Arial Unicode MS"/>
          <w:b w:val="0"/>
          <w:bCs w:val="0"/>
          <w:lang w:val="es-ES"/>
        </w:rPr>
        <w:t xml:space="preserve"> de los municipios para adoptarlo en ejercicio de su autonomía constitucional.”</w:t>
      </w:r>
      <w:r w:rsidRPr="00580C2D">
        <w:rPr>
          <w:rStyle w:val="Refdenotaalpie"/>
          <w:b w:val="0"/>
          <w:bCs w:val="0"/>
          <w:lang w:val="es-ES"/>
        </w:rPr>
        <w:footnoteReference w:id="15"/>
      </w:r>
    </w:p>
    <w:p w:rsidR="00E262FA" w:rsidRPr="00580C2D" w:rsidRDefault="00580C2D" w:rsidP="00552B02">
      <w:pPr>
        <w:pStyle w:val="Sinespaciado"/>
        <w:numPr>
          <w:ilvl w:val="0"/>
          <w:numId w:val="0"/>
        </w:numPr>
        <w:rPr>
          <w:rStyle w:val="Ninguno"/>
          <w:rFonts w:eastAsia="Arial Unicode MS"/>
          <w:b w:val="0"/>
          <w:bCs w:val="0"/>
          <w:lang w:val="es-ES"/>
        </w:rPr>
      </w:pPr>
    </w:p>
    <w:p w:rsidR="00E262FA" w:rsidRPr="00580C2D" w:rsidRDefault="00580C2D" w:rsidP="002169AC">
      <w:pPr>
        <w:pStyle w:val="Prrafodelista"/>
        <w:numPr>
          <w:ilvl w:val="0"/>
          <w:numId w:val="3"/>
        </w:numPr>
        <w:ind w:left="0" w:firstLine="0"/>
        <w:jc w:val="both"/>
        <w:rPr>
          <w:rFonts w:cs="Times New Roman"/>
          <w:lang w:val="es-ES"/>
        </w:rPr>
      </w:pPr>
      <w:r w:rsidRPr="00580C2D">
        <w:rPr>
          <w:rFonts w:cs="Times New Roman"/>
          <w:lang w:val="es-ES"/>
        </w:rPr>
        <w:t>Como segunda medida, el Ministerio de Hacienda adujo que las normas demandadas no vulneraron los artículos 150.12, 287.3, 313.4 y 338 de la Constitución Política. De conformi</w:t>
      </w:r>
      <w:r w:rsidRPr="00580C2D">
        <w:rPr>
          <w:rFonts w:cs="Times New Roman"/>
          <w:lang w:val="es-ES"/>
        </w:rPr>
        <w:t>dad con lo dispuesto en la Sentencia C-101 de 2022, indicó que las leyes que autorizan a establecer tributos a las entidades territoriales solo deben ocuparse de sus elementos básicos, y que el Congreso no puede fijar todos sus componentes estructurales po</w:t>
      </w:r>
      <w:r w:rsidRPr="00580C2D">
        <w:rPr>
          <w:rFonts w:cs="Times New Roman"/>
          <w:lang w:val="es-ES"/>
        </w:rPr>
        <w:t>rque estaría invadiendo la autonomía de las entidades territoriales.</w:t>
      </w:r>
    </w:p>
    <w:p w:rsidR="00E262FA" w:rsidRPr="00580C2D" w:rsidRDefault="00580C2D" w:rsidP="00552B02">
      <w:pPr>
        <w:pStyle w:val="Prrafodelista"/>
        <w:jc w:val="both"/>
        <w:rPr>
          <w:rFonts w:cs="Times New Roman"/>
          <w:lang w:val="es-ES"/>
        </w:rPr>
      </w:pPr>
    </w:p>
    <w:p w:rsidR="00E262FA" w:rsidRPr="00580C2D" w:rsidRDefault="00580C2D" w:rsidP="002169AC">
      <w:pPr>
        <w:pStyle w:val="Prrafodelista"/>
        <w:numPr>
          <w:ilvl w:val="0"/>
          <w:numId w:val="3"/>
        </w:numPr>
        <w:ind w:left="0" w:firstLine="0"/>
        <w:jc w:val="both"/>
        <w:rPr>
          <w:rFonts w:cs="Times New Roman"/>
          <w:lang w:val="es-ES"/>
        </w:rPr>
      </w:pPr>
      <w:r w:rsidRPr="00580C2D">
        <w:rPr>
          <w:rFonts w:cs="Times New Roman"/>
          <w:lang w:val="es-ES"/>
        </w:rPr>
        <w:t>Expuso que el presupuesto de certeza o predeterminación del tributo se manifiesta “de una doble manera: de un lado, es rígido al exigir a los cuerpos colegiados la determinación de los e</w:t>
      </w:r>
      <w:r w:rsidRPr="00580C2D">
        <w:rPr>
          <w:rFonts w:cs="Times New Roman"/>
          <w:lang w:val="es-ES"/>
        </w:rPr>
        <w:t>lementos del tributo, sin que esa facultad pueda atribuirse a una autoridad ejecutiva (CP, art. 338); pero también es flexible, puesto que los principios de descentralización y autonomía territorial admiten que las ordenanzas y los acuerdos puedan fijar ta</w:t>
      </w:r>
      <w:r w:rsidRPr="00580C2D">
        <w:rPr>
          <w:rFonts w:cs="Times New Roman"/>
          <w:lang w:val="es-ES"/>
        </w:rPr>
        <w:t>les elementos”</w:t>
      </w:r>
      <w:r w:rsidRPr="00580C2D">
        <w:rPr>
          <w:rStyle w:val="Refdenotaalpie"/>
          <w:rFonts w:cs="Times New Roman"/>
          <w:lang w:val="es-ES"/>
        </w:rPr>
        <w:footnoteReference w:id="16"/>
      </w:r>
      <w:r w:rsidRPr="00580C2D">
        <w:rPr>
          <w:rFonts w:cs="Times New Roman"/>
          <w:lang w:val="es-ES"/>
        </w:rPr>
        <w:t>. Así las cosas, aclaró que la exigencia que opera sobre el Legislador cuando establece tributos del orden nacional no obra del mismo modo en relación con los del orden territorial. En este último caso, según lo advierten las sentencias C-1043 de 2003 y C-</w:t>
      </w:r>
      <w:r w:rsidRPr="00580C2D">
        <w:rPr>
          <w:rFonts w:cs="Times New Roman"/>
          <w:lang w:val="es-ES"/>
        </w:rPr>
        <w:t>891 de 2012, la Corporación Legislativa puede asumir una de las siguientes tres alternativas para determinar los elementos constitutivos del tributo: i) señalar los elementos del tributo; ii) fijar algunos de los elementos del tributo y permitir que las as</w:t>
      </w:r>
      <w:r w:rsidRPr="00580C2D">
        <w:rPr>
          <w:rFonts w:cs="Times New Roman"/>
          <w:lang w:val="es-ES"/>
        </w:rPr>
        <w:t>ambleas y concejos señalen los restantes y iii) dejar a las corporaciones públicas territoriales la fijación de los elementos del tributo que aquel ha creado.</w:t>
      </w:r>
    </w:p>
    <w:p w:rsidR="00E262FA" w:rsidRPr="00580C2D" w:rsidRDefault="00580C2D" w:rsidP="00552B02">
      <w:pPr>
        <w:pStyle w:val="Prrafodelista"/>
        <w:jc w:val="both"/>
        <w:rPr>
          <w:rFonts w:cs="Times New Roman"/>
          <w:lang w:val="es-ES"/>
        </w:rPr>
      </w:pPr>
    </w:p>
    <w:p w:rsidR="00E262FA" w:rsidRPr="00580C2D" w:rsidRDefault="00580C2D" w:rsidP="002169AC">
      <w:pPr>
        <w:pStyle w:val="Prrafodelista"/>
        <w:numPr>
          <w:ilvl w:val="0"/>
          <w:numId w:val="3"/>
        </w:numPr>
        <w:ind w:left="0" w:firstLine="0"/>
        <w:jc w:val="both"/>
        <w:rPr>
          <w:rFonts w:cs="Times New Roman"/>
          <w:lang w:val="es-ES"/>
        </w:rPr>
      </w:pPr>
      <w:r w:rsidRPr="00580C2D">
        <w:rPr>
          <w:rFonts w:cs="Times New Roman"/>
          <w:lang w:val="es-ES"/>
        </w:rPr>
        <w:t>De lo anterior derivó que el “hecho gravable” se logra en la identificación plena del tributo, p</w:t>
      </w:r>
      <w:r w:rsidRPr="00580C2D">
        <w:rPr>
          <w:rFonts w:cs="Times New Roman"/>
          <w:lang w:val="es-ES"/>
        </w:rPr>
        <w:t xml:space="preserve">ues el </w:t>
      </w:r>
      <w:r w:rsidRPr="00580C2D">
        <w:rPr>
          <w:rFonts w:cs="Times New Roman"/>
          <w:lang w:val="es-ES"/>
        </w:rPr>
        <w:t>L</w:t>
      </w:r>
      <w:r w:rsidRPr="00580C2D">
        <w:rPr>
          <w:rFonts w:cs="Times New Roman"/>
          <w:lang w:val="es-ES"/>
        </w:rPr>
        <w:t>egislador</w:t>
      </w:r>
      <w:r w:rsidRPr="00580C2D">
        <w:rPr>
          <w:rFonts w:cs="Times New Roman"/>
          <w:lang w:val="es-ES"/>
        </w:rPr>
        <w:t xml:space="preserve"> (transitorio)</w:t>
      </w:r>
      <w:r w:rsidRPr="00580C2D">
        <w:rPr>
          <w:rFonts w:cs="Times New Roman"/>
          <w:lang w:val="es-ES"/>
        </w:rPr>
        <w:t xml:space="preserve"> indica con toda claridad que el impuesto que se autoriza es el “IX. IMPUESTO DE DEGÜELLO DE GANADO MENOR”. Explica que tanto el verbo rector “degüello” como la referencia al “ganado menor” tienen un sentido natural y obvio, </w:t>
      </w:r>
      <w:r w:rsidRPr="00580C2D">
        <w:rPr>
          <w:rFonts w:cs="Times New Roman"/>
          <w:lang w:val="es-ES"/>
        </w:rPr>
        <w:t xml:space="preserve">comúnmente conocido, que no da lugar a ambigüedades o confusiones sobre la situación fáctica que da origen al nacimiento de la obligación tributaria. </w:t>
      </w:r>
    </w:p>
    <w:p w:rsidR="00E262FA" w:rsidRPr="00580C2D" w:rsidRDefault="00580C2D" w:rsidP="00552B02">
      <w:pPr>
        <w:pStyle w:val="Prrafodelista"/>
        <w:jc w:val="both"/>
        <w:rPr>
          <w:rFonts w:cs="Times New Roman"/>
          <w:lang w:val="es-ES"/>
        </w:rPr>
      </w:pPr>
    </w:p>
    <w:p w:rsidR="00E262FA" w:rsidRPr="00580C2D" w:rsidRDefault="00580C2D" w:rsidP="002169AC">
      <w:pPr>
        <w:pStyle w:val="Prrafodelista"/>
        <w:numPr>
          <w:ilvl w:val="0"/>
          <w:numId w:val="3"/>
        </w:numPr>
        <w:ind w:left="0" w:firstLine="0"/>
        <w:jc w:val="both"/>
        <w:rPr>
          <w:rFonts w:cs="Times New Roman"/>
          <w:lang w:val="es-ES"/>
        </w:rPr>
      </w:pPr>
      <w:r w:rsidRPr="00580C2D">
        <w:rPr>
          <w:rFonts w:cs="Times New Roman"/>
          <w:lang w:val="es-ES"/>
        </w:rPr>
        <w:t>Por todo lo anterior, consideró que las normas acusadas sí cumplen con el segundo parámetro mínimo que s</w:t>
      </w:r>
      <w:r w:rsidRPr="00580C2D">
        <w:rPr>
          <w:rFonts w:cs="Times New Roman"/>
          <w:lang w:val="es-ES"/>
        </w:rPr>
        <w:t>e exige al legislador al autorizar la creación de impuestos territoriales, esto es, la fijación del hecho gravado. Concluyó entonces que las disposiciones impugnadas respetan tanto el principio de legalidad y de certeza tributaria, como la autonomía de los</w:t>
      </w:r>
      <w:r w:rsidRPr="00580C2D">
        <w:rPr>
          <w:rFonts w:cs="Times New Roman"/>
          <w:lang w:val="es-ES"/>
        </w:rPr>
        <w:t xml:space="preserve"> entes territoriales para definir los elementos del tributo y en consecuencia deben ser declaradas exequibles.</w:t>
      </w:r>
    </w:p>
    <w:p w:rsidR="00E262FA" w:rsidRPr="00580C2D" w:rsidRDefault="00580C2D" w:rsidP="00552B02">
      <w:pPr>
        <w:pStyle w:val="Sinespaciado"/>
        <w:numPr>
          <w:ilvl w:val="0"/>
          <w:numId w:val="0"/>
        </w:numPr>
        <w:rPr>
          <w:rStyle w:val="Ninguno"/>
          <w:rFonts w:eastAsia="Arial Unicode MS"/>
          <w:b w:val="0"/>
          <w:bCs w:val="0"/>
          <w:lang w:val="es-ES"/>
        </w:rPr>
      </w:pPr>
    </w:p>
    <w:p w:rsidR="00E262FA" w:rsidRPr="00580C2D" w:rsidRDefault="00580C2D" w:rsidP="00552B02">
      <w:pPr>
        <w:pStyle w:val="Sinespaciado"/>
        <w:numPr>
          <w:ilvl w:val="0"/>
          <w:numId w:val="3"/>
        </w:numPr>
        <w:ind w:left="0" w:firstLine="0"/>
        <w:contextualSpacing/>
        <w:rPr>
          <w:rStyle w:val="Ninguno"/>
          <w:rFonts w:eastAsia="Arial Unicode MS"/>
          <w:lang w:val="es-ES"/>
        </w:rPr>
      </w:pPr>
      <w:r w:rsidRPr="00580C2D">
        <w:rPr>
          <w:rStyle w:val="Ninguno"/>
          <w:rFonts w:eastAsia="Arial Unicode MS"/>
          <w:b w:val="0"/>
          <w:bCs w:val="0"/>
          <w:lang w:val="es-ES"/>
        </w:rPr>
        <w:t>El</w:t>
      </w:r>
      <w:r w:rsidRPr="00580C2D">
        <w:rPr>
          <w:rStyle w:val="Ninguno"/>
          <w:rFonts w:eastAsia="Arial Unicode MS"/>
          <w:lang w:val="es-ES"/>
        </w:rPr>
        <w:t xml:space="preserve"> </w:t>
      </w:r>
      <w:r w:rsidRPr="00580C2D">
        <w:rPr>
          <w:rStyle w:val="Ninguno"/>
          <w:rFonts w:eastAsia="Arial Unicode MS"/>
          <w:i/>
          <w:iCs/>
          <w:lang w:val="es-ES"/>
        </w:rPr>
        <w:t>Instituto Colombiano de Derecho Tributario (ICDT)</w:t>
      </w:r>
      <w:r w:rsidRPr="00580C2D">
        <w:rPr>
          <w:rStyle w:val="Refdenotaalpie"/>
          <w:b w:val="0"/>
          <w:bCs w:val="0"/>
          <w:lang w:val="es-ES"/>
        </w:rPr>
        <w:footnoteReference w:id="17"/>
      </w:r>
      <w:r w:rsidRPr="00580C2D">
        <w:rPr>
          <w:rStyle w:val="Ninguno"/>
          <w:rFonts w:eastAsia="Arial Unicode MS"/>
          <w:lang w:val="es-ES"/>
        </w:rPr>
        <w:t xml:space="preserve"> </w:t>
      </w:r>
      <w:r w:rsidRPr="00580C2D">
        <w:rPr>
          <w:rStyle w:val="Ninguno"/>
          <w:rFonts w:eastAsia="Arial Unicode MS"/>
          <w:b w:val="0"/>
          <w:bCs w:val="0"/>
          <w:lang w:val="es-ES"/>
        </w:rPr>
        <w:t xml:space="preserve">solicitó a esta corporación declarar la </w:t>
      </w:r>
      <w:r w:rsidRPr="00580C2D">
        <w:rPr>
          <w:rStyle w:val="Ninguno"/>
          <w:rFonts w:eastAsia="Arial Unicode MS"/>
          <w:lang w:val="es-ES"/>
        </w:rPr>
        <w:t xml:space="preserve">inexequibilidad </w:t>
      </w:r>
      <w:r w:rsidRPr="00580C2D">
        <w:rPr>
          <w:rStyle w:val="Ninguno"/>
          <w:rFonts w:eastAsia="Arial Unicode MS"/>
          <w:b w:val="0"/>
          <w:bCs w:val="0"/>
          <w:lang w:val="es-ES"/>
        </w:rPr>
        <w:t>de las normas demandadas, por enco</w:t>
      </w:r>
      <w:r w:rsidRPr="00580C2D">
        <w:rPr>
          <w:rStyle w:val="Ninguno"/>
          <w:rFonts w:eastAsia="Arial Unicode MS"/>
          <w:b w:val="0"/>
          <w:bCs w:val="0"/>
          <w:lang w:val="es-ES"/>
        </w:rPr>
        <w:t>ntrar que estas no crean ni autorizan el impuesto de degüello de ganado menor. Además, consideró que si bien se encuentran vigentes, tienen un carácter meramente instrumental y no reúnen los requisitos constitucionales mínimos de los tributos esbozados ent</w:t>
      </w:r>
      <w:r w:rsidRPr="00580C2D">
        <w:rPr>
          <w:rStyle w:val="Ninguno"/>
          <w:rFonts w:eastAsia="Arial Unicode MS"/>
          <w:b w:val="0"/>
          <w:bCs w:val="0"/>
          <w:lang w:val="es-ES"/>
        </w:rPr>
        <w:t>re otras, en la sentencia C-035 de 2009. Puntualmente, el requisito de que la ley creadora o habilitante delimite por lo menos el hecho generador, dejando espacio al ente territorial para que desarrolle los demás elementos del tributo.</w:t>
      </w:r>
      <w:r w:rsidRPr="00580C2D">
        <w:rPr>
          <w:rStyle w:val="Ninguno"/>
          <w:rFonts w:eastAsia="Arial Unicode MS"/>
          <w:lang w:val="es-ES"/>
        </w:rPr>
        <w:tab/>
      </w:r>
    </w:p>
    <w:p w:rsidR="00285571" w:rsidRPr="00580C2D" w:rsidRDefault="00580C2D" w:rsidP="00285571">
      <w:pPr>
        <w:pStyle w:val="Sinespaciado"/>
        <w:numPr>
          <w:ilvl w:val="0"/>
          <w:numId w:val="0"/>
        </w:numPr>
        <w:contextualSpacing/>
        <w:rPr>
          <w:rFonts w:eastAsia="Arial Unicode MS"/>
          <w:lang w:val="es-ES"/>
        </w:rPr>
      </w:pPr>
    </w:p>
    <w:p w:rsidR="00E262FA" w:rsidRPr="00580C2D" w:rsidRDefault="00580C2D" w:rsidP="002169AC">
      <w:pPr>
        <w:pStyle w:val="Sinespaciado"/>
        <w:numPr>
          <w:ilvl w:val="0"/>
          <w:numId w:val="3"/>
        </w:numPr>
        <w:ind w:left="0" w:firstLine="0"/>
        <w:contextualSpacing/>
        <w:rPr>
          <w:lang w:val="es-ES"/>
        </w:rPr>
      </w:pPr>
      <w:r w:rsidRPr="00580C2D">
        <w:rPr>
          <w:rStyle w:val="Ninguno"/>
          <w:rFonts w:eastAsia="Arial Unicode MS"/>
          <w:b w:val="0"/>
          <w:bCs w:val="0"/>
          <w:lang w:val="es-ES"/>
        </w:rPr>
        <w:t xml:space="preserve">Lo anterior, bajo </w:t>
      </w:r>
      <w:r w:rsidRPr="00580C2D">
        <w:rPr>
          <w:rStyle w:val="Ninguno"/>
          <w:rFonts w:eastAsia="Arial Unicode MS"/>
          <w:b w:val="0"/>
          <w:bCs w:val="0"/>
          <w:lang w:val="es-ES"/>
        </w:rPr>
        <w:t>el entendido de que ni el art. 3 de la Ley 31 de 1945</w:t>
      </w:r>
      <w:r w:rsidRPr="00580C2D">
        <w:rPr>
          <w:rStyle w:val="Refdenotaalpie"/>
          <w:b w:val="0"/>
          <w:bCs w:val="0"/>
          <w:lang w:val="es-ES"/>
        </w:rPr>
        <w:footnoteReference w:id="18"/>
      </w:r>
      <w:r w:rsidRPr="00580C2D">
        <w:rPr>
          <w:rStyle w:val="Ninguno"/>
          <w:rFonts w:eastAsia="Arial Unicode MS"/>
          <w:b w:val="0"/>
          <w:bCs w:val="0"/>
          <w:lang w:val="es-ES"/>
        </w:rPr>
        <w:t xml:space="preserve"> ni el artículo 2 de la Ley 20 de 1946</w:t>
      </w:r>
      <w:r w:rsidRPr="00580C2D">
        <w:rPr>
          <w:rStyle w:val="Refdenotaalpie"/>
          <w:b w:val="0"/>
          <w:bCs w:val="0"/>
          <w:lang w:val="es-ES"/>
        </w:rPr>
        <w:footnoteReference w:id="19"/>
      </w:r>
      <w:r w:rsidRPr="00580C2D">
        <w:rPr>
          <w:rStyle w:val="Ninguno"/>
          <w:rFonts w:eastAsia="Arial Unicode MS"/>
          <w:b w:val="0"/>
          <w:bCs w:val="0"/>
          <w:lang w:val="es-ES"/>
        </w:rPr>
        <w:t xml:space="preserve"> determinan los mínimos constitucionales requeridos para la creación y autorización del tributo en cuestión y por tanto no pueden entenderse como creadoras ni habi</w:t>
      </w:r>
      <w:r w:rsidRPr="00580C2D">
        <w:rPr>
          <w:rStyle w:val="Ninguno"/>
          <w:rFonts w:eastAsia="Arial Unicode MS"/>
          <w:b w:val="0"/>
          <w:bCs w:val="0"/>
          <w:lang w:val="es-ES"/>
        </w:rPr>
        <w:t>litantes del mismo. Antes bien, argumentó que la génesis de este impuesto se encuentra en el artículo 17 num. 3 de la Ley 20 de 1908</w:t>
      </w:r>
      <w:r w:rsidRPr="00580C2D">
        <w:rPr>
          <w:rStyle w:val="Refdenotaalpie"/>
          <w:b w:val="0"/>
          <w:bCs w:val="0"/>
          <w:lang w:val="es-ES"/>
        </w:rPr>
        <w:footnoteReference w:id="20"/>
      </w:r>
      <w:r w:rsidRPr="00580C2D">
        <w:rPr>
          <w:rStyle w:val="Ninguno"/>
          <w:rFonts w:eastAsia="Arial Unicode MS"/>
          <w:b w:val="0"/>
          <w:bCs w:val="0"/>
          <w:lang w:val="es-ES"/>
        </w:rPr>
        <w:t xml:space="preserve">, norma que fue derogada expresamente por el artículo 340 de la Ley 4 de 1913. </w:t>
      </w:r>
      <w:r w:rsidRPr="00580C2D">
        <w:rPr>
          <w:b w:val="0"/>
          <w:bCs w:val="0"/>
          <w:lang w:val="es-ES"/>
        </w:rPr>
        <w:t>Por ende, estima que, en aplicación del prin</w:t>
      </w:r>
      <w:r w:rsidRPr="00580C2D">
        <w:rPr>
          <w:b w:val="0"/>
          <w:bCs w:val="0"/>
          <w:lang w:val="es-ES"/>
        </w:rPr>
        <w:t>cipio general de la interpretación jurídica de que lo subsidiario (art. 3° de la ley 31 de 1945 y el art. 2° de la ley 20 de 1946) corre la misma suerte de lo principal (art. 172 y art. 226 del decreto legislativo 1333 de 1986), las normas demandadas en es</w:t>
      </w:r>
      <w:r w:rsidRPr="00580C2D">
        <w:rPr>
          <w:b w:val="0"/>
          <w:bCs w:val="0"/>
          <w:lang w:val="es-ES"/>
        </w:rPr>
        <w:t>te cargo deben declararse inexequibles por la Corte Constitucional.</w:t>
      </w:r>
    </w:p>
    <w:p w:rsidR="00E262FA" w:rsidRPr="00580C2D" w:rsidRDefault="00580C2D" w:rsidP="00552B02">
      <w:pPr>
        <w:pStyle w:val="Prrafodelista"/>
        <w:jc w:val="both"/>
        <w:rPr>
          <w:rStyle w:val="Ninguno"/>
          <w:rFonts w:cs="Times New Roman"/>
          <w:b/>
          <w:bCs/>
          <w:lang w:val="es-ES"/>
        </w:rPr>
      </w:pPr>
    </w:p>
    <w:p w:rsidR="00E262FA" w:rsidRPr="00580C2D" w:rsidRDefault="00580C2D" w:rsidP="002169AC">
      <w:pPr>
        <w:pStyle w:val="Sinespaciado"/>
        <w:numPr>
          <w:ilvl w:val="0"/>
          <w:numId w:val="3"/>
        </w:numPr>
        <w:ind w:left="0" w:firstLine="0"/>
        <w:rPr>
          <w:rStyle w:val="Ninguno"/>
          <w:rFonts w:eastAsia="Arial Unicode MS"/>
          <w:lang w:val="es-ES"/>
        </w:rPr>
      </w:pPr>
      <w:r w:rsidRPr="00580C2D">
        <w:rPr>
          <w:rStyle w:val="Ninguno"/>
          <w:rFonts w:eastAsia="Arial Unicode MS"/>
          <w:b w:val="0"/>
          <w:bCs w:val="0"/>
          <w:lang w:val="es-ES"/>
        </w:rPr>
        <w:t>Agregó que, de acuerdo con lo establecido en la sentencia C-035 de 2009, el poder transitorio únicamente faculta al</w:t>
      </w:r>
      <w:r w:rsidRPr="00580C2D">
        <w:rPr>
          <w:rStyle w:val="Ninguno"/>
          <w:rFonts w:eastAsia="Arial Unicode MS"/>
          <w:lang w:val="es-ES"/>
        </w:rPr>
        <w:t xml:space="preserve"> </w:t>
      </w:r>
      <w:r w:rsidRPr="00580C2D">
        <w:rPr>
          <w:rStyle w:val="Ninguno"/>
          <w:rFonts w:eastAsia="Arial Unicode MS"/>
          <w:b w:val="0"/>
          <w:bCs w:val="0"/>
          <w:lang w:val="es-ES"/>
        </w:rPr>
        <w:t>p</w:t>
      </w:r>
      <w:r w:rsidRPr="00580C2D">
        <w:rPr>
          <w:rStyle w:val="Ninguno"/>
          <w:rFonts w:eastAsia="Arial Unicode MS"/>
          <w:b w:val="0"/>
          <w:bCs w:val="0"/>
          <w:lang w:val="es-ES"/>
        </w:rPr>
        <w:t xml:space="preserve">residente de la República para codificar, organizar y compilar normas jurídicas preexistentes, “sin que ello implique la creación </w:t>
      </w:r>
      <w:r w:rsidRPr="00580C2D">
        <w:rPr>
          <w:rStyle w:val="Ninguno"/>
          <w:rFonts w:eastAsia="Arial Unicode MS"/>
          <w:b w:val="0"/>
          <w:bCs w:val="0"/>
          <w:i/>
          <w:iCs/>
          <w:lang w:val="es-ES"/>
        </w:rPr>
        <w:t>ex novo</w:t>
      </w:r>
      <w:r w:rsidRPr="00580C2D">
        <w:rPr>
          <w:rStyle w:val="Ninguno"/>
          <w:rFonts w:eastAsia="Arial Unicode MS"/>
          <w:b w:val="0"/>
          <w:bCs w:val="0"/>
          <w:lang w:val="es-ES"/>
        </w:rPr>
        <w:t xml:space="preserve"> de nuevas normas jurídicas dentro de nuestro ordenamiento.”</w:t>
      </w:r>
      <w:r w:rsidRPr="00580C2D">
        <w:rPr>
          <w:rStyle w:val="Refdenotaalpie"/>
          <w:b w:val="0"/>
          <w:bCs w:val="0"/>
          <w:lang w:val="es-ES"/>
        </w:rPr>
        <w:footnoteReference w:id="21"/>
      </w:r>
      <w:r w:rsidRPr="00580C2D">
        <w:rPr>
          <w:rStyle w:val="Ninguno"/>
          <w:rFonts w:eastAsia="Arial Unicode MS"/>
          <w:b w:val="0"/>
          <w:bCs w:val="0"/>
          <w:lang w:val="es-ES"/>
        </w:rPr>
        <w:t xml:space="preserve"> Expuso que el ejecutivo excedió las facultades transitori</w:t>
      </w:r>
      <w:r w:rsidRPr="00580C2D">
        <w:rPr>
          <w:rStyle w:val="Ninguno"/>
          <w:rFonts w:eastAsia="Arial Unicode MS"/>
          <w:b w:val="0"/>
          <w:bCs w:val="0"/>
          <w:lang w:val="es-ES"/>
        </w:rPr>
        <w:t>as conferidas para compilar, dado que el artículo 172 del Decreto 1333 de 1986 no consta en una ley previa expedida por el Congreso de la República que consagre el mismo tenor literal. Lo mismo sucede con el artículo 226 del Decreto 1333 de 1986, que solam</w:t>
      </w:r>
      <w:r w:rsidRPr="00580C2D">
        <w:rPr>
          <w:rStyle w:val="Ninguno"/>
          <w:rFonts w:eastAsia="Arial Unicode MS"/>
          <w:b w:val="0"/>
          <w:bCs w:val="0"/>
          <w:lang w:val="es-ES"/>
        </w:rPr>
        <w:t>ente contaba con un antecedente normativo de contenido similar en el artículo 17 num. 3 de la Ley 20 de 1908, derogado expresamente por el artículo 340 de la Ley 4 de 1913, por lo que el ejecutivo no podría renovar normas derogadas en uso de las facultades</w:t>
      </w:r>
      <w:r w:rsidRPr="00580C2D">
        <w:rPr>
          <w:rStyle w:val="Ninguno"/>
          <w:rFonts w:eastAsia="Arial Unicode MS"/>
          <w:b w:val="0"/>
          <w:bCs w:val="0"/>
          <w:lang w:val="es-ES"/>
        </w:rPr>
        <w:t xml:space="preserve"> compilatorias transitorias.</w:t>
      </w:r>
    </w:p>
    <w:p w:rsidR="00E262FA" w:rsidRPr="00580C2D" w:rsidRDefault="00580C2D" w:rsidP="00552B02">
      <w:pPr>
        <w:pStyle w:val="Prrafodelista"/>
        <w:jc w:val="both"/>
        <w:rPr>
          <w:rStyle w:val="Ninguno"/>
          <w:rFonts w:cs="Times New Roman"/>
          <w:b/>
          <w:bCs/>
          <w:lang w:val="es-ES"/>
        </w:rPr>
      </w:pPr>
    </w:p>
    <w:p w:rsidR="00E262FA" w:rsidRPr="00580C2D" w:rsidRDefault="00580C2D" w:rsidP="002169AC">
      <w:pPr>
        <w:pStyle w:val="Sinespaciado"/>
        <w:numPr>
          <w:ilvl w:val="0"/>
          <w:numId w:val="3"/>
        </w:numPr>
        <w:ind w:left="0" w:firstLine="0"/>
        <w:rPr>
          <w:rStyle w:val="Ninguno"/>
          <w:lang w:val="es-ES"/>
        </w:rPr>
      </w:pPr>
      <w:r w:rsidRPr="00580C2D">
        <w:rPr>
          <w:rStyle w:val="Ninguno"/>
          <w:rFonts w:eastAsia="Arial Unicode MS"/>
          <w:b w:val="0"/>
          <w:bCs w:val="0"/>
          <w:lang w:val="es-ES"/>
        </w:rPr>
        <w:t>Finalmente, el instituto le advirtió a la Corte sobre el impacto que podría tener la presente decisión, toda vez que actualmente la mayoría de los municipios del país han establecido dentro de su jurisdicción el impuesto de de</w:t>
      </w:r>
      <w:r w:rsidRPr="00580C2D">
        <w:rPr>
          <w:rStyle w:val="Ninguno"/>
          <w:rFonts w:eastAsia="Arial Unicode MS"/>
          <w:b w:val="0"/>
          <w:bCs w:val="0"/>
          <w:lang w:val="es-ES"/>
        </w:rPr>
        <w:t>güello de ganado menor.</w:t>
      </w:r>
    </w:p>
    <w:p w:rsidR="00FD7E8A" w:rsidRPr="00580C2D" w:rsidRDefault="00580C2D" w:rsidP="00FD7E8A">
      <w:pPr>
        <w:pStyle w:val="Sinespaciado"/>
        <w:numPr>
          <w:ilvl w:val="0"/>
          <w:numId w:val="0"/>
        </w:numPr>
        <w:rPr>
          <w:lang w:val="es-ES"/>
        </w:rPr>
      </w:pPr>
    </w:p>
    <w:p w:rsidR="00E262FA" w:rsidRPr="00580C2D" w:rsidRDefault="00580C2D" w:rsidP="002169AC">
      <w:pPr>
        <w:pStyle w:val="Prrafodelista"/>
        <w:numPr>
          <w:ilvl w:val="0"/>
          <w:numId w:val="3"/>
        </w:numPr>
        <w:ind w:left="0" w:firstLine="0"/>
        <w:jc w:val="both"/>
        <w:rPr>
          <w:rFonts w:cs="Times New Roman"/>
          <w:lang w:val="es-ES"/>
        </w:rPr>
      </w:pPr>
      <w:r w:rsidRPr="00580C2D">
        <w:rPr>
          <w:rFonts w:cs="Times New Roman"/>
          <w:lang w:val="es-ES"/>
        </w:rPr>
        <w:t>L</w:t>
      </w:r>
      <w:r w:rsidRPr="00580C2D">
        <w:rPr>
          <w:rFonts w:cs="Times New Roman"/>
          <w:lang w:val="es-ES"/>
        </w:rPr>
        <w:t>a</w:t>
      </w:r>
      <w:r w:rsidRPr="00580C2D">
        <w:rPr>
          <w:rFonts w:cs="Times New Roman"/>
          <w:b/>
          <w:bCs/>
          <w:lang w:val="es-ES"/>
        </w:rPr>
        <w:t xml:space="preserve"> </w:t>
      </w:r>
      <w:r w:rsidRPr="00580C2D">
        <w:rPr>
          <w:rFonts w:cs="Times New Roman"/>
          <w:b/>
          <w:bCs/>
          <w:i/>
          <w:iCs/>
          <w:lang w:val="es-ES"/>
        </w:rPr>
        <w:t>Universidad de Antioquia</w:t>
      </w:r>
      <w:r w:rsidRPr="00580C2D">
        <w:rPr>
          <w:rStyle w:val="Refdenotaalpie"/>
          <w:rFonts w:cs="Times New Roman"/>
          <w:lang w:val="es-ES"/>
        </w:rPr>
        <w:footnoteReference w:id="22"/>
      </w:r>
      <w:r w:rsidRPr="00580C2D">
        <w:rPr>
          <w:rFonts w:cs="Times New Roman"/>
          <w:lang w:val="es-ES"/>
        </w:rPr>
        <w:t xml:space="preserve">, a través del Semillero de Derecho Tributario, presentó una intervención en la que consideró que esta Corte debe declarar la inconstitucionalidad de los artículos 172 y 226 del Decreto 1333 de 1986, </w:t>
      </w:r>
      <w:r w:rsidRPr="00580C2D">
        <w:rPr>
          <w:rFonts w:cs="Times New Roman"/>
          <w:lang w:val="es-ES"/>
        </w:rPr>
        <w:t xml:space="preserve">dado que “el Presidente de la República extralimitó sus funciones de codificación de las normas en materia de administración y funcionamiento de las autoridades territoriales, pues creó el impuesto de degüello menor, toda vez que, hasta ese momento, dicho </w:t>
      </w:r>
      <w:r w:rsidRPr="00580C2D">
        <w:rPr>
          <w:rFonts w:cs="Times New Roman"/>
          <w:lang w:val="es-ES"/>
        </w:rPr>
        <w:t>impuesto se encontraba derogado”</w:t>
      </w:r>
      <w:r w:rsidRPr="00580C2D">
        <w:rPr>
          <w:rStyle w:val="Refdenotaalpie"/>
          <w:rFonts w:cs="Times New Roman"/>
          <w:lang w:val="es-ES"/>
        </w:rPr>
        <w:footnoteReference w:id="23"/>
      </w:r>
      <w:r w:rsidRPr="00580C2D">
        <w:rPr>
          <w:rFonts w:cs="Times New Roman"/>
          <w:lang w:val="es-ES"/>
        </w:rPr>
        <w:t xml:space="preserve">. </w:t>
      </w:r>
    </w:p>
    <w:p w:rsidR="00E262FA" w:rsidRPr="00580C2D" w:rsidRDefault="00580C2D" w:rsidP="00552B02">
      <w:pPr>
        <w:jc w:val="both"/>
        <w:rPr>
          <w:rFonts w:ascii="Times New Roman" w:hAnsi="Times New Roman" w:cs="Times New Roman"/>
          <w:sz w:val="28"/>
          <w:lang w:val="es-ES"/>
        </w:rPr>
      </w:pPr>
    </w:p>
    <w:p w:rsidR="00E262FA" w:rsidRPr="00580C2D" w:rsidRDefault="00580C2D" w:rsidP="002169AC">
      <w:pPr>
        <w:pStyle w:val="Sinespaciado"/>
        <w:numPr>
          <w:ilvl w:val="0"/>
          <w:numId w:val="3"/>
        </w:numPr>
        <w:ind w:left="0" w:firstLine="0"/>
        <w:rPr>
          <w:rStyle w:val="Ninguno"/>
          <w:rFonts w:eastAsia="Arial Unicode MS"/>
          <w:lang w:val="es-ES"/>
        </w:rPr>
      </w:pPr>
      <w:r w:rsidRPr="00580C2D">
        <w:rPr>
          <w:rStyle w:val="Ninguno"/>
          <w:rFonts w:eastAsia="Arial Unicode MS"/>
          <w:b w:val="0"/>
          <w:bCs w:val="0"/>
          <w:lang w:val="es-ES"/>
        </w:rPr>
        <w:t>La</w:t>
      </w:r>
      <w:r w:rsidRPr="00580C2D">
        <w:rPr>
          <w:rStyle w:val="Ninguno"/>
          <w:rFonts w:eastAsia="Arial Unicode MS"/>
          <w:lang w:val="es-ES"/>
        </w:rPr>
        <w:t xml:space="preserve"> </w:t>
      </w:r>
      <w:r w:rsidRPr="00580C2D">
        <w:rPr>
          <w:rStyle w:val="Ninguno"/>
          <w:rFonts w:eastAsia="Arial Unicode MS"/>
          <w:i/>
          <w:iCs/>
          <w:lang w:val="es-ES"/>
        </w:rPr>
        <w:t>Federación Colombiana de Ganaderos –Fedeg</w:t>
      </w:r>
      <w:r w:rsidRPr="00580C2D">
        <w:rPr>
          <w:rStyle w:val="Ninguno"/>
          <w:rFonts w:eastAsia="Arial Unicode MS"/>
          <w:i/>
          <w:iCs/>
          <w:lang w:val="es-ES"/>
        </w:rPr>
        <w:t>a</w:t>
      </w:r>
      <w:r w:rsidRPr="00580C2D">
        <w:rPr>
          <w:rStyle w:val="Ninguno"/>
          <w:rFonts w:eastAsia="Arial Unicode MS"/>
          <w:i/>
          <w:iCs/>
          <w:lang w:val="es-ES"/>
        </w:rPr>
        <w:t>n</w:t>
      </w:r>
      <w:r w:rsidRPr="00580C2D">
        <w:rPr>
          <w:rStyle w:val="Ninguno"/>
          <w:rFonts w:eastAsia="Arial Unicode MS"/>
          <w:lang w:val="es-ES"/>
        </w:rPr>
        <w:t>–</w:t>
      </w:r>
      <w:r w:rsidRPr="00580C2D">
        <w:rPr>
          <w:rStyle w:val="Refdenotaalpie"/>
          <w:b w:val="0"/>
          <w:bCs w:val="0"/>
          <w:lang w:val="es-ES"/>
        </w:rPr>
        <w:footnoteReference w:id="24"/>
      </w:r>
      <w:r w:rsidRPr="00580C2D">
        <w:rPr>
          <w:rStyle w:val="Ninguno"/>
          <w:rFonts w:eastAsia="Arial Unicode MS"/>
          <w:b w:val="0"/>
          <w:bCs w:val="0"/>
          <w:lang w:val="es-ES"/>
        </w:rPr>
        <w:t xml:space="preserve"> remitió a esta Corte una intervención en la que se refirió al principio de certeza tributaria, siguiendo lo dispuesto por la Sentencia C-594 de 2010. Sostuvo que, en las leyes y facultades tributarias, no siempre resulta exigible que la determinación de l</w:t>
      </w:r>
      <w:r w:rsidRPr="00580C2D">
        <w:rPr>
          <w:rStyle w:val="Ninguno"/>
          <w:rFonts w:eastAsia="Arial Unicode MS"/>
          <w:b w:val="0"/>
          <w:bCs w:val="0"/>
          <w:lang w:val="es-ES"/>
        </w:rPr>
        <w:t xml:space="preserve">os elementos del tributo sea expresa, y que no se presenta transgresión del principio de legalidad tributaria cuando uno de los elementos de la obligación no está determinado en la ley, pero es determinable a partir de ella. </w:t>
      </w:r>
    </w:p>
    <w:p w:rsidR="00E262FA" w:rsidRPr="00580C2D" w:rsidRDefault="00580C2D" w:rsidP="00552B02">
      <w:pPr>
        <w:pStyle w:val="Prrafodelista"/>
        <w:jc w:val="both"/>
        <w:rPr>
          <w:rStyle w:val="Ninguno"/>
          <w:rFonts w:cs="Times New Roman"/>
          <w:b/>
          <w:bCs/>
          <w:lang w:val="es-ES"/>
        </w:rPr>
      </w:pPr>
    </w:p>
    <w:p w:rsidR="00E262FA" w:rsidRPr="00580C2D" w:rsidRDefault="00580C2D" w:rsidP="002169AC">
      <w:pPr>
        <w:pStyle w:val="Sinespaciado"/>
        <w:numPr>
          <w:ilvl w:val="0"/>
          <w:numId w:val="3"/>
        </w:numPr>
        <w:ind w:left="0" w:firstLine="0"/>
        <w:rPr>
          <w:rStyle w:val="Ninguno"/>
          <w:rFonts w:eastAsia="Arial Unicode MS"/>
          <w:lang w:val="es-ES"/>
        </w:rPr>
      </w:pPr>
      <w:r w:rsidRPr="00580C2D">
        <w:rPr>
          <w:rStyle w:val="Ninguno"/>
          <w:rFonts w:eastAsia="Arial Unicode MS"/>
          <w:b w:val="0"/>
          <w:bCs w:val="0"/>
          <w:lang w:val="es-ES"/>
        </w:rPr>
        <w:t>En relación con los cargos de</w:t>
      </w:r>
      <w:r w:rsidRPr="00580C2D">
        <w:rPr>
          <w:rStyle w:val="Ninguno"/>
          <w:rFonts w:eastAsia="Arial Unicode MS"/>
          <w:b w:val="0"/>
          <w:bCs w:val="0"/>
          <w:lang w:val="es-ES"/>
        </w:rPr>
        <w:t xml:space="preserve"> la demanda, no solicitó a la Corte de manera expresa declarar la exequibilidad o inexequibilidad de las normas demandadas, sino que se limitó a señalar la pertinencia de un acucioso análisis que determine si el ejecutivo excedió las facultades en relación</w:t>
      </w:r>
      <w:r w:rsidRPr="00580C2D">
        <w:rPr>
          <w:rStyle w:val="Ninguno"/>
          <w:rFonts w:eastAsia="Arial Unicode MS"/>
          <w:b w:val="0"/>
          <w:bCs w:val="0"/>
          <w:lang w:val="es-ES"/>
        </w:rPr>
        <w:t xml:space="preserve"> con los límites legales a propósito de la creación de tributos. Para ello sugirió la necesidad de estudiar la Ley 11 de 1986, considerando la normatividad vigente y que surgió con posterioridad a la Constitución Política de 1991. Además, recomendó verific</w:t>
      </w:r>
      <w:r w:rsidRPr="00580C2D">
        <w:rPr>
          <w:rStyle w:val="Ninguno"/>
          <w:rFonts w:eastAsia="Arial Unicode MS"/>
          <w:b w:val="0"/>
          <w:bCs w:val="0"/>
          <w:lang w:val="es-ES"/>
        </w:rPr>
        <w:t>ar el alcance de la autonomía territorial en relación con la creación de tributos y establecer si la potestad tributaria derivada que emana de las entidades territoriales riñe con la aplicación de normas vigentes o se sustenta en disposiciones legales dero</w:t>
      </w:r>
      <w:r w:rsidRPr="00580C2D">
        <w:rPr>
          <w:rStyle w:val="Ninguno"/>
          <w:rFonts w:eastAsia="Arial Unicode MS"/>
          <w:b w:val="0"/>
          <w:bCs w:val="0"/>
          <w:lang w:val="es-ES"/>
        </w:rPr>
        <w:t>gadas.</w:t>
      </w:r>
    </w:p>
    <w:p w:rsidR="00E262FA" w:rsidRPr="00580C2D" w:rsidRDefault="00580C2D" w:rsidP="00552B02">
      <w:pPr>
        <w:pStyle w:val="Sinespaciado"/>
        <w:numPr>
          <w:ilvl w:val="0"/>
          <w:numId w:val="0"/>
        </w:numPr>
        <w:rPr>
          <w:rStyle w:val="Ninguno"/>
          <w:rFonts w:eastAsia="Arial Unicode MS"/>
          <w:lang w:val="es-ES"/>
        </w:rPr>
      </w:pPr>
    </w:p>
    <w:p w:rsidR="00C01FEC" w:rsidRPr="00580C2D" w:rsidRDefault="00580C2D" w:rsidP="00552B02">
      <w:pPr>
        <w:pStyle w:val="Sinespaciado"/>
        <w:numPr>
          <w:ilvl w:val="0"/>
          <w:numId w:val="0"/>
        </w:numPr>
        <w:rPr>
          <w:rStyle w:val="Ninguno"/>
          <w:rFonts w:eastAsia="Arial Unicode MS"/>
          <w:lang w:val="es-ES"/>
        </w:rPr>
      </w:pPr>
    </w:p>
    <w:p w:rsidR="00C01FEC" w:rsidRPr="00580C2D" w:rsidRDefault="00580C2D" w:rsidP="006C40EF">
      <w:pPr>
        <w:pStyle w:val="Sinespaciado"/>
        <w:rPr>
          <w:rStyle w:val="Ninguno"/>
          <w:rFonts w:eastAsia="Arial Unicode MS"/>
          <w:lang w:val="es-ES"/>
        </w:rPr>
      </w:pPr>
      <w:r w:rsidRPr="00580C2D">
        <w:rPr>
          <w:rStyle w:val="Ninguno"/>
          <w:rFonts w:eastAsia="Arial Unicode MS"/>
          <w:lang w:val="es-ES"/>
        </w:rPr>
        <w:t>CONCEPTO DE LA PROCURADORA GENERAL DE LA NACIÓN</w:t>
      </w:r>
      <w:r w:rsidRPr="00580C2D">
        <w:rPr>
          <w:rStyle w:val="Refdenotaalpie"/>
          <w:b w:val="0"/>
          <w:bCs w:val="0"/>
          <w:lang w:val="es-ES"/>
        </w:rPr>
        <w:footnoteReference w:id="25"/>
      </w:r>
    </w:p>
    <w:p w:rsidR="00E262FA" w:rsidRPr="00580C2D" w:rsidRDefault="00580C2D" w:rsidP="00273CF0">
      <w:pPr>
        <w:pStyle w:val="CuerpoA"/>
        <w:jc w:val="both"/>
        <w:rPr>
          <w:rStyle w:val="Ninguno"/>
          <w:rFonts w:ascii="Times New Roman" w:hAnsi="Times New Roman" w:cs="Times New Roman"/>
          <w:sz w:val="28"/>
          <w:szCs w:val="28"/>
          <w:lang w:val="es-ES"/>
        </w:rPr>
      </w:pPr>
    </w:p>
    <w:p w:rsidR="00E262FA" w:rsidRPr="00580C2D" w:rsidRDefault="00580C2D" w:rsidP="002169AC">
      <w:pPr>
        <w:pStyle w:val="Prrafodelista"/>
        <w:numPr>
          <w:ilvl w:val="0"/>
          <w:numId w:val="3"/>
        </w:numPr>
        <w:ind w:left="0" w:right="40" w:firstLine="0"/>
        <w:jc w:val="both"/>
        <w:rPr>
          <w:rStyle w:val="Ninguno"/>
          <w:rFonts w:cs="Times New Roman"/>
          <w:lang w:val="es-ES"/>
        </w:rPr>
      </w:pPr>
      <w:r w:rsidRPr="00580C2D">
        <w:rPr>
          <w:rStyle w:val="Ninguno"/>
          <w:rFonts w:cs="Times New Roman"/>
          <w:lang w:val="es-ES"/>
        </w:rPr>
        <w:t xml:space="preserve">El 23 de febrero de 2024, la Procuradora General de la Nación rindió un concepto en el que solicitó a la Corte Constitucional que declare la </w:t>
      </w:r>
      <w:r w:rsidRPr="00580C2D">
        <w:rPr>
          <w:rStyle w:val="Ninguno"/>
          <w:rFonts w:cs="Times New Roman"/>
          <w:b/>
          <w:bCs/>
          <w:lang w:val="es-ES"/>
        </w:rPr>
        <w:t>exequibilidad</w:t>
      </w:r>
      <w:r w:rsidRPr="00580C2D">
        <w:rPr>
          <w:rStyle w:val="Ninguno"/>
          <w:rFonts w:cs="Times New Roman"/>
          <w:lang w:val="es-ES"/>
        </w:rPr>
        <w:t xml:space="preserve"> de los artículos demandados, por considerar que no desconocen el artículo 150.10 superior.</w:t>
      </w:r>
    </w:p>
    <w:p w:rsidR="00E262FA" w:rsidRPr="00580C2D" w:rsidRDefault="00580C2D" w:rsidP="00552B02">
      <w:pPr>
        <w:pStyle w:val="Prrafodelista"/>
        <w:ind w:left="0" w:right="40"/>
        <w:jc w:val="both"/>
        <w:rPr>
          <w:rStyle w:val="Ninguno"/>
          <w:rFonts w:cs="Times New Roman"/>
          <w:lang w:val="es-ES"/>
        </w:rPr>
      </w:pPr>
    </w:p>
    <w:p w:rsidR="00E262FA" w:rsidRPr="00580C2D" w:rsidRDefault="00580C2D" w:rsidP="002169AC">
      <w:pPr>
        <w:pStyle w:val="Prrafodelista"/>
        <w:numPr>
          <w:ilvl w:val="0"/>
          <w:numId w:val="3"/>
        </w:numPr>
        <w:ind w:left="0" w:right="40" w:firstLine="0"/>
        <w:jc w:val="both"/>
        <w:rPr>
          <w:rStyle w:val="Ninguno"/>
          <w:rFonts w:cs="Times New Roman"/>
          <w:b/>
          <w:bCs/>
          <w:i/>
          <w:iCs/>
          <w:lang w:val="es-ES"/>
        </w:rPr>
      </w:pPr>
      <w:r w:rsidRPr="00580C2D">
        <w:rPr>
          <w:rStyle w:val="Ninguno"/>
          <w:rFonts w:cs="Times New Roman"/>
          <w:lang w:val="es-ES"/>
        </w:rPr>
        <w:t xml:space="preserve">El Ministerio Público argumentó, que la delegación legislativa a favor del </w:t>
      </w:r>
      <w:r w:rsidRPr="00580C2D">
        <w:rPr>
          <w:rStyle w:val="Ninguno"/>
          <w:rFonts w:cs="Times New Roman"/>
          <w:lang w:val="es-ES"/>
        </w:rPr>
        <w:t>p</w:t>
      </w:r>
      <w:r w:rsidRPr="00580C2D">
        <w:rPr>
          <w:rStyle w:val="Ninguno"/>
          <w:rFonts w:cs="Times New Roman"/>
          <w:lang w:val="es-ES"/>
        </w:rPr>
        <w:t xml:space="preserve">residente de la República es una técnica de ordenación autorizada por el Constituyente </w:t>
      </w:r>
      <w:r w:rsidRPr="00580C2D">
        <w:rPr>
          <w:rStyle w:val="Ninguno"/>
          <w:rFonts w:cs="Times New Roman"/>
          <w:lang w:val="es-ES"/>
        </w:rPr>
        <w:t xml:space="preserve">para facilitar la regulación expedita de determinadas materias, sin necesidad de acudir al complejo procedimiento parlamentario. </w:t>
      </w:r>
    </w:p>
    <w:p w:rsidR="00E262FA" w:rsidRPr="00580C2D" w:rsidRDefault="00580C2D" w:rsidP="00552B02">
      <w:pPr>
        <w:pStyle w:val="Prrafodelista"/>
        <w:jc w:val="both"/>
        <w:rPr>
          <w:rStyle w:val="Ninguno"/>
          <w:rFonts w:cs="Times New Roman"/>
          <w:b/>
          <w:bCs/>
          <w:lang w:val="es-ES"/>
        </w:rPr>
      </w:pPr>
    </w:p>
    <w:p w:rsidR="00E262FA" w:rsidRPr="00580C2D" w:rsidRDefault="00580C2D" w:rsidP="002169AC">
      <w:pPr>
        <w:pStyle w:val="Prrafodelista"/>
        <w:numPr>
          <w:ilvl w:val="0"/>
          <w:numId w:val="3"/>
        </w:numPr>
        <w:ind w:left="0" w:right="40" w:firstLine="0"/>
        <w:jc w:val="both"/>
        <w:rPr>
          <w:rStyle w:val="Ninguno"/>
          <w:rFonts w:cs="Times New Roman"/>
          <w:b/>
          <w:bCs/>
          <w:i/>
          <w:iCs/>
          <w:lang w:val="es-ES"/>
        </w:rPr>
      </w:pPr>
      <w:r w:rsidRPr="00580C2D">
        <w:rPr>
          <w:rStyle w:val="Ninguno"/>
          <w:rFonts w:cs="Times New Roman"/>
          <w:lang w:val="es-ES"/>
        </w:rPr>
        <w:t xml:space="preserve">Sostuvo que los requisitos para realizar dicha delegación han cambiado en el tiempo. Así, para la Carta Política de 1886 era </w:t>
      </w:r>
      <w:r w:rsidRPr="00580C2D">
        <w:rPr>
          <w:rStyle w:val="Ninguno"/>
          <w:rFonts w:cs="Times New Roman"/>
          <w:lang w:val="es-ES"/>
        </w:rPr>
        <w:t xml:space="preserve">posible habilitar al </w:t>
      </w:r>
      <w:r w:rsidRPr="00580C2D">
        <w:rPr>
          <w:rStyle w:val="Ninguno"/>
          <w:rFonts w:cs="Times New Roman"/>
          <w:lang w:val="es-ES"/>
        </w:rPr>
        <w:t>p</w:t>
      </w:r>
      <w:r w:rsidRPr="00580C2D">
        <w:rPr>
          <w:rStyle w:val="Ninguno"/>
          <w:rFonts w:cs="Times New Roman"/>
          <w:lang w:val="es-ES"/>
        </w:rPr>
        <w:t>residente de la República para expedir códigos y adoptar impuestos, pero en la Constitución de 1991 esto se encuentra prohibido.</w:t>
      </w:r>
    </w:p>
    <w:p w:rsidR="00E262FA" w:rsidRPr="00580C2D" w:rsidRDefault="00580C2D" w:rsidP="00552B02">
      <w:pPr>
        <w:pStyle w:val="Prrafodelista"/>
        <w:jc w:val="both"/>
        <w:rPr>
          <w:rStyle w:val="Ninguno"/>
          <w:rFonts w:cs="Times New Roman"/>
          <w:b/>
          <w:bCs/>
          <w:i/>
          <w:iCs/>
          <w:lang w:val="es-ES"/>
        </w:rPr>
      </w:pPr>
    </w:p>
    <w:p w:rsidR="00E262FA" w:rsidRPr="00580C2D" w:rsidRDefault="00580C2D" w:rsidP="002169AC">
      <w:pPr>
        <w:pStyle w:val="Prrafodelista"/>
        <w:numPr>
          <w:ilvl w:val="0"/>
          <w:numId w:val="3"/>
        </w:numPr>
        <w:ind w:left="0" w:right="40" w:firstLine="0"/>
        <w:jc w:val="both"/>
        <w:rPr>
          <w:rStyle w:val="Ninguno"/>
          <w:rFonts w:cs="Times New Roman"/>
          <w:b/>
          <w:bCs/>
          <w:i/>
          <w:iCs/>
          <w:lang w:val="es-ES"/>
        </w:rPr>
      </w:pPr>
      <w:r w:rsidRPr="00580C2D">
        <w:rPr>
          <w:rStyle w:val="Ninguno"/>
          <w:rFonts w:cs="Times New Roman"/>
          <w:lang w:val="es-ES"/>
        </w:rPr>
        <w:t xml:space="preserve">Teniendo en cuenta lo anterior, advirtió que no es posible adelantar el control de validez propuesto en </w:t>
      </w:r>
      <w:r w:rsidRPr="00580C2D">
        <w:rPr>
          <w:rStyle w:val="Ninguno"/>
          <w:rFonts w:cs="Times New Roman"/>
          <w:lang w:val="es-ES"/>
        </w:rPr>
        <w:t>la demanda contra los artículos 172 y 226 del Decreto Ley 1333 de 1986, puesto que el actor utiliza el marco establecido por la Constitución de 1991, a pesar de que las disposiciones acusadas se expidieron durante la vigencia de la Carta Política de 1886.</w:t>
      </w:r>
      <w:r w:rsidRPr="00580C2D">
        <w:rPr>
          <w:rStyle w:val="Ninguno"/>
          <w:rFonts w:cs="Times New Roman"/>
          <w:b/>
          <w:bCs/>
          <w:i/>
          <w:iCs/>
          <w:lang w:val="es-ES"/>
        </w:rPr>
        <w:t xml:space="preserve"> </w:t>
      </w:r>
      <w:r w:rsidRPr="00580C2D">
        <w:rPr>
          <w:rStyle w:val="Ninguno"/>
          <w:rFonts w:cs="Times New Roman"/>
          <w:lang w:val="es-ES"/>
        </w:rPr>
        <w:t>Para respaldar su argumento, señaló lo siguiente:</w:t>
      </w:r>
    </w:p>
    <w:p w:rsidR="00E262FA" w:rsidRPr="00580C2D" w:rsidRDefault="00580C2D" w:rsidP="00552B02">
      <w:pPr>
        <w:pStyle w:val="Prrafodelista"/>
        <w:jc w:val="both"/>
        <w:rPr>
          <w:rStyle w:val="Ninguno"/>
          <w:rFonts w:cs="Times New Roman"/>
          <w:lang w:val="es-ES"/>
        </w:rPr>
      </w:pPr>
    </w:p>
    <w:p w:rsidR="00E262FA" w:rsidRPr="00580C2D" w:rsidRDefault="00580C2D" w:rsidP="00552B02">
      <w:pPr>
        <w:pStyle w:val="Prrafodelista"/>
        <w:ind w:left="708" w:right="40"/>
        <w:jc w:val="both"/>
        <w:rPr>
          <w:rStyle w:val="Ninguno"/>
          <w:rFonts w:cs="Times New Roman"/>
          <w:b/>
          <w:bCs/>
          <w:i/>
          <w:iCs/>
          <w:lang w:val="es-ES"/>
        </w:rPr>
      </w:pPr>
      <w:r w:rsidRPr="00580C2D">
        <w:rPr>
          <w:rStyle w:val="Ninguno"/>
          <w:rFonts w:cs="Times New Roman"/>
          <w:lang w:val="es-ES"/>
        </w:rPr>
        <w:t xml:space="preserve">(i) que el numeral 12 del artículo 72 de la Carta Política de 1886 permitía la delegación legislativa al </w:t>
      </w:r>
      <w:r w:rsidRPr="00580C2D">
        <w:rPr>
          <w:rStyle w:val="Ninguno"/>
          <w:rFonts w:cs="Times New Roman"/>
          <w:lang w:val="es-ES"/>
        </w:rPr>
        <w:t>presidente</w:t>
      </w:r>
      <w:r w:rsidRPr="00580C2D">
        <w:rPr>
          <w:rStyle w:val="Ninguno"/>
          <w:rFonts w:cs="Times New Roman"/>
          <w:lang w:val="es-ES"/>
        </w:rPr>
        <w:t xml:space="preserve"> de la República para efectos de expedir impuestos, compilar y codificar la legislación vi</w:t>
      </w:r>
      <w:r w:rsidRPr="00580C2D">
        <w:rPr>
          <w:rStyle w:val="Ninguno"/>
          <w:rFonts w:cs="Times New Roman"/>
          <w:lang w:val="es-ES"/>
        </w:rPr>
        <w:t>gente. Indicó que, además de la mera reorganización de la normativa sobre una materia, era común también renumerar y sistematizar disposiciones, la fusión de preceptos, la eliminación de contradicciones, la subrogación de reglas, la actualización de la inf</w:t>
      </w:r>
      <w:r w:rsidRPr="00580C2D">
        <w:rPr>
          <w:rStyle w:val="Ninguno"/>
          <w:rFonts w:cs="Times New Roman"/>
          <w:lang w:val="es-ES"/>
        </w:rPr>
        <w:t>ormación, así como la supleción de vacíos</w:t>
      </w:r>
      <w:r w:rsidRPr="00580C2D">
        <w:rPr>
          <w:rStyle w:val="Refdenotaalpie"/>
          <w:rFonts w:cs="Times New Roman"/>
          <w:lang w:val="es-ES"/>
        </w:rPr>
        <w:footnoteReference w:id="26"/>
      </w:r>
      <w:r w:rsidRPr="00580C2D">
        <w:rPr>
          <w:rStyle w:val="Ninguno"/>
          <w:rFonts w:cs="Times New Roman"/>
          <w:lang w:val="es-ES"/>
        </w:rPr>
        <w:t>;</w:t>
      </w:r>
    </w:p>
    <w:p w:rsidR="00E262FA" w:rsidRPr="00580C2D" w:rsidRDefault="00580C2D" w:rsidP="00552B02">
      <w:pPr>
        <w:pStyle w:val="Prrafodelista"/>
        <w:jc w:val="both"/>
        <w:rPr>
          <w:rStyle w:val="Ninguno"/>
          <w:rFonts w:cs="Times New Roman"/>
          <w:b/>
          <w:bCs/>
          <w:i/>
          <w:iCs/>
          <w:lang w:val="es-ES"/>
        </w:rPr>
      </w:pPr>
    </w:p>
    <w:p w:rsidR="00E262FA" w:rsidRPr="00580C2D" w:rsidRDefault="00580C2D" w:rsidP="00552B02">
      <w:pPr>
        <w:pStyle w:val="Prrafodelista"/>
        <w:ind w:left="708" w:right="40"/>
        <w:jc w:val="both"/>
        <w:rPr>
          <w:rStyle w:val="Ninguno"/>
          <w:rFonts w:cs="Times New Roman"/>
          <w:b/>
          <w:bCs/>
          <w:i/>
          <w:iCs/>
          <w:lang w:val="es-ES"/>
        </w:rPr>
      </w:pPr>
      <w:r w:rsidRPr="00580C2D">
        <w:rPr>
          <w:rStyle w:val="Ninguno"/>
          <w:rFonts w:cs="Times New Roman"/>
          <w:lang w:val="es-ES"/>
        </w:rPr>
        <w:t xml:space="preserve">(ii) que en el artículo 76 de la Ley 11 de 1986 el legislador revistió al </w:t>
      </w:r>
      <w:r w:rsidRPr="00580C2D">
        <w:rPr>
          <w:rStyle w:val="Ninguno"/>
          <w:rFonts w:cs="Times New Roman"/>
          <w:lang w:val="es-ES"/>
        </w:rPr>
        <w:t>presidente</w:t>
      </w:r>
      <w:r w:rsidRPr="00580C2D">
        <w:rPr>
          <w:rStyle w:val="Ninguno"/>
          <w:rFonts w:cs="Times New Roman"/>
          <w:lang w:val="es-ES"/>
        </w:rPr>
        <w:t xml:space="preserve"> de la República de facultades extraordinarias, por el término de 100 días para “codificar las disposiciones constitucionales y</w:t>
      </w:r>
      <w:r w:rsidRPr="00580C2D">
        <w:rPr>
          <w:rStyle w:val="Ninguno"/>
          <w:rFonts w:cs="Times New Roman"/>
          <w:lang w:val="es-ES"/>
        </w:rPr>
        <w:t xml:space="preserve"> legales vigentes para la organización y el funcionamiento de la Administración Municipal. La numeración comenzará por la unidad y los títulos se nominarán y ordenarán de acuerdo con el contenido de las disposiciones que se codifiquen”;</w:t>
      </w:r>
    </w:p>
    <w:p w:rsidR="00E262FA" w:rsidRPr="00580C2D" w:rsidRDefault="00580C2D" w:rsidP="00552B02">
      <w:pPr>
        <w:pStyle w:val="Prrafodelista"/>
        <w:jc w:val="both"/>
        <w:rPr>
          <w:rStyle w:val="Ninguno"/>
          <w:rFonts w:cs="Times New Roman"/>
          <w:b/>
          <w:bCs/>
          <w:i/>
          <w:iCs/>
          <w:lang w:val="es-ES"/>
        </w:rPr>
      </w:pPr>
    </w:p>
    <w:p w:rsidR="00E262FA" w:rsidRPr="00580C2D" w:rsidRDefault="00580C2D" w:rsidP="00552B02">
      <w:pPr>
        <w:pStyle w:val="Prrafodelista"/>
        <w:ind w:left="708" w:right="40"/>
        <w:jc w:val="both"/>
        <w:rPr>
          <w:rStyle w:val="Ninguno"/>
          <w:rFonts w:cs="Times New Roman"/>
          <w:b/>
          <w:bCs/>
          <w:i/>
          <w:iCs/>
          <w:lang w:val="es-ES"/>
        </w:rPr>
      </w:pPr>
      <w:r w:rsidRPr="00580C2D">
        <w:rPr>
          <w:rStyle w:val="Ninguno"/>
          <w:rFonts w:cs="Times New Roman"/>
          <w:lang w:val="es-ES"/>
        </w:rPr>
        <w:t>(iii) que en los a</w:t>
      </w:r>
      <w:r w:rsidRPr="00580C2D">
        <w:rPr>
          <w:rStyle w:val="Ninguno"/>
          <w:rFonts w:cs="Times New Roman"/>
          <w:lang w:val="es-ES"/>
        </w:rPr>
        <w:t xml:space="preserve">rtículos 172 y 226 del Decreto Ley 1333 de 1886, en ejercicio de la referida habilitación, se compiló la legislación existente sobre el impuesto de degüello de ganado menor, que se encontraba contenida en los artículos 3 de la Ley 31 de 1945 y 2 de la Ley </w:t>
      </w:r>
      <w:r w:rsidRPr="00580C2D">
        <w:rPr>
          <w:rStyle w:val="Ninguno"/>
          <w:rFonts w:cs="Times New Roman"/>
          <w:lang w:val="es-ES"/>
        </w:rPr>
        <w:t>20 de 1946 y se sistematizó la aplicación del tributo en el contexto del Código de Régimen Municipal, atendiendo a la normatividad previa sobre la materia.</w:t>
      </w:r>
    </w:p>
    <w:p w:rsidR="00E262FA" w:rsidRPr="00580C2D" w:rsidRDefault="00580C2D" w:rsidP="00552B02">
      <w:pPr>
        <w:pStyle w:val="Prrafodelista"/>
        <w:jc w:val="both"/>
        <w:rPr>
          <w:rStyle w:val="Ninguno"/>
          <w:rFonts w:cs="Times New Roman"/>
          <w:b/>
          <w:bCs/>
          <w:i/>
          <w:iCs/>
          <w:lang w:val="es-ES"/>
        </w:rPr>
      </w:pPr>
    </w:p>
    <w:p w:rsidR="00E262FA" w:rsidRPr="00580C2D" w:rsidRDefault="00580C2D" w:rsidP="002169AC">
      <w:pPr>
        <w:pStyle w:val="Prrafodelista"/>
        <w:numPr>
          <w:ilvl w:val="0"/>
          <w:numId w:val="3"/>
        </w:numPr>
        <w:ind w:left="0" w:right="40" w:firstLine="0"/>
        <w:jc w:val="both"/>
        <w:rPr>
          <w:rStyle w:val="Ninguno"/>
          <w:rFonts w:cs="Times New Roman"/>
          <w:b/>
          <w:bCs/>
          <w:i/>
          <w:iCs/>
          <w:lang w:val="es-ES"/>
        </w:rPr>
      </w:pPr>
      <w:r w:rsidRPr="00580C2D">
        <w:rPr>
          <w:rStyle w:val="Ninguno"/>
          <w:rFonts w:cs="Times New Roman"/>
          <w:lang w:val="es-ES"/>
        </w:rPr>
        <w:t>Teniendo en cuenta lo anterior, para la Procuraduría las normas acusadas resultan constitucionales,</w:t>
      </w:r>
      <w:r w:rsidRPr="00580C2D">
        <w:rPr>
          <w:rStyle w:val="Ninguno"/>
          <w:rFonts w:cs="Times New Roman"/>
          <w:lang w:val="es-ES"/>
        </w:rPr>
        <w:t xml:space="preserve"> en tanto se produjeron en el marco de la delegación legislativa establecida en el numeral 12 del artículo 76 de la Carta Política de 1886. Coincidió entonces la Vista Fiscal con algunos de los intervinientes que señalaron que, a su juicio, el </w:t>
      </w:r>
      <w:r w:rsidRPr="00580C2D">
        <w:rPr>
          <w:rStyle w:val="Ninguno"/>
          <w:rFonts w:cs="Times New Roman"/>
          <w:lang w:val="es-ES"/>
        </w:rPr>
        <w:t>presidente</w:t>
      </w:r>
      <w:r w:rsidRPr="00580C2D">
        <w:rPr>
          <w:rStyle w:val="Ninguno"/>
          <w:rFonts w:cs="Times New Roman"/>
          <w:lang w:val="es-ES"/>
        </w:rPr>
        <w:t xml:space="preserve"> d</w:t>
      </w:r>
      <w:r w:rsidRPr="00580C2D">
        <w:rPr>
          <w:rStyle w:val="Ninguno"/>
          <w:rFonts w:cs="Times New Roman"/>
          <w:lang w:val="es-ES"/>
        </w:rPr>
        <w:t>e la República no creó un impuesto a través del Decreto Ley 1333 de 1986, sino que recogió los antecedentes normativos sobre la existencia y administración del tributo que le resultaban aplicables a todos los municipios.</w:t>
      </w:r>
    </w:p>
    <w:p w:rsidR="00E262FA" w:rsidRPr="00580C2D" w:rsidRDefault="00580C2D" w:rsidP="00552B02">
      <w:pPr>
        <w:pStyle w:val="Prrafodelista"/>
        <w:jc w:val="both"/>
        <w:rPr>
          <w:rStyle w:val="Ninguno"/>
          <w:rFonts w:cs="Times New Roman"/>
          <w:b/>
          <w:bCs/>
          <w:i/>
          <w:iCs/>
          <w:lang w:val="es-ES"/>
        </w:rPr>
      </w:pPr>
    </w:p>
    <w:p w:rsidR="00E262FA" w:rsidRPr="00580C2D" w:rsidRDefault="00580C2D" w:rsidP="002169AC">
      <w:pPr>
        <w:pStyle w:val="Prrafodelista"/>
        <w:numPr>
          <w:ilvl w:val="0"/>
          <w:numId w:val="3"/>
        </w:numPr>
        <w:ind w:left="0" w:right="40" w:firstLine="0"/>
        <w:jc w:val="both"/>
        <w:rPr>
          <w:rStyle w:val="Ninguno"/>
          <w:rFonts w:cs="Times New Roman"/>
          <w:b/>
          <w:bCs/>
          <w:i/>
          <w:iCs/>
          <w:lang w:val="es-ES"/>
        </w:rPr>
      </w:pPr>
      <w:r w:rsidRPr="00580C2D">
        <w:rPr>
          <w:rStyle w:val="Ninguno"/>
          <w:rFonts w:cs="Times New Roman"/>
          <w:lang w:val="es-ES"/>
        </w:rPr>
        <w:t>Así mismo, consideró que los artíc</w:t>
      </w:r>
      <w:r w:rsidRPr="00580C2D">
        <w:rPr>
          <w:rStyle w:val="Ninguno"/>
          <w:rFonts w:cs="Times New Roman"/>
          <w:lang w:val="es-ES"/>
        </w:rPr>
        <w:t>ulos demandados son respetuosos de la distribución de competencias entre la Nación y los municipios en materia de impuestos territoriales. Adujo que, de conformidad con los artículos 150.2 y 338 de la Constitución Política y la jurisprudencia constituciona</w:t>
      </w:r>
      <w:r w:rsidRPr="00580C2D">
        <w:rPr>
          <w:rStyle w:val="Ninguno"/>
          <w:rFonts w:cs="Times New Roman"/>
          <w:lang w:val="es-ES"/>
        </w:rPr>
        <w:t>l, cuando se trata de la creación de tributos de carácter nacional, el Congreso de la República debe establecer todos sus elementos de forma clara e inequívoca (hecho generador, base gravable, sujeto activo, sujeto pasivo y tarifa). En cambio, cuando se tr</w:t>
      </w:r>
      <w:r w:rsidRPr="00580C2D">
        <w:rPr>
          <w:rStyle w:val="Ninguno"/>
          <w:rFonts w:cs="Times New Roman"/>
          <w:lang w:val="es-ES"/>
        </w:rPr>
        <w:t>ata tributos territoriales, el legislador es el encargado de autorizar su creación, a la vez que se encuentra facultado para definir los elementos de estos o dejar su ordenación a las asambleas departamentales y los concejos municipales. En todo caso, la i</w:t>
      </w:r>
      <w:r w:rsidRPr="00580C2D">
        <w:rPr>
          <w:rStyle w:val="Ninguno"/>
          <w:rFonts w:cs="Times New Roman"/>
          <w:lang w:val="es-ES"/>
        </w:rPr>
        <w:t>mplementación del impuesto será potestativa de las autoridades locales, debido a su autonomía territorial.</w:t>
      </w:r>
      <w:r w:rsidRPr="00580C2D">
        <w:rPr>
          <w:rStyle w:val="Refdenotaalpie"/>
          <w:rFonts w:cs="Times New Roman"/>
          <w:lang w:val="es-ES"/>
        </w:rPr>
        <w:footnoteReference w:id="27"/>
      </w:r>
    </w:p>
    <w:p w:rsidR="00E262FA" w:rsidRPr="00580C2D" w:rsidRDefault="00580C2D" w:rsidP="00552B02">
      <w:pPr>
        <w:ind w:right="40"/>
        <w:jc w:val="both"/>
        <w:rPr>
          <w:rStyle w:val="Ninguno"/>
          <w:rFonts w:ascii="Times New Roman" w:eastAsia="Arial Unicode MS" w:hAnsi="Times New Roman" w:cs="Times New Roman"/>
          <w:b/>
          <w:bCs/>
          <w:i/>
          <w:iCs/>
          <w:sz w:val="28"/>
          <w:lang w:val="es-ES"/>
        </w:rPr>
      </w:pPr>
    </w:p>
    <w:p w:rsidR="0009603B" w:rsidRPr="00580C2D" w:rsidRDefault="00580C2D" w:rsidP="00552B02">
      <w:pPr>
        <w:ind w:right="40"/>
        <w:jc w:val="both"/>
        <w:rPr>
          <w:rStyle w:val="Ninguno"/>
          <w:rFonts w:ascii="Times New Roman" w:eastAsia="Arial Unicode MS" w:hAnsi="Times New Roman" w:cs="Times New Roman"/>
          <w:b/>
          <w:bCs/>
          <w:i/>
          <w:iCs/>
          <w:sz w:val="28"/>
          <w:lang w:val="es-ES"/>
        </w:rPr>
      </w:pPr>
    </w:p>
    <w:p w:rsidR="00E262FA" w:rsidRPr="00580C2D" w:rsidRDefault="00580C2D" w:rsidP="006C40EF">
      <w:pPr>
        <w:pStyle w:val="Sinespaciado"/>
        <w:rPr>
          <w:rStyle w:val="Ninguno"/>
          <w:rFonts w:eastAsia="Arial Unicode MS"/>
          <w:b w:val="0"/>
          <w:bCs w:val="0"/>
          <w:color w:val="auto"/>
          <w:szCs w:val="24"/>
          <w:bdr w:val="none" w:sz="0" w:space="0" w:color="auto"/>
          <w:lang w:val="es-ES"/>
        </w:rPr>
      </w:pPr>
      <w:r w:rsidRPr="00580C2D">
        <w:rPr>
          <w:rStyle w:val="Ninguno"/>
          <w:rFonts w:eastAsia="Arial Unicode MS"/>
          <w:lang w:val="es-ES"/>
        </w:rPr>
        <w:t>CONSIDERACIONES DE LA CORTE CONSTITUCIONAL</w:t>
      </w:r>
    </w:p>
    <w:p w:rsidR="00E262FA" w:rsidRPr="00580C2D" w:rsidRDefault="00580C2D" w:rsidP="00552B02">
      <w:pPr>
        <w:pStyle w:val="CuerpoA"/>
        <w:ind w:right="51"/>
        <w:jc w:val="both"/>
        <w:rPr>
          <w:rFonts w:ascii="Times New Roman" w:hAnsi="Times New Roman" w:cs="Times New Roman"/>
          <w:sz w:val="28"/>
          <w:lang w:val="es-ES"/>
        </w:rPr>
      </w:pPr>
    </w:p>
    <w:p w:rsidR="000D0CD1" w:rsidRPr="00580C2D" w:rsidRDefault="00580C2D" w:rsidP="000D0CD1">
      <w:pPr>
        <w:pStyle w:val="Prrafodelista"/>
        <w:numPr>
          <w:ilvl w:val="0"/>
          <w:numId w:val="3"/>
        </w:numPr>
        <w:ind w:left="0" w:firstLine="0"/>
        <w:jc w:val="both"/>
        <w:rPr>
          <w:rFonts w:cs="Times New Roman"/>
          <w:lang w:val="es-ES"/>
        </w:rPr>
      </w:pPr>
      <w:r w:rsidRPr="00580C2D">
        <w:rPr>
          <w:rFonts w:cs="Times New Roman"/>
          <w:i/>
          <w:iCs/>
          <w:lang w:val="es-ES"/>
        </w:rPr>
        <w:t>Competencia.</w:t>
      </w:r>
      <w:r w:rsidRPr="00580C2D">
        <w:rPr>
          <w:rFonts w:cs="Times New Roman"/>
          <w:b/>
          <w:bCs/>
          <w:i/>
          <w:iCs/>
          <w:lang w:val="es-ES"/>
        </w:rPr>
        <w:t xml:space="preserve"> </w:t>
      </w:r>
      <w:r w:rsidRPr="00580C2D">
        <w:rPr>
          <w:rFonts w:cs="Times New Roman"/>
          <w:lang w:val="es-ES"/>
        </w:rPr>
        <w:t>Esta corporación es competente para conocer de la presente demanda, de conformidad con lo</w:t>
      </w:r>
      <w:r w:rsidRPr="00580C2D">
        <w:rPr>
          <w:rFonts w:cs="Times New Roman"/>
          <w:lang w:val="es-ES"/>
        </w:rPr>
        <w:t xml:space="preserve"> previsto en el artículo 241 numeral 5° de la Constitución</w:t>
      </w:r>
      <w:r w:rsidRPr="00580C2D">
        <w:rPr>
          <w:rFonts w:cs="Times New Roman"/>
          <w:lang w:val="es-ES"/>
        </w:rPr>
        <w:t xml:space="preserve"> Política</w:t>
      </w:r>
      <w:r w:rsidRPr="00580C2D">
        <w:rPr>
          <w:rFonts w:cs="Times New Roman"/>
          <w:lang w:val="es-ES"/>
        </w:rPr>
        <w:t xml:space="preserve">, por cuanto la disposición demandada hace parte de un decreto </w:t>
      </w:r>
      <w:r w:rsidRPr="00580C2D">
        <w:rPr>
          <w:rFonts w:cs="Times New Roman"/>
          <w:lang w:val="es-ES"/>
        </w:rPr>
        <w:t xml:space="preserve">ley </w:t>
      </w:r>
      <w:r w:rsidRPr="00580C2D">
        <w:rPr>
          <w:rFonts w:cs="Times New Roman"/>
          <w:lang w:val="es-ES"/>
        </w:rPr>
        <w:t xml:space="preserve">que, en su momento, se expidió por el </w:t>
      </w:r>
      <w:r w:rsidRPr="00580C2D">
        <w:rPr>
          <w:rFonts w:cs="Times New Roman"/>
          <w:lang w:val="es-ES"/>
        </w:rPr>
        <w:t>p</w:t>
      </w:r>
      <w:r w:rsidRPr="00580C2D">
        <w:rPr>
          <w:rFonts w:cs="Times New Roman"/>
          <w:lang w:val="es-ES"/>
        </w:rPr>
        <w:t>residente de la República en virtud de facultades extraordinarias conferidas median</w:t>
      </w:r>
      <w:r w:rsidRPr="00580C2D">
        <w:rPr>
          <w:rFonts w:cs="Times New Roman"/>
          <w:lang w:val="es-ES"/>
        </w:rPr>
        <w:t>te ley, del mismo tipo de las hoy contempladas en el artículo 150, numeral 10° del texto superior</w:t>
      </w:r>
      <w:r w:rsidRPr="00580C2D">
        <w:rPr>
          <w:rStyle w:val="Refdenotaalpie"/>
          <w:rFonts w:cs="Times New Roman"/>
        </w:rPr>
        <w:footnoteReference w:id="28"/>
      </w:r>
      <w:r w:rsidRPr="00580C2D">
        <w:rPr>
          <w:rFonts w:cs="Times New Roman"/>
          <w:lang w:val="es-ES"/>
        </w:rPr>
        <w:t>.</w:t>
      </w:r>
    </w:p>
    <w:p w:rsidR="008646C7" w:rsidRPr="00580C2D" w:rsidRDefault="00580C2D" w:rsidP="00883E84">
      <w:pPr>
        <w:pStyle w:val="Prrafodelista"/>
        <w:ind w:left="0"/>
        <w:jc w:val="both"/>
        <w:rPr>
          <w:rFonts w:cs="Times New Roman"/>
          <w:lang w:val="es-ES"/>
        </w:rPr>
      </w:pPr>
    </w:p>
    <w:p w:rsidR="008646C7" w:rsidRPr="00580C2D" w:rsidRDefault="00580C2D" w:rsidP="00341723">
      <w:pPr>
        <w:pStyle w:val="Ttulo2"/>
        <w:numPr>
          <w:ilvl w:val="3"/>
          <w:numId w:val="3"/>
        </w:numPr>
        <w:ind w:left="851"/>
        <w:rPr>
          <w:rFonts w:ascii="Times New Roman" w:hAnsi="Times New Roman" w:cs="Times New Roman"/>
        </w:rPr>
      </w:pPr>
      <w:r w:rsidRPr="00580C2D">
        <w:rPr>
          <w:rFonts w:ascii="Times New Roman" w:hAnsi="Times New Roman" w:cs="Times New Roman"/>
        </w:rPr>
        <w:t>Análisis de aptitud</w:t>
      </w:r>
      <w:r w:rsidRPr="00580C2D">
        <w:rPr>
          <w:rFonts w:ascii="Times New Roman" w:hAnsi="Times New Roman" w:cs="Times New Roman"/>
        </w:rPr>
        <w:t xml:space="preserve"> de los cargos formulados</w:t>
      </w:r>
    </w:p>
    <w:p w:rsidR="008646C7" w:rsidRPr="00580C2D" w:rsidRDefault="00580C2D" w:rsidP="008646C7">
      <w:pPr>
        <w:jc w:val="both"/>
        <w:rPr>
          <w:rFonts w:ascii="Times New Roman" w:hAnsi="Times New Roman" w:cs="Times New Roman"/>
          <w:sz w:val="28"/>
          <w:lang w:val="es-ES"/>
        </w:rPr>
      </w:pPr>
    </w:p>
    <w:p w:rsidR="008512C5" w:rsidRPr="00580C2D" w:rsidRDefault="00580C2D" w:rsidP="008512C5">
      <w:pPr>
        <w:pStyle w:val="Prrafodelista"/>
        <w:numPr>
          <w:ilvl w:val="0"/>
          <w:numId w:val="3"/>
        </w:numPr>
        <w:ind w:left="0" w:firstLine="0"/>
        <w:jc w:val="both"/>
        <w:rPr>
          <w:rFonts w:cs="Times New Roman"/>
          <w:lang w:val="es-ES"/>
        </w:rPr>
      </w:pPr>
      <w:r w:rsidRPr="00580C2D">
        <w:rPr>
          <w:rFonts w:cs="Times New Roman"/>
          <w:i/>
          <w:iCs/>
          <w:lang w:val="es-ES"/>
        </w:rPr>
        <w:t>Requisitos formales y materiales de las demandas de inconstitucionalidad</w:t>
      </w:r>
      <w:r w:rsidRPr="00580C2D">
        <w:rPr>
          <w:rFonts w:cs="Times New Roman"/>
          <w:lang w:val="es-ES"/>
        </w:rPr>
        <w:t>. La Corte Constitucional ha señalado</w:t>
      </w:r>
      <w:r w:rsidRPr="00580C2D">
        <w:rPr>
          <w:rFonts w:cs="Times New Roman"/>
          <w:lang w:val="es-ES"/>
        </w:rPr>
        <w:t xml:space="preserve"> en reiterada jurisprudencia, que la competencia para decidir sobre las demandas de inconstitucionalidad está supeditada al cumplimiento de dos presupuestos básicos e insustituibles: (i) que las normas sometidas a control estén vigentes o que, si no lo est</w:t>
      </w:r>
      <w:r w:rsidRPr="00580C2D">
        <w:rPr>
          <w:rFonts w:cs="Times New Roman"/>
          <w:lang w:val="es-ES"/>
        </w:rPr>
        <w:t xml:space="preserve">án, se encuentren produciendo efectos o tengan vocación de producirlos; y (ii) que la demanda ciudadana reúna los requisitos señalados en el artículo 2 del Decreto Ley 2067 de 1991. Con fundamento en ese </w:t>
      </w:r>
      <w:r w:rsidRPr="00580C2D">
        <w:rPr>
          <w:rFonts w:cs="Times New Roman"/>
          <w:lang w:val="es-ES"/>
        </w:rPr>
        <w:t>d</w:t>
      </w:r>
      <w:r w:rsidRPr="00580C2D">
        <w:rPr>
          <w:rFonts w:cs="Times New Roman"/>
          <w:lang w:val="es-ES"/>
        </w:rPr>
        <w:t xml:space="preserve">ecreto </w:t>
      </w:r>
      <w:r w:rsidRPr="00580C2D">
        <w:rPr>
          <w:rFonts w:cs="Times New Roman"/>
          <w:lang w:val="es-ES"/>
        </w:rPr>
        <w:t>l</w:t>
      </w:r>
      <w:r w:rsidRPr="00580C2D">
        <w:rPr>
          <w:rFonts w:cs="Times New Roman"/>
          <w:lang w:val="es-ES"/>
        </w:rPr>
        <w:t>ey, los cargos que se formulen contra las d</w:t>
      </w:r>
      <w:r w:rsidRPr="00580C2D">
        <w:rPr>
          <w:rFonts w:cs="Times New Roman"/>
          <w:lang w:val="es-ES"/>
        </w:rPr>
        <w:t>isposiciones demandadas deben plantear un verdadero problema de constitucionalidad que permita confrontar el contenido demandado con el enunciado de un mandato superior, para lo cual deben cumplir requisitos de tipo formal y material.</w:t>
      </w:r>
    </w:p>
    <w:p w:rsidR="008512C5" w:rsidRPr="00580C2D" w:rsidRDefault="00580C2D" w:rsidP="008512C5">
      <w:pPr>
        <w:pStyle w:val="Prrafodelista"/>
        <w:ind w:left="0"/>
        <w:jc w:val="both"/>
        <w:rPr>
          <w:rFonts w:cs="Times New Roman"/>
          <w:lang w:val="es-ES"/>
        </w:rPr>
      </w:pPr>
    </w:p>
    <w:p w:rsidR="008512C5" w:rsidRPr="00580C2D" w:rsidRDefault="00580C2D" w:rsidP="008512C5">
      <w:pPr>
        <w:pStyle w:val="Prrafodelista"/>
        <w:numPr>
          <w:ilvl w:val="0"/>
          <w:numId w:val="3"/>
        </w:numPr>
        <w:ind w:left="0" w:firstLine="0"/>
        <w:jc w:val="both"/>
        <w:rPr>
          <w:rFonts w:cs="Times New Roman"/>
          <w:lang w:val="es-ES"/>
        </w:rPr>
      </w:pPr>
      <w:r w:rsidRPr="00580C2D">
        <w:rPr>
          <w:rFonts w:cs="Times New Roman"/>
          <w:lang w:val="es-ES"/>
        </w:rPr>
        <w:t>El precitado Decreto</w:t>
      </w:r>
      <w:r w:rsidRPr="00580C2D">
        <w:rPr>
          <w:rFonts w:cs="Times New Roman"/>
          <w:lang w:val="es-ES"/>
        </w:rPr>
        <w:t xml:space="preserve"> 2067 de 1991 señala en su artículo 2 que las demandas de inconstitucionalidad deben presentarse por escrito y contener (i) el señalamiento de las normas acusadas de inconstitucionales, su trascripción literal por cualquier medio o aportando un ejemplar de</w:t>
      </w:r>
      <w:r w:rsidRPr="00580C2D">
        <w:rPr>
          <w:rFonts w:cs="Times New Roman"/>
          <w:lang w:val="es-ES"/>
        </w:rPr>
        <w:t xml:space="preserve"> la publicación oficial ; (ii) la indicación de las normas constitucionales que se consideran infringidas; (iii) las razones por las cuales dichas normas constitucionales se consideran infringidas (concepto de la violación); (iv) cuando fuere el caso, los </w:t>
      </w:r>
      <w:r w:rsidRPr="00580C2D">
        <w:rPr>
          <w:rFonts w:cs="Times New Roman"/>
          <w:lang w:val="es-ES"/>
        </w:rPr>
        <w:t>vicios de procedimiento en la formación o expedición de la ley o del decreto con fuerza de ley objeto de la demanda, y (v) la razón por la cual la Corte es competente para conocer la demanda.</w:t>
      </w:r>
    </w:p>
    <w:p w:rsidR="008512C5" w:rsidRPr="00580C2D" w:rsidRDefault="00580C2D" w:rsidP="008512C5">
      <w:pPr>
        <w:pStyle w:val="Prrafodelista"/>
        <w:ind w:left="0"/>
        <w:rPr>
          <w:rFonts w:cs="Times New Roman"/>
          <w:lang w:val="es-ES"/>
        </w:rPr>
      </w:pPr>
    </w:p>
    <w:p w:rsidR="008512C5" w:rsidRPr="00580C2D" w:rsidRDefault="00580C2D" w:rsidP="008512C5">
      <w:pPr>
        <w:pStyle w:val="Prrafodelista"/>
        <w:numPr>
          <w:ilvl w:val="0"/>
          <w:numId w:val="3"/>
        </w:numPr>
        <w:ind w:left="0" w:firstLine="0"/>
        <w:jc w:val="both"/>
        <w:rPr>
          <w:rFonts w:cs="Times New Roman"/>
          <w:lang w:val="es-ES"/>
        </w:rPr>
      </w:pPr>
      <w:r w:rsidRPr="00580C2D">
        <w:rPr>
          <w:rFonts w:cs="Times New Roman"/>
          <w:lang w:val="es-ES"/>
        </w:rPr>
        <w:t xml:space="preserve">Como dijo la Corte en la Sentencia C-1052 de 2001, </w:t>
      </w:r>
      <w:r w:rsidRPr="00580C2D">
        <w:rPr>
          <w:rFonts w:cs="Times New Roman"/>
          <w:lang w:val="es-ES"/>
        </w:rPr>
        <w:t>“</w:t>
      </w:r>
      <w:r w:rsidRPr="00580C2D">
        <w:rPr>
          <w:rFonts w:cs="Times New Roman"/>
          <w:lang w:val="es-ES"/>
        </w:rPr>
        <w:t>el ciudadan</w:t>
      </w:r>
      <w:r w:rsidRPr="00580C2D">
        <w:rPr>
          <w:rFonts w:cs="Times New Roman"/>
          <w:lang w:val="es-ES"/>
        </w:rPr>
        <w:t xml:space="preserve">o que ejerce la acción pública de inconstitucionalidad contra una norma </w:t>
      </w:r>
      <w:r w:rsidRPr="00580C2D">
        <w:rPr>
          <w:rFonts w:cs="Times New Roman"/>
          <w:lang w:val="es-ES"/>
        </w:rPr>
        <w:t>determinada</w:t>
      </w:r>
      <w:r w:rsidRPr="00580C2D">
        <w:rPr>
          <w:rFonts w:cs="Times New Roman"/>
          <w:lang w:val="es-ES"/>
        </w:rPr>
        <w:t xml:space="preserve"> debe referir con precisión el objeto demandado, el concepto de la violación y la razón por la cual la Corte es competente para conocer del asunto. Estos son los tres elemen</w:t>
      </w:r>
      <w:r w:rsidRPr="00580C2D">
        <w:rPr>
          <w:rFonts w:cs="Times New Roman"/>
          <w:lang w:val="es-ES"/>
        </w:rPr>
        <w:t>tos, desarrollados en el texto del aludido artículo 2 del Decreto 2067 de 1991 y por la Corte en sus pronunciamientos, que hacen posible el pronunciamiento de fondo por parte de este Tribunal</w:t>
      </w:r>
      <w:r w:rsidRPr="00580C2D">
        <w:rPr>
          <w:rFonts w:cs="Times New Roman"/>
          <w:lang w:val="es-ES"/>
        </w:rPr>
        <w:t>”</w:t>
      </w:r>
      <w:r w:rsidRPr="00580C2D">
        <w:rPr>
          <w:rFonts w:cs="Times New Roman"/>
          <w:lang w:val="es-ES"/>
        </w:rPr>
        <w:t>.</w:t>
      </w:r>
    </w:p>
    <w:p w:rsidR="008512C5" w:rsidRPr="00580C2D" w:rsidRDefault="00580C2D" w:rsidP="008512C5">
      <w:pPr>
        <w:pStyle w:val="Prrafodelista"/>
        <w:ind w:left="0"/>
        <w:rPr>
          <w:rFonts w:cs="Times New Roman"/>
          <w:lang w:val="es-ES"/>
        </w:rPr>
      </w:pPr>
    </w:p>
    <w:p w:rsidR="008512C5" w:rsidRPr="00580C2D" w:rsidRDefault="00580C2D" w:rsidP="008512C5">
      <w:pPr>
        <w:pStyle w:val="Prrafodelista"/>
        <w:numPr>
          <w:ilvl w:val="0"/>
          <w:numId w:val="3"/>
        </w:numPr>
        <w:ind w:left="0" w:firstLine="0"/>
        <w:jc w:val="both"/>
        <w:rPr>
          <w:rFonts w:cs="Times New Roman"/>
          <w:lang w:val="es-ES"/>
        </w:rPr>
      </w:pPr>
      <w:r w:rsidRPr="00580C2D">
        <w:rPr>
          <w:rFonts w:cs="Times New Roman"/>
          <w:lang w:val="es-ES"/>
        </w:rPr>
        <w:t>A partir de lo señalado en dicha oportunidad, la Corte ha pre</w:t>
      </w:r>
      <w:r w:rsidRPr="00580C2D">
        <w:rPr>
          <w:rFonts w:cs="Times New Roman"/>
          <w:lang w:val="es-ES"/>
        </w:rPr>
        <w:t xml:space="preserve">cisado el contenido de las exigencias materiales que deben cumplir estas demandas. Así, hay </w:t>
      </w:r>
      <w:r w:rsidRPr="00580C2D">
        <w:rPr>
          <w:rFonts w:cs="Times New Roman"/>
          <w:i/>
          <w:iCs/>
          <w:lang w:val="es-ES"/>
        </w:rPr>
        <w:t>claridad</w:t>
      </w:r>
      <w:r w:rsidRPr="00580C2D">
        <w:rPr>
          <w:rFonts w:cs="Times New Roman"/>
          <w:lang w:val="es-ES"/>
        </w:rPr>
        <w:t xml:space="preserve"> cuando existe un hilo conductor de la argumentación que permite comprender el contenido de la demanda y las razones de inconstitucionalidad en las cuales s</w:t>
      </w:r>
      <w:r w:rsidRPr="00580C2D">
        <w:rPr>
          <w:rFonts w:cs="Times New Roman"/>
          <w:lang w:val="es-ES"/>
        </w:rPr>
        <w:t xml:space="preserve">e fundamenta; hay </w:t>
      </w:r>
      <w:r w:rsidRPr="00580C2D">
        <w:rPr>
          <w:rFonts w:cs="Times New Roman"/>
          <w:i/>
          <w:iCs/>
          <w:lang w:val="es-ES"/>
        </w:rPr>
        <w:t xml:space="preserve">certeza </w:t>
      </w:r>
      <w:r w:rsidRPr="00580C2D">
        <w:rPr>
          <w:rFonts w:cs="Times New Roman"/>
          <w:lang w:val="es-ES"/>
        </w:rPr>
        <w:t xml:space="preserve">cuando la demanda se dirige contra un contenido real de la disposición demandada y no contra interpretaciones subjetivas, caprichosas o irrazonables de los textos demandados; hay </w:t>
      </w:r>
      <w:r w:rsidRPr="00580C2D">
        <w:rPr>
          <w:rFonts w:cs="Times New Roman"/>
          <w:i/>
          <w:iCs/>
          <w:lang w:val="es-ES"/>
        </w:rPr>
        <w:t>especificidad</w:t>
      </w:r>
      <w:r w:rsidRPr="00580C2D">
        <w:rPr>
          <w:rFonts w:cs="Times New Roman"/>
          <w:lang w:val="es-ES"/>
        </w:rPr>
        <w:t xml:space="preserve"> cuando se expresan en forma precisa l</w:t>
      </w:r>
      <w:r w:rsidRPr="00580C2D">
        <w:rPr>
          <w:rFonts w:cs="Times New Roman"/>
          <w:lang w:val="es-ES"/>
        </w:rPr>
        <w:t xml:space="preserve">as razones concretas de vulneración de la Constitución; hay </w:t>
      </w:r>
      <w:r w:rsidRPr="00580C2D">
        <w:rPr>
          <w:rFonts w:cs="Times New Roman"/>
          <w:i/>
          <w:iCs/>
          <w:lang w:val="es-ES"/>
        </w:rPr>
        <w:t xml:space="preserve">pertinencia </w:t>
      </w:r>
      <w:r w:rsidRPr="00580C2D">
        <w:rPr>
          <w:rFonts w:cs="Times New Roman"/>
          <w:lang w:val="es-ES"/>
        </w:rPr>
        <w:t xml:space="preserve">cuando se emplean argumentos de naturaleza estrictamente constitucional y no legal, doctrinal, o de mera conveniencia; y hay </w:t>
      </w:r>
      <w:r w:rsidRPr="00580C2D">
        <w:rPr>
          <w:rFonts w:cs="Times New Roman"/>
          <w:i/>
          <w:iCs/>
          <w:lang w:val="es-ES"/>
        </w:rPr>
        <w:t xml:space="preserve">suficiencia </w:t>
      </w:r>
      <w:r w:rsidRPr="00580C2D">
        <w:rPr>
          <w:rFonts w:cs="Times New Roman"/>
          <w:lang w:val="es-ES"/>
        </w:rPr>
        <w:t>cuando la demanda tiene alcance persuasivo, est</w:t>
      </w:r>
      <w:r w:rsidRPr="00580C2D">
        <w:rPr>
          <w:rFonts w:cs="Times New Roman"/>
          <w:lang w:val="es-ES"/>
        </w:rPr>
        <w:t>o es, cuando la demanda genera una duda inicial sobre la constitucionalidad del enunciado o disposición demandada.</w:t>
      </w:r>
    </w:p>
    <w:p w:rsidR="008512C5" w:rsidRPr="00580C2D" w:rsidRDefault="00580C2D" w:rsidP="008512C5">
      <w:pPr>
        <w:pStyle w:val="Prrafodelista"/>
        <w:ind w:left="0"/>
        <w:rPr>
          <w:rFonts w:cs="Times New Roman"/>
          <w:lang w:val="es-ES"/>
        </w:rPr>
      </w:pPr>
    </w:p>
    <w:p w:rsidR="003F295A" w:rsidRPr="00580C2D" w:rsidRDefault="00580C2D" w:rsidP="008512C5">
      <w:pPr>
        <w:pStyle w:val="Prrafodelista"/>
        <w:numPr>
          <w:ilvl w:val="0"/>
          <w:numId w:val="3"/>
        </w:numPr>
        <w:ind w:left="0" w:firstLine="0"/>
        <w:jc w:val="both"/>
        <w:rPr>
          <w:rFonts w:cs="Times New Roman"/>
          <w:lang w:val="es-ES"/>
        </w:rPr>
      </w:pPr>
      <w:r w:rsidRPr="00580C2D">
        <w:rPr>
          <w:rFonts w:cs="Times New Roman"/>
          <w:lang w:val="es-ES"/>
        </w:rPr>
        <w:t>Tal como se puso de presente en los autos sobre la admisión del caso bajo estudio, se valoró sumariamente el cumplimiento de estos requisito</w:t>
      </w:r>
      <w:r w:rsidRPr="00580C2D">
        <w:rPr>
          <w:rFonts w:cs="Times New Roman"/>
          <w:lang w:val="es-ES"/>
        </w:rPr>
        <w:t xml:space="preserve">s en atención al principio </w:t>
      </w:r>
      <w:r w:rsidRPr="00580C2D">
        <w:rPr>
          <w:rFonts w:cs="Times New Roman"/>
          <w:i/>
          <w:iCs/>
          <w:lang w:val="es-ES"/>
        </w:rPr>
        <w:t>pro actione</w:t>
      </w:r>
      <w:r w:rsidRPr="00580C2D">
        <w:rPr>
          <w:rStyle w:val="Refdenotaalpie"/>
          <w:rFonts w:cs="Times New Roman"/>
        </w:rPr>
        <w:footnoteReference w:id="29"/>
      </w:r>
      <w:r w:rsidRPr="00580C2D">
        <w:rPr>
          <w:rFonts w:cs="Times New Roman"/>
          <w:lang w:val="es-ES"/>
        </w:rPr>
        <w:t>. Este principio tiene fundamento en que “el rigor en el juicio que aplica la Corte al examinar la demanda no puede convertirse en un método de apreciación tan estricto que haga nugatorio el derecho reconocido al acto</w:t>
      </w:r>
      <w:r w:rsidRPr="00580C2D">
        <w:rPr>
          <w:rFonts w:cs="Times New Roman"/>
          <w:lang w:val="es-ES"/>
        </w:rPr>
        <w:t>r y que la duda habrá de interpretarse a favor del demandante, es decir, admitiendo la demanda y fallando de fondo”.</w:t>
      </w:r>
    </w:p>
    <w:p w:rsidR="003F295A" w:rsidRPr="00580C2D" w:rsidRDefault="00580C2D" w:rsidP="003F295A">
      <w:pPr>
        <w:pStyle w:val="Prrafodelista"/>
        <w:ind w:left="0"/>
        <w:rPr>
          <w:rFonts w:cs="Times New Roman"/>
          <w:lang w:val="es-ES"/>
        </w:rPr>
      </w:pPr>
    </w:p>
    <w:p w:rsidR="003F295A" w:rsidRPr="00580C2D" w:rsidRDefault="00580C2D" w:rsidP="003F295A">
      <w:pPr>
        <w:pStyle w:val="Prrafodelista"/>
        <w:numPr>
          <w:ilvl w:val="0"/>
          <w:numId w:val="3"/>
        </w:numPr>
        <w:ind w:left="0" w:firstLine="0"/>
        <w:jc w:val="both"/>
        <w:rPr>
          <w:rFonts w:cs="Times New Roman"/>
          <w:lang w:val="es-ES"/>
        </w:rPr>
      </w:pPr>
      <w:r w:rsidRPr="00580C2D">
        <w:rPr>
          <w:rFonts w:cs="Times New Roman"/>
          <w:lang w:val="es-ES"/>
        </w:rPr>
        <w:t>Sin embargo, este principio no habilita a la Corte para corregir o aclarar las deficiencias que surjan de las demandas, pues esto conducir</w:t>
      </w:r>
      <w:r w:rsidRPr="00580C2D">
        <w:rPr>
          <w:rFonts w:cs="Times New Roman"/>
          <w:lang w:val="es-ES"/>
        </w:rPr>
        <w:t>ía a un pronunciamiento de fondo, cerrando la puerta para que otro ciudadano presente una demanda que sí cumpla con las condiciones para ser revisada</w:t>
      </w:r>
      <w:r w:rsidRPr="00580C2D">
        <w:rPr>
          <w:rStyle w:val="Refdenotaalpie"/>
          <w:rFonts w:cs="Times New Roman"/>
        </w:rPr>
        <w:footnoteReference w:id="30"/>
      </w:r>
      <w:r w:rsidRPr="00580C2D">
        <w:rPr>
          <w:rFonts w:cs="Times New Roman"/>
          <w:lang w:val="es-ES"/>
        </w:rPr>
        <w:t xml:space="preserve">. En consecuencia, </w:t>
      </w:r>
      <w:r w:rsidRPr="00580C2D">
        <w:rPr>
          <w:rFonts w:cs="Times New Roman"/>
          <w:lang w:val="es-ES"/>
        </w:rPr>
        <w:t xml:space="preserve">a </w:t>
      </w:r>
      <w:r w:rsidRPr="00580C2D">
        <w:rPr>
          <w:rFonts w:cs="Times New Roman"/>
          <w:lang w:val="es-ES"/>
        </w:rPr>
        <w:t xml:space="preserve">la Sala Plena </w:t>
      </w:r>
      <w:r w:rsidRPr="00580C2D">
        <w:rPr>
          <w:rFonts w:cs="Times New Roman"/>
          <w:lang w:val="es-ES"/>
        </w:rPr>
        <w:t>corresponde</w:t>
      </w:r>
      <w:r w:rsidRPr="00580C2D">
        <w:rPr>
          <w:rFonts w:cs="Times New Roman"/>
          <w:lang w:val="es-ES"/>
        </w:rPr>
        <w:t xml:space="preserve"> </w:t>
      </w:r>
      <w:r w:rsidRPr="00580C2D">
        <w:rPr>
          <w:rFonts w:cs="Times New Roman"/>
          <w:lang w:val="es-ES"/>
        </w:rPr>
        <w:t>una revisión rigurosa y más detallada de</w:t>
      </w:r>
      <w:r w:rsidRPr="00580C2D">
        <w:rPr>
          <w:rFonts w:cs="Times New Roman"/>
          <w:lang w:val="es-ES"/>
        </w:rPr>
        <w:t xml:space="preserve"> la aptitud de los </w:t>
      </w:r>
      <w:r w:rsidRPr="00580C2D">
        <w:rPr>
          <w:rFonts w:cs="Times New Roman"/>
          <w:lang w:val="es-ES"/>
        </w:rPr>
        <w:t xml:space="preserve">cargos presentados, </w:t>
      </w:r>
      <w:r w:rsidRPr="00580C2D">
        <w:rPr>
          <w:rFonts w:cs="Times New Roman"/>
          <w:lang w:val="es-ES"/>
        </w:rPr>
        <w:t>que además tiene en cuenta que varias de las intervenciones en el presente proceso, alegaron la ineptitud de los cargos formulados</w:t>
      </w:r>
      <w:r w:rsidRPr="00580C2D">
        <w:rPr>
          <w:rFonts w:cs="Times New Roman"/>
          <w:lang w:val="es-ES"/>
        </w:rPr>
        <w:t>.</w:t>
      </w:r>
    </w:p>
    <w:p w:rsidR="00FF5F7B" w:rsidRPr="00580C2D" w:rsidRDefault="00580C2D" w:rsidP="005620CC">
      <w:pPr>
        <w:rPr>
          <w:rFonts w:ascii="Times New Roman" w:hAnsi="Times New Roman" w:cs="Times New Roman"/>
          <w:sz w:val="28"/>
          <w:lang w:val="es-ES"/>
        </w:rPr>
      </w:pPr>
    </w:p>
    <w:p w:rsidR="00FF5F7B" w:rsidRPr="00580C2D" w:rsidRDefault="00580C2D" w:rsidP="00C16ADF">
      <w:pPr>
        <w:rPr>
          <w:rFonts w:ascii="Times New Roman" w:hAnsi="Times New Roman" w:cs="Times New Roman"/>
          <w:sz w:val="28"/>
          <w:lang w:val="es-ES"/>
        </w:rPr>
      </w:pPr>
    </w:p>
    <w:p w:rsidR="005620CC" w:rsidRPr="00580C2D" w:rsidRDefault="00580C2D" w:rsidP="00341723">
      <w:pPr>
        <w:pStyle w:val="Ttulo2"/>
        <w:numPr>
          <w:ilvl w:val="0"/>
          <w:numId w:val="4"/>
        </w:numPr>
        <w:jc w:val="both"/>
        <w:rPr>
          <w:rFonts w:ascii="Times New Roman" w:hAnsi="Times New Roman" w:cs="Times New Roman"/>
          <w:lang w:val="es-ES"/>
        </w:rPr>
      </w:pPr>
      <w:r w:rsidRPr="00580C2D">
        <w:rPr>
          <w:rFonts w:ascii="Times New Roman" w:hAnsi="Times New Roman" w:cs="Times New Roman"/>
          <w:lang w:val="es-ES"/>
        </w:rPr>
        <w:t xml:space="preserve">El primer cargo, según el cual </w:t>
      </w:r>
      <w:r w:rsidRPr="00580C2D">
        <w:rPr>
          <w:rFonts w:ascii="Times New Roman" w:hAnsi="Times New Roman" w:cs="Times New Roman"/>
          <w:lang w:val="es-ES"/>
        </w:rPr>
        <w:t xml:space="preserve">el </w:t>
      </w:r>
      <w:r w:rsidRPr="00580C2D">
        <w:rPr>
          <w:rFonts w:ascii="Times New Roman" w:hAnsi="Times New Roman" w:cs="Times New Roman"/>
          <w:lang w:val="es-ES"/>
        </w:rPr>
        <w:t xml:space="preserve">presidente de la República transgredió las facultades </w:t>
      </w:r>
      <w:r w:rsidRPr="00580C2D">
        <w:rPr>
          <w:rFonts w:ascii="Times New Roman" w:hAnsi="Times New Roman" w:cs="Times New Roman"/>
          <w:lang w:val="es-ES"/>
        </w:rPr>
        <w:t>extraordinarias conferidas para codificar las normas vigentes del Régimen Municipal</w:t>
      </w:r>
      <w:r w:rsidRPr="00580C2D">
        <w:rPr>
          <w:rFonts w:ascii="Times New Roman" w:hAnsi="Times New Roman" w:cs="Times New Roman"/>
          <w:lang w:val="es-ES"/>
        </w:rPr>
        <w:t>,</w:t>
      </w:r>
      <w:r w:rsidRPr="00580C2D">
        <w:rPr>
          <w:rFonts w:ascii="Times New Roman" w:hAnsi="Times New Roman" w:cs="Times New Roman"/>
          <w:lang w:val="es-ES"/>
        </w:rPr>
        <w:t xml:space="preserve"> es inepto</w:t>
      </w:r>
    </w:p>
    <w:p w:rsidR="00913C34" w:rsidRPr="00580C2D" w:rsidRDefault="00580C2D" w:rsidP="006D4434">
      <w:pPr>
        <w:jc w:val="both"/>
        <w:rPr>
          <w:rFonts w:ascii="Times New Roman" w:eastAsia="Arial Unicode MS" w:hAnsi="Times New Roman" w:cs="Times New Roman"/>
          <w:sz w:val="28"/>
          <w:szCs w:val="28"/>
          <w:u w:color="000000"/>
          <w:bdr w:val="nil"/>
          <w:lang w:val="es-ES"/>
        </w:rPr>
      </w:pPr>
    </w:p>
    <w:p w:rsidR="005620CC"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 xml:space="preserve">El primer cargo planteado por el demandante sostiene que el presidente de la República </w:t>
      </w:r>
      <w:r w:rsidRPr="00580C2D">
        <w:rPr>
          <w:rFonts w:cs="Times New Roman"/>
          <w:lang w:val="es-ES"/>
        </w:rPr>
        <w:t xml:space="preserve">excedió </w:t>
      </w:r>
      <w:r w:rsidRPr="00580C2D">
        <w:rPr>
          <w:rFonts w:cs="Times New Roman"/>
          <w:lang w:val="es-ES"/>
        </w:rPr>
        <w:t xml:space="preserve">las facultades extraordinarias otorgadas </w:t>
      </w:r>
      <w:r w:rsidRPr="00580C2D">
        <w:rPr>
          <w:rFonts w:cs="Times New Roman"/>
          <w:lang w:val="es-ES"/>
        </w:rPr>
        <w:t xml:space="preserve">mediante el artículo 76 </w:t>
      </w:r>
      <w:r w:rsidRPr="00580C2D">
        <w:rPr>
          <w:rFonts w:cs="Times New Roman"/>
          <w:lang w:val="es-ES"/>
        </w:rPr>
        <w:t>de la Ley 11 de 1986</w:t>
      </w:r>
      <w:r w:rsidRPr="00580C2D">
        <w:rPr>
          <w:rFonts w:cs="Times New Roman"/>
          <w:lang w:val="es-ES"/>
        </w:rPr>
        <w:t xml:space="preserve">, al proferir </w:t>
      </w:r>
      <w:r w:rsidRPr="00580C2D">
        <w:rPr>
          <w:rFonts w:cs="Times New Roman"/>
          <w:lang w:val="es-ES"/>
        </w:rPr>
        <w:t>los</w:t>
      </w:r>
      <w:r w:rsidRPr="00580C2D">
        <w:rPr>
          <w:rFonts w:cs="Times New Roman"/>
          <w:lang w:val="es-ES"/>
        </w:rPr>
        <w:t xml:space="preserve"> artículo</w:t>
      </w:r>
      <w:r w:rsidRPr="00580C2D">
        <w:rPr>
          <w:rFonts w:cs="Times New Roman"/>
          <w:lang w:val="es-ES"/>
        </w:rPr>
        <w:t>s</w:t>
      </w:r>
      <w:r w:rsidRPr="00580C2D">
        <w:rPr>
          <w:rFonts w:cs="Times New Roman"/>
          <w:lang w:val="es-ES"/>
        </w:rPr>
        <w:t xml:space="preserve"> 172</w:t>
      </w:r>
      <w:r w:rsidRPr="00580C2D">
        <w:rPr>
          <w:rFonts w:cs="Times New Roman"/>
          <w:lang w:val="es-ES"/>
        </w:rPr>
        <w:t xml:space="preserve"> y 226 del Decreto Ley 1333 de 1986</w:t>
      </w:r>
      <w:r w:rsidRPr="00580C2D">
        <w:rPr>
          <w:rFonts w:cs="Times New Roman"/>
          <w:lang w:val="es-ES"/>
        </w:rPr>
        <w:t xml:space="preserve">, </w:t>
      </w:r>
      <w:r w:rsidRPr="00580C2D">
        <w:rPr>
          <w:rFonts w:cs="Times New Roman"/>
          <w:lang w:val="es-ES"/>
        </w:rPr>
        <w:t>en cuanto</w:t>
      </w:r>
      <w:r w:rsidRPr="00580C2D">
        <w:rPr>
          <w:rFonts w:cs="Times New Roman"/>
          <w:lang w:val="es-ES"/>
        </w:rPr>
        <w:t xml:space="preserve"> </w:t>
      </w:r>
      <w:r w:rsidRPr="00580C2D">
        <w:rPr>
          <w:rFonts w:cs="Times New Roman"/>
          <w:lang w:val="es-ES"/>
        </w:rPr>
        <w:t>disponen lo siguiente</w:t>
      </w:r>
      <w:r w:rsidRPr="00580C2D">
        <w:rPr>
          <w:rFonts w:cs="Times New Roman"/>
          <w:lang w:val="es-ES"/>
        </w:rPr>
        <w:t xml:space="preserve">: </w:t>
      </w:r>
    </w:p>
    <w:p w:rsidR="005620CC" w:rsidRPr="00580C2D" w:rsidRDefault="00580C2D" w:rsidP="005620CC">
      <w:pPr>
        <w:jc w:val="both"/>
        <w:rPr>
          <w:rFonts w:ascii="Times New Roman" w:hAnsi="Times New Roman" w:cs="Times New Roman"/>
          <w:sz w:val="28"/>
          <w:szCs w:val="28"/>
          <w:lang w:val="es-ES"/>
        </w:rPr>
      </w:pPr>
    </w:p>
    <w:p w:rsidR="005620CC" w:rsidRPr="00580C2D" w:rsidRDefault="00580C2D" w:rsidP="007C0584">
      <w:pPr>
        <w:ind w:left="708"/>
        <w:jc w:val="both"/>
        <w:rPr>
          <w:rFonts w:ascii="Times New Roman" w:hAnsi="Times New Roman" w:cs="Times New Roman"/>
          <w:b/>
          <w:bCs/>
          <w:sz w:val="28"/>
          <w:szCs w:val="28"/>
          <w:lang w:val="es-ES"/>
        </w:rPr>
      </w:pPr>
      <w:r w:rsidRPr="00580C2D">
        <w:rPr>
          <w:rFonts w:ascii="Times New Roman" w:hAnsi="Times New Roman" w:cs="Times New Roman"/>
          <w:b/>
          <w:bCs/>
          <w:sz w:val="28"/>
          <w:lang w:val="es-ES"/>
        </w:rPr>
        <w:t>Artículo 172</w:t>
      </w:r>
      <w:r w:rsidRPr="00580C2D">
        <w:rPr>
          <w:rFonts w:ascii="Times New Roman" w:hAnsi="Times New Roman" w:cs="Times New Roman"/>
          <w:sz w:val="28"/>
          <w:lang w:val="es-ES"/>
        </w:rPr>
        <w:t>.</w:t>
      </w:r>
      <w:r w:rsidRPr="00580C2D">
        <w:rPr>
          <w:rFonts w:ascii="Times New Roman" w:hAnsi="Times New Roman" w:cs="Times New Roman"/>
          <w:b/>
          <w:bCs/>
          <w:sz w:val="28"/>
          <w:lang w:val="es-ES"/>
        </w:rPr>
        <w:t xml:space="preserve"> </w:t>
      </w:r>
      <w:r w:rsidRPr="00580C2D">
        <w:rPr>
          <w:rFonts w:ascii="Times New Roman" w:hAnsi="Times New Roman" w:cs="Times New Roman"/>
          <w:sz w:val="28"/>
          <w:lang w:val="es-ES"/>
        </w:rPr>
        <w:t>Además de los existentes hoy legalmente, los Municipios y el Distrito Especial de Bogotá</w:t>
      </w:r>
      <w:r w:rsidRPr="00580C2D">
        <w:rPr>
          <w:rFonts w:ascii="Times New Roman" w:hAnsi="Times New Roman" w:cs="Times New Roman"/>
          <w:sz w:val="28"/>
          <w:vertAlign w:val="superscript"/>
          <w:lang w:val="es-ES"/>
        </w:rPr>
        <w:t xml:space="preserve"> </w:t>
      </w:r>
      <w:r w:rsidRPr="00580C2D">
        <w:rPr>
          <w:rFonts w:ascii="Times New Roman" w:hAnsi="Times New Roman" w:cs="Times New Roman"/>
          <w:sz w:val="28"/>
          <w:lang w:val="es-ES"/>
        </w:rPr>
        <w:t>pueden crear los impuestos y c</w:t>
      </w:r>
      <w:r w:rsidRPr="00580C2D">
        <w:rPr>
          <w:rFonts w:ascii="Times New Roman" w:hAnsi="Times New Roman" w:cs="Times New Roman"/>
          <w:sz w:val="28"/>
          <w:lang w:val="es-ES"/>
        </w:rPr>
        <w:t>ontribuciones a que se refieren los artículos siguientes.</w:t>
      </w:r>
    </w:p>
    <w:p w:rsidR="005620CC" w:rsidRPr="00580C2D" w:rsidRDefault="00580C2D" w:rsidP="007C0584">
      <w:pPr>
        <w:ind w:left="708"/>
        <w:jc w:val="both"/>
        <w:rPr>
          <w:rFonts w:ascii="Times New Roman" w:hAnsi="Times New Roman" w:cs="Times New Roman"/>
          <w:sz w:val="28"/>
          <w:lang w:val="es-ES"/>
        </w:rPr>
      </w:pPr>
      <w:r w:rsidRPr="00580C2D">
        <w:rPr>
          <w:rFonts w:ascii="Times New Roman" w:hAnsi="Times New Roman" w:cs="Times New Roman"/>
          <w:sz w:val="28"/>
          <w:lang w:val="es-ES"/>
        </w:rPr>
        <w:t>(…)</w:t>
      </w:r>
    </w:p>
    <w:p w:rsidR="005620CC" w:rsidRPr="00580C2D" w:rsidRDefault="00580C2D" w:rsidP="007C0584">
      <w:pPr>
        <w:ind w:left="708"/>
        <w:jc w:val="both"/>
        <w:rPr>
          <w:rFonts w:ascii="Times New Roman" w:hAnsi="Times New Roman" w:cs="Times New Roman"/>
          <w:sz w:val="28"/>
          <w:lang w:val="es-ES"/>
        </w:rPr>
      </w:pPr>
      <w:r w:rsidRPr="00580C2D">
        <w:rPr>
          <w:rFonts w:ascii="Times New Roman" w:hAnsi="Times New Roman" w:cs="Times New Roman"/>
          <w:b/>
          <w:bCs/>
          <w:sz w:val="28"/>
          <w:lang w:val="es-ES"/>
        </w:rPr>
        <w:t>Artículo 226</w:t>
      </w:r>
      <w:r w:rsidRPr="00580C2D">
        <w:rPr>
          <w:rFonts w:ascii="Times New Roman" w:hAnsi="Times New Roman" w:cs="Times New Roman"/>
          <w:sz w:val="28"/>
          <w:lang w:val="es-ES"/>
        </w:rPr>
        <w:t>.</w:t>
      </w:r>
      <w:r w:rsidRPr="00580C2D">
        <w:rPr>
          <w:rFonts w:ascii="Times New Roman" w:hAnsi="Times New Roman" w:cs="Times New Roman"/>
          <w:b/>
          <w:bCs/>
          <w:sz w:val="28"/>
          <w:lang w:val="es-ES"/>
        </w:rPr>
        <w:t xml:space="preserve"> </w:t>
      </w:r>
      <w:r w:rsidRPr="00580C2D">
        <w:rPr>
          <w:rFonts w:ascii="Times New Roman" w:hAnsi="Times New Roman" w:cs="Times New Roman"/>
          <w:sz w:val="28"/>
          <w:lang w:val="es-ES"/>
        </w:rPr>
        <w:t>Las rentas sobre degüello de ganado menor no podrán darse en arrendamiento.</w:t>
      </w:r>
    </w:p>
    <w:p w:rsidR="005620CC" w:rsidRPr="00580C2D" w:rsidRDefault="00580C2D" w:rsidP="005620CC">
      <w:pPr>
        <w:jc w:val="both"/>
        <w:rPr>
          <w:rFonts w:ascii="Times New Roman" w:hAnsi="Times New Roman" w:cs="Times New Roman"/>
          <w:sz w:val="28"/>
          <w:szCs w:val="28"/>
          <w:lang w:val="es-ES"/>
        </w:rPr>
      </w:pPr>
    </w:p>
    <w:p w:rsidR="005620CC" w:rsidRPr="00580C2D" w:rsidRDefault="00580C2D" w:rsidP="00341723">
      <w:pPr>
        <w:numPr>
          <w:ilvl w:val="0"/>
          <w:numId w:val="3"/>
        </w:numPr>
        <w:ind w:left="0" w:firstLine="0"/>
        <w:jc w:val="both"/>
        <w:rPr>
          <w:rFonts w:ascii="Times New Roman" w:hAnsi="Times New Roman" w:cs="Times New Roman"/>
          <w:sz w:val="28"/>
          <w:szCs w:val="28"/>
          <w:lang w:val="es-ES"/>
        </w:rPr>
      </w:pPr>
      <w:r w:rsidRPr="00580C2D">
        <w:rPr>
          <w:rFonts w:ascii="Times New Roman" w:hAnsi="Times New Roman" w:cs="Times New Roman"/>
          <w:sz w:val="28"/>
          <w:szCs w:val="28"/>
          <w:lang w:val="es-ES"/>
        </w:rPr>
        <w:t xml:space="preserve">Estas normas se </w:t>
      </w:r>
      <w:r w:rsidRPr="00580C2D">
        <w:rPr>
          <w:rFonts w:ascii="Times New Roman" w:hAnsi="Times New Roman" w:cs="Times New Roman"/>
          <w:sz w:val="28"/>
          <w:szCs w:val="28"/>
          <w:lang w:val="es-ES"/>
        </w:rPr>
        <w:t>expidieron</w:t>
      </w:r>
      <w:r w:rsidRPr="00580C2D">
        <w:rPr>
          <w:rFonts w:ascii="Times New Roman" w:hAnsi="Times New Roman" w:cs="Times New Roman"/>
          <w:sz w:val="28"/>
          <w:szCs w:val="28"/>
          <w:lang w:val="es-ES"/>
        </w:rPr>
        <w:t xml:space="preserve"> </w:t>
      </w:r>
      <w:r w:rsidRPr="00580C2D">
        <w:rPr>
          <w:rFonts w:ascii="Times New Roman" w:hAnsi="Times New Roman" w:cs="Times New Roman"/>
          <w:sz w:val="28"/>
          <w:szCs w:val="28"/>
          <w:lang w:val="es-ES"/>
        </w:rPr>
        <w:t xml:space="preserve">con fundamento en </w:t>
      </w:r>
      <w:r w:rsidRPr="00580C2D">
        <w:rPr>
          <w:rFonts w:ascii="Times New Roman" w:hAnsi="Times New Roman" w:cs="Times New Roman"/>
          <w:sz w:val="28"/>
          <w:szCs w:val="28"/>
          <w:lang w:val="es-ES"/>
        </w:rPr>
        <w:t xml:space="preserve">las facultades extraordinarias otorgadas al </w:t>
      </w:r>
      <w:r w:rsidRPr="00580C2D">
        <w:rPr>
          <w:rFonts w:ascii="Times New Roman" w:hAnsi="Times New Roman" w:cs="Times New Roman"/>
          <w:sz w:val="28"/>
          <w:szCs w:val="28"/>
          <w:lang w:val="es-ES"/>
        </w:rPr>
        <w:t xml:space="preserve">presidente de </w:t>
      </w:r>
      <w:r w:rsidRPr="00580C2D">
        <w:rPr>
          <w:rFonts w:ascii="Times New Roman" w:hAnsi="Times New Roman" w:cs="Times New Roman"/>
          <w:sz w:val="28"/>
          <w:szCs w:val="28"/>
          <w:lang w:val="es-ES"/>
        </w:rPr>
        <w:t>la República</w:t>
      </w:r>
      <w:r w:rsidRPr="00580C2D">
        <w:rPr>
          <w:rFonts w:ascii="Times New Roman" w:hAnsi="Times New Roman" w:cs="Times New Roman"/>
          <w:sz w:val="28"/>
          <w:szCs w:val="28"/>
          <w:lang w:val="es-ES"/>
        </w:rPr>
        <w:t xml:space="preserve"> mediante el artículo 76 de la Ley 11 de 1986</w:t>
      </w:r>
      <w:r w:rsidRPr="00580C2D">
        <w:rPr>
          <w:rFonts w:ascii="Times New Roman" w:hAnsi="Times New Roman" w:cs="Times New Roman"/>
          <w:sz w:val="28"/>
          <w:szCs w:val="28"/>
          <w:lang w:val="es-ES"/>
        </w:rPr>
        <w:t>, el cual estableció</w:t>
      </w:r>
      <w:r w:rsidRPr="00580C2D">
        <w:rPr>
          <w:rFonts w:ascii="Times New Roman" w:hAnsi="Times New Roman" w:cs="Times New Roman"/>
          <w:sz w:val="28"/>
          <w:szCs w:val="28"/>
          <w:lang w:val="es-ES"/>
        </w:rPr>
        <w:t>:</w:t>
      </w:r>
    </w:p>
    <w:p w:rsidR="005620CC" w:rsidRPr="00580C2D" w:rsidRDefault="00580C2D" w:rsidP="005620CC">
      <w:pPr>
        <w:rPr>
          <w:rFonts w:ascii="Times New Roman" w:hAnsi="Times New Roman" w:cs="Times New Roman"/>
          <w:sz w:val="28"/>
          <w:lang w:val="es-ES"/>
        </w:rPr>
      </w:pPr>
    </w:p>
    <w:p w:rsidR="005620CC" w:rsidRPr="00580C2D" w:rsidRDefault="00580C2D" w:rsidP="005620CC">
      <w:pPr>
        <w:ind w:left="708"/>
        <w:jc w:val="both"/>
        <w:rPr>
          <w:rFonts w:ascii="Times New Roman" w:hAnsi="Times New Roman" w:cs="Times New Roman"/>
          <w:sz w:val="28"/>
          <w:lang w:val="es-ES"/>
        </w:rPr>
      </w:pPr>
      <w:r w:rsidRPr="00580C2D">
        <w:rPr>
          <w:rFonts w:ascii="Times New Roman" w:hAnsi="Times New Roman" w:cs="Times New Roman"/>
          <w:b/>
          <w:bCs/>
          <w:sz w:val="28"/>
          <w:lang w:val="es-ES"/>
        </w:rPr>
        <w:t>Artículo 76</w:t>
      </w:r>
      <w:r w:rsidRPr="00580C2D">
        <w:rPr>
          <w:rFonts w:ascii="Times New Roman" w:hAnsi="Times New Roman" w:cs="Times New Roman"/>
          <w:sz w:val="28"/>
          <w:lang w:val="es-ES"/>
        </w:rPr>
        <w:t xml:space="preserve">. Revístese al Presidente de la República de facultades extraordinarias, de acuerdo con el numeral 12 del artículo 76 de la Constitución Política, por el término de </w:t>
      </w:r>
      <w:r w:rsidRPr="00580C2D">
        <w:rPr>
          <w:rFonts w:ascii="Times New Roman" w:hAnsi="Times New Roman" w:cs="Times New Roman"/>
          <w:sz w:val="28"/>
          <w:lang w:val="es-ES"/>
        </w:rPr>
        <w:t>cien (100) días contados a partir de la fecha de promulgación de la presente ley. Con tal fin podrá:</w:t>
      </w:r>
    </w:p>
    <w:p w:rsidR="005620CC" w:rsidRPr="00580C2D" w:rsidRDefault="00580C2D" w:rsidP="005620CC">
      <w:pPr>
        <w:ind w:left="708"/>
        <w:jc w:val="both"/>
        <w:rPr>
          <w:rFonts w:ascii="Times New Roman" w:hAnsi="Times New Roman" w:cs="Times New Roman"/>
          <w:sz w:val="28"/>
          <w:lang w:val="es-ES"/>
        </w:rPr>
      </w:pPr>
    </w:p>
    <w:p w:rsidR="005620CC" w:rsidRPr="00580C2D" w:rsidRDefault="00580C2D" w:rsidP="005620CC">
      <w:pPr>
        <w:ind w:left="708"/>
        <w:jc w:val="both"/>
        <w:rPr>
          <w:rFonts w:ascii="Times New Roman" w:hAnsi="Times New Roman" w:cs="Times New Roman"/>
          <w:sz w:val="28"/>
          <w:lang w:val="es-ES"/>
        </w:rPr>
      </w:pPr>
      <w:r w:rsidRPr="00580C2D">
        <w:rPr>
          <w:rFonts w:ascii="Times New Roman" w:hAnsi="Times New Roman" w:cs="Times New Roman"/>
          <w:sz w:val="28"/>
          <w:lang w:val="es-ES"/>
        </w:rPr>
        <w:t xml:space="preserve">b) Codificar las disposiciones constitucionales y legales vigentes para la organización y el funcionamiento de la Administración Municipal. La numeración </w:t>
      </w:r>
      <w:r w:rsidRPr="00580C2D">
        <w:rPr>
          <w:rFonts w:ascii="Times New Roman" w:hAnsi="Times New Roman" w:cs="Times New Roman"/>
          <w:sz w:val="28"/>
          <w:lang w:val="es-ES"/>
        </w:rPr>
        <w:t xml:space="preserve">comenzará por la unidad y los títulos se nominarán y ordenarán de acuerdo con el contenido de las disposiciones que se codifiquen. </w:t>
      </w:r>
    </w:p>
    <w:p w:rsidR="005620CC" w:rsidRPr="00580C2D" w:rsidRDefault="00580C2D" w:rsidP="006D4434">
      <w:pPr>
        <w:jc w:val="both"/>
        <w:rPr>
          <w:rFonts w:ascii="Times New Roman" w:eastAsia="Arial Unicode MS" w:hAnsi="Times New Roman" w:cs="Times New Roman"/>
          <w:sz w:val="28"/>
          <w:szCs w:val="28"/>
          <w:u w:color="000000"/>
          <w:bdr w:val="nil"/>
          <w:lang w:val="es-ES"/>
        </w:rPr>
      </w:pPr>
    </w:p>
    <w:p w:rsidR="004A2FE9"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 xml:space="preserve">Esta disposición legal, junto con </w:t>
      </w:r>
      <w:r w:rsidRPr="00580C2D">
        <w:rPr>
          <w:rFonts w:cs="Times New Roman"/>
          <w:lang w:val="es-ES"/>
        </w:rPr>
        <w:t>el</w:t>
      </w:r>
      <w:r w:rsidRPr="00580C2D">
        <w:rPr>
          <w:rFonts w:cs="Times New Roman"/>
          <w:lang w:val="es-ES"/>
        </w:rPr>
        <w:t xml:space="preserve"> artículo 76</w:t>
      </w:r>
      <w:r w:rsidRPr="00580C2D">
        <w:rPr>
          <w:rFonts w:cs="Times New Roman"/>
          <w:lang w:val="es-ES"/>
        </w:rPr>
        <w:t>,</w:t>
      </w:r>
      <w:r w:rsidRPr="00580C2D">
        <w:rPr>
          <w:rFonts w:cs="Times New Roman"/>
          <w:lang w:val="es-ES"/>
        </w:rPr>
        <w:t xml:space="preserve"> numeral 12</w:t>
      </w:r>
      <w:r w:rsidRPr="00580C2D">
        <w:rPr>
          <w:rFonts w:cs="Times New Roman"/>
          <w:lang w:val="es-ES"/>
        </w:rPr>
        <w:t>,</w:t>
      </w:r>
      <w:r w:rsidRPr="00580C2D">
        <w:rPr>
          <w:rFonts w:cs="Times New Roman"/>
          <w:lang w:val="es-ES"/>
        </w:rPr>
        <w:t xml:space="preserve"> y</w:t>
      </w:r>
      <w:r w:rsidRPr="00580C2D">
        <w:rPr>
          <w:rFonts w:cs="Times New Roman"/>
          <w:lang w:val="es-ES"/>
        </w:rPr>
        <w:t xml:space="preserve"> el artículo</w:t>
      </w:r>
      <w:r w:rsidRPr="00580C2D">
        <w:rPr>
          <w:rFonts w:cs="Times New Roman"/>
          <w:lang w:val="es-ES"/>
        </w:rPr>
        <w:t xml:space="preserve"> 118</w:t>
      </w:r>
      <w:r w:rsidRPr="00580C2D">
        <w:rPr>
          <w:rFonts w:cs="Times New Roman"/>
          <w:lang w:val="es-ES"/>
        </w:rPr>
        <w:t>,</w:t>
      </w:r>
      <w:r w:rsidRPr="00580C2D">
        <w:rPr>
          <w:rFonts w:cs="Times New Roman"/>
          <w:lang w:val="es-ES"/>
        </w:rPr>
        <w:t xml:space="preserve"> numeral 8</w:t>
      </w:r>
      <w:r w:rsidRPr="00580C2D">
        <w:rPr>
          <w:rFonts w:cs="Times New Roman"/>
          <w:lang w:val="es-ES"/>
        </w:rPr>
        <w:t>,</w:t>
      </w:r>
      <w:r w:rsidRPr="00580C2D">
        <w:rPr>
          <w:rFonts w:cs="Times New Roman"/>
          <w:lang w:val="es-ES"/>
        </w:rPr>
        <w:t xml:space="preserve"> de la Carta Política de 1886, e</w:t>
      </w:r>
      <w:r w:rsidRPr="00580C2D">
        <w:rPr>
          <w:rFonts w:cs="Times New Roman"/>
          <w:lang w:val="es-ES"/>
        </w:rPr>
        <w:t>stablecía</w:t>
      </w:r>
      <w:r w:rsidRPr="00580C2D">
        <w:rPr>
          <w:rFonts w:cs="Times New Roman"/>
          <w:lang w:val="es-ES"/>
        </w:rPr>
        <w:t>n</w:t>
      </w:r>
      <w:r w:rsidRPr="00580C2D">
        <w:rPr>
          <w:rFonts w:cs="Times New Roman"/>
          <w:lang w:val="es-ES"/>
        </w:rPr>
        <w:t xml:space="preserve"> las reglas que regían el ejercicio de </w:t>
      </w:r>
      <w:r w:rsidRPr="00580C2D">
        <w:rPr>
          <w:rFonts w:cs="Times New Roman"/>
          <w:lang w:val="es-ES"/>
        </w:rPr>
        <w:t>las mencionadas</w:t>
      </w:r>
      <w:r w:rsidRPr="00580C2D">
        <w:rPr>
          <w:rFonts w:cs="Times New Roman"/>
          <w:lang w:val="es-ES"/>
        </w:rPr>
        <w:t xml:space="preserve"> facultades</w:t>
      </w:r>
      <w:r w:rsidRPr="00580C2D">
        <w:rPr>
          <w:rFonts w:cs="Times New Roman"/>
          <w:lang w:val="es-ES"/>
        </w:rPr>
        <w:t xml:space="preserve"> extraordinarias</w:t>
      </w:r>
      <w:r w:rsidRPr="00580C2D">
        <w:rPr>
          <w:rFonts w:cs="Times New Roman"/>
          <w:lang w:val="es-ES"/>
        </w:rPr>
        <w:t xml:space="preserve">. </w:t>
      </w:r>
      <w:r w:rsidRPr="00580C2D">
        <w:rPr>
          <w:rFonts w:cs="Times New Roman"/>
          <w:lang w:val="es-ES"/>
        </w:rPr>
        <w:t>Así</w:t>
      </w:r>
      <w:r w:rsidRPr="00580C2D">
        <w:rPr>
          <w:rFonts w:cs="Times New Roman"/>
          <w:lang w:val="es-ES"/>
        </w:rPr>
        <w:t xml:space="preserve">, </w:t>
      </w:r>
      <w:r w:rsidRPr="00580C2D">
        <w:rPr>
          <w:rFonts w:cs="Times New Roman"/>
          <w:lang w:val="es-ES"/>
        </w:rPr>
        <w:t>e</w:t>
      </w:r>
      <w:r w:rsidRPr="00580C2D">
        <w:rPr>
          <w:rFonts w:cs="Times New Roman"/>
          <w:lang w:val="es-ES"/>
        </w:rPr>
        <w:t xml:space="preserve">l numeral 12 del artículo 76 </w:t>
      </w:r>
      <w:r w:rsidRPr="00580C2D">
        <w:rPr>
          <w:rFonts w:cs="Times New Roman"/>
          <w:lang w:val="es-ES"/>
        </w:rPr>
        <w:t xml:space="preserve">autorizaba al Congreso de la República a “[r]evestir, </w:t>
      </w:r>
      <w:r w:rsidRPr="00580C2D">
        <w:rPr>
          <w:rFonts w:cs="Times New Roman"/>
          <w:i/>
          <w:iCs/>
          <w:lang w:val="es-ES"/>
        </w:rPr>
        <w:t>pro tempore</w:t>
      </w:r>
      <w:r w:rsidRPr="00580C2D">
        <w:rPr>
          <w:rFonts w:cs="Times New Roman"/>
          <w:lang w:val="es-ES"/>
        </w:rPr>
        <w:t>, al Presidente</w:t>
      </w:r>
      <w:r w:rsidRPr="00580C2D">
        <w:rPr>
          <w:rFonts w:cs="Times New Roman"/>
          <w:lang w:val="es-ES"/>
        </w:rPr>
        <w:t xml:space="preserve"> de la República de precisas facultades extraordinarias, cuando la necesidad lo exija o las conveniencias públicas lo aconsejen</w:t>
      </w:r>
      <w:r w:rsidRPr="00580C2D">
        <w:rPr>
          <w:rFonts w:cs="Times New Roman"/>
          <w:lang w:val="es-ES"/>
        </w:rPr>
        <w:t>”</w:t>
      </w:r>
      <w:r w:rsidRPr="00580C2D">
        <w:rPr>
          <w:rFonts w:cs="Times New Roman"/>
          <w:lang w:val="es-ES"/>
        </w:rPr>
        <w:t xml:space="preserve">. </w:t>
      </w:r>
      <w:r w:rsidRPr="00580C2D">
        <w:rPr>
          <w:rFonts w:cs="Times New Roman"/>
          <w:lang w:val="es-ES"/>
        </w:rPr>
        <w:t xml:space="preserve">Por su parte, </w:t>
      </w:r>
      <w:r w:rsidRPr="00580C2D">
        <w:rPr>
          <w:rFonts w:eastAsiaTheme="minorHAnsi" w:cs="Times New Roman"/>
          <w:lang w:val="es-ES" w:eastAsia="en-US"/>
        </w:rPr>
        <w:t>a la luz del artículo 118</w:t>
      </w:r>
      <w:r w:rsidRPr="00580C2D">
        <w:rPr>
          <w:rFonts w:eastAsiaTheme="minorHAnsi" w:cs="Times New Roman"/>
          <w:lang w:val="es-ES" w:eastAsia="en-US"/>
        </w:rPr>
        <w:t>,</w:t>
      </w:r>
      <w:r w:rsidRPr="00580C2D">
        <w:rPr>
          <w:rFonts w:eastAsiaTheme="minorHAnsi" w:cs="Times New Roman"/>
          <w:lang w:val="es-ES" w:eastAsia="en-US"/>
        </w:rPr>
        <w:t xml:space="preserve"> numeral 8</w:t>
      </w:r>
      <w:r w:rsidRPr="00580C2D">
        <w:rPr>
          <w:rFonts w:eastAsiaTheme="minorHAnsi" w:cs="Times New Roman"/>
          <w:lang w:val="es-ES" w:eastAsia="en-US"/>
        </w:rPr>
        <w:t>,</w:t>
      </w:r>
      <w:r w:rsidRPr="00580C2D">
        <w:rPr>
          <w:rFonts w:eastAsiaTheme="minorHAnsi" w:cs="Times New Roman"/>
          <w:lang w:val="es-ES" w:eastAsia="en-US"/>
        </w:rPr>
        <w:t xml:space="preserve"> de la Carta de 1886, el ejercicio de las facultades extraordinarias estaba</w:t>
      </w:r>
      <w:r w:rsidRPr="00580C2D">
        <w:rPr>
          <w:rFonts w:eastAsiaTheme="minorHAnsi" w:cs="Times New Roman"/>
          <w:lang w:val="es-ES" w:eastAsia="en-US"/>
        </w:rPr>
        <w:t xml:space="preserve"> sujeto a los límites temporales y materiales establecidos </w:t>
      </w:r>
      <w:r w:rsidRPr="00580C2D">
        <w:rPr>
          <w:rFonts w:eastAsiaTheme="minorHAnsi" w:cs="Times New Roman"/>
          <w:lang w:val="es-ES" w:eastAsia="en-US"/>
        </w:rPr>
        <w:t>en</w:t>
      </w:r>
      <w:r w:rsidRPr="00580C2D">
        <w:rPr>
          <w:rFonts w:eastAsiaTheme="minorHAnsi" w:cs="Times New Roman"/>
          <w:lang w:val="es-ES" w:eastAsia="en-US"/>
        </w:rPr>
        <w:t xml:space="preserve"> la misma ley habilitante. </w:t>
      </w:r>
    </w:p>
    <w:p w:rsidR="001E0766" w:rsidRPr="00580C2D" w:rsidRDefault="00580C2D" w:rsidP="004A2FE9">
      <w:pPr>
        <w:pStyle w:val="Prrafodelista"/>
        <w:ind w:left="0"/>
        <w:jc w:val="both"/>
        <w:rPr>
          <w:rFonts w:cs="Times New Roman"/>
          <w:lang w:val="es-ES"/>
        </w:rPr>
      </w:pPr>
    </w:p>
    <w:p w:rsidR="0001171C"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Así, la Carta Política de 1886</w:t>
      </w:r>
      <w:r w:rsidRPr="00580C2D">
        <w:rPr>
          <w:rFonts w:cs="Times New Roman"/>
          <w:lang w:val="es-ES"/>
        </w:rPr>
        <w:t xml:space="preserve"> </w:t>
      </w:r>
      <w:r w:rsidRPr="00580C2D">
        <w:rPr>
          <w:rFonts w:cs="Times New Roman"/>
          <w:lang w:val="es-ES"/>
        </w:rPr>
        <w:t xml:space="preserve">no prohibía la </w:t>
      </w:r>
      <w:r w:rsidRPr="00580C2D">
        <w:rPr>
          <w:rFonts w:cs="Times New Roman"/>
          <w:lang w:val="es-ES"/>
        </w:rPr>
        <w:t>autorización</w:t>
      </w:r>
      <w:r w:rsidRPr="00580C2D">
        <w:rPr>
          <w:rFonts w:cs="Times New Roman"/>
          <w:lang w:val="es-ES"/>
        </w:rPr>
        <w:t xml:space="preserve"> legislativa a</w:t>
      </w:r>
      <w:r w:rsidRPr="00580C2D">
        <w:rPr>
          <w:rFonts w:cs="Times New Roman"/>
          <w:lang w:val="es-ES"/>
        </w:rPr>
        <w:t>l</w:t>
      </w:r>
      <w:r w:rsidRPr="00580C2D">
        <w:rPr>
          <w:rFonts w:cs="Times New Roman"/>
          <w:lang w:val="es-ES"/>
        </w:rPr>
        <w:t xml:space="preserve"> presidente de la República </w:t>
      </w:r>
      <w:r w:rsidRPr="00580C2D">
        <w:rPr>
          <w:rFonts w:cs="Times New Roman"/>
          <w:lang w:val="es-ES"/>
        </w:rPr>
        <w:t>para</w:t>
      </w:r>
      <w:r w:rsidRPr="00580C2D">
        <w:rPr>
          <w:rFonts w:cs="Times New Roman"/>
          <w:lang w:val="es-ES"/>
        </w:rPr>
        <w:t xml:space="preserve"> decretar impuestos, codificar o compilar la legislación vige</w:t>
      </w:r>
      <w:r w:rsidRPr="00580C2D">
        <w:rPr>
          <w:rFonts w:cs="Times New Roman"/>
          <w:lang w:val="es-ES"/>
        </w:rPr>
        <w:t>nte, como sí ocurre con la prohibición que consigna el artículo 150.10 de la Constitución Política de 1991</w:t>
      </w:r>
      <w:r w:rsidRPr="00580C2D">
        <w:rPr>
          <w:rFonts w:cs="Times New Roman"/>
          <w:lang w:val="es-ES"/>
        </w:rPr>
        <w:t>, que en su último inciso</w:t>
      </w:r>
      <w:r w:rsidRPr="00580C2D">
        <w:rPr>
          <w:rFonts w:cs="Times New Roman"/>
          <w:lang w:val="es-ES"/>
        </w:rPr>
        <w:t xml:space="preserve"> </w:t>
      </w:r>
      <w:r w:rsidRPr="00580C2D">
        <w:rPr>
          <w:rFonts w:cs="Times New Roman"/>
          <w:lang w:val="es-ES"/>
        </w:rPr>
        <w:t>advierte que</w:t>
      </w:r>
      <w:r w:rsidRPr="00580C2D">
        <w:rPr>
          <w:rFonts w:cs="Times New Roman"/>
          <w:lang w:val="es-ES"/>
        </w:rPr>
        <w:t xml:space="preserve"> “[e]stas facultades no se podrán conferir para expedir códigos (…)”</w:t>
      </w:r>
    </w:p>
    <w:p w:rsidR="0001171C" w:rsidRPr="00580C2D" w:rsidRDefault="00580C2D" w:rsidP="0001171C">
      <w:pPr>
        <w:pStyle w:val="Prrafodelista"/>
        <w:ind w:left="0"/>
        <w:jc w:val="both"/>
        <w:rPr>
          <w:rFonts w:cs="Times New Roman"/>
          <w:lang w:val="es-ES"/>
        </w:rPr>
      </w:pPr>
    </w:p>
    <w:p w:rsidR="00A56FC2"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 xml:space="preserve">Por lo tanto, tal y como lo ha reconocido </w:t>
      </w:r>
      <w:r w:rsidRPr="00580C2D">
        <w:rPr>
          <w:rFonts w:cs="Times New Roman"/>
          <w:lang w:val="es-ES"/>
        </w:rPr>
        <w:t>la jurisprudencia constitucional, “los códigos promulgados antes de la vigencia de la Constitución de 1991, dictados con fundamento en leyes de facultades extraordinarias, no son inexequibles por este aspecto, si se tiene en cuenta que para la época en que</w:t>
      </w:r>
      <w:r w:rsidRPr="00580C2D">
        <w:rPr>
          <w:rFonts w:cs="Times New Roman"/>
          <w:lang w:val="es-ES"/>
        </w:rPr>
        <w:t xml:space="preserve"> ellos fueron expedidos, no existía la prohibición que hoy consagra el artículo 150, numeral 10 de la Constitución.”</w:t>
      </w:r>
      <w:r w:rsidRPr="00580C2D">
        <w:rPr>
          <w:rStyle w:val="Refdenotaalpie"/>
          <w:rFonts w:cs="Times New Roman"/>
        </w:rPr>
        <w:footnoteReference w:id="31"/>
      </w:r>
    </w:p>
    <w:p w:rsidR="00285571" w:rsidRPr="00580C2D" w:rsidRDefault="00580C2D" w:rsidP="00285571">
      <w:pPr>
        <w:pStyle w:val="Prrafodelista"/>
        <w:ind w:left="0"/>
        <w:jc w:val="both"/>
        <w:rPr>
          <w:rFonts w:cs="Times New Roman"/>
          <w:lang w:val="es-ES"/>
        </w:rPr>
      </w:pPr>
    </w:p>
    <w:p w:rsidR="00BD2B24"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Ahora bien, en relación con el cargo,</w:t>
      </w:r>
      <w:r w:rsidRPr="00580C2D">
        <w:rPr>
          <w:rFonts w:cs="Times New Roman"/>
          <w:lang w:val="es-ES"/>
        </w:rPr>
        <w:t xml:space="preserve"> en primer lugar</w:t>
      </w:r>
      <w:r w:rsidRPr="00580C2D">
        <w:rPr>
          <w:rFonts w:cs="Times New Roman"/>
          <w:lang w:val="es-ES"/>
        </w:rPr>
        <w:t>,</w:t>
      </w:r>
      <w:r w:rsidRPr="00580C2D">
        <w:rPr>
          <w:rFonts w:cs="Times New Roman"/>
          <w:lang w:val="es-ES"/>
        </w:rPr>
        <w:t xml:space="preserve"> es preciso señalar que </w:t>
      </w:r>
      <w:r w:rsidRPr="00580C2D">
        <w:rPr>
          <w:rFonts w:cs="Times New Roman"/>
          <w:lang w:val="es-ES"/>
        </w:rPr>
        <w:t>c</w:t>
      </w:r>
      <w:r w:rsidRPr="00580C2D">
        <w:rPr>
          <w:rFonts w:cs="Times New Roman"/>
          <w:lang w:val="es-ES"/>
        </w:rPr>
        <w:t xml:space="preserve">arece de </w:t>
      </w:r>
      <w:r w:rsidRPr="00580C2D">
        <w:rPr>
          <w:rFonts w:cs="Times New Roman"/>
          <w:i/>
          <w:iCs/>
          <w:lang w:val="es-ES"/>
        </w:rPr>
        <w:t>certeza</w:t>
      </w:r>
      <w:r w:rsidRPr="00580C2D">
        <w:rPr>
          <w:rFonts w:cs="Times New Roman"/>
          <w:lang w:val="es-ES"/>
        </w:rPr>
        <w:t xml:space="preserve"> </w:t>
      </w:r>
      <w:r w:rsidRPr="00580C2D">
        <w:rPr>
          <w:rFonts w:cs="Times New Roman"/>
          <w:lang w:val="es-ES"/>
        </w:rPr>
        <w:t>en relación con el</w:t>
      </w:r>
      <w:r w:rsidRPr="00580C2D">
        <w:rPr>
          <w:rFonts w:cs="Times New Roman"/>
          <w:lang w:val="es-ES"/>
        </w:rPr>
        <w:t xml:space="preserve"> contenido que</w:t>
      </w:r>
      <w:r w:rsidRPr="00580C2D">
        <w:rPr>
          <w:rFonts w:cs="Times New Roman"/>
          <w:lang w:val="es-ES"/>
        </w:rPr>
        <w:t xml:space="preserve"> el actor</w:t>
      </w:r>
      <w:r w:rsidRPr="00580C2D">
        <w:rPr>
          <w:rFonts w:cs="Times New Roman"/>
          <w:lang w:val="es-ES"/>
        </w:rPr>
        <w:t xml:space="preserve"> </w:t>
      </w:r>
      <w:r w:rsidRPr="00580C2D">
        <w:rPr>
          <w:rFonts w:cs="Times New Roman"/>
          <w:lang w:val="es-ES"/>
        </w:rPr>
        <w:t>atribuye</w:t>
      </w:r>
      <w:r w:rsidRPr="00580C2D">
        <w:rPr>
          <w:rFonts w:cs="Times New Roman"/>
          <w:lang w:val="es-ES"/>
        </w:rPr>
        <w:t xml:space="preserve"> a las normas demandadas,</w:t>
      </w:r>
      <w:r w:rsidRPr="00580C2D">
        <w:rPr>
          <w:rFonts w:cs="Times New Roman"/>
          <w:lang w:val="es-ES"/>
        </w:rPr>
        <w:t xml:space="preserve"> pues</w:t>
      </w:r>
      <w:r w:rsidRPr="00580C2D">
        <w:rPr>
          <w:rFonts w:cs="Times New Roman"/>
          <w:lang w:val="es-ES"/>
        </w:rPr>
        <w:t xml:space="preserve"> no es claro que la</w:t>
      </w:r>
      <w:r w:rsidRPr="00580C2D">
        <w:rPr>
          <w:rFonts w:cs="Times New Roman"/>
          <w:lang w:val="es-ES"/>
        </w:rPr>
        <w:t xml:space="preserve"> proposición jurídica sobre la que recae la</w:t>
      </w:r>
      <w:r w:rsidRPr="00580C2D">
        <w:rPr>
          <w:rFonts w:cs="Times New Roman"/>
          <w:lang w:val="es-ES"/>
        </w:rPr>
        <w:t xml:space="preserve"> demanda efectivamente produzca los efectos que le atribuye el </w:t>
      </w:r>
      <w:r w:rsidRPr="00580C2D">
        <w:rPr>
          <w:rFonts w:cs="Times New Roman"/>
          <w:lang w:val="es-ES"/>
        </w:rPr>
        <w:t>accionante</w:t>
      </w:r>
      <w:r w:rsidRPr="00580C2D">
        <w:rPr>
          <w:rFonts w:cs="Times New Roman"/>
          <w:lang w:val="es-ES"/>
        </w:rPr>
        <w:t xml:space="preserve">. </w:t>
      </w:r>
    </w:p>
    <w:p w:rsidR="00BD2B24" w:rsidRPr="00580C2D" w:rsidRDefault="00580C2D" w:rsidP="00BD2B24">
      <w:pPr>
        <w:pStyle w:val="Prrafodelista"/>
        <w:ind w:left="0"/>
        <w:jc w:val="both"/>
        <w:rPr>
          <w:rFonts w:cs="Times New Roman"/>
          <w:lang w:val="es-ES"/>
        </w:rPr>
      </w:pPr>
    </w:p>
    <w:p w:rsidR="00BD2B24"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En efecto</w:t>
      </w:r>
      <w:r w:rsidRPr="00580C2D">
        <w:rPr>
          <w:rFonts w:cs="Times New Roman"/>
          <w:lang w:val="es-ES"/>
        </w:rPr>
        <w:t>, no es posible concluir que el art. 172 del Decreto Ley 1333 de 1986</w:t>
      </w:r>
      <w:r w:rsidRPr="00580C2D">
        <w:rPr>
          <w:rFonts w:cs="Times New Roman"/>
          <w:lang w:val="es-ES"/>
        </w:rPr>
        <w:t xml:space="preserve"> “crea” el tributo que se cuestiona, pues solo enuncia la posibilidad general de que los municipios creen impuestos. Tampoco lo hace el artículo 226 del Decreto Ley 1333</w:t>
      </w:r>
      <w:r w:rsidRPr="00580C2D">
        <w:rPr>
          <w:rFonts w:cs="Times New Roman"/>
          <w:lang w:val="es-ES"/>
        </w:rPr>
        <w:t>,</w:t>
      </w:r>
      <w:r w:rsidRPr="00580C2D">
        <w:rPr>
          <w:rFonts w:cs="Times New Roman"/>
          <w:lang w:val="es-ES"/>
        </w:rPr>
        <w:t xml:space="preserve"> que se limita a establecer una prohibición de no dar en arrendamiento las rentas por </w:t>
      </w:r>
      <w:r w:rsidRPr="00580C2D">
        <w:rPr>
          <w:rFonts w:cs="Times New Roman"/>
          <w:lang w:val="es-ES"/>
        </w:rPr>
        <w:t>concepto de degüello de ganado menor. Adicionalmente, la demanda no especifica por qué y de qué manera la norma contenida en el artículo 172 desconoce la Constitución.</w:t>
      </w:r>
    </w:p>
    <w:p w:rsidR="00BD2B24" w:rsidRPr="00580C2D" w:rsidRDefault="00580C2D" w:rsidP="00285571">
      <w:pPr>
        <w:pStyle w:val="Prrafodelista"/>
        <w:ind w:left="0"/>
        <w:jc w:val="both"/>
        <w:rPr>
          <w:rFonts w:cs="Times New Roman"/>
          <w:lang w:val="es-ES"/>
        </w:rPr>
      </w:pPr>
    </w:p>
    <w:p w:rsidR="001E0766" w:rsidRPr="00580C2D" w:rsidRDefault="00580C2D" w:rsidP="00B329B1">
      <w:pPr>
        <w:pStyle w:val="Prrafodelista"/>
        <w:numPr>
          <w:ilvl w:val="0"/>
          <w:numId w:val="3"/>
        </w:numPr>
        <w:ind w:left="0" w:firstLine="0"/>
        <w:jc w:val="both"/>
        <w:rPr>
          <w:rFonts w:cs="Times New Roman"/>
          <w:lang w:val="es-ES"/>
        </w:rPr>
      </w:pPr>
      <w:r w:rsidRPr="00580C2D">
        <w:rPr>
          <w:rFonts w:cs="Times New Roman"/>
          <w:lang w:val="es-ES"/>
        </w:rPr>
        <w:t>En</w:t>
      </w:r>
      <w:r w:rsidRPr="00580C2D">
        <w:rPr>
          <w:rFonts w:cs="Times New Roman"/>
          <w:lang w:val="es-ES"/>
        </w:rPr>
        <w:t xml:space="preserve"> segundo lugar, la Corte observa que</w:t>
      </w:r>
      <w:r w:rsidRPr="00580C2D">
        <w:rPr>
          <w:rFonts w:cs="Times New Roman"/>
          <w:lang w:val="es-ES"/>
        </w:rPr>
        <w:t xml:space="preserve"> </w:t>
      </w:r>
      <w:r w:rsidRPr="00580C2D">
        <w:rPr>
          <w:rFonts w:cs="Times New Roman"/>
          <w:lang w:val="es-ES"/>
        </w:rPr>
        <w:t>el cargo carece</w:t>
      </w:r>
      <w:r w:rsidRPr="00580C2D">
        <w:rPr>
          <w:rFonts w:cs="Times New Roman"/>
          <w:lang w:val="es-ES"/>
        </w:rPr>
        <w:t xml:space="preserve"> </w:t>
      </w:r>
      <w:r w:rsidRPr="00580C2D">
        <w:rPr>
          <w:rFonts w:cs="Times New Roman"/>
          <w:i/>
          <w:iCs/>
          <w:lang w:val="es-ES"/>
        </w:rPr>
        <w:t>especificidad</w:t>
      </w:r>
      <w:r w:rsidRPr="00580C2D">
        <w:rPr>
          <w:rFonts w:cs="Times New Roman"/>
          <w:lang w:val="es-ES"/>
        </w:rPr>
        <w:t>, puesto que la acu</w:t>
      </w:r>
      <w:r w:rsidRPr="00580C2D">
        <w:rPr>
          <w:rFonts w:cs="Times New Roman"/>
          <w:lang w:val="es-ES"/>
        </w:rPr>
        <w:t>sación por el presunto exceso en las facultades extraordinarias ejercidas por el presidente de la República para “codificar las disposiciones constitucionales y legales vigentes para la organización y el funcionamiento de la Administración Municipal”, no c</w:t>
      </w:r>
      <w:r w:rsidRPr="00580C2D">
        <w:rPr>
          <w:rFonts w:cs="Times New Roman"/>
          <w:lang w:val="es-ES"/>
        </w:rPr>
        <w:t xml:space="preserve">onsideró que se trató del ejercicio de unas facultades </w:t>
      </w:r>
      <w:r w:rsidRPr="00580C2D">
        <w:rPr>
          <w:rFonts w:cs="Times New Roman"/>
          <w:lang w:val="es-ES"/>
        </w:rPr>
        <w:t>anteriores a la Constitución de 1991</w:t>
      </w:r>
      <w:r w:rsidRPr="00580C2D">
        <w:rPr>
          <w:rFonts w:cs="Times New Roman"/>
          <w:lang w:val="es-ES"/>
        </w:rPr>
        <w:t xml:space="preserve"> y que su reproche se debe examinar a la luz de la Constitución vigente al momento de su otorgamiento. Así, el demandante pretend</w:t>
      </w:r>
      <w:r w:rsidRPr="00580C2D">
        <w:rPr>
          <w:rFonts w:cs="Times New Roman"/>
          <w:lang w:val="es-ES"/>
        </w:rPr>
        <w:t>e</w:t>
      </w:r>
      <w:r w:rsidRPr="00580C2D">
        <w:rPr>
          <w:rFonts w:cs="Times New Roman"/>
          <w:lang w:val="es-ES"/>
        </w:rPr>
        <w:t xml:space="preserve"> que el artículo 150.10 de la Constitución Política de 1991 </w:t>
      </w:r>
      <w:r w:rsidRPr="00580C2D">
        <w:rPr>
          <w:rFonts w:cs="Times New Roman"/>
          <w:lang w:val="es-ES"/>
        </w:rPr>
        <w:t>sea tenido</w:t>
      </w:r>
      <w:r w:rsidRPr="00580C2D">
        <w:rPr>
          <w:rFonts w:cs="Times New Roman"/>
          <w:lang w:val="es-ES"/>
        </w:rPr>
        <w:t xml:space="preserve"> como parámetro de constitucionalidad, a pesar de que las disposiciones normativas demandadas hacen parte de un Decreto Ley expedido en vigencia de la Constitución Nacional de 1886, bajo</w:t>
      </w:r>
      <w:r w:rsidRPr="00580C2D">
        <w:rPr>
          <w:rFonts w:cs="Times New Roman"/>
          <w:lang w:val="es-ES"/>
        </w:rPr>
        <w:t xml:space="preserve"> la habilitación contenida en el artículo 76.10 de ese texto superior</w:t>
      </w:r>
      <w:r w:rsidRPr="00580C2D">
        <w:rPr>
          <w:rFonts w:cs="Times New Roman"/>
          <w:lang w:val="es-ES"/>
        </w:rPr>
        <w:t xml:space="preserve">. </w:t>
      </w:r>
    </w:p>
    <w:p w:rsidR="006611B6" w:rsidRPr="00580C2D" w:rsidRDefault="00580C2D" w:rsidP="006611B6">
      <w:pPr>
        <w:pStyle w:val="Prrafodelista"/>
        <w:ind w:left="0"/>
        <w:jc w:val="both"/>
        <w:rPr>
          <w:rFonts w:cs="Times New Roman"/>
          <w:lang w:val="es-ES"/>
        </w:rPr>
      </w:pPr>
    </w:p>
    <w:p w:rsidR="00525BC3" w:rsidRPr="00580C2D" w:rsidRDefault="00580C2D" w:rsidP="007D0C18">
      <w:pPr>
        <w:pStyle w:val="Prrafodelista"/>
        <w:numPr>
          <w:ilvl w:val="0"/>
          <w:numId w:val="3"/>
        </w:numPr>
        <w:ind w:left="0" w:firstLine="0"/>
        <w:jc w:val="both"/>
        <w:rPr>
          <w:rFonts w:cs="Times New Roman"/>
          <w:lang w:val="es-ES"/>
        </w:rPr>
      </w:pPr>
      <w:r w:rsidRPr="00580C2D">
        <w:rPr>
          <w:rFonts w:cs="Times New Roman"/>
          <w:lang w:val="es-ES"/>
        </w:rPr>
        <w:t>C</w:t>
      </w:r>
      <w:r w:rsidRPr="00580C2D">
        <w:rPr>
          <w:rFonts w:cs="Times New Roman"/>
          <w:lang w:val="es-ES"/>
        </w:rPr>
        <w:t xml:space="preserve">on la entrada en vigor de la Constitución de 1991, esta corporación </w:t>
      </w:r>
      <w:r w:rsidRPr="00580C2D">
        <w:rPr>
          <w:rFonts w:cs="Times New Roman"/>
          <w:lang w:val="es-ES"/>
        </w:rPr>
        <w:t>identificó</w:t>
      </w:r>
      <w:r w:rsidRPr="00580C2D">
        <w:rPr>
          <w:rFonts w:cs="Times New Roman"/>
          <w:lang w:val="es-ES"/>
        </w:rPr>
        <w:t xml:space="preserve"> el marco normativo frente al cual corresponde estudiar los cargos de inconstitucionalidad formulados co</w:t>
      </w:r>
      <w:r w:rsidRPr="00580C2D">
        <w:rPr>
          <w:rFonts w:cs="Times New Roman"/>
          <w:lang w:val="es-ES"/>
        </w:rPr>
        <w:t>ntra normas contenidas en leyes expedidas bajo la vigencia de la Constitución Nacional de 1886. Mientras los vicios de procedimiento, incluyendo los de forma y competencia</w:t>
      </w:r>
      <w:r w:rsidRPr="00580C2D">
        <w:rPr>
          <w:rStyle w:val="Refdenotaalpie"/>
          <w:rFonts w:cs="Times New Roman"/>
        </w:rPr>
        <w:footnoteReference w:id="32"/>
      </w:r>
      <w:r w:rsidRPr="00580C2D">
        <w:rPr>
          <w:rFonts w:cs="Times New Roman"/>
          <w:lang w:val="es-ES"/>
        </w:rPr>
        <w:t xml:space="preserve">, se evalúan a la luz de la </w:t>
      </w:r>
      <w:r w:rsidRPr="00580C2D">
        <w:rPr>
          <w:rFonts w:cs="Times New Roman"/>
          <w:lang w:val="es-ES"/>
        </w:rPr>
        <w:t>Constitución</w:t>
      </w:r>
      <w:r w:rsidRPr="00580C2D">
        <w:rPr>
          <w:rFonts w:cs="Times New Roman"/>
          <w:lang w:val="es-ES"/>
        </w:rPr>
        <w:t xml:space="preserve"> vigente al momento de la expedición de las </w:t>
      </w:r>
      <w:r w:rsidRPr="00580C2D">
        <w:rPr>
          <w:rFonts w:cs="Times New Roman"/>
          <w:lang w:val="es-ES"/>
        </w:rPr>
        <w:t>normas, el análisis de constitucionalidad por vicios materiales se realiza teniendo como parámetro la Constitución Política de 1991.</w:t>
      </w:r>
      <w:r w:rsidRPr="00580C2D">
        <w:rPr>
          <w:rFonts w:cs="Times New Roman"/>
          <w:lang w:val="es-ES"/>
        </w:rPr>
        <w:t xml:space="preserve"> En </w:t>
      </w:r>
      <w:r w:rsidRPr="00580C2D">
        <w:rPr>
          <w:rFonts w:cs="Times New Roman"/>
          <w:lang w:val="es-ES"/>
        </w:rPr>
        <w:t>consecuencia</w:t>
      </w:r>
      <w:r w:rsidRPr="00580C2D">
        <w:rPr>
          <w:rFonts w:cs="Times New Roman"/>
          <w:lang w:val="es-ES"/>
        </w:rPr>
        <w:t xml:space="preserve">, era el artículo 76.10 </w:t>
      </w:r>
      <w:r w:rsidRPr="00580C2D">
        <w:rPr>
          <w:rFonts w:cs="Times New Roman"/>
          <w:lang w:val="es-ES"/>
        </w:rPr>
        <w:t xml:space="preserve">de la Constitución de 1886 </w:t>
      </w:r>
      <w:r w:rsidRPr="00580C2D">
        <w:rPr>
          <w:rFonts w:cs="Times New Roman"/>
          <w:lang w:val="es-ES"/>
        </w:rPr>
        <w:t xml:space="preserve">y no el 150.10 de la Constitución de 1991 </w:t>
      </w:r>
      <w:r w:rsidRPr="00580C2D">
        <w:rPr>
          <w:rFonts w:cs="Times New Roman"/>
          <w:lang w:val="es-ES"/>
        </w:rPr>
        <w:t>el</w:t>
      </w:r>
      <w:r w:rsidRPr="00580C2D">
        <w:rPr>
          <w:rFonts w:cs="Times New Roman"/>
          <w:lang w:val="es-ES"/>
        </w:rPr>
        <w:t xml:space="preserve"> que debía co</w:t>
      </w:r>
      <w:r w:rsidRPr="00580C2D">
        <w:rPr>
          <w:rFonts w:cs="Times New Roman"/>
          <w:lang w:val="es-ES"/>
        </w:rPr>
        <w:t xml:space="preserve">nsiderarse como parámetro de constitucionalidad. </w:t>
      </w:r>
    </w:p>
    <w:p w:rsidR="005E6744" w:rsidRPr="00580C2D" w:rsidRDefault="00580C2D" w:rsidP="00D7251A">
      <w:pPr>
        <w:rPr>
          <w:rFonts w:ascii="Times New Roman" w:hAnsi="Times New Roman" w:cs="Times New Roman"/>
          <w:sz w:val="28"/>
          <w:lang w:val="es-ES"/>
        </w:rPr>
      </w:pPr>
    </w:p>
    <w:p w:rsidR="005E6744" w:rsidRPr="00580C2D" w:rsidRDefault="00580C2D" w:rsidP="00341723">
      <w:pPr>
        <w:pStyle w:val="Prrafodelista"/>
        <w:numPr>
          <w:ilvl w:val="0"/>
          <w:numId w:val="3"/>
        </w:numPr>
        <w:ind w:left="0" w:firstLine="0"/>
        <w:jc w:val="both"/>
        <w:rPr>
          <w:rFonts w:cs="Times New Roman"/>
          <w:lang w:val="es-ES"/>
        </w:rPr>
      </w:pPr>
      <w:r w:rsidRPr="00580C2D">
        <w:rPr>
          <w:rFonts w:cs="Times New Roman"/>
          <w:bCs/>
          <w:lang w:val="es-ES"/>
        </w:rPr>
        <w:t>Además</w:t>
      </w:r>
      <w:r w:rsidRPr="00580C2D">
        <w:rPr>
          <w:rFonts w:cs="Times New Roman"/>
          <w:bCs/>
          <w:lang w:val="es-ES"/>
        </w:rPr>
        <w:t xml:space="preserve">, el cargo carece de </w:t>
      </w:r>
      <w:r w:rsidRPr="00580C2D">
        <w:rPr>
          <w:rFonts w:cs="Times New Roman"/>
          <w:bCs/>
          <w:i/>
          <w:iCs/>
          <w:lang w:val="es-ES"/>
        </w:rPr>
        <w:t>especificidad</w:t>
      </w:r>
      <w:r w:rsidRPr="00580C2D">
        <w:rPr>
          <w:rFonts w:cs="Times New Roman"/>
          <w:bCs/>
          <w:lang w:val="es-ES"/>
        </w:rPr>
        <w:t>, en la medida en que el demandante no explicó por qué la amplia facultad de “codificación” existente bajo el marco constitucional de 1886 no permitía incorporar los</w:t>
      </w:r>
      <w:r w:rsidRPr="00580C2D">
        <w:rPr>
          <w:rFonts w:cs="Times New Roman"/>
          <w:bCs/>
          <w:lang w:val="es-ES"/>
        </w:rPr>
        <w:t xml:space="preserve"> preceptos demandados en el Decreto 1333 de 1886.</w:t>
      </w:r>
      <w:r w:rsidRPr="00580C2D">
        <w:rPr>
          <w:rFonts w:cs="Times New Roman"/>
          <w:bCs/>
          <w:lang w:val="es-ES"/>
        </w:rPr>
        <w:t xml:space="preserve"> </w:t>
      </w:r>
      <w:r w:rsidRPr="00580C2D">
        <w:rPr>
          <w:rFonts w:cs="Times New Roman"/>
          <w:bCs/>
          <w:lang w:val="es-ES"/>
        </w:rPr>
        <w:t>En efecto, el demandante parece asimilar las nociones de codificación y compilación, cuando de acuerdo con la jurisprudencia de la Corte Suprema de Justicia, en vigencia de la Constitución de 1886, la noció</w:t>
      </w:r>
      <w:r w:rsidRPr="00580C2D">
        <w:rPr>
          <w:rFonts w:cs="Times New Roman"/>
          <w:bCs/>
          <w:lang w:val="es-ES"/>
        </w:rPr>
        <w:t xml:space="preserve">n de codificación admitía cierta creación normativa. </w:t>
      </w:r>
      <w:r w:rsidRPr="00580C2D">
        <w:rPr>
          <w:rFonts w:cs="Times New Roman"/>
          <w:bCs/>
          <w:lang w:val="es-ES"/>
        </w:rPr>
        <w:t>En consecuencia, no precisó la manera en que el texto de las disposiciones demandadas vulnera la Constitución de forma objetiva y verificable.</w:t>
      </w:r>
    </w:p>
    <w:p w:rsidR="001E0766" w:rsidRPr="00580C2D" w:rsidRDefault="00580C2D" w:rsidP="00122A05">
      <w:pPr>
        <w:rPr>
          <w:rFonts w:ascii="Times New Roman" w:hAnsi="Times New Roman" w:cs="Times New Roman"/>
          <w:sz w:val="28"/>
          <w:lang w:val="es-ES"/>
        </w:rPr>
      </w:pPr>
    </w:p>
    <w:p w:rsidR="005E6744"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En tercer lugar</w:t>
      </w:r>
      <w:r w:rsidRPr="00580C2D">
        <w:rPr>
          <w:rFonts w:cs="Times New Roman"/>
          <w:lang w:val="es-ES"/>
        </w:rPr>
        <w:t xml:space="preserve">, </w:t>
      </w:r>
      <w:r w:rsidRPr="00580C2D">
        <w:rPr>
          <w:rFonts w:cs="Times New Roman"/>
          <w:bCs/>
          <w:lang w:val="es-ES"/>
        </w:rPr>
        <w:t>el cargo</w:t>
      </w:r>
      <w:r w:rsidRPr="00580C2D">
        <w:rPr>
          <w:rFonts w:cs="Times New Roman"/>
          <w:bCs/>
          <w:lang w:val="es-ES"/>
        </w:rPr>
        <w:t xml:space="preserve"> </w:t>
      </w:r>
      <w:r w:rsidRPr="00580C2D">
        <w:rPr>
          <w:rFonts w:cs="Times New Roman"/>
          <w:bCs/>
          <w:lang w:val="es-ES"/>
        </w:rPr>
        <w:t>carece de</w:t>
      </w:r>
      <w:r w:rsidRPr="00580C2D">
        <w:rPr>
          <w:rFonts w:cs="Times New Roman"/>
          <w:bCs/>
          <w:lang w:val="es-ES"/>
        </w:rPr>
        <w:t xml:space="preserve"> </w:t>
      </w:r>
      <w:r w:rsidRPr="00580C2D">
        <w:rPr>
          <w:rFonts w:cs="Times New Roman"/>
          <w:bCs/>
          <w:i/>
          <w:iCs/>
          <w:lang w:val="es-ES"/>
        </w:rPr>
        <w:t>pertinencia</w:t>
      </w:r>
      <w:r w:rsidRPr="00580C2D">
        <w:rPr>
          <w:rFonts w:cs="Times New Roman"/>
          <w:bCs/>
          <w:lang w:val="es-ES"/>
        </w:rPr>
        <w:t xml:space="preserve">, pues se limita a señalar que la Ley 20 de 1908 –que a su juicio corresponde con la norma creadora del impuesto de degüello de ganado menor– fue derogada por la Ley 4 de 1913. A partir de ello concluye que el </w:t>
      </w:r>
      <w:r w:rsidRPr="00580C2D">
        <w:rPr>
          <w:rFonts w:cs="Times New Roman"/>
          <w:bCs/>
          <w:lang w:val="es-ES"/>
        </w:rPr>
        <w:t>presidente</w:t>
      </w:r>
      <w:r w:rsidRPr="00580C2D">
        <w:rPr>
          <w:rFonts w:cs="Times New Roman"/>
          <w:bCs/>
          <w:lang w:val="es-ES"/>
        </w:rPr>
        <w:t xml:space="preserve"> </w:t>
      </w:r>
      <w:r w:rsidRPr="00580C2D">
        <w:rPr>
          <w:rFonts w:cs="Times New Roman"/>
          <w:bCs/>
          <w:lang w:val="es-ES"/>
        </w:rPr>
        <w:t>excedió</w:t>
      </w:r>
      <w:r w:rsidRPr="00580C2D">
        <w:rPr>
          <w:rFonts w:cs="Times New Roman"/>
          <w:bCs/>
          <w:lang w:val="es-ES"/>
        </w:rPr>
        <w:t xml:space="preserve"> sus facultades de </w:t>
      </w:r>
      <w:r w:rsidRPr="00580C2D">
        <w:rPr>
          <w:rFonts w:cs="Times New Roman"/>
          <w:bCs/>
          <w:i/>
          <w:iCs/>
          <w:lang w:val="es-ES"/>
        </w:rPr>
        <w:t>codificac</w:t>
      </w:r>
      <w:r w:rsidRPr="00580C2D">
        <w:rPr>
          <w:rFonts w:cs="Times New Roman"/>
          <w:bCs/>
          <w:i/>
          <w:iCs/>
          <w:lang w:val="es-ES"/>
        </w:rPr>
        <w:t>ión</w:t>
      </w:r>
      <w:r w:rsidRPr="00580C2D">
        <w:rPr>
          <w:rFonts w:cs="Times New Roman"/>
          <w:bCs/>
          <w:lang w:val="es-ES"/>
        </w:rPr>
        <w:t xml:space="preserve"> al integrar al Código del Régimen Municipal un tributo que se encontraba derogado. </w:t>
      </w:r>
      <w:r w:rsidRPr="00580C2D">
        <w:rPr>
          <w:rFonts w:cs="Times New Roman"/>
          <w:bCs/>
          <w:lang w:val="es-ES"/>
        </w:rPr>
        <w:t xml:space="preserve">Sin embargo, el demandante no tuvo en cuenta el contexto histórico y jurídico en el que se </w:t>
      </w:r>
      <w:r w:rsidRPr="00580C2D">
        <w:rPr>
          <w:rFonts w:cs="Times New Roman"/>
          <w:bCs/>
          <w:lang w:val="es-ES"/>
        </w:rPr>
        <w:t>expidieron</w:t>
      </w:r>
      <w:r w:rsidRPr="00580C2D">
        <w:rPr>
          <w:rFonts w:cs="Times New Roman"/>
          <w:bCs/>
          <w:lang w:val="es-ES"/>
        </w:rPr>
        <w:t xml:space="preserve"> la Ley 20 de 1908 y la Ley 4 de 1913, ni de qué manera </w:t>
      </w:r>
      <w:r w:rsidRPr="00580C2D">
        <w:rPr>
          <w:rFonts w:cs="Times New Roman"/>
          <w:bCs/>
          <w:lang w:val="es-ES"/>
        </w:rPr>
        <w:t>e</w:t>
      </w:r>
      <w:r w:rsidRPr="00580C2D">
        <w:rPr>
          <w:rFonts w:cs="Times New Roman"/>
          <w:bCs/>
          <w:lang w:val="es-ES"/>
        </w:rPr>
        <w:t xml:space="preserve">sta última </w:t>
      </w:r>
      <w:r w:rsidRPr="00580C2D">
        <w:rPr>
          <w:rFonts w:cs="Times New Roman"/>
          <w:bCs/>
          <w:lang w:val="es-ES"/>
        </w:rPr>
        <w:t xml:space="preserve">reguló la creación de impuestos municipales y departamentales cuando derogó aquélla, y estableció diversas disposiciones </w:t>
      </w:r>
      <w:r w:rsidRPr="00580C2D">
        <w:rPr>
          <w:rFonts w:cs="Times New Roman"/>
          <w:bCs/>
          <w:i/>
          <w:iCs/>
          <w:lang w:val="es-ES"/>
        </w:rPr>
        <w:t>sobre el régimen político y municipal</w:t>
      </w:r>
      <w:r w:rsidRPr="00580C2D">
        <w:rPr>
          <w:rFonts w:cs="Times New Roman"/>
          <w:bCs/>
          <w:lang w:val="es-ES"/>
        </w:rPr>
        <w:t xml:space="preserve">. </w:t>
      </w:r>
    </w:p>
    <w:p w:rsidR="005E6744" w:rsidRPr="00580C2D" w:rsidRDefault="00580C2D" w:rsidP="005E6744">
      <w:pPr>
        <w:pStyle w:val="Prrafodelista"/>
        <w:rPr>
          <w:rFonts w:cs="Times New Roman"/>
          <w:bCs/>
          <w:lang w:val="es-ES"/>
        </w:rPr>
      </w:pPr>
    </w:p>
    <w:p w:rsidR="00553762" w:rsidRPr="00580C2D" w:rsidRDefault="00580C2D" w:rsidP="00341723">
      <w:pPr>
        <w:pStyle w:val="Prrafodelista"/>
        <w:numPr>
          <w:ilvl w:val="0"/>
          <w:numId w:val="3"/>
        </w:numPr>
        <w:ind w:left="0" w:firstLine="0"/>
        <w:jc w:val="both"/>
        <w:rPr>
          <w:rFonts w:cs="Times New Roman"/>
          <w:lang w:val="es-ES"/>
        </w:rPr>
      </w:pPr>
      <w:r w:rsidRPr="00580C2D">
        <w:rPr>
          <w:rFonts w:cs="Times New Roman"/>
          <w:bCs/>
          <w:lang w:val="es-ES"/>
        </w:rPr>
        <w:t xml:space="preserve">Así, por ejemplo, </w:t>
      </w:r>
      <w:r w:rsidRPr="00580C2D">
        <w:rPr>
          <w:rFonts w:cs="Times New Roman"/>
          <w:bCs/>
          <w:lang w:val="es-ES"/>
        </w:rPr>
        <w:t xml:space="preserve">la Ley 4 de 1913 </w:t>
      </w:r>
      <w:r w:rsidRPr="00580C2D">
        <w:rPr>
          <w:rFonts w:cs="Times New Roman"/>
          <w:bCs/>
          <w:lang w:val="es-ES"/>
        </w:rPr>
        <w:t xml:space="preserve">dispuso en el artículo </w:t>
      </w:r>
      <w:r w:rsidRPr="00580C2D">
        <w:rPr>
          <w:rFonts w:cs="Times New Roman"/>
          <w:bCs/>
          <w:lang w:val="es-ES"/>
        </w:rPr>
        <w:t>196</w:t>
      </w:r>
      <w:r w:rsidRPr="00580C2D">
        <w:rPr>
          <w:rFonts w:cs="Times New Roman"/>
          <w:bCs/>
          <w:lang w:val="es-ES"/>
        </w:rPr>
        <w:t>,</w:t>
      </w:r>
      <w:r w:rsidRPr="00580C2D">
        <w:rPr>
          <w:rFonts w:cs="Times New Roman"/>
          <w:bCs/>
          <w:lang w:val="es-ES"/>
        </w:rPr>
        <w:t xml:space="preserve"> que “</w:t>
      </w:r>
      <w:r w:rsidRPr="00580C2D">
        <w:rPr>
          <w:rFonts w:cs="Times New Roman"/>
        </w:rPr>
        <w:t xml:space="preserve">[l]as Asambleas </w:t>
      </w:r>
      <w:r w:rsidRPr="00580C2D">
        <w:rPr>
          <w:rFonts w:cs="Times New Roman"/>
        </w:rPr>
        <w:t>Departamentales fijarán los impuestos que pueden establecer los Municipios, sin permitirles gravar objetos gravados por el Estado, y pueden aquéllas ceder a éstos el todo o parte de los que les correspondan conforme a las leyes.</w:t>
      </w:r>
      <w:r w:rsidRPr="00580C2D">
        <w:rPr>
          <w:rFonts w:cs="Times New Roman"/>
        </w:rPr>
        <w:t xml:space="preserve"> </w:t>
      </w:r>
      <w:r w:rsidRPr="00580C2D">
        <w:rPr>
          <w:rFonts w:cs="Times New Roman"/>
        </w:rPr>
        <w:t xml:space="preserve">//Los impuestos existentes </w:t>
      </w:r>
      <w:r w:rsidRPr="00580C2D">
        <w:rPr>
          <w:rFonts w:cs="Times New Roman"/>
        </w:rPr>
        <w:t>hoy se conservarán mientras las Asambleas determinen lo conveniente.</w:t>
      </w:r>
      <w:r w:rsidRPr="00580C2D">
        <w:rPr>
          <w:rFonts w:cs="Times New Roman"/>
        </w:rPr>
        <w:t>” Es decir, que</w:t>
      </w:r>
      <w:r w:rsidRPr="00580C2D">
        <w:rPr>
          <w:rFonts w:cs="Times New Roman"/>
        </w:rPr>
        <w:t xml:space="preserve"> el accionante no consideró que</w:t>
      </w:r>
      <w:r w:rsidRPr="00580C2D">
        <w:rPr>
          <w:rFonts w:cs="Times New Roman"/>
        </w:rPr>
        <w:t xml:space="preserve"> la derogatoria de la Ley 20 de 1908</w:t>
      </w:r>
      <w:r w:rsidRPr="00580C2D">
        <w:rPr>
          <w:rFonts w:cs="Times New Roman"/>
        </w:rPr>
        <w:t xml:space="preserve"> no se dio aisladamente, </w:t>
      </w:r>
      <w:r w:rsidRPr="00580C2D">
        <w:rPr>
          <w:rFonts w:cs="Times New Roman"/>
        </w:rPr>
        <w:t>sino en el contexto</w:t>
      </w:r>
      <w:r w:rsidRPr="00580C2D">
        <w:rPr>
          <w:rFonts w:cs="Times New Roman"/>
        </w:rPr>
        <w:t xml:space="preserve"> </w:t>
      </w:r>
      <w:r w:rsidRPr="00580C2D">
        <w:rPr>
          <w:rFonts w:cs="Times New Roman"/>
        </w:rPr>
        <w:t xml:space="preserve">de </w:t>
      </w:r>
      <w:r w:rsidRPr="00580C2D">
        <w:rPr>
          <w:rFonts w:cs="Times New Roman"/>
        </w:rPr>
        <w:t>la Ley 4 de 1913</w:t>
      </w:r>
      <w:r w:rsidRPr="00580C2D">
        <w:rPr>
          <w:rFonts w:cs="Times New Roman"/>
        </w:rPr>
        <w:t>, que</w:t>
      </w:r>
      <w:r w:rsidRPr="00580C2D">
        <w:rPr>
          <w:rFonts w:cs="Times New Roman"/>
        </w:rPr>
        <w:t xml:space="preserve"> </w:t>
      </w:r>
      <w:r w:rsidRPr="00580C2D">
        <w:rPr>
          <w:rFonts w:cs="Times New Roman"/>
        </w:rPr>
        <w:t xml:space="preserve">otorgó a las </w:t>
      </w:r>
      <w:r w:rsidRPr="00580C2D">
        <w:rPr>
          <w:rFonts w:cs="Times New Roman"/>
        </w:rPr>
        <w:t>a</w:t>
      </w:r>
      <w:r w:rsidRPr="00580C2D">
        <w:rPr>
          <w:rFonts w:cs="Times New Roman"/>
        </w:rPr>
        <w:t xml:space="preserve">sambleas competencia para determinar los impuestos </w:t>
      </w:r>
      <w:r w:rsidRPr="00580C2D">
        <w:rPr>
          <w:rFonts w:cs="Times New Roman"/>
        </w:rPr>
        <w:t xml:space="preserve">municipales, y </w:t>
      </w:r>
      <w:r w:rsidRPr="00580C2D">
        <w:rPr>
          <w:rFonts w:cs="Times New Roman"/>
        </w:rPr>
        <w:t>estipuló</w:t>
      </w:r>
      <w:r w:rsidRPr="00580C2D">
        <w:rPr>
          <w:rFonts w:cs="Times New Roman"/>
        </w:rPr>
        <w:t xml:space="preserve"> incluso</w:t>
      </w:r>
      <w:r w:rsidRPr="00580C2D">
        <w:rPr>
          <w:rFonts w:cs="Times New Roman"/>
        </w:rPr>
        <w:t>,</w:t>
      </w:r>
      <w:r w:rsidRPr="00580C2D">
        <w:rPr>
          <w:rFonts w:cs="Times New Roman"/>
        </w:rPr>
        <w:t xml:space="preserve"> que los entonces existentes se mantendrían vigentes hasta tanto las asambleas </w:t>
      </w:r>
      <w:r w:rsidRPr="00580C2D">
        <w:rPr>
          <w:rFonts w:cs="Times New Roman"/>
        </w:rPr>
        <w:t>así lo</w:t>
      </w:r>
      <w:r w:rsidRPr="00580C2D">
        <w:rPr>
          <w:rFonts w:cs="Times New Roman"/>
        </w:rPr>
        <w:t xml:space="preserve"> dispusieran.</w:t>
      </w:r>
      <w:r w:rsidRPr="00580C2D">
        <w:rPr>
          <w:rFonts w:cs="Times New Roman"/>
        </w:rPr>
        <w:t xml:space="preserve"> Para que el cargo formulado por el demandante </w:t>
      </w:r>
      <w:r w:rsidRPr="00580C2D">
        <w:rPr>
          <w:rFonts w:cs="Times New Roman"/>
        </w:rPr>
        <w:t>fuera considerado</w:t>
      </w:r>
      <w:r w:rsidRPr="00580C2D">
        <w:rPr>
          <w:rFonts w:cs="Times New Roman"/>
        </w:rPr>
        <w:t xml:space="preserve"> apto, </w:t>
      </w:r>
      <w:r w:rsidRPr="00580C2D">
        <w:rPr>
          <w:rFonts w:cs="Times New Roman"/>
        </w:rPr>
        <w:t>se r</w:t>
      </w:r>
      <w:r w:rsidRPr="00580C2D">
        <w:rPr>
          <w:rFonts w:cs="Times New Roman"/>
        </w:rPr>
        <w:t xml:space="preserve">equería </w:t>
      </w:r>
      <w:r w:rsidRPr="00580C2D">
        <w:rPr>
          <w:rFonts w:cs="Times New Roman"/>
        </w:rPr>
        <w:t>explica</w:t>
      </w:r>
      <w:r w:rsidRPr="00580C2D">
        <w:rPr>
          <w:rFonts w:cs="Times New Roman"/>
        </w:rPr>
        <w:t>r</w:t>
      </w:r>
      <w:r w:rsidRPr="00580C2D">
        <w:rPr>
          <w:rFonts w:cs="Times New Roman"/>
        </w:rPr>
        <w:t xml:space="preserve"> por qué, en ese contexto normativo, en efecto, </w:t>
      </w:r>
      <w:r w:rsidRPr="00580C2D">
        <w:rPr>
          <w:rFonts w:cs="Times New Roman"/>
        </w:rPr>
        <w:t>el impuesto al degüello fue derogado</w:t>
      </w:r>
      <w:r w:rsidRPr="00580C2D">
        <w:rPr>
          <w:rFonts w:cs="Times New Roman"/>
        </w:rPr>
        <w:t>.</w:t>
      </w:r>
    </w:p>
    <w:p w:rsidR="009235F8" w:rsidRPr="00580C2D" w:rsidRDefault="00580C2D" w:rsidP="009235F8">
      <w:pPr>
        <w:rPr>
          <w:rFonts w:ascii="Times New Roman" w:hAnsi="Times New Roman" w:cs="Times New Roman"/>
          <w:sz w:val="28"/>
          <w:lang w:val="es-ES"/>
        </w:rPr>
      </w:pPr>
    </w:p>
    <w:p w:rsidR="007928E4"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De igual manera</w:t>
      </w:r>
      <w:r w:rsidRPr="00580C2D">
        <w:rPr>
          <w:rFonts w:cs="Times New Roman"/>
          <w:lang w:val="es-ES"/>
        </w:rPr>
        <w:t>,</w:t>
      </w:r>
      <w:r w:rsidRPr="00580C2D">
        <w:rPr>
          <w:rFonts w:cs="Times New Roman"/>
          <w:lang w:val="es-ES"/>
        </w:rPr>
        <w:t xml:space="preserve"> en tanto</w:t>
      </w:r>
      <w:r w:rsidRPr="00580C2D">
        <w:rPr>
          <w:rFonts w:cs="Times New Roman"/>
          <w:lang w:val="es-ES"/>
        </w:rPr>
        <w:t xml:space="preserve"> </w:t>
      </w:r>
      <w:r w:rsidRPr="00580C2D">
        <w:rPr>
          <w:rFonts w:cs="Times New Roman"/>
          <w:lang w:val="es-ES"/>
        </w:rPr>
        <w:t xml:space="preserve">el demandante </w:t>
      </w:r>
      <w:r w:rsidRPr="00580C2D">
        <w:rPr>
          <w:rFonts w:cs="Times New Roman"/>
          <w:lang w:val="es-ES"/>
        </w:rPr>
        <w:t>no logra demostrar que el reproche que formula tenga relevancia constitucional</w:t>
      </w:r>
      <w:r w:rsidRPr="00580C2D">
        <w:rPr>
          <w:rFonts w:cs="Times New Roman"/>
          <w:lang w:val="es-ES"/>
        </w:rPr>
        <w:t xml:space="preserve">, el cargo no resulta </w:t>
      </w:r>
      <w:r w:rsidRPr="00580C2D">
        <w:rPr>
          <w:rFonts w:cs="Times New Roman"/>
          <w:i/>
          <w:iCs/>
          <w:lang w:val="es-ES"/>
        </w:rPr>
        <w:t>pertinente</w:t>
      </w:r>
      <w:r w:rsidRPr="00580C2D">
        <w:rPr>
          <w:rFonts w:cs="Times New Roman"/>
          <w:lang w:val="es-ES"/>
        </w:rPr>
        <w:t>. A</w:t>
      </w:r>
      <w:r w:rsidRPr="00580C2D">
        <w:rPr>
          <w:rFonts w:cs="Times New Roman"/>
          <w:lang w:val="es-ES"/>
        </w:rPr>
        <w:t>sí,</w:t>
      </w:r>
      <w:r w:rsidRPr="00580C2D">
        <w:rPr>
          <w:rFonts w:cs="Times New Roman"/>
          <w:lang w:val="es-ES"/>
        </w:rPr>
        <w:t xml:space="preserve"> como se señaló más arriba,</w:t>
      </w:r>
      <w:r w:rsidRPr="00580C2D">
        <w:rPr>
          <w:rFonts w:cs="Times New Roman"/>
          <w:lang w:val="es-ES"/>
        </w:rPr>
        <w:t xml:space="preserve"> este tribunal ha establecido que la competencia del Congreso para otorgar facultades legislativas al presidente y la competencia de este para desarrollarlas deben valorarse de acuerdo con el ordenamiento constitucional vigent</w:t>
      </w:r>
      <w:r w:rsidRPr="00580C2D">
        <w:rPr>
          <w:rFonts w:cs="Times New Roman"/>
          <w:lang w:val="es-ES"/>
        </w:rPr>
        <w:t xml:space="preserve">e en el momento en que se facultó al Ejecutivo. Por lo tanto, la </w:t>
      </w:r>
      <w:r w:rsidRPr="00580C2D">
        <w:rPr>
          <w:rFonts w:cs="Times New Roman"/>
          <w:i/>
          <w:iCs/>
          <w:lang w:val="es-ES"/>
        </w:rPr>
        <w:t>impertinencia</w:t>
      </w:r>
      <w:r w:rsidRPr="00580C2D">
        <w:rPr>
          <w:rFonts w:cs="Times New Roman"/>
          <w:lang w:val="es-ES"/>
        </w:rPr>
        <w:t xml:space="preserve"> del cargo se genera cuando </w:t>
      </w:r>
      <w:r w:rsidRPr="00580C2D">
        <w:rPr>
          <w:rFonts w:cs="Times New Roman"/>
          <w:lang w:val="es-ES"/>
        </w:rPr>
        <w:t xml:space="preserve">el demandante </w:t>
      </w:r>
      <w:r w:rsidRPr="00580C2D">
        <w:rPr>
          <w:rFonts w:cs="Times New Roman"/>
          <w:lang w:val="es-ES"/>
        </w:rPr>
        <w:t>pretende que la acusación sobre el presunto exceso de las facultades extraordinarias del presidente de la República se juzgue a la luz d</w:t>
      </w:r>
      <w:r w:rsidRPr="00580C2D">
        <w:rPr>
          <w:rFonts w:cs="Times New Roman"/>
          <w:lang w:val="es-ES"/>
        </w:rPr>
        <w:t xml:space="preserve">e la Constitución Política de 1991 y </w:t>
      </w:r>
      <w:r w:rsidRPr="00580C2D">
        <w:rPr>
          <w:rFonts w:cs="Times New Roman"/>
          <w:lang w:val="es-ES"/>
        </w:rPr>
        <w:t>no de</w:t>
      </w:r>
      <w:r w:rsidRPr="00580C2D">
        <w:rPr>
          <w:rFonts w:cs="Times New Roman"/>
          <w:lang w:val="es-ES"/>
        </w:rPr>
        <w:t xml:space="preserve"> las disposiciones constitucionales entonces vigentes</w:t>
      </w:r>
      <w:r w:rsidRPr="00580C2D">
        <w:rPr>
          <w:rFonts w:cs="Times New Roman"/>
          <w:lang w:val="es-ES"/>
        </w:rPr>
        <w:t xml:space="preserve"> que son su marco de referencia</w:t>
      </w:r>
      <w:r w:rsidRPr="00580C2D">
        <w:rPr>
          <w:rFonts w:cs="Times New Roman"/>
          <w:lang w:val="es-ES"/>
        </w:rPr>
        <w:t>.</w:t>
      </w:r>
    </w:p>
    <w:p w:rsidR="00285571" w:rsidRPr="00580C2D" w:rsidRDefault="00580C2D" w:rsidP="005E6744">
      <w:pPr>
        <w:rPr>
          <w:rFonts w:ascii="Times New Roman" w:hAnsi="Times New Roman" w:cs="Times New Roman"/>
          <w:bCs/>
          <w:sz w:val="28"/>
          <w:lang w:val="es-ES"/>
        </w:rPr>
      </w:pPr>
    </w:p>
    <w:p w:rsidR="003B4D18" w:rsidRPr="00580C2D" w:rsidRDefault="00580C2D" w:rsidP="00341723">
      <w:pPr>
        <w:pStyle w:val="Prrafodelista"/>
        <w:numPr>
          <w:ilvl w:val="0"/>
          <w:numId w:val="3"/>
        </w:numPr>
        <w:ind w:left="0" w:firstLine="0"/>
        <w:jc w:val="both"/>
        <w:rPr>
          <w:rFonts w:cs="Times New Roman"/>
          <w:lang w:val="es-ES"/>
        </w:rPr>
      </w:pPr>
      <w:r w:rsidRPr="00580C2D">
        <w:rPr>
          <w:rFonts w:cs="Times New Roman"/>
          <w:bCs/>
          <w:lang w:val="es-ES"/>
        </w:rPr>
        <w:t>Al hilo de lo expuesto es dado concluir</w:t>
      </w:r>
      <w:r w:rsidRPr="00580C2D">
        <w:rPr>
          <w:rFonts w:cs="Times New Roman"/>
          <w:bCs/>
          <w:lang w:val="es-ES"/>
        </w:rPr>
        <w:t>, finalmente,</w:t>
      </w:r>
      <w:r w:rsidRPr="00580C2D">
        <w:rPr>
          <w:rFonts w:cs="Times New Roman"/>
          <w:bCs/>
          <w:lang w:val="es-ES"/>
        </w:rPr>
        <w:t xml:space="preserve"> que</w:t>
      </w:r>
      <w:r w:rsidRPr="00580C2D">
        <w:rPr>
          <w:rFonts w:cs="Times New Roman"/>
          <w:bCs/>
          <w:lang w:val="es-ES"/>
        </w:rPr>
        <w:t xml:space="preserve"> </w:t>
      </w:r>
      <w:r w:rsidRPr="00580C2D">
        <w:rPr>
          <w:rFonts w:cs="Times New Roman"/>
          <w:bCs/>
          <w:lang w:val="es-ES"/>
        </w:rPr>
        <w:t xml:space="preserve">el cargo resulta </w:t>
      </w:r>
      <w:r w:rsidRPr="00580C2D">
        <w:rPr>
          <w:rFonts w:cs="Times New Roman"/>
          <w:bCs/>
          <w:i/>
          <w:iCs/>
          <w:lang w:val="es-ES"/>
        </w:rPr>
        <w:t>insuficiente</w:t>
      </w:r>
      <w:r w:rsidRPr="00580C2D">
        <w:rPr>
          <w:rFonts w:cs="Times New Roman"/>
          <w:bCs/>
          <w:lang w:val="es-ES"/>
        </w:rPr>
        <w:t xml:space="preserve"> pues no logra despertar una duda mínima sobre la constitucionalidad de las proposiciones demandadas.</w:t>
      </w:r>
    </w:p>
    <w:p w:rsidR="00C71EE8" w:rsidRPr="00580C2D" w:rsidRDefault="00580C2D" w:rsidP="00C71EE8">
      <w:pPr>
        <w:rPr>
          <w:rFonts w:ascii="Times New Roman" w:hAnsi="Times New Roman" w:cs="Times New Roman"/>
          <w:sz w:val="28"/>
          <w:lang w:val="es-ES"/>
        </w:rPr>
      </w:pPr>
    </w:p>
    <w:p w:rsidR="00DB7248" w:rsidRPr="00580C2D" w:rsidRDefault="00580C2D" w:rsidP="00C71EE8">
      <w:pPr>
        <w:rPr>
          <w:rFonts w:ascii="Times New Roman" w:hAnsi="Times New Roman" w:cs="Times New Roman"/>
          <w:sz w:val="28"/>
          <w:lang w:val="es-ES"/>
        </w:rPr>
      </w:pPr>
    </w:p>
    <w:p w:rsidR="00DB7248" w:rsidRPr="00580C2D" w:rsidRDefault="00580C2D" w:rsidP="00341723">
      <w:pPr>
        <w:pStyle w:val="Ttulo2"/>
        <w:numPr>
          <w:ilvl w:val="0"/>
          <w:numId w:val="4"/>
        </w:numPr>
        <w:jc w:val="both"/>
        <w:rPr>
          <w:rFonts w:ascii="Times New Roman" w:hAnsi="Times New Roman" w:cs="Times New Roman"/>
        </w:rPr>
      </w:pPr>
      <w:r w:rsidRPr="00580C2D">
        <w:rPr>
          <w:rFonts w:ascii="Times New Roman" w:hAnsi="Times New Roman" w:cs="Times New Roman"/>
        </w:rPr>
        <w:t>El</w:t>
      </w:r>
      <w:r w:rsidRPr="00580C2D">
        <w:rPr>
          <w:rFonts w:ascii="Times New Roman" w:hAnsi="Times New Roman" w:cs="Times New Roman"/>
        </w:rPr>
        <w:t xml:space="preserve"> segundo</w:t>
      </w:r>
      <w:r w:rsidRPr="00580C2D">
        <w:rPr>
          <w:rFonts w:ascii="Times New Roman" w:hAnsi="Times New Roman" w:cs="Times New Roman"/>
        </w:rPr>
        <w:t xml:space="preserve"> cargo</w:t>
      </w:r>
      <w:r w:rsidRPr="00580C2D">
        <w:rPr>
          <w:rFonts w:ascii="Times New Roman" w:hAnsi="Times New Roman" w:cs="Times New Roman"/>
        </w:rPr>
        <w:t>,</w:t>
      </w:r>
      <w:r w:rsidRPr="00580C2D">
        <w:rPr>
          <w:rFonts w:ascii="Times New Roman" w:hAnsi="Times New Roman" w:cs="Times New Roman"/>
        </w:rPr>
        <w:t xml:space="preserve"> por vulneración de los principios de certeza, legalidad y reserva de ley en materia tributaria</w:t>
      </w:r>
      <w:r w:rsidRPr="00580C2D">
        <w:rPr>
          <w:rFonts w:ascii="Times New Roman" w:hAnsi="Times New Roman" w:cs="Times New Roman"/>
        </w:rPr>
        <w:t>,</w:t>
      </w:r>
      <w:r w:rsidRPr="00580C2D">
        <w:rPr>
          <w:rFonts w:ascii="Times New Roman" w:hAnsi="Times New Roman" w:cs="Times New Roman"/>
        </w:rPr>
        <w:t xml:space="preserve"> es inepto</w:t>
      </w:r>
    </w:p>
    <w:p w:rsidR="000B42EF" w:rsidRPr="00580C2D" w:rsidRDefault="00580C2D" w:rsidP="000B42EF">
      <w:pPr>
        <w:pStyle w:val="Prrafodelista"/>
        <w:ind w:left="0"/>
        <w:jc w:val="both"/>
        <w:rPr>
          <w:rFonts w:cs="Times New Roman"/>
          <w:lang w:val="es-ES"/>
        </w:rPr>
      </w:pPr>
    </w:p>
    <w:p w:rsidR="009F11B9" w:rsidRPr="00580C2D" w:rsidRDefault="00580C2D" w:rsidP="008A7110">
      <w:pPr>
        <w:pStyle w:val="Prrafodelista"/>
        <w:numPr>
          <w:ilvl w:val="0"/>
          <w:numId w:val="3"/>
        </w:numPr>
        <w:ind w:left="0" w:firstLine="0"/>
        <w:jc w:val="both"/>
        <w:rPr>
          <w:rFonts w:cs="Times New Roman"/>
          <w:lang w:val="es-ES"/>
        </w:rPr>
      </w:pPr>
      <w:r w:rsidRPr="00580C2D">
        <w:rPr>
          <w:rFonts w:cs="Times New Roman"/>
          <w:lang w:val="es-ES"/>
        </w:rPr>
        <w:t xml:space="preserve">El </w:t>
      </w:r>
      <w:r w:rsidRPr="00580C2D">
        <w:rPr>
          <w:rFonts w:cs="Times New Roman"/>
          <w:lang w:val="es-ES"/>
        </w:rPr>
        <w:t xml:space="preserve">segundo </w:t>
      </w:r>
      <w:r w:rsidRPr="00580C2D">
        <w:rPr>
          <w:rFonts w:cs="Times New Roman"/>
          <w:lang w:val="es-ES"/>
        </w:rPr>
        <w:t>cargo</w:t>
      </w:r>
      <w:r w:rsidRPr="00580C2D">
        <w:rPr>
          <w:rFonts w:cs="Times New Roman"/>
          <w:lang w:val="es-ES"/>
        </w:rPr>
        <w:t xml:space="preserve"> sostiene q</w:t>
      </w:r>
      <w:r w:rsidRPr="00580C2D">
        <w:rPr>
          <w:rFonts w:cs="Times New Roman"/>
          <w:lang w:val="es-ES"/>
        </w:rPr>
        <w:t>ue las disposiciones demandadas vulneran</w:t>
      </w:r>
      <w:r w:rsidRPr="00580C2D">
        <w:rPr>
          <w:rFonts w:cs="Times New Roman"/>
          <w:lang w:val="es-ES"/>
        </w:rPr>
        <w:t xml:space="preserve"> los principios de certeza, legalidad y reserva de ley en materia tributaria</w:t>
      </w:r>
      <w:r w:rsidRPr="00580C2D">
        <w:rPr>
          <w:rFonts w:cs="Times New Roman"/>
          <w:lang w:val="es-ES"/>
        </w:rPr>
        <w:t>,</w:t>
      </w:r>
      <w:r w:rsidRPr="00580C2D">
        <w:rPr>
          <w:rFonts w:cs="Times New Roman"/>
          <w:lang w:val="es-ES"/>
        </w:rPr>
        <w:t xml:space="preserve"> previstos en los artículos 150-12 y 338 de la Carta</w:t>
      </w:r>
      <w:r w:rsidRPr="00580C2D">
        <w:rPr>
          <w:rFonts w:cs="Times New Roman"/>
          <w:lang w:val="es-ES"/>
        </w:rPr>
        <w:t xml:space="preserve">. </w:t>
      </w:r>
      <w:r w:rsidRPr="00580C2D">
        <w:rPr>
          <w:rFonts w:cs="Times New Roman"/>
          <w:lang w:val="es-ES"/>
        </w:rPr>
        <w:t>E</w:t>
      </w:r>
      <w:r w:rsidRPr="00580C2D">
        <w:rPr>
          <w:rFonts w:cs="Times New Roman"/>
          <w:lang w:val="es-ES"/>
        </w:rPr>
        <w:t xml:space="preserve">l demandante </w:t>
      </w:r>
      <w:r w:rsidRPr="00580C2D">
        <w:rPr>
          <w:rFonts w:cs="Times New Roman"/>
          <w:lang w:val="es-ES"/>
        </w:rPr>
        <w:t>argumenta</w:t>
      </w:r>
      <w:r w:rsidRPr="00580C2D">
        <w:rPr>
          <w:rFonts w:cs="Times New Roman"/>
          <w:lang w:val="es-ES"/>
        </w:rPr>
        <w:t xml:space="preserve"> </w:t>
      </w:r>
      <w:r w:rsidRPr="00580C2D">
        <w:rPr>
          <w:rFonts w:cs="Times New Roman"/>
          <w:lang w:val="es-ES"/>
        </w:rPr>
        <w:t xml:space="preserve">que las normas demandadas “crean” o “autorizan” el impuesto </w:t>
      </w:r>
      <w:r w:rsidRPr="00580C2D">
        <w:rPr>
          <w:rFonts w:cs="Times New Roman"/>
          <w:lang w:val="es-ES"/>
        </w:rPr>
        <w:t>de degüello de ganado menor</w:t>
      </w:r>
      <w:r w:rsidRPr="00580C2D">
        <w:rPr>
          <w:rFonts w:cs="Times New Roman"/>
          <w:lang w:val="es-ES"/>
        </w:rPr>
        <w:t xml:space="preserve"> y</w:t>
      </w:r>
      <w:r w:rsidRPr="00580C2D">
        <w:rPr>
          <w:rFonts w:cs="Times New Roman"/>
          <w:lang w:val="es-ES"/>
        </w:rPr>
        <w:t xml:space="preserve"> </w:t>
      </w:r>
      <w:r w:rsidRPr="00580C2D">
        <w:rPr>
          <w:rFonts w:cs="Times New Roman"/>
          <w:lang w:val="es-ES"/>
        </w:rPr>
        <w:t>a</w:t>
      </w:r>
      <w:r w:rsidRPr="00580C2D">
        <w:rPr>
          <w:rFonts w:cs="Times New Roman"/>
          <w:lang w:val="es-ES"/>
        </w:rPr>
        <w:t xml:space="preserve"> partir de tal premisa,</w:t>
      </w:r>
      <w:r w:rsidRPr="00580C2D">
        <w:rPr>
          <w:rFonts w:cs="Times New Roman"/>
          <w:lang w:val="es-ES"/>
        </w:rPr>
        <w:t xml:space="preserve"> concluye</w:t>
      </w:r>
      <w:r w:rsidRPr="00580C2D">
        <w:rPr>
          <w:rFonts w:cs="Times New Roman"/>
          <w:lang w:val="es-ES"/>
        </w:rPr>
        <w:t xml:space="preserve"> que, sin embargo, al carecer de </w:t>
      </w:r>
      <w:r w:rsidRPr="00580C2D">
        <w:rPr>
          <w:rFonts w:cs="Times New Roman"/>
          <w:lang w:val="es-ES"/>
        </w:rPr>
        <w:t>los</w:t>
      </w:r>
      <w:r w:rsidRPr="00580C2D">
        <w:rPr>
          <w:rFonts w:cs="Times New Roman"/>
          <w:lang w:val="es-ES"/>
        </w:rPr>
        <w:t xml:space="preserve"> elementos mínimos que delimiten el marco de acción de los órganos de representación local,</w:t>
      </w:r>
      <w:r w:rsidRPr="00580C2D">
        <w:rPr>
          <w:rFonts w:cs="Times New Roman"/>
          <w:lang w:val="es-ES"/>
        </w:rPr>
        <w:t xml:space="preserve"> </w:t>
      </w:r>
      <w:r w:rsidRPr="00580C2D">
        <w:rPr>
          <w:rFonts w:cs="Times New Roman"/>
          <w:lang w:val="es-ES"/>
        </w:rPr>
        <w:t xml:space="preserve">vulneran los principios </w:t>
      </w:r>
      <w:r w:rsidRPr="00580C2D">
        <w:rPr>
          <w:rFonts w:cs="Times New Roman"/>
          <w:lang w:val="es-ES"/>
        </w:rPr>
        <w:t>tributarios señalados</w:t>
      </w:r>
      <w:r w:rsidRPr="00580C2D">
        <w:rPr>
          <w:rFonts w:cs="Times New Roman"/>
          <w:lang w:val="es-ES"/>
        </w:rPr>
        <w:t>.</w:t>
      </w:r>
    </w:p>
    <w:p w:rsidR="009F11B9" w:rsidRPr="00580C2D" w:rsidRDefault="00580C2D" w:rsidP="00DD2E07">
      <w:pPr>
        <w:pStyle w:val="Prrafodelista"/>
        <w:ind w:left="0"/>
        <w:jc w:val="both"/>
        <w:rPr>
          <w:rFonts w:cs="Times New Roman"/>
          <w:lang w:val="es-ES"/>
        </w:rPr>
      </w:pPr>
    </w:p>
    <w:p w:rsidR="006C0B2F"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 xml:space="preserve">Al respecto, </w:t>
      </w:r>
      <w:r w:rsidRPr="00580C2D">
        <w:rPr>
          <w:rFonts w:cs="Times New Roman"/>
          <w:lang w:val="es-ES"/>
        </w:rPr>
        <w:t>en p</w:t>
      </w:r>
      <w:r w:rsidRPr="00580C2D">
        <w:rPr>
          <w:rFonts w:cs="Times New Roman"/>
          <w:lang w:val="es-ES"/>
        </w:rPr>
        <w:t>rimer lugar</w:t>
      </w:r>
      <w:r w:rsidRPr="00580C2D">
        <w:rPr>
          <w:rFonts w:cs="Times New Roman"/>
          <w:lang w:val="es-ES"/>
        </w:rPr>
        <w:t>, l</w:t>
      </w:r>
      <w:r w:rsidRPr="00580C2D">
        <w:rPr>
          <w:rFonts w:cs="Times New Roman"/>
          <w:lang w:val="es-ES"/>
        </w:rPr>
        <w:t>a Corte estima que</w:t>
      </w:r>
      <w:r w:rsidRPr="00580C2D">
        <w:rPr>
          <w:rFonts w:cs="Times New Roman"/>
          <w:lang w:val="es-ES"/>
        </w:rPr>
        <w:t xml:space="preserve"> esta argumentación </w:t>
      </w:r>
      <w:r w:rsidRPr="00580C2D">
        <w:rPr>
          <w:rFonts w:cs="Times New Roman"/>
          <w:lang w:val="es-ES"/>
        </w:rPr>
        <w:t xml:space="preserve">resulta </w:t>
      </w:r>
      <w:r w:rsidRPr="00580C2D">
        <w:rPr>
          <w:rFonts w:cs="Times New Roman"/>
          <w:i/>
          <w:iCs/>
          <w:lang w:val="es-ES"/>
        </w:rPr>
        <w:t>incierta</w:t>
      </w:r>
      <w:r w:rsidRPr="00580C2D">
        <w:rPr>
          <w:rFonts w:cs="Times New Roman"/>
          <w:lang w:val="es-ES"/>
        </w:rPr>
        <w:t xml:space="preserve">, </w:t>
      </w:r>
      <w:r w:rsidRPr="00580C2D">
        <w:rPr>
          <w:rFonts w:cs="Times New Roman"/>
          <w:lang w:val="es-ES"/>
        </w:rPr>
        <w:t xml:space="preserve">en tanto que, como se dijo respecto del primer cargo, ni el artículo 172 ni el 226 se dirigen a crear o autorizar el impuesto de degüello de ganado menor. Por ende, </w:t>
      </w:r>
      <w:r w:rsidRPr="00580C2D">
        <w:rPr>
          <w:rFonts w:cs="Times New Roman"/>
          <w:lang w:val="es-ES"/>
        </w:rPr>
        <w:t>la premisa mayor de</w:t>
      </w:r>
      <w:r w:rsidRPr="00580C2D">
        <w:rPr>
          <w:rFonts w:cs="Times New Roman"/>
          <w:lang w:val="es-ES"/>
        </w:rPr>
        <w:t>l</w:t>
      </w:r>
      <w:r w:rsidRPr="00580C2D">
        <w:rPr>
          <w:rFonts w:cs="Times New Roman"/>
          <w:lang w:val="es-ES"/>
        </w:rPr>
        <w:t xml:space="preserve"> </w:t>
      </w:r>
      <w:r w:rsidRPr="00580C2D">
        <w:rPr>
          <w:rFonts w:cs="Times New Roman"/>
          <w:lang w:val="es-ES"/>
        </w:rPr>
        <w:t xml:space="preserve">argumento no se </w:t>
      </w:r>
      <w:r w:rsidRPr="00580C2D">
        <w:rPr>
          <w:rFonts w:cs="Times New Roman"/>
          <w:lang w:val="es-ES"/>
        </w:rPr>
        <w:t>sostiene</w:t>
      </w:r>
      <w:r w:rsidRPr="00580C2D">
        <w:rPr>
          <w:rFonts w:cs="Times New Roman"/>
          <w:lang w:val="es-ES"/>
        </w:rPr>
        <w:t xml:space="preserve"> </w:t>
      </w:r>
      <w:r w:rsidRPr="00580C2D">
        <w:rPr>
          <w:rFonts w:cs="Times New Roman"/>
          <w:lang w:val="es-ES"/>
        </w:rPr>
        <w:t xml:space="preserve">a partir </w:t>
      </w:r>
      <w:r w:rsidRPr="00580C2D">
        <w:rPr>
          <w:rFonts w:cs="Times New Roman"/>
          <w:lang w:val="es-ES"/>
        </w:rPr>
        <w:t>del texto de las disposiciones normativas acusadas</w:t>
      </w:r>
      <w:r w:rsidRPr="00580C2D">
        <w:rPr>
          <w:rFonts w:cs="Times New Roman"/>
          <w:lang w:val="es-ES"/>
        </w:rPr>
        <w:t>, pues, como se ha dicho,</w:t>
      </w:r>
      <w:r w:rsidRPr="00580C2D">
        <w:rPr>
          <w:rFonts w:cs="Times New Roman"/>
          <w:lang w:val="es-ES"/>
        </w:rPr>
        <w:t xml:space="preserve"> del contenido de los artículos 172 y 226 del Decreto Ley 1333 de 1986 no es </w:t>
      </w:r>
      <w:r w:rsidRPr="00580C2D">
        <w:rPr>
          <w:rFonts w:cs="Times New Roman"/>
          <w:lang w:val="es-ES"/>
        </w:rPr>
        <w:t>posible</w:t>
      </w:r>
      <w:r w:rsidRPr="00580C2D">
        <w:rPr>
          <w:rFonts w:cs="Times New Roman"/>
          <w:lang w:val="es-ES"/>
        </w:rPr>
        <w:t xml:space="preserve"> concluir que estas normas “creen” o “autoricen” el impuesto de degüello de ganado menor. </w:t>
      </w:r>
    </w:p>
    <w:p w:rsidR="009F11B9" w:rsidRPr="00580C2D" w:rsidRDefault="00580C2D" w:rsidP="009F11B9">
      <w:pPr>
        <w:rPr>
          <w:rFonts w:ascii="Times New Roman" w:hAnsi="Times New Roman" w:cs="Times New Roman"/>
          <w:sz w:val="28"/>
          <w:lang w:val="es-ES"/>
        </w:rPr>
      </w:pPr>
    </w:p>
    <w:p w:rsidR="00BA6688"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 xml:space="preserve">En segundo lugar, </w:t>
      </w:r>
      <w:r w:rsidRPr="00580C2D">
        <w:rPr>
          <w:rFonts w:cs="Times New Roman"/>
          <w:lang w:val="es-ES"/>
        </w:rPr>
        <w:t xml:space="preserve">el cargo carece de </w:t>
      </w:r>
      <w:r w:rsidRPr="00580C2D">
        <w:rPr>
          <w:rFonts w:cs="Times New Roman"/>
          <w:i/>
          <w:iCs/>
          <w:lang w:val="es-ES"/>
        </w:rPr>
        <w:t>especificidad</w:t>
      </w:r>
      <w:r w:rsidRPr="00580C2D">
        <w:rPr>
          <w:rFonts w:cs="Times New Roman"/>
          <w:lang w:val="es-ES"/>
        </w:rPr>
        <w:t>, pues</w:t>
      </w:r>
      <w:r w:rsidRPr="00580C2D">
        <w:rPr>
          <w:rFonts w:cs="Times New Roman"/>
          <w:lang w:val="es-ES"/>
        </w:rPr>
        <w:t xml:space="preserve"> solo</w:t>
      </w:r>
      <w:r w:rsidRPr="00580C2D">
        <w:rPr>
          <w:rFonts w:cs="Times New Roman"/>
          <w:lang w:val="es-ES"/>
        </w:rPr>
        <w:t xml:space="preserve"> </w:t>
      </w:r>
      <w:r w:rsidRPr="00580C2D">
        <w:rPr>
          <w:rFonts w:cs="Times New Roman"/>
          <w:lang w:val="es-ES"/>
        </w:rPr>
        <w:t>partiendo</w:t>
      </w:r>
      <w:r w:rsidRPr="00580C2D">
        <w:rPr>
          <w:rFonts w:cs="Times New Roman"/>
          <w:lang w:val="es-ES"/>
        </w:rPr>
        <w:t xml:space="preserve"> </w:t>
      </w:r>
      <w:r w:rsidRPr="00580C2D">
        <w:rPr>
          <w:rFonts w:cs="Times New Roman"/>
          <w:lang w:val="es-ES"/>
        </w:rPr>
        <w:t>de la mencionada premisa</w:t>
      </w:r>
      <w:r w:rsidRPr="00580C2D">
        <w:rPr>
          <w:rFonts w:cs="Times New Roman"/>
          <w:lang w:val="es-ES"/>
        </w:rPr>
        <w:t xml:space="preserve"> -la </w:t>
      </w:r>
      <w:r w:rsidRPr="00580C2D">
        <w:rPr>
          <w:rFonts w:cs="Times New Roman"/>
          <w:i/>
          <w:iCs/>
          <w:lang w:val="es-ES"/>
        </w:rPr>
        <w:t>creación</w:t>
      </w:r>
      <w:r w:rsidRPr="00580C2D">
        <w:rPr>
          <w:rFonts w:cs="Times New Roman"/>
          <w:lang w:val="es-ES"/>
        </w:rPr>
        <w:t xml:space="preserve"> del tributo por la norma demandada-, es posible cuesti</w:t>
      </w:r>
      <w:r w:rsidRPr="00580C2D">
        <w:rPr>
          <w:rFonts w:cs="Times New Roman"/>
          <w:lang w:val="es-ES"/>
        </w:rPr>
        <w:t>onar</w:t>
      </w:r>
      <w:r w:rsidRPr="00580C2D">
        <w:rPr>
          <w:rFonts w:cs="Times New Roman"/>
          <w:lang w:val="es-ES"/>
        </w:rPr>
        <w:t xml:space="preserve"> que</w:t>
      </w:r>
      <w:r w:rsidRPr="00580C2D">
        <w:rPr>
          <w:rFonts w:cs="Times New Roman"/>
          <w:lang w:val="es-ES"/>
        </w:rPr>
        <w:t xml:space="preserve"> </w:t>
      </w:r>
      <w:r w:rsidRPr="00580C2D">
        <w:rPr>
          <w:rFonts w:cs="Times New Roman"/>
          <w:lang w:val="es-ES"/>
        </w:rPr>
        <w:t>las disposiciones</w:t>
      </w:r>
      <w:r w:rsidRPr="00580C2D">
        <w:rPr>
          <w:rFonts w:cs="Times New Roman"/>
          <w:lang w:val="es-ES"/>
        </w:rPr>
        <w:t xml:space="preserve"> atacadas</w:t>
      </w:r>
      <w:r w:rsidRPr="00580C2D">
        <w:rPr>
          <w:rFonts w:cs="Times New Roman"/>
          <w:lang w:val="es-ES"/>
        </w:rPr>
        <w:t xml:space="preserve"> no reúnen l</w:t>
      </w:r>
      <w:r w:rsidRPr="00580C2D">
        <w:rPr>
          <w:rFonts w:cs="Times New Roman"/>
          <w:lang w:val="es-ES"/>
        </w:rPr>
        <w:t>os requisitos mínimos y</w:t>
      </w:r>
      <w:r w:rsidRPr="00580C2D">
        <w:rPr>
          <w:rFonts w:cs="Times New Roman"/>
          <w:lang w:val="es-ES"/>
        </w:rPr>
        <w:t xml:space="preserve"> necesari</w:t>
      </w:r>
      <w:r w:rsidRPr="00580C2D">
        <w:rPr>
          <w:rFonts w:cs="Times New Roman"/>
          <w:lang w:val="es-ES"/>
        </w:rPr>
        <w:t>os exigibes a</w:t>
      </w:r>
      <w:r w:rsidRPr="00580C2D">
        <w:rPr>
          <w:rFonts w:cs="Times New Roman"/>
          <w:lang w:val="es-ES"/>
        </w:rPr>
        <w:t xml:space="preserve"> las normas que autoriza</w:t>
      </w:r>
      <w:r w:rsidRPr="00580C2D">
        <w:rPr>
          <w:rFonts w:cs="Times New Roman"/>
          <w:lang w:val="es-ES"/>
        </w:rPr>
        <w:t>n</w:t>
      </w:r>
      <w:r w:rsidRPr="00580C2D">
        <w:rPr>
          <w:rFonts w:cs="Times New Roman"/>
          <w:lang w:val="es-ES"/>
        </w:rPr>
        <w:t xml:space="preserve"> un impuesto</w:t>
      </w:r>
      <w:r w:rsidRPr="00580C2D">
        <w:rPr>
          <w:rFonts w:cs="Times New Roman"/>
          <w:lang w:val="es-ES"/>
        </w:rPr>
        <w:t xml:space="preserve">, en particular, </w:t>
      </w:r>
      <w:r w:rsidRPr="00580C2D">
        <w:rPr>
          <w:rFonts w:cs="Times New Roman"/>
          <w:lang w:val="es-ES"/>
        </w:rPr>
        <w:t>los principios de legalidad y certeza tributaria</w:t>
      </w:r>
      <w:r w:rsidRPr="00580C2D">
        <w:rPr>
          <w:rFonts w:cs="Times New Roman"/>
          <w:lang w:val="es-ES"/>
        </w:rPr>
        <w:t xml:space="preserve">. No obstante, atendiendo </w:t>
      </w:r>
      <w:r w:rsidRPr="00580C2D">
        <w:rPr>
          <w:rFonts w:cs="Times New Roman"/>
          <w:lang w:val="es-ES"/>
        </w:rPr>
        <w:t>a lógica</w:t>
      </w:r>
      <w:r w:rsidRPr="00580C2D">
        <w:rPr>
          <w:rFonts w:cs="Times New Roman"/>
          <w:lang w:val="es-ES"/>
        </w:rPr>
        <w:t>,</w:t>
      </w:r>
      <w:r w:rsidRPr="00580C2D">
        <w:rPr>
          <w:rFonts w:cs="Times New Roman"/>
          <w:lang w:val="es-ES"/>
        </w:rPr>
        <w:t xml:space="preserve"> es claro que</w:t>
      </w:r>
      <w:r w:rsidRPr="00580C2D">
        <w:rPr>
          <w:rFonts w:cs="Times New Roman"/>
          <w:lang w:val="es-ES"/>
        </w:rPr>
        <w:t xml:space="preserve"> </w:t>
      </w:r>
      <w:r w:rsidRPr="00580C2D">
        <w:rPr>
          <w:rFonts w:cs="Times New Roman"/>
          <w:lang w:val="es-ES"/>
        </w:rPr>
        <w:t>la falta de c</w:t>
      </w:r>
      <w:r w:rsidRPr="00580C2D">
        <w:rPr>
          <w:rFonts w:cs="Times New Roman"/>
          <w:lang w:val="es-ES"/>
        </w:rPr>
        <w:t>erteza de la premisa mayor hace</w:t>
      </w:r>
      <w:r w:rsidRPr="00580C2D">
        <w:rPr>
          <w:rFonts w:cs="Times New Roman"/>
          <w:lang w:val="es-ES"/>
        </w:rPr>
        <w:t xml:space="preserve"> </w:t>
      </w:r>
      <w:r w:rsidRPr="00580C2D">
        <w:rPr>
          <w:rFonts w:cs="Times New Roman"/>
          <w:lang w:val="es-ES"/>
        </w:rPr>
        <w:t>que el argumento</w:t>
      </w:r>
      <w:r w:rsidRPr="00580C2D">
        <w:rPr>
          <w:rFonts w:cs="Times New Roman"/>
          <w:lang w:val="es-ES"/>
        </w:rPr>
        <w:t xml:space="preserve"> derivado,</w:t>
      </w:r>
      <w:r w:rsidRPr="00580C2D">
        <w:rPr>
          <w:rFonts w:cs="Times New Roman"/>
          <w:lang w:val="es-ES"/>
        </w:rPr>
        <w:t xml:space="preserve"> sobre la presunta transgresión de los principios de legalidad y certeza tributaria</w:t>
      </w:r>
      <w:r w:rsidRPr="00580C2D">
        <w:rPr>
          <w:rFonts w:cs="Times New Roman"/>
          <w:lang w:val="es-ES"/>
        </w:rPr>
        <w:t>,</w:t>
      </w:r>
      <w:r w:rsidRPr="00580C2D">
        <w:rPr>
          <w:rFonts w:cs="Times New Roman"/>
          <w:lang w:val="es-ES"/>
        </w:rPr>
        <w:t xml:space="preserve"> </w:t>
      </w:r>
      <w:r w:rsidRPr="00580C2D">
        <w:rPr>
          <w:rFonts w:cs="Times New Roman"/>
          <w:lang w:val="es-ES"/>
        </w:rPr>
        <w:t xml:space="preserve">pierda sentido y </w:t>
      </w:r>
      <w:r w:rsidRPr="00580C2D">
        <w:rPr>
          <w:rFonts w:cs="Times New Roman"/>
          <w:lang w:val="es-ES"/>
        </w:rPr>
        <w:t>se torne indeterminado</w:t>
      </w:r>
      <w:r w:rsidRPr="00580C2D">
        <w:rPr>
          <w:rFonts w:cs="Times New Roman"/>
          <w:lang w:val="es-ES"/>
        </w:rPr>
        <w:t xml:space="preserve">. </w:t>
      </w:r>
    </w:p>
    <w:p w:rsidR="000B42EF" w:rsidRPr="00580C2D" w:rsidRDefault="00580C2D" w:rsidP="000B42EF">
      <w:pPr>
        <w:pStyle w:val="Prrafodelista"/>
        <w:ind w:left="0"/>
        <w:jc w:val="both"/>
        <w:rPr>
          <w:rFonts w:cs="Times New Roman"/>
          <w:lang w:val="es-ES"/>
        </w:rPr>
      </w:pPr>
    </w:p>
    <w:p w:rsidR="00CB358F"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Entonces</w:t>
      </w:r>
      <w:r w:rsidRPr="00580C2D">
        <w:rPr>
          <w:rFonts w:cs="Times New Roman"/>
          <w:lang w:val="es-ES"/>
        </w:rPr>
        <w:t>, l</w:t>
      </w:r>
      <w:r w:rsidRPr="00580C2D">
        <w:rPr>
          <w:rFonts w:cs="Times New Roman"/>
          <w:lang w:val="es-ES"/>
        </w:rPr>
        <w:t>a Sala Plena observ</w:t>
      </w:r>
      <w:r w:rsidRPr="00580C2D">
        <w:rPr>
          <w:rFonts w:cs="Times New Roman"/>
          <w:lang w:val="es-ES"/>
        </w:rPr>
        <w:t>a</w:t>
      </w:r>
      <w:r w:rsidRPr="00580C2D">
        <w:rPr>
          <w:rFonts w:cs="Times New Roman"/>
          <w:lang w:val="es-ES"/>
        </w:rPr>
        <w:t xml:space="preserve"> que</w:t>
      </w:r>
      <w:r w:rsidRPr="00580C2D">
        <w:rPr>
          <w:rFonts w:cs="Times New Roman"/>
          <w:lang w:val="es-ES"/>
        </w:rPr>
        <w:t>,</w:t>
      </w:r>
      <w:r w:rsidRPr="00580C2D">
        <w:rPr>
          <w:rFonts w:cs="Times New Roman"/>
          <w:lang w:val="es-ES"/>
        </w:rPr>
        <w:t xml:space="preserve"> ante la falta de </w:t>
      </w:r>
      <w:r w:rsidRPr="00580C2D">
        <w:rPr>
          <w:rFonts w:cs="Times New Roman"/>
          <w:i/>
          <w:iCs/>
          <w:lang w:val="es-ES"/>
        </w:rPr>
        <w:t>certeza</w:t>
      </w:r>
      <w:r w:rsidRPr="00580C2D">
        <w:rPr>
          <w:rFonts w:cs="Times New Roman"/>
          <w:lang w:val="es-ES"/>
        </w:rPr>
        <w:t xml:space="preserve"> del contenido que se atribuye a las disposiciones normativas demandadas, no es posible valorar la presunta vulneración de los principios de </w:t>
      </w:r>
      <w:r w:rsidRPr="00580C2D">
        <w:rPr>
          <w:rFonts w:cs="Times New Roman"/>
          <w:lang w:val="es-ES"/>
        </w:rPr>
        <w:t>legalidad y certeza tributaria</w:t>
      </w:r>
      <w:r w:rsidRPr="00580C2D">
        <w:rPr>
          <w:rFonts w:cs="Times New Roman"/>
          <w:lang w:val="es-ES"/>
        </w:rPr>
        <w:t>. En efecto, tal análisis s</w:t>
      </w:r>
      <w:r w:rsidRPr="00580C2D">
        <w:rPr>
          <w:rFonts w:cs="Times New Roman"/>
          <w:lang w:val="es-ES"/>
        </w:rPr>
        <w:t>o</w:t>
      </w:r>
      <w:r w:rsidRPr="00580C2D">
        <w:rPr>
          <w:rFonts w:cs="Times New Roman"/>
          <w:lang w:val="es-ES"/>
        </w:rPr>
        <w:t>lo es posible respecto de las normas creadoras de un trib</w:t>
      </w:r>
      <w:r w:rsidRPr="00580C2D">
        <w:rPr>
          <w:rFonts w:cs="Times New Roman"/>
          <w:lang w:val="es-ES"/>
        </w:rPr>
        <w:t>uto que, en este caso, no fueron identificadas.</w:t>
      </w:r>
    </w:p>
    <w:p w:rsidR="00AC79BC" w:rsidRPr="00580C2D" w:rsidRDefault="00580C2D" w:rsidP="00FD275A">
      <w:pPr>
        <w:rPr>
          <w:rFonts w:ascii="Times New Roman" w:hAnsi="Times New Roman" w:cs="Times New Roman"/>
          <w:sz w:val="28"/>
        </w:rPr>
      </w:pPr>
    </w:p>
    <w:p w:rsidR="009F11B9"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CO"/>
        </w:rPr>
        <w:t>Finalmente</w:t>
      </w:r>
      <w:r w:rsidRPr="00580C2D">
        <w:rPr>
          <w:rFonts w:cs="Times New Roman"/>
          <w:lang w:val="es-CO"/>
        </w:rPr>
        <w:t xml:space="preserve">, el cargo es </w:t>
      </w:r>
      <w:r w:rsidRPr="00580C2D">
        <w:rPr>
          <w:rFonts w:cs="Times New Roman"/>
          <w:i/>
          <w:iCs/>
          <w:lang w:val="es-CO"/>
        </w:rPr>
        <w:t>insuficiente</w:t>
      </w:r>
      <w:r w:rsidRPr="00580C2D">
        <w:rPr>
          <w:rFonts w:cs="Times New Roman"/>
          <w:lang w:val="es-CO"/>
        </w:rPr>
        <w:t xml:space="preserve">, porque no expone todos los elementos de juicio argumentativos y probatorios necesarios para cuestionar los principios constitucionales que se alegan </w:t>
      </w:r>
      <w:r w:rsidRPr="00580C2D">
        <w:rPr>
          <w:rFonts w:cs="Times New Roman"/>
          <w:lang w:val="es-CO"/>
        </w:rPr>
        <w:t>vulnerados</w:t>
      </w:r>
      <w:r w:rsidRPr="00580C2D">
        <w:rPr>
          <w:rFonts w:cs="Times New Roman"/>
          <w:lang w:val="es-CO"/>
        </w:rPr>
        <w:t>.</w:t>
      </w:r>
    </w:p>
    <w:p w:rsidR="00285571" w:rsidRPr="00580C2D" w:rsidRDefault="00580C2D" w:rsidP="009F11B9">
      <w:pPr>
        <w:rPr>
          <w:rFonts w:ascii="Times New Roman" w:hAnsi="Times New Roman" w:cs="Times New Roman"/>
          <w:sz w:val="28"/>
          <w:lang w:val="es-ES"/>
        </w:rPr>
      </w:pPr>
    </w:p>
    <w:p w:rsidR="000C5AF2" w:rsidRPr="00580C2D" w:rsidRDefault="00580C2D" w:rsidP="00341723">
      <w:pPr>
        <w:pStyle w:val="Prrafodelista"/>
        <w:numPr>
          <w:ilvl w:val="0"/>
          <w:numId w:val="3"/>
        </w:numPr>
        <w:ind w:left="0" w:firstLine="0"/>
        <w:jc w:val="both"/>
        <w:rPr>
          <w:rFonts w:cs="Times New Roman"/>
          <w:lang w:val="es-ES"/>
        </w:rPr>
      </w:pPr>
      <w:r w:rsidRPr="00580C2D">
        <w:rPr>
          <w:rFonts w:cs="Times New Roman"/>
          <w:lang w:val="es-ES"/>
        </w:rPr>
        <w:t xml:space="preserve">Por lo </w:t>
      </w:r>
      <w:r w:rsidRPr="00580C2D">
        <w:rPr>
          <w:rFonts w:cs="Times New Roman"/>
          <w:lang w:val="es-ES"/>
        </w:rPr>
        <w:t>tanto</w:t>
      </w:r>
      <w:r w:rsidRPr="00580C2D">
        <w:rPr>
          <w:rFonts w:cs="Times New Roman"/>
          <w:lang w:val="es-ES"/>
        </w:rPr>
        <w:t xml:space="preserve">, la </w:t>
      </w:r>
      <w:r w:rsidRPr="00580C2D">
        <w:rPr>
          <w:rFonts w:cs="Times New Roman"/>
          <w:lang w:val="es-ES"/>
        </w:rPr>
        <w:t>Sala Plena</w:t>
      </w:r>
      <w:r w:rsidRPr="00580C2D">
        <w:rPr>
          <w:rFonts w:cs="Times New Roman"/>
          <w:lang w:val="es-ES"/>
        </w:rPr>
        <w:t xml:space="preserve"> concluye que, a pesar de la duda que </w:t>
      </w:r>
      <w:r w:rsidRPr="00580C2D">
        <w:rPr>
          <w:rFonts w:cs="Times New Roman"/>
          <w:lang w:val="es-ES"/>
        </w:rPr>
        <w:t xml:space="preserve">inicialmente </w:t>
      </w:r>
      <w:r w:rsidRPr="00580C2D">
        <w:rPr>
          <w:rFonts w:cs="Times New Roman"/>
          <w:lang w:val="es-ES"/>
        </w:rPr>
        <w:t xml:space="preserve">habilitó el estudio </w:t>
      </w:r>
      <w:r w:rsidRPr="00580C2D">
        <w:rPr>
          <w:rFonts w:cs="Times New Roman"/>
          <w:lang w:val="es-ES"/>
        </w:rPr>
        <w:t>de los cargos</w:t>
      </w:r>
      <w:r w:rsidRPr="00580C2D">
        <w:rPr>
          <w:rFonts w:cs="Times New Roman"/>
          <w:lang w:val="es-ES"/>
        </w:rPr>
        <w:t xml:space="preserve">, ni la demanda ni el escrito de corrección lograron desvirtuar la presunción de constitucionalidad que </w:t>
      </w:r>
      <w:r w:rsidRPr="00580C2D">
        <w:rPr>
          <w:rFonts w:cs="Times New Roman"/>
          <w:lang w:val="es-ES"/>
        </w:rPr>
        <w:t>tienen</w:t>
      </w:r>
      <w:r w:rsidRPr="00580C2D">
        <w:rPr>
          <w:rFonts w:cs="Times New Roman"/>
          <w:lang w:val="es-ES"/>
        </w:rPr>
        <w:t xml:space="preserve"> las leyes. En consecuencia, la Corte se i</w:t>
      </w:r>
      <w:r w:rsidRPr="00580C2D">
        <w:rPr>
          <w:rFonts w:cs="Times New Roman"/>
          <w:lang w:val="es-ES"/>
        </w:rPr>
        <w:t xml:space="preserve">nhibirá de pronunciarse de fondo frente </w:t>
      </w:r>
      <w:r w:rsidRPr="00580C2D">
        <w:rPr>
          <w:rFonts w:cs="Times New Roman"/>
          <w:lang w:val="es-ES"/>
        </w:rPr>
        <w:t>a los cargos</w:t>
      </w:r>
      <w:r w:rsidRPr="00580C2D">
        <w:rPr>
          <w:rFonts w:cs="Times New Roman"/>
          <w:lang w:val="es-ES"/>
        </w:rPr>
        <w:t xml:space="preserve"> estudiado</w:t>
      </w:r>
      <w:r w:rsidRPr="00580C2D">
        <w:rPr>
          <w:rFonts w:cs="Times New Roman"/>
          <w:lang w:val="es-ES"/>
        </w:rPr>
        <w:t>s</w:t>
      </w:r>
      <w:r w:rsidRPr="00580C2D">
        <w:rPr>
          <w:rFonts w:cs="Times New Roman"/>
          <w:lang w:val="es-ES"/>
        </w:rPr>
        <w:t>.</w:t>
      </w:r>
    </w:p>
    <w:p w:rsidR="00F7690C" w:rsidRPr="00580C2D" w:rsidRDefault="00580C2D" w:rsidP="00F7690C">
      <w:pPr>
        <w:pStyle w:val="Prrafodelista"/>
        <w:ind w:left="0"/>
        <w:jc w:val="both"/>
        <w:rPr>
          <w:rFonts w:cs="Times New Roman"/>
          <w:lang w:val="es-ES"/>
        </w:rPr>
      </w:pPr>
    </w:p>
    <w:p w:rsidR="009B1012" w:rsidRPr="00580C2D" w:rsidRDefault="00580C2D" w:rsidP="009B1012">
      <w:pPr>
        <w:jc w:val="both"/>
        <w:rPr>
          <w:rFonts w:ascii="Times New Roman" w:hAnsi="Times New Roman" w:cs="Times New Roman"/>
          <w:sz w:val="28"/>
          <w:szCs w:val="28"/>
          <w:lang w:val="es-ES"/>
        </w:rPr>
      </w:pPr>
    </w:p>
    <w:p w:rsidR="009B1012" w:rsidRPr="00580C2D" w:rsidRDefault="00580C2D" w:rsidP="00341723">
      <w:pPr>
        <w:pStyle w:val="Sinespaciado"/>
      </w:pPr>
      <w:r w:rsidRPr="00580C2D">
        <w:t>DECISIÓN</w:t>
      </w:r>
    </w:p>
    <w:p w:rsidR="00276A2A" w:rsidRPr="00580C2D" w:rsidRDefault="00580C2D" w:rsidP="00276A2A">
      <w:pPr>
        <w:jc w:val="both"/>
        <w:rPr>
          <w:rFonts w:ascii="Times New Roman" w:hAnsi="Times New Roman" w:cs="Times New Roman"/>
          <w:sz w:val="28"/>
          <w:szCs w:val="28"/>
          <w:lang w:val="es-ES"/>
        </w:rPr>
      </w:pPr>
      <w:r w:rsidRPr="00580C2D">
        <w:rPr>
          <w:rFonts w:ascii="Times New Roman" w:hAnsi="Times New Roman" w:cs="Times New Roman"/>
          <w:sz w:val="28"/>
          <w:szCs w:val="28"/>
          <w:lang w:val="es-ES"/>
        </w:rPr>
        <w:t> </w:t>
      </w:r>
    </w:p>
    <w:p w:rsidR="000C5AF2" w:rsidRPr="00580C2D" w:rsidRDefault="00580C2D" w:rsidP="00276A2A">
      <w:pPr>
        <w:jc w:val="both"/>
        <w:rPr>
          <w:rFonts w:ascii="Times New Roman" w:hAnsi="Times New Roman" w:cs="Times New Roman"/>
          <w:sz w:val="28"/>
          <w:szCs w:val="32"/>
          <w:lang w:val="es-ES"/>
        </w:rPr>
      </w:pPr>
      <w:r w:rsidRPr="00580C2D">
        <w:rPr>
          <w:rFonts w:ascii="Times New Roman" w:hAnsi="Times New Roman" w:cs="Times New Roman"/>
          <w:sz w:val="28"/>
          <w:szCs w:val="28"/>
          <w:lang w:val="es-ES"/>
        </w:rPr>
        <w:t>En mérito de lo expuesto, la Sala Plena de la Corte Constitucional, administrando justicia en nombre del pueblo y por mandato de la Constitución,</w:t>
      </w:r>
    </w:p>
    <w:p w:rsidR="000C5AF2" w:rsidRPr="00580C2D" w:rsidRDefault="00580C2D" w:rsidP="000C5AF2">
      <w:pPr>
        <w:pStyle w:val="Prrafodelista"/>
        <w:jc w:val="both"/>
        <w:rPr>
          <w:rFonts w:cs="Times New Roman"/>
          <w:lang w:val="es-ES"/>
        </w:rPr>
      </w:pPr>
    </w:p>
    <w:p w:rsidR="000C5AF2" w:rsidRPr="00580C2D" w:rsidRDefault="00580C2D" w:rsidP="000C5AF2">
      <w:pPr>
        <w:pStyle w:val="Prrafodelista"/>
        <w:jc w:val="both"/>
        <w:rPr>
          <w:rFonts w:cs="Times New Roman"/>
          <w:lang w:val="es-ES"/>
        </w:rPr>
      </w:pPr>
    </w:p>
    <w:p w:rsidR="000C5AF2" w:rsidRPr="00580C2D" w:rsidRDefault="00580C2D" w:rsidP="00FD275A">
      <w:pPr>
        <w:pStyle w:val="Prrafodelista"/>
        <w:jc w:val="center"/>
        <w:rPr>
          <w:rFonts w:cs="Times New Roman"/>
          <w:b/>
          <w:bCs/>
          <w:lang w:val="es-ES"/>
        </w:rPr>
      </w:pPr>
      <w:r w:rsidRPr="00580C2D">
        <w:rPr>
          <w:rFonts w:cs="Times New Roman"/>
          <w:b/>
          <w:bCs/>
          <w:lang w:val="es-ES"/>
        </w:rPr>
        <w:t>RESUELVE</w:t>
      </w:r>
    </w:p>
    <w:p w:rsidR="000C5AF2" w:rsidRPr="00580C2D" w:rsidRDefault="00580C2D" w:rsidP="000C5AF2">
      <w:pPr>
        <w:pStyle w:val="Prrafodelista"/>
        <w:jc w:val="both"/>
        <w:rPr>
          <w:rFonts w:cs="Times New Roman"/>
          <w:lang w:val="es-ES"/>
        </w:rPr>
      </w:pPr>
      <w:r w:rsidRPr="00580C2D">
        <w:rPr>
          <w:rFonts w:cs="Times New Roman"/>
          <w:lang w:val="es-ES"/>
        </w:rPr>
        <w:t xml:space="preserve"> </w:t>
      </w:r>
    </w:p>
    <w:p w:rsidR="009B1012" w:rsidRPr="00580C2D" w:rsidRDefault="00580C2D" w:rsidP="00FD275A">
      <w:pPr>
        <w:jc w:val="both"/>
        <w:rPr>
          <w:rFonts w:ascii="Times New Roman" w:hAnsi="Times New Roman" w:cs="Times New Roman"/>
          <w:sz w:val="28"/>
          <w:szCs w:val="28"/>
          <w:lang w:val="es-ES"/>
        </w:rPr>
      </w:pPr>
      <w:r w:rsidRPr="00580C2D">
        <w:rPr>
          <w:rFonts w:ascii="Times New Roman" w:hAnsi="Times New Roman" w:cs="Times New Roman"/>
          <w:b/>
          <w:bCs/>
          <w:sz w:val="28"/>
          <w:szCs w:val="28"/>
          <w:lang w:val="es-ES"/>
        </w:rPr>
        <w:t>INHIBIRSE</w:t>
      </w:r>
      <w:r w:rsidRPr="00580C2D">
        <w:rPr>
          <w:rFonts w:ascii="Times New Roman" w:hAnsi="Times New Roman" w:cs="Times New Roman"/>
          <w:sz w:val="28"/>
          <w:szCs w:val="28"/>
          <w:lang w:val="es-ES"/>
        </w:rPr>
        <w:t xml:space="preserve"> de emitir un pronunciamiento de fondo </w:t>
      </w:r>
      <w:r w:rsidRPr="00580C2D">
        <w:rPr>
          <w:rFonts w:ascii="Times New Roman" w:hAnsi="Times New Roman" w:cs="Times New Roman"/>
          <w:sz w:val="28"/>
          <w:szCs w:val="28"/>
          <w:lang w:val="es-ES"/>
        </w:rPr>
        <w:t>por ineptitud sustantiva de la demanda respecto de</w:t>
      </w:r>
      <w:r w:rsidRPr="00580C2D">
        <w:rPr>
          <w:rFonts w:ascii="Times New Roman" w:hAnsi="Times New Roman" w:cs="Times New Roman"/>
          <w:sz w:val="28"/>
          <w:szCs w:val="28"/>
          <w:lang w:val="es-ES"/>
        </w:rPr>
        <w:t xml:space="preserve"> </w:t>
      </w:r>
      <w:r w:rsidRPr="00580C2D">
        <w:rPr>
          <w:rFonts w:ascii="Times New Roman" w:hAnsi="Times New Roman" w:cs="Times New Roman"/>
          <w:sz w:val="28"/>
          <w:szCs w:val="28"/>
          <w:lang w:val="es-ES"/>
        </w:rPr>
        <w:t>los</w:t>
      </w:r>
      <w:r w:rsidRPr="00580C2D">
        <w:rPr>
          <w:rFonts w:ascii="Times New Roman" w:hAnsi="Times New Roman" w:cs="Times New Roman"/>
          <w:sz w:val="28"/>
          <w:szCs w:val="28"/>
          <w:lang w:val="es-ES"/>
        </w:rPr>
        <w:t xml:space="preserve"> cargo</w:t>
      </w:r>
      <w:r w:rsidRPr="00580C2D">
        <w:rPr>
          <w:rFonts w:ascii="Times New Roman" w:hAnsi="Times New Roman" w:cs="Times New Roman"/>
          <w:sz w:val="28"/>
          <w:szCs w:val="28"/>
          <w:lang w:val="es-ES"/>
        </w:rPr>
        <w:t>s</w:t>
      </w:r>
      <w:r w:rsidRPr="00580C2D">
        <w:rPr>
          <w:rFonts w:ascii="Times New Roman" w:hAnsi="Times New Roman" w:cs="Times New Roman"/>
          <w:sz w:val="28"/>
          <w:szCs w:val="28"/>
          <w:lang w:val="es-ES"/>
        </w:rPr>
        <w:t xml:space="preserve"> formulado</w:t>
      </w:r>
      <w:r w:rsidRPr="00580C2D">
        <w:rPr>
          <w:rFonts w:ascii="Times New Roman" w:hAnsi="Times New Roman" w:cs="Times New Roman"/>
          <w:sz w:val="28"/>
          <w:szCs w:val="28"/>
          <w:lang w:val="es-ES"/>
        </w:rPr>
        <w:t>s</w:t>
      </w:r>
      <w:r w:rsidRPr="00580C2D">
        <w:rPr>
          <w:rFonts w:ascii="Times New Roman" w:hAnsi="Times New Roman" w:cs="Times New Roman"/>
          <w:sz w:val="28"/>
          <w:szCs w:val="28"/>
          <w:lang w:val="es-ES"/>
        </w:rPr>
        <w:t xml:space="preserve"> contra los artículos</w:t>
      </w:r>
      <w:r w:rsidRPr="00580C2D">
        <w:rPr>
          <w:rFonts w:ascii="Times New Roman" w:hAnsi="Times New Roman" w:cs="Times New Roman"/>
          <w:sz w:val="28"/>
          <w:szCs w:val="28"/>
          <w:lang w:val="es-ES"/>
        </w:rPr>
        <w:t xml:space="preserve"> 172 y 226 del Decreto Ley 1333 de 1986.</w:t>
      </w:r>
    </w:p>
    <w:p w:rsidR="009B1012" w:rsidRPr="00580C2D" w:rsidRDefault="00580C2D" w:rsidP="009B1012">
      <w:pPr>
        <w:jc w:val="both"/>
        <w:rPr>
          <w:rFonts w:ascii="Times New Roman" w:hAnsi="Times New Roman" w:cs="Times New Roman"/>
          <w:sz w:val="28"/>
          <w:szCs w:val="28"/>
          <w:lang w:val="es-ES"/>
        </w:rPr>
      </w:pPr>
      <w:r w:rsidRPr="00580C2D">
        <w:rPr>
          <w:rFonts w:ascii="Times New Roman" w:hAnsi="Times New Roman" w:cs="Times New Roman"/>
          <w:sz w:val="28"/>
          <w:szCs w:val="28"/>
          <w:lang w:val="es-ES"/>
        </w:rPr>
        <w:t> </w:t>
      </w:r>
    </w:p>
    <w:p w:rsidR="00A53F18" w:rsidRPr="00580C2D" w:rsidRDefault="00580C2D" w:rsidP="009B1012">
      <w:pPr>
        <w:jc w:val="both"/>
        <w:rPr>
          <w:rFonts w:ascii="Times New Roman" w:hAnsi="Times New Roman" w:cs="Times New Roman"/>
          <w:sz w:val="28"/>
          <w:szCs w:val="28"/>
          <w:lang w:val="es-ES"/>
        </w:rPr>
      </w:pPr>
    </w:p>
    <w:p w:rsidR="009B1012" w:rsidRPr="00580C2D" w:rsidRDefault="00580C2D" w:rsidP="009B1012">
      <w:pPr>
        <w:jc w:val="both"/>
        <w:rPr>
          <w:rFonts w:ascii="Times New Roman" w:hAnsi="Times New Roman" w:cs="Times New Roman"/>
          <w:sz w:val="28"/>
          <w:szCs w:val="28"/>
          <w:lang w:val="es-ES"/>
        </w:rPr>
      </w:pPr>
      <w:r w:rsidRPr="00580C2D">
        <w:rPr>
          <w:rFonts w:ascii="Times New Roman" w:hAnsi="Times New Roman" w:cs="Times New Roman"/>
          <w:sz w:val="28"/>
          <w:szCs w:val="28"/>
          <w:lang w:val="es-ES"/>
        </w:rPr>
        <w:t>Notifíquese, comuníquese, publíquese y cúmplase.</w:t>
      </w:r>
    </w:p>
    <w:p w:rsidR="009B1012" w:rsidRPr="00580C2D" w:rsidRDefault="00580C2D" w:rsidP="00552B02">
      <w:pPr>
        <w:jc w:val="both"/>
        <w:rPr>
          <w:rFonts w:ascii="Times New Roman" w:hAnsi="Times New Roman" w:cs="Times New Roman"/>
          <w:sz w:val="28"/>
          <w:szCs w:val="28"/>
          <w:lang w:val="es-ES"/>
        </w:rPr>
      </w:pPr>
    </w:p>
    <w:p w:rsidR="00030893" w:rsidRPr="00580C2D" w:rsidRDefault="00580C2D" w:rsidP="00552B02">
      <w:pPr>
        <w:jc w:val="both"/>
        <w:rPr>
          <w:rFonts w:ascii="Times New Roman" w:hAnsi="Times New Roman" w:cs="Times New Roman"/>
          <w:sz w:val="28"/>
          <w:szCs w:val="28"/>
          <w:lang w:val="es-ES"/>
        </w:rPr>
      </w:pPr>
    </w:p>
    <w:p w:rsidR="00030893" w:rsidRPr="00580C2D" w:rsidRDefault="00580C2D" w:rsidP="00552B02">
      <w:pPr>
        <w:jc w:val="both"/>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JOSE FERNANDO REYES CUARTAS</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Presidente</w:t>
      </w: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NATALIA ÁNGEL CABO</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Magistrada</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Ausente con permiso</w:t>
      </w: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JUAN CARLOS CORTÉS GONZÁLEZ</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Magistrado</w:t>
      </w: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DIANA FAJARDO RIVERA</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Magistrada</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Ausente con permiso</w:t>
      </w: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VLADIMIR FERNÁNDEZ ANDRADE</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Magistrado</w:t>
      </w: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 xml:space="preserve">JORGE ENRIQUE IBÁÑEZ NAJAR </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Magistrado</w:t>
      </w: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 xml:space="preserve">ANTONIO </w:t>
      </w:r>
      <w:r w:rsidRPr="00580C2D">
        <w:rPr>
          <w:rFonts w:ascii="Times New Roman" w:hAnsi="Times New Roman" w:cs="Times New Roman"/>
          <w:sz w:val="28"/>
          <w:szCs w:val="28"/>
          <w:lang w:val="es-ES"/>
        </w:rPr>
        <w:t>JOSÉ LIZARAZO OCAMPO</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Magistrado</w:t>
      </w: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PAOLA ANDREA MENESES MOSQUERA</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Magistrada</w:t>
      </w: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CRISTINA PARDO SCHLESINGER</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Magistrada</w:t>
      </w: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ANDREA LILIANA ROMERO LOPEZ</w:t>
      </w:r>
    </w:p>
    <w:p w:rsidR="00030893" w:rsidRPr="00580C2D" w:rsidRDefault="00580C2D" w:rsidP="00030893">
      <w:pPr>
        <w:jc w:val="center"/>
        <w:rPr>
          <w:rFonts w:ascii="Times New Roman" w:hAnsi="Times New Roman" w:cs="Times New Roman"/>
          <w:sz w:val="28"/>
          <w:szCs w:val="28"/>
          <w:lang w:val="es-ES"/>
        </w:rPr>
      </w:pPr>
      <w:r w:rsidRPr="00580C2D">
        <w:rPr>
          <w:rFonts w:ascii="Times New Roman" w:hAnsi="Times New Roman" w:cs="Times New Roman"/>
          <w:sz w:val="28"/>
          <w:szCs w:val="28"/>
          <w:lang w:val="es-ES"/>
        </w:rPr>
        <w:t>Secretaria General</w:t>
      </w:r>
    </w:p>
    <w:sectPr w:rsidR="00030893" w:rsidRPr="00580C2D">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80C2D">
      <w:pPr>
        <w:spacing w:after="0" w:line="240" w:lineRule="auto"/>
      </w:pPr>
      <w:r>
        <w:separator/>
      </w:r>
    </w:p>
  </w:endnote>
  <w:endnote w:type="continuationSeparator" w:id="0">
    <w:p w:rsidR="00000000" w:rsidRDefault="00580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80C2D">
      <w:pPr>
        <w:spacing w:after="0" w:line="240" w:lineRule="auto"/>
      </w:pPr>
      <w:r>
        <w:separator/>
      </w:r>
    </w:p>
  </w:footnote>
  <w:footnote w:type="continuationSeparator" w:id="0">
    <w:p w:rsidR="00000000" w:rsidRDefault="00580C2D">
      <w:pPr>
        <w:spacing w:after="0" w:line="240" w:lineRule="auto"/>
      </w:pPr>
      <w:r>
        <w:continuationSeparator/>
      </w:r>
    </w:p>
  </w:footnote>
  <w:footnote w:id="1">
    <w:p w:rsidR="0003380D"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w:t>
      </w:r>
      <w:r w:rsidRPr="00532012">
        <w:rPr>
          <w:sz w:val="18"/>
          <w:szCs w:val="18"/>
          <w:lang w:val="es-ES"/>
        </w:rPr>
        <w:t>“Por el cual se expide el Código de Régimen Municipal”.</w:t>
      </w:r>
    </w:p>
  </w:footnote>
  <w:footnote w:id="2">
    <w:p w:rsidR="0003380D"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w:t>
      </w:r>
      <w:r w:rsidRPr="00532012">
        <w:rPr>
          <w:sz w:val="18"/>
          <w:szCs w:val="18"/>
          <w:lang w:val="es-ES"/>
        </w:rPr>
        <w:t xml:space="preserve">Mediante auto del </w:t>
      </w:r>
      <w:r w:rsidRPr="00532012">
        <w:rPr>
          <w:sz w:val="18"/>
          <w:szCs w:val="18"/>
          <w:lang w:val="es-ES"/>
        </w:rPr>
        <w:t>7</w:t>
      </w:r>
      <w:r w:rsidRPr="00532012">
        <w:rPr>
          <w:sz w:val="18"/>
          <w:szCs w:val="18"/>
          <w:lang w:val="es-ES"/>
        </w:rPr>
        <w:t xml:space="preserve"> de </w:t>
      </w:r>
      <w:r w:rsidRPr="00532012">
        <w:rPr>
          <w:sz w:val="18"/>
          <w:szCs w:val="18"/>
          <w:lang w:val="es-ES"/>
        </w:rPr>
        <w:t>noviem</w:t>
      </w:r>
      <w:r w:rsidRPr="00532012">
        <w:rPr>
          <w:sz w:val="18"/>
          <w:szCs w:val="18"/>
          <w:lang w:val="es-ES"/>
        </w:rPr>
        <w:t>bre</w:t>
      </w:r>
      <w:r w:rsidRPr="00532012">
        <w:rPr>
          <w:sz w:val="18"/>
          <w:szCs w:val="18"/>
          <w:lang w:val="es-ES"/>
        </w:rPr>
        <w:t xml:space="preserve"> de </w:t>
      </w:r>
      <w:r w:rsidRPr="00532012">
        <w:rPr>
          <w:sz w:val="18"/>
          <w:szCs w:val="18"/>
          <w:lang w:val="es-ES"/>
        </w:rPr>
        <w:t>2023</w:t>
      </w:r>
      <w:r w:rsidRPr="00532012">
        <w:rPr>
          <w:sz w:val="18"/>
          <w:szCs w:val="18"/>
          <w:lang w:val="es-ES"/>
        </w:rPr>
        <w:t xml:space="preserve">, el despacho sustanciador admitió la demanda </w:t>
      </w:r>
      <w:r w:rsidRPr="00532012">
        <w:rPr>
          <w:sz w:val="18"/>
          <w:szCs w:val="18"/>
        </w:rPr>
        <w:t>por los dos</w:t>
      </w:r>
      <w:r w:rsidRPr="00532012">
        <w:rPr>
          <w:sz w:val="18"/>
          <w:szCs w:val="18"/>
          <w:lang w:val="es-ES"/>
        </w:rPr>
        <w:t xml:space="preserve"> </w:t>
      </w:r>
      <w:r w:rsidRPr="00532012">
        <w:rPr>
          <w:sz w:val="18"/>
          <w:szCs w:val="18"/>
        </w:rPr>
        <w:t>cargos formulados, relacionados con el presunto desconocimiento de los</w:t>
      </w:r>
      <w:r w:rsidRPr="00532012">
        <w:rPr>
          <w:sz w:val="18"/>
          <w:szCs w:val="18"/>
          <w:lang w:val="es-CO"/>
        </w:rPr>
        <w:t>artículos 150.10, 150.12 y 338 de la Constitución Política</w:t>
      </w:r>
      <w:r w:rsidRPr="00532012">
        <w:rPr>
          <w:sz w:val="18"/>
          <w:szCs w:val="18"/>
          <w:lang w:val="es-ES"/>
        </w:rPr>
        <w:t xml:space="preserve"> </w:t>
      </w:r>
      <w:r w:rsidRPr="00532012">
        <w:rPr>
          <w:sz w:val="18"/>
          <w:szCs w:val="18"/>
          <w:lang w:val="es-ES"/>
        </w:rPr>
        <w:t xml:space="preserve">y dispuso (i) correr traslado a la Procuradora General de </w:t>
      </w:r>
      <w:r w:rsidRPr="00532012">
        <w:rPr>
          <w:sz w:val="18"/>
          <w:szCs w:val="18"/>
          <w:lang w:val="es-ES"/>
        </w:rPr>
        <w:t>la Nación; (ii) comunicar el inicio del proceso</w:t>
      </w:r>
      <w:r w:rsidRPr="00532012">
        <w:rPr>
          <w:sz w:val="18"/>
          <w:szCs w:val="18"/>
          <w:lang w:val="es-ES"/>
        </w:rPr>
        <w:t xml:space="preserve"> al Presidente de la República y a los Ministros del Interior y de Hacienda y Crédito Público</w:t>
      </w:r>
      <w:r w:rsidRPr="00532012">
        <w:rPr>
          <w:sz w:val="18"/>
          <w:szCs w:val="18"/>
          <w:lang w:val="es-ES"/>
        </w:rPr>
        <w:t>; (i</w:t>
      </w:r>
      <w:r w:rsidRPr="00532012">
        <w:rPr>
          <w:sz w:val="18"/>
          <w:szCs w:val="18"/>
          <w:lang w:val="es-ES"/>
        </w:rPr>
        <w:t>ii</w:t>
      </w:r>
      <w:r w:rsidRPr="00532012">
        <w:rPr>
          <w:sz w:val="18"/>
          <w:szCs w:val="18"/>
          <w:lang w:val="es-ES"/>
        </w:rPr>
        <w:t>)</w:t>
      </w:r>
      <w:r w:rsidRPr="00532012">
        <w:rPr>
          <w:sz w:val="18"/>
          <w:szCs w:val="18"/>
          <w:lang w:val="es-ES"/>
        </w:rPr>
        <w:t xml:space="preserve"> oficiar a la Secretaría Jurídica del Departamento Administrativo de la Presidencia de la República</w:t>
      </w:r>
      <w:r w:rsidRPr="00532012">
        <w:rPr>
          <w:sz w:val="18"/>
          <w:szCs w:val="18"/>
          <w:lang w:val="es-ES"/>
        </w:rPr>
        <w:t xml:space="preserve"> y a los s</w:t>
      </w:r>
      <w:r w:rsidRPr="00532012">
        <w:rPr>
          <w:sz w:val="18"/>
          <w:szCs w:val="18"/>
          <w:lang w:val="es-ES"/>
        </w:rPr>
        <w:t>ecretarios generales de la Cámara de Representantes y el Senado de la República</w:t>
      </w:r>
      <w:r w:rsidRPr="00532012">
        <w:rPr>
          <w:sz w:val="18"/>
          <w:szCs w:val="18"/>
          <w:lang w:val="es-ES"/>
        </w:rPr>
        <w:t xml:space="preserve"> para que remitiera antecedentes relevantes del Decreto Ley 1333 de 1986; (i</w:t>
      </w:r>
      <w:r w:rsidRPr="00532012">
        <w:rPr>
          <w:sz w:val="18"/>
          <w:szCs w:val="18"/>
          <w:lang w:val="es-ES"/>
        </w:rPr>
        <w:t>v</w:t>
      </w:r>
      <w:r w:rsidRPr="00532012">
        <w:rPr>
          <w:sz w:val="18"/>
          <w:szCs w:val="18"/>
          <w:lang w:val="es-ES"/>
        </w:rPr>
        <w:t>) la fijación en lista</w:t>
      </w:r>
      <w:r w:rsidRPr="00532012">
        <w:rPr>
          <w:sz w:val="18"/>
          <w:szCs w:val="18"/>
          <w:lang w:val="es-ES"/>
        </w:rPr>
        <w:t xml:space="preserve"> y</w:t>
      </w:r>
      <w:r w:rsidRPr="00532012">
        <w:rPr>
          <w:sz w:val="18"/>
          <w:szCs w:val="18"/>
          <w:lang w:val="es-ES"/>
        </w:rPr>
        <w:t>;</w:t>
      </w:r>
      <w:r w:rsidRPr="00532012">
        <w:rPr>
          <w:sz w:val="18"/>
          <w:szCs w:val="18"/>
          <w:lang w:val="es-ES"/>
        </w:rPr>
        <w:t xml:space="preserve"> (v)</w:t>
      </w:r>
      <w:r w:rsidRPr="00532012">
        <w:rPr>
          <w:sz w:val="18"/>
          <w:szCs w:val="18"/>
          <w:lang w:val="es-ES"/>
        </w:rPr>
        <w:t xml:space="preserve"> con fundamento en el artículo 13 del Decreto 2067 de 1991, invitó a ex</w:t>
      </w:r>
      <w:r w:rsidRPr="00532012">
        <w:rPr>
          <w:sz w:val="18"/>
          <w:szCs w:val="18"/>
          <w:lang w:val="es-ES"/>
        </w:rPr>
        <w:t>pertos para que se pronunciaran sobre los argumentos de la demanda.</w:t>
      </w:r>
    </w:p>
  </w:footnote>
  <w:footnote w:id="3">
    <w:p w:rsidR="009A6FDD" w:rsidRPr="00532012" w:rsidRDefault="00580C2D" w:rsidP="00D7251A">
      <w:pPr>
        <w:pStyle w:val="Textonotapie"/>
        <w:jc w:val="both"/>
        <w:rPr>
          <w:sz w:val="18"/>
          <w:szCs w:val="18"/>
        </w:rPr>
      </w:pPr>
      <w:r w:rsidRPr="00532012">
        <w:rPr>
          <w:rStyle w:val="Refdenotaalpie"/>
          <w:sz w:val="18"/>
          <w:szCs w:val="18"/>
        </w:rPr>
        <w:footnoteRef/>
      </w:r>
      <w:r w:rsidRPr="00532012">
        <w:rPr>
          <w:sz w:val="18"/>
          <w:szCs w:val="18"/>
        </w:rPr>
        <w:t xml:space="preserve"> Inicialmente el demandante sostuvo un tercer cargo por violación de los arts. 287.3, y 313.4 de la Constitución Política de Colombia, al considerar que el art. 3° de la ley 31 de 1945 y </w:t>
      </w:r>
      <w:r w:rsidRPr="00532012">
        <w:rPr>
          <w:sz w:val="18"/>
          <w:szCs w:val="18"/>
        </w:rPr>
        <w:t>el art. 2° de la ley 20 de 1946 no autorizan la creación del impuesto de degüello de ganado menor y que los arts.172 y 226 del Decreto Ley 1333 de 1986 no podían habilitar a los municipios para la creación del impuesto. Estimó que este conjunto normativo v</w:t>
      </w:r>
      <w:r w:rsidRPr="00532012">
        <w:rPr>
          <w:sz w:val="18"/>
          <w:szCs w:val="18"/>
        </w:rPr>
        <w:t>ulnera las reglas constitucionales relativas a la autonomía de las entidades territoriales y su potestad tributaria. Al respecto, m</w:t>
      </w:r>
      <w:r w:rsidRPr="00532012">
        <w:rPr>
          <w:sz w:val="18"/>
          <w:szCs w:val="18"/>
          <w:lang w:val="es-CO"/>
        </w:rPr>
        <w:t>ediante Auto de 7 de noviembre de 2023, el magistrado sustanciador advirtió que, si bien este argumento presenta planteamient</w:t>
      </w:r>
      <w:r w:rsidRPr="00532012">
        <w:rPr>
          <w:sz w:val="18"/>
          <w:szCs w:val="18"/>
          <w:lang w:val="es-CO"/>
        </w:rPr>
        <w:t>os ciertos, en la medida que recaen sobre proposiciones jurídicas reales y existentes, estos no son claros, específicos ni pertinentes por cuanto, como se señaló en el Auto del 12 de octubre de 2023 que inadmitió la demanda, no explican de forma precisa cu</w:t>
      </w:r>
      <w:r w:rsidRPr="00532012">
        <w:rPr>
          <w:sz w:val="18"/>
          <w:szCs w:val="18"/>
          <w:lang w:val="es-CO"/>
        </w:rPr>
        <w:t>ál es la oposición objetiva y verificable entre los artículos 172 y 226 del Decreto Ley 1333 de 1986 y los artículos 287.3 y 313.4 de la Carta Política que resultan presuntamente vulnerados.</w:t>
      </w:r>
    </w:p>
  </w:footnote>
  <w:footnote w:id="4">
    <w:p w:rsidR="00E262FA" w:rsidRPr="00532012" w:rsidRDefault="00580C2D" w:rsidP="00D7251A">
      <w:pPr>
        <w:pStyle w:val="Textonotapie"/>
        <w:jc w:val="both"/>
        <w:rPr>
          <w:sz w:val="18"/>
          <w:szCs w:val="18"/>
        </w:rPr>
      </w:pPr>
      <w:r w:rsidRPr="00532012">
        <w:rPr>
          <w:rStyle w:val="Refdenotaalpie"/>
          <w:sz w:val="18"/>
          <w:szCs w:val="18"/>
        </w:rPr>
        <w:footnoteRef/>
      </w:r>
      <w:r w:rsidRPr="00532012">
        <w:rPr>
          <w:sz w:val="18"/>
          <w:szCs w:val="18"/>
        </w:rPr>
        <w:t xml:space="preserve">  Constitución Política, art 150, numeral 10 “Corresponde al Con</w:t>
      </w:r>
      <w:r w:rsidRPr="00532012">
        <w:rPr>
          <w:sz w:val="18"/>
          <w:szCs w:val="18"/>
        </w:rPr>
        <w:t xml:space="preserve">greso hacer las leyes. Por medio de ellas ejerce las siguientes funciones (…) 10. Revestir, hasta por seis meses, al Presidente de la República de precisas facultades extraordinarias, para expedir normas con fuerza de ley cuando la necesidad lo exija o la </w:t>
      </w:r>
      <w:r w:rsidRPr="00532012">
        <w:rPr>
          <w:sz w:val="18"/>
          <w:szCs w:val="18"/>
        </w:rPr>
        <w:t>conveniencia pública lo aconseje. Tales facultades deberán ser solicitadas expresamente por el Gobierno y su aprobación requerirá la mayoría absoluta de los miembros de una y otra Cámara”</w:t>
      </w:r>
    </w:p>
  </w:footnote>
  <w:footnote w:id="5">
    <w:p w:rsidR="00E262FA" w:rsidRPr="00532012" w:rsidRDefault="00580C2D" w:rsidP="00D7251A">
      <w:pPr>
        <w:pStyle w:val="Textonotapie"/>
        <w:jc w:val="both"/>
        <w:rPr>
          <w:sz w:val="18"/>
          <w:szCs w:val="18"/>
        </w:rPr>
      </w:pPr>
      <w:r w:rsidRPr="00532012">
        <w:rPr>
          <w:rStyle w:val="Refdenotaalpie"/>
          <w:sz w:val="18"/>
          <w:szCs w:val="18"/>
        </w:rPr>
        <w:footnoteRef/>
      </w:r>
      <w:r w:rsidRPr="00532012">
        <w:rPr>
          <w:sz w:val="18"/>
          <w:szCs w:val="18"/>
        </w:rPr>
        <w:t xml:space="preserve"> </w:t>
      </w:r>
      <w:r w:rsidRPr="00532012">
        <w:rPr>
          <w:sz w:val="18"/>
          <w:szCs w:val="18"/>
          <w:lang w:val="es-CO"/>
        </w:rPr>
        <w:t>Al respecto cita las sentencias C-084 de 1995 y C-004 de 1993.</w:t>
      </w:r>
    </w:p>
  </w:footnote>
  <w:footnote w:id="6">
    <w:p w:rsidR="00951D6E" w:rsidRPr="00532012" w:rsidRDefault="00580C2D" w:rsidP="00D7251A">
      <w:pPr>
        <w:pStyle w:val="Textonotapie"/>
        <w:jc w:val="both"/>
        <w:rPr>
          <w:sz w:val="18"/>
          <w:szCs w:val="18"/>
        </w:rPr>
      </w:pPr>
      <w:r w:rsidRPr="00532012">
        <w:rPr>
          <w:rStyle w:val="Refdenotaalpie"/>
          <w:sz w:val="18"/>
          <w:szCs w:val="18"/>
        </w:rPr>
        <w:footnoteRef/>
      </w:r>
      <w:r w:rsidRPr="00532012">
        <w:rPr>
          <w:sz w:val="18"/>
          <w:szCs w:val="18"/>
        </w:rPr>
        <w:t xml:space="preserve"> </w:t>
      </w:r>
      <w:r w:rsidRPr="00532012">
        <w:rPr>
          <w:sz w:val="18"/>
          <w:szCs w:val="18"/>
          <w:lang w:val="es-ES"/>
        </w:rPr>
        <w:t>Que venció el día 26 de enero de 2024.</w:t>
      </w:r>
    </w:p>
  </w:footnote>
  <w:footnote w:id="7">
    <w:p w:rsidR="00887457" w:rsidRPr="00532012" w:rsidRDefault="00580C2D" w:rsidP="00887457">
      <w:pPr>
        <w:pStyle w:val="Textonotapie"/>
        <w:jc w:val="both"/>
        <w:rPr>
          <w:sz w:val="18"/>
          <w:szCs w:val="18"/>
          <w:lang w:val="es-ES"/>
        </w:rPr>
      </w:pPr>
      <w:r w:rsidRPr="00532012">
        <w:rPr>
          <w:rStyle w:val="Refdenotaalpie"/>
          <w:sz w:val="18"/>
          <w:szCs w:val="18"/>
        </w:rPr>
        <w:footnoteRef/>
      </w:r>
      <w:r w:rsidRPr="00532012">
        <w:rPr>
          <w:sz w:val="18"/>
          <w:szCs w:val="18"/>
        </w:rPr>
        <w:t xml:space="preserve"> </w:t>
      </w:r>
      <w:r w:rsidRPr="00532012">
        <w:rPr>
          <w:i/>
          <w:iCs/>
          <w:sz w:val="18"/>
          <w:szCs w:val="18"/>
        </w:rPr>
        <w:t>Cfr</w:t>
      </w:r>
      <w:r w:rsidRPr="00532012">
        <w:rPr>
          <w:sz w:val="18"/>
          <w:szCs w:val="18"/>
        </w:rPr>
        <w:t>., el artículo 13 del Decreto 2067 de 1991.</w:t>
      </w:r>
    </w:p>
  </w:footnote>
  <w:footnote w:id="8">
    <w:p w:rsidR="00E262FA" w:rsidRPr="00532012" w:rsidRDefault="00580C2D" w:rsidP="00D7251A">
      <w:pPr>
        <w:pStyle w:val="Textonotapie"/>
        <w:jc w:val="both"/>
        <w:rPr>
          <w:sz w:val="18"/>
          <w:szCs w:val="18"/>
        </w:rPr>
      </w:pPr>
      <w:r w:rsidRPr="00532012">
        <w:rPr>
          <w:rStyle w:val="Refdenotaalpie"/>
          <w:sz w:val="18"/>
          <w:szCs w:val="18"/>
        </w:rPr>
        <w:footnoteRef/>
      </w:r>
      <w:r w:rsidRPr="00532012">
        <w:rPr>
          <w:sz w:val="18"/>
          <w:szCs w:val="18"/>
        </w:rPr>
        <w:t xml:space="preserve"> Intervención presentada a través de su director ejecutivo, Gilberto Toro Giraldo, el 18 de enero de 2024.</w:t>
      </w:r>
    </w:p>
  </w:footnote>
  <w:footnote w:id="9">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lang w:val="es-ES"/>
        </w:rPr>
        <w:t xml:space="preserve">Ley 20 de 1908 </w:t>
      </w:r>
      <w:r w:rsidRPr="00532012">
        <w:rPr>
          <w:i/>
          <w:iCs/>
          <w:sz w:val="18"/>
          <w:szCs w:val="18"/>
          <w:lang w:val="es-ES"/>
        </w:rPr>
        <w:t>“Que</w:t>
      </w:r>
      <w:r w:rsidRPr="00532012">
        <w:rPr>
          <w:sz w:val="18"/>
          <w:szCs w:val="18"/>
          <w:lang w:val="es-ES"/>
        </w:rPr>
        <w:t xml:space="preserve"> </w:t>
      </w:r>
      <w:r w:rsidRPr="00532012">
        <w:rPr>
          <w:i/>
          <w:iCs/>
          <w:sz w:val="18"/>
          <w:szCs w:val="18"/>
          <w:lang w:val="es-ES"/>
        </w:rPr>
        <w:t xml:space="preserve">adiciona y reforma la Ley 149 de 1908 </w:t>
      </w:r>
      <w:r w:rsidRPr="00532012">
        <w:rPr>
          <w:i/>
          <w:iCs/>
          <w:sz w:val="18"/>
          <w:szCs w:val="18"/>
          <w:lang w:val="es-ES"/>
        </w:rPr>
        <w:t>sobre régimen político y municipal”</w:t>
      </w:r>
      <w:r w:rsidRPr="00532012">
        <w:rPr>
          <w:sz w:val="18"/>
          <w:szCs w:val="18"/>
          <w:lang w:val="es-ES"/>
        </w:rPr>
        <w:t>:</w:t>
      </w:r>
    </w:p>
    <w:p w:rsidR="00E262FA" w:rsidRPr="00532012" w:rsidRDefault="00580C2D" w:rsidP="00D7251A">
      <w:pPr>
        <w:pStyle w:val="Textonotapie"/>
        <w:jc w:val="both"/>
        <w:rPr>
          <w:b/>
          <w:bCs/>
          <w:sz w:val="18"/>
          <w:szCs w:val="18"/>
          <w:lang w:val="es-ES"/>
        </w:rPr>
      </w:pPr>
      <w:r w:rsidRPr="00532012">
        <w:rPr>
          <w:b/>
          <w:bCs/>
          <w:sz w:val="18"/>
          <w:szCs w:val="18"/>
          <w:lang w:val="es-ES"/>
        </w:rPr>
        <w:t>Artículo 17 (…)</w:t>
      </w:r>
    </w:p>
    <w:p w:rsidR="00E262FA" w:rsidRPr="00532012" w:rsidRDefault="00580C2D" w:rsidP="00D7251A">
      <w:pPr>
        <w:pStyle w:val="Textonotapie"/>
        <w:jc w:val="both"/>
        <w:rPr>
          <w:sz w:val="18"/>
          <w:szCs w:val="18"/>
          <w:lang w:val="es-ES"/>
        </w:rPr>
      </w:pPr>
      <w:r w:rsidRPr="00532012">
        <w:rPr>
          <w:b/>
          <w:bCs/>
          <w:sz w:val="18"/>
          <w:szCs w:val="18"/>
          <w:lang w:val="es-ES"/>
        </w:rPr>
        <w:t>Numeral 3.</w:t>
      </w:r>
      <w:r w:rsidRPr="00532012">
        <w:rPr>
          <w:sz w:val="18"/>
          <w:szCs w:val="18"/>
          <w:lang w:val="es-ES"/>
        </w:rPr>
        <w:t xml:space="preserve"> “Serán rentas municipales: (…) </w:t>
      </w:r>
    </w:p>
    <w:p w:rsidR="00E262FA" w:rsidRPr="00532012" w:rsidRDefault="00580C2D" w:rsidP="00D7251A">
      <w:pPr>
        <w:pStyle w:val="Textonotapie"/>
        <w:jc w:val="both"/>
        <w:rPr>
          <w:sz w:val="18"/>
          <w:szCs w:val="18"/>
          <w:lang w:val="es-ES"/>
        </w:rPr>
      </w:pPr>
      <w:r w:rsidRPr="00532012">
        <w:rPr>
          <w:sz w:val="18"/>
          <w:szCs w:val="18"/>
          <w:u w:val="single"/>
          <w:lang w:val="es-ES"/>
        </w:rPr>
        <w:t>la renta de degüello de ganado menor:”</w:t>
      </w:r>
      <w:r w:rsidRPr="00532012">
        <w:rPr>
          <w:sz w:val="18"/>
          <w:szCs w:val="18"/>
          <w:lang w:val="es-ES"/>
        </w:rPr>
        <w:t xml:space="preserve">; </w:t>
      </w:r>
    </w:p>
  </w:footnote>
  <w:footnote w:id="10">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w:t>
      </w:r>
      <w:r w:rsidRPr="00532012">
        <w:rPr>
          <w:sz w:val="18"/>
          <w:szCs w:val="18"/>
        </w:rPr>
        <w:t xml:space="preserve">Artículo 3, </w:t>
      </w:r>
      <w:r w:rsidRPr="00532012">
        <w:rPr>
          <w:sz w:val="18"/>
          <w:szCs w:val="18"/>
          <w:lang w:val="es-ES"/>
        </w:rPr>
        <w:t>Ley 31 de 1945</w:t>
      </w:r>
      <w:r w:rsidRPr="00532012">
        <w:rPr>
          <w:sz w:val="18"/>
          <w:szCs w:val="18"/>
          <w:lang w:val="es-ES"/>
        </w:rPr>
        <w:t xml:space="preserve"> (Derogado por el </w:t>
      </w:r>
      <w:r w:rsidRPr="00532012">
        <w:rPr>
          <w:sz w:val="18"/>
          <w:szCs w:val="18"/>
        </w:rPr>
        <w:t>artículo 339 del Decreto Ley 1222 de 1986):</w:t>
      </w:r>
      <w:r w:rsidRPr="00532012">
        <w:rPr>
          <w:sz w:val="18"/>
          <w:szCs w:val="18"/>
          <w:lang w:val="es-ES"/>
        </w:rPr>
        <w:t xml:space="preserve"> “</w:t>
      </w:r>
      <w:r w:rsidRPr="00532012">
        <w:rPr>
          <w:sz w:val="18"/>
          <w:szCs w:val="18"/>
          <w:lang w:val="es-ES"/>
        </w:rPr>
        <w:t xml:space="preserve">El impuesto de degüello </w:t>
      </w:r>
      <w:r w:rsidRPr="00532012">
        <w:rPr>
          <w:sz w:val="18"/>
          <w:szCs w:val="18"/>
          <w:lang w:val="es-ES"/>
        </w:rPr>
        <w:t>continuará causándose y recaudándose en la forma acordada por las disposiciones legales que hoy regulan la materia</w:t>
      </w:r>
      <w:r w:rsidRPr="00532012">
        <w:rPr>
          <w:sz w:val="18"/>
          <w:szCs w:val="18"/>
          <w:lang w:val="es-ES"/>
        </w:rPr>
        <w:t>”.</w:t>
      </w:r>
    </w:p>
  </w:footnote>
  <w:footnote w:id="11">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Artículo 2,</w:t>
      </w:r>
      <w:r w:rsidRPr="00532012">
        <w:rPr>
          <w:sz w:val="18"/>
          <w:szCs w:val="18"/>
        </w:rPr>
        <w:t xml:space="preserve"> </w:t>
      </w:r>
      <w:r w:rsidRPr="00532012">
        <w:rPr>
          <w:sz w:val="18"/>
          <w:szCs w:val="18"/>
          <w:lang w:val="es-ES"/>
        </w:rPr>
        <w:t>Ley 20 de 1946</w:t>
      </w:r>
      <w:r w:rsidRPr="00532012">
        <w:rPr>
          <w:sz w:val="18"/>
          <w:szCs w:val="18"/>
          <w:lang w:val="es-ES"/>
        </w:rPr>
        <w:t xml:space="preserve"> (Derogado por el </w:t>
      </w:r>
      <w:r w:rsidRPr="00532012">
        <w:rPr>
          <w:sz w:val="18"/>
          <w:szCs w:val="18"/>
        </w:rPr>
        <w:t>artículo 339 del Decreto Ley 1222 de 1986): “</w:t>
      </w:r>
      <w:r w:rsidRPr="00532012">
        <w:rPr>
          <w:sz w:val="18"/>
          <w:szCs w:val="18"/>
          <w:lang w:val="es-ES"/>
        </w:rPr>
        <w:t xml:space="preserve">La prohibición establecida en el articulo 1° de </w:t>
      </w:r>
      <w:r w:rsidRPr="00532012">
        <w:rPr>
          <w:sz w:val="18"/>
          <w:szCs w:val="18"/>
          <w:lang w:val="es-ES"/>
        </w:rPr>
        <w:t>la presente Ley no afecta al impuesto predial ni los de degüello y bebidas alcohólicas y fermentadas, ni los derechos por plazas de mercado y almacén</w:t>
      </w:r>
      <w:r w:rsidRPr="00532012">
        <w:rPr>
          <w:sz w:val="18"/>
          <w:szCs w:val="18"/>
          <w:lang w:val="es-ES"/>
        </w:rPr>
        <w:t>”</w:t>
      </w:r>
      <w:r w:rsidRPr="00532012">
        <w:rPr>
          <w:sz w:val="18"/>
          <w:szCs w:val="18"/>
          <w:lang w:val="es-ES"/>
        </w:rPr>
        <w:t>.</w:t>
      </w:r>
    </w:p>
  </w:footnote>
  <w:footnote w:id="12">
    <w:p w:rsidR="00E262FA" w:rsidRPr="00532012" w:rsidRDefault="00580C2D" w:rsidP="00D7251A">
      <w:pPr>
        <w:pStyle w:val="Textonotapie"/>
        <w:jc w:val="both"/>
        <w:rPr>
          <w:sz w:val="18"/>
          <w:szCs w:val="18"/>
        </w:rPr>
      </w:pPr>
      <w:r w:rsidRPr="00532012">
        <w:rPr>
          <w:rStyle w:val="Refdenotaalpie"/>
          <w:sz w:val="18"/>
          <w:szCs w:val="18"/>
        </w:rPr>
        <w:footnoteRef/>
      </w:r>
      <w:r w:rsidRPr="00532012">
        <w:rPr>
          <w:sz w:val="18"/>
          <w:szCs w:val="18"/>
        </w:rPr>
        <w:t xml:space="preserve"> Intervención presentada por la Asociación Colombiana de Ciudades Capitales -ASOCAPITALES-, a través de</w:t>
      </w:r>
      <w:r w:rsidRPr="00532012">
        <w:rPr>
          <w:sz w:val="18"/>
          <w:szCs w:val="18"/>
        </w:rPr>
        <w:t xml:space="preserve"> su Directora Ejecutiva: Luz María Zapata. Recibida el 5 de febrero de 2024.</w:t>
      </w:r>
    </w:p>
  </w:footnote>
  <w:footnote w:id="13">
    <w:p w:rsidR="00E262FA" w:rsidRPr="00532012" w:rsidRDefault="00580C2D" w:rsidP="00D7251A">
      <w:pPr>
        <w:pStyle w:val="Textonotapie"/>
        <w:jc w:val="both"/>
        <w:rPr>
          <w:sz w:val="18"/>
          <w:szCs w:val="18"/>
          <w:lang w:val="es-CO"/>
        </w:rPr>
      </w:pPr>
      <w:r w:rsidRPr="00532012">
        <w:rPr>
          <w:rStyle w:val="Refdenotaalpie"/>
          <w:sz w:val="18"/>
          <w:szCs w:val="18"/>
        </w:rPr>
        <w:footnoteRef/>
      </w:r>
      <w:r w:rsidRPr="00532012">
        <w:rPr>
          <w:sz w:val="18"/>
          <w:szCs w:val="18"/>
        </w:rPr>
        <w:t xml:space="preserve"> </w:t>
      </w:r>
      <w:r w:rsidRPr="00532012">
        <w:rPr>
          <w:sz w:val="18"/>
          <w:szCs w:val="18"/>
          <w:lang w:val="es-ES"/>
        </w:rPr>
        <w:t>Intervención presentada por</w:t>
      </w:r>
      <w:r w:rsidRPr="00532012">
        <w:rPr>
          <w:sz w:val="18"/>
          <w:szCs w:val="18"/>
          <w:lang w:val="es-CO"/>
        </w:rPr>
        <w:t xml:space="preserve"> Manuel Felipe Rodríguez Duarte, en calidad de asesor de la planta del despacho del Ministro de Hacienda y Crédito Público.</w:t>
      </w:r>
    </w:p>
  </w:footnote>
  <w:footnote w:id="14">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Artículo 226 del Decreto</w:t>
      </w:r>
      <w:r w:rsidRPr="00532012">
        <w:rPr>
          <w:sz w:val="18"/>
          <w:szCs w:val="18"/>
        </w:rPr>
        <w:t xml:space="preserve"> Ley 1333 de 1986.</w:t>
      </w:r>
    </w:p>
  </w:footnote>
  <w:footnote w:id="15">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Ibídem, </w:t>
      </w:r>
      <w:r w:rsidRPr="00532012">
        <w:rPr>
          <w:sz w:val="18"/>
          <w:szCs w:val="18"/>
          <w:lang w:val="es-ES"/>
        </w:rPr>
        <w:t xml:space="preserve">p. 8. </w:t>
      </w:r>
    </w:p>
  </w:footnote>
  <w:footnote w:id="16">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w:t>
      </w:r>
      <w:r w:rsidRPr="00532012">
        <w:rPr>
          <w:sz w:val="18"/>
          <w:szCs w:val="18"/>
          <w:lang w:val="es-ES"/>
        </w:rPr>
        <w:t>Corte Constitucional. Sentencia C-1043 de 2003.</w:t>
      </w:r>
    </w:p>
  </w:footnote>
  <w:footnote w:id="17">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w:t>
      </w:r>
      <w:r w:rsidRPr="00532012">
        <w:rPr>
          <w:sz w:val="18"/>
          <w:szCs w:val="18"/>
          <w:lang w:val="es-ES"/>
        </w:rPr>
        <w:t xml:space="preserve">Intervención presentada por </w:t>
      </w:r>
      <w:r w:rsidRPr="00532012">
        <w:rPr>
          <w:sz w:val="18"/>
          <w:szCs w:val="18"/>
          <w:lang w:val="es-CO"/>
        </w:rPr>
        <w:t>Juan Pablo Godoy Fajardo, Presidente del Instituto Colombiano de Derecho Tributario y Aduanero – ICDT.</w:t>
      </w:r>
    </w:p>
  </w:footnote>
  <w:footnote w:id="18">
    <w:p w:rsidR="00E262FA" w:rsidRPr="00532012" w:rsidRDefault="00580C2D" w:rsidP="00D7251A">
      <w:pPr>
        <w:pStyle w:val="Textonotapie"/>
        <w:jc w:val="both"/>
        <w:rPr>
          <w:sz w:val="18"/>
          <w:szCs w:val="18"/>
        </w:rPr>
      </w:pPr>
      <w:r w:rsidRPr="00532012">
        <w:rPr>
          <w:rStyle w:val="Refdenotaalpie"/>
          <w:sz w:val="18"/>
          <w:szCs w:val="18"/>
        </w:rPr>
        <w:footnoteRef/>
      </w:r>
      <w:r w:rsidRPr="00532012">
        <w:rPr>
          <w:sz w:val="18"/>
          <w:szCs w:val="18"/>
        </w:rPr>
        <w:t xml:space="preserve"> </w:t>
      </w:r>
      <w:r w:rsidRPr="00532012">
        <w:rPr>
          <w:b/>
          <w:bCs/>
          <w:sz w:val="18"/>
          <w:szCs w:val="18"/>
        </w:rPr>
        <w:t>ARTICULO 3°</w:t>
      </w:r>
      <w:r w:rsidRPr="00532012">
        <w:rPr>
          <w:sz w:val="18"/>
          <w:szCs w:val="18"/>
        </w:rPr>
        <w:t> El impuesto de degüello</w:t>
      </w:r>
      <w:r w:rsidRPr="00532012">
        <w:rPr>
          <w:sz w:val="18"/>
          <w:szCs w:val="18"/>
        </w:rPr>
        <w:t xml:space="preserve"> continuara causándose y recaudándose en la forma acordada por las disposiciones legales que hoy regulan la materia. </w:t>
      </w:r>
    </w:p>
    <w:p w:rsidR="00E262FA" w:rsidRPr="00532012" w:rsidRDefault="00580C2D" w:rsidP="00D7251A">
      <w:pPr>
        <w:pStyle w:val="Textonotapie"/>
        <w:jc w:val="both"/>
        <w:rPr>
          <w:sz w:val="18"/>
          <w:szCs w:val="18"/>
          <w:lang w:val="es-CO"/>
        </w:rPr>
      </w:pPr>
      <w:r w:rsidRPr="00532012">
        <w:rPr>
          <w:sz w:val="18"/>
          <w:szCs w:val="18"/>
          <w:lang w:val="es-CO"/>
        </w:rPr>
        <w:t xml:space="preserve">Mas con el fin de favorecer la industria ganadera y las conveniencias del consumidor, cuando el dueño de ganado mayor o menor declare, en </w:t>
      </w:r>
      <w:r w:rsidRPr="00532012">
        <w:rPr>
          <w:sz w:val="18"/>
          <w:szCs w:val="18"/>
          <w:lang w:val="es-CO"/>
        </w:rPr>
        <w:t>la Recaudación respectiva, que va a sacrificar determinadas reses para transportar las carnes a lugar distinto de aquel en que los ganados se sacrifican, el impuesto se pagará en el lugar en donde las carnes se consuman. </w:t>
      </w:r>
    </w:p>
    <w:p w:rsidR="00E262FA" w:rsidRPr="00532012" w:rsidRDefault="00580C2D" w:rsidP="00D7251A">
      <w:pPr>
        <w:pStyle w:val="Textonotapie"/>
        <w:jc w:val="both"/>
        <w:rPr>
          <w:sz w:val="18"/>
          <w:szCs w:val="18"/>
          <w:lang w:val="es-CO"/>
        </w:rPr>
      </w:pPr>
      <w:r w:rsidRPr="00532012">
        <w:rPr>
          <w:sz w:val="18"/>
          <w:szCs w:val="18"/>
          <w:lang w:val="es-CO"/>
        </w:rPr>
        <w:t>Para los efectos del inciso anteri</w:t>
      </w:r>
      <w:r w:rsidRPr="00532012">
        <w:rPr>
          <w:sz w:val="18"/>
          <w:szCs w:val="18"/>
          <w:lang w:val="es-CO"/>
        </w:rPr>
        <w:t>or, el dueño de las reses sacrificadas deberá indicar pormenorizadamente, el lugar a donde destina las carnes y el número de cabezas que a cada plaza ha de transportar en las condiciones dichas. </w:t>
      </w:r>
    </w:p>
    <w:p w:rsidR="00E262FA" w:rsidRPr="00532012" w:rsidRDefault="00580C2D" w:rsidP="00D7251A">
      <w:pPr>
        <w:pStyle w:val="Textonotapie"/>
        <w:jc w:val="both"/>
        <w:rPr>
          <w:sz w:val="18"/>
          <w:szCs w:val="18"/>
          <w:lang w:val="es-CO"/>
        </w:rPr>
      </w:pPr>
      <w:r w:rsidRPr="00532012">
        <w:rPr>
          <w:sz w:val="18"/>
          <w:szCs w:val="18"/>
          <w:lang w:val="es-CO"/>
        </w:rPr>
        <w:t>Todo fraude en esta declaración se sancionará con un recargo</w:t>
      </w:r>
      <w:r w:rsidRPr="00532012">
        <w:rPr>
          <w:sz w:val="18"/>
          <w:szCs w:val="18"/>
          <w:lang w:val="es-CO"/>
        </w:rPr>
        <w:t xml:space="preserve"> del ciento por ciento (100%) del impuesto respectivo. </w:t>
      </w:r>
    </w:p>
    <w:p w:rsidR="00E262FA" w:rsidRPr="00532012" w:rsidRDefault="00580C2D" w:rsidP="00D7251A">
      <w:pPr>
        <w:pStyle w:val="Textonotapie"/>
        <w:jc w:val="both"/>
        <w:rPr>
          <w:sz w:val="18"/>
          <w:szCs w:val="18"/>
          <w:lang w:val="es-CO"/>
        </w:rPr>
      </w:pPr>
      <w:r w:rsidRPr="00532012">
        <w:rPr>
          <w:sz w:val="18"/>
          <w:szCs w:val="18"/>
          <w:lang w:val="es-CO"/>
        </w:rPr>
        <w:t>En la reglamentación de te precepto, el Gobierno Nacional tomará las medidas que estime pertinentes para evitar fraudes a la renta. </w:t>
      </w:r>
    </w:p>
  </w:footnote>
  <w:footnote w:id="19">
    <w:p w:rsidR="00E262FA" w:rsidRPr="00532012" w:rsidRDefault="00580C2D" w:rsidP="00D7251A">
      <w:pPr>
        <w:pStyle w:val="Textonotapie"/>
        <w:jc w:val="both"/>
        <w:rPr>
          <w:sz w:val="18"/>
          <w:szCs w:val="18"/>
          <w:lang w:val="es-CO"/>
        </w:rPr>
      </w:pPr>
      <w:r w:rsidRPr="00532012">
        <w:rPr>
          <w:rStyle w:val="Refdenotaalpie"/>
          <w:sz w:val="18"/>
          <w:szCs w:val="18"/>
        </w:rPr>
        <w:footnoteRef/>
      </w:r>
      <w:r w:rsidRPr="00532012">
        <w:rPr>
          <w:sz w:val="18"/>
          <w:szCs w:val="18"/>
        </w:rPr>
        <w:t xml:space="preserve"> </w:t>
      </w:r>
      <w:r w:rsidRPr="00532012">
        <w:rPr>
          <w:b/>
          <w:bCs/>
          <w:sz w:val="18"/>
          <w:szCs w:val="18"/>
          <w:lang w:val="es-CO"/>
        </w:rPr>
        <w:t>ARTICULO 2°</w:t>
      </w:r>
      <w:r w:rsidRPr="00532012">
        <w:rPr>
          <w:sz w:val="18"/>
          <w:szCs w:val="18"/>
          <w:lang w:val="es-CO"/>
        </w:rPr>
        <w:t> La prohibición establecida en el articulo 1° de la pr</w:t>
      </w:r>
      <w:r w:rsidRPr="00532012">
        <w:rPr>
          <w:sz w:val="18"/>
          <w:szCs w:val="18"/>
          <w:lang w:val="es-CO"/>
        </w:rPr>
        <w:t>esente Ley no afecta al impuesto predial ni los de degüello y bebidas alcohólicas y fermentadas, ni los derechos por plazas de mercado y almacén.</w:t>
      </w:r>
    </w:p>
  </w:footnote>
  <w:footnote w:id="20">
    <w:p w:rsidR="00E262FA" w:rsidRPr="00532012" w:rsidRDefault="00580C2D" w:rsidP="00D7251A">
      <w:pPr>
        <w:pStyle w:val="Textonotapie"/>
        <w:jc w:val="both"/>
        <w:rPr>
          <w:sz w:val="18"/>
          <w:szCs w:val="18"/>
          <w:lang w:val="es-CO"/>
        </w:rPr>
      </w:pPr>
      <w:r w:rsidRPr="00532012">
        <w:rPr>
          <w:rStyle w:val="Refdenotaalpie"/>
          <w:sz w:val="18"/>
          <w:szCs w:val="18"/>
        </w:rPr>
        <w:footnoteRef/>
      </w:r>
      <w:r w:rsidRPr="00532012">
        <w:rPr>
          <w:sz w:val="18"/>
          <w:szCs w:val="18"/>
        </w:rPr>
        <w:t xml:space="preserve"> </w:t>
      </w:r>
      <w:r w:rsidRPr="00532012">
        <w:rPr>
          <w:b/>
          <w:bCs/>
          <w:sz w:val="18"/>
          <w:szCs w:val="18"/>
          <w:lang w:val="es-CO"/>
        </w:rPr>
        <w:t>Artículo 17.</w:t>
      </w:r>
      <w:r w:rsidRPr="00532012">
        <w:rPr>
          <w:sz w:val="18"/>
          <w:szCs w:val="18"/>
          <w:lang w:val="es-CO"/>
        </w:rPr>
        <w:t> Serán Rentas Municipales: (…)</w:t>
      </w:r>
    </w:p>
    <w:p w:rsidR="00E262FA" w:rsidRPr="00532012" w:rsidRDefault="00580C2D" w:rsidP="00D7251A">
      <w:pPr>
        <w:pStyle w:val="Textonotapie"/>
        <w:jc w:val="both"/>
        <w:rPr>
          <w:sz w:val="18"/>
          <w:szCs w:val="18"/>
          <w:lang w:val="es-CO"/>
        </w:rPr>
      </w:pPr>
      <w:r w:rsidRPr="00532012">
        <w:rPr>
          <w:sz w:val="18"/>
          <w:szCs w:val="18"/>
          <w:lang w:val="es-CO"/>
        </w:rPr>
        <w:t>3.° La Renta de Degüello de ganado menor;</w:t>
      </w:r>
    </w:p>
  </w:footnote>
  <w:footnote w:id="21">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Intervención del ICDT</w:t>
      </w:r>
      <w:r w:rsidRPr="00532012">
        <w:rPr>
          <w:sz w:val="18"/>
          <w:szCs w:val="18"/>
        </w:rPr>
        <w:t>, p. 7.</w:t>
      </w:r>
    </w:p>
  </w:footnote>
  <w:footnote w:id="22">
    <w:p w:rsidR="00E262FA" w:rsidRPr="00532012" w:rsidRDefault="00580C2D" w:rsidP="00D7251A">
      <w:pPr>
        <w:pStyle w:val="Textonotapie"/>
        <w:jc w:val="both"/>
        <w:rPr>
          <w:sz w:val="18"/>
          <w:szCs w:val="18"/>
          <w:lang w:val="es-CO"/>
        </w:rPr>
      </w:pPr>
      <w:r w:rsidRPr="00532012">
        <w:rPr>
          <w:rStyle w:val="Refdenotaalpie"/>
          <w:sz w:val="18"/>
          <w:szCs w:val="18"/>
        </w:rPr>
        <w:footnoteRef/>
      </w:r>
      <w:r w:rsidRPr="00532012">
        <w:rPr>
          <w:sz w:val="18"/>
          <w:szCs w:val="18"/>
        </w:rPr>
        <w:t xml:space="preserve"> </w:t>
      </w:r>
      <w:r w:rsidRPr="00532012">
        <w:rPr>
          <w:sz w:val="18"/>
          <w:szCs w:val="18"/>
          <w:lang w:val="es-CO"/>
        </w:rPr>
        <w:t xml:space="preserve"> Intervención presentada a través del Coordinador del Semillero de Derecho Tributario, Julián Zambrano Sánchez, el 29 de enero de 2024. </w:t>
      </w:r>
    </w:p>
  </w:footnote>
  <w:footnote w:id="23">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Ibídem, p. 5. </w:t>
      </w:r>
    </w:p>
  </w:footnote>
  <w:footnote w:id="24">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w:t>
      </w:r>
      <w:r w:rsidRPr="00532012">
        <w:rPr>
          <w:sz w:val="18"/>
          <w:szCs w:val="18"/>
          <w:lang w:val="es-ES"/>
        </w:rPr>
        <w:t>Intervención presentada el 26 de enero de 2024 por el señor José Felix Lafaurie, president</w:t>
      </w:r>
      <w:r w:rsidRPr="00532012">
        <w:rPr>
          <w:sz w:val="18"/>
          <w:szCs w:val="18"/>
          <w:lang w:val="es-ES"/>
        </w:rPr>
        <w:t>e ejecutivo de FEDEGÁN.</w:t>
      </w:r>
    </w:p>
  </w:footnote>
  <w:footnote w:id="25">
    <w:p w:rsidR="00887457" w:rsidRPr="00532012" w:rsidRDefault="00580C2D" w:rsidP="00887457">
      <w:pPr>
        <w:pStyle w:val="Textonotapie"/>
        <w:jc w:val="both"/>
        <w:rPr>
          <w:sz w:val="18"/>
          <w:szCs w:val="18"/>
          <w:lang w:val="es-ES"/>
        </w:rPr>
      </w:pPr>
      <w:r w:rsidRPr="00532012">
        <w:rPr>
          <w:rStyle w:val="Refdenotaalpie"/>
          <w:sz w:val="18"/>
          <w:szCs w:val="18"/>
        </w:rPr>
        <w:footnoteRef/>
      </w:r>
      <w:r w:rsidRPr="00532012">
        <w:rPr>
          <w:sz w:val="18"/>
          <w:szCs w:val="18"/>
        </w:rPr>
        <w:t xml:space="preserve"> </w:t>
      </w:r>
      <w:r w:rsidRPr="00532012">
        <w:rPr>
          <w:i/>
          <w:iCs/>
          <w:sz w:val="18"/>
          <w:szCs w:val="18"/>
        </w:rPr>
        <w:t>Cfr</w:t>
      </w:r>
      <w:r w:rsidRPr="00532012">
        <w:rPr>
          <w:sz w:val="18"/>
          <w:szCs w:val="18"/>
        </w:rPr>
        <w:t>., lo dispuesto en los artículos 242.2 de la Constitución y 7 del Decreto 2067 de 1991.</w:t>
      </w:r>
    </w:p>
  </w:footnote>
  <w:footnote w:id="26">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w:t>
      </w:r>
      <w:r w:rsidRPr="00532012">
        <w:rPr>
          <w:i/>
          <w:iCs/>
          <w:sz w:val="18"/>
          <w:szCs w:val="18"/>
          <w:lang w:val="es-ES"/>
        </w:rPr>
        <w:t>Cfr</w:t>
      </w:r>
      <w:r w:rsidRPr="00532012">
        <w:rPr>
          <w:sz w:val="18"/>
          <w:szCs w:val="18"/>
          <w:lang w:val="es-ES"/>
        </w:rPr>
        <w:t>. Sentencia C-252 de 1999.</w:t>
      </w:r>
    </w:p>
  </w:footnote>
  <w:footnote w:id="27">
    <w:p w:rsidR="00E262FA"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w:t>
      </w:r>
      <w:r w:rsidRPr="00532012">
        <w:rPr>
          <w:i/>
          <w:iCs/>
          <w:sz w:val="18"/>
          <w:szCs w:val="18"/>
        </w:rPr>
        <w:t>Cfr.</w:t>
      </w:r>
      <w:r w:rsidRPr="00532012">
        <w:rPr>
          <w:sz w:val="18"/>
          <w:szCs w:val="18"/>
        </w:rPr>
        <w:t xml:space="preserve"> </w:t>
      </w:r>
      <w:r w:rsidRPr="00532012">
        <w:rPr>
          <w:sz w:val="18"/>
          <w:szCs w:val="18"/>
          <w:lang w:val="es-ES"/>
        </w:rPr>
        <w:t>Sentencias 1043 de 2003 y C-891 de 2012.</w:t>
      </w:r>
    </w:p>
  </w:footnote>
  <w:footnote w:id="28">
    <w:p w:rsidR="00411CCA" w:rsidRPr="00532012" w:rsidRDefault="00580C2D" w:rsidP="00D7251A">
      <w:pPr>
        <w:pStyle w:val="Textonotapie"/>
        <w:jc w:val="both"/>
        <w:rPr>
          <w:sz w:val="18"/>
          <w:szCs w:val="18"/>
        </w:rPr>
      </w:pPr>
      <w:r w:rsidRPr="00532012">
        <w:rPr>
          <w:rStyle w:val="Refdenotaalpie"/>
          <w:sz w:val="18"/>
          <w:szCs w:val="18"/>
        </w:rPr>
        <w:footnoteRef/>
      </w:r>
      <w:r w:rsidRPr="00532012">
        <w:rPr>
          <w:sz w:val="18"/>
          <w:szCs w:val="18"/>
        </w:rPr>
        <w:t xml:space="preserve"> Con respecto al ejercicio de la competencia de la Corte Constitucional para conocer de demandas contra decretos con fuerza de ley y respecto de otras competencias que no están en el artículo 241 de la Constitución Política, pero se derivan de la competenc</w:t>
      </w:r>
      <w:r w:rsidRPr="00532012">
        <w:rPr>
          <w:sz w:val="18"/>
          <w:szCs w:val="18"/>
        </w:rPr>
        <w:t xml:space="preserve">ia de control de constitucionalidad, </w:t>
      </w:r>
      <w:r w:rsidRPr="00532012">
        <w:rPr>
          <w:i/>
          <w:iCs/>
          <w:sz w:val="18"/>
          <w:szCs w:val="18"/>
        </w:rPr>
        <w:t>véanse</w:t>
      </w:r>
      <w:r w:rsidRPr="00532012">
        <w:rPr>
          <w:sz w:val="18"/>
          <w:szCs w:val="18"/>
        </w:rPr>
        <w:t xml:space="preserve"> las sentencias C-049 de 2012 y C-141 de 200</w:t>
      </w:r>
      <w:r w:rsidRPr="00532012">
        <w:rPr>
          <w:sz w:val="18"/>
          <w:szCs w:val="18"/>
        </w:rPr>
        <w:t>1</w:t>
      </w:r>
      <w:r w:rsidRPr="00532012">
        <w:rPr>
          <w:sz w:val="18"/>
          <w:szCs w:val="18"/>
        </w:rPr>
        <w:t>.</w:t>
      </w:r>
    </w:p>
  </w:footnote>
  <w:footnote w:id="29">
    <w:p w:rsidR="003F295A" w:rsidRPr="00532012" w:rsidRDefault="00580C2D" w:rsidP="00D7251A">
      <w:pPr>
        <w:pStyle w:val="Textonotapie"/>
        <w:jc w:val="both"/>
        <w:rPr>
          <w:sz w:val="18"/>
          <w:szCs w:val="18"/>
          <w:lang w:val="es-CO"/>
        </w:rPr>
      </w:pPr>
      <w:r w:rsidRPr="00532012">
        <w:rPr>
          <w:rStyle w:val="Refdenotaalpie"/>
          <w:sz w:val="18"/>
          <w:szCs w:val="18"/>
        </w:rPr>
        <w:footnoteRef/>
      </w:r>
      <w:r w:rsidRPr="00532012">
        <w:rPr>
          <w:sz w:val="18"/>
          <w:szCs w:val="18"/>
        </w:rPr>
        <w:t xml:space="preserve"> </w:t>
      </w:r>
      <w:r w:rsidRPr="00532012">
        <w:rPr>
          <w:sz w:val="18"/>
          <w:szCs w:val="18"/>
          <w:lang w:val="es-CO"/>
        </w:rPr>
        <w:t>Este principio implica que las dudas en relación con el cumplimiento de los requisitos de la demanda se resuelvan a favor del accionante. </w:t>
      </w:r>
      <w:r w:rsidRPr="00532012">
        <w:rPr>
          <w:i/>
          <w:iCs/>
          <w:sz w:val="18"/>
          <w:szCs w:val="18"/>
          <w:lang w:val="es-CO"/>
        </w:rPr>
        <w:t>Cfr.</w:t>
      </w:r>
      <w:r w:rsidRPr="00532012">
        <w:rPr>
          <w:sz w:val="18"/>
          <w:szCs w:val="18"/>
          <w:lang w:val="es-CO"/>
        </w:rPr>
        <w:t> Corte Constitucional,</w:t>
      </w:r>
      <w:r w:rsidRPr="00532012">
        <w:rPr>
          <w:sz w:val="18"/>
          <w:szCs w:val="18"/>
          <w:lang w:val="es-CO"/>
        </w:rPr>
        <w:t xml:space="preserve"> sentencias C-1052 de 2001, C-048 de 2006, C-292 de 2019, C-035 de 2020 y C-091 de 2022.</w:t>
      </w:r>
    </w:p>
  </w:footnote>
  <w:footnote w:id="30">
    <w:p w:rsidR="00A870C4"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Corte Constitucional, Sentencia C-584 de 2016, reiterada en la Sentencia C-292 de 2019.</w:t>
      </w:r>
    </w:p>
  </w:footnote>
  <w:footnote w:id="31">
    <w:p w:rsidR="00A56FC2" w:rsidRPr="00532012" w:rsidRDefault="00580C2D" w:rsidP="00D7251A">
      <w:pPr>
        <w:pStyle w:val="Textonotapie"/>
        <w:jc w:val="both"/>
        <w:rPr>
          <w:sz w:val="18"/>
          <w:szCs w:val="18"/>
        </w:rPr>
      </w:pPr>
      <w:r w:rsidRPr="00532012">
        <w:rPr>
          <w:rStyle w:val="Refdenotaalpie"/>
          <w:sz w:val="18"/>
          <w:szCs w:val="18"/>
        </w:rPr>
        <w:footnoteRef/>
      </w:r>
      <w:r w:rsidRPr="00532012">
        <w:rPr>
          <w:sz w:val="18"/>
          <w:szCs w:val="18"/>
        </w:rPr>
        <w:t xml:space="preserve"> Corte Constitucional. Sentencia C-587 de 1997.</w:t>
      </w:r>
    </w:p>
  </w:footnote>
  <w:footnote w:id="32">
    <w:p w:rsidR="00F035A5" w:rsidRPr="00532012" w:rsidRDefault="00580C2D" w:rsidP="00D7251A">
      <w:pPr>
        <w:pStyle w:val="Textonotapie"/>
        <w:jc w:val="both"/>
        <w:rPr>
          <w:sz w:val="18"/>
          <w:szCs w:val="18"/>
          <w:lang w:val="es-ES"/>
        </w:rPr>
      </w:pPr>
      <w:r w:rsidRPr="00532012">
        <w:rPr>
          <w:rStyle w:val="Refdenotaalpie"/>
          <w:sz w:val="18"/>
          <w:szCs w:val="18"/>
        </w:rPr>
        <w:footnoteRef/>
      </w:r>
      <w:r w:rsidRPr="00532012">
        <w:rPr>
          <w:sz w:val="18"/>
          <w:szCs w:val="18"/>
        </w:rPr>
        <w:t xml:space="preserve"> </w:t>
      </w:r>
      <w:r w:rsidRPr="00532012">
        <w:rPr>
          <w:sz w:val="18"/>
          <w:szCs w:val="18"/>
        </w:rPr>
        <w:t>De</w:t>
      </w:r>
      <w:r w:rsidRPr="00532012">
        <w:rPr>
          <w:sz w:val="18"/>
          <w:szCs w:val="18"/>
        </w:rPr>
        <w:t xml:space="preserve"> acuerdo con el artículo</w:t>
      </w:r>
      <w:r w:rsidRPr="00532012">
        <w:rPr>
          <w:sz w:val="18"/>
          <w:szCs w:val="18"/>
        </w:rPr>
        <w:t xml:space="preserve"> 242.3 de la Constitución Política, las acciones constitucionales por vicios de forma caducan en el término de un año, contado desde la publicación del respectivo acto. Sin embargo, en relación con los vicios por falta de competencia, esta Corte ha sosteni</w:t>
      </w:r>
      <w:r w:rsidRPr="00532012">
        <w:rPr>
          <w:sz w:val="18"/>
          <w:szCs w:val="18"/>
        </w:rPr>
        <w:t>do desde sus inicios y de manera reiterada que este término no les aplica</w:t>
      </w:r>
      <w:r w:rsidRPr="00532012">
        <w:rPr>
          <w:sz w:val="18"/>
          <w:szCs w:val="18"/>
        </w:rPr>
        <w:t xml:space="preserve">, por tratarse de un vicio de carácter procesal que afecta </w:t>
      </w:r>
      <w:r w:rsidRPr="00532012">
        <w:rPr>
          <w:i/>
          <w:iCs/>
          <w:sz w:val="18"/>
          <w:szCs w:val="18"/>
        </w:rPr>
        <w:t>ab initio</w:t>
      </w:r>
      <w:r w:rsidRPr="00532012">
        <w:rPr>
          <w:sz w:val="18"/>
          <w:szCs w:val="18"/>
        </w:rPr>
        <w:t xml:space="preserve"> el carácter sustantivo del acto jurídico</w:t>
      </w:r>
      <w:r w:rsidRPr="00532012">
        <w:rPr>
          <w:sz w:val="18"/>
          <w:szCs w:val="18"/>
        </w:rPr>
        <w:t>.</w:t>
      </w:r>
      <w:r w:rsidRPr="00532012">
        <w:rPr>
          <w:sz w:val="18"/>
          <w:szCs w:val="18"/>
        </w:rPr>
        <w:t xml:space="preserve"> Es decir, un vicio insubsanable que socava el presupuesto esencial para </w:t>
      </w:r>
      <w:r w:rsidRPr="00532012">
        <w:rPr>
          <w:sz w:val="18"/>
          <w:szCs w:val="18"/>
        </w:rPr>
        <w:t>surgir al mundo del derecho: “la competencia, precedente obligado del uso de la forma”.</w:t>
      </w:r>
      <w:r w:rsidRPr="00532012">
        <w:rPr>
          <w:sz w:val="18"/>
          <w:szCs w:val="18"/>
          <w:lang w:val="es-ES"/>
        </w:rPr>
        <w:t xml:space="preserve"> </w:t>
      </w:r>
      <w:r w:rsidRPr="00532012">
        <w:rPr>
          <w:sz w:val="18"/>
          <w:szCs w:val="18"/>
          <w:lang w:val="es-ES"/>
        </w:rPr>
        <w:t>Sentencia C-546 de 1993, M.S. Carlo</w:t>
      </w:r>
      <w:r w:rsidRPr="00532012">
        <w:rPr>
          <w:sz w:val="18"/>
          <w:szCs w:val="18"/>
          <w:lang w:val="es-ES"/>
        </w:rPr>
        <w:t>s</w:t>
      </w:r>
      <w:r w:rsidRPr="00532012">
        <w:rPr>
          <w:sz w:val="18"/>
          <w:szCs w:val="18"/>
          <w:lang w:val="es-ES"/>
        </w:rPr>
        <w:t xml:space="preserve"> Gaviria Díaz. </w:t>
      </w:r>
    </w:p>
    <w:p w:rsidR="00D7251A" w:rsidRPr="007933B0" w:rsidRDefault="00580C2D" w:rsidP="00D7251A">
      <w:pPr>
        <w:pStyle w:val="Textonotapie"/>
        <w:jc w:val="both"/>
        <w:rPr>
          <w:sz w:val="18"/>
          <w:szCs w:val="18"/>
        </w:rPr>
      </w:pPr>
      <w:r w:rsidRPr="00532012">
        <w:rPr>
          <w:sz w:val="18"/>
          <w:szCs w:val="18"/>
          <w:lang w:val="es-ES"/>
        </w:rPr>
        <w:t>A partir de la sentencia C-546 de 1993, o</w:t>
      </w:r>
      <w:r w:rsidRPr="00532012">
        <w:rPr>
          <w:sz w:val="18"/>
          <w:szCs w:val="18"/>
          <w:lang w:val="es-ES"/>
        </w:rPr>
        <w:t>tras</w:t>
      </w:r>
      <w:r w:rsidRPr="00532012">
        <w:rPr>
          <w:sz w:val="18"/>
          <w:szCs w:val="18"/>
          <w:lang w:val="es-ES"/>
        </w:rPr>
        <w:t xml:space="preserve"> sentencias en las que la Corte ha estudiado de fondo demandas de inconstitucionalidad por vicios de competencia sin aplicar el término de caducidad de la acción pública de inconstitucionalidad contenido en el artículo 242.3 de la Constitución Política son</w:t>
      </w:r>
      <w:r w:rsidRPr="00532012">
        <w:rPr>
          <w:sz w:val="18"/>
          <w:szCs w:val="18"/>
          <w:lang w:val="es-ES"/>
        </w:rPr>
        <w:t xml:space="preserve"> las siguientes: C- 531 de 1995, C-046 de 1998, C-1161 de 2000, C-102 de 2011, C-133 de 2012, C-896 de 2012, C-581 de 2013, C-386 de 2014, C-013 de 2014, C-670 de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048A"/>
    <w:multiLevelType w:val="hybridMultilevel"/>
    <w:tmpl w:val="C7CA46A6"/>
    <w:lvl w:ilvl="0" w:tplc="040A000F">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4AD46F6D"/>
    <w:multiLevelType w:val="hybridMultilevel"/>
    <w:tmpl w:val="5E8EEB72"/>
    <w:lvl w:ilvl="0" w:tplc="11EA9BFC">
      <w:start w:val="1"/>
      <w:numFmt w:val="decimal"/>
      <w:lvlText w:val="%1."/>
      <w:lvlJc w:val="left"/>
      <w:pPr>
        <w:ind w:left="720" w:hanging="360"/>
      </w:pPr>
      <w:rPr>
        <w:rFonts w:hint="default"/>
        <w:b w:val="0"/>
        <w:bCs w:val="0"/>
        <w:i w:val="0"/>
        <w:iCs w:val="0"/>
        <w:sz w:val="28"/>
        <w:szCs w:val="28"/>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78871F5A"/>
    <w:multiLevelType w:val="hybridMultilevel"/>
    <w:tmpl w:val="DDC204EE"/>
    <w:lvl w:ilvl="0" w:tplc="A22278CA">
      <w:start w:val="1"/>
      <w:numFmt w:val="upperRoman"/>
      <w:pStyle w:val="Sinespaciado"/>
      <w:lvlText w:val="%1."/>
      <w:lvlJc w:val="righ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790E4F55"/>
    <w:multiLevelType w:val="hybridMultilevel"/>
    <w:tmpl w:val="8106663A"/>
    <w:styleLink w:val="Estiloimportado2"/>
    <w:lvl w:ilvl="0" w:tplc="5006612A">
      <w:start w:val="1"/>
      <w:numFmt w:val="decimal"/>
      <w:lvlText w:val="%1."/>
      <w:lvlJc w:val="left"/>
      <w:pPr>
        <w:ind w:left="708" w:hanging="708"/>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1" w:tplc="10BA0242">
      <w:start w:val="1"/>
      <w:numFmt w:val="lowerLetter"/>
      <w:lvlText w:val="%2."/>
      <w:lvlJc w:val="left"/>
      <w:pPr>
        <w:ind w:left="684" w:hanging="684"/>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2" w:tplc="118A32DE">
      <w:start w:val="1"/>
      <w:numFmt w:val="lowerRoman"/>
      <w:lvlText w:val="%3."/>
      <w:lvlJc w:val="left"/>
      <w:pPr>
        <w:ind w:left="732" w:hanging="62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3" w:tplc="B42C93F8">
      <w:start w:val="1"/>
      <w:numFmt w:val="decimal"/>
      <w:lvlText w:val="%4."/>
      <w:lvlJc w:val="left"/>
      <w:pPr>
        <w:ind w:left="1452" w:hanging="636"/>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4" w:tplc="1C3EF106">
      <w:start w:val="1"/>
      <w:numFmt w:val="lowerLetter"/>
      <w:lvlText w:val="%5."/>
      <w:lvlJc w:val="left"/>
      <w:pPr>
        <w:ind w:left="2172" w:hanging="612"/>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5" w:tplc="1D70BA7C">
      <w:start w:val="1"/>
      <w:numFmt w:val="lowerRoman"/>
      <w:lvlText w:val="%6."/>
      <w:lvlJc w:val="left"/>
      <w:pPr>
        <w:ind w:left="2892" w:hanging="548"/>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6" w:tplc="969C54F4">
      <w:start w:val="1"/>
      <w:numFmt w:val="decimal"/>
      <w:lvlText w:val="%7."/>
      <w:lvlJc w:val="left"/>
      <w:pPr>
        <w:ind w:left="3612" w:hanging="564"/>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7" w:tplc="78A836DA">
      <w:start w:val="1"/>
      <w:numFmt w:val="lowerLetter"/>
      <w:lvlText w:val="%8."/>
      <w:lvlJc w:val="left"/>
      <w:pPr>
        <w:ind w:left="4332" w:hanging="54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8" w:tplc="A3580052">
      <w:start w:val="1"/>
      <w:numFmt w:val="lowerRoman"/>
      <w:lvlText w:val="%9."/>
      <w:lvlJc w:val="left"/>
      <w:pPr>
        <w:ind w:left="5052" w:hanging="476"/>
      </w:pPr>
      <w:rPr>
        <w:rFonts w:hAnsi="Arial Unicode MS"/>
        <w:i/>
        <w:iCs/>
        <w:caps w:val="0"/>
        <w:smallCaps w:val="0"/>
        <w:strike w:val="0"/>
        <w:dstrike w:val="0"/>
        <w:outline w:val="0"/>
        <w:emboss w:val="0"/>
        <w:imprint w:val="0"/>
        <w:color w:val="000000"/>
        <w:spacing w:val="0"/>
        <w:w w:val="100"/>
        <w:kern w:val="0"/>
        <w:position w:val="0"/>
        <w:highlight w:val="none"/>
        <w:vertAlign w:val="baseli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4F6A"/>
    <w:rsid w:val="00580C2D"/>
    <w:rsid w:val="009F4F6A"/>
    <w:rsid w:val="00ED1E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F6EBF0AC-0B1B-4B78-BC29-8758FD0F8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Sinespaciado"/>
    <w:next w:val="Normal"/>
    <w:link w:val="Ttulo1Car"/>
    <w:uiPriority w:val="9"/>
    <w:qFormat/>
    <w:rsid w:val="00E262FA"/>
    <w:pPr>
      <w:outlineLvl w:val="0"/>
    </w:pPr>
  </w:style>
  <w:style w:type="paragraph" w:styleId="Ttulo2">
    <w:name w:val="heading 2"/>
    <w:basedOn w:val="Normal"/>
    <w:next w:val="Normal"/>
    <w:link w:val="Ttulo2Car"/>
    <w:uiPriority w:val="9"/>
    <w:unhideWhenUsed/>
    <w:qFormat/>
    <w:rsid w:val="00E262FA"/>
    <w:pPr>
      <w:keepNext/>
      <w:keepLines/>
      <w:spacing w:before="40"/>
      <w:outlineLvl w:val="1"/>
    </w:pPr>
    <w:rPr>
      <w:rFonts w:eastAsiaTheme="majorEastAsia" w:cstheme="majorBidi"/>
      <w:b/>
      <w:color w:val="000000" w:themeColor="text1"/>
      <w:sz w:val="28"/>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62FA"/>
    <w:rPr>
      <w:rFonts w:ascii="Times New Roman" w:eastAsia="Times New Roman" w:hAnsi="Times New Roman" w:cs="Times New Roman"/>
      <w:b/>
      <w:bCs/>
      <w:color w:val="000000"/>
      <w:sz w:val="28"/>
      <w:szCs w:val="28"/>
      <w:u w:color="000000"/>
      <w:bdr w:val="nil"/>
      <w:lang w:val="es-ES_tradnl" w:eastAsia="es-ES_tradnl"/>
    </w:rPr>
  </w:style>
  <w:style w:type="character" w:customStyle="1" w:styleId="Ttulo2Car">
    <w:name w:val="Título 2 Car"/>
    <w:basedOn w:val="Fuentedeprrafopredeter"/>
    <w:link w:val="Ttulo2"/>
    <w:uiPriority w:val="9"/>
    <w:rsid w:val="00E262FA"/>
    <w:rPr>
      <w:rFonts w:ascii="Times New Roman" w:eastAsiaTheme="majorEastAsia" w:hAnsi="Times New Roman" w:cstheme="majorBidi"/>
      <w:b/>
      <w:color w:val="000000" w:themeColor="text1"/>
      <w:sz w:val="28"/>
      <w:szCs w:val="26"/>
      <w:lang w:eastAsia="es-ES_tradnl"/>
    </w:rPr>
  </w:style>
  <w:style w:type="paragraph" w:styleId="Encabezado">
    <w:name w:val="header"/>
    <w:link w:val="EncabezadoCar"/>
    <w:uiPriority w:val="99"/>
    <w:rsid w:val="00E262FA"/>
    <w:pPr>
      <w:pBdr>
        <w:top w:val="nil"/>
        <w:left w:val="nil"/>
        <w:bottom w:val="nil"/>
        <w:right w:val="nil"/>
        <w:between w:val="nil"/>
        <w:bar w:val="nil"/>
      </w:pBdr>
      <w:tabs>
        <w:tab w:val="center" w:pos="4252"/>
        <w:tab w:val="right" w:pos="8504"/>
      </w:tabs>
    </w:pPr>
    <w:rPr>
      <w:rFonts w:ascii="Times New Roman" w:eastAsia="Arial Unicode MS" w:hAnsi="Times New Roman" w:cs="Arial Unicode MS"/>
      <w:color w:val="000000"/>
      <w:u w:color="000000"/>
      <w:bdr w:val="nil"/>
      <w:lang w:val="es-ES_tradnl" w:eastAsia="es-ES_tradnl"/>
    </w:rPr>
  </w:style>
  <w:style w:type="character" w:customStyle="1" w:styleId="EncabezadoCar">
    <w:name w:val="Encabezado Car"/>
    <w:basedOn w:val="Fuentedeprrafopredeter"/>
    <w:link w:val="Encabezado"/>
    <w:uiPriority w:val="99"/>
    <w:rsid w:val="00E262FA"/>
    <w:rPr>
      <w:rFonts w:ascii="Times New Roman" w:eastAsia="Arial Unicode MS" w:hAnsi="Times New Roman" w:cs="Arial Unicode MS"/>
      <w:color w:val="000000"/>
      <w:u w:color="000000"/>
      <w:bdr w:val="nil"/>
      <w:lang w:val="es-ES_tradnl" w:eastAsia="es-ES_tradnl"/>
    </w:rPr>
  </w:style>
  <w:style w:type="character" w:customStyle="1" w:styleId="Ninguno">
    <w:name w:val="Ninguno"/>
    <w:rsid w:val="00E262FA"/>
    <w:rPr>
      <w:lang w:val="es-ES_tradnl"/>
    </w:rPr>
  </w:style>
  <w:style w:type="paragraph" w:styleId="Piedepgina">
    <w:name w:val="footer"/>
    <w:link w:val="PiedepginaCar"/>
    <w:rsid w:val="00E262FA"/>
    <w:pPr>
      <w:pBdr>
        <w:top w:val="nil"/>
        <w:left w:val="nil"/>
        <w:bottom w:val="nil"/>
        <w:right w:val="nil"/>
        <w:between w:val="nil"/>
        <w:bar w:val="nil"/>
      </w:pBdr>
      <w:tabs>
        <w:tab w:val="center" w:pos="4419"/>
        <w:tab w:val="right" w:pos="8838"/>
      </w:tabs>
    </w:pPr>
    <w:rPr>
      <w:rFonts w:ascii="Calibri" w:eastAsia="Calibri" w:hAnsi="Calibri" w:cs="Calibri"/>
      <w:color w:val="000000"/>
      <w:u w:color="000000"/>
      <w:bdr w:val="nil"/>
      <w:lang w:val="es-ES_tradnl" w:eastAsia="es-ES_tradnl"/>
    </w:rPr>
  </w:style>
  <w:style w:type="character" w:customStyle="1" w:styleId="PiedepginaCar">
    <w:name w:val="Pie de página Car"/>
    <w:basedOn w:val="Fuentedeprrafopredeter"/>
    <w:link w:val="Piedepgina"/>
    <w:rsid w:val="00E262FA"/>
    <w:rPr>
      <w:rFonts w:ascii="Calibri" w:eastAsia="Calibri" w:hAnsi="Calibri" w:cs="Calibri"/>
      <w:color w:val="000000"/>
      <w:sz w:val="22"/>
      <w:szCs w:val="22"/>
      <w:u w:color="000000"/>
      <w:bdr w:val="nil"/>
      <w:lang w:val="es-ES_tradnl" w:eastAsia="es-ES_tradnl"/>
    </w:rPr>
  </w:style>
  <w:style w:type="paragraph" w:customStyle="1" w:styleId="CuerpoA">
    <w:name w:val="Cuerpo A"/>
    <w:rsid w:val="00E262FA"/>
    <w:pPr>
      <w:pBdr>
        <w:top w:val="nil"/>
        <w:left w:val="nil"/>
        <w:bottom w:val="nil"/>
        <w:right w:val="nil"/>
        <w:between w:val="nil"/>
        <w:bar w:val="nil"/>
      </w:pBdr>
    </w:pPr>
    <w:rPr>
      <w:rFonts w:ascii="Calibri" w:eastAsia="Arial Unicode MS" w:hAnsi="Calibri" w:cs="Arial Unicode MS"/>
      <w:color w:val="000000"/>
      <w:u w:color="000000"/>
      <w:bdr w:val="nil"/>
      <w:lang w:val="es-ES_tradnl" w:eastAsia="es-ES_tradnl"/>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link w:val="PrrafodelistaCar"/>
    <w:uiPriority w:val="34"/>
    <w:qFormat/>
    <w:rsid w:val="00E262FA"/>
    <w:pPr>
      <w:pBdr>
        <w:top w:val="nil"/>
        <w:left w:val="nil"/>
        <w:bottom w:val="nil"/>
        <w:right w:val="nil"/>
        <w:between w:val="nil"/>
        <w:bar w:val="nil"/>
      </w:pBdr>
      <w:ind w:left="720"/>
    </w:pPr>
    <w:rPr>
      <w:rFonts w:ascii="Times New Roman" w:eastAsia="Arial Unicode MS" w:hAnsi="Times New Roman" w:cs="Arial Unicode MS"/>
      <w:color w:val="000000"/>
      <w:sz w:val="28"/>
      <w:szCs w:val="28"/>
      <w:u w:color="000000"/>
      <w:bdr w:val="nil"/>
      <w:lang w:val="es-ES_tradnl" w:eastAsia="es-ES_tradnl"/>
    </w:rPr>
  </w:style>
  <w:style w:type="paragraph" w:styleId="NormalWeb">
    <w:name w:val="Normal (Web)"/>
    <w:rsid w:val="00E262FA"/>
    <w:pPr>
      <w:pBdr>
        <w:top w:val="nil"/>
        <w:left w:val="nil"/>
        <w:bottom w:val="nil"/>
        <w:right w:val="nil"/>
        <w:between w:val="nil"/>
        <w:bar w:val="nil"/>
      </w:pBdr>
      <w:spacing w:before="100" w:after="100"/>
    </w:pPr>
    <w:rPr>
      <w:rFonts w:ascii="Times New Roman" w:eastAsia="Times New Roman" w:hAnsi="Times New Roman" w:cs="Times New Roman"/>
      <w:color w:val="000000"/>
      <w:u w:color="000000"/>
      <w:bdr w:val="nil"/>
      <w:lang w:val="es-ES_tradnl" w:eastAsia="es-ES_tradnl"/>
    </w:rPr>
  </w:style>
  <w:style w:type="numbering" w:customStyle="1" w:styleId="Estiloimportado2">
    <w:name w:val="Estilo importado 2"/>
    <w:rsid w:val="00E262FA"/>
    <w:pPr>
      <w:numPr>
        <w:numId w:val="1"/>
      </w:numPr>
    </w:p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Footnote referenc"/>
    <w:link w:val="TextonotapieCar"/>
    <w:uiPriority w:val="99"/>
    <w:qFormat/>
    <w:rsid w:val="00E262FA"/>
    <w:pPr>
      <w:pBdr>
        <w:top w:val="nil"/>
        <w:left w:val="nil"/>
        <w:bottom w:val="nil"/>
        <w:right w:val="nil"/>
        <w:between w:val="nil"/>
        <w:bar w:val="nil"/>
      </w:pBdr>
    </w:pPr>
    <w:rPr>
      <w:rFonts w:ascii="Times New Roman" w:eastAsia="Times New Roman" w:hAnsi="Times New Roman" w:cs="Times New Roman"/>
      <w:color w:val="000000"/>
      <w:sz w:val="20"/>
      <w:szCs w:val="20"/>
      <w:u w:color="000000"/>
      <w:bdr w:val="nil"/>
      <w:lang w:val="es-ES_tradnl" w:eastAsia="es-ES_tradnl"/>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rsid w:val="00E262FA"/>
    <w:rPr>
      <w:rFonts w:ascii="Times New Roman" w:eastAsia="Times New Roman" w:hAnsi="Times New Roman" w:cs="Times New Roman"/>
      <w:color w:val="000000"/>
      <w:sz w:val="20"/>
      <w:szCs w:val="20"/>
      <w:u w:color="000000"/>
      <w:bdr w:val="nil"/>
      <w:lang w:val="es-ES_tradnl" w:eastAsia="es-ES_tradnl"/>
    </w:rPr>
  </w:style>
  <w:style w:type="character" w:styleId="Refdenotaalpie">
    <w:name w:val="footnote reference"/>
    <w:aliases w:val="Texto de nota al pie,Ref1,de nota al pie1,Nota de pie,Texto nota al pie,Fago Fußnotenzeichen,4_G,16 Point,Superscript 6 Point,Footnote Reference Char3,FC,f1,Texto nota pie Car Car,Footnote Text Char Char Char Char Char Char1 Car,R,F"/>
    <w:basedOn w:val="Ninguno"/>
    <w:link w:val="Piedepagina"/>
    <w:uiPriority w:val="99"/>
    <w:qFormat/>
    <w:rsid w:val="00E262FA"/>
    <w:rPr>
      <w:vertAlign w:val="superscript"/>
      <w:lang w:val="es-ES_tradnl"/>
    </w:rPr>
  </w:style>
  <w:style w:type="paragraph" w:customStyle="1" w:styleId="Cuerpo">
    <w:name w:val="Cuerpo"/>
    <w:rsid w:val="00E262FA"/>
    <w:pPr>
      <w:pBdr>
        <w:top w:val="nil"/>
        <w:left w:val="nil"/>
        <w:bottom w:val="nil"/>
        <w:right w:val="nil"/>
        <w:between w:val="nil"/>
        <w:bar w:val="nil"/>
      </w:pBdr>
    </w:pPr>
    <w:rPr>
      <w:rFonts w:ascii="Times New Roman" w:eastAsia="Times New Roman" w:hAnsi="Times New Roman" w:cs="Times New Roman"/>
      <w:color w:val="000000"/>
      <w:u w:color="000000"/>
      <w:bdr w:val="nil"/>
      <w:lang w:eastAsia="es-ES_tradnl"/>
    </w:rPr>
  </w:style>
  <w:style w:type="paragraph" w:styleId="Sinespaciado">
    <w:name w:val="No Spacing"/>
    <w:basedOn w:val="NormalWeb"/>
    <w:uiPriority w:val="1"/>
    <w:qFormat/>
    <w:rsid w:val="00E262FA"/>
    <w:pPr>
      <w:numPr>
        <w:numId w:val="2"/>
      </w:numPr>
      <w:spacing w:before="0" w:after="0"/>
      <w:ind w:right="40"/>
      <w:jc w:val="both"/>
    </w:pPr>
    <w:rPr>
      <w:b/>
      <w:bCs/>
      <w:sz w:val="28"/>
      <w:szCs w:val="28"/>
    </w:rPr>
  </w:style>
  <w:style w:type="table" w:styleId="Tablaconcuadrcula">
    <w:name w:val="Table Grid"/>
    <w:basedOn w:val="Tablanormal"/>
    <w:uiPriority w:val="39"/>
    <w:rsid w:val="00E262F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D38DC"/>
    <w:rPr>
      <w:color w:val="0563C1" w:themeColor="hyperlink"/>
      <w:u w:val="single"/>
    </w:rPr>
  </w:style>
  <w:style w:type="character" w:customStyle="1" w:styleId="Mencinsinresolver1">
    <w:name w:val="Mención sin resolver1"/>
    <w:basedOn w:val="Fuentedeprrafopredeter"/>
    <w:uiPriority w:val="99"/>
    <w:semiHidden/>
    <w:unhideWhenUsed/>
    <w:rsid w:val="005D38DC"/>
    <w:rPr>
      <w:color w:val="605E5C"/>
      <w:shd w:val="clear" w:color="auto" w:fill="E1DFDD"/>
    </w:rPr>
  </w:style>
  <w:style w:type="character" w:styleId="Refdecomentario">
    <w:name w:val="annotation reference"/>
    <w:basedOn w:val="Fuentedeprrafopredeter"/>
    <w:uiPriority w:val="99"/>
    <w:semiHidden/>
    <w:unhideWhenUsed/>
    <w:rsid w:val="00EB68CF"/>
    <w:rPr>
      <w:sz w:val="16"/>
      <w:szCs w:val="16"/>
    </w:rPr>
  </w:style>
  <w:style w:type="paragraph" w:styleId="Textocomentario">
    <w:name w:val="annotation text"/>
    <w:basedOn w:val="Normal"/>
    <w:link w:val="TextocomentarioCar"/>
    <w:uiPriority w:val="99"/>
    <w:semiHidden/>
    <w:unhideWhenUsed/>
    <w:rsid w:val="00EB68CF"/>
    <w:rPr>
      <w:sz w:val="20"/>
      <w:szCs w:val="20"/>
    </w:rPr>
  </w:style>
  <w:style w:type="character" w:customStyle="1" w:styleId="TextocomentarioCar">
    <w:name w:val="Texto comentario Car"/>
    <w:basedOn w:val="Fuentedeprrafopredeter"/>
    <w:link w:val="Textocomentario"/>
    <w:uiPriority w:val="99"/>
    <w:semiHidden/>
    <w:rsid w:val="00EB68CF"/>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EB68CF"/>
    <w:rPr>
      <w:b/>
      <w:bCs/>
    </w:rPr>
  </w:style>
  <w:style w:type="character" w:customStyle="1" w:styleId="AsuntodelcomentarioCar">
    <w:name w:val="Asunto del comentario Car"/>
    <w:basedOn w:val="TextocomentarioCar"/>
    <w:link w:val="Asuntodelcomentario"/>
    <w:uiPriority w:val="99"/>
    <w:semiHidden/>
    <w:rsid w:val="00EB68CF"/>
    <w:rPr>
      <w:rFonts w:ascii="Times New Roman" w:eastAsia="Times New Roman" w:hAnsi="Times New Roman" w:cs="Times New Roman"/>
      <w:b/>
      <w:bCs/>
      <w:sz w:val="20"/>
      <w:szCs w:val="20"/>
      <w:lang w:eastAsia="es-ES_tradnl"/>
    </w:rPr>
  </w:style>
  <w:style w:type="character" w:styleId="Hipervnculovisitado">
    <w:name w:val="FollowedHyperlink"/>
    <w:basedOn w:val="Fuentedeprrafopredeter"/>
    <w:uiPriority w:val="99"/>
    <w:semiHidden/>
    <w:unhideWhenUsed/>
    <w:rsid w:val="00AB0F1D"/>
    <w:rPr>
      <w:color w:val="954F72" w:themeColor="followedHyperlink"/>
      <w:u w:val="single"/>
    </w:rPr>
  </w:style>
  <w:style w:type="paragraph" w:customStyle="1" w:styleId="Piedepagina">
    <w:name w:val="Pie de pagina"/>
    <w:aliases w:val="Ref. de nota al pie2"/>
    <w:basedOn w:val="Normal"/>
    <w:link w:val="Refdenotaalpie"/>
    <w:uiPriority w:val="99"/>
    <w:qFormat/>
    <w:rsid w:val="00F55FCA"/>
    <w:pPr>
      <w:spacing w:line="240" w:lineRule="exact"/>
    </w:pPr>
    <w:rPr>
      <w:rFonts w:eastAsiaTheme="minorHAnsi"/>
      <w:vertAlign w:val="superscript"/>
      <w:lang w:val="es-ES_tradnl" w:eastAsia="en-US"/>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F55FCA"/>
    <w:rPr>
      <w:rFonts w:ascii="Times New Roman" w:eastAsia="Arial Unicode MS" w:hAnsi="Times New Roman" w:cs="Arial Unicode MS"/>
      <w:color w:val="000000"/>
      <w:sz w:val="28"/>
      <w:szCs w:val="28"/>
      <w:u w:color="000000"/>
      <w:bdr w:val="nil"/>
      <w:lang w:val="es-ES_tradnl" w:eastAsia="es-ES_tradnl"/>
    </w:rPr>
  </w:style>
  <w:style w:type="character" w:customStyle="1" w:styleId="corte1car0">
    <w:name w:val="corte1car0"/>
    <w:basedOn w:val="Fuentedeprrafopredeter"/>
    <w:rsid w:val="00F55FCA"/>
  </w:style>
  <w:style w:type="paragraph" w:styleId="Revisin">
    <w:name w:val="Revision"/>
    <w:hidden/>
    <w:uiPriority w:val="99"/>
    <w:semiHidden/>
    <w:rsid w:val="00BE477F"/>
    <w:rPr>
      <w:rFonts w:ascii="Times New Roman" w:eastAsia="Times New Roman" w:hAnsi="Times New Roman" w:cs="Times New Roman"/>
      <w:lang w:eastAsia="es-ES_tradnl"/>
    </w:rPr>
  </w:style>
  <w:style w:type="character" w:customStyle="1" w:styleId="bumpedfont15">
    <w:name w:val="bumpedfont15"/>
    <w:basedOn w:val="Fuentedeprrafopredeter"/>
    <w:rsid w:val="0051500E"/>
  </w:style>
  <w:style w:type="character" w:customStyle="1" w:styleId="apple-converted-space">
    <w:name w:val="apple-converted-space"/>
    <w:basedOn w:val="Fuentedeprrafopredeter"/>
    <w:rsid w:val="00515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6819</Words>
  <Characters>37506</Characters>
  <Application>Microsoft Office Word</Application>
  <DocSecurity>0</DocSecurity>
  <Lines>312</Lines>
  <Paragraphs>88</Paragraphs>
  <ScaleCrop>false</ScaleCrop>
  <Company/>
  <LinksUpToDate>false</LinksUpToDate>
  <CharactersWithSpaces>44237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2024-11-06T16:21:00Z</dcterms:created>
  <dcterms:modified xsi:type="dcterms:W3CDTF">2024-11-06T16:21:00Z</dcterms:modified>
</cp:coreProperties>
</file>