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975" w:rsidRPr="00F255C4" w:rsidRDefault="007B4696">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F255C4">
        <w:rPr>
          <w:rFonts w:ascii="Times New Roman" w:hAnsi="Times New Roman" w:cs="Times New Roman"/>
          <w:sz w:val="28"/>
          <w:szCs w:val="24"/>
        </w:rPr>
        <w:t xml:space="preserve"> </w:t>
      </w:r>
    </w:p>
    <w:p w:rsidR="007E5975" w:rsidRPr="00F255C4" w:rsidRDefault="007E5975">
      <w:pPr>
        <w:widowControl w:val="0"/>
        <w:autoSpaceDE w:val="0"/>
        <w:autoSpaceDN w:val="0"/>
        <w:adjustRightInd w:val="0"/>
        <w:spacing w:after="0" w:line="240" w:lineRule="auto"/>
        <w:rPr>
          <w:rFonts w:ascii="Times New Roman" w:hAnsi="Times New Roman" w:cs="Times New Roman"/>
          <w:sz w:val="28"/>
          <w:szCs w:val="28"/>
        </w:rPr>
      </w:pPr>
    </w:p>
    <w:p w:rsidR="007E5975" w:rsidRPr="00F255C4" w:rsidRDefault="007B4696">
      <w:pPr>
        <w:widowControl w:val="0"/>
        <w:autoSpaceDE w:val="0"/>
        <w:autoSpaceDN w:val="0"/>
        <w:adjustRightInd w:val="0"/>
        <w:spacing w:after="0" w:line="240" w:lineRule="auto"/>
        <w:jc w:val="center"/>
        <w:rPr>
          <w:rFonts w:ascii="Times New Roman" w:hAnsi="Times New Roman" w:cs="Times New Roman"/>
          <w:b/>
          <w:bCs/>
          <w:sz w:val="28"/>
          <w:szCs w:val="28"/>
        </w:rPr>
      </w:pPr>
      <w:r w:rsidRPr="00F255C4">
        <w:rPr>
          <w:rFonts w:ascii="Times New Roman" w:hAnsi="Times New Roman" w:cs="Times New Roman"/>
          <w:b/>
          <w:bCs/>
          <w:sz w:val="28"/>
          <w:szCs w:val="28"/>
        </w:rPr>
        <w:t xml:space="preserve">TEMAS-SUBTEMAS </w:t>
      </w:r>
    </w:p>
    <w:p w:rsidR="007E5975" w:rsidRPr="00F255C4" w:rsidRDefault="007E5975">
      <w:pPr>
        <w:widowControl w:val="0"/>
        <w:autoSpaceDE w:val="0"/>
        <w:autoSpaceDN w:val="0"/>
        <w:adjustRightInd w:val="0"/>
        <w:spacing w:after="0" w:line="240" w:lineRule="auto"/>
        <w:jc w:val="center"/>
        <w:rPr>
          <w:rFonts w:ascii="Times New Roman" w:hAnsi="Times New Roman" w:cs="Times New Roman"/>
          <w:b/>
          <w:bCs/>
          <w:sz w:val="28"/>
          <w:szCs w:val="28"/>
        </w:rPr>
      </w:pPr>
    </w:p>
    <w:p w:rsidR="007E5975" w:rsidRPr="00F255C4" w:rsidRDefault="007B4696">
      <w:pPr>
        <w:widowControl w:val="0"/>
        <w:autoSpaceDE w:val="0"/>
        <w:autoSpaceDN w:val="0"/>
        <w:adjustRightInd w:val="0"/>
        <w:spacing w:after="0" w:line="240" w:lineRule="auto"/>
        <w:jc w:val="center"/>
        <w:rPr>
          <w:rFonts w:ascii="Times New Roman" w:hAnsi="Times New Roman" w:cs="Times New Roman"/>
          <w:sz w:val="28"/>
          <w:szCs w:val="28"/>
        </w:rPr>
      </w:pPr>
      <w:r w:rsidRPr="00F255C4">
        <w:rPr>
          <w:rFonts w:ascii="Times New Roman" w:hAnsi="Times New Roman" w:cs="Times New Roman"/>
          <w:b/>
          <w:bCs/>
          <w:sz w:val="28"/>
          <w:szCs w:val="28"/>
        </w:rPr>
        <w:t xml:space="preserve">Sentencia C-278/24 </w:t>
      </w:r>
    </w:p>
    <w:p w:rsidR="007E5975" w:rsidRPr="00F255C4" w:rsidRDefault="007E5975">
      <w:pPr>
        <w:widowControl w:val="0"/>
        <w:autoSpaceDE w:val="0"/>
        <w:autoSpaceDN w:val="0"/>
        <w:adjustRightInd w:val="0"/>
        <w:spacing w:after="0" w:line="240" w:lineRule="auto"/>
        <w:jc w:val="both"/>
        <w:rPr>
          <w:rFonts w:ascii="Times New Roman" w:hAnsi="Times New Roman" w:cs="Times New Roman"/>
          <w:sz w:val="28"/>
          <w:szCs w:val="28"/>
        </w:rPr>
      </w:pPr>
    </w:p>
    <w:p w:rsidR="007E5975" w:rsidRPr="00F255C4" w:rsidRDefault="007B4696">
      <w:pPr>
        <w:widowControl w:val="0"/>
        <w:autoSpaceDE w:val="0"/>
        <w:autoSpaceDN w:val="0"/>
        <w:adjustRightInd w:val="0"/>
        <w:spacing w:after="0" w:line="240" w:lineRule="auto"/>
        <w:jc w:val="both"/>
        <w:rPr>
          <w:rFonts w:ascii="Times New Roman" w:hAnsi="Times New Roman" w:cs="Times New Roman"/>
          <w:sz w:val="28"/>
          <w:szCs w:val="28"/>
        </w:rPr>
      </w:pPr>
      <w:r w:rsidRPr="00F255C4">
        <w:rPr>
          <w:rFonts w:ascii="Times New Roman" w:hAnsi="Times New Roman" w:cs="Times New Roman"/>
          <w:b/>
          <w:bCs/>
          <w:sz w:val="28"/>
          <w:szCs w:val="28"/>
        </w:rPr>
        <w:t>RESERVA DE LEY ESTATUTARIA EN MATERIA DE DERECHOS FUNDAMENTALES</w:t>
      </w:r>
      <w:r w:rsidRPr="00F255C4">
        <w:rPr>
          <w:rFonts w:ascii="Times New Roman" w:hAnsi="Times New Roman" w:cs="Times New Roman"/>
          <w:sz w:val="28"/>
          <w:szCs w:val="28"/>
        </w:rPr>
        <w:t>-No se vulnera por ley que establece medidas para proteger el derecho a la intimidad de los consumidores</w:t>
      </w:r>
    </w:p>
    <w:p w:rsidR="007E5975" w:rsidRPr="00F255C4" w:rsidRDefault="007E5975">
      <w:pPr>
        <w:widowControl w:val="0"/>
        <w:autoSpaceDE w:val="0"/>
        <w:autoSpaceDN w:val="0"/>
        <w:adjustRightInd w:val="0"/>
        <w:spacing w:after="0" w:line="240" w:lineRule="auto"/>
        <w:jc w:val="both"/>
        <w:rPr>
          <w:rFonts w:ascii="Times New Roman" w:hAnsi="Times New Roman" w:cs="Times New Roman"/>
          <w:sz w:val="28"/>
          <w:szCs w:val="28"/>
        </w:rPr>
      </w:pPr>
    </w:p>
    <w:p w:rsidR="007E5975" w:rsidRPr="00F255C4" w:rsidRDefault="007B4696">
      <w:pPr>
        <w:widowControl w:val="0"/>
        <w:autoSpaceDE w:val="0"/>
        <w:autoSpaceDN w:val="0"/>
        <w:adjustRightInd w:val="0"/>
        <w:spacing w:after="0" w:line="240" w:lineRule="auto"/>
        <w:jc w:val="both"/>
        <w:rPr>
          <w:rFonts w:ascii="Times New Roman" w:hAnsi="Times New Roman" w:cs="Times New Roman"/>
          <w:sz w:val="28"/>
          <w:szCs w:val="28"/>
        </w:rPr>
      </w:pPr>
      <w:r w:rsidRPr="00F255C4">
        <w:rPr>
          <w:rFonts w:ascii="Times New Roman" w:hAnsi="Times New Roman" w:cs="Times New Roman"/>
          <w:i/>
          <w:iCs/>
          <w:sz w:val="28"/>
          <w:szCs w:val="28"/>
        </w:rPr>
        <w:t>La ley no versa sobre el núcleo esencial y los principios básicos del derecho y, en consecuencia, no regula aspectos inherentes a su ejercicio. Como quedó dicho, las disposiciones acusadas adoptan medidas principalmente operativas que, si bien contribuyen a la protección de algunas manifestaciones de los derechos fundamentales concernidos, no definen el contenido esencial del derecho o los principios centrales que lo configuran. (...) tampoco afecta los elementos estructurales del derecho mediante la fijación de límites, restricciones, excepciones y prohibiciones que afecten su estructura general.</w:t>
      </w:r>
    </w:p>
    <w:p w:rsidR="007E5975" w:rsidRPr="00F255C4" w:rsidRDefault="007E5975">
      <w:pPr>
        <w:widowControl w:val="0"/>
        <w:autoSpaceDE w:val="0"/>
        <w:autoSpaceDN w:val="0"/>
        <w:adjustRightInd w:val="0"/>
        <w:spacing w:after="0" w:line="240" w:lineRule="auto"/>
        <w:jc w:val="both"/>
        <w:rPr>
          <w:rFonts w:ascii="Times New Roman" w:hAnsi="Times New Roman" w:cs="Times New Roman"/>
          <w:sz w:val="28"/>
          <w:szCs w:val="28"/>
        </w:rPr>
      </w:pPr>
    </w:p>
    <w:p w:rsidR="007E5975" w:rsidRPr="00F255C4" w:rsidRDefault="007B4696">
      <w:pPr>
        <w:widowControl w:val="0"/>
        <w:autoSpaceDE w:val="0"/>
        <w:autoSpaceDN w:val="0"/>
        <w:adjustRightInd w:val="0"/>
        <w:spacing w:after="0" w:line="240" w:lineRule="auto"/>
        <w:jc w:val="both"/>
        <w:rPr>
          <w:rFonts w:ascii="Times New Roman" w:hAnsi="Times New Roman" w:cs="Times New Roman"/>
          <w:sz w:val="28"/>
          <w:szCs w:val="28"/>
        </w:rPr>
      </w:pPr>
      <w:r w:rsidRPr="00F255C4">
        <w:rPr>
          <w:rFonts w:ascii="Times New Roman" w:hAnsi="Times New Roman" w:cs="Times New Roman"/>
          <w:b/>
          <w:bCs/>
          <w:sz w:val="28"/>
          <w:szCs w:val="28"/>
        </w:rPr>
        <w:t>LEY QUE ESTABLECE MEDIDAS PARA PROTEGER EL DERECHO A LA INTIMIDAD DE LOS CONSUMIDORES</w:t>
      </w:r>
      <w:r w:rsidRPr="00F255C4">
        <w:rPr>
          <w:rFonts w:ascii="Times New Roman" w:hAnsi="Times New Roman" w:cs="Times New Roman"/>
          <w:sz w:val="28"/>
          <w:szCs w:val="28"/>
        </w:rPr>
        <w:t>-Alcance</w:t>
      </w:r>
    </w:p>
    <w:p w:rsidR="007E5975" w:rsidRPr="00F255C4" w:rsidRDefault="007E5975">
      <w:pPr>
        <w:widowControl w:val="0"/>
        <w:autoSpaceDE w:val="0"/>
        <w:autoSpaceDN w:val="0"/>
        <w:adjustRightInd w:val="0"/>
        <w:spacing w:after="0" w:line="240" w:lineRule="auto"/>
        <w:jc w:val="both"/>
        <w:rPr>
          <w:rFonts w:ascii="Times New Roman" w:hAnsi="Times New Roman" w:cs="Times New Roman"/>
          <w:sz w:val="28"/>
          <w:szCs w:val="28"/>
        </w:rPr>
      </w:pPr>
    </w:p>
    <w:p w:rsidR="007E5975" w:rsidRPr="00F255C4" w:rsidRDefault="007B4696">
      <w:pPr>
        <w:widowControl w:val="0"/>
        <w:autoSpaceDE w:val="0"/>
        <w:autoSpaceDN w:val="0"/>
        <w:adjustRightInd w:val="0"/>
        <w:spacing w:after="0" w:line="240" w:lineRule="auto"/>
        <w:jc w:val="both"/>
        <w:rPr>
          <w:rFonts w:ascii="Times New Roman" w:hAnsi="Times New Roman" w:cs="Times New Roman"/>
          <w:sz w:val="28"/>
          <w:szCs w:val="28"/>
        </w:rPr>
      </w:pPr>
      <w:r w:rsidRPr="00F255C4">
        <w:rPr>
          <w:rFonts w:ascii="Times New Roman" w:hAnsi="Times New Roman" w:cs="Times New Roman"/>
          <w:i/>
          <w:iCs/>
          <w:sz w:val="28"/>
          <w:szCs w:val="28"/>
        </w:rPr>
        <w:t>La Ley 2300 de 2023 regula un área de la actividad social y económica vinculada con diferentes dimensiones del texto constitucional. La descripción de esa vinculación resulta de interés dado que concurren materias que, desde el punto de vista constitucional pueden encontrarse sujetas a un régimen regulatorio -o de fuentes- que no es equivalente. Para la Corte la regulación acusada se vincula con al menos tres ámbitos temáticos previstos en la Constitución: la protección al consumidor (art. 78), la Constitución Económica (arts. 333, 334 y 335) y los derechos fundamentales a la intimidad, al habeas data y al buen nombre (art. 15).</w:t>
      </w:r>
    </w:p>
    <w:p w:rsidR="007E5975" w:rsidRPr="00F255C4" w:rsidRDefault="007E5975">
      <w:pPr>
        <w:widowControl w:val="0"/>
        <w:autoSpaceDE w:val="0"/>
        <w:autoSpaceDN w:val="0"/>
        <w:adjustRightInd w:val="0"/>
        <w:spacing w:after="0" w:line="240" w:lineRule="auto"/>
        <w:jc w:val="both"/>
        <w:rPr>
          <w:rFonts w:ascii="Times New Roman" w:hAnsi="Times New Roman" w:cs="Times New Roman"/>
          <w:sz w:val="28"/>
          <w:szCs w:val="28"/>
        </w:rPr>
      </w:pPr>
    </w:p>
    <w:p w:rsidR="007E5975" w:rsidRPr="00F255C4" w:rsidRDefault="007B4696">
      <w:pPr>
        <w:widowControl w:val="0"/>
        <w:autoSpaceDE w:val="0"/>
        <w:autoSpaceDN w:val="0"/>
        <w:adjustRightInd w:val="0"/>
        <w:spacing w:after="0" w:line="240" w:lineRule="auto"/>
        <w:jc w:val="both"/>
        <w:rPr>
          <w:rFonts w:ascii="Times New Roman" w:hAnsi="Times New Roman" w:cs="Times New Roman"/>
          <w:sz w:val="28"/>
          <w:szCs w:val="28"/>
        </w:rPr>
      </w:pPr>
      <w:r w:rsidRPr="00F255C4">
        <w:rPr>
          <w:rFonts w:ascii="Times New Roman" w:hAnsi="Times New Roman" w:cs="Times New Roman"/>
          <w:b/>
          <w:bCs/>
          <w:sz w:val="28"/>
          <w:szCs w:val="28"/>
        </w:rPr>
        <w:t>ECONOMIA SOCIAL DE MERCADO</w:t>
      </w:r>
      <w:r w:rsidRPr="00F255C4">
        <w:rPr>
          <w:rFonts w:ascii="Times New Roman" w:hAnsi="Times New Roman" w:cs="Times New Roman"/>
          <w:sz w:val="28"/>
          <w:szCs w:val="28"/>
        </w:rPr>
        <w:t xml:space="preserve">-Modelo adoptado en la Constitución Política </w:t>
      </w:r>
    </w:p>
    <w:p w:rsidR="007E5975" w:rsidRPr="00F255C4" w:rsidRDefault="007E5975">
      <w:pPr>
        <w:widowControl w:val="0"/>
        <w:autoSpaceDE w:val="0"/>
        <w:autoSpaceDN w:val="0"/>
        <w:adjustRightInd w:val="0"/>
        <w:spacing w:after="0" w:line="240" w:lineRule="auto"/>
        <w:jc w:val="both"/>
        <w:rPr>
          <w:rFonts w:ascii="Times New Roman" w:hAnsi="Times New Roman" w:cs="Times New Roman"/>
          <w:sz w:val="28"/>
          <w:szCs w:val="28"/>
        </w:rPr>
      </w:pPr>
    </w:p>
    <w:p w:rsidR="007E5975" w:rsidRPr="00F255C4" w:rsidRDefault="007B4696">
      <w:pPr>
        <w:widowControl w:val="0"/>
        <w:autoSpaceDE w:val="0"/>
        <w:autoSpaceDN w:val="0"/>
        <w:adjustRightInd w:val="0"/>
        <w:spacing w:after="0" w:line="240" w:lineRule="auto"/>
        <w:jc w:val="both"/>
        <w:rPr>
          <w:rFonts w:ascii="Times New Roman" w:hAnsi="Times New Roman" w:cs="Times New Roman"/>
          <w:sz w:val="28"/>
          <w:szCs w:val="28"/>
        </w:rPr>
      </w:pPr>
      <w:r w:rsidRPr="00F255C4">
        <w:rPr>
          <w:rFonts w:ascii="Times New Roman" w:hAnsi="Times New Roman" w:cs="Times New Roman"/>
          <w:b/>
          <w:bCs/>
          <w:sz w:val="28"/>
          <w:szCs w:val="28"/>
        </w:rPr>
        <w:t>DERECHO DE LOS CONSUMIDORES Y USUARIOS</w:t>
      </w:r>
      <w:r w:rsidRPr="00F255C4">
        <w:rPr>
          <w:rFonts w:ascii="Times New Roman" w:hAnsi="Times New Roman" w:cs="Times New Roman"/>
          <w:sz w:val="28"/>
          <w:szCs w:val="28"/>
        </w:rPr>
        <w:t>-Determinación en la Constitución de 1991</w:t>
      </w:r>
    </w:p>
    <w:p w:rsidR="007E5975" w:rsidRPr="00F255C4" w:rsidRDefault="007E5975">
      <w:pPr>
        <w:widowControl w:val="0"/>
        <w:autoSpaceDE w:val="0"/>
        <w:autoSpaceDN w:val="0"/>
        <w:adjustRightInd w:val="0"/>
        <w:spacing w:after="0" w:line="240" w:lineRule="auto"/>
        <w:jc w:val="both"/>
        <w:rPr>
          <w:rFonts w:ascii="Times New Roman" w:hAnsi="Times New Roman" w:cs="Times New Roman"/>
          <w:sz w:val="28"/>
          <w:szCs w:val="28"/>
        </w:rPr>
      </w:pPr>
    </w:p>
    <w:p w:rsidR="007E5975" w:rsidRPr="00F255C4" w:rsidRDefault="007B4696">
      <w:pPr>
        <w:widowControl w:val="0"/>
        <w:autoSpaceDE w:val="0"/>
        <w:autoSpaceDN w:val="0"/>
        <w:adjustRightInd w:val="0"/>
        <w:spacing w:after="0" w:line="240" w:lineRule="auto"/>
        <w:jc w:val="both"/>
        <w:rPr>
          <w:rFonts w:ascii="Times New Roman" w:hAnsi="Times New Roman" w:cs="Times New Roman"/>
          <w:sz w:val="28"/>
          <w:szCs w:val="28"/>
        </w:rPr>
      </w:pPr>
      <w:r w:rsidRPr="00F255C4">
        <w:rPr>
          <w:rFonts w:ascii="Times New Roman" w:hAnsi="Times New Roman" w:cs="Times New Roman"/>
          <w:i/>
          <w:iCs/>
          <w:sz w:val="28"/>
          <w:szCs w:val="28"/>
        </w:rPr>
        <w:t xml:space="preserve">La Corte ha establecido que [l]a Constitución ordena la existencia de un campo de protección en favor del consumidor, inspirado en el propósito de restablecer su igualdad frente a los productores y distribuidores, dada la asimetría real en que se desenvuelve la persona que acude al mercado en pos de la satisfacción de sus necesidades humanas. Según la Sala Plena la Constitución no entra a determinar los supuestos específicos de protección, tema este que se desarrolla a través del ordenamiento jurídico. De esta forma, ha señalado que [e]l programa de protección, principalmente, se determina a partir de la ley, los reglamentos y el contrato. </w:t>
      </w:r>
    </w:p>
    <w:p w:rsidR="007E5975" w:rsidRPr="00F255C4" w:rsidRDefault="007E5975">
      <w:pPr>
        <w:widowControl w:val="0"/>
        <w:autoSpaceDE w:val="0"/>
        <w:autoSpaceDN w:val="0"/>
        <w:adjustRightInd w:val="0"/>
        <w:spacing w:after="0" w:line="240" w:lineRule="auto"/>
        <w:jc w:val="both"/>
        <w:rPr>
          <w:rFonts w:ascii="Times New Roman" w:hAnsi="Times New Roman" w:cs="Times New Roman"/>
          <w:sz w:val="28"/>
          <w:szCs w:val="28"/>
        </w:rPr>
      </w:pPr>
    </w:p>
    <w:p w:rsidR="007E5975" w:rsidRPr="00F255C4" w:rsidRDefault="007B4696">
      <w:pPr>
        <w:widowControl w:val="0"/>
        <w:autoSpaceDE w:val="0"/>
        <w:autoSpaceDN w:val="0"/>
        <w:adjustRightInd w:val="0"/>
        <w:spacing w:after="0" w:line="240" w:lineRule="auto"/>
        <w:jc w:val="both"/>
        <w:rPr>
          <w:rFonts w:ascii="Times New Roman" w:hAnsi="Times New Roman" w:cs="Times New Roman"/>
          <w:sz w:val="28"/>
          <w:szCs w:val="28"/>
        </w:rPr>
      </w:pPr>
      <w:r w:rsidRPr="00F255C4">
        <w:rPr>
          <w:rFonts w:ascii="Times New Roman" w:hAnsi="Times New Roman" w:cs="Times New Roman"/>
          <w:b/>
          <w:bCs/>
          <w:sz w:val="28"/>
          <w:szCs w:val="28"/>
        </w:rPr>
        <w:t>DERECHOS DEL CONSUMIDOR</w:t>
      </w:r>
      <w:r w:rsidRPr="00F255C4">
        <w:rPr>
          <w:rFonts w:ascii="Times New Roman" w:hAnsi="Times New Roman" w:cs="Times New Roman"/>
          <w:sz w:val="28"/>
          <w:szCs w:val="28"/>
        </w:rPr>
        <w:t xml:space="preserve">-Protección constitucional </w:t>
      </w:r>
    </w:p>
    <w:p w:rsidR="007E5975" w:rsidRPr="00F255C4" w:rsidRDefault="007E5975">
      <w:pPr>
        <w:widowControl w:val="0"/>
        <w:autoSpaceDE w:val="0"/>
        <w:autoSpaceDN w:val="0"/>
        <w:adjustRightInd w:val="0"/>
        <w:spacing w:after="0" w:line="240" w:lineRule="auto"/>
        <w:jc w:val="both"/>
        <w:rPr>
          <w:rFonts w:ascii="Times New Roman" w:hAnsi="Times New Roman" w:cs="Times New Roman"/>
          <w:sz w:val="28"/>
          <w:szCs w:val="28"/>
        </w:rPr>
      </w:pPr>
    </w:p>
    <w:p w:rsidR="007E5975" w:rsidRPr="00F255C4" w:rsidRDefault="007B4696">
      <w:pPr>
        <w:widowControl w:val="0"/>
        <w:autoSpaceDE w:val="0"/>
        <w:autoSpaceDN w:val="0"/>
        <w:adjustRightInd w:val="0"/>
        <w:spacing w:after="0" w:line="240" w:lineRule="auto"/>
        <w:jc w:val="both"/>
        <w:rPr>
          <w:rFonts w:ascii="Times New Roman" w:hAnsi="Times New Roman" w:cs="Times New Roman"/>
          <w:sz w:val="28"/>
          <w:szCs w:val="28"/>
        </w:rPr>
      </w:pPr>
      <w:r w:rsidRPr="00F255C4">
        <w:rPr>
          <w:rFonts w:ascii="Times New Roman" w:hAnsi="Times New Roman" w:cs="Times New Roman"/>
          <w:b/>
          <w:bCs/>
          <w:sz w:val="28"/>
          <w:szCs w:val="28"/>
        </w:rPr>
        <w:t>DERECHO A LA INTIMIDAD</w:t>
      </w:r>
      <w:r w:rsidRPr="00F255C4">
        <w:rPr>
          <w:rFonts w:ascii="Times New Roman" w:hAnsi="Times New Roman" w:cs="Times New Roman"/>
          <w:sz w:val="28"/>
          <w:szCs w:val="28"/>
        </w:rPr>
        <w:t xml:space="preserve">-Límites de las facultades de cobro extraprocesal </w:t>
      </w:r>
    </w:p>
    <w:p w:rsidR="007E5975" w:rsidRPr="00F255C4" w:rsidRDefault="007E5975">
      <w:pPr>
        <w:widowControl w:val="0"/>
        <w:autoSpaceDE w:val="0"/>
        <w:autoSpaceDN w:val="0"/>
        <w:adjustRightInd w:val="0"/>
        <w:spacing w:after="0" w:line="240" w:lineRule="auto"/>
        <w:jc w:val="both"/>
        <w:rPr>
          <w:rFonts w:ascii="Times New Roman" w:hAnsi="Times New Roman" w:cs="Times New Roman"/>
          <w:sz w:val="28"/>
          <w:szCs w:val="28"/>
        </w:rPr>
      </w:pPr>
    </w:p>
    <w:p w:rsidR="007E5975" w:rsidRPr="00F255C4" w:rsidRDefault="007B4696">
      <w:pPr>
        <w:widowControl w:val="0"/>
        <w:autoSpaceDE w:val="0"/>
        <w:autoSpaceDN w:val="0"/>
        <w:adjustRightInd w:val="0"/>
        <w:spacing w:after="0" w:line="240" w:lineRule="auto"/>
        <w:jc w:val="both"/>
        <w:rPr>
          <w:rFonts w:ascii="Times New Roman" w:hAnsi="Times New Roman" w:cs="Times New Roman"/>
          <w:sz w:val="28"/>
          <w:szCs w:val="28"/>
        </w:rPr>
      </w:pPr>
      <w:r w:rsidRPr="00F255C4">
        <w:rPr>
          <w:rFonts w:ascii="Times New Roman" w:hAnsi="Times New Roman" w:cs="Times New Roman"/>
          <w:b/>
          <w:bCs/>
          <w:sz w:val="28"/>
          <w:szCs w:val="28"/>
        </w:rPr>
        <w:t>RESERVA DE LEY ESTATUTARIA EN MATERIA DE DERECHOS FUNDAMENTALES</w:t>
      </w:r>
      <w:r w:rsidRPr="00F255C4">
        <w:rPr>
          <w:rFonts w:ascii="Times New Roman" w:hAnsi="Times New Roman" w:cs="Times New Roman"/>
          <w:sz w:val="28"/>
          <w:szCs w:val="28"/>
        </w:rPr>
        <w:t>-Interpretación restrictiva</w:t>
      </w:r>
    </w:p>
    <w:p w:rsidR="007E5975" w:rsidRPr="00F255C4" w:rsidRDefault="007E5975">
      <w:pPr>
        <w:widowControl w:val="0"/>
        <w:autoSpaceDE w:val="0"/>
        <w:autoSpaceDN w:val="0"/>
        <w:adjustRightInd w:val="0"/>
        <w:spacing w:after="0" w:line="240" w:lineRule="auto"/>
        <w:jc w:val="both"/>
        <w:rPr>
          <w:rFonts w:ascii="Times New Roman" w:hAnsi="Times New Roman" w:cs="Times New Roman"/>
          <w:sz w:val="28"/>
          <w:szCs w:val="28"/>
        </w:rPr>
      </w:pPr>
    </w:p>
    <w:p w:rsidR="007E5975" w:rsidRPr="00F255C4" w:rsidRDefault="007B4696">
      <w:pPr>
        <w:widowControl w:val="0"/>
        <w:autoSpaceDE w:val="0"/>
        <w:autoSpaceDN w:val="0"/>
        <w:adjustRightInd w:val="0"/>
        <w:spacing w:after="0" w:line="240" w:lineRule="auto"/>
        <w:jc w:val="both"/>
        <w:rPr>
          <w:rFonts w:ascii="Times New Roman" w:hAnsi="Times New Roman" w:cs="Times New Roman"/>
          <w:sz w:val="28"/>
          <w:szCs w:val="28"/>
        </w:rPr>
      </w:pPr>
      <w:r w:rsidRPr="00F255C4">
        <w:rPr>
          <w:rFonts w:ascii="Times New Roman" w:hAnsi="Times New Roman" w:cs="Times New Roman"/>
          <w:i/>
          <w:iCs/>
          <w:sz w:val="28"/>
          <w:szCs w:val="28"/>
        </w:rPr>
        <w:t>La reserva de ley estatutaria debe ser interpretada de manera restrictiva. Ello implica reconocer (i) que estas leyes, sometidas a un trámite especial y más exigente, no fueron creadas para regular en forma exhaustiva y casuística todo evento ligado a los derechos fundamentales. El examen a su infracción (ii) debe tomar en consideración el contenido material de la ley (más allá de su identificación o calificación formal). A su vez, (iii) el carácter restrictivo de la reserva implica que la interpretación sobre su alcance debe hacerse a favor del Legislador ordinario y, en caso de duda, debe preferirse la competencia ordinaria del Congreso de la República</w:t>
      </w:r>
    </w:p>
    <w:p w:rsidR="007E5975" w:rsidRPr="00F255C4" w:rsidRDefault="007E5975">
      <w:pPr>
        <w:widowControl w:val="0"/>
        <w:autoSpaceDE w:val="0"/>
        <w:autoSpaceDN w:val="0"/>
        <w:adjustRightInd w:val="0"/>
        <w:spacing w:after="0" w:line="240" w:lineRule="auto"/>
        <w:jc w:val="both"/>
        <w:rPr>
          <w:rFonts w:ascii="Times New Roman" w:hAnsi="Times New Roman" w:cs="Times New Roman"/>
          <w:sz w:val="28"/>
          <w:szCs w:val="28"/>
        </w:rPr>
      </w:pPr>
    </w:p>
    <w:p w:rsidR="007E5975" w:rsidRPr="00F255C4" w:rsidRDefault="007B4696">
      <w:pPr>
        <w:widowControl w:val="0"/>
        <w:autoSpaceDE w:val="0"/>
        <w:autoSpaceDN w:val="0"/>
        <w:adjustRightInd w:val="0"/>
        <w:spacing w:after="0" w:line="240" w:lineRule="auto"/>
        <w:jc w:val="both"/>
        <w:rPr>
          <w:rFonts w:ascii="Times New Roman" w:hAnsi="Times New Roman" w:cs="Times New Roman"/>
          <w:sz w:val="28"/>
          <w:szCs w:val="28"/>
        </w:rPr>
      </w:pPr>
      <w:r w:rsidRPr="00F255C4">
        <w:rPr>
          <w:rFonts w:ascii="Times New Roman" w:hAnsi="Times New Roman" w:cs="Times New Roman"/>
          <w:b/>
          <w:bCs/>
          <w:sz w:val="28"/>
          <w:szCs w:val="28"/>
        </w:rPr>
        <w:t>RESERVA DE LEY ESTATUTARIA</w:t>
      </w:r>
      <w:r w:rsidRPr="00F255C4">
        <w:rPr>
          <w:rFonts w:ascii="Times New Roman" w:hAnsi="Times New Roman" w:cs="Times New Roman"/>
          <w:sz w:val="28"/>
          <w:szCs w:val="28"/>
        </w:rPr>
        <w:t>-Criterios para su determinación respecto de derechos fundamentales</w:t>
      </w:r>
    </w:p>
    <w:p w:rsidR="007E5975" w:rsidRPr="00F255C4" w:rsidRDefault="007E5975">
      <w:pPr>
        <w:widowControl w:val="0"/>
        <w:autoSpaceDE w:val="0"/>
        <w:autoSpaceDN w:val="0"/>
        <w:adjustRightInd w:val="0"/>
        <w:spacing w:after="0" w:line="240" w:lineRule="auto"/>
        <w:jc w:val="both"/>
        <w:rPr>
          <w:rFonts w:ascii="Times New Roman" w:hAnsi="Times New Roman" w:cs="Times New Roman"/>
          <w:sz w:val="28"/>
          <w:szCs w:val="28"/>
        </w:rPr>
      </w:pPr>
    </w:p>
    <w:p w:rsidR="007E5975" w:rsidRPr="00F255C4" w:rsidRDefault="007B4696">
      <w:pPr>
        <w:widowControl w:val="0"/>
        <w:autoSpaceDE w:val="0"/>
        <w:autoSpaceDN w:val="0"/>
        <w:adjustRightInd w:val="0"/>
        <w:spacing w:after="0" w:line="240" w:lineRule="auto"/>
        <w:jc w:val="both"/>
        <w:rPr>
          <w:rFonts w:ascii="Times New Roman" w:hAnsi="Times New Roman" w:cs="Times New Roman"/>
          <w:sz w:val="28"/>
          <w:szCs w:val="28"/>
        </w:rPr>
      </w:pPr>
      <w:r w:rsidRPr="00F255C4">
        <w:rPr>
          <w:rFonts w:ascii="Times New Roman" w:hAnsi="Times New Roman" w:cs="Times New Roman"/>
          <w:i/>
          <w:iCs/>
          <w:sz w:val="28"/>
          <w:szCs w:val="28"/>
        </w:rPr>
        <w:t>(...) se tratará de una materia estatutaria cuando la legislación (i) tenga por objeto directo la regulación de un derecho fundamental; (ii) lo regule de manera integral, estructural y completa; (iii) verse sobre el núcleo esencial y los principios básicos del derecho, es decir, que regule los aspectos inherentes a su ejercicio; o (iv) se refiera a la afectación o el desarrollo de los elementos estructurales del derecho, esto es, que consagre límites, restricciones, excepciones y prohibiciones que afecten la estructura general y los principios del derecho.</w:t>
      </w:r>
    </w:p>
    <w:p w:rsidR="007E5975" w:rsidRPr="00F255C4" w:rsidRDefault="007E5975">
      <w:pPr>
        <w:widowControl w:val="0"/>
        <w:autoSpaceDE w:val="0"/>
        <w:autoSpaceDN w:val="0"/>
        <w:adjustRightInd w:val="0"/>
        <w:spacing w:after="0" w:line="240" w:lineRule="auto"/>
        <w:jc w:val="both"/>
        <w:rPr>
          <w:rFonts w:ascii="Times New Roman" w:hAnsi="Times New Roman" w:cs="Times New Roman"/>
          <w:sz w:val="28"/>
          <w:szCs w:val="28"/>
        </w:rPr>
      </w:pPr>
    </w:p>
    <w:p w:rsidR="007E5975" w:rsidRPr="00F255C4" w:rsidRDefault="007B4696">
      <w:pPr>
        <w:widowControl w:val="0"/>
        <w:autoSpaceDE w:val="0"/>
        <w:autoSpaceDN w:val="0"/>
        <w:adjustRightInd w:val="0"/>
        <w:spacing w:after="0" w:line="240" w:lineRule="auto"/>
        <w:jc w:val="both"/>
        <w:rPr>
          <w:rFonts w:ascii="Times New Roman" w:hAnsi="Times New Roman" w:cs="Times New Roman"/>
          <w:sz w:val="28"/>
          <w:szCs w:val="28"/>
        </w:rPr>
      </w:pPr>
      <w:r w:rsidRPr="00F255C4">
        <w:rPr>
          <w:rFonts w:ascii="Times New Roman" w:hAnsi="Times New Roman" w:cs="Times New Roman"/>
          <w:b/>
          <w:bCs/>
          <w:sz w:val="28"/>
          <w:szCs w:val="28"/>
        </w:rPr>
        <w:t>RESERVA DE LEY ESTATUTARIA</w:t>
      </w:r>
      <w:r w:rsidRPr="00F255C4">
        <w:rPr>
          <w:rFonts w:ascii="Times New Roman" w:hAnsi="Times New Roman" w:cs="Times New Roman"/>
          <w:sz w:val="28"/>
          <w:szCs w:val="28"/>
        </w:rPr>
        <w:t xml:space="preserve">-No aplicación en toda regulación legal que tenga que ver con derechos fundamentales </w:t>
      </w:r>
    </w:p>
    <w:p w:rsidR="007E5975" w:rsidRPr="00F255C4" w:rsidRDefault="007E5975">
      <w:pPr>
        <w:widowControl w:val="0"/>
        <w:autoSpaceDE w:val="0"/>
        <w:autoSpaceDN w:val="0"/>
        <w:adjustRightInd w:val="0"/>
        <w:spacing w:after="0" w:line="240" w:lineRule="auto"/>
        <w:jc w:val="both"/>
        <w:rPr>
          <w:rFonts w:ascii="Times New Roman" w:hAnsi="Times New Roman" w:cs="Times New Roman"/>
          <w:sz w:val="28"/>
          <w:szCs w:val="28"/>
        </w:rPr>
      </w:pPr>
    </w:p>
    <w:p w:rsidR="007E5975" w:rsidRPr="00F255C4" w:rsidRDefault="00F255C4">
      <w:pPr>
        <w:widowControl w:val="0"/>
        <w:autoSpaceDE w:val="0"/>
        <w:autoSpaceDN w:val="0"/>
        <w:adjustRightInd w:val="0"/>
        <w:spacing w:after="0" w:line="240" w:lineRule="auto"/>
        <w:jc w:val="both"/>
        <w:rPr>
          <w:rFonts w:ascii="Times New Roman" w:hAnsi="Times New Roman" w:cs="Times New Roman"/>
          <w:sz w:val="28"/>
        </w:rPr>
      </w:pPr>
      <w:r w:rsidRPr="00F255C4">
        <w:rPr>
          <w:rFonts w:ascii="Times New Roman" w:hAnsi="Times New Roman" w:cs="Times New Roman"/>
          <w:sz w:val="28"/>
          <w:szCs w:val="28"/>
        </w:rPr>
        <w:pict>
          <v:rect id="_x0000_i1025" style="width:0;height:1.5pt" o:hralign="center" o:hrstd="t" o:hr="t" fillcolor="#a0a0a0" stroked="f"/>
        </w:pict>
      </w:r>
    </w:p>
    <w:p w:rsidR="004B0F9D" w:rsidRPr="00F255C4" w:rsidRDefault="00F255C4" w:rsidP="00EB0D70">
      <w:pPr>
        <w:pStyle w:val="Encabezado"/>
        <w:tabs>
          <w:tab w:val="clear" w:pos="4419"/>
          <w:tab w:val="clear" w:pos="8838"/>
          <w:tab w:val="center" w:pos="0"/>
          <w:tab w:val="left" w:pos="8222"/>
          <w:tab w:val="right" w:pos="8647"/>
        </w:tabs>
        <w:ind w:right="-234"/>
        <w:jc w:val="center"/>
        <w:rPr>
          <w:b/>
          <w:bCs/>
          <w:lang w:val="es-ES_tradnl"/>
        </w:rPr>
      </w:pPr>
      <w:bookmarkStart w:id="1" w:name="_Hlk164332592"/>
      <w:r w:rsidRPr="00F255C4">
        <w:rPr>
          <w:b/>
          <w:bCs/>
          <w:lang w:val="es-ES_tradnl"/>
        </w:rPr>
        <w:t>REPÚBLICA DE COLOMBIA</w:t>
      </w:r>
    </w:p>
    <w:p w:rsidR="004B0F9D" w:rsidRPr="00F255C4" w:rsidRDefault="00F255C4" w:rsidP="00EB0D70">
      <w:pPr>
        <w:pStyle w:val="Encabezado"/>
        <w:tabs>
          <w:tab w:val="clear" w:pos="4419"/>
          <w:tab w:val="clear" w:pos="8838"/>
          <w:tab w:val="left" w:pos="8222"/>
          <w:tab w:val="right" w:pos="8647"/>
        </w:tabs>
        <w:ind w:right="-234"/>
        <w:jc w:val="center"/>
        <w:rPr>
          <w:b/>
          <w:bCs/>
          <w:lang w:val="es-ES_tradnl"/>
        </w:rPr>
      </w:pPr>
      <w:r w:rsidRPr="00F255C4">
        <w:rPr>
          <w:b/>
          <w:noProof/>
          <w:lang w:eastAsia="es-CO"/>
        </w:rPr>
        <w:drawing>
          <wp:inline distT="0" distB="0" distL="0" distR="0" wp14:anchorId="058B4981" wp14:editId="4B8F9F3F">
            <wp:extent cx="781050" cy="781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p w:rsidR="004B0F9D" w:rsidRPr="00F255C4" w:rsidRDefault="00F255C4" w:rsidP="00EB0D70">
      <w:pPr>
        <w:pStyle w:val="Encabezado"/>
        <w:tabs>
          <w:tab w:val="clear" w:pos="4419"/>
          <w:tab w:val="clear" w:pos="8838"/>
          <w:tab w:val="center" w:pos="142"/>
          <w:tab w:val="left" w:pos="8222"/>
          <w:tab w:val="right" w:pos="8647"/>
        </w:tabs>
        <w:ind w:right="-234"/>
        <w:jc w:val="center"/>
        <w:rPr>
          <w:b/>
          <w:bCs/>
          <w:lang w:val="es-ES_tradnl"/>
        </w:rPr>
      </w:pPr>
      <w:r w:rsidRPr="00F255C4">
        <w:rPr>
          <w:b/>
          <w:bCs/>
          <w:lang w:val="es-ES_tradnl"/>
        </w:rPr>
        <w:t>CORTE CONSTITUCIONAL</w:t>
      </w:r>
    </w:p>
    <w:p w:rsidR="004B0F9D" w:rsidRPr="00F255C4" w:rsidRDefault="00F255C4" w:rsidP="00EB0D70">
      <w:pPr>
        <w:tabs>
          <w:tab w:val="left" w:pos="8222"/>
          <w:tab w:val="right" w:pos="8647"/>
        </w:tabs>
        <w:spacing w:after="0" w:line="240" w:lineRule="auto"/>
        <w:ind w:right="-234"/>
        <w:rPr>
          <w:rFonts w:ascii="Times New Roman" w:hAnsi="Times New Roman" w:cs="Times New Roman"/>
          <w:b/>
          <w:bCs/>
          <w:sz w:val="28"/>
          <w:szCs w:val="28"/>
          <w:lang w:val="es-ES_tradnl"/>
        </w:rPr>
      </w:pPr>
    </w:p>
    <w:p w:rsidR="004B0F9D" w:rsidRPr="00F255C4" w:rsidRDefault="00F255C4" w:rsidP="00EB0D70">
      <w:pPr>
        <w:pStyle w:val="Ttulo1"/>
        <w:keepNext w:val="0"/>
        <w:tabs>
          <w:tab w:val="left" w:pos="8222"/>
          <w:tab w:val="right" w:pos="8647"/>
        </w:tabs>
        <w:spacing w:line="240" w:lineRule="auto"/>
        <w:ind w:right="-234"/>
        <w:rPr>
          <w:bCs/>
          <w:sz w:val="28"/>
          <w:szCs w:val="28"/>
          <w:lang w:val="es-ES_tradnl"/>
        </w:rPr>
      </w:pPr>
      <w:r w:rsidRPr="00F255C4">
        <w:rPr>
          <w:bCs/>
          <w:sz w:val="28"/>
          <w:szCs w:val="28"/>
          <w:lang w:val="es-ES_tradnl"/>
        </w:rPr>
        <w:t>SENTENCIA C-</w:t>
      </w:r>
      <w:r w:rsidRPr="00F255C4">
        <w:rPr>
          <w:bCs/>
          <w:sz w:val="28"/>
          <w:szCs w:val="28"/>
          <w:lang w:val="es-ES_tradnl"/>
        </w:rPr>
        <w:t xml:space="preserve">278 de </w:t>
      </w:r>
      <w:r w:rsidRPr="00F255C4">
        <w:rPr>
          <w:bCs/>
          <w:sz w:val="28"/>
          <w:szCs w:val="28"/>
          <w:lang w:val="es-ES_tradnl"/>
        </w:rPr>
        <w:t>2024</w:t>
      </w:r>
    </w:p>
    <w:p w:rsidR="004B0F9D" w:rsidRPr="00F255C4" w:rsidRDefault="00F255C4" w:rsidP="00EB0D70">
      <w:pPr>
        <w:tabs>
          <w:tab w:val="left" w:pos="8222"/>
          <w:tab w:val="right" w:pos="8838"/>
        </w:tabs>
        <w:spacing w:after="0" w:line="240" w:lineRule="auto"/>
        <w:rPr>
          <w:rFonts w:ascii="Times New Roman" w:hAnsi="Times New Roman" w:cs="Times New Roman"/>
          <w:b/>
          <w:bCs/>
          <w:sz w:val="28"/>
          <w:szCs w:val="28"/>
          <w:lang w:val="es-ES_tradnl"/>
        </w:rPr>
      </w:pPr>
    </w:p>
    <w:p w:rsidR="00CB6F8A" w:rsidRPr="00F255C4" w:rsidRDefault="00F255C4" w:rsidP="00EB0D70">
      <w:pPr>
        <w:tabs>
          <w:tab w:val="left" w:pos="8222"/>
          <w:tab w:val="right" w:pos="8505"/>
        </w:tabs>
        <w:spacing w:after="0" w:line="240" w:lineRule="auto"/>
        <w:ind w:left="4111" w:right="-234"/>
        <w:jc w:val="both"/>
        <w:rPr>
          <w:rFonts w:ascii="Times New Roman" w:hAnsi="Times New Roman" w:cs="Times New Roman"/>
          <w:sz w:val="28"/>
          <w:szCs w:val="28"/>
        </w:rPr>
      </w:pPr>
      <w:r w:rsidRPr="00F255C4">
        <w:rPr>
          <w:rFonts w:ascii="Times New Roman" w:hAnsi="Times New Roman" w:cs="Times New Roman"/>
          <w:sz w:val="28"/>
          <w:szCs w:val="28"/>
        </w:rPr>
        <w:t>Referencia</w:t>
      </w:r>
      <w:r w:rsidRPr="00F255C4">
        <w:rPr>
          <w:rFonts w:ascii="Times New Roman" w:hAnsi="Times New Roman" w:cs="Times New Roman"/>
          <w:sz w:val="28"/>
          <w:szCs w:val="28"/>
        </w:rPr>
        <w:t>:</w:t>
      </w:r>
      <w:r w:rsidRPr="00F255C4">
        <w:rPr>
          <w:rFonts w:ascii="Times New Roman" w:hAnsi="Times New Roman" w:cs="Times New Roman"/>
          <w:sz w:val="28"/>
          <w:szCs w:val="28"/>
        </w:rPr>
        <w:t xml:space="preserve"> </w:t>
      </w:r>
      <w:r w:rsidRPr="00F255C4">
        <w:rPr>
          <w:rFonts w:ascii="Times New Roman" w:hAnsi="Times New Roman" w:cs="Times New Roman"/>
          <w:sz w:val="28"/>
          <w:szCs w:val="28"/>
        </w:rPr>
        <w:t>e</w:t>
      </w:r>
      <w:r w:rsidRPr="00F255C4">
        <w:rPr>
          <w:rFonts w:ascii="Times New Roman" w:hAnsi="Times New Roman" w:cs="Times New Roman"/>
          <w:sz w:val="28"/>
          <w:szCs w:val="28"/>
        </w:rPr>
        <w:t>xpediente D-15567</w:t>
      </w:r>
      <w:r w:rsidRPr="00F255C4">
        <w:rPr>
          <w:rFonts w:ascii="Times New Roman" w:hAnsi="Times New Roman" w:cs="Times New Roman"/>
          <w:sz w:val="28"/>
          <w:szCs w:val="28"/>
        </w:rPr>
        <w:t>.</w:t>
      </w:r>
      <w:r w:rsidRPr="00F255C4">
        <w:rPr>
          <w:rFonts w:ascii="Times New Roman" w:hAnsi="Times New Roman" w:cs="Times New Roman"/>
          <w:sz w:val="28"/>
          <w:szCs w:val="28"/>
        </w:rPr>
        <w:t xml:space="preserve"> Demanda de inconstitucionalidad contra la Ley 2300 de 2023 “por medio de la cual se establecen medidas que protejan el derecho a la intimidad de los consumidores”. </w:t>
      </w:r>
    </w:p>
    <w:p w:rsidR="00CB6F8A" w:rsidRPr="00F255C4" w:rsidRDefault="00F255C4" w:rsidP="00EB0D70">
      <w:pPr>
        <w:tabs>
          <w:tab w:val="left" w:pos="8222"/>
          <w:tab w:val="right" w:pos="8647"/>
        </w:tabs>
        <w:spacing w:after="0" w:line="240" w:lineRule="auto"/>
        <w:ind w:left="4111" w:right="-234"/>
        <w:jc w:val="both"/>
        <w:rPr>
          <w:rFonts w:ascii="Times New Roman" w:hAnsi="Times New Roman" w:cs="Times New Roman"/>
          <w:sz w:val="28"/>
          <w:szCs w:val="28"/>
        </w:rPr>
      </w:pPr>
    </w:p>
    <w:p w:rsidR="00017162" w:rsidRPr="00F255C4" w:rsidRDefault="00F255C4" w:rsidP="00017162">
      <w:pPr>
        <w:tabs>
          <w:tab w:val="left" w:pos="8222"/>
          <w:tab w:val="right" w:pos="8647"/>
        </w:tabs>
        <w:spacing w:after="0" w:line="240" w:lineRule="auto"/>
        <w:ind w:left="4111" w:right="-234"/>
        <w:jc w:val="both"/>
        <w:rPr>
          <w:rFonts w:ascii="Times New Roman" w:hAnsi="Times New Roman" w:cs="Times New Roman"/>
          <w:b/>
          <w:sz w:val="28"/>
          <w:szCs w:val="28"/>
          <w:lang w:val="es-ES_tradnl"/>
        </w:rPr>
      </w:pPr>
      <w:r w:rsidRPr="00F255C4">
        <w:rPr>
          <w:rFonts w:ascii="Times New Roman" w:hAnsi="Times New Roman" w:cs="Times New Roman"/>
          <w:sz w:val="28"/>
          <w:szCs w:val="28"/>
        </w:rPr>
        <w:t>Accionante: Gilma del Carmen Ávila Tordecilla</w:t>
      </w:r>
    </w:p>
    <w:p w:rsidR="00017162" w:rsidRPr="00F255C4" w:rsidRDefault="00F255C4" w:rsidP="00017162">
      <w:pPr>
        <w:tabs>
          <w:tab w:val="left" w:pos="8222"/>
          <w:tab w:val="right" w:pos="8647"/>
        </w:tabs>
        <w:spacing w:after="0" w:line="240" w:lineRule="auto"/>
        <w:ind w:left="4111" w:right="-234"/>
        <w:jc w:val="both"/>
        <w:rPr>
          <w:rFonts w:ascii="Times New Roman" w:hAnsi="Times New Roman" w:cs="Times New Roman"/>
          <w:b/>
          <w:sz w:val="28"/>
          <w:szCs w:val="28"/>
          <w:lang w:val="es-ES_tradnl"/>
        </w:rPr>
      </w:pPr>
    </w:p>
    <w:p w:rsidR="004B0F9D" w:rsidRPr="00F255C4" w:rsidRDefault="00F255C4" w:rsidP="00017162">
      <w:pPr>
        <w:tabs>
          <w:tab w:val="left" w:pos="8222"/>
          <w:tab w:val="right" w:pos="8647"/>
        </w:tabs>
        <w:spacing w:after="0" w:line="240" w:lineRule="auto"/>
        <w:ind w:left="4111" w:right="-234"/>
        <w:jc w:val="both"/>
        <w:rPr>
          <w:rFonts w:ascii="Times New Roman" w:hAnsi="Times New Roman" w:cs="Times New Roman"/>
          <w:b/>
          <w:sz w:val="28"/>
          <w:szCs w:val="28"/>
          <w:lang w:val="es-ES_tradnl"/>
        </w:rPr>
      </w:pPr>
      <w:r w:rsidRPr="00F255C4">
        <w:rPr>
          <w:rFonts w:ascii="Times New Roman" w:hAnsi="Times New Roman" w:cs="Times New Roman"/>
          <w:b/>
          <w:sz w:val="28"/>
          <w:szCs w:val="28"/>
          <w:lang w:val="es-ES_tradnl"/>
        </w:rPr>
        <w:t>Magistrado ponente</w:t>
      </w:r>
    </w:p>
    <w:p w:rsidR="004B0F9D" w:rsidRPr="00F255C4" w:rsidRDefault="00F255C4" w:rsidP="00EB0D70">
      <w:pPr>
        <w:tabs>
          <w:tab w:val="left" w:pos="8222"/>
          <w:tab w:val="right" w:pos="8647"/>
        </w:tabs>
        <w:spacing w:after="0" w:line="240" w:lineRule="auto"/>
        <w:ind w:left="4111" w:right="-234"/>
        <w:jc w:val="both"/>
        <w:rPr>
          <w:rFonts w:ascii="Times New Roman" w:hAnsi="Times New Roman" w:cs="Times New Roman"/>
          <w:sz w:val="28"/>
          <w:szCs w:val="28"/>
          <w:lang w:val="es-ES_tradnl"/>
        </w:rPr>
      </w:pPr>
      <w:r w:rsidRPr="00F255C4">
        <w:rPr>
          <w:rFonts w:ascii="Times New Roman" w:hAnsi="Times New Roman" w:cs="Times New Roman"/>
          <w:sz w:val="28"/>
          <w:szCs w:val="28"/>
          <w:lang w:val="es-ES_tradnl"/>
        </w:rPr>
        <w:t>José Fernando Reyes Cuartas</w:t>
      </w:r>
    </w:p>
    <w:p w:rsidR="004B0F9D" w:rsidRPr="00F255C4" w:rsidRDefault="00F255C4" w:rsidP="00EB0D70">
      <w:pPr>
        <w:tabs>
          <w:tab w:val="left" w:pos="8222"/>
          <w:tab w:val="right" w:pos="8647"/>
        </w:tabs>
        <w:spacing w:after="0" w:line="240" w:lineRule="auto"/>
        <w:ind w:left="2268" w:right="-234"/>
        <w:jc w:val="both"/>
        <w:rPr>
          <w:rFonts w:ascii="Times New Roman" w:hAnsi="Times New Roman" w:cs="Times New Roman"/>
          <w:sz w:val="28"/>
          <w:szCs w:val="28"/>
          <w:lang w:val="es-ES_tradnl"/>
        </w:rPr>
      </w:pPr>
    </w:p>
    <w:p w:rsidR="004B0F9D" w:rsidRPr="00F255C4" w:rsidRDefault="00F255C4" w:rsidP="00EB0D70">
      <w:pPr>
        <w:pStyle w:val="Textoindependiente"/>
        <w:tabs>
          <w:tab w:val="left" w:pos="8222"/>
          <w:tab w:val="right" w:pos="8647"/>
        </w:tabs>
        <w:spacing w:after="0"/>
        <w:ind w:right="-234"/>
        <w:jc w:val="both"/>
        <w:rPr>
          <w:szCs w:val="28"/>
          <w:lang w:val="es-ES_tradnl"/>
        </w:rPr>
      </w:pPr>
      <w:r w:rsidRPr="00F255C4">
        <w:rPr>
          <w:szCs w:val="28"/>
          <w:lang w:val="es-ES_tradnl"/>
        </w:rPr>
        <w:t>Bogotá D.C.,</w:t>
      </w:r>
      <w:r w:rsidRPr="00F255C4">
        <w:rPr>
          <w:szCs w:val="28"/>
          <w:lang w:val="es-ES_tradnl"/>
        </w:rPr>
        <w:t xml:space="preserve"> </w:t>
      </w:r>
      <w:r w:rsidRPr="00F255C4">
        <w:rPr>
          <w:szCs w:val="28"/>
          <w:lang w:val="es-ES_tradnl"/>
        </w:rPr>
        <w:t xml:space="preserve">11 de </w:t>
      </w:r>
      <w:r w:rsidRPr="00F255C4">
        <w:rPr>
          <w:szCs w:val="28"/>
          <w:lang w:val="es-ES_tradnl"/>
        </w:rPr>
        <w:t>ju</w:t>
      </w:r>
      <w:r w:rsidRPr="00F255C4">
        <w:rPr>
          <w:szCs w:val="28"/>
          <w:lang w:val="es-ES_tradnl"/>
        </w:rPr>
        <w:t>l</w:t>
      </w:r>
      <w:r w:rsidRPr="00F255C4">
        <w:rPr>
          <w:szCs w:val="28"/>
          <w:lang w:val="es-ES_tradnl"/>
        </w:rPr>
        <w:t>io</w:t>
      </w:r>
      <w:r w:rsidRPr="00F255C4">
        <w:rPr>
          <w:szCs w:val="28"/>
          <w:lang w:val="es-ES_tradnl"/>
        </w:rPr>
        <w:t xml:space="preserve"> </w:t>
      </w:r>
      <w:r w:rsidRPr="00F255C4">
        <w:rPr>
          <w:szCs w:val="28"/>
          <w:lang w:val="es-ES_tradnl"/>
        </w:rPr>
        <w:t>de dos mil veinti</w:t>
      </w:r>
      <w:r w:rsidRPr="00F255C4">
        <w:rPr>
          <w:szCs w:val="28"/>
          <w:lang w:val="es-ES_tradnl"/>
        </w:rPr>
        <w:t>cuatro</w:t>
      </w:r>
      <w:r w:rsidRPr="00F255C4">
        <w:rPr>
          <w:szCs w:val="28"/>
          <w:lang w:val="es-ES_tradnl"/>
        </w:rPr>
        <w:t xml:space="preserve"> (202</w:t>
      </w:r>
      <w:r w:rsidRPr="00F255C4">
        <w:rPr>
          <w:szCs w:val="28"/>
          <w:lang w:val="es-ES_tradnl"/>
        </w:rPr>
        <w:t>4</w:t>
      </w:r>
      <w:r w:rsidRPr="00F255C4">
        <w:rPr>
          <w:szCs w:val="28"/>
          <w:lang w:val="es-ES_tradnl"/>
        </w:rPr>
        <w:t>)</w:t>
      </w:r>
    </w:p>
    <w:p w:rsidR="004B0F9D" w:rsidRPr="00F255C4" w:rsidRDefault="00F255C4" w:rsidP="00EB0D70">
      <w:pPr>
        <w:pStyle w:val="Textoindependiente3"/>
        <w:tabs>
          <w:tab w:val="left" w:pos="8222"/>
          <w:tab w:val="right" w:pos="8647"/>
        </w:tabs>
        <w:ind w:right="-234"/>
        <w:rPr>
          <w:b/>
          <w:szCs w:val="28"/>
          <w:lang w:val="es-ES_tradnl"/>
        </w:rPr>
      </w:pPr>
    </w:p>
    <w:p w:rsidR="004B0F9D" w:rsidRPr="00F255C4" w:rsidRDefault="00F255C4" w:rsidP="00EB0D70">
      <w:pPr>
        <w:tabs>
          <w:tab w:val="left" w:pos="8222"/>
          <w:tab w:val="right" w:pos="8647"/>
        </w:tabs>
        <w:spacing w:after="0" w:line="240" w:lineRule="auto"/>
        <w:ind w:right="-234"/>
        <w:jc w:val="both"/>
        <w:rPr>
          <w:rFonts w:ascii="Times New Roman" w:hAnsi="Times New Roman" w:cs="Times New Roman"/>
          <w:sz w:val="28"/>
          <w:szCs w:val="28"/>
          <w:lang w:val="es-ES_tradnl"/>
        </w:rPr>
      </w:pPr>
      <w:r w:rsidRPr="00F255C4">
        <w:rPr>
          <w:rFonts w:ascii="Times New Roman" w:hAnsi="Times New Roman" w:cs="Times New Roman"/>
          <w:sz w:val="28"/>
          <w:szCs w:val="28"/>
          <w:lang w:val="es-ES_tradnl"/>
        </w:rPr>
        <w:t>La Sala Plena de la Corte Constitucional, en ejercicio de sus atribuciones constitucionales y legales, en especial las previstas en el artículo 241.4 de la Constitución Política, y cumplidos todos los trámites y requisitos contemplados en el Decreto 2067 d</w:t>
      </w:r>
      <w:r w:rsidRPr="00F255C4">
        <w:rPr>
          <w:rFonts w:ascii="Times New Roman" w:hAnsi="Times New Roman" w:cs="Times New Roman"/>
          <w:sz w:val="28"/>
          <w:szCs w:val="28"/>
          <w:lang w:val="es-ES_tradnl"/>
        </w:rPr>
        <w:t xml:space="preserve">e 1991, profiere la siguiente: </w:t>
      </w:r>
    </w:p>
    <w:p w:rsidR="004B0F9D" w:rsidRPr="00F255C4" w:rsidRDefault="00F255C4" w:rsidP="00EB0D70">
      <w:pPr>
        <w:tabs>
          <w:tab w:val="left" w:pos="8222"/>
          <w:tab w:val="right" w:pos="8647"/>
        </w:tabs>
        <w:spacing w:after="0" w:line="240" w:lineRule="auto"/>
        <w:ind w:right="-234"/>
        <w:jc w:val="both"/>
        <w:rPr>
          <w:rFonts w:ascii="Times New Roman" w:hAnsi="Times New Roman" w:cs="Times New Roman"/>
          <w:sz w:val="28"/>
          <w:szCs w:val="28"/>
          <w:lang w:val="es-ES_tradnl"/>
        </w:rPr>
      </w:pPr>
    </w:p>
    <w:p w:rsidR="004B0F9D" w:rsidRPr="00F255C4" w:rsidRDefault="00F255C4" w:rsidP="00EB0D70">
      <w:pPr>
        <w:pStyle w:val="Style4"/>
        <w:widowControl/>
        <w:tabs>
          <w:tab w:val="left" w:pos="8222"/>
          <w:tab w:val="right" w:pos="8647"/>
        </w:tabs>
        <w:ind w:right="-234"/>
        <w:jc w:val="center"/>
        <w:rPr>
          <w:b/>
          <w:sz w:val="28"/>
          <w:szCs w:val="28"/>
          <w:lang w:val="es-ES_tradnl"/>
        </w:rPr>
      </w:pPr>
      <w:r w:rsidRPr="00F255C4">
        <w:rPr>
          <w:b/>
          <w:sz w:val="28"/>
          <w:szCs w:val="28"/>
          <w:lang w:val="es-ES_tradnl"/>
        </w:rPr>
        <w:t>SENTENCIA</w:t>
      </w:r>
    </w:p>
    <w:p w:rsidR="004B0F9D" w:rsidRPr="00F255C4" w:rsidRDefault="00F255C4" w:rsidP="00EB0D70">
      <w:pPr>
        <w:pStyle w:val="Style4"/>
        <w:widowControl/>
        <w:tabs>
          <w:tab w:val="left" w:pos="8222"/>
          <w:tab w:val="right" w:pos="8647"/>
        </w:tabs>
        <w:ind w:right="-234"/>
        <w:jc w:val="both"/>
        <w:rPr>
          <w:b/>
          <w:sz w:val="28"/>
          <w:szCs w:val="28"/>
          <w:lang w:val="es-ES_tradnl"/>
        </w:rPr>
      </w:pPr>
    </w:p>
    <w:p w:rsidR="00017162" w:rsidRPr="00F255C4" w:rsidRDefault="00F255C4" w:rsidP="00017162">
      <w:pPr>
        <w:pStyle w:val="Prrafodelista"/>
        <w:numPr>
          <w:ilvl w:val="0"/>
          <w:numId w:val="1"/>
        </w:numPr>
        <w:tabs>
          <w:tab w:val="left" w:pos="426"/>
          <w:tab w:val="left" w:pos="8222"/>
          <w:tab w:val="right" w:pos="8647"/>
        </w:tabs>
        <w:autoSpaceDE/>
        <w:autoSpaceDN/>
        <w:ind w:left="0" w:right="-234" w:firstLine="0"/>
        <w:contextualSpacing/>
        <w:rPr>
          <w:b/>
          <w:lang w:val="es-ES_tradnl"/>
        </w:rPr>
      </w:pPr>
      <w:r w:rsidRPr="00F255C4">
        <w:rPr>
          <w:b/>
          <w:lang w:val="es-ES_tradnl"/>
        </w:rPr>
        <w:t>Síntesis de la decisión</w:t>
      </w:r>
    </w:p>
    <w:p w:rsidR="00017162" w:rsidRPr="00F255C4" w:rsidRDefault="00F255C4" w:rsidP="00017162">
      <w:pPr>
        <w:pStyle w:val="Prrafodelista"/>
        <w:tabs>
          <w:tab w:val="left" w:pos="426"/>
          <w:tab w:val="left" w:pos="8222"/>
          <w:tab w:val="right" w:pos="8647"/>
        </w:tabs>
        <w:autoSpaceDE/>
        <w:autoSpaceDN/>
        <w:ind w:left="0" w:right="-234"/>
        <w:contextualSpacing/>
        <w:rPr>
          <w:lang w:val="es-ES_tradnl"/>
        </w:rPr>
      </w:pPr>
    </w:p>
    <w:p w:rsidR="001E4F8F" w:rsidRPr="00F255C4" w:rsidRDefault="00F255C4" w:rsidP="001E4F8F">
      <w:pPr>
        <w:pStyle w:val="Prrafodelista"/>
        <w:numPr>
          <w:ilvl w:val="0"/>
          <w:numId w:val="2"/>
        </w:numPr>
        <w:tabs>
          <w:tab w:val="left" w:pos="284"/>
          <w:tab w:val="right" w:pos="567"/>
          <w:tab w:val="left" w:pos="8222"/>
        </w:tabs>
        <w:ind w:left="0" w:right="-234" w:firstLine="0"/>
        <w:jc w:val="both"/>
      </w:pPr>
      <w:r w:rsidRPr="00F255C4">
        <w:rPr>
          <w:lang w:val="es-ES"/>
        </w:rPr>
        <w:t>La Ley 2300 de 2023 “</w:t>
      </w:r>
      <w:r w:rsidRPr="00F255C4">
        <w:rPr>
          <w:bCs/>
        </w:rPr>
        <w:t xml:space="preserve">por medio de la cual se establecen medidas que protejan el derecho a la intimidad de los consumidores” tiene por objeto, según lo establece su artículo 1º, </w:t>
      </w:r>
      <w:r w:rsidRPr="00F255C4">
        <w:t xml:space="preserve">proteger </w:t>
      </w:r>
      <w:r w:rsidRPr="00F255C4">
        <w:t>el derecho a la intimidad de los consumidores, estableciendo los canales, el horario y la periodicidad en la que estos pueden ser contactados por las entidades vigiladas por la Superintendencia Financiera y todas las personas naturales y jurídicas que adel</w:t>
      </w:r>
      <w:r w:rsidRPr="00F255C4">
        <w:t>anten gestiones de cobranza de forma directa, por medio de terceros o por cesión de la obligación. </w:t>
      </w:r>
    </w:p>
    <w:p w:rsidR="001E4F8F" w:rsidRPr="00F255C4" w:rsidRDefault="00F255C4" w:rsidP="001E4F8F">
      <w:pPr>
        <w:pStyle w:val="Prrafodelista"/>
        <w:tabs>
          <w:tab w:val="left" w:pos="284"/>
          <w:tab w:val="right" w:pos="567"/>
          <w:tab w:val="left" w:pos="8222"/>
        </w:tabs>
        <w:ind w:left="0" w:right="-234"/>
        <w:jc w:val="both"/>
      </w:pPr>
    </w:p>
    <w:p w:rsidR="001E4F8F" w:rsidRPr="00F255C4" w:rsidRDefault="00F255C4" w:rsidP="001E4F8F">
      <w:pPr>
        <w:pStyle w:val="Prrafodelista"/>
        <w:numPr>
          <w:ilvl w:val="0"/>
          <w:numId w:val="2"/>
        </w:numPr>
        <w:tabs>
          <w:tab w:val="left" w:pos="284"/>
          <w:tab w:val="right" w:pos="567"/>
          <w:tab w:val="left" w:pos="8222"/>
        </w:tabs>
        <w:ind w:left="0" w:right="-234" w:firstLine="0"/>
        <w:jc w:val="both"/>
      </w:pPr>
      <w:r w:rsidRPr="00F255C4">
        <w:t>De acuerdo con el referido artículo se trata de una regulación que tiene como fin proteger al consumidor frente a comportamientos que, según advierte la pr</w:t>
      </w:r>
      <w:r w:rsidRPr="00F255C4">
        <w:t>opia ley, afectan su intimidad. Tales comportamientos se manifiestan en dos dimensiones principales. De una parte, en las actividades o gestiones de cobranza desarrolladas por todas las personas naturales o jurídicas que las tengan a su cargo, incluyendo a</w:t>
      </w:r>
      <w:r w:rsidRPr="00F255C4">
        <w:t xml:space="preserve"> las entidades vigiladas por la Superintendencia Financiera (art. 1) -en adelante </w:t>
      </w:r>
      <w:r w:rsidRPr="00F255C4">
        <w:rPr>
          <w:b/>
          <w:i/>
        </w:rPr>
        <w:t>dimensión de cobranza</w:t>
      </w:r>
      <w:r w:rsidRPr="00F255C4">
        <w:t>-. De otra, en las actuaciones desplegadas por los productores y proveedores de bienes y servicios privados o públicos a efectos de adelantar actividades</w:t>
      </w:r>
      <w:r w:rsidRPr="00F255C4">
        <w:t xml:space="preserve"> de carácter comercial o publicitario (art. 5) -en adelante </w:t>
      </w:r>
      <w:r w:rsidRPr="00F255C4">
        <w:rPr>
          <w:b/>
          <w:i/>
        </w:rPr>
        <w:t>dimensión comercial</w:t>
      </w:r>
      <w:r w:rsidRPr="00F255C4">
        <w:t xml:space="preserve">-. </w:t>
      </w:r>
    </w:p>
    <w:p w:rsidR="001E4F8F" w:rsidRPr="00F255C4" w:rsidRDefault="00F255C4" w:rsidP="001E4F8F">
      <w:pPr>
        <w:pStyle w:val="Prrafodelista"/>
        <w:tabs>
          <w:tab w:val="left" w:pos="284"/>
          <w:tab w:val="right" w:pos="567"/>
          <w:tab w:val="left" w:pos="8222"/>
        </w:tabs>
        <w:ind w:left="0" w:right="-234"/>
        <w:jc w:val="both"/>
      </w:pPr>
    </w:p>
    <w:p w:rsidR="001E4F8F" w:rsidRPr="00F255C4" w:rsidRDefault="00F255C4" w:rsidP="001E4F8F">
      <w:pPr>
        <w:pStyle w:val="Prrafodelista"/>
        <w:numPr>
          <w:ilvl w:val="0"/>
          <w:numId w:val="2"/>
        </w:numPr>
        <w:tabs>
          <w:tab w:val="left" w:pos="284"/>
          <w:tab w:val="right" w:pos="567"/>
          <w:tab w:val="left" w:pos="8222"/>
        </w:tabs>
        <w:ind w:left="0" w:right="-234" w:firstLine="0"/>
        <w:jc w:val="both"/>
      </w:pPr>
      <w:r w:rsidRPr="00F255C4">
        <w:rPr>
          <w:lang w:val="es-ES_tradnl"/>
        </w:rPr>
        <w:t>Deb</w:t>
      </w:r>
      <w:r w:rsidRPr="00F255C4">
        <w:rPr>
          <w:lang w:val="es-ES_tradnl"/>
        </w:rPr>
        <w:t>ía</w:t>
      </w:r>
      <w:r w:rsidRPr="00F255C4">
        <w:rPr>
          <w:lang w:val="es-ES_tradnl"/>
        </w:rPr>
        <w:t xml:space="preserve"> la Corte definir si la materia regulada por la Ley 2300 de 2023 se encuentra comprendida por la reserva de ley estatutaria prevista en el literal a) del artículo 152 </w:t>
      </w:r>
      <w:r w:rsidRPr="00F255C4">
        <w:rPr>
          <w:lang w:val="es-ES_tradnl"/>
        </w:rPr>
        <w:t xml:space="preserve">de la Constitución </w:t>
      </w:r>
      <w:r w:rsidRPr="00F255C4">
        <w:rPr>
          <w:lang w:val="es-ES_tradnl"/>
        </w:rPr>
        <w:t xml:space="preserve">conforme al cual se sujeta a dicha reserva la regulación de los derechos y deberes fundamentales de las personas, así como </w:t>
      </w:r>
      <w:r w:rsidRPr="00F255C4">
        <w:t xml:space="preserve">los procedimientos y recursos para su protección. </w:t>
      </w:r>
    </w:p>
    <w:p w:rsidR="001E4F8F" w:rsidRPr="00F255C4" w:rsidRDefault="00F255C4" w:rsidP="001E4F8F">
      <w:pPr>
        <w:pStyle w:val="Prrafodelista"/>
      </w:pPr>
    </w:p>
    <w:p w:rsidR="001E4F8F" w:rsidRPr="00F255C4" w:rsidRDefault="00F255C4" w:rsidP="001E4F8F">
      <w:pPr>
        <w:pStyle w:val="Prrafodelista"/>
        <w:numPr>
          <w:ilvl w:val="0"/>
          <w:numId w:val="2"/>
        </w:numPr>
        <w:tabs>
          <w:tab w:val="left" w:pos="284"/>
          <w:tab w:val="right" w:pos="567"/>
          <w:tab w:val="left" w:pos="8222"/>
        </w:tabs>
        <w:ind w:left="0" w:right="-234" w:firstLine="0"/>
        <w:jc w:val="both"/>
      </w:pPr>
      <w:r w:rsidRPr="00F255C4">
        <w:rPr>
          <w:rFonts w:eastAsia="Times New Roman"/>
          <w:lang w:val="es-ES_tradnl" w:eastAsia="es-CO"/>
        </w:rPr>
        <w:t>La Sala Plena concluyó que la ley acusada no desconoce el artí</w:t>
      </w:r>
      <w:r w:rsidRPr="00F255C4">
        <w:rPr>
          <w:rFonts w:eastAsia="Times New Roman"/>
          <w:lang w:val="es-ES_tradnl" w:eastAsia="es-CO"/>
        </w:rPr>
        <w:t>culo 152.a de la Constitución. Para el efecto sostuvo lo siguiente. </w:t>
      </w:r>
      <w:r w:rsidRPr="00F255C4">
        <w:rPr>
          <w:rFonts w:eastAsia="Times New Roman"/>
          <w:bCs/>
          <w:lang w:val="es-ES_tradnl" w:eastAsia="es-CO"/>
        </w:rPr>
        <w:t>Primero</w:t>
      </w:r>
      <w:r w:rsidRPr="00F255C4">
        <w:rPr>
          <w:rFonts w:eastAsia="Times New Roman"/>
          <w:lang w:val="es-ES_tradnl" w:eastAsia="es-CO"/>
        </w:rPr>
        <w:t xml:space="preserve">. La </w:t>
      </w:r>
      <w:r w:rsidRPr="00F255C4">
        <w:rPr>
          <w:rFonts w:eastAsia="Times New Roman"/>
          <w:lang w:val="es-ES_tradnl" w:eastAsia="es-CO"/>
        </w:rPr>
        <w:t>L</w:t>
      </w:r>
      <w:r w:rsidRPr="00F255C4">
        <w:rPr>
          <w:rFonts w:eastAsia="Times New Roman"/>
          <w:lang w:val="es-ES_tradnl" w:eastAsia="es-CO"/>
        </w:rPr>
        <w:t xml:space="preserve">ey 2300 de 2023 </w:t>
      </w:r>
      <w:r w:rsidRPr="00F255C4">
        <w:rPr>
          <w:rFonts w:eastAsia="Times New Roman"/>
          <w:i/>
          <w:iCs/>
          <w:lang w:val="es-ES_tradnl" w:eastAsia="es-CO"/>
        </w:rPr>
        <w:t>regula un asunto</w:t>
      </w:r>
      <w:r w:rsidRPr="00F255C4">
        <w:rPr>
          <w:rFonts w:eastAsia="Times New Roman"/>
          <w:lang w:val="es-ES_tradnl" w:eastAsia="es-CO"/>
        </w:rPr>
        <w:t xml:space="preserve"> que se vincula con diferentes materias constitucionalmente relevantes: la protección del consumidor (art. 78), la Constitución Económica (arts</w:t>
      </w:r>
      <w:r w:rsidRPr="00F255C4">
        <w:rPr>
          <w:rFonts w:eastAsia="Times New Roman"/>
          <w:lang w:val="es-ES_tradnl" w:eastAsia="es-CO"/>
        </w:rPr>
        <w:t>. 333, 334 y 335) y los derechos fundamentales a la intimidad, al habeas data y al buen nombre</w:t>
      </w:r>
      <w:r w:rsidRPr="00F255C4">
        <w:rPr>
          <w:rFonts w:eastAsia="Times New Roman"/>
          <w:lang w:val="es-ES_tradnl" w:eastAsia="es-CO"/>
        </w:rPr>
        <w:t xml:space="preserve"> (art. 15)</w:t>
      </w:r>
      <w:r w:rsidRPr="00F255C4">
        <w:rPr>
          <w:rFonts w:eastAsia="Times New Roman"/>
          <w:lang w:val="es-ES_tradnl" w:eastAsia="es-CO"/>
        </w:rPr>
        <w:t xml:space="preserve">. </w:t>
      </w:r>
      <w:r w:rsidRPr="00F255C4">
        <w:rPr>
          <w:rFonts w:eastAsia="Times New Roman"/>
          <w:bCs/>
          <w:lang w:val="es-ES_tradnl" w:eastAsia="es-CO"/>
        </w:rPr>
        <w:t>Segundo</w:t>
      </w:r>
      <w:r w:rsidRPr="00F255C4">
        <w:rPr>
          <w:rFonts w:eastAsia="Times New Roman"/>
          <w:lang w:val="es-ES_tradnl" w:eastAsia="es-CO"/>
        </w:rPr>
        <w:t>. La existencia de un vínculo temático con normas de derecho fundamental exige establecer si la materia de la que se ocupa la ley está o no com</w:t>
      </w:r>
      <w:r w:rsidRPr="00F255C4">
        <w:rPr>
          <w:rFonts w:eastAsia="Times New Roman"/>
          <w:lang w:val="es-ES_tradnl" w:eastAsia="es-CO"/>
        </w:rPr>
        <w:t xml:space="preserve">prendida por la reserva estatutaria prevista para los derechos fundamentales en el artículo 152.a. </w:t>
      </w:r>
      <w:r w:rsidRPr="00F255C4">
        <w:rPr>
          <w:rFonts w:eastAsia="Times New Roman"/>
          <w:bCs/>
          <w:lang w:val="es-ES_tradnl" w:eastAsia="es-CO"/>
        </w:rPr>
        <w:t>Tercero</w:t>
      </w:r>
      <w:r w:rsidRPr="00F255C4">
        <w:rPr>
          <w:rFonts w:eastAsia="Times New Roman"/>
          <w:lang w:val="es-ES_tradnl" w:eastAsia="es-CO"/>
        </w:rPr>
        <w:t>. La jurisprudencia ha establecido que para definir si una ley -o una de sus disposiciones- se encuentra cubierta por esa reserva es indispensable rea</w:t>
      </w:r>
      <w:r w:rsidRPr="00F255C4">
        <w:rPr>
          <w:rFonts w:eastAsia="Times New Roman"/>
          <w:lang w:val="es-ES_tradnl" w:eastAsia="es-CO"/>
        </w:rPr>
        <w:t>lizar un escrutinio de dos pasos. Inicialmente establecer si, en efecto, la legislación se encuentra vinculada con el ámbito de protección de derechos de esa naturaleza y, a continuación, definir si el tipo de relación existente constituye la regulación de</w:t>
      </w:r>
      <w:r w:rsidRPr="00F255C4">
        <w:rPr>
          <w:rFonts w:eastAsia="Times New Roman"/>
          <w:lang w:val="es-ES_tradnl" w:eastAsia="es-CO"/>
        </w:rPr>
        <w:t xml:space="preserve"> un derecho fundamental en el sentido del artículo 152.a de la Constitución. </w:t>
      </w:r>
      <w:r w:rsidRPr="00F255C4">
        <w:rPr>
          <w:rFonts w:eastAsia="Times New Roman"/>
          <w:bCs/>
          <w:lang w:val="es-ES_tradnl" w:eastAsia="es-CO"/>
        </w:rPr>
        <w:t>Cuarto</w:t>
      </w:r>
      <w:r w:rsidRPr="00F255C4">
        <w:rPr>
          <w:rFonts w:eastAsia="Times New Roman"/>
          <w:lang w:val="es-ES_tradnl" w:eastAsia="es-CO"/>
        </w:rPr>
        <w:t>. Las reglas relativas a las formas y condiciones en que los gestores de cobranza, proveedores y fabricantes se comunican con los consumidores es relevante desde la perspect</w:t>
      </w:r>
      <w:r w:rsidRPr="00F255C4">
        <w:rPr>
          <w:rFonts w:eastAsia="Times New Roman"/>
          <w:lang w:val="es-ES_tradnl" w:eastAsia="es-CO"/>
        </w:rPr>
        <w:t>iva de los derechos fundamentales. Sin embargo, la legislación acusada no se ocupa de regular total o parcialmente los elementos definitorios o estructurales de uno de tales derechos y, por ello, en este caso no se activa la reserva de ley estatutaria.</w:t>
      </w:r>
    </w:p>
    <w:p w:rsidR="001E4F8F" w:rsidRPr="00F255C4" w:rsidRDefault="00F255C4" w:rsidP="001E4F8F">
      <w:pPr>
        <w:pStyle w:val="Prrafodelista"/>
        <w:tabs>
          <w:tab w:val="left" w:pos="284"/>
          <w:tab w:val="right" w:pos="567"/>
          <w:tab w:val="left" w:pos="8222"/>
        </w:tabs>
        <w:ind w:left="0" w:right="-234"/>
        <w:jc w:val="both"/>
      </w:pPr>
    </w:p>
    <w:p w:rsidR="00F10B2E" w:rsidRPr="00F255C4" w:rsidRDefault="00F255C4" w:rsidP="00F10B2E">
      <w:pPr>
        <w:pStyle w:val="Prrafodelista"/>
        <w:numPr>
          <w:ilvl w:val="0"/>
          <w:numId w:val="2"/>
        </w:numPr>
        <w:tabs>
          <w:tab w:val="left" w:pos="284"/>
          <w:tab w:val="right" w:pos="567"/>
          <w:tab w:val="left" w:pos="8222"/>
        </w:tabs>
        <w:ind w:left="0" w:right="-234" w:firstLine="0"/>
        <w:jc w:val="both"/>
      </w:pPr>
      <w:r w:rsidRPr="00F255C4">
        <w:rPr>
          <w:shd w:val="clear" w:color="auto" w:fill="FFFFFF"/>
          <w:lang w:val="es-MX"/>
        </w:rPr>
        <w:t>El</w:t>
      </w:r>
      <w:r w:rsidRPr="00F255C4">
        <w:rPr>
          <w:shd w:val="clear" w:color="auto" w:fill="FFFFFF"/>
          <w:lang w:val="es-MX"/>
        </w:rPr>
        <w:t xml:space="preserve"> paso dado por el Congreso con la expedición de la Ley 2300, se enlaza con el interés de que las interacciones que el mercado promueve tengan lugar en un marco que se tome en serio la especial posición de los consumidores. En ese contexto es el legislador </w:t>
      </w:r>
      <w:r w:rsidRPr="00F255C4">
        <w:rPr>
          <w:shd w:val="clear" w:color="auto" w:fill="FFFFFF"/>
          <w:lang w:val="es-MX"/>
        </w:rPr>
        <w:t>ordinario quien tiene el protagonismo y, en consecuencia, la ley será declarada exequible</w:t>
      </w:r>
      <w:r w:rsidRPr="00F255C4">
        <w:rPr>
          <w:shd w:val="clear" w:color="auto" w:fill="FFFFFF"/>
          <w:lang w:val="es-MX"/>
        </w:rPr>
        <w:t xml:space="preserve"> únicamente por el cargo analizado.</w:t>
      </w:r>
      <w:r w:rsidRPr="00F255C4">
        <w:rPr>
          <w:shd w:val="clear" w:color="auto" w:fill="FFFFFF"/>
          <w:lang w:val="es-MX"/>
        </w:rPr>
        <w:t xml:space="preserve"> </w:t>
      </w:r>
    </w:p>
    <w:p w:rsidR="001E4F8F" w:rsidRPr="00F255C4" w:rsidRDefault="00F255C4" w:rsidP="007F6503">
      <w:pPr>
        <w:shd w:val="clear" w:color="auto" w:fill="FFFFFF"/>
        <w:spacing w:after="0" w:line="240" w:lineRule="auto"/>
        <w:ind w:right="-141"/>
        <w:jc w:val="both"/>
        <w:rPr>
          <w:rFonts w:ascii="Times New Roman" w:eastAsia="Times New Roman" w:hAnsi="Times New Roman" w:cs="Times New Roman"/>
          <w:sz w:val="28"/>
          <w:szCs w:val="28"/>
        </w:rPr>
      </w:pPr>
    </w:p>
    <w:p w:rsidR="00CB6F8A" w:rsidRPr="00F255C4" w:rsidRDefault="00F255C4" w:rsidP="00017162">
      <w:pPr>
        <w:pStyle w:val="Prrafodelista"/>
        <w:numPr>
          <w:ilvl w:val="0"/>
          <w:numId w:val="1"/>
        </w:numPr>
        <w:tabs>
          <w:tab w:val="left" w:pos="426"/>
          <w:tab w:val="left" w:pos="8222"/>
          <w:tab w:val="right" w:pos="8647"/>
        </w:tabs>
        <w:autoSpaceDE/>
        <w:autoSpaceDN/>
        <w:ind w:left="0" w:right="-234" w:firstLine="0"/>
        <w:contextualSpacing/>
        <w:rPr>
          <w:lang w:val="es-ES_tradnl"/>
        </w:rPr>
      </w:pPr>
      <w:r w:rsidRPr="00F255C4">
        <w:rPr>
          <w:b/>
          <w:lang w:val="es-ES_tradnl"/>
        </w:rPr>
        <w:t xml:space="preserve">Antecedentes </w:t>
      </w:r>
    </w:p>
    <w:p w:rsidR="00CB6F8A" w:rsidRPr="00F255C4" w:rsidRDefault="00F255C4" w:rsidP="00EB0D70">
      <w:pPr>
        <w:pStyle w:val="Prrafodelista"/>
        <w:tabs>
          <w:tab w:val="left" w:pos="426"/>
          <w:tab w:val="left" w:pos="8222"/>
          <w:tab w:val="right" w:pos="8647"/>
        </w:tabs>
        <w:ind w:left="0" w:right="-234"/>
        <w:rPr>
          <w:b/>
          <w:lang w:val="es-ES_tradnl"/>
        </w:rPr>
      </w:pPr>
    </w:p>
    <w:p w:rsidR="00CB6F8A" w:rsidRPr="00F255C4" w:rsidRDefault="00F255C4" w:rsidP="00EB0D70">
      <w:pPr>
        <w:pStyle w:val="Prrafodelista"/>
        <w:numPr>
          <w:ilvl w:val="0"/>
          <w:numId w:val="2"/>
        </w:numPr>
        <w:tabs>
          <w:tab w:val="left" w:pos="284"/>
          <w:tab w:val="left" w:pos="8222"/>
          <w:tab w:val="right" w:pos="8647"/>
        </w:tabs>
        <w:ind w:left="0" w:right="-234" w:firstLine="0"/>
        <w:jc w:val="both"/>
        <w:rPr>
          <w:b/>
          <w:lang w:val="es-ES_tradnl"/>
        </w:rPr>
      </w:pPr>
      <w:r w:rsidRPr="00F255C4">
        <w:rPr>
          <w:bCs/>
          <w:lang w:val="es-ES_tradnl"/>
        </w:rPr>
        <w:t xml:space="preserve">La ciudadana </w:t>
      </w:r>
      <w:r w:rsidRPr="00F255C4">
        <w:t xml:space="preserve">Gilma del Carmen Ávila Tordecilla presentó demanda de inconstitucionalidad en contra de la Ley 2300 de 2023 “por medio de la cual se establecen medidas que protejan el derecho a la intimidad de los consumidores”. Luego de surtir el trámite correspondiente </w:t>
      </w:r>
      <w:r w:rsidRPr="00F255C4">
        <w:t xml:space="preserve">se dispuso la admisión de un único cargo en contra de la totalidad de la referida ley. </w:t>
      </w:r>
    </w:p>
    <w:p w:rsidR="00BD309B" w:rsidRPr="00F255C4" w:rsidRDefault="00F255C4" w:rsidP="00EB0D70">
      <w:pPr>
        <w:pStyle w:val="Prrafodelista"/>
        <w:tabs>
          <w:tab w:val="left" w:pos="426"/>
        </w:tabs>
        <w:autoSpaceDE/>
        <w:autoSpaceDN/>
        <w:ind w:left="0"/>
        <w:contextualSpacing/>
        <w:rPr>
          <w:b/>
          <w:bCs/>
          <w:lang w:val="es-ES_tradnl"/>
        </w:rPr>
      </w:pPr>
    </w:p>
    <w:p w:rsidR="00017162" w:rsidRPr="00F255C4" w:rsidRDefault="00F255C4" w:rsidP="00017162">
      <w:pPr>
        <w:pStyle w:val="Prrafodelista"/>
        <w:numPr>
          <w:ilvl w:val="0"/>
          <w:numId w:val="1"/>
        </w:numPr>
        <w:tabs>
          <w:tab w:val="left" w:pos="426"/>
          <w:tab w:val="left" w:pos="8222"/>
          <w:tab w:val="right" w:pos="8647"/>
        </w:tabs>
        <w:autoSpaceDE/>
        <w:autoSpaceDN/>
        <w:ind w:left="0" w:right="-234" w:firstLine="0"/>
        <w:contextualSpacing/>
        <w:rPr>
          <w:b/>
          <w:bCs/>
          <w:lang w:val="es-ES_tradnl"/>
        </w:rPr>
      </w:pPr>
      <w:r w:rsidRPr="00F255C4">
        <w:rPr>
          <w:b/>
          <w:bCs/>
          <w:lang w:val="es-ES_tradnl"/>
        </w:rPr>
        <w:t xml:space="preserve"> Texto de </w:t>
      </w:r>
      <w:r w:rsidRPr="00F255C4">
        <w:rPr>
          <w:b/>
          <w:bCs/>
          <w:lang w:val="es-ES_tradnl"/>
        </w:rPr>
        <w:t xml:space="preserve">la </w:t>
      </w:r>
      <w:r w:rsidRPr="00F255C4">
        <w:rPr>
          <w:b/>
          <w:bCs/>
          <w:lang w:val="es-ES_tradnl"/>
        </w:rPr>
        <w:t>ley demandada</w:t>
      </w:r>
    </w:p>
    <w:p w:rsidR="00017162" w:rsidRPr="00F255C4" w:rsidRDefault="00F255C4" w:rsidP="00017162">
      <w:pPr>
        <w:pStyle w:val="Prrafodelista"/>
        <w:rPr>
          <w:bCs/>
          <w:lang w:val="es-ES_tradnl"/>
        </w:rPr>
      </w:pPr>
    </w:p>
    <w:p w:rsidR="00BD309B" w:rsidRPr="00F255C4" w:rsidRDefault="00F255C4" w:rsidP="00A835D2">
      <w:pPr>
        <w:pStyle w:val="Prrafodelista"/>
        <w:numPr>
          <w:ilvl w:val="0"/>
          <w:numId w:val="2"/>
        </w:numPr>
        <w:tabs>
          <w:tab w:val="left" w:pos="284"/>
          <w:tab w:val="left" w:pos="8222"/>
          <w:tab w:val="right" w:pos="8647"/>
        </w:tabs>
        <w:ind w:left="0" w:right="-234" w:firstLine="0"/>
        <w:jc w:val="both"/>
        <w:rPr>
          <w:bCs/>
          <w:lang w:val="es-ES_tradnl"/>
        </w:rPr>
      </w:pPr>
      <w:r w:rsidRPr="00F255C4">
        <w:rPr>
          <w:bCs/>
          <w:lang w:val="es-ES_tradnl"/>
        </w:rPr>
        <w:t xml:space="preserve">La acusación se dirige en contra </w:t>
      </w:r>
      <w:r w:rsidRPr="00F255C4">
        <w:rPr>
          <w:bCs/>
          <w:lang w:val="es-ES_tradnl"/>
        </w:rPr>
        <w:t xml:space="preserve">de </w:t>
      </w:r>
      <w:r w:rsidRPr="00F255C4">
        <w:rPr>
          <w:bCs/>
          <w:lang w:val="es-ES_tradnl"/>
        </w:rPr>
        <w:t xml:space="preserve">la </w:t>
      </w:r>
      <w:r w:rsidRPr="00F255C4">
        <w:rPr>
          <w:bCs/>
          <w:lang w:val="es-ES_tradnl"/>
        </w:rPr>
        <w:t>L</w:t>
      </w:r>
      <w:r w:rsidRPr="00F255C4">
        <w:rPr>
          <w:bCs/>
          <w:lang w:val="es-ES_tradnl"/>
        </w:rPr>
        <w:t>ey 2300 de 2023 cuyo texto se transcribe a continuación.</w:t>
      </w:r>
    </w:p>
    <w:p w:rsidR="00CB6F8A" w:rsidRPr="00F255C4" w:rsidRDefault="00F255C4" w:rsidP="00EB0D70">
      <w:pPr>
        <w:pStyle w:val="Prrafodelista"/>
        <w:tabs>
          <w:tab w:val="left" w:pos="426"/>
        </w:tabs>
        <w:ind w:left="0"/>
        <w:rPr>
          <w:szCs w:val="24"/>
          <w:lang w:val="es-ES_tradnl"/>
        </w:rPr>
      </w:pPr>
    </w:p>
    <w:p w:rsidR="00BD309B" w:rsidRPr="00F255C4" w:rsidRDefault="00F255C4" w:rsidP="00EB0D70">
      <w:pPr>
        <w:pStyle w:val="NormalWeb"/>
        <w:spacing w:before="0" w:beforeAutospacing="0" w:after="0" w:afterAutospacing="0"/>
        <w:ind w:left="567" w:right="333"/>
        <w:jc w:val="center"/>
        <w:rPr>
          <w:b/>
          <w:bCs/>
          <w:sz w:val="28"/>
        </w:rPr>
      </w:pPr>
      <w:r w:rsidRPr="00F255C4">
        <w:rPr>
          <w:b/>
          <w:bCs/>
          <w:sz w:val="28"/>
        </w:rPr>
        <w:t>LEY 2300 DE 2023</w:t>
      </w:r>
    </w:p>
    <w:p w:rsidR="00BD309B" w:rsidRPr="00F255C4" w:rsidRDefault="00F255C4" w:rsidP="00EB0D70">
      <w:pPr>
        <w:pStyle w:val="NormalWeb"/>
        <w:spacing w:before="0" w:beforeAutospacing="0" w:after="0" w:afterAutospacing="0"/>
        <w:ind w:left="567" w:right="333"/>
        <w:jc w:val="center"/>
        <w:rPr>
          <w:sz w:val="28"/>
        </w:rPr>
      </w:pPr>
      <w:r w:rsidRPr="00F255C4">
        <w:rPr>
          <w:sz w:val="28"/>
        </w:rPr>
        <w:t>(julio 10)</w:t>
      </w:r>
    </w:p>
    <w:p w:rsidR="00BD309B" w:rsidRPr="00F255C4" w:rsidRDefault="00F255C4" w:rsidP="00EB0D70">
      <w:pPr>
        <w:pStyle w:val="NormalWeb"/>
        <w:spacing w:before="0" w:beforeAutospacing="0" w:after="0" w:afterAutospacing="0"/>
        <w:ind w:left="567" w:right="333"/>
        <w:jc w:val="center"/>
        <w:rPr>
          <w:sz w:val="28"/>
        </w:rPr>
      </w:pPr>
      <w:r w:rsidRPr="00F255C4">
        <w:rPr>
          <w:b/>
          <w:bCs/>
          <w:sz w:val="28"/>
        </w:rPr>
        <w:t xml:space="preserve">por medio de </w:t>
      </w:r>
      <w:r w:rsidRPr="00F255C4">
        <w:rPr>
          <w:b/>
          <w:bCs/>
          <w:sz w:val="28"/>
        </w:rPr>
        <w:t>la cual se establecen medidas que protejan el derecho a la intimidad de los consumidores.</w:t>
      </w:r>
    </w:p>
    <w:p w:rsidR="00BD309B" w:rsidRPr="00F255C4" w:rsidRDefault="00F255C4" w:rsidP="00EB0D70">
      <w:pPr>
        <w:pStyle w:val="NormalWeb"/>
        <w:spacing w:before="0" w:beforeAutospacing="0" w:after="0" w:afterAutospacing="0"/>
        <w:ind w:left="567" w:right="333"/>
        <w:jc w:val="center"/>
        <w:rPr>
          <w:sz w:val="28"/>
        </w:rPr>
      </w:pPr>
      <w:bookmarkStart w:id="2" w:name="ver_30307765"/>
      <w:bookmarkEnd w:id="2"/>
    </w:p>
    <w:p w:rsidR="00BD309B" w:rsidRPr="00F255C4" w:rsidRDefault="00F255C4" w:rsidP="00EB0D70">
      <w:pPr>
        <w:pStyle w:val="NormalWeb"/>
        <w:spacing w:before="0" w:beforeAutospacing="0" w:after="0" w:afterAutospacing="0"/>
        <w:ind w:left="567" w:right="333"/>
        <w:jc w:val="center"/>
        <w:rPr>
          <w:sz w:val="28"/>
        </w:rPr>
      </w:pPr>
      <w:r w:rsidRPr="00F255C4">
        <w:rPr>
          <w:sz w:val="28"/>
        </w:rPr>
        <w:t>El Congreso de Colombia, </w:t>
      </w:r>
    </w:p>
    <w:p w:rsidR="00BD309B" w:rsidRPr="00F255C4" w:rsidRDefault="00F255C4" w:rsidP="00EB0D70">
      <w:pPr>
        <w:pStyle w:val="NormalWeb"/>
        <w:spacing w:before="0" w:beforeAutospacing="0" w:after="0" w:afterAutospacing="0"/>
        <w:ind w:left="567" w:right="333"/>
        <w:jc w:val="center"/>
        <w:rPr>
          <w:sz w:val="28"/>
        </w:rPr>
      </w:pPr>
      <w:r w:rsidRPr="00F255C4">
        <w:rPr>
          <w:sz w:val="28"/>
        </w:rPr>
        <w:t>    </w:t>
      </w:r>
    </w:p>
    <w:p w:rsidR="00BD309B" w:rsidRPr="00F255C4" w:rsidRDefault="00F255C4" w:rsidP="00EB0D70">
      <w:pPr>
        <w:pStyle w:val="NormalWeb"/>
        <w:spacing w:before="0" w:beforeAutospacing="0" w:after="0" w:afterAutospacing="0"/>
        <w:ind w:left="567" w:right="333"/>
        <w:jc w:val="center"/>
        <w:rPr>
          <w:sz w:val="28"/>
        </w:rPr>
      </w:pPr>
      <w:r w:rsidRPr="00F255C4">
        <w:rPr>
          <w:rStyle w:val="Textoennegrita"/>
          <w:sz w:val="28"/>
        </w:rPr>
        <w:t>DECRETA: </w:t>
      </w:r>
      <w:r w:rsidRPr="00F255C4">
        <w:rPr>
          <w:sz w:val="28"/>
        </w:rPr>
        <w:t> </w:t>
      </w:r>
      <w:bookmarkStart w:id="3" w:name="ver_30307766"/>
      <w:bookmarkEnd w:id="3"/>
    </w:p>
    <w:p w:rsidR="00BD309B" w:rsidRPr="00F255C4" w:rsidRDefault="00F255C4" w:rsidP="00EB0D70">
      <w:pPr>
        <w:pStyle w:val="NormalWeb"/>
        <w:spacing w:before="0" w:beforeAutospacing="0" w:after="0" w:afterAutospacing="0"/>
        <w:ind w:left="567" w:right="333"/>
        <w:jc w:val="center"/>
        <w:rPr>
          <w:sz w:val="28"/>
        </w:rPr>
      </w:pPr>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Artículo 1°. </w:t>
      </w:r>
      <w:r w:rsidRPr="00F255C4">
        <w:rPr>
          <w:rStyle w:val="nfasis"/>
          <w:b/>
          <w:bCs/>
          <w:sz w:val="28"/>
        </w:rPr>
        <w:t>Objeto</w:t>
      </w:r>
      <w:r w:rsidRPr="00F255C4">
        <w:rPr>
          <w:rStyle w:val="Textoennegrita"/>
          <w:sz w:val="28"/>
        </w:rPr>
        <w:t>.</w:t>
      </w:r>
      <w:r w:rsidRPr="00F255C4">
        <w:rPr>
          <w:sz w:val="28"/>
        </w:rPr>
        <w:t xml:space="preserve"> La presente ley tiene por objeto proteger el derecho a la intimidad de los consumidores, </w:t>
      </w:r>
      <w:r w:rsidRPr="00F255C4">
        <w:rPr>
          <w:sz w:val="28"/>
        </w:rPr>
        <w:t xml:space="preserve">estableciendo los canales, el horario y la periodicidad en la que estos pueden ser contactados por las entidades vigiladas por la Superintendencia Financiera y todas las personas naturales y jurídicas que adelanten gestiones de cobranzas de forma directa, </w:t>
      </w:r>
      <w:r w:rsidRPr="00F255C4">
        <w:rPr>
          <w:sz w:val="28"/>
        </w:rPr>
        <w:t>por medio de terceros o por cesión de la obligación. </w:t>
      </w:r>
    </w:p>
    <w:p w:rsidR="00BD309B" w:rsidRPr="00F255C4" w:rsidRDefault="00F255C4" w:rsidP="00EB0D70">
      <w:pPr>
        <w:pStyle w:val="NormalWeb"/>
        <w:spacing w:before="0" w:beforeAutospacing="0" w:after="0" w:afterAutospacing="0"/>
        <w:ind w:left="567" w:right="333"/>
        <w:jc w:val="both"/>
        <w:rPr>
          <w:sz w:val="28"/>
        </w:rPr>
      </w:pPr>
      <w:r w:rsidRPr="00F255C4">
        <w:rPr>
          <w:sz w:val="28"/>
        </w:rPr>
        <w:t>  </w:t>
      </w:r>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Parágrafo.</w:t>
      </w:r>
      <w:r w:rsidRPr="00F255C4">
        <w:rPr>
          <w:sz w:val="28"/>
        </w:rPr>
        <w:t> Las disposiciones aquí señaladas serán aplicadas por todas las personas naturales y jurídicas que adelanten gestiones de cobranza de forma directa, por tercerización o por cesión de la obl</w:t>
      </w:r>
      <w:r w:rsidRPr="00F255C4">
        <w:rPr>
          <w:sz w:val="28"/>
        </w:rPr>
        <w:t>igación financiera o crediticia. </w:t>
      </w:r>
    </w:p>
    <w:p w:rsidR="00BD309B" w:rsidRPr="00F255C4" w:rsidRDefault="00F255C4" w:rsidP="00EB0D70">
      <w:pPr>
        <w:spacing w:after="0" w:line="240" w:lineRule="auto"/>
        <w:ind w:left="567" w:right="333"/>
        <w:jc w:val="both"/>
        <w:rPr>
          <w:rFonts w:ascii="Times New Roman" w:hAnsi="Times New Roman" w:cs="Times New Roman"/>
          <w:sz w:val="28"/>
          <w:szCs w:val="24"/>
        </w:rPr>
      </w:pPr>
      <w:bookmarkStart w:id="4" w:name="ver_30307767"/>
      <w:bookmarkEnd w:id="4"/>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Artículo 2°. </w:t>
      </w:r>
      <w:r w:rsidRPr="00F255C4">
        <w:rPr>
          <w:rStyle w:val="nfasis"/>
          <w:b/>
          <w:bCs/>
          <w:sz w:val="28"/>
        </w:rPr>
        <w:t>Canales autorizados.</w:t>
      </w:r>
      <w:r w:rsidRPr="00F255C4">
        <w:rPr>
          <w:sz w:val="28"/>
        </w:rPr>
        <w:t> Las entidades vigiladas por la Superintendencia Financiera y todas las personas naturales y jurídicas que ejerzan actividades de cobranza sólo podrán contactar a los consumidores mediante</w:t>
      </w:r>
      <w:r w:rsidRPr="00F255C4">
        <w:rPr>
          <w:sz w:val="28"/>
        </w:rPr>
        <w:t xml:space="preserve"> los canales que estos autoricen para tal efecto; los cuales deberán ser informados y socializados previamente por parte de las entidades de cobranza con el fin de que los consumidores elijan cuáles autoriza. </w:t>
      </w:r>
    </w:p>
    <w:p w:rsidR="00BD309B" w:rsidRPr="00F255C4" w:rsidRDefault="00F255C4" w:rsidP="00EB0D70">
      <w:pPr>
        <w:spacing w:after="0" w:line="240" w:lineRule="auto"/>
        <w:ind w:left="567" w:right="333"/>
        <w:jc w:val="both"/>
        <w:rPr>
          <w:rFonts w:ascii="Times New Roman" w:hAnsi="Times New Roman" w:cs="Times New Roman"/>
          <w:sz w:val="28"/>
          <w:szCs w:val="24"/>
        </w:rPr>
      </w:pPr>
      <w:bookmarkStart w:id="5" w:name="ver_30307768"/>
      <w:bookmarkEnd w:id="5"/>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Artículo 3°. </w:t>
      </w:r>
      <w:r w:rsidRPr="00F255C4">
        <w:rPr>
          <w:rStyle w:val="nfasis"/>
          <w:b/>
          <w:bCs/>
          <w:sz w:val="28"/>
        </w:rPr>
        <w:t>Horarios y periodicidad.</w:t>
      </w:r>
      <w:r w:rsidRPr="00F255C4">
        <w:rPr>
          <w:sz w:val="28"/>
        </w:rPr>
        <w:t> Una vez</w:t>
      </w:r>
      <w:r w:rsidRPr="00F255C4">
        <w:rPr>
          <w:sz w:val="28"/>
        </w:rPr>
        <w:t xml:space="preserve"> establecido un contacto directo con el consumidor, este no podrá ser contactado por parte de gestores de cobranza mediante varios canales dentro de una misma semana ni en más de una ocasión durante el mismo día. </w:t>
      </w:r>
    </w:p>
    <w:p w:rsidR="00BD309B" w:rsidRPr="00F255C4" w:rsidRDefault="00F255C4" w:rsidP="00EB0D70">
      <w:pPr>
        <w:pStyle w:val="NormalWeb"/>
        <w:spacing w:before="0" w:beforeAutospacing="0" w:after="0" w:afterAutospacing="0"/>
        <w:ind w:left="567" w:right="333"/>
        <w:jc w:val="both"/>
        <w:rPr>
          <w:sz w:val="28"/>
        </w:rPr>
      </w:pPr>
      <w:r w:rsidRPr="00F255C4">
        <w:rPr>
          <w:sz w:val="28"/>
        </w:rPr>
        <w:t>  </w:t>
      </w:r>
    </w:p>
    <w:p w:rsidR="00BD309B" w:rsidRPr="00F255C4" w:rsidRDefault="00F255C4" w:rsidP="00EB0D70">
      <w:pPr>
        <w:pStyle w:val="NormalWeb"/>
        <w:spacing w:before="0" w:beforeAutospacing="0" w:after="0" w:afterAutospacing="0"/>
        <w:ind w:left="567" w:right="333"/>
        <w:jc w:val="both"/>
        <w:rPr>
          <w:sz w:val="28"/>
        </w:rPr>
      </w:pPr>
      <w:r w:rsidRPr="00F255C4">
        <w:rPr>
          <w:sz w:val="28"/>
        </w:rPr>
        <w:t>Las prácticas de cobranza deberán reali</w:t>
      </w:r>
      <w:r w:rsidRPr="00F255C4">
        <w:rPr>
          <w:sz w:val="28"/>
        </w:rPr>
        <w:t>zarse de manera respetuosa y sin afectar la intimidad personal ni familiar del consumidor, dentro del horario de lunes a viernes y de 7:00 a. m. a 7:00 p. m., y sábados de 8:00 a. m. a 3:00 p. m., excluyendo cualquier tipo de contacto con el consumidor los</w:t>
      </w:r>
      <w:r w:rsidRPr="00F255C4">
        <w:rPr>
          <w:sz w:val="28"/>
        </w:rPr>
        <w:t xml:space="preserve"> domingos y días festivos. </w:t>
      </w:r>
    </w:p>
    <w:p w:rsidR="00BD309B" w:rsidRPr="00F255C4" w:rsidRDefault="00F255C4" w:rsidP="00EB0D70">
      <w:pPr>
        <w:pStyle w:val="NormalWeb"/>
        <w:spacing w:before="0" w:beforeAutospacing="0" w:after="0" w:afterAutospacing="0"/>
        <w:ind w:left="567" w:right="333"/>
        <w:jc w:val="both"/>
        <w:rPr>
          <w:sz w:val="28"/>
        </w:rPr>
      </w:pPr>
      <w:r w:rsidRPr="00F255C4">
        <w:rPr>
          <w:sz w:val="28"/>
        </w:rPr>
        <w:t>  </w:t>
      </w:r>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Parágrafo. </w:t>
      </w:r>
      <w:r w:rsidRPr="00F255C4">
        <w:rPr>
          <w:sz w:val="28"/>
        </w:rPr>
        <w:t>En caso de que el consumidor requiera ser contactado en horarios distintos a los establecidos en el presente artículo, deberá manifestarlo expresamente a través de un instrumento distinto al contrato o acto que rig</w:t>
      </w:r>
      <w:r w:rsidRPr="00F255C4">
        <w:rPr>
          <w:sz w:val="28"/>
        </w:rPr>
        <w:t>e la relación jurídica entre el consumidor y el gestor de cobranza y posterior a la suscripción del mismo. </w:t>
      </w:r>
    </w:p>
    <w:p w:rsidR="00BD309B" w:rsidRPr="00F255C4" w:rsidRDefault="00F255C4" w:rsidP="00EB0D70">
      <w:pPr>
        <w:spacing w:after="0" w:line="240" w:lineRule="auto"/>
        <w:ind w:left="567" w:right="333"/>
        <w:jc w:val="both"/>
        <w:rPr>
          <w:rFonts w:ascii="Times New Roman" w:hAnsi="Times New Roman" w:cs="Times New Roman"/>
          <w:sz w:val="28"/>
          <w:szCs w:val="24"/>
        </w:rPr>
      </w:pPr>
      <w:bookmarkStart w:id="6" w:name="ver_30307769"/>
      <w:bookmarkEnd w:id="6"/>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Artículo 4°. </w:t>
      </w:r>
      <w:r w:rsidRPr="00F255C4">
        <w:rPr>
          <w:sz w:val="28"/>
        </w:rPr>
        <w:t>En ningún caso, las entidades vigiladas por la Superintendencia Financiera y todas las entidades que adelanten gestiones de cobranza d</w:t>
      </w:r>
      <w:r w:rsidRPr="00F255C4">
        <w:rPr>
          <w:sz w:val="28"/>
        </w:rPr>
        <w:t>e forma directa, por medio de terceros o por cesión de la obligación incluyendo a las personas naturales; podrán contactar a las referencias personales o de otra índole. Al avalista, codeudor o deudor solidario se le contactará en la misma condición que es</w:t>
      </w:r>
      <w:r w:rsidRPr="00F255C4">
        <w:rPr>
          <w:sz w:val="28"/>
        </w:rPr>
        <w:t>tablece la presente ley. </w:t>
      </w:r>
    </w:p>
    <w:p w:rsidR="00BD309B" w:rsidRPr="00F255C4" w:rsidRDefault="00F255C4" w:rsidP="00EB0D70">
      <w:pPr>
        <w:spacing w:after="0" w:line="240" w:lineRule="auto"/>
        <w:ind w:left="567" w:right="333"/>
        <w:jc w:val="both"/>
        <w:rPr>
          <w:rFonts w:ascii="Times New Roman" w:hAnsi="Times New Roman" w:cs="Times New Roman"/>
          <w:sz w:val="28"/>
          <w:szCs w:val="24"/>
        </w:rPr>
      </w:pPr>
      <w:bookmarkStart w:id="7" w:name="ver_30307770"/>
      <w:bookmarkEnd w:id="7"/>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Artículo 5°.</w:t>
      </w:r>
      <w:r w:rsidRPr="00F255C4">
        <w:rPr>
          <w:sz w:val="28"/>
        </w:rPr>
        <w:t xml:space="preserve"> Lo dispuesto en la presente ley se aplicará en los mismos términos a las relaciones comerciales entre los productores y proveedores de bienes y servicios privados o públicos y el consumidor comercial frente al envío </w:t>
      </w:r>
      <w:r w:rsidRPr="00F255C4">
        <w:rPr>
          <w:sz w:val="28"/>
        </w:rPr>
        <w:t>de mensajes publicitarios a través de Mensajes Cortos de Texto (SMS), mensajería por aplicaciones o web, correos electrónicos y llamadas telefónicas de carácter comercial o publicitario. </w:t>
      </w:r>
    </w:p>
    <w:p w:rsidR="00BD309B" w:rsidRPr="00F255C4" w:rsidRDefault="00F255C4" w:rsidP="00EB0D70">
      <w:pPr>
        <w:pStyle w:val="NormalWeb"/>
        <w:spacing w:before="0" w:beforeAutospacing="0" w:after="0" w:afterAutospacing="0"/>
        <w:ind w:left="567" w:right="333"/>
        <w:jc w:val="both"/>
        <w:rPr>
          <w:sz w:val="28"/>
        </w:rPr>
      </w:pPr>
      <w:r w:rsidRPr="00F255C4">
        <w:rPr>
          <w:sz w:val="28"/>
        </w:rPr>
        <w:t>  </w:t>
      </w:r>
    </w:p>
    <w:p w:rsidR="00BD309B" w:rsidRPr="00F255C4" w:rsidRDefault="00F255C4" w:rsidP="00EB0D70">
      <w:pPr>
        <w:pStyle w:val="NormalWeb"/>
        <w:spacing w:before="0" w:beforeAutospacing="0" w:after="0" w:afterAutospacing="0"/>
        <w:ind w:left="567" w:right="333"/>
        <w:jc w:val="both"/>
        <w:rPr>
          <w:sz w:val="28"/>
        </w:rPr>
      </w:pPr>
      <w:r w:rsidRPr="00F255C4">
        <w:rPr>
          <w:sz w:val="28"/>
        </w:rPr>
        <w:t>El Gobierno nacional a través del Ministerio de las Tecnologías d</w:t>
      </w:r>
      <w:r w:rsidRPr="00F255C4">
        <w:rPr>
          <w:sz w:val="28"/>
        </w:rPr>
        <w:t>e la Información y las Comunicaciones coordinará con la Comisión de Regulación de Comunicaciones la implementación de las medidas técnicas necesarias para adaptar el Registro de Números Excluidos conforme lo establecido en la presente ley con un plazo de s</w:t>
      </w:r>
      <w:r w:rsidRPr="00F255C4">
        <w:rPr>
          <w:sz w:val="28"/>
        </w:rPr>
        <w:t>eis (6) meses. </w:t>
      </w:r>
    </w:p>
    <w:p w:rsidR="00BD309B" w:rsidRPr="00F255C4" w:rsidRDefault="00F255C4" w:rsidP="00EB0D70">
      <w:pPr>
        <w:pStyle w:val="NormalWeb"/>
        <w:spacing w:before="0" w:beforeAutospacing="0" w:after="0" w:afterAutospacing="0"/>
        <w:ind w:left="567" w:right="333"/>
        <w:jc w:val="both"/>
        <w:rPr>
          <w:sz w:val="28"/>
        </w:rPr>
      </w:pPr>
      <w:r w:rsidRPr="00F255C4">
        <w:rPr>
          <w:sz w:val="28"/>
        </w:rPr>
        <w:t>  </w:t>
      </w:r>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Parágrafo 1°</w:t>
      </w:r>
      <w:r w:rsidRPr="00F255C4">
        <w:rPr>
          <w:sz w:val="28"/>
        </w:rPr>
        <w:t>. Lo anterior sin perjuicio de acciones discriminatorias que condicionen el ingreso o retiro de la lista para acceder a los bienes y servicios. </w:t>
      </w:r>
    </w:p>
    <w:p w:rsidR="00BD309B" w:rsidRPr="00F255C4" w:rsidRDefault="00F255C4" w:rsidP="00EB0D70">
      <w:pPr>
        <w:pStyle w:val="NormalWeb"/>
        <w:spacing w:before="0" w:beforeAutospacing="0" w:after="0" w:afterAutospacing="0"/>
        <w:ind w:left="567" w:right="333"/>
        <w:jc w:val="both"/>
        <w:rPr>
          <w:sz w:val="28"/>
        </w:rPr>
      </w:pPr>
      <w:r w:rsidRPr="00F255C4">
        <w:rPr>
          <w:sz w:val="28"/>
        </w:rPr>
        <w:t>  </w:t>
      </w:r>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Parágrafo 2°.</w:t>
      </w:r>
      <w:r w:rsidRPr="00F255C4">
        <w:rPr>
          <w:sz w:val="28"/>
        </w:rPr>
        <w:t xml:space="preserve"> Cuando se realice una transacción comercial de bienes o </w:t>
      </w:r>
      <w:r w:rsidRPr="00F255C4">
        <w:rPr>
          <w:sz w:val="28"/>
        </w:rPr>
        <w:t>servicios, o se ingrese a un edificio o local, no podrá obligarse al consumidor a aceptar recibir mensajes comerciales de ninguna índole, salvo aquellos asuntos estrictamente relacionados con el bien o servicio adquirido. Cuando se trate de. promociones pa</w:t>
      </w:r>
      <w:r w:rsidRPr="00F255C4">
        <w:rPr>
          <w:sz w:val="28"/>
        </w:rPr>
        <w:t>ra alimentar bases de datos, el consumidor deberá saberlo y aceptarlo de manera explícita. El emisor del mensaje deberá habilitar y disponer de un mecanismo ágil, sencillo y eficiente para cancelar en cualquier momento la recepción de mensajes y correos, s</w:t>
      </w:r>
      <w:r w:rsidRPr="00F255C4">
        <w:rPr>
          <w:sz w:val="28"/>
        </w:rPr>
        <w:t>iempre y cuando no exista el deber contractual de permanecer en la respectiva base de datos de cobro. </w:t>
      </w:r>
    </w:p>
    <w:p w:rsidR="00BD309B" w:rsidRPr="00F255C4" w:rsidRDefault="00F255C4" w:rsidP="00EB0D70">
      <w:pPr>
        <w:pStyle w:val="NormalWeb"/>
        <w:spacing w:before="0" w:beforeAutospacing="0" w:after="0" w:afterAutospacing="0"/>
        <w:ind w:left="567" w:right="333"/>
        <w:jc w:val="both"/>
        <w:rPr>
          <w:sz w:val="28"/>
        </w:rPr>
      </w:pPr>
      <w:r w:rsidRPr="00F255C4">
        <w:rPr>
          <w:sz w:val="28"/>
        </w:rPr>
        <w:t>  </w:t>
      </w:r>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Parágrafo 3°</w:t>
      </w:r>
      <w:r w:rsidRPr="00F255C4">
        <w:rPr>
          <w:sz w:val="28"/>
        </w:rPr>
        <w:t>. En todo caso el envío de mensajes publicitarios a través de Mensajes Cortos de Texto (SMS), mensajería por aplicaciones o web, correos e</w:t>
      </w:r>
      <w:r w:rsidRPr="00F255C4">
        <w:rPr>
          <w:sz w:val="28"/>
        </w:rPr>
        <w:t>lectrónicos y que realicen llamadas telefónicas de carácter comercial o publicitario, solo podrán hacerlo por dentro de los horarios establecidos en el artículo 3°. </w:t>
      </w:r>
    </w:p>
    <w:p w:rsidR="00BD309B" w:rsidRPr="00F255C4" w:rsidRDefault="00F255C4" w:rsidP="00EB0D70">
      <w:pPr>
        <w:spacing w:after="0" w:line="240" w:lineRule="auto"/>
        <w:ind w:left="567" w:right="333"/>
        <w:jc w:val="both"/>
        <w:rPr>
          <w:rFonts w:ascii="Times New Roman" w:hAnsi="Times New Roman" w:cs="Times New Roman"/>
          <w:sz w:val="28"/>
          <w:szCs w:val="24"/>
        </w:rPr>
      </w:pPr>
      <w:bookmarkStart w:id="8" w:name="ver_30307771"/>
      <w:bookmarkEnd w:id="8"/>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Artículo 6°.</w:t>
      </w:r>
      <w:r w:rsidRPr="00F255C4">
        <w:rPr>
          <w:sz w:val="28"/>
        </w:rPr>
        <w:t> Las personas naturales y jurídicas se abstendrán de adelantar gestiones de c</w:t>
      </w:r>
      <w:r w:rsidRPr="00F255C4">
        <w:rPr>
          <w:sz w:val="28"/>
        </w:rPr>
        <w:t>obranza mediante visitas al domicilio o lugar de trabajo del consumidor financiero o de servicios. </w:t>
      </w:r>
    </w:p>
    <w:p w:rsidR="00BD309B" w:rsidRPr="00F255C4" w:rsidRDefault="00F255C4" w:rsidP="00EB0D70">
      <w:pPr>
        <w:pStyle w:val="NormalWeb"/>
        <w:spacing w:before="0" w:beforeAutospacing="0" w:after="0" w:afterAutospacing="0"/>
        <w:ind w:left="567" w:right="333"/>
        <w:jc w:val="both"/>
        <w:rPr>
          <w:sz w:val="28"/>
        </w:rPr>
      </w:pPr>
      <w:r w:rsidRPr="00F255C4">
        <w:rPr>
          <w:sz w:val="28"/>
        </w:rPr>
        <w:t>  </w:t>
      </w:r>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Parágrafo 1°</w:t>
      </w:r>
      <w:r w:rsidRPr="00F255C4">
        <w:rPr>
          <w:sz w:val="28"/>
        </w:rPr>
        <w:t>. Lo previsto en el presente artículo, no será aplicable cuando se trate de las obligaciones adquiridas a través de microcréditos, crédito de</w:t>
      </w:r>
      <w:r w:rsidRPr="00F255C4">
        <w:rPr>
          <w:sz w:val="28"/>
        </w:rPr>
        <w:t xml:space="preserve"> fomento, desarrollo agropecuario o rural, siempre y cuando exista autorización expresa del consumidor. </w:t>
      </w:r>
    </w:p>
    <w:p w:rsidR="00BD309B" w:rsidRPr="00F255C4" w:rsidRDefault="00F255C4" w:rsidP="00EB0D70">
      <w:pPr>
        <w:pStyle w:val="NormalWeb"/>
        <w:spacing w:before="0" w:beforeAutospacing="0" w:after="0" w:afterAutospacing="0"/>
        <w:ind w:left="567" w:right="333"/>
        <w:jc w:val="both"/>
        <w:rPr>
          <w:sz w:val="28"/>
        </w:rPr>
      </w:pPr>
      <w:r w:rsidRPr="00F255C4">
        <w:rPr>
          <w:sz w:val="28"/>
        </w:rPr>
        <w:t>  </w:t>
      </w:r>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Parágrafo 2°.</w:t>
      </w:r>
      <w:r w:rsidRPr="00F255C4">
        <w:rPr>
          <w:sz w:val="28"/>
        </w:rPr>
        <w:t xml:space="preserve"> Lo previsto en el presente artículo, no será aplicable cuando las personas naturales y jurídicas gestoras de cobranza, no cuenten con </w:t>
      </w:r>
      <w:r w:rsidRPr="00F255C4">
        <w:rPr>
          <w:sz w:val="28"/>
        </w:rPr>
        <w:t>información actualizada de los canales autorizados y que los operadores de telefonía y empresas de mensajería física o electrónica reporten imposibilidad de contactar o entregar los mensajes al consumidor destinatario, todo lo cual deberá constar en el reg</w:t>
      </w:r>
      <w:r w:rsidRPr="00F255C4">
        <w:rPr>
          <w:sz w:val="28"/>
        </w:rPr>
        <w:t>istro respectivo. </w:t>
      </w:r>
    </w:p>
    <w:p w:rsidR="00BD309B" w:rsidRPr="00F255C4" w:rsidRDefault="00F255C4" w:rsidP="00EB0D70">
      <w:pPr>
        <w:spacing w:after="0" w:line="240" w:lineRule="auto"/>
        <w:ind w:left="567" w:right="333"/>
        <w:jc w:val="both"/>
        <w:rPr>
          <w:rFonts w:ascii="Times New Roman" w:hAnsi="Times New Roman" w:cs="Times New Roman"/>
          <w:sz w:val="28"/>
          <w:szCs w:val="24"/>
        </w:rPr>
      </w:pPr>
      <w:bookmarkStart w:id="9" w:name="ver_30307772"/>
      <w:bookmarkEnd w:id="9"/>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Artículo 7°.</w:t>
      </w:r>
      <w:r w:rsidRPr="00F255C4">
        <w:rPr>
          <w:sz w:val="28"/>
        </w:rPr>
        <w:t> Las entidades que adelanten gestiones de cobranza deberán abstenerse de consultar al consumidor financiero el motivo del incumplimiento de la obligación. </w:t>
      </w:r>
    </w:p>
    <w:p w:rsidR="00BD309B" w:rsidRPr="00F255C4" w:rsidRDefault="00F255C4" w:rsidP="00EB0D70">
      <w:pPr>
        <w:pStyle w:val="NormalWeb"/>
        <w:spacing w:before="0" w:beforeAutospacing="0" w:after="0" w:afterAutospacing="0"/>
        <w:ind w:left="567" w:right="333"/>
        <w:jc w:val="both"/>
        <w:rPr>
          <w:sz w:val="28"/>
        </w:rPr>
      </w:pPr>
      <w:r w:rsidRPr="00F255C4">
        <w:rPr>
          <w:sz w:val="28"/>
        </w:rPr>
        <w:t>  </w:t>
      </w:r>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Parágrafo.</w:t>
      </w:r>
      <w:r w:rsidRPr="00F255C4">
        <w:rPr>
          <w:sz w:val="28"/>
        </w:rPr>
        <w:t> Lo dispuesto en este artículo no obsta para que se con</w:t>
      </w:r>
      <w:r w:rsidRPr="00F255C4">
        <w:rPr>
          <w:sz w:val="28"/>
        </w:rPr>
        <w:t>sulten al deudor alternativas de pago que sean acordes con su situación financiera. </w:t>
      </w:r>
    </w:p>
    <w:p w:rsidR="00BD309B" w:rsidRPr="00F255C4" w:rsidRDefault="00F255C4" w:rsidP="00EB0D70">
      <w:pPr>
        <w:spacing w:after="0" w:line="240" w:lineRule="auto"/>
        <w:ind w:left="567" w:right="333"/>
        <w:jc w:val="both"/>
        <w:rPr>
          <w:rFonts w:ascii="Times New Roman" w:hAnsi="Times New Roman" w:cs="Times New Roman"/>
          <w:sz w:val="28"/>
          <w:szCs w:val="24"/>
        </w:rPr>
      </w:pPr>
      <w:bookmarkStart w:id="10" w:name="ver_30307773"/>
      <w:bookmarkEnd w:id="10"/>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Artículo 8°.</w:t>
      </w:r>
      <w:r w:rsidRPr="00F255C4">
        <w:rPr>
          <w:sz w:val="28"/>
        </w:rPr>
        <w:t> Se exceptúan de las medidas anteriores los contactos que tengan como finalidad informar al consumidor sobre confirmación oportuna de las operaciones monetari</w:t>
      </w:r>
      <w:r w:rsidRPr="00F255C4">
        <w:rPr>
          <w:sz w:val="28"/>
        </w:rPr>
        <w:t>as realizadas, sobre ahorros voluntarios y cesantías, enviar información solicitada por el consumidor o generar alertas sobre transacciones fraudulentas, inusuales o sospechosas </w:t>
      </w:r>
    </w:p>
    <w:p w:rsidR="00BD309B" w:rsidRPr="00F255C4" w:rsidRDefault="00F255C4" w:rsidP="00EB0D70">
      <w:pPr>
        <w:spacing w:after="0" w:line="240" w:lineRule="auto"/>
        <w:ind w:left="567" w:right="333"/>
        <w:jc w:val="both"/>
        <w:rPr>
          <w:rFonts w:ascii="Times New Roman" w:hAnsi="Times New Roman" w:cs="Times New Roman"/>
          <w:sz w:val="28"/>
          <w:szCs w:val="24"/>
        </w:rPr>
      </w:pPr>
      <w:bookmarkStart w:id="11" w:name="ver_30307774"/>
      <w:bookmarkEnd w:id="11"/>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Artículo 9°.</w:t>
      </w:r>
      <w:r w:rsidRPr="00F255C4">
        <w:rPr>
          <w:sz w:val="28"/>
        </w:rPr>
        <w:t xml:space="preserve"> El incumplimiento de las medidas de protección de que trata la </w:t>
      </w:r>
      <w:r w:rsidRPr="00F255C4">
        <w:rPr>
          <w:sz w:val="28"/>
        </w:rPr>
        <w:t>presente ley, se sancionará por la Superintendencia Financiera de Colombia y la Superintendencia de Industria y Comercio, de acuerdo con el marco de competencias previsto en la Ley Estatutaria 1266 de 2008 o las normas que la modifiquen, adicionen o sustit</w:t>
      </w:r>
      <w:r w:rsidRPr="00F255C4">
        <w:rPr>
          <w:sz w:val="28"/>
        </w:rPr>
        <w:t>uyan. </w:t>
      </w:r>
    </w:p>
    <w:p w:rsidR="00BD309B" w:rsidRPr="00F255C4" w:rsidRDefault="00F255C4" w:rsidP="00EB0D70">
      <w:pPr>
        <w:spacing w:after="0" w:line="240" w:lineRule="auto"/>
        <w:ind w:left="567" w:right="333"/>
        <w:jc w:val="both"/>
        <w:rPr>
          <w:rFonts w:ascii="Times New Roman" w:hAnsi="Times New Roman" w:cs="Times New Roman"/>
          <w:sz w:val="28"/>
          <w:szCs w:val="24"/>
        </w:rPr>
      </w:pPr>
      <w:bookmarkStart w:id="12" w:name="ver_30307775"/>
      <w:bookmarkEnd w:id="12"/>
    </w:p>
    <w:p w:rsidR="00BD309B" w:rsidRPr="00F255C4" w:rsidRDefault="00F255C4" w:rsidP="00EB0D70">
      <w:pPr>
        <w:pStyle w:val="NormalWeb"/>
        <w:spacing w:before="0" w:beforeAutospacing="0" w:after="0" w:afterAutospacing="0"/>
        <w:ind w:left="567" w:right="333"/>
        <w:jc w:val="both"/>
        <w:rPr>
          <w:sz w:val="28"/>
        </w:rPr>
      </w:pPr>
      <w:r w:rsidRPr="00F255C4">
        <w:rPr>
          <w:rStyle w:val="Textoennegrita"/>
          <w:sz w:val="28"/>
        </w:rPr>
        <w:t>Artículo 10. </w:t>
      </w:r>
      <w:r w:rsidRPr="00F255C4">
        <w:rPr>
          <w:rStyle w:val="nfasis"/>
          <w:b/>
          <w:bCs/>
          <w:sz w:val="28"/>
        </w:rPr>
        <w:t>Vigencia</w:t>
      </w:r>
      <w:r w:rsidRPr="00F255C4">
        <w:rPr>
          <w:rStyle w:val="Textoennegrita"/>
          <w:sz w:val="28"/>
        </w:rPr>
        <w:t>.</w:t>
      </w:r>
      <w:r w:rsidRPr="00F255C4">
        <w:rPr>
          <w:sz w:val="28"/>
        </w:rPr>
        <w:t> La presente ley entrará en vigor en un plazo de tres (3) meses contados a partir de su promulgación y deroga las disposiciones que le sean contrarias.</w:t>
      </w:r>
    </w:p>
    <w:p w:rsidR="00E2619C" w:rsidRPr="00F255C4" w:rsidRDefault="00F255C4" w:rsidP="00E2619C">
      <w:pPr>
        <w:pStyle w:val="Prrafodelista"/>
        <w:tabs>
          <w:tab w:val="left" w:pos="426"/>
          <w:tab w:val="left" w:pos="8222"/>
          <w:tab w:val="right" w:pos="8647"/>
        </w:tabs>
        <w:autoSpaceDE/>
        <w:autoSpaceDN/>
        <w:ind w:left="0" w:right="-234"/>
        <w:contextualSpacing/>
        <w:rPr>
          <w:rFonts w:eastAsiaTheme="minorHAnsi"/>
          <w:b/>
          <w:lang w:eastAsia="en-US"/>
        </w:rPr>
      </w:pPr>
    </w:p>
    <w:p w:rsidR="00CB456A" w:rsidRPr="00F255C4" w:rsidRDefault="00F255C4" w:rsidP="004C2698">
      <w:pPr>
        <w:pStyle w:val="Prrafodelista"/>
        <w:numPr>
          <w:ilvl w:val="0"/>
          <w:numId w:val="1"/>
        </w:numPr>
        <w:tabs>
          <w:tab w:val="left" w:pos="426"/>
          <w:tab w:val="left" w:pos="8222"/>
          <w:tab w:val="right" w:pos="8647"/>
        </w:tabs>
        <w:autoSpaceDE/>
        <w:autoSpaceDN/>
        <w:ind w:left="0" w:right="-234" w:firstLine="0"/>
        <w:contextualSpacing/>
        <w:rPr>
          <w:b/>
        </w:rPr>
      </w:pPr>
      <w:r w:rsidRPr="00F255C4">
        <w:rPr>
          <w:b/>
        </w:rPr>
        <w:t xml:space="preserve"> </w:t>
      </w:r>
      <w:r w:rsidRPr="00F255C4">
        <w:rPr>
          <w:b/>
        </w:rPr>
        <w:t>L</w:t>
      </w:r>
      <w:r w:rsidRPr="00F255C4">
        <w:rPr>
          <w:b/>
        </w:rPr>
        <w:t>a demanda</w:t>
      </w:r>
    </w:p>
    <w:p w:rsidR="00CB456A" w:rsidRPr="00F255C4" w:rsidRDefault="00F255C4" w:rsidP="00EB0D70">
      <w:pPr>
        <w:pStyle w:val="Prrafodelista"/>
        <w:tabs>
          <w:tab w:val="left" w:pos="284"/>
        </w:tabs>
        <w:ind w:left="0" w:right="51"/>
        <w:jc w:val="both"/>
      </w:pPr>
    </w:p>
    <w:p w:rsidR="00CB456A" w:rsidRPr="00F255C4" w:rsidRDefault="00F255C4" w:rsidP="00A835D2">
      <w:pPr>
        <w:pStyle w:val="Prrafodelista"/>
        <w:numPr>
          <w:ilvl w:val="0"/>
          <w:numId w:val="2"/>
        </w:numPr>
        <w:tabs>
          <w:tab w:val="left" w:pos="284"/>
          <w:tab w:val="left" w:pos="8222"/>
          <w:tab w:val="right" w:pos="8647"/>
        </w:tabs>
        <w:ind w:left="0" w:right="-234" w:firstLine="0"/>
        <w:jc w:val="both"/>
      </w:pPr>
      <w:r w:rsidRPr="00F255C4">
        <w:t>E</w:t>
      </w:r>
      <w:r w:rsidRPr="00F255C4">
        <w:t xml:space="preserve">l cargo </w:t>
      </w:r>
      <w:r w:rsidRPr="00F255C4">
        <w:t xml:space="preserve">planteado indica que la Ley 2300 de 2023 desconoce </w:t>
      </w:r>
      <w:r w:rsidRPr="00F255C4">
        <w:t>el artículo 152.a</w:t>
      </w:r>
      <w:r w:rsidRPr="00F255C4">
        <w:t>. Dicha disposición</w:t>
      </w:r>
      <w:r w:rsidRPr="00F255C4">
        <w:t xml:space="preserve"> sujeta la regulación de los derechos fundamentales a la reserva de ley estatutaria</w:t>
      </w:r>
      <w:r w:rsidRPr="00F255C4">
        <w:t xml:space="preserve">. </w:t>
      </w:r>
      <w:r w:rsidRPr="00F255C4">
        <w:t xml:space="preserve">La acusación se dirige </w:t>
      </w:r>
      <w:r w:rsidRPr="00F255C4">
        <w:t xml:space="preserve">en contra de </w:t>
      </w:r>
      <w:r w:rsidRPr="00F255C4">
        <w:t>toda la</w:t>
      </w:r>
      <w:r w:rsidRPr="00F255C4">
        <w:t xml:space="preserve"> Ley 2300 de 2023 y se fundamenta en los siguientes argumentos. </w:t>
      </w:r>
    </w:p>
    <w:p w:rsidR="00B43B9B" w:rsidRPr="00F255C4" w:rsidRDefault="00F255C4" w:rsidP="00B43B9B">
      <w:pPr>
        <w:pStyle w:val="Prrafodelista"/>
        <w:tabs>
          <w:tab w:val="left" w:pos="284"/>
          <w:tab w:val="left" w:pos="8222"/>
          <w:tab w:val="right" w:pos="8647"/>
        </w:tabs>
        <w:ind w:left="0" w:right="-234"/>
        <w:jc w:val="both"/>
      </w:pPr>
    </w:p>
    <w:p w:rsidR="00B43B9B" w:rsidRPr="00F255C4" w:rsidRDefault="00F255C4" w:rsidP="00B43B9B">
      <w:pPr>
        <w:pStyle w:val="Prrafodelista"/>
        <w:numPr>
          <w:ilvl w:val="0"/>
          <w:numId w:val="2"/>
        </w:numPr>
        <w:tabs>
          <w:tab w:val="left" w:pos="284"/>
          <w:tab w:val="left" w:pos="8222"/>
          <w:tab w:val="right" w:pos="8647"/>
        </w:tabs>
        <w:ind w:left="0" w:right="-234" w:firstLine="0"/>
        <w:jc w:val="both"/>
      </w:pPr>
      <w:r w:rsidRPr="00F255C4">
        <w:t>Las disposiciones de la Le</w:t>
      </w:r>
      <w:r w:rsidRPr="00F255C4">
        <w:t xml:space="preserve">y 2300 de 2023 se relacionan de manera estrecha con la protección de los derechos fundamentales a la intimidad y al </w:t>
      </w:r>
      <w:r w:rsidRPr="00F255C4">
        <w:rPr>
          <w:i/>
          <w:iCs/>
        </w:rPr>
        <w:t>habeas data.</w:t>
      </w:r>
      <w:r w:rsidRPr="00F255C4">
        <w:t xml:space="preserve"> En efecto, la ley regula medidas encaminadas a proteger la intimidad de los consumidores en el sector financiero, incluyendo pe</w:t>
      </w:r>
      <w:r w:rsidRPr="00F255C4">
        <w:t xml:space="preserve">rmisiones y restricciones en el contacto y el acceso a la información de los usuarios. </w:t>
      </w:r>
      <w:r w:rsidRPr="00F255C4">
        <w:t>E</w:t>
      </w:r>
      <w:r w:rsidRPr="00F255C4">
        <w:t>l objeto directo de la regulación “es la protección de un derecho fundamental, expidiendo medidas en ese sentido, desarrollando un régimen específico encaminado a estab</w:t>
      </w:r>
      <w:r w:rsidRPr="00F255C4">
        <w:t>lecer la forma de acceso y comunicación con los consumidores financieros, en consonancia con su derecho fundamental a la intimidad y habeas data”.</w:t>
      </w:r>
    </w:p>
    <w:p w:rsidR="00B43B9B" w:rsidRPr="00F255C4" w:rsidRDefault="00F255C4" w:rsidP="00B43B9B">
      <w:pPr>
        <w:pStyle w:val="Prrafodelista"/>
      </w:pPr>
    </w:p>
    <w:p w:rsidR="00CB456A" w:rsidRPr="00F255C4" w:rsidRDefault="00F255C4" w:rsidP="007F6503">
      <w:pPr>
        <w:pStyle w:val="Prrafodelista"/>
        <w:numPr>
          <w:ilvl w:val="0"/>
          <w:numId w:val="2"/>
        </w:numPr>
        <w:tabs>
          <w:tab w:val="left" w:pos="284"/>
          <w:tab w:val="left" w:pos="426"/>
          <w:tab w:val="right" w:pos="8647"/>
        </w:tabs>
        <w:ind w:left="0" w:right="-234" w:firstLine="0"/>
        <w:jc w:val="both"/>
      </w:pPr>
      <w:r w:rsidRPr="00F255C4">
        <w:t xml:space="preserve">El artículo 1 establece que la ley tiene por objeto proteger el derecho a la intimidad de los consumidores. </w:t>
      </w:r>
      <w:r w:rsidRPr="00F255C4">
        <w:t>Los artículos 2 y 3 de la ley se refieren a los canales autorizados para cobranza, así como a los horarios y periodicidad, en aras de proteger y desarrollar el derecho fundamental a la intimidad. El artículo 4 se refiere a limitaciones en el contacto de re</w:t>
      </w:r>
      <w:r w:rsidRPr="00F255C4">
        <w:t xml:space="preserve">ferencias personales. El artículo 5, parágrafo segundo, se refiere al tratamiento de bases de datos y </w:t>
      </w:r>
      <w:r w:rsidRPr="00F255C4">
        <w:t>a</w:t>
      </w:r>
      <w:r w:rsidRPr="00F255C4">
        <w:t>l manejo de la información de los consumidores. El artículo 6 plantea limitaciones a las visitas al domicilio o lugar de trabajo del consumidor financier</w:t>
      </w:r>
      <w:r w:rsidRPr="00F255C4">
        <w:t xml:space="preserve">o. </w:t>
      </w:r>
      <w:r w:rsidRPr="00F255C4">
        <w:t>E</w:t>
      </w:r>
      <w:r w:rsidRPr="00F255C4">
        <w:t>l artículo 8 se refiere a algunas excepciones a las reglas fijadas</w:t>
      </w:r>
      <w:r w:rsidRPr="00F255C4">
        <w:t>.</w:t>
      </w:r>
      <w:r w:rsidRPr="00F255C4">
        <w:t xml:space="preserve"> </w:t>
      </w:r>
      <w:r w:rsidRPr="00F255C4">
        <w:t xml:space="preserve">A su vez </w:t>
      </w:r>
      <w:r w:rsidRPr="00F255C4">
        <w:t>el</w:t>
      </w:r>
      <w:r w:rsidRPr="00F255C4">
        <w:t xml:space="preserve"> artículo </w:t>
      </w:r>
      <w:r w:rsidRPr="00F255C4">
        <w:t xml:space="preserve">9 </w:t>
      </w:r>
      <w:r w:rsidRPr="00F255C4">
        <w:t>se ocupa de</w:t>
      </w:r>
      <w:r w:rsidRPr="00F255C4">
        <w:t xml:space="preserve"> la</w:t>
      </w:r>
      <w:r w:rsidRPr="00F255C4">
        <w:t>s</w:t>
      </w:r>
      <w:r w:rsidRPr="00F255C4">
        <w:t xml:space="preserve"> forma</w:t>
      </w:r>
      <w:r w:rsidRPr="00F255C4">
        <w:t>s</w:t>
      </w:r>
      <w:r w:rsidRPr="00F255C4">
        <w:t xml:space="preserve"> de sanción por su incumplimiento. </w:t>
      </w:r>
    </w:p>
    <w:p w:rsidR="00B43B9B" w:rsidRPr="00F255C4" w:rsidRDefault="00F255C4" w:rsidP="00B43B9B">
      <w:pPr>
        <w:pStyle w:val="Prrafodelista"/>
      </w:pPr>
    </w:p>
    <w:p w:rsidR="00CB456A" w:rsidRPr="00F255C4" w:rsidRDefault="00F255C4" w:rsidP="007F6503">
      <w:pPr>
        <w:pStyle w:val="Prrafodelista"/>
        <w:numPr>
          <w:ilvl w:val="0"/>
          <w:numId w:val="2"/>
        </w:numPr>
        <w:tabs>
          <w:tab w:val="left" w:pos="284"/>
          <w:tab w:val="left" w:pos="426"/>
          <w:tab w:val="right" w:pos="8647"/>
        </w:tabs>
        <w:ind w:left="0" w:right="-234" w:firstLine="0"/>
        <w:jc w:val="both"/>
      </w:pPr>
      <w:r w:rsidRPr="00F255C4">
        <w:t>S</w:t>
      </w:r>
      <w:r w:rsidRPr="00F255C4">
        <w:t>e trata de una regulación integral, completa y sistemática de un derecho fundamental, pues en ella se</w:t>
      </w:r>
      <w:r w:rsidRPr="00F255C4">
        <w:t xml:space="preserve"> establecen</w:t>
      </w:r>
      <w:r w:rsidRPr="00F255C4">
        <w:t xml:space="preserve"> medidas para su protección</w:t>
      </w:r>
      <w:r w:rsidRPr="00F255C4">
        <w:t>,</w:t>
      </w:r>
      <w:r w:rsidRPr="00F255C4">
        <w:t xml:space="preserve"> se </w:t>
      </w:r>
      <w:r w:rsidRPr="00F255C4">
        <w:t xml:space="preserve">fija </w:t>
      </w:r>
      <w:r w:rsidRPr="00F255C4">
        <w:t>un régimen para la sanción de</w:t>
      </w:r>
      <w:r w:rsidRPr="00F255C4">
        <w:t>l</w:t>
      </w:r>
      <w:r w:rsidRPr="00F255C4">
        <w:t xml:space="preserve"> incumplimiento de estas disposiciones </w:t>
      </w:r>
      <w:r w:rsidRPr="00F255C4">
        <w:t>y</w:t>
      </w:r>
      <w:r w:rsidRPr="00F255C4">
        <w:t xml:space="preserve"> se prevé una disposición con el fin de hacerlas extensivas a las relaciones comerciales.</w:t>
      </w:r>
      <w:r w:rsidRPr="00F255C4">
        <w:t xml:space="preserve"> La ley cuestionada </w:t>
      </w:r>
      <w:r w:rsidRPr="00F255C4">
        <w:t>versa sobre el núcleo esencia</w:t>
      </w:r>
      <w:r w:rsidRPr="00F255C4">
        <w:t>l y los principios básicos de los derechos mencionados. Ese núcleo, en el caso del derecho a la intimidad</w:t>
      </w:r>
      <w:r w:rsidRPr="00F255C4">
        <w:t>,</w:t>
      </w:r>
      <w:r w:rsidRPr="00F255C4">
        <w:t xml:space="preserve"> hace referencia a la existencia y goce de una órbita reservada y una garantía frente a las intromisiones de la sociedad de modo que se permita el cor</w:t>
      </w:r>
      <w:r w:rsidRPr="00F255C4">
        <w:t>recto desarrollo personal.</w:t>
      </w:r>
    </w:p>
    <w:p w:rsidR="00A835D2" w:rsidRPr="00F255C4" w:rsidRDefault="00F255C4" w:rsidP="00A835D2">
      <w:pPr>
        <w:pStyle w:val="Prrafodelista"/>
      </w:pPr>
    </w:p>
    <w:p w:rsidR="00CB456A" w:rsidRPr="00F255C4" w:rsidRDefault="00F255C4" w:rsidP="007F6503">
      <w:pPr>
        <w:pStyle w:val="Prrafodelista"/>
        <w:numPr>
          <w:ilvl w:val="0"/>
          <w:numId w:val="2"/>
        </w:numPr>
        <w:tabs>
          <w:tab w:val="left" w:pos="284"/>
          <w:tab w:val="left" w:pos="426"/>
          <w:tab w:val="right" w:pos="8647"/>
        </w:tabs>
        <w:ind w:left="0" w:right="-234" w:firstLine="0"/>
        <w:jc w:val="both"/>
      </w:pPr>
      <w:r w:rsidRPr="00F255C4">
        <w:t>L</w:t>
      </w:r>
      <w:r w:rsidRPr="00F255C4">
        <w:t xml:space="preserve">a ley tiene por objeto la expedición de medidas de protección de los derechos fundamentales a la intimidad y al </w:t>
      </w:r>
      <w:r w:rsidRPr="00F255C4">
        <w:rPr>
          <w:iCs/>
        </w:rPr>
        <w:t>habeas data</w:t>
      </w:r>
      <w:r w:rsidRPr="00F255C4">
        <w:t xml:space="preserve">, regulando la forma en que las entidades de cobranza podrán acceder a la información y contactar a los consumidores financieros. Esto impone una serie de limitaciones frente al goce del derecho en sí mismo. </w:t>
      </w:r>
      <w:r w:rsidRPr="00F255C4">
        <w:t xml:space="preserve">La regulación acusada </w:t>
      </w:r>
      <w:r w:rsidRPr="00F255C4">
        <w:t xml:space="preserve">señala la forma en que se </w:t>
      </w:r>
      <w:r w:rsidRPr="00F255C4">
        <w:t xml:space="preserve">deberán realizar actividades de cobranza e impone </w:t>
      </w:r>
      <w:r w:rsidRPr="00F255C4">
        <w:t xml:space="preserve">específicas </w:t>
      </w:r>
      <w:r w:rsidRPr="00F255C4">
        <w:t>prohibiciones</w:t>
      </w:r>
      <w:r w:rsidRPr="00F255C4">
        <w:t xml:space="preserve"> en esa dirección</w:t>
      </w:r>
      <w:r w:rsidRPr="00F255C4">
        <w:t>.</w:t>
      </w:r>
    </w:p>
    <w:p w:rsidR="00A835D2" w:rsidRPr="00F255C4" w:rsidRDefault="00F255C4" w:rsidP="00A835D2">
      <w:pPr>
        <w:pStyle w:val="Prrafodelista"/>
      </w:pPr>
    </w:p>
    <w:p w:rsidR="00CB456A" w:rsidRPr="00F255C4" w:rsidRDefault="00F255C4" w:rsidP="007F6503">
      <w:pPr>
        <w:pStyle w:val="Prrafodelista"/>
        <w:numPr>
          <w:ilvl w:val="0"/>
          <w:numId w:val="2"/>
        </w:numPr>
        <w:tabs>
          <w:tab w:val="left" w:pos="284"/>
          <w:tab w:val="left" w:pos="426"/>
          <w:tab w:val="right" w:pos="8647"/>
        </w:tabs>
        <w:ind w:left="0" w:right="-234" w:firstLine="0"/>
        <w:jc w:val="both"/>
      </w:pPr>
      <w:r w:rsidRPr="00F255C4">
        <w:t>L</w:t>
      </w:r>
      <w:r w:rsidRPr="00F255C4">
        <w:t>a</w:t>
      </w:r>
      <w:r w:rsidRPr="00F255C4">
        <w:t xml:space="preserve"> </w:t>
      </w:r>
      <w:r w:rsidRPr="00F255C4">
        <w:t xml:space="preserve">ley </w:t>
      </w:r>
      <w:r w:rsidRPr="00F255C4">
        <w:t>también establece excepciones al disfrute del derecho a la intimidad, pues determina las formas en que se podrán gestionar actividades de cobranza. Además</w:t>
      </w:r>
      <w:r w:rsidRPr="00F255C4">
        <w:t xml:space="preserve">, en </w:t>
      </w:r>
      <w:r w:rsidRPr="00F255C4">
        <w:t>su artículo 8 enumera una serie de exclusiones, permitiendo el contacto y envío de información a los consumidores sin considerar las restricciones que fijó para ello en determinadas situaciones.</w:t>
      </w:r>
    </w:p>
    <w:p w:rsidR="003B45AC" w:rsidRPr="00F255C4" w:rsidRDefault="00F255C4" w:rsidP="00EB0D70">
      <w:pPr>
        <w:spacing w:after="0" w:line="240" w:lineRule="auto"/>
        <w:ind w:right="-234"/>
        <w:rPr>
          <w:rFonts w:ascii="Times New Roman" w:hAnsi="Times New Roman" w:cs="Times New Roman"/>
          <w:b/>
          <w:sz w:val="28"/>
          <w:szCs w:val="28"/>
        </w:rPr>
      </w:pPr>
    </w:p>
    <w:p w:rsidR="00EB0D70" w:rsidRPr="00F255C4" w:rsidRDefault="00F255C4" w:rsidP="004C2698">
      <w:pPr>
        <w:pStyle w:val="Prrafodelista"/>
        <w:numPr>
          <w:ilvl w:val="0"/>
          <w:numId w:val="1"/>
        </w:numPr>
        <w:tabs>
          <w:tab w:val="left" w:pos="426"/>
          <w:tab w:val="left" w:pos="8222"/>
          <w:tab w:val="right" w:pos="8647"/>
        </w:tabs>
        <w:autoSpaceDE/>
        <w:autoSpaceDN/>
        <w:ind w:left="0" w:right="-234" w:firstLine="0"/>
        <w:contextualSpacing/>
        <w:rPr>
          <w:b/>
        </w:rPr>
      </w:pPr>
      <w:r w:rsidRPr="00F255C4">
        <w:rPr>
          <w:b/>
        </w:rPr>
        <w:t>Intervenciones</w:t>
      </w:r>
    </w:p>
    <w:p w:rsidR="00EB0D70" w:rsidRPr="00F255C4" w:rsidRDefault="00F255C4" w:rsidP="00EB0D70">
      <w:pPr>
        <w:spacing w:after="0" w:line="240" w:lineRule="auto"/>
        <w:ind w:right="-234"/>
        <w:rPr>
          <w:rFonts w:ascii="Times New Roman" w:hAnsi="Times New Roman" w:cs="Times New Roman"/>
          <w:b/>
          <w:sz w:val="28"/>
          <w:szCs w:val="28"/>
        </w:rPr>
      </w:pPr>
    </w:p>
    <w:p w:rsidR="007027AF" w:rsidRPr="00F255C4" w:rsidRDefault="00F255C4" w:rsidP="00EB0D70">
      <w:pPr>
        <w:spacing w:after="0" w:line="240" w:lineRule="auto"/>
        <w:ind w:right="-234"/>
        <w:rPr>
          <w:rFonts w:ascii="Times New Roman" w:hAnsi="Times New Roman" w:cs="Times New Roman"/>
          <w:b/>
          <w:sz w:val="28"/>
          <w:szCs w:val="28"/>
        </w:rPr>
      </w:pPr>
      <w:r w:rsidRPr="00F255C4">
        <w:rPr>
          <w:rFonts w:ascii="Times New Roman" w:hAnsi="Times New Roman" w:cs="Times New Roman"/>
          <w:b/>
          <w:sz w:val="28"/>
          <w:szCs w:val="28"/>
        </w:rPr>
        <w:t>Ministerio de Industria, Comercio y Tur</w:t>
      </w:r>
      <w:r w:rsidRPr="00F255C4">
        <w:rPr>
          <w:rFonts w:ascii="Times New Roman" w:hAnsi="Times New Roman" w:cs="Times New Roman"/>
          <w:b/>
          <w:sz w:val="28"/>
          <w:szCs w:val="28"/>
        </w:rPr>
        <w:t xml:space="preserve">ismo </w:t>
      </w:r>
    </w:p>
    <w:p w:rsidR="00EB0D70" w:rsidRPr="00F255C4" w:rsidRDefault="00F255C4" w:rsidP="00EB0D70">
      <w:pPr>
        <w:pStyle w:val="Prrafodelista"/>
        <w:tabs>
          <w:tab w:val="left" w:pos="284"/>
        </w:tabs>
        <w:ind w:left="0" w:right="-234"/>
        <w:jc w:val="both"/>
      </w:pPr>
    </w:p>
    <w:p w:rsidR="007027AF" w:rsidRPr="00F255C4" w:rsidRDefault="00F255C4" w:rsidP="007F6503">
      <w:pPr>
        <w:pStyle w:val="Prrafodelista"/>
        <w:numPr>
          <w:ilvl w:val="0"/>
          <w:numId w:val="2"/>
        </w:numPr>
        <w:tabs>
          <w:tab w:val="left" w:pos="284"/>
          <w:tab w:val="left" w:pos="567"/>
          <w:tab w:val="right" w:pos="8647"/>
        </w:tabs>
        <w:ind w:left="0" w:right="-234" w:firstLine="0"/>
        <w:jc w:val="both"/>
      </w:pPr>
      <w:r w:rsidRPr="00F255C4">
        <w:t xml:space="preserve">El pronunciamiento del Ministerio se dirige a cuestionar el cargo por la infracción del principio de unidad de materia que se desprende del artículo 158 de la Constitución. Sin embargo, dicho cargo fue rechazado </w:t>
      </w:r>
      <w:r w:rsidRPr="00F255C4">
        <w:t xml:space="preserve">en el trámite de </w:t>
      </w:r>
      <w:r w:rsidRPr="00F255C4">
        <w:t>admisión de la deman</w:t>
      </w:r>
      <w:r w:rsidRPr="00F255C4">
        <w:t>da. En consecuencia, no se indicará el sentido de la intervención</w:t>
      </w:r>
      <w:r w:rsidRPr="00F255C4">
        <w:t>.</w:t>
      </w:r>
    </w:p>
    <w:p w:rsidR="00A835D2" w:rsidRPr="00F255C4" w:rsidRDefault="00F255C4" w:rsidP="00A835D2">
      <w:pPr>
        <w:pStyle w:val="Prrafodelista"/>
        <w:tabs>
          <w:tab w:val="left" w:pos="284"/>
          <w:tab w:val="left" w:pos="8222"/>
          <w:tab w:val="right" w:pos="8647"/>
        </w:tabs>
        <w:ind w:left="0" w:right="-234"/>
        <w:jc w:val="both"/>
      </w:pPr>
    </w:p>
    <w:p w:rsidR="00A835D2" w:rsidRPr="00F255C4" w:rsidRDefault="00F255C4" w:rsidP="00A835D2">
      <w:pPr>
        <w:pStyle w:val="Prrafodelista"/>
        <w:ind w:left="0" w:right="-234"/>
        <w:jc w:val="both"/>
        <w:rPr>
          <w:b/>
        </w:rPr>
      </w:pPr>
      <w:r w:rsidRPr="00F255C4">
        <w:rPr>
          <w:b/>
        </w:rPr>
        <w:t>Representante a la Cámara Juan Carlos Wills Ospina</w:t>
      </w:r>
    </w:p>
    <w:p w:rsidR="00A835D2" w:rsidRPr="00F255C4" w:rsidRDefault="00F255C4" w:rsidP="00A835D2">
      <w:pPr>
        <w:pStyle w:val="Prrafodelista"/>
        <w:tabs>
          <w:tab w:val="left" w:pos="284"/>
          <w:tab w:val="left" w:pos="8222"/>
          <w:tab w:val="right" w:pos="8647"/>
        </w:tabs>
        <w:ind w:left="0" w:right="-234"/>
        <w:jc w:val="both"/>
      </w:pPr>
    </w:p>
    <w:p w:rsidR="004A2A74" w:rsidRPr="00F255C4" w:rsidRDefault="00F255C4" w:rsidP="004C2698">
      <w:pPr>
        <w:pStyle w:val="Prrafodelista"/>
        <w:numPr>
          <w:ilvl w:val="0"/>
          <w:numId w:val="2"/>
        </w:numPr>
        <w:tabs>
          <w:tab w:val="left" w:pos="284"/>
          <w:tab w:val="right" w:pos="567"/>
          <w:tab w:val="left" w:pos="8222"/>
        </w:tabs>
        <w:ind w:left="0" w:right="-234" w:firstLine="0"/>
        <w:jc w:val="both"/>
      </w:pPr>
      <w:r w:rsidRPr="00F255C4">
        <w:t>S</w:t>
      </w:r>
      <w:r w:rsidRPr="00F255C4">
        <w:t>olici</w:t>
      </w:r>
      <w:r w:rsidRPr="00F255C4">
        <w:t>t</w:t>
      </w:r>
      <w:r w:rsidRPr="00F255C4">
        <w:t>a declarar la constitucionalidad y, con ese propósito</w:t>
      </w:r>
      <w:r w:rsidRPr="00F255C4">
        <w:t>,</w:t>
      </w:r>
      <w:r w:rsidRPr="00F255C4">
        <w:t xml:space="preserve"> presenta los siguientes argumentos. </w:t>
      </w:r>
    </w:p>
    <w:p w:rsidR="004C2698" w:rsidRPr="00F255C4" w:rsidRDefault="00F255C4" w:rsidP="004C2698">
      <w:pPr>
        <w:pStyle w:val="Prrafodelista"/>
        <w:tabs>
          <w:tab w:val="left" w:pos="284"/>
          <w:tab w:val="right" w:pos="567"/>
          <w:tab w:val="left" w:pos="8222"/>
        </w:tabs>
        <w:ind w:left="0" w:right="-234"/>
        <w:jc w:val="both"/>
      </w:pPr>
    </w:p>
    <w:p w:rsidR="007027AF" w:rsidRPr="00F255C4" w:rsidRDefault="00F255C4" w:rsidP="004C2698">
      <w:pPr>
        <w:pStyle w:val="Prrafodelista"/>
        <w:numPr>
          <w:ilvl w:val="0"/>
          <w:numId w:val="2"/>
        </w:numPr>
        <w:tabs>
          <w:tab w:val="left" w:pos="284"/>
          <w:tab w:val="right" w:pos="567"/>
          <w:tab w:val="left" w:pos="8222"/>
        </w:tabs>
        <w:ind w:left="0" w:right="-234" w:firstLine="0"/>
        <w:jc w:val="both"/>
      </w:pPr>
      <w:r w:rsidRPr="00F255C4">
        <w:t xml:space="preserve">La ley acusada </w:t>
      </w:r>
      <w:r w:rsidRPr="00F255C4">
        <w:t xml:space="preserve">no </w:t>
      </w:r>
      <w:r w:rsidRPr="00F255C4">
        <w:t xml:space="preserve">implica la </w:t>
      </w:r>
      <w:r w:rsidRPr="00F255C4">
        <w:t>“regulación integral, completa y sistemática de un derecho fundamental”</w:t>
      </w:r>
      <w:r w:rsidRPr="00F255C4">
        <w:t xml:space="preserve">. </w:t>
      </w:r>
      <w:r w:rsidRPr="00F255C4">
        <w:t xml:space="preserve">El </w:t>
      </w:r>
      <w:r w:rsidRPr="00F255C4">
        <w:t xml:space="preserve">punto de partida de la </w:t>
      </w:r>
      <w:r w:rsidRPr="00F255C4">
        <w:t xml:space="preserve">acusación </w:t>
      </w:r>
      <w:r w:rsidRPr="00F255C4">
        <w:t>es equivocado. La</w:t>
      </w:r>
      <w:r w:rsidRPr="00F255C4">
        <w:t xml:space="preserve"> </w:t>
      </w:r>
      <w:r w:rsidRPr="00F255C4">
        <w:t>L</w:t>
      </w:r>
      <w:r w:rsidRPr="00F255C4">
        <w:t>ey 2300</w:t>
      </w:r>
      <w:r w:rsidRPr="00F255C4">
        <w:t xml:space="preserve"> “</w:t>
      </w:r>
      <w:r w:rsidRPr="00F255C4">
        <w:t>se limita a proteger la intimidad de interferencias no deseadas ni autorizadas</w:t>
      </w:r>
      <w:r w:rsidRPr="00F255C4">
        <w:t>”</w:t>
      </w:r>
      <w:r w:rsidRPr="00F255C4">
        <w:t xml:space="preserve">. </w:t>
      </w:r>
      <w:r w:rsidRPr="00F255C4">
        <w:t>A su juicio “</w:t>
      </w:r>
      <w:r w:rsidRPr="00F255C4">
        <w:t>la norma no le está</w:t>
      </w:r>
      <w:r w:rsidRPr="00F255C4">
        <w:t xml:space="preserve"> prohibiendo al titular del derecho a la intimidad las interacciones que desee realizar, que sean de su propia iniciativa, en lapsos determinados, que son manifestación de la autonomía de la voluntad, sino protegiéndolo de la invasión no deseada ni consent</w:t>
      </w:r>
      <w:r w:rsidRPr="00F255C4">
        <w:t>ida de su esfera íntima durante esos períodos”.</w:t>
      </w:r>
    </w:p>
    <w:p w:rsidR="004C2698" w:rsidRPr="00F255C4" w:rsidRDefault="00F255C4" w:rsidP="004C2698">
      <w:pPr>
        <w:pStyle w:val="Prrafodelista"/>
      </w:pPr>
    </w:p>
    <w:p w:rsidR="004C2698" w:rsidRPr="00F255C4" w:rsidRDefault="00F255C4" w:rsidP="00BB1994">
      <w:pPr>
        <w:pStyle w:val="Prrafodelista"/>
        <w:numPr>
          <w:ilvl w:val="0"/>
          <w:numId w:val="2"/>
        </w:numPr>
        <w:tabs>
          <w:tab w:val="left" w:pos="284"/>
          <w:tab w:val="right" w:pos="567"/>
          <w:tab w:val="left" w:pos="8222"/>
        </w:tabs>
        <w:ind w:left="0" w:right="-234" w:firstLine="0"/>
        <w:jc w:val="both"/>
      </w:pPr>
      <w:r w:rsidRPr="00F255C4">
        <w:t xml:space="preserve">Las disposiciones demandadas </w:t>
      </w:r>
      <w:r w:rsidRPr="00F255C4">
        <w:t>pretende</w:t>
      </w:r>
      <w:r w:rsidRPr="00F255C4">
        <w:t>n</w:t>
      </w:r>
      <w:r w:rsidRPr="00F255C4">
        <w:t xml:space="preserve"> </w:t>
      </w:r>
      <w:r w:rsidRPr="00F255C4">
        <w:t>“regular y controlar los horarios en los que se llevan a cabo las gestiones de cobranza y la oferta de bienes y servicios, ya sea por parte de personas naturales o jurí</w:t>
      </w:r>
      <w:r w:rsidRPr="00F255C4">
        <w:t>dicas, pues infortunadamente estas actividades financieras y comerciales, al pasar los años, han venido reiterativamente vulnerando la intimidad de los consumidores, al ser perturbados sin ningún tipo de límite, incluso en sus días y horas de descanso</w:t>
      </w:r>
      <w:r w:rsidRPr="00F255C4">
        <w:t>”</w:t>
      </w:r>
      <w:r w:rsidRPr="00F255C4">
        <w:t xml:space="preserve">. </w:t>
      </w:r>
    </w:p>
    <w:p w:rsidR="00444A65" w:rsidRPr="00F255C4" w:rsidRDefault="00F255C4" w:rsidP="00444A65">
      <w:pPr>
        <w:pStyle w:val="Prrafodelista"/>
        <w:tabs>
          <w:tab w:val="left" w:pos="284"/>
          <w:tab w:val="right" w:pos="567"/>
          <w:tab w:val="left" w:pos="8222"/>
        </w:tabs>
        <w:ind w:left="0" w:right="-234"/>
        <w:jc w:val="both"/>
      </w:pPr>
    </w:p>
    <w:p w:rsidR="004C2698" w:rsidRPr="00F255C4" w:rsidRDefault="00F255C4" w:rsidP="00BB1994">
      <w:pPr>
        <w:pStyle w:val="Prrafodelista"/>
        <w:numPr>
          <w:ilvl w:val="0"/>
          <w:numId w:val="2"/>
        </w:numPr>
        <w:tabs>
          <w:tab w:val="left" w:pos="284"/>
          <w:tab w:val="right" w:pos="567"/>
          <w:tab w:val="left" w:pos="8222"/>
        </w:tabs>
        <w:ind w:left="0" w:right="-234" w:firstLine="0"/>
        <w:jc w:val="both"/>
      </w:pPr>
      <w:r w:rsidRPr="00F255C4">
        <w:t xml:space="preserve">La ley no regula de manera sistemática el derecho a la intimidad. En efecto, “lo que se regula allí son las actividades de cobranza y de oferta de bienes y servicios, estableciendo horarios, canales y periodicidad con las que se pueden hacer las mismas, y </w:t>
      </w:r>
      <w:r w:rsidRPr="00F255C4">
        <w:t>NO la manera en la que se puede ejercer el derecho a la intimidad ni consagrando límites al mismo”.</w:t>
      </w:r>
      <w:r w:rsidRPr="00F255C4">
        <w:t xml:space="preserve"> </w:t>
      </w:r>
    </w:p>
    <w:p w:rsidR="00444A65" w:rsidRPr="00F255C4" w:rsidRDefault="00F255C4" w:rsidP="00444A65">
      <w:pPr>
        <w:pStyle w:val="Prrafodelista"/>
        <w:tabs>
          <w:tab w:val="left" w:pos="284"/>
          <w:tab w:val="right" w:pos="567"/>
          <w:tab w:val="left" w:pos="8222"/>
        </w:tabs>
        <w:ind w:left="0" w:right="-234"/>
        <w:jc w:val="both"/>
      </w:pPr>
    </w:p>
    <w:p w:rsidR="00A91DDB" w:rsidRPr="00F255C4" w:rsidRDefault="00F255C4" w:rsidP="004C2698">
      <w:pPr>
        <w:pStyle w:val="Prrafodelista"/>
        <w:numPr>
          <w:ilvl w:val="0"/>
          <w:numId w:val="2"/>
        </w:numPr>
        <w:tabs>
          <w:tab w:val="left" w:pos="284"/>
          <w:tab w:val="right" w:pos="567"/>
          <w:tab w:val="left" w:pos="8222"/>
        </w:tabs>
        <w:ind w:left="0" w:right="-234" w:firstLine="0"/>
        <w:jc w:val="both"/>
      </w:pPr>
      <w:r w:rsidRPr="00F255C4">
        <w:t>La</w:t>
      </w:r>
      <w:r w:rsidRPr="00F255C4">
        <w:t>s disposiciones que integra</w:t>
      </w:r>
      <w:r w:rsidRPr="00F255C4">
        <w:t>n</w:t>
      </w:r>
      <w:r w:rsidRPr="00F255C4">
        <w:t xml:space="preserve"> la ley</w:t>
      </w:r>
      <w:r w:rsidRPr="00F255C4">
        <w:t xml:space="preserve"> impone</w:t>
      </w:r>
      <w:r w:rsidRPr="00F255C4">
        <w:t>n</w:t>
      </w:r>
      <w:r w:rsidRPr="00F255C4">
        <w:t xml:space="preserve"> límites “</w:t>
      </w:r>
      <w:r w:rsidRPr="00F255C4">
        <w:t>a las actividades de personas naturales y jurídicas que ejercen gestiones de cobranza y de oferta d</w:t>
      </w:r>
      <w:r w:rsidRPr="00F255C4">
        <w:t>e bienes y servicios y NO al derecho a la intimidad, tan es así, que en la misma ley se establece que es el consumidor quien, de manera expresa y en documento distinto al contrato que origine la obligación, puede expresar su consentimiento para ser contact</w:t>
      </w:r>
      <w:r w:rsidRPr="00F255C4">
        <w:t xml:space="preserve">ado en horarios distintos a los que establece la </w:t>
      </w:r>
      <w:r w:rsidRPr="00F255C4">
        <w:t>l</w:t>
      </w:r>
      <w:r w:rsidRPr="00F255C4">
        <w:t>ey</w:t>
      </w:r>
      <w:r w:rsidRPr="00F255C4">
        <w:t xml:space="preserve">”. </w:t>
      </w:r>
    </w:p>
    <w:p w:rsidR="004C2698" w:rsidRPr="00F255C4" w:rsidRDefault="00F255C4" w:rsidP="004C2698">
      <w:pPr>
        <w:pStyle w:val="Prrafodelista"/>
        <w:tabs>
          <w:tab w:val="left" w:pos="284"/>
          <w:tab w:val="right" w:pos="567"/>
          <w:tab w:val="left" w:pos="8222"/>
        </w:tabs>
        <w:ind w:left="0" w:right="-234"/>
        <w:jc w:val="both"/>
      </w:pPr>
    </w:p>
    <w:p w:rsidR="00C87692" w:rsidRPr="00F255C4" w:rsidRDefault="00F255C4" w:rsidP="004C2698">
      <w:pPr>
        <w:pStyle w:val="Prrafodelista"/>
        <w:numPr>
          <w:ilvl w:val="0"/>
          <w:numId w:val="2"/>
        </w:numPr>
        <w:tabs>
          <w:tab w:val="left" w:pos="284"/>
          <w:tab w:val="right" w:pos="567"/>
          <w:tab w:val="left" w:pos="8222"/>
        </w:tabs>
        <w:ind w:left="0" w:right="-234" w:firstLine="0"/>
        <w:jc w:val="both"/>
      </w:pPr>
      <w:r w:rsidRPr="00F255C4">
        <w:t>La jurisprudencia constitucional ha establecido “</w:t>
      </w:r>
      <w:r w:rsidRPr="00F255C4">
        <w:t>los criterios para determinar si una regulación debió someterse al proceso cualificado de las leyes estatutarias</w:t>
      </w:r>
      <w:r w:rsidRPr="00F255C4">
        <w:t>”</w:t>
      </w:r>
      <w:r w:rsidRPr="00F255C4">
        <w:t xml:space="preserve">. </w:t>
      </w:r>
      <w:r w:rsidRPr="00F255C4">
        <w:t xml:space="preserve">Teniendo en cuenta los referidos criterios es posible establecer algunas conclusiones. </w:t>
      </w:r>
    </w:p>
    <w:p w:rsidR="00A91DDB" w:rsidRPr="00F255C4" w:rsidRDefault="00F255C4" w:rsidP="00EB0D70">
      <w:pPr>
        <w:pStyle w:val="Prrafodelista"/>
        <w:ind w:right="-234"/>
      </w:pPr>
    </w:p>
    <w:p w:rsidR="00A91DDB" w:rsidRPr="00F255C4" w:rsidRDefault="00F255C4" w:rsidP="00A835D2">
      <w:pPr>
        <w:pStyle w:val="Prrafodelista"/>
        <w:numPr>
          <w:ilvl w:val="1"/>
          <w:numId w:val="2"/>
        </w:numPr>
        <w:tabs>
          <w:tab w:val="left" w:pos="284"/>
        </w:tabs>
        <w:ind w:left="0" w:right="-234" w:firstLine="0"/>
        <w:jc w:val="both"/>
      </w:pPr>
      <w:r w:rsidRPr="00F255C4">
        <w:t>E</w:t>
      </w:r>
      <w:r w:rsidRPr="00F255C4">
        <w:t>n la ley</w:t>
      </w:r>
      <w:r w:rsidRPr="00F255C4">
        <w:t xml:space="preserve"> </w:t>
      </w:r>
      <w:r w:rsidRPr="00F255C4">
        <w:t>“[n]</w:t>
      </w:r>
      <w:r w:rsidRPr="00F255C4">
        <w:t>o se establece ninguna condición para su vigencia, disfrute o ejercicio. Simplemente se protege de las interferencias que puedan afectarlo mediante las a</w:t>
      </w:r>
      <w:r w:rsidRPr="00F255C4">
        <w:t>ctividades de cobranza y de oferta de bienes y servicios por parte de personas naturales y jurídicas, durante una parte de los fines de semana y días festivos</w:t>
      </w:r>
      <w:r w:rsidRPr="00F255C4">
        <w:t xml:space="preserve"> (…)</w:t>
      </w:r>
      <w:r w:rsidRPr="00F255C4">
        <w:t>”</w:t>
      </w:r>
      <w:r w:rsidRPr="00F255C4">
        <w:t>.</w:t>
      </w:r>
    </w:p>
    <w:p w:rsidR="00A835D2" w:rsidRPr="00F255C4" w:rsidRDefault="00F255C4" w:rsidP="00A835D2">
      <w:pPr>
        <w:pStyle w:val="Prrafodelista"/>
        <w:tabs>
          <w:tab w:val="left" w:pos="284"/>
        </w:tabs>
        <w:ind w:left="0" w:right="-234"/>
        <w:jc w:val="both"/>
      </w:pPr>
    </w:p>
    <w:p w:rsidR="00A91DDB" w:rsidRPr="00F255C4" w:rsidRDefault="00F255C4" w:rsidP="00EB0D70">
      <w:pPr>
        <w:pStyle w:val="Prrafodelista"/>
        <w:numPr>
          <w:ilvl w:val="1"/>
          <w:numId w:val="2"/>
        </w:numPr>
        <w:tabs>
          <w:tab w:val="left" w:pos="284"/>
        </w:tabs>
        <w:ind w:left="0" w:right="-234" w:firstLine="0"/>
        <w:jc w:val="both"/>
      </w:pPr>
      <w:r w:rsidRPr="00F255C4">
        <w:t xml:space="preserve">Para el representante a la Cámara </w:t>
      </w:r>
      <w:r w:rsidRPr="00F255C4">
        <w:t>“</w:t>
      </w:r>
      <w:r w:rsidRPr="00F255C4">
        <w:t xml:space="preserve">el objeto directo de la regulación NO es el desarrollo </w:t>
      </w:r>
      <w:r w:rsidRPr="00F255C4">
        <w:t>del derecho a la intimidad, pues no se están estableciendo parámetros, límites ni procedimientos que afecten el mismo</w:t>
      </w:r>
      <w:r w:rsidRPr="00F255C4">
        <w:t>”. A su juicio “</w:t>
      </w:r>
      <w:r w:rsidRPr="00F255C4">
        <w:t>lo que se está haciendo es establecer un mecanismo de protección frente la invasión en horas inadecuadas por las actividade</w:t>
      </w:r>
      <w:r w:rsidRPr="00F255C4">
        <w:t>s de cobranza y de oferta de bienes y servicios, que tampoco se ven afectadas, pues pueden desarrollarse sin variación alguna en los tiempos ordinarios que no pertenecen al descanso</w:t>
      </w:r>
      <w:r w:rsidRPr="00F255C4">
        <w:t>”</w:t>
      </w:r>
      <w:r w:rsidRPr="00F255C4">
        <w:t xml:space="preserve">. </w:t>
      </w:r>
    </w:p>
    <w:p w:rsidR="00A835D2" w:rsidRPr="00F255C4" w:rsidRDefault="00F255C4" w:rsidP="00A835D2">
      <w:pPr>
        <w:pStyle w:val="Prrafodelista"/>
      </w:pPr>
    </w:p>
    <w:p w:rsidR="00A91DDB" w:rsidRPr="00F255C4" w:rsidRDefault="00F255C4" w:rsidP="00EB0D70">
      <w:pPr>
        <w:pStyle w:val="Prrafodelista"/>
        <w:numPr>
          <w:ilvl w:val="1"/>
          <w:numId w:val="2"/>
        </w:numPr>
        <w:tabs>
          <w:tab w:val="left" w:pos="284"/>
        </w:tabs>
        <w:ind w:left="0" w:right="-234" w:firstLine="0"/>
        <w:jc w:val="both"/>
      </w:pPr>
      <w:r w:rsidRPr="00F255C4">
        <w:t>La ley demandada “</w:t>
      </w:r>
      <w:r w:rsidRPr="00F255C4">
        <w:t>no regula el derecho a la intimidad ni las formas en</w:t>
      </w:r>
      <w:r w:rsidRPr="00F255C4">
        <w:t xml:space="preserve"> las que se puede desarrollar, o que lo compone, o de qué manera se relaciona con otros derechos, ya que con la ley no se pretendió</w:t>
      </w:r>
      <w:r w:rsidRPr="00F255C4">
        <w:t xml:space="preserve"> (…)</w:t>
      </w:r>
      <w:r w:rsidRPr="00F255C4">
        <w:t xml:space="preserve"> regular ninguno de los aspectos del derecho a la intimidad</w:t>
      </w:r>
      <w:r w:rsidRPr="00F255C4">
        <w:t>”.</w:t>
      </w:r>
      <w:r w:rsidRPr="00F255C4">
        <w:t xml:space="preserve"> </w:t>
      </w:r>
      <w:r w:rsidRPr="00F255C4">
        <w:t>Advierte la intervención que “[l]</w:t>
      </w:r>
      <w:r w:rsidRPr="00F255C4">
        <w:t>a simple protección durant</w:t>
      </w:r>
      <w:r w:rsidRPr="00F255C4">
        <w:t>e unas horas frente a lo invasivo de las actividades de cobranza y de oferta de bienes y servicios no es sinónimo de regulación estructural, completa e integral del derecho fundamental</w:t>
      </w:r>
      <w:r w:rsidRPr="00F255C4">
        <w:t>”</w:t>
      </w:r>
      <w:r w:rsidRPr="00F255C4">
        <w:t xml:space="preserve">. </w:t>
      </w:r>
    </w:p>
    <w:p w:rsidR="00A835D2" w:rsidRPr="00F255C4" w:rsidRDefault="00F255C4" w:rsidP="00A835D2">
      <w:pPr>
        <w:pStyle w:val="Prrafodelista"/>
      </w:pPr>
    </w:p>
    <w:p w:rsidR="00A91DDB" w:rsidRPr="00F255C4" w:rsidRDefault="00F255C4" w:rsidP="00F36DD7">
      <w:pPr>
        <w:pStyle w:val="Prrafodelista"/>
        <w:numPr>
          <w:ilvl w:val="1"/>
          <w:numId w:val="2"/>
        </w:numPr>
        <w:tabs>
          <w:tab w:val="left" w:pos="284"/>
        </w:tabs>
        <w:ind w:left="0" w:right="-234" w:firstLine="0"/>
        <w:jc w:val="both"/>
      </w:pPr>
      <w:r w:rsidRPr="00F255C4">
        <w:t>Si se examina el contenido de la ley puede concluirse que</w:t>
      </w:r>
      <w:r w:rsidRPr="00F255C4">
        <w:t xml:space="preserve"> </w:t>
      </w:r>
      <w:r w:rsidRPr="00F255C4">
        <w:t>“[e]</w:t>
      </w:r>
      <w:r w:rsidRPr="00F255C4">
        <w:t>n nin</w:t>
      </w:r>
      <w:r w:rsidRPr="00F255C4">
        <w:t>guna de sus disposiciones la Ley demandada modifica o afecta el núcleo esencial del derecho a la intimidad</w:t>
      </w:r>
      <w:r w:rsidRPr="00F255C4">
        <w:t>”</w:t>
      </w:r>
      <w:r w:rsidRPr="00F255C4">
        <w:t>.</w:t>
      </w:r>
      <w:r w:rsidRPr="00F255C4">
        <w:t xml:space="preserve">  La ley “</w:t>
      </w:r>
      <w:r w:rsidRPr="00F255C4">
        <w:t>está estableciendo tan solo la protección de una de sus manifestaciones frente dos actividades concretas que lo afectan: la actividad de c</w:t>
      </w:r>
      <w:r w:rsidRPr="00F255C4">
        <w:t>obranza y oferta de bienes y servicios</w:t>
      </w:r>
      <w:r w:rsidRPr="00F255C4">
        <w:t>”</w:t>
      </w:r>
      <w:r w:rsidRPr="00F255C4">
        <w:t xml:space="preserve">. </w:t>
      </w:r>
    </w:p>
    <w:p w:rsidR="00F36DD7" w:rsidRPr="00F255C4" w:rsidRDefault="00F255C4" w:rsidP="00F36DD7">
      <w:pPr>
        <w:pStyle w:val="Prrafodelista"/>
      </w:pPr>
    </w:p>
    <w:p w:rsidR="00A91DDB" w:rsidRPr="00F255C4" w:rsidRDefault="00F255C4" w:rsidP="004C2698">
      <w:pPr>
        <w:pStyle w:val="Prrafodelista"/>
        <w:numPr>
          <w:ilvl w:val="0"/>
          <w:numId w:val="2"/>
        </w:numPr>
        <w:tabs>
          <w:tab w:val="left" w:pos="284"/>
          <w:tab w:val="right" w:pos="567"/>
          <w:tab w:val="left" w:pos="8222"/>
        </w:tabs>
        <w:ind w:left="0" w:right="-234" w:firstLine="0"/>
        <w:jc w:val="both"/>
      </w:pPr>
      <w:r w:rsidRPr="00F255C4">
        <w:t xml:space="preserve">Concluye advirtiendo que </w:t>
      </w:r>
      <w:r w:rsidRPr="00F255C4">
        <w:t>“ninguna relación tiene la norma demandada con el derecho de habeas data, ni esta relación puede deducirse de la simple circunstancia de que este derecho, el de habeas data, derive de la m</w:t>
      </w:r>
      <w:r w:rsidRPr="00F255C4">
        <w:t>isma norma constitucional (art. 15), y sea otro aspecto del derecho a la intimidad</w:t>
      </w:r>
      <w:r w:rsidRPr="00F255C4">
        <w:t>”</w:t>
      </w:r>
      <w:r w:rsidRPr="00F255C4">
        <w:t xml:space="preserve">. </w:t>
      </w:r>
      <w:r w:rsidRPr="00F255C4">
        <w:t>Esa aproximación de la demandante “</w:t>
      </w:r>
      <w:r w:rsidRPr="00F255C4">
        <w:t>ilustra la confusión en que incurre al considerar afectado el núcleo esencial del derecho fundamental, por el hecho de estar consagrados</w:t>
      </w:r>
      <w:r w:rsidRPr="00F255C4">
        <w:t>, tanto el derecho a la intimidad, como el derecho de habeas data, en la misma disposición superior</w:t>
      </w:r>
      <w:r w:rsidRPr="00F255C4">
        <w:t>”</w:t>
      </w:r>
      <w:r w:rsidRPr="00F255C4">
        <w:t xml:space="preserve">. </w:t>
      </w:r>
    </w:p>
    <w:p w:rsidR="000E71C7" w:rsidRPr="00F255C4" w:rsidRDefault="00F255C4" w:rsidP="00EB0D70">
      <w:pPr>
        <w:pStyle w:val="Prrafodelista"/>
        <w:tabs>
          <w:tab w:val="left" w:pos="284"/>
        </w:tabs>
        <w:ind w:left="0" w:right="-234"/>
        <w:jc w:val="both"/>
      </w:pPr>
    </w:p>
    <w:p w:rsidR="000E71C7" w:rsidRPr="00F255C4" w:rsidRDefault="00F255C4" w:rsidP="00EB0D70">
      <w:pPr>
        <w:pStyle w:val="Prrafodelista"/>
        <w:tabs>
          <w:tab w:val="left" w:pos="284"/>
        </w:tabs>
        <w:ind w:left="0" w:right="-234"/>
        <w:jc w:val="both"/>
        <w:rPr>
          <w:b/>
        </w:rPr>
      </w:pPr>
      <w:r w:rsidRPr="00F255C4">
        <w:rPr>
          <w:b/>
        </w:rPr>
        <w:t>Ministerio de Tecnología de la Información y las Comunicaciones</w:t>
      </w:r>
    </w:p>
    <w:p w:rsidR="000E71C7" w:rsidRPr="00F255C4" w:rsidRDefault="00F255C4" w:rsidP="00EB0D70">
      <w:pPr>
        <w:pStyle w:val="Prrafodelista"/>
        <w:tabs>
          <w:tab w:val="left" w:pos="284"/>
        </w:tabs>
        <w:ind w:left="0" w:right="-234"/>
        <w:jc w:val="both"/>
      </w:pPr>
    </w:p>
    <w:p w:rsidR="00B51FCB" w:rsidRPr="00F255C4" w:rsidRDefault="00F255C4" w:rsidP="004C2698">
      <w:pPr>
        <w:pStyle w:val="Prrafodelista"/>
        <w:numPr>
          <w:ilvl w:val="0"/>
          <w:numId w:val="2"/>
        </w:numPr>
        <w:tabs>
          <w:tab w:val="left" w:pos="284"/>
          <w:tab w:val="right" w:pos="567"/>
          <w:tab w:val="left" w:pos="8222"/>
        </w:tabs>
        <w:ind w:left="0" w:right="-234" w:firstLine="0"/>
        <w:jc w:val="both"/>
      </w:pPr>
      <w:r w:rsidRPr="00F255C4">
        <w:t xml:space="preserve">Solicita que se declare la exequibilidad a partir de los siguientes argumentos. </w:t>
      </w:r>
    </w:p>
    <w:p w:rsidR="004C2698" w:rsidRPr="00F255C4" w:rsidRDefault="00F255C4" w:rsidP="004C2698">
      <w:pPr>
        <w:pStyle w:val="Prrafodelista"/>
        <w:tabs>
          <w:tab w:val="left" w:pos="284"/>
          <w:tab w:val="right" w:pos="567"/>
          <w:tab w:val="left" w:pos="8222"/>
        </w:tabs>
        <w:ind w:left="0" w:right="-234"/>
        <w:jc w:val="both"/>
      </w:pPr>
    </w:p>
    <w:p w:rsidR="00B51FCB" w:rsidRPr="00F255C4" w:rsidRDefault="00F255C4" w:rsidP="004C2698">
      <w:pPr>
        <w:pStyle w:val="Prrafodelista"/>
        <w:numPr>
          <w:ilvl w:val="0"/>
          <w:numId w:val="2"/>
        </w:numPr>
        <w:tabs>
          <w:tab w:val="left" w:pos="284"/>
          <w:tab w:val="right" w:pos="567"/>
          <w:tab w:val="left" w:pos="8222"/>
        </w:tabs>
        <w:ind w:left="0" w:right="-234" w:firstLine="0"/>
        <w:jc w:val="both"/>
      </w:pPr>
      <w:r w:rsidRPr="00F255C4">
        <w:t xml:space="preserve">La ley acusada “no está regulando aspectos del núcleo esencial de los derechos fundamentales a la intimidad y al habeas data, por tanto, el trámite ordinario que se surtió corresponde a la naturaleza </w:t>
      </w:r>
      <w:r w:rsidRPr="00F255C4">
        <w:t xml:space="preserve">de </w:t>
      </w:r>
      <w:r w:rsidRPr="00F255C4">
        <w:t>su contenido”. En esa dirección y desde la exposición</w:t>
      </w:r>
      <w:r w:rsidRPr="00F255C4">
        <w:t xml:space="preserve"> de motivos -Gaceta del Congreso No. 938 de 2021- se indicaba que “[s]e trata de la protección de apenas un aspecto del derecho fundamental a la intimidad, y no de una regulación integral del mismo, por lo que no se hace necesario tramitarla como Ley Estat</w:t>
      </w:r>
      <w:r w:rsidRPr="00F255C4">
        <w:t xml:space="preserve">utaria, sino que es propia del trámite ordinario”. </w:t>
      </w:r>
    </w:p>
    <w:p w:rsidR="004C2698" w:rsidRPr="00F255C4" w:rsidRDefault="00F255C4" w:rsidP="004C2698">
      <w:pPr>
        <w:pStyle w:val="Prrafodelista"/>
      </w:pPr>
    </w:p>
    <w:p w:rsidR="007027AF" w:rsidRPr="00F255C4" w:rsidRDefault="00F255C4" w:rsidP="004C2698">
      <w:pPr>
        <w:pStyle w:val="Prrafodelista"/>
        <w:numPr>
          <w:ilvl w:val="0"/>
          <w:numId w:val="2"/>
        </w:numPr>
        <w:tabs>
          <w:tab w:val="left" w:pos="284"/>
          <w:tab w:val="right" w:pos="567"/>
          <w:tab w:val="left" w:pos="8222"/>
        </w:tabs>
        <w:ind w:left="0" w:right="-234" w:firstLine="0"/>
        <w:jc w:val="both"/>
      </w:pPr>
      <w:r w:rsidRPr="00F255C4">
        <w:t xml:space="preserve">La ley impugnada “establece el canal de comunicación que usarán las entidades vigiladas por la Superintendencia Financiera y todas las personas naturales y jurídicas que adelanten gestiones de cobranzas </w:t>
      </w:r>
      <w:r w:rsidRPr="00F255C4">
        <w:t>de forma directa, por medio de terceros o por cesión de la obligación, para adelantar los contactos y la forma cómo se debe contactar al consumidor financiero, así como las acciones de que deberán abstenerse de realizar dichas entidades”. Tal contenido “no</w:t>
      </w:r>
      <w:r w:rsidRPr="00F255C4">
        <w:t xml:space="preserve"> modifica de alguna manera el núcleo esencial de los derechos fundamentales a la intimidad y al habeas data; simplemente regula conductas de terceros en relación con el goce de estos derechos”.</w:t>
      </w:r>
    </w:p>
    <w:p w:rsidR="004C2698" w:rsidRPr="00F255C4" w:rsidRDefault="00F255C4" w:rsidP="004C2698">
      <w:pPr>
        <w:pStyle w:val="Prrafodelista"/>
      </w:pPr>
    </w:p>
    <w:p w:rsidR="00B51FCB" w:rsidRPr="00F255C4" w:rsidRDefault="00F255C4" w:rsidP="004C2698">
      <w:pPr>
        <w:pStyle w:val="Prrafodelista"/>
        <w:numPr>
          <w:ilvl w:val="0"/>
          <w:numId w:val="2"/>
        </w:numPr>
        <w:tabs>
          <w:tab w:val="left" w:pos="284"/>
          <w:tab w:val="right" w:pos="567"/>
          <w:tab w:val="left" w:pos="8222"/>
        </w:tabs>
        <w:ind w:left="0" w:right="-234" w:firstLine="0"/>
        <w:jc w:val="both"/>
      </w:pPr>
      <w:r w:rsidRPr="00F255C4">
        <w:t>L</w:t>
      </w:r>
      <w:r w:rsidRPr="00F255C4">
        <w:t xml:space="preserve">a declaratoria de inexequibilidad “podría considerarse como </w:t>
      </w:r>
      <w:r w:rsidRPr="00F255C4">
        <w:t>un retroceso en materia de protección de los derechos de los consumidores a los que se refiere la Ley 2300 de 2023, que busca resguardar ese ámbito privado del individuo y su familia de la injerencia externa e invasiva, durante las horas reservadas a la in</w:t>
      </w:r>
      <w:r w:rsidRPr="00F255C4">
        <w:t>timidad individual y familiar”.</w:t>
      </w:r>
    </w:p>
    <w:p w:rsidR="00B51FCB" w:rsidRPr="00F255C4" w:rsidRDefault="00F255C4" w:rsidP="00EB0D70">
      <w:pPr>
        <w:spacing w:after="0" w:line="240" w:lineRule="auto"/>
        <w:ind w:right="-234"/>
        <w:rPr>
          <w:rFonts w:ascii="Times New Roman" w:hAnsi="Times New Roman" w:cs="Times New Roman"/>
          <w:b/>
          <w:sz w:val="28"/>
          <w:szCs w:val="28"/>
        </w:rPr>
      </w:pPr>
    </w:p>
    <w:p w:rsidR="00B51FCB" w:rsidRPr="00F255C4" w:rsidRDefault="00F255C4" w:rsidP="00BB1317">
      <w:pPr>
        <w:spacing w:after="0" w:line="240" w:lineRule="auto"/>
        <w:ind w:right="-234"/>
        <w:jc w:val="both"/>
        <w:rPr>
          <w:rFonts w:ascii="Times New Roman" w:hAnsi="Times New Roman" w:cs="Times New Roman"/>
          <w:b/>
          <w:sz w:val="28"/>
          <w:szCs w:val="28"/>
        </w:rPr>
      </w:pPr>
      <w:r w:rsidRPr="00F255C4">
        <w:rPr>
          <w:rFonts w:ascii="Times New Roman" w:hAnsi="Times New Roman" w:cs="Times New Roman"/>
          <w:b/>
          <w:sz w:val="28"/>
          <w:szCs w:val="28"/>
        </w:rPr>
        <w:t>Juan Carlos Montoya Blandón</w:t>
      </w:r>
      <w:r w:rsidRPr="00F255C4">
        <w:rPr>
          <w:rFonts w:ascii="Times New Roman" w:hAnsi="Times New Roman" w:cs="Times New Roman"/>
          <w:b/>
          <w:sz w:val="28"/>
          <w:szCs w:val="28"/>
        </w:rPr>
        <w:t>,</w:t>
      </w:r>
      <w:r w:rsidRPr="00F255C4">
        <w:rPr>
          <w:rFonts w:ascii="Times New Roman" w:hAnsi="Times New Roman" w:cs="Times New Roman"/>
          <w:b/>
          <w:sz w:val="28"/>
          <w:szCs w:val="28"/>
        </w:rPr>
        <w:t xml:space="preserve"> Paula Andrea Penagos Ortiz</w:t>
      </w:r>
      <w:r w:rsidRPr="00F255C4">
        <w:rPr>
          <w:rFonts w:ascii="Times New Roman" w:hAnsi="Times New Roman" w:cs="Times New Roman"/>
          <w:b/>
          <w:sz w:val="28"/>
          <w:szCs w:val="28"/>
        </w:rPr>
        <w:t xml:space="preserve"> y</w:t>
      </w:r>
      <w:r w:rsidRPr="00F255C4">
        <w:rPr>
          <w:rFonts w:ascii="Times New Roman" w:hAnsi="Times New Roman" w:cs="Times New Roman"/>
          <w:b/>
          <w:sz w:val="28"/>
          <w:szCs w:val="28"/>
        </w:rPr>
        <w:t xml:space="preserve"> Nicolás Serrato Calle </w:t>
      </w:r>
    </w:p>
    <w:p w:rsidR="00B51FCB" w:rsidRPr="00F255C4" w:rsidRDefault="00F255C4" w:rsidP="00EB0D70">
      <w:pPr>
        <w:spacing w:after="0" w:line="240" w:lineRule="auto"/>
        <w:ind w:right="-234"/>
        <w:rPr>
          <w:rFonts w:ascii="Times New Roman" w:hAnsi="Times New Roman" w:cs="Times New Roman"/>
          <w:sz w:val="28"/>
          <w:szCs w:val="28"/>
        </w:rPr>
      </w:pPr>
    </w:p>
    <w:p w:rsidR="0013768C" w:rsidRPr="00F255C4" w:rsidRDefault="00F255C4" w:rsidP="00C6428A">
      <w:pPr>
        <w:pStyle w:val="Prrafodelista"/>
        <w:numPr>
          <w:ilvl w:val="0"/>
          <w:numId w:val="2"/>
        </w:numPr>
        <w:tabs>
          <w:tab w:val="left" w:pos="284"/>
          <w:tab w:val="right" w:pos="567"/>
          <w:tab w:val="left" w:pos="8222"/>
        </w:tabs>
        <w:ind w:left="0" w:right="-234" w:firstLine="0"/>
        <w:jc w:val="both"/>
      </w:pPr>
      <w:r w:rsidRPr="00F255C4">
        <w:t>L</w:t>
      </w:r>
      <w:r w:rsidRPr="00F255C4">
        <w:t xml:space="preserve">a regulación “establece presupuestos legales que impactan los elementos estructurales del derecho a la intimidad al limitar y dotar a </w:t>
      </w:r>
      <w:r w:rsidRPr="00F255C4">
        <w:t>terceros de las herramientas y oportunidades para invadir válidamente la esfera íntima del consumidor</w:t>
      </w:r>
      <w:r w:rsidRPr="00F255C4">
        <w:t xml:space="preserve"> (…)</w:t>
      </w:r>
      <w:r w:rsidRPr="00F255C4">
        <w:t>”.</w:t>
      </w:r>
    </w:p>
    <w:p w:rsidR="004C2698" w:rsidRPr="00F255C4" w:rsidRDefault="00F255C4" w:rsidP="004C2698">
      <w:pPr>
        <w:pStyle w:val="Prrafodelista"/>
      </w:pPr>
    </w:p>
    <w:p w:rsidR="0013768C" w:rsidRPr="00F255C4" w:rsidRDefault="00F255C4" w:rsidP="004C2698">
      <w:pPr>
        <w:pStyle w:val="Prrafodelista"/>
        <w:numPr>
          <w:ilvl w:val="0"/>
          <w:numId w:val="2"/>
        </w:numPr>
        <w:tabs>
          <w:tab w:val="left" w:pos="284"/>
          <w:tab w:val="right" w:pos="567"/>
          <w:tab w:val="left" w:pos="8222"/>
        </w:tabs>
        <w:ind w:left="0" w:right="-234" w:firstLine="0"/>
        <w:jc w:val="both"/>
      </w:pPr>
      <w:r w:rsidRPr="00F255C4">
        <w:t xml:space="preserve">Sobre el alcance de la regulación es posible considerar </w:t>
      </w:r>
      <w:r w:rsidRPr="00F255C4">
        <w:t>“</w:t>
      </w:r>
      <w:r w:rsidRPr="00F255C4">
        <w:t>que las formas y oportunidades en la que se cobra y publicita un servicio comercial al con</w:t>
      </w:r>
      <w:r w:rsidRPr="00F255C4">
        <w:t>sumidor es una mera manifestación de restricción al derecho fundamental a la intimidad, más no circunstancias intrínsecas en su naturaleza y que al ser regulado o restringido no puede cambiar lo que diferencia este derecho del resto</w:t>
      </w:r>
      <w:r w:rsidRPr="00F255C4">
        <w:t>”</w:t>
      </w:r>
      <w:r w:rsidRPr="00F255C4">
        <w:t xml:space="preserve">. </w:t>
      </w:r>
      <w:r w:rsidRPr="00F255C4">
        <w:t>En realidad “</w:t>
      </w:r>
      <w:r w:rsidRPr="00F255C4">
        <w:t>lo que s</w:t>
      </w:r>
      <w:r w:rsidRPr="00F255C4">
        <w:t xml:space="preserve">e regula en la ley 2300 de 2023 no posee las cualidades de desnaturalizar o hacer impracticable el derecho fundamental </w:t>
      </w:r>
      <w:r w:rsidRPr="00F255C4">
        <w:t xml:space="preserve">(…)”. </w:t>
      </w:r>
    </w:p>
    <w:p w:rsidR="004C2698" w:rsidRPr="00F255C4" w:rsidRDefault="00F255C4" w:rsidP="004C2698">
      <w:pPr>
        <w:pStyle w:val="Prrafodelista"/>
      </w:pPr>
    </w:p>
    <w:p w:rsidR="001D3235" w:rsidRPr="00F255C4" w:rsidRDefault="00F255C4" w:rsidP="004C2698">
      <w:pPr>
        <w:pStyle w:val="Prrafodelista"/>
        <w:numPr>
          <w:ilvl w:val="0"/>
          <w:numId w:val="2"/>
        </w:numPr>
        <w:tabs>
          <w:tab w:val="left" w:pos="284"/>
          <w:tab w:val="right" w:pos="567"/>
          <w:tab w:val="left" w:pos="8222"/>
        </w:tabs>
        <w:ind w:left="0" w:right="-234" w:firstLine="0"/>
        <w:jc w:val="both"/>
      </w:pPr>
      <w:r w:rsidRPr="00F255C4">
        <w:t>En este caso la</w:t>
      </w:r>
      <w:r w:rsidRPr="00F255C4">
        <w:t xml:space="preserve"> ley acusada</w:t>
      </w:r>
      <w:r w:rsidRPr="00F255C4">
        <w:t xml:space="preserve"> “se enfoca principalmente y de manera limitada en aspectos formales relacionados con el acercamiento </w:t>
      </w:r>
      <w:r w:rsidRPr="00F255C4">
        <w:t>extra judicial que puede tener el acreedor o casas de cobranza con sus deudores para el cobro de obligaciones y entrega de información comercial al consumidor final, pero no aborda ciertamente los temas esenciales del derecho a la intimidad</w:t>
      </w:r>
      <w:r w:rsidRPr="00F255C4">
        <w:t xml:space="preserve"> (…)</w:t>
      </w:r>
      <w:r w:rsidRPr="00F255C4">
        <w:t>”.</w:t>
      </w:r>
    </w:p>
    <w:p w:rsidR="00BD68CB" w:rsidRPr="00F255C4" w:rsidRDefault="00F255C4" w:rsidP="00EB0D70">
      <w:pPr>
        <w:pStyle w:val="Prrafodelista"/>
        <w:tabs>
          <w:tab w:val="left" w:pos="284"/>
        </w:tabs>
        <w:ind w:left="0" w:right="-234"/>
        <w:jc w:val="both"/>
      </w:pPr>
    </w:p>
    <w:p w:rsidR="00BD68CB" w:rsidRPr="00F255C4" w:rsidRDefault="00F255C4" w:rsidP="00EB0D70">
      <w:pPr>
        <w:spacing w:after="0" w:line="240" w:lineRule="auto"/>
        <w:ind w:right="-234"/>
        <w:rPr>
          <w:rFonts w:ascii="Times New Roman" w:hAnsi="Times New Roman" w:cs="Times New Roman"/>
          <w:b/>
          <w:sz w:val="28"/>
          <w:szCs w:val="28"/>
        </w:rPr>
      </w:pPr>
      <w:r w:rsidRPr="00F255C4">
        <w:rPr>
          <w:rFonts w:ascii="Times New Roman" w:hAnsi="Times New Roman" w:cs="Times New Roman"/>
          <w:b/>
          <w:sz w:val="28"/>
          <w:szCs w:val="28"/>
        </w:rPr>
        <w:t>Superint</w:t>
      </w:r>
      <w:r w:rsidRPr="00F255C4">
        <w:rPr>
          <w:rFonts w:ascii="Times New Roman" w:hAnsi="Times New Roman" w:cs="Times New Roman"/>
          <w:b/>
          <w:sz w:val="28"/>
          <w:szCs w:val="28"/>
        </w:rPr>
        <w:t>endencia financiera</w:t>
      </w:r>
    </w:p>
    <w:p w:rsidR="00E2619C" w:rsidRPr="00F255C4" w:rsidRDefault="00F255C4" w:rsidP="00EB0D70">
      <w:pPr>
        <w:spacing w:after="0" w:line="240" w:lineRule="auto"/>
        <w:ind w:right="-234"/>
        <w:rPr>
          <w:rFonts w:ascii="Times New Roman" w:hAnsi="Times New Roman" w:cs="Times New Roman"/>
          <w:b/>
          <w:sz w:val="28"/>
          <w:szCs w:val="28"/>
        </w:rPr>
      </w:pPr>
    </w:p>
    <w:p w:rsidR="00BD68CB" w:rsidRPr="00F255C4" w:rsidRDefault="00F255C4" w:rsidP="00A835D2">
      <w:pPr>
        <w:pStyle w:val="Prrafodelista"/>
        <w:numPr>
          <w:ilvl w:val="0"/>
          <w:numId w:val="2"/>
        </w:numPr>
        <w:tabs>
          <w:tab w:val="left" w:pos="284"/>
        </w:tabs>
        <w:ind w:left="0" w:right="-234" w:firstLine="0"/>
        <w:jc w:val="both"/>
      </w:pPr>
      <w:r w:rsidRPr="00F255C4">
        <w:t>En su intervención la Superintendencia Financiera indicó que “se abstiene de intervenir en el trámite de constitucionalidad de la referencia, por cuanto revisados lo</w:t>
      </w:r>
      <w:r w:rsidRPr="00F255C4">
        <w:t>s</w:t>
      </w:r>
      <w:r w:rsidRPr="00F255C4">
        <w:t xml:space="preserve"> cargos de la demanda se evidencia que los mismos recaen sobre vicios</w:t>
      </w:r>
      <w:r w:rsidRPr="00F255C4">
        <w:t xml:space="preserve"> en el trámite legislativo y/o de formación de la ley, aspectos ajenos a nuestras competencias”.</w:t>
      </w:r>
    </w:p>
    <w:p w:rsidR="00BD68CB" w:rsidRPr="00F255C4" w:rsidRDefault="00F255C4" w:rsidP="00EB0D70">
      <w:pPr>
        <w:pStyle w:val="Prrafodelista"/>
        <w:tabs>
          <w:tab w:val="left" w:pos="284"/>
        </w:tabs>
        <w:ind w:left="0" w:right="-234"/>
        <w:jc w:val="both"/>
      </w:pPr>
    </w:p>
    <w:p w:rsidR="00BD68CB" w:rsidRPr="00F255C4" w:rsidRDefault="00F255C4" w:rsidP="004C2698">
      <w:pPr>
        <w:pStyle w:val="Prrafodelista"/>
        <w:numPr>
          <w:ilvl w:val="0"/>
          <w:numId w:val="1"/>
        </w:numPr>
        <w:tabs>
          <w:tab w:val="left" w:pos="426"/>
          <w:tab w:val="left" w:pos="8222"/>
          <w:tab w:val="right" w:pos="8647"/>
        </w:tabs>
        <w:autoSpaceDE/>
        <w:autoSpaceDN/>
        <w:ind w:left="0" w:right="-234" w:firstLine="0"/>
        <w:contextualSpacing/>
        <w:rPr>
          <w:b/>
        </w:rPr>
      </w:pPr>
      <w:r w:rsidRPr="00F255C4">
        <w:rPr>
          <w:b/>
        </w:rPr>
        <w:t>Concepto de la p</w:t>
      </w:r>
      <w:r w:rsidRPr="00F255C4">
        <w:rPr>
          <w:b/>
        </w:rPr>
        <w:t>rocurad</w:t>
      </w:r>
      <w:r w:rsidRPr="00F255C4">
        <w:rPr>
          <w:b/>
        </w:rPr>
        <w:t>ora</w:t>
      </w:r>
      <w:r w:rsidRPr="00F255C4">
        <w:rPr>
          <w:b/>
        </w:rPr>
        <w:t xml:space="preserve"> </w:t>
      </w:r>
      <w:r w:rsidRPr="00F255C4">
        <w:rPr>
          <w:b/>
        </w:rPr>
        <w:t>g</w:t>
      </w:r>
      <w:r w:rsidRPr="00F255C4">
        <w:rPr>
          <w:b/>
        </w:rPr>
        <w:t xml:space="preserve">eneral de la Nación </w:t>
      </w:r>
    </w:p>
    <w:p w:rsidR="00CE5A74" w:rsidRPr="00F255C4" w:rsidRDefault="00F255C4" w:rsidP="00EB0D70">
      <w:pPr>
        <w:pStyle w:val="Prrafodelista"/>
        <w:tabs>
          <w:tab w:val="left" w:pos="284"/>
        </w:tabs>
        <w:ind w:left="0" w:right="-234"/>
        <w:jc w:val="both"/>
        <w:rPr>
          <w:b/>
        </w:rPr>
      </w:pPr>
    </w:p>
    <w:p w:rsidR="00CE3BBD" w:rsidRPr="00F255C4" w:rsidRDefault="00F255C4" w:rsidP="00A835D2">
      <w:pPr>
        <w:pStyle w:val="Prrafodelista"/>
        <w:numPr>
          <w:ilvl w:val="0"/>
          <w:numId w:val="2"/>
        </w:numPr>
        <w:tabs>
          <w:tab w:val="left" w:pos="284"/>
        </w:tabs>
        <w:ind w:left="0" w:right="-234" w:firstLine="0"/>
        <w:jc w:val="both"/>
      </w:pPr>
      <w:r w:rsidRPr="00F255C4">
        <w:t>Solicit</w:t>
      </w:r>
      <w:r w:rsidRPr="00F255C4">
        <w:t>ó</w:t>
      </w:r>
      <w:r w:rsidRPr="00F255C4">
        <w:t xml:space="preserve"> que se declare la exequibilidad de la Ley 2300 de 2023. Para ello present</w:t>
      </w:r>
      <w:r w:rsidRPr="00F255C4">
        <w:t>ó</w:t>
      </w:r>
      <w:r w:rsidRPr="00F255C4">
        <w:t xml:space="preserve"> los argumentos que se resumen a continuación. </w:t>
      </w:r>
    </w:p>
    <w:p w:rsidR="00CE3BBD" w:rsidRPr="00F255C4" w:rsidRDefault="00F255C4" w:rsidP="00CE3BBD">
      <w:pPr>
        <w:pStyle w:val="Prrafodelista"/>
        <w:tabs>
          <w:tab w:val="left" w:pos="284"/>
        </w:tabs>
        <w:ind w:left="0" w:right="-234"/>
        <w:jc w:val="both"/>
      </w:pPr>
    </w:p>
    <w:p w:rsidR="00CE3BBD" w:rsidRPr="00F255C4" w:rsidRDefault="00F255C4" w:rsidP="00A835D2">
      <w:pPr>
        <w:pStyle w:val="Prrafodelista"/>
        <w:numPr>
          <w:ilvl w:val="0"/>
          <w:numId w:val="2"/>
        </w:numPr>
        <w:tabs>
          <w:tab w:val="left" w:pos="284"/>
        </w:tabs>
        <w:ind w:left="0" w:right="-234" w:firstLine="0"/>
        <w:jc w:val="both"/>
      </w:pPr>
      <w:r w:rsidRPr="00F255C4">
        <w:t>La reserva de ley estatutaria, según lo ha señalado la Corte Constitucional, debe ser interpretada de manera restrictiva. Esta premisa es fundamental dado que de no proceder en esa dirección lo que resulta e</w:t>
      </w:r>
      <w:r w:rsidRPr="00F255C4">
        <w:t>xcepcional se convertiría en regla</w:t>
      </w:r>
      <w:r w:rsidRPr="00F255C4">
        <w:t>.</w:t>
      </w:r>
      <w:r w:rsidRPr="00F255C4">
        <w:t xml:space="preserve"> </w:t>
      </w:r>
    </w:p>
    <w:p w:rsidR="00CE3BBD" w:rsidRPr="00F255C4" w:rsidRDefault="00F255C4" w:rsidP="00CE3BBD">
      <w:pPr>
        <w:pStyle w:val="Prrafodelista"/>
      </w:pPr>
    </w:p>
    <w:p w:rsidR="00CE3BBD" w:rsidRPr="00F255C4" w:rsidRDefault="00F255C4" w:rsidP="00FE0295">
      <w:pPr>
        <w:pStyle w:val="Prrafodelista"/>
        <w:numPr>
          <w:ilvl w:val="0"/>
          <w:numId w:val="2"/>
        </w:numPr>
        <w:tabs>
          <w:tab w:val="left" w:pos="284"/>
          <w:tab w:val="right" w:pos="567"/>
          <w:tab w:val="left" w:pos="8222"/>
        </w:tabs>
        <w:ind w:left="0" w:right="-234" w:firstLine="0"/>
        <w:jc w:val="both"/>
      </w:pPr>
      <w:r w:rsidRPr="00F255C4">
        <w:t>Para definir</w:t>
      </w:r>
      <w:r w:rsidRPr="00F255C4">
        <w:t xml:space="preserve"> si una materia se encuentra comprendida por dicha reserva es necesario establecer, primero, si la</w:t>
      </w:r>
      <w:r w:rsidRPr="00F255C4">
        <w:t xml:space="preserve"> ley</w:t>
      </w:r>
      <w:r w:rsidRPr="00F255C4">
        <w:t xml:space="preserve"> tiene por objeto principal la regulación de un derecho fundamental. De ser ese el caso es necesario def</w:t>
      </w:r>
      <w:r w:rsidRPr="00F255C4">
        <w:t xml:space="preserve">inir si se refiere al núcleo esencial del derecho, </w:t>
      </w:r>
      <w:r w:rsidRPr="00F255C4">
        <w:t xml:space="preserve">a </w:t>
      </w:r>
      <w:r w:rsidRPr="00F255C4">
        <w:t xml:space="preserve">sus elementos estructurales o a un mecanismo esencial para </w:t>
      </w:r>
      <w:r w:rsidRPr="00F255C4">
        <w:t>su</w:t>
      </w:r>
      <w:r w:rsidRPr="00F255C4">
        <w:t xml:space="preserve"> protección.    </w:t>
      </w:r>
      <w:r w:rsidRPr="00F255C4">
        <w:t xml:space="preserve">    </w:t>
      </w:r>
    </w:p>
    <w:p w:rsidR="00CE3BBD" w:rsidRPr="00F255C4" w:rsidRDefault="00F255C4" w:rsidP="00CE3BBD">
      <w:pPr>
        <w:pStyle w:val="Prrafodelista"/>
        <w:tabs>
          <w:tab w:val="left" w:pos="284"/>
        </w:tabs>
        <w:ind w:left="0" w:right="-234"/>
        <w:jc w:val="both"/>
      </w:pPr>
    </w:p>
    <w:p w:rsidR="009E4D14" w:rsidRPr="00F255C4" w:rsidRDefault="00F255C4" w:rsidP="00FE0295">
      <w:pPr>
        <w:pStyle w:val="Prrafodelista"/>
        <w:numPr>
          <w:ilvl w:val="0"/>
          <w:numId w:val="2"/>
        </w:numPr>
        <w:tabs>
          <w:tab w:val="left" w:pos="284"/>
          <w:tab w:val="right" w:pos="567"/>
          <w:tab w:val="left" w:pos="8222"/>
        </w:tabs>
        <w:ind w:left="0" w:right="-234" w:firstLine="0"/>
        <w:jc w:val="both"/>
      </w:pPr>
      <w:r w:rsidRPr="00F255C4">
        <w:t>La ley no</w:t>
      </w:r>
      <w:r w:rsidRPr="00F255C4">
        <w:t xml:space="preserve"> tiene como propósito la regulación de los derechos reconocidos en el artículo 15 de la Constitución</w:t>
      </w:r>
      <w:r w:rsidRPr="00F255C4">
        <w:t>. No regula</w:t>
      </w:r>
      <w:r w:rsidRPr="00F255C4">
        <w:t xml:space="preserve"> aspectos esenciales </w:t>
      </w:r>
      <w:r w:rsidRPr="00F255C4">
        <w:t xml:space="preserve">de </w:t>
      </w:r>
      <w:r w:rsidRPr="00F255C4">
        <w:t>los derechos a la intimidad y al habeas data</w:t>
      </w:r>
      <w:r w:rsidRPr="00F255C4">
        <w:t>. Se ocupa de intereses colectivos de los consumidores</w:t>
      </w:r>
      <w:r w:rsidRPr="00F255C4">
        <w:t xml:space="preserve"> según lo</w:t>
      </w:r>
      <w:r w:rsidRPr="00F255C4">
        <w:t xml:space="preserve"> previst</w:t>
      </w:r>
      <w:r w:rsidRPr="00F255C4">
        <w:t>o</w:t>
      </w:r>
      <w:r w:rsidRPr="00F255C4">
        <w:t xml:space="preserve"> en el artículo 78 de la Constitución.</w:t>
      </w:r>
      <w:r w:rsidRPr="00F255C4">
        <w:t xml:space="preserve"> Esta regulación adopt</w:t>
      </w:r>
      <w:r w:rsidRPr="00F255C4">
        <w:t>a</w:t>
      </w:r>
      <w:r w:rsidRPr="00F255C4">
        <w:t xml:space="preserve"> medidas para proteger los intereses de los consumidore</w:t>
      </w:r>
      <w:r w:rsidRPr="00F255C4">
        <w:t xml:space="preserve">s frente a las prácticas abusivas de las empresas dedicadas al desarrollo de actividades financieras y comerciales. </w:t>
      </w:r>
    </w:p>
    <w:p w:rsidR="009E4D14" w:rsidRPr="00F255C4" w:rsidRDefault="00F255C4" w:rsidP="009E4D14">
      <w:pPr>
        <w:pStyle w:val="Prrafodelista"/>
      </w:pPr>
    </w:p>
    <w:p w:rsidR="009E4D14" w:rsidRPr="00F255C4" w:rsidRDefault="00F255C4" w:rsidP="00FE0295">
      <w:pPr>
        <w:pStyle w:val="Prrafodelista"/>
        <w:numPr>
          <w:ilvl w:val="0"/>
          <w:numId w:val="2"/>
        </w:numPr>
        <w:tabs>
          <w:tab w:val="left" w:pos="284"/>
          <w:tab w:val="right" w:pos="567"/>
          <w:tab w:val="left" w:pos="8222"/>
        </w:tabs>
        <w:ind w:left="0" w:right="-234" w:firstLine="0"/>
        <w:jc w:val="both"/>
      </w:pPr>
      <w:r w:rsidRPr="00F255C4">
        <w:t>Si bien la aplicación de la ley puede tener como efecto la protección de los derechos fundamentales de los consumidores</w:t>
      </w:r>
      <w:r w:rsidRPr="00F255C4">
        <w:t>,</w:t>
      </w:r>
      <w:r w:rsidRPr="00F255C4">
        <w:t xml:space="preserve"> dicha protección </w:t>
      </w:r>
      <w:r w:rsidRPr="00F255C4">
        <w:t xml:space="preserve">debe entenderse como inherente a la legislación del consumo. </w:t>
      </w:r>
      <w:r w:rsidRPr="00F255C4">
        <w:t xml:space="preserve">Su propósito es </w:t>
      </w:r>
      <w:r w:rsidRPr="00F255C4">
        <w:t>restablecer la desigualdad entre consumidores y proveedores de bienes y servicios. Según la sentencia C-902 de 2011 la reserva de ley estatutaria no se extiende a la ordenación de</w:t>
      </w:r>
      <w:r w:rsidRPr="00F255C4">
        <w:t xml:space="preserve"> intereses que, como en este caso</w:t>
      </w:r>
      <w:r w:rsidRPr="00F255C4">
        <w:t>,</w:t>
      </w:r>
      <w:r w:rsidRPr="00F255C4">
        <w:t xml:space="preserve"> son colectivos. </w:t>
      </w:r>
    </w:p>
    <w:p w:rsidR="009E4D14" w:rsidRPr="00F255C4" w:rsidRDefault="00F255C4" w:rsidP="009E4D14">
      <w:pPr>
        <w:pStyle w:val="Prrafodelista"/>
      </w:pPr>
    </w:p>
    <w:p w:rsidR="004C2698" w:rsidRPr="00F255C4" w:rsidRDefault="00F255C4" w:rsidP="00FE0295">
      <w:pPr>
        <w:pStyle w:val="Prrafodelista"/>
        <w:numPr>
          <w:ilvl w:val="0"/>
          <w:numId w:val="2"/>
        </w:numPr>
        <w:tabs>
          <w:tab w:val="left" w:pos="284"/>
          <w:tab w:val="right" w:pos="567"/>
          <w:tab w:val="left" w:pos="8222"/>
        </w:tabs>
        <w:ind w:left="0" w:right="-234" w:firstLine="0"/>
        <w:jc w:val="both"/>
      </w:pPr>
      <w:r w:rsidRPr="00F255C4">
        <w:t>La regulación demandada no afecta los elementos centrales de los derechos a la intimidad y al habeas data. Tampoco se trata de una regulación integral si se tiene en cuenta, por ejemplo</w:t>
      </w:r>
      <w:r w:rsidRPr="00F255C4">
        <w:t>, que los derechos</w:t>
      </w:r>
      <w:r w:rsidRPr="00F255C4">
        <w:t xml:space="preserve"> referidos y los principios que los rigen han sido desarrollados en legislación estatutaria especifica (Ley 1266, Ley 1581, Ley 1712 y Ley 2157). En la misma dirección, la ley tampoco disciplina un instrumento para la protección de los derechos fundamental</w:t>
      </w:r>
      <w:r w:rsidRPr="00F255C4">
        <w:t xml:space="preserve">es </w:t>
      </w:r>
      <w:r w:rsidRPr="00F255C4">
        <w:t>indicados</w:t>
      </w:r>
      <w:r w:rsidRPr="00F255C4">
        <w:t xml:space="preserve">.  </w:t>
      </w:r>
      <w:r w:rsidRPr="00F255C4">
        <w:t xml:space="preserve"> </w:t>
      </w:r>
    </w:p>
    <w:p w:rsidR="004C2698" w:rsidRPr="00F255C4" w:rsidRDefault="00F255C4" w:rsidP="004C2698">
      <w:pPr>
        <w:pStyle w:val="Prrafodelista"/>
        <w:rPr>
          <w:b/>
        </w:rPr>
      </w:pPr>
    </w:p>
    <w:p w:rsidR="00C5386D" w:rsidRPr="00F255C4" w:rsidRDefault="00F255C4" w:rsidP="004C2698">
      <w:pPr>
        <w:pStyle w:val="Prrafodelista"/>
        <w:numPr>
          <w:ilvl w:val="0"/>
          <w:numId w:val="1"/>
        </w:numPr>
        <w:tabs>
          <w:tab w:val="left" w:pos="0"/>
          <w:tab w:val="left" w:pos="567"/>
          <w:tab w:val="right" w:pos="8647"/>
        </w:tabs>
        <w:autoSpaceDE/>
        <w:autoSpaceDN/>
        <w:ind w:left="0" w:right="-234" w:firstLine="0"/>
        <w:contextualSpacing/>
        <w:jc w:val="both"/>
        <w:rPr>
          <w:b/>
        </w:rPr>
      </w:pPr>
      <w:r w:rsidRPr="00F255C4">
        <w:rPr>
          <w:b/>
        </w:rPr>
        <w:t>Impedimento del magistrado Vladimir Fernández Andrade</w:t>
      </w:r>
    </w:p>
    <w:p w:rsidR="00C5386D" w:rsidRPr="00F255C4" w:rsidRDefault="00F255C4" w:rsidP="00C5386D">
      <w:pPr>
        <w:pStyle w:val="Prrafodelista"/>
        <w:tabs>
          <w:tab w:val="left" w:pos="0"/>
          <w:tab w:val="left" w:pos="567"/>
          <w:tab w:val="right" w:pos="8647"/>
        </w:tabs>
        <w:autoSpaceDE/>
        <w:autoSpaceDN/>
        <w:ind w:left="0" w:right="-232"/>
        <w:contextualSpacing/>
        <w:jc w:val="both"/>
        <w:rPr>
          <w:b/>
        </w:rPr>
      </w:pPr>
    </w:p>
    <w:p w:rsidR="00C5386D" w:rsidRPr="00F255C4" w:rsidRDefault="00F255C4" w:rsidP="00C5386D">
      <w:pPr>
        <w:pStyle w:val="Prrafodelista"/>
        <w:numPr>
          <w:ilvl w:val="0"/>
          <w:numId w:val="2"/>
        </w:numPr>
        <w:tabs>
          <w:tab w:val="left" w:pos="284"/>
          <w:tab w:val="right" w:pos="567"/>
          <w:tab w:val="left" w:pos="8222"/>
        </w:tabs>
        <w:ind w:left="0" w:right="-232" w:firstLine="0"/>
        <w:jc w:val="both"/>
        <w:rPr>
          <w:b/>
        </w:rPr>
      </w:pPr>
      <w:r w:rsidRPr="00F255C4">
        <w:t xml:space="preserve">Según constancia de la Secretaria General de la Corte, en sesión de Sala Plena celebrada el once (11) de julio de dos mil veinticuatro (2024) y de conformidad con lo normado por los </w:t>
      </w:r>
      <w:r w:rsidRPr="00F255C4">
        <w:t>artículos 25 y 26 del Decreto 2067 de 1991, se declaró fundada la manifestación de impedimento del magistrado Vladimir Fernández Andrade, para conocer y decidir el proceso D-15567 donde se demanda la “Ley 2300 de 2023, artículo 5”</w:t>
      </w:r>
    </w:p>
    <w:p w:rsidR="00C5386D" w:rsidRPr="00F255C4" w:rsidRDefault="00F255C4" w:rsidP="00C5386D">
      <w:pPr>
        <w:pStyle w:val="Prrafodelista"/>
        <w:tabs>
          <w:tab w:val="left" w:pos="0"/>
          <w:tab w:val="left" w:pos="567"/>
          <w:tab w:val="right" w:pos="8647"/>
        </w:tabs>
        <w:autoSpaceDE/>
        <w:autoSpaceDN/>
        <w:ind w:left="0" w:right="-234"/>
        <w:contextualSpacing/>
        <w:jc w:val="both"/>
        <w:rPr>
          <w:b/>
        </w:rPr>
      </w:pPr>
    </w:p>
    <w:p w:rsidR="004C2698" w:rsidRPr="00F255C4" w:rsidRDefault="00F255C4" w:rsidP="00C5386D">
      <w:pPr>
        <w:pStyle w:val="Prrafodelista"/>
        <w:numPr>
          <w:ilvl w:val="0"/>
          <w:numId w:val="1"/>
        </w:numPr>
        <w:tabs>
          <w:tab w:val="left" w:pos="0"/>
          <w:tab w:val="right" w:pos="567"/>
        </w:tabs>
        <w:autoSpaceDE/>
        <w:autoSpaceDN/>
        <w:ind w:left="0" w:right="-234" w:firstLine="0"/>
        <w:contextualSpacing/>
        <w:jc w:val="both"/>
        <w:rPr>
          <w:b/>
        </w:rPr>
      </w:pPr>
      <w:r w:rsidRPr="00F255C4">
        <w:rPr>
          <w:b/>
        </w:rPr>
        <w:t xml:space="preserve">Consideraciones </w:t>
      </w:r>
    </w:p>
    <w:p w:rsidR="00CE5A74" w:rsidRPr="00F255C4" w:rsidRDefault="00F255C4" w:rsidP="004C2698">
      <w:pPr>
        <w:pStyle w:val="Prrafodelista"/>
        <w:tabs>
          <w:tab w:val="left" w:pos="284"/>
          <w:tab w:val="left" w:pos="567"/>
        </w:tabs>
        <w:ind w:left="0" w:right="-234"/>
        <w:jc w:val="both"/>
      </w:pPr>
      <w:r w:rsidRPr="00F255C4">
        <w:t xml:space="preserve"> </w:t>
      </w:r>
    </w:p>
    <w:bookmarkEnd w:id="1"/>
    <w:p w:rsidR="0025526B" w:rsidRPr="00F255C4" w:rsidRDefault="00F255C4" w:rsidP="00D617B7">
      <w:pPr>
        <w:tabs>
          <w:tab w:val="left" w:pos="851"/>
        </w:tabs>
        <w:spacing w:after="0" w:line="240" w:lineRule="auto"/>
        <w:jc w:val="both"/>
        <w:rPr>
          <w:rFonts w:ascii="Times New Roman" w:hAnsi="Times New Roman" w:cs="Times New Roman"/>
          <w:b/>
          <w:sz w:val="28"/>
          <w:szCs w:val="28"/>
        </w:rPr>
      </w:pPr>
      <w:r w:rsidRPr="00F255C4">
        <w:rPr>
          <w:rFonts w:ascii="Times New Roman" w:hAnsi="Times New Roman" w:cs="Times New Roman"/>
          <w:b/>
          <w:sz w:val="28"/>
          <w:szCs w:val="28"/>
        </w:rPr>
        <w:tab/>
      </w:r>
      <w:r w:rsidRPr="00F255C4">
        <w:rPr>
          <w:rFonts w:ascii="Times New Roman" w:hAnsi="Times New Roman" w:cs="Times New Roman"/>
          <w:b/>
          <w:sz w:val="28"/>
          <w:szCs w:val="28"/>
        </w:rPr>
        <w:t>Comp</w:t>
      </w:r>
      <w:r w:rsidRPr="00F255C4">
        <w:rPr>
          <w:rFonts w:ascii="Times New Roman" w:hAnsi="Times New Roman" w:cs="Times New Roman"/>
          <w:b/>
          <w:sz w:val="28"/>
          <w:szCs w:val="28"/>
        </w:rPr>
        <w:t xml:space="preserve">etencia </w:t>
      </w:r>
    </w:p>
    <w:p w:rsidR="0025526B" w:rsidRPr="00F255C4" w:rsidRDefault="00F255C4" w:rsidP="00EB0D70">
      <w:pPr>
        <w:tabs>
          <w:tab w:val="left" w:pos="284"/>
        </w:tabs>
        <w:spacing w:after="0" w:line="240" w:lineRule="auto"/>
        <w:jc w:val="both"/>
        <w:rPr>
          <w:rFonts w:ascii="Times New Roman" w:hAnsi="Times New Roman" w:cs="Times New Roman"/>
          <w:sz w:val="28"/>
          <w:szCs w:val="28"/>
        </w:rPr>
      </w:pPr>
    </w:p>
    <w:p w:rsidR="00A835D2" w:rsidRPr="00F255C4" w:rsidRDefault="00F255C4" w:rsidP="00FE0295">
      <w:pPr>
        <w:pStyle w:val="Prrafodelista"/>
        <w:numPr>
          <w:ilvl w:val="0"/>
          <w:numId w:val="2"/>
        </w:numPr>
        <w:tabs>
          <w:tab w:val="left" w:pos="284"/>
          <w:tab w:val="right" w:pos="567"/>
          <w:tab w:val="left" w:pos="8222"/>
        </w:tabs>
        <w:ind w:left="0" w:right="-234" w:firstLine="0"/>
        <w:jc w:val="both"/>
      </w:pPr>
      <w:r w:rsidRPr="00F255C4">
        <w:t>L</w:t>
      </w:r>
      <w:r w:rsidRPr="00F255C4">
        <w:t xml:space="preserve">a Corte es competente para decidir sobre </w:t>
      </w:r>
      <w:r w:rsidRPr="00F255C4">
        <w:t>la</w:t>
      </w:r>
      <w:r w:rsidRPr="00F255C4">
        <w:t xml:space="preserve"> constitucionalidad</w:t>
      </w:r>
      <w:r w:rsidRPr="00F255C4">
        <w:t xml:space="preserve"> </w:t>
      </w:r>
      <w:r w:rsidRPr="00F255C4">
        <w:t xml:space="preserve">de la </w:t>
      </w:r>
      <w:r w:rsidRPr="00F255C4">
        <w:t>L</w:t>
      </w:r>
      <w:r w:rsidRPr="00F255C4">
        <w:t xml:space="preserve">ey 2300 de 2023 con fundamento en lo que dispone </w:t>
      </w:r>
      <w:r w:rsidRPr="00F255C4">
        <w:t xml:space="preserve">el artículo 241.4 de la Constitución. </w:t>
      </w:r>
    </w:p>
    <w:p w:rsidR="0025526B" w:rsidRPr="00F255C4" w:rsidRDefault="00F255C4" w:rsidP="00FB2D7A">
      <w:pPr>
        <w:pStyle w:val="Prrafodelista"/>
        <w:tabs>
          <w:tab w:val="left" w:pos="284"/>
          <w:tab w:val="right" w:pos="567"/>
          <w:tab w:val="left" w:pos="8222"/>
        </w:tabs>
        <w:ind w:left="0" w:right="-234"/>
        <w:jc w:val="both"/>
        <w:rPr>
          <w:rFonts w:eastAsia="Times New Roman"/>
          <w:lang w:eastAsia="es-CO"/>
        </w:rPr>
      </w:pPr>
      <w:r w:rsidRPr="00F255C4">
        <w:t xml:space="preserve"> </w:t>
      </w:r>
    </w:p>
    <w:p w:rsidR="00EF14FB" w:rsidRPr="00F255C4" w:rsidRDefault="00F255C4" w:rsidP="003B5B2F">
      <w:pPr>
        <w:shd w:val="clear" w:color="auto" w:fill="FFFFFF"/>
        <w:spacing w:after="0" w:line="240" w:lineRule="auto"/>
        <w:ind w:right="-141" w:firstLine="708"/>
        <w:jc w:val="both"/>
        <w:rPr>
          <w:rFonts w:ascii="Times New Roman" w:eastAsia="Times New Roman" w:hAnsi="Times New Roman" w:cs="Times New Roman"/>
          <w:sz w:val="28"/>
          <w:szCs w:val="28"/>
        </w:rPr>
      </w:pPr>
      <w:r w:rsidRPr="00F255C4">
        <w:rPr>
          <w:rFonts w:ascii="Times New Roman" w:eastAsia="Times New Roman" w:hAnsi="Times New Roman" w:cs="Times New Roman"/>
          <w:b/>
          <w:bCs/>
          <w:sz w:val="28"/>
          <w:szCs w:val="28"/>
          <w:lang w:val="es-ES"/>
        </w:rPr>
        <w:t xml:space="preserve"> </w:t>
      </w:r>
      <w:r w:rsidRPr="00F255C4">
        <w:rPr>
          <w:rFonts w:ascii="Times New Roman" w:eastAsia="Times New Roman" w:hAnsi="Times New Roman" w:cs="Times New Roman"/>
          <w:b/>
          <w:bCs/>
          <w:sz w:val="28"/>
          <w:szCs w:val="28"/>
          <w:lang w:val="es-ES"/>
        </w:rPr>
        <w:t>Planteamiento general</w:t>
      </w:r>
      <w:r w:rsidRPr="00F255C4">
        <w:rPr>
          <w:rFonts w:ascii="Times New Roman" w:eastAsia="Times New Roman" w:hAnsi="Times New Roman" w:cs="Times New Roman"/>
          <w:b/>
          <w:bCs/>
          <w:sz w:val="28"/>
          <w:szCs w:val="28"/>
          <w:lang w:val="es-ES"/>
        </w:rPr>
        <w:t>, problema jurídico y</w:t>
      </w:r>
      <w:r w:rsidRPr="00F255C4">
        <w:rPr>
          <w:rFonts w:ascii="Times New Roman" w:eastAsia="Times New Roman" w:hAnsi="Times New Roman" w:cs="Times New Roman"/>
          <w:b/>
          <w:bCs/>
          <w:sz w:val="28"/>
          <w:szCs w:val="28"/>
          <w:lang w:val="es-ES"/>
        </w:rPr>
        <w:t xml:space="preserve"> sentido de la decisión</w:t>
      </w:r>
    </w:p>
    <w:p w:rsidR="00EF14FB" w:rsidRPr="00F255C4" w:rsidRDefault="00F255C4" w:rsidP="00EF14FB">
      <w:pPr>
        <w:shd w:val="clear" w:color="auto" w:fill="FFFFFF"/>
        <w:spacing w:after="0" w:line="240" w:lineRule="auto"/>
        <w:ind w:right="-141"/>
        <w:jc w:val="both"/>
        <w:rPr>
          <w:rFonts w:ascii="Times New Roman" w:eastAsia="Times New Roman" w:hAnsi="Times New Roman" w:cs="Times New Roman"/>
          <w:sz w:val="28"/>
          <w:szCs w:val="28"/>
        </w:rPr>
      </w:pPr>
      <w:r w:rsidRPr="00F255C4">
        <w:rPr>
          <w:rFonts w:ascii="Times New Roman" w:eastAsia="Times New Roman" w:hAnsi="Times New Roman" w:cs="Times New Roman"/>
          <w:sz w:val="28"/>
          <w:szCs w:val="28"/>
          <w:lang w:val="es-ES"/>
        </w:rPr>
        <w:t> </w:t>
      </w:r>
    </w:p>
    <w:p w:rsidR="00CC57A3" w:rsidRPr="00F255C4" w:rsidRDefault="00F255C4" w:rsidP="002631F8">
      <w:pPr>
        <w:pStyle w:val="Prrafodelista"/>
        <w:numPr>
          <w:ilvl w:val="0"/>
          <w:numId w:val="2"/>
        </w:numPr>
        <w:tabs>
          <w:tab w:val="left" w:pos="284"/>
          <w:tab w:val="right" w:pos="567"/>
          <w:tab w:val="left" w:pos="8222"/>
        </w:tabs>
        <w:ind w:left="0" w:right="-234" w:firstLine="0"/>
        <w:jc w:val="both"/>
      </w:pPr>
      <w:r w:rsidRPr="00F255C4">
        <w:rPr>
          <w:lang w:val="es-ES"/>
        </w:rPr>
        <w:t>La Ley 2</w:t>
      </w:r>
      <w:r w:rsidRPr="00F255C4">
        <w:rPr>
          <w:lang w:val="es-ES"/>
        </w:rPr>
        <w:t xml:space="preserve">300 de </w:t>
      </w:r>
      <w:r w:rsidRPr="00F255C4">
        <w:rPr>
          <w:lang w:val="es-ES"/>
        </w:rPr>
        <w:t>2023 “</w:t>
      </w:r>
      <w:r w:rsidRPr="00F255C4">
        <w:rPr>
          <w:bCs/>
        </w:rPr>
        <w:t>por medio de la cual se establecen medidas que protejan el derecho a la intimidad de los consumidores” tiene por objeto, según lo establece su artículo 1</w:t>
      </w:r>
      <w:r w:rsidRPr="00F255C4">
        <w:rPr>
          <w:bCs/>
        </w:rPr>
        <w:t>º,</w:t>
      </w:r>
      <w:r w:rsidRPr="00F255C4">
        <w:rPr>
          <w:bCs/>
        </w:rPr>
        <w:t xml:space="preserve"> </w:t>
      </w:r>
      <w:r w:rsidRPr="00F255C4">
        <w:t xml:space="preserve">proteger el derecho a la intimidad de los consumidores, estableciendo los canales, el horario </w:t>
      </w:r>
      <w:r w:rsidRPr="00F255C4">
        <w:t>y la periodicidad en la que estos pueden ser contactados por las entidades vigiladas por la Superintendencia Financiera y todas las personas naturales y jurídicas que adelanten gestiones de cobranza de forma directa, por medio de terceros o por cesión de l</w:t>
      </w:r>
      <w:r w:rsidRPr="00F255C4">
        <w:t>a obligación. </w:t>
      </w:r>
    </w:p>
    <w:p w:rsidR="002631F8" w:rsidRPr="00F255C4" w:rsidRDefault="00F255C4" w:rsidP="002631F8">
      <w:pPr>
        <w:pStyle w:val="Prrafodelista"/>
        <w:tabs>
          <w:tab w:val="left" w:pos="284"/>
          <w:tab w:val="right" w:pos="567"/>
          <w:tab w:val="left" w:pos="8222"/>
        </w:tabs>
        <w:ind w:left="0" w:right="-234"/>
        <w:jc w:val="both"/>
      </w:pPr>
    </w:p>
    <w:p w:rsidR="002631F8" w:rsidRPr="00F255C4" w:rsidRDefault="00F255C4" w:rsidP="0042283C">
      <w:pPr>
        <w:pStyle w:val="Prrafodelista"/>
        <w:numPr>
          <w:ilvl w:val="0"/>
          <w:numId w:val="2"/>
        </w:numPr>
        <w:tabs>
          <w:tab w:val="left" w:pos="284"/>
          <w:tab w:val="right" w:pos="567"/>
          <w:tab w:val="left" w:pos="8222"/>
        </w:tabs>
        <w:ind w:left="0" w:right="-234" w:firstLine="0"/>
        <w:jc w:val="both"/>
      </w:pPr>
      <w:r w:rsidRPr="00F255C4">
        <w:t>De acuerdo con el referido</w:t>
      </w:r>
      <w:r w:rsidRPr="00F255C4">
        <w:t xml:space="preserve"> artículo</w:t>
      </w:r>
      <w:r w:rsidRPr="00F255C4">
        <w:t xml:space="preserve"> se trata de una regulación que </w:t>
      </w:r>
      <w:r w:rsidRPr="00F255C4">
        <w:t xml:space="preserve">tiene </w:t>
      </w:r>
      <w:r w:rsidRPr="00F255C4">
        <w:t xml:space="preserve">como fin </w:t>
      </w:r>
      <w:r w:rsidRPr="00F255C4">
        <w:t xml:space="preserve">proteger al consumidor frente a comportamientos que, según advierte la propia ley, afectan su intimidad. Tales comportamientos se manifiestan en dos </w:t>
      </w:r>
      <w:r w:rsidRPr="00F255C4">
        <w:t>dimensiones</w:t>
      </w:r>
      <w:r w:rsidRPr="00F255C4">
        <w:t xml:space="preserve"> principales</w:t>
      </w:r>
      <w:r w:rsidRPr="00F255C4">
        <w:t>. De una parte</w:t>
      </w:r>
      <w:r w:rsidRPr="00F255C4">
        <w:t>,</w:t>
      </w:r>
      <w:r w:rsidRPr="00F255C4">
        <w:t xml:space="preserve"> en las actividades o gestiones de cobranza desarrolladas por todas las personas naturales o jurídicas que las tengan a su cargo, incluyendo a las entidades vigiladas por la Superintendencia Financiera</w:t>
      </w:r>
      <w:r w:rsidRPr="00F255C4">
        <w:t xml:space="preserve"> (art. 1) -en adelante </w:t>
      </w:r>
      <w:r w:rsidRPr="00F255C4">
        <w:rPr>
          <w:b/>
          <w:i/>
        </w:rPr>
        <w:t>dimensión de cobranza</w:t>
      </w:r>
      <w:r w:rsidRPr="00F255C4">
        <w:t>-</w:t>
      </w:r>
      <w:r w:rsidRPr="00F255C4">
        <w:t>.</w:t>
      </w:r>
      <w:r w:rsidRPr="00F255C4">
        <w:t xml:space="preserve"> </w:t>
      </w:r>
      <w:r w:rsidRPr="00F255C4">
        <w:t xml:space="preserve">De otra, en las actuaciones desplegadas por los productores y proveedores de bienes y servicios privados o públicos a efectos de adelantar actividades de carácter comercial o publicitario </w:t>
      </w:r>
      <w:r w:rsidRPr="00F255C4">
        <w:t>(art. 5) -en adelante</w:t>
      </w:r>
      <w:r w:rsidRPr="00F255C4">
        <w:t xml:space="preserve"> </w:t>
      </w:r>
      <w:r w:rsidRPr="00F255C4">
        <w:rPr>
          <w:b/>
          <w:i/>
        </w:rPr>
        <w:t>dimensión comercial</w:t>
      </w:r>
      <w:r w:rsidRPr="00F255C4">
        <w:t>-</w:t>
      </w:r>
      <w:r w:rsidRPr="00F255C4">
        <w:t xml:space="preserve">. </w:t>
      </w:r>
    </w:p>
    <w:p w:rsidR="0042283C" w:rsidRPr="00F255C4" w:rsidRDefault="00F255C4" w:rsidP="0042283C">
      <w:pPr>
        <w:pStyle w:val="Prrafodelista"/>
        <w:tabs>
          <w:tab w:val="left" w:pos="284"/>
          <w:tab w:val="right" w:pos="567"/>
          <w:tab w:val="left" w:pos="8222"/>
        </w:tabs>
        <w:ind w:left="0" w:right="-234"/>
        <w:jc w:val="both"/>
      </w:pPr>
    </w:p>
    <w:p w:rsidR="002631F8" w:rsidRPr="00F255C4" w:rsidRDefault="00F255C4" w:rsidP="008B478F">
      <w:pPr>
        <w:pStyle w:val="Prrafodelista"/>
        <w:numPr>
          <w:ilvl w:val="0"/>
          <w:numId w:val="2"/>
        </w:numPr>
        <w:tabs>
          <w:tab w:val="left" w:pos="284"/>
          <w:tab w:val="right" w:pos="567"/>
          <w:tab w:val="left" w:pos="8222"/>
        </w:tabs>
        <w:ind w:left="0" w:right="-234" w:firstLine="0"/>
        <w:jc w:val="both"/>
      </w:pPr>
      <w:r w:rsidRPr="00F255C4">
        <w:rPr>
          <w:lang w:val="es-ES"/>
        </w:rPr>
        <w:t>Teniendo en cuenta que dicha regulación se relaciona con</w:t>
      </w:r>
      <w:r w:rsidRPr="00F255C4">
        <w:rPr>
          <w:lang w:val="es-ES"/>
        </w:rPr>
        <w:t xml:space="preserve"> el r</w:t>
      </w:r>
      <w:r w:rsidRPr="00F255C4">
        <w:rPr>
          <w:lang w:val="es-ES"/>
        </w:rPr>
        <w:t>é</w:t>
      </w:r>
      <w:r w:rsidRPr="00F255C4">
        <w:rPr>
          <w:lang w:val="es-ES"/>
        </w:rPr>
        <w:t>gimen del</w:t>
      </w:r>
      <w:r w:rsidRPr="00F255C4">
        <w:rPr>
          <w:lang w:val="es-ES"/>
        </w:rPr>
        <w:t xml:space="preserve"> consumidor, la Constitución económica y </w:t>
      </w:r>
      <w:r w:rsidRPr="00F255C4">
        <w:rPr>
          <w:lang w:val="es-ES"/>
        </w:rPr>
        <w:t xml:space="preserve">la protección de algunos </w:t>
      </w:r>
      <w:r w:rsidRPr="00F255C4">
        <w:rPr>
          <w:lang w:val="es-ES"/>
        </w:rPr>
        <w:t>derechos</w:t>
      </w:r>
      <w:r w:rsidRPr="00F255C4">
        <w:rPr>
          <w:lang w:val="es-ES"/>
        </w:rPr>
        <w:t xml:space="preserve"> reconocidos en la</w:t>
      </w:r>
      <w:r w:rsidRPr="00F255C4">
        <w:rPr>
          <w:lang w:val="es-ES"/>
        </w:rPr>
        <w:t xml:space="preserve"> Carta Política</w:t>
      </w:r>
      <w:r w:rsidRPr="00F255C4">
        <w:rPr>
          <w:lang w:val="es-ES"/>
        </w:rPr>
        <w:t xml:space="preserve">, </w:t>
      </w:r>
      <w:r w:rsidRPr="00F255C4">
        <w:rPr>
          <w:lang w:val="es-ES_tradnl"/>
        </w:rPr>
        <w:t>d</w:t>
      </w:r>
      <w:r w:rsidRPr="00F255C4">
        <w:rPr>
          <w:lang w:val="es-ES_tradnl"/>
        </w:rPr>
        <w:t>ebe la Corte definir si la Ley 2300 de 2023 se enc</w:t>
      </w:r>
      <w:r w:rsidRPr="00F255C4">
        <w:rPr>
          <w:lang w:val="es-ES_tradnl"/>
        </w:rPr>
        <w:t>uentra comprendida por la reserva de ley estatutaria prevista en el literal a) del artículo 152</w:t>
      </w:r>
      <w:r w:rsidRPr="00F255C4">
        <w:rPr>
          <w:lang w:val="es-ES_tradnl"/>
        </w:rPr>
        <w:t>,</w:t>
      </w:r>
      <w:r w:rsidRPr="00F255C4">
        <w:rPr>
          <w:lang w:val="es-ES_tradnl"/>
        </w:rPr>
        <w:t xml:space="preserve"> conforme al cual se sujeta a dicha reserva la regulación de los derechos y deberes fundamentales de las personas, así como </w:t>
      </w:r>
      <w:r w:rsidRPr="00F255C4">
        <w:t>los procedimientos y recursos para s</w:t>
      </w:r>
      <w:r w:rsidRPr="00F255C4">
        <w:t xml:space="preserve">u protección. </w:t>
      </w:r>
    </w:p>
    <w:p w:rsidR="002631F8" w:rsidRPr="00F255C4" w:rsidRDefault="00F255C4" w:rsidP="002631F8">
      <w:pPr>
        <w:pStyle w:val="Prrafodelista"/>
      </w:pPr>
    </w:p>
    <w:p w:rsidR="002631F8" w:rsidRPr="00F255C4" w:rsidRDefault="00F255C4" w:rsidP="002631F8">
      <w:pPr>
        <w:pStyle w:val="Prrafodelista"/>
        <w:numPr>
          <w:ilvl w:val="0"/>
          <w:numId w:val="2"/>
        </w:numPr>
        <w:tabs>
          <w:tab w:val="left" w:pos="284"/>
          <w:tab w:val="right" w:pos="567"/>
          <w:tab w:val="left" w:pos="8222"/>
        </w:tabs>
        <w:ind w:left="0" w:right="-234" w:firstLine="0"/>
        <w:jc w:val="both"/>
      </w:pPr>
      <w:r w:rsidRPr="00F255C4">
        <w:rPr>
          <w:rFonts w:eastAsia="Times New Roman"/>
          <w:lang w:val="es-ES_tradnl" w:eastAsia="es-CO"/>
        </w:rPr>
        <w:t>La Sala Plena concluirá que la ley acusada no desconoció el artículo 152.a de la Constitución y con ese propósito, sostendrá lo siguiente. </w:t>
      </w:r>
      <w:r w:rsidRPr="00F255C4">
        <w:rPr>
          <w:rFonts w:eastAsia="Times New Roman"/>
          <w:b/>
          <w:bCs/>
          <w:lang w:val="es-ES_tradnl" w:eastAsia="es-CO"/>
        </w:rPr>
        <w:t>Primero</w:t>
      </w:r>
      <w:r w:rsidRPr="00F255C4">
        <w:rPr>
          <w:rFonts w:eastAsia="Times New Roman"/>
          <w:lang w:val="es-ES_tradnl" w:eastAsia="es-CO"/>
        </w:rPr>
        <w:t>.</w:t>
      </w:r>
      <w:r w:rsidRPr="00F255C4">
        <w:rPr>
          <w:rFonts w:eastAsia="Times New Roman"/>
          <w:lang w:val="es-ES_tradnl" w:eastAsia="es-CO"/>
        </w:rPr>
        <w:t xml:space="preserve"> La </w:t>
      </w:r>
      <w:r w:rsidRPr="00F255C4">
        <w:rPr>
          <w:rFonts w:eastAsia="Times New Roman"/>
          <w:lang w:val="es-ES_tradnl" w:eastAsia="es-CO"/>
        </w:rPr>
        <w:t>L</w:t>
      </w:r>
      <w:r w:rsidRPr="00F255C4">
        <w:rPr>
          <w:rFonts w:eastAsia="Times New Roman"/>
          <w:lang w:val="es-ES_tradnl" w:eastAsia="es-CO"/>
        </w:rPr>
        <w:t>ey 2300 de 2023 regula un</w:t>
      </w:r>
      <w:r w:rsidRPr="00F255C4">
        <w:rPr>
          <w:rFonts w:eastAsia="Times New Roman"/>
          <w:lang w:val="es-ES_tradnl" w:eastAsia="es-CO"/>
        </w:rPr>
        <w:t xml:space="preserve"> asunto</w:t>
      </w:r>
      <w:r w:rsidRPr="00F255C4">
        <w:rPr>
          <w:rFonts w:eastAsia="Times New Roman"/>
          <w:lang w:val="es-ES_tradnl" w:eastAsia="es-CO"/>
        </w:rPr>
        <w:t xml:space="preserve"> que se vincula con diferentes</w:t>
      </w:r>
      <w:r w:rsidRPr="00F255C4">
        <w:rPr>
          <w:rFonts w:eastAsia="Times New Roman"/>
          <w:lang w:val="es-ES_tradnl" w:eastAsia="es-CO"/>
        </w:rPr>
        <w:t xml:space="preserve"> materias constitucionalmente </w:t>
      </w:r>
      <w:r w:rsidRPr="00F255C4">
        <w:rPr>
          <w:rFonts w:eastAsia="Times New Roman"/>
          <w:lang w:val="es-ES_tradnl" w:eastAsia="es-CO"/>
        </w:rPr>
        <w:t xml:space="preserve">relevantes: </w:t>
      </w:r>
      <w:r w:rsidRPr="00F255C4">
        <w:rPr>
          <w:rFonts w:eastAsia="Times New Roman"/>
          <w:lang w:val="es-ES_tradnl" w:eastAsia="es-CO"/>
        </w:rPr>
        <w:t xml:space="preserve">la </w:t>
      </w:r>
      <w:r w:rsidRPr="00F255C4">
        <w:rPr>
          <w:rFonts w:eastAsia="Times New Roman"/>
          <w:lang w:val="es-ES_tradnl" w:eastAsia="es-CO"/>
        </w:rPr>
        <w:t xml:space="preserve">protección del consumidor (art. 78), </w:t>
      </w:r>
      <w:r w:rsidRPr="00F255C4">
        <w:rPr>
          <w:rFonts w:eastAsia="Times New Roman"/>
          <w:lang w:val="es-ES_tradnl" w:eastAsia="es-CO"/>
        </w:rPr>
        <w:t xml:space="preserve">la </w:t>
      </w:r>
      <w:r w:rsidRPr="00F255C4">
        <w:rPr>
          <w:rFonts w:eastAsia="Times New Roman"/>
          <w:lang w:val="es-ES_tradnl" w:eastAsia="es-CO"/>
        </w:rPr>
        <w:t>Constitución Económica (art</w:t>
      </w:r>
      <w:r w:rsidRPr="00F255C4">
        <w:rPr>
          <w:rFonts w:eastAsia="Times New Roman"/>
          <w:lang w:val="es-ES_tradnl" w:eastAsia="es-CO"/>
        </w:rPr>
        <w:t>s</w:t>
      </w:r>
      <w:r w:rsidRPr="00F255C4">
        <w:rPr>
          <w:rFonts w:eastAsia="Times New Roman"/>
          <w:lang w:val="es-ES_tradnl" w:eastAsia="es-CO"/>
        </w:rPr>
        <w:t>. 333</w:t>
      </w:r>
      <w:r w:rsidRPr="00F255C4">
        <w:rPr>
          <w:rFonts w:eastAsia="Times New Roman"/>
          <w:lang w:val="es-ES_tradnl" w:eastAsia="es-CO"/>
        </w:rPr>
        <w:t>, 334 y 335</w:t>
      </w:r>
      <w:r w:rsidRPr="00F255C4">
        <w:rPr>
          <w:rFonts w:eastAsia="Times New Roman"/>
          <w:lang w:val="es-ES_tradnl" w:eastAsia="es-CO"/>
        </w:rPr>
        <w:t xml:space="preserve">) y </w:t>
      </w:r>
      <w:r w:rsidRPr="00F255C4">
        <w:rPr>
          <w:rFonts w:eastAsia="Times New Roman"/>
          <w:lang w:val="es-ES_tradnl" w:eastAsia="es-CO"/>
        </w:rPr>
        <w:t xml:space="preserve">los </w:t>
      </w:r>
      <w:r w:rsidRPr="00F255C4">
        <w:rPr>
          <w:rFonts w:eastAsia="Times New Roman"/>
          <w:lang w:val="es-ES_tradnl" w:eastAsia="es-CO"/>
        </w:rPr>
        <w:t>derechos fundamentales a la intimidad, al habeas data y al buen nombre</w:t>
      </w:r>
      <w:r w:rsidRPr="00F255C4">
        <w:rPr>
          <w:rFonts w:eastAsia="Times New Roman"/>
          <w:lang w:val="es-ES_tradnl" w:eastAsia="es-CO"/>
        </w:rPr>
        <w:t xml:space="preserve"> (art. 15)</w:t>
      </w:r>
      <w:r w:rsidRPr="00F255C4">
        <w:rPr>
          <w:rFonts w:eastAsia="Times New Roman"/>
          <w:lang w:val="es-ES_tradnl" w:eastAsia="es-CO"/>
        </w:rPr>
        <w:t xml:space="preserve">. </w:t>
      </w:r>
      <w:r w:rsidRPr="00F255C4">
        <w:rPr>
          <w:rFonts w:eastAsia="Times New Roman"/>
          <w:b/>
          <w:bCs/>
          <w:lang w:val="es-ES_tradnl" w:eastAsia="es-CO"/>
        </w:rPr>
        <w:t>Segundo</w:t>
      </w:r>
      <w:r w:rsidRPr="00F255C4">
        <w:rPr>
          <w:rFonts w:eastAsia="Times New Roman"/>
          <w:lang w:val="es-ES_tradnl" w:eastAsia="es-CO"/>
        </w:rPr>
        <w:t>.</w:t>
      </w:r>
      <w:r w:rsidRPr="00F255C4">
        <w:rPr>
          <w:rFonts w:eastAsia="Times New Roman"/>
          <w:lang w:val="es-ES_tradnl" w:eastAsia="es-CO"/>
        </w:rPr>
        <w:t xml:space="preserve"> La existencia de un</w:t>
      </w:r>
      <w:r w:rsidRPr="00F255C4">
        <w:rPr>
          <w:rFonts w:eastAsia="Times New Roman"/>
          <w:i/>
          <w:iCs/>
          <w:lang w:val="es-ES_tradnl" w:eastAsia="es-CO"/>
        </w:rPr>
        <w:t xml:space="preserve"> vínculo </w:t>
      </w:r>
      <w:r w:rsidRPr="00F255C4">
        <w:rPr>
          <w:rFonts w:eastAsia="Times New Roman"/>
          <w:i/>
          <w:iCs/>
          <w:lang w:val="es-ES_tradnl" w:eastAsia="es-CO"/>
        </w:rPr>
        <w:t xml:space="preserve">temático con normas de derecho fundamental </w:t>
      </w:r>
      <w:r w:rsidRPr="00F255C4">
        <w:rPr>
          <w:rFonts w:eastAsia="Times New Roman"/>
          <w:lang w:val="es-ES_tradnl" w:eastAsia="es-CO"/>
        </w:rPr>
        <w:t>exige establecer si la materia de la que se ocupa la ley está o no comprendida por la reserva estatutaria prevista para los derechos fundamentales en el artículo 152.a</w:t>
      </w:r>
      <w:r w:rsidRPr="00F255C4">
        <w:rPr>
          <w:rFonts w:eastAsia="Times New Roman"/>
          <w:lang w:val="es-ES_tradnl" w:eastAsia="es-CO"/>
        </w:rPr>
        <w:t xml:space="preserve">. </w:t>
      </w:r>
      <w:r w:rsidRPr="00F255C4">
        <w:rPr>
          <w:rFonts w:eastAsia="Times New Roman"/>
          <w:b/>
          <w:bCs/>
          <w:lang w:val="es-ES_tradnl" w:eastAsia="es-CO"/>
        </w:rPr>
        <w:t>Tercero</w:t>
      </w:r>
      <w:r w:rsidRPr="00F255C4">
        <w:rPr>
          <w:rFonts w:eastAsia="Times New Roman"/>
          <w:lang w:val="es-ES_tradnl" w:eastAsia="es-CO"/>
        </w:rPr>
        <w:t>. La jurisprudencia ha establecido qu</w:t>
      </w:r>
      <w:r w:rsidRPr="00F255C4">
        <w:rPr>
          <w:rFonts w:eastAsia="Times New Roman"/>
          <w:lang w:val="es-ES_tradnl" w:eastAsia="es-CO"/>
        </w:rPr>
        <w:t>e para definir si una</w:t>
      </w:r>
      <w:r w:rsidRPr="00F255C4">
        <w:rPr>
          <w:rFonts w:eastAsia="Times New Roman"/>
          <w:lang w:val="es-ES_tradnl" w:eastAsia="es-CO"/>
        </w:rPr>
        <w:t xml:space="preserve"> ley -o una de sus disposiciones- </w:t>
      </w:r>
      <w:r w:rsidRPr="00F255C4">
        <w:rPr>
          <w:rFonts w:eastAsia="Times New Roman"/>
          <w:lang w:val="es-ES_tradnl" w:eastAsia="es-CO"/>
        </w:rPr>
        <w:t>se encuentra</w:t>
      </w:r>
      <w:r w:rsidRPr="00F255C4">
        <w:rPr>
          <w:rFonts w:eastAsia="Times New Roman"/>
          <w:lang w:val="es-ES_tradnl" w:eastAsia="es-CO"/>
        </w:rPr>
        <w:t xml:space="preserve"> cubierta </w:t>
      </w:r>
      <w:r w:rsidRPr="00F255C4">
        <w:rPr>
          <w:rFonts w:eastAsia="Times New Roman"/>
          <w:lang w:val="es-ES_tradnl" w:eastAsia="es-CO"/>
        </w:rPr>
        <w:t xml:space="preserve">por </w:t>
      </w:r>
      <w:r w:rsidRPr="00F255C4">
        <w:rPr>
          <w:rFonts w:eastAsia="Times New Roman"/>
          <w:lang w:val="es-ES_tradnl" w:eastAsia="es-CO"/>
        </w:rPr>
        <w:t>esa</w:t>
      </w:r>
      <w:r w:rsidRPr="00F255C4">
        <w:rPr>
          <w:rFonts w:eastAsia="Times New Roman"/>
          <w:lang w:val="es-ES_tradnl" w:eastAsia="es-CO"/>
        </w:rPr>
        <w:t xml:space="preserve"> reserva es indispensable realizar un escrutinio de dos pasos. Inicialmente</w:t>
      </w:r>
      <w:r w:rsidRPr="00F255C4">
        <w:rPr>
          <w:rFonts w:eastAsia="Times New Roman"/>
          <w:lang w:val="es-ES_tradnl" w:eastAsia="es-CO"/>
        </w:rPr>
        <w:t>, es necesario</w:t>
      </w:r>
      <w:r w:rsidRPr="00F255C4">
        <w:rPr>
          <w:rFonts w:eastAsia="Times New Roman"/>
          <w:lang w:val="es-ES_tradnl" w:eastAsia="es-CO"/>
        </w:rPr>
        <w:t xml:space="preserve"> establecer si, en efecto, la</w:t>
      </w:r>
      <w:r w:rsidRPr="00F255C4">
        <w:rPr>
          <w:rFonts w:eastAsia="Times New Roman"/>
          <w:lang w:val="es-ES_tradnl" w:eastAsia="es-CO"/>
        </w:rPr>
        <w:t xml:space="preserve"> legislación</w:t>
      </w:r>
      <w:r w:rsidRPr="00F255C4">
        <w:rPr>
          <w:rFonts w:eastAsia="Times New Roman"/>
          <w:lang w:val="es-ES_tradnl" w:eastAsia="es-CO"/>
        </w:rPr>
        <w:t xml:space="preserve"> se encuentra vinculada con el ámbito de p</w:t>
      </w:r>
      <w:r w:rsidRPr="00F255C4">
        <w:rPr>
          <w:rFonts w:eastAsia="Times New Roman"/>
          <w:lang w:val="es-ES_tradnl" w:eastAsia="es-CO"/>
        </w:rPr>
        <w:t>rotección de</w:t>
      </w:r>
      <w:r w:rsidRPr="00F255C4">
        <w:rPr>
          <w:rFonts w:eastAsia="Times New Roman"/>
          <w:lang w:val="es-ES_tradnl" w:eastAsia="es-CO"/>
        </w:rPr>
        <w:t xml:space="preserve"> derechos de esa naturaleza y, a continuación, definir si</w:t>
      </w:r>
      <w:r w:rsidRPr="00F255C4">
        <w:rPr>
          <w:rFonts w:eastAsia="Times New Roman"/>
          <w:lang w:val="es-ES_tradnl" w:eastAsia="es-CO"/>
        </w:rPr>
        <w:t xml:space="preserve"> el tipo de</w:t>
      </w:r>
      <w:r w:rsidRPr="00F255C4">
        <w:rPr>
          <w:rFonts w:eastAsia="Times New Roman"/>
          <w:lang w:val="es-ES_tradnl" w:eastAsia="es-CO"/>
        </w:rPr>
        <w:t xml:space="preserve"> relación existente</w:t>
      </w:r>
      <w:r w:rsidRPr="00F255C4">
        <w:rPr>
          <w:rFonts w:eastAsia="Times New Roman"/>
          <w:lang w:val="es-ES_tradnl" w:eastAsia="es-CO"/>
        </w:rPr>
        <w:t xml:space="preserve"> constituye la regulación de un derecho fundamental en el sentido del artículo 152.a de la Constitución. </w:t>
      </w:r>
      <w:r w:rsidRPr="00F255C4">
        <w:rPr>
          <w:rFonts w:eastAsia="Times New Roman"/>
          <w:b/>
          <w:bCs/>
          <w:lang w:val="es-ES_tradnl" w:eastAsia="es-CO"/>
        </w:rPr>
        <w:t>Cuarto</w:t>
      </w:r>
      <w:r w:rsidRPr="00F255C4">
        <w:rPr>
          <w:rFonts w:eastAsia="Times New Roman"/>
          <w:lang w:val="es-ES_tradnl" w:eastAsia="es-CO"/>
        </w:rPr>
        <w:t xml:space="preserve">. </w:t>
      </w:r>
      <w:r w:rsidRPr="00F255C4">
        <w:rPr>
          <w:rFonts w:eastAsia="Times New Roman"/>
          <w:lang w:val="es-ES_tradnl" w:eastAsia="es-CO"/>
        </w:rPr>
        <w:t>L</w:t>
      </w:r>
      <w:r w:rsidRPr="00F255C4">
        <w:rPr>
          <w:rFonts w:eastAsia="Times New Roman"/>
          <w:lang w:val="es-ES_tradnl" w:eastAsia="es-CO"/>
        </w:rPr>
        <w:t>a</w:t>
      </w:r>
      <w:r w:rsidRPr="00F255C4">
        <w:rPr>
          <w:rFonts w:eastAsia="Times New Roman"/>
          <w:lang w:val="es-ES_tradnl" w:eastAsia="es-CO"/>
        </w:rPr>
        <w:t>s reglas relativas</w:t>
      </w:r>
      <w:r w:rsidRPr="00F255C4">
        <w:rPr>
          <w:rFonts w:eastAsia="Times New Roman"/>
          <w:lang w:val="es-ES_tradnl" w:eastAsia="es-CO"/>
        </w:rPr>
        <w:t xml:space="preserve"> </w:t>
      </w:r>
      <w:r w:rsidRPr="00F255C4">
        <w:rPr>
          <w:rFonts w:eastAsia="Times New Roman"/>
          <w:lang w:val="es-ES_tradnl" w:eastAsia="es-CO"/>
        </w:rPr>
        <w:t xml:space="preserve">a </w:t>
      </w:r>
      <w:r w:rsidRPr="00F255C4">
        <w:rPr>
          <w:rFonts w:eastAsia="Times New Roman"/>
          <w:lang w:val="es-ES_tradnl" w:eastAsia="es-CO"/>
        </w:rPr>
        <w:t xml:space="preserve">las formas </w:t>
      </w:r>
      <w:r w:rsidRPr="00F255C4">
        <w:rPr>
          <w:rFonts w:eastAsia="Times New Roman"/>
          <w:lang w:val="es-ES_tradnl" w:eastAsia="es-CO"/>
        </w:rPr>
        <w:t xml:space="preserve">y condiciones </w:t>
      </w:r>
      <w:r w:rsidRPr="00F255C4">
        <w:rPr>
          <w:rFonts w:eastAsia="Times New Roman"/>
          <w:lang w:val="es-ES_tradnl" w:eastAsia="es-CO"/>
        </w:rPr>
        <w:t xml:space="preserve">en que </w:t>
      </w:r>
      <w:r w:rsidRPr="00F255C4">
        <w:rPr>
          <w:rFonts w:eastAsia="Times New Roman"/>
          <w:lang w:val="es-ES_tradnl" w:eastAsia="es-CO"/>
        </w:rPr>
        <w:t xml:space="preserve">los gestores de cobranza, proveedores y fabricantes </w:t>
      </w:r>
      <w:r w:rsidRPr="00F255C4">
        <w:rPr>
          <w:rFonts w:eastAsia="Times New Roman"/>
          <w:lang w:val="es-ES_tradnl" w:eastAsia="es-CO"/>
        </w:rPr>
        <w:t xml:space="preserve">se comunican </w:t>
      </w:r>
      <w:r w:rsidRPr="00F255C4">
        <w:rPr>
          <w:rFonts w:eastAsia="Times New Roman"/>
          <w:lang w:val="es-ES_tradnl" w:eastAsia="es-CO"/>
        </w:rPr>
        <w:t>con los consumidores</w:t>
      </w:r>
      <w:r w:rsidRPr="00F255C4">
        <w:rPr>
          <w:rFonts w:eastAsia="Times New Roman"/>
          <w:lang w:val="es-ES_tradnl" w:eastAsia="es-CO"/>
        </w:rPr>
        <w:t>,</w:t>
      </w:r>
      <w:r w:rsidRPr="00F255C4">
        <w:rPr>
          <w:rFonts w:eastAsia="Times New Roman"/>
          <w:lang w:val="es-ES_tradnl" w:eastAsia="es-CO"/>
        </w:rPr>
        <w:t xml:space="preserve"> </w:t>
      </w:r>
      <w:r w:rsidRPr="00F255C4">
        <w:rPr>
          <w:rFonts w:eastAsia="Times New Roman"/>
          <w:lang w:val="es-ES_tradnl" w:eastAsia="es-CO"/>
        </w:rPr>
        <w:t>es</w:t>
      </w:r>
      <w:r w:rsidRPr="00F255C4">
        <w:rPr>
          <w:rFonts w:eastAsia="Times New Roman"/>
          <w:lang w:val="es-ES_tradnl" w:eastAsia="es-CO"/>
        </w:rPr>
        <w:t xml:space="preserve"> relevante desde la perspectiva de los derechos fundamentales</w:t>
      </w:r>
      <w:r w:rsidRPr="00F255C4">
        <w:rPr>
          <w:rFonts w:eastAsia="Times New Roman"/>
          <w:lang w:val="es-ES_tradnl" w:eastAsia="es-CO"/>
        </w:rPr>
        <w:t>. Sin embargo, la legislación acusada no se ocupa de regular total o parcialmente los</w:t>
      </w:r>
      <w:r w:rsidRPr="00F255C4">
        <w:rPr>
          <w:rFonts w:eastAsia="Times New Roman"/>
          <w:lang w:val="es-ES_tradnl" w:eastAsia="es-CO"/>
        </w:rPr>
        <w:t xml:space="preserve"> elementos definitorios o estructurales de uno de tales derechos y, por ello, en este caso no se </w:t>
      </w:r>
      <w:r w:rsidRPr="00F255C4">
        <w:rPr>
          <w:rFonts w:eastAsia="Times New Roman"/>
          <w:lang w:val="es-ES_tradnl" w:eastAsia="es-CO"/>
        </w:rPr>
        <w:t>activa la reserva de ley estatutaria.</w:t>
      </w:r>
    </w:p>
    <w:p w:rsidR="002631F8" w:rsidRPr="00F255C4" w:rsidRDefault="00F255C4" w:rsidP="002631F8">
      <w:pPr>
        <w:shd w:val="clear" w:color="auto" w:fill="FFFFFF"/>
        <w:spacing w:after="0" w:line="240" w:lineRule="auto"/>
        <w:ind w:right="-141"/>
        <w:jc w:val="both"/>
        <w:rPr>
          <w:rFonts w:ascii="Times New Roman" w:eastAsia="Times New Roman" w:hAnsi="Times New Roman" w:cs="Times New Roman"/>
          <w:sz w:val="28"/>
          <w:szCs w:val="28"/>
        </w:rPr>
      </w:pPr>
      <w:r w:rsidRPr="00F255C4">
        <w:rPr>
          <w:rFonts w:ascii="Times New Roman" w:eastAsia="Times New Roman" w:hAnsi="Times New Roman" w:cs="Times New Roman"/>
          <w:sz w:val="28"/>
          <w:szCs w:val="28"/>
          <w:lang w:val="es-ES_tradnl"/>
        </w:rPr>
        <w:t> </w:t>
      </w:r>
    </w:p>
    <w:p w:rsidR="00432C3F" w:rsidRPr="00F255C4" w:rsidRDefault="00F255C4" w:rsidP="0042283C">
      <w:pPr>
        <w:pStyle w:val="Prrafodelista"/>
        <w:numPr>
          <w:ilvl w:val="0"/>
          <w:numId w:val="2"/>
        </w:numPr>
        <w:tabs>
          <w:tab w:val="left" w:pos="284"/>
          <w:tab w:val="right" w:pos="567"/>
          <w:tab w:val="left" w:pos="8222"/>
        </w:tabs>
        <w:ind w:left="0" w:right="-234" w:firstLine="0"/>
        <w:jc w:val="both"/>
        <w:rPr>
          <w:rFonts w:eastAsia="Times New Roman"/>
          <w:lang w:eastAsia="es-CO"/>
        </w:rPr>
      </w:pPr>
      <w:r w:rsidRPr="00F255C4">
        <w:rPr>
          <w:rFonts w:eastAsia="Times New Roman"/>
          <w:lang w:val="es-ES_tradnl" w:eastAsia="es-CO"/>
        </w:rPr>
        <w:t>Para fundamentar estas conclusiones la Corte seguirá el siguiente orden. Inicialmente</w:t>
      </w:r>
      <w:r w:rsidRPr="00F255C4">
        <w:rPr>
          <w:rFonts w:eastAsia="Times New Roman"/>
          <w:lang w:val="es-ES_tradnl" w:eastAsia="es-CO"/>
        </w:rPr>
        <w:t xml:space="preserve"> describirá el contenido de la ley</w:t>
      </w:r>
      <w:r w:rsidRPr="00F255C4">
        <w:rPr>
          <w:rFonts w:eastAsia="Times New Roman"/>
          <w:lang w:val="es-ES_tradnl" w:eastAsia="es-CO"/>
        </w:rPr>
        <w:t xml:space="preserve"> acusada, así como los propósitos que con su aprobación se perseguían</w:t>
      </w:r>
      <w:r w:rsidRPr="00F255C4">
        <w:rPr>
          <w:rFonts w:eastAsia="Times New Roman"/>
          <w:lang w:val="es-ES_tradnl" w:eastAsia="es-CO"/>
        </w:rPr>
        <w:t>. A continuación,</w:t>
      </w:r>
      <w:r w:rsidRPr="00F255C4">
        <w:rPr>
          <w:rFonts w:eastAsia="Times New Roman"/>
          <w:lang w:val="es-ES_tradnl" w:eastAsia="es-CO"/>
        </w:rPr>
        <w:t xml:space="preserve"> se identifica</w:t>
      </w:r>
      <w:r w:rsidRPr="00F255C4">
        <w:rPr>
          <w:rFonts w:eastAsia="Times New Roman"/>
          <w:lang w:val="es-ES_tradnl" w:eastAsia="es-CO"/>
        </w:rPr>
        <w:t>rá</w:t>
      </w:r>
      <w:r w:rsidRPr="00F255C4">
        <w:rPr>
          <w:rFonts w:eastAsia="Times New Roman"/>
          <w:lang w:val="es-ES_tradnl" w:eastAsia="es-CO"/>
        </w:rPr>
        <w:t>n las materias</w:t>
      </w:r>
      <w:r w:rsidRPr="00F255C4">
        <w:rPr>
          <w:rFonts w:eastAsia="Times New Roman"/>
          <w:lang w:val="es-ES_tradnl" w:eastAsia="es-CO"/>
        </w:rPr>
        <w:t xml:space="preserve"> que, desde el punto de vista constitucional, guardan relación con el contenido de la ley acusada. Luego de ello, se reiterará el contenido </w:t>
      </w:r>
      <w:r w:rsidRPr="00F255C4">
        <w:rPr>
          <w:rFonts w:eastAsia="Times New Roman"/>
          <w:lang w:val="es-ES_tradnl" w:eastAsia="es-CO"/>
        </w:rPr>
        <w:t>central del precedente relativo a las condiciones de activación de la reserva de ley estatutaria en materia de derechos fundamentales. Finalmente, la Corte establecerá si la regulación acusada se encuentra comprendida por dicha reserv</w:t>
      </w:r>
      <w:r w:rsidRPr="00F255C4">
        <w:rPr>
          <w:rFonts w:eastAsia="Times New Roman"/>
          <w:lang w:val="es-ES_tradnl" w:eastAsia="es-CO"/>
        </w:rPr>
        <w:t>a</w:t>
      </w:r>
      <w:r w:rsidRPr="00F255C4">
        <w:rPr>
          <w:rFonts w:eastAsia="Times New Roman"/>
          <w:lang w:val="es-ES_tradnl" w:eastAsia="es-CO"/>
        </w:rPr>
        <w:t xml:space="preserve"> o si, por el contrario, su contenido era el propio de una ley ordinaria. </w:t>
      </w:r>
    </w:p>
    <w:p w:rsidR="00432C3F" w:rsidRPr="00F255C4" w:rsidRDefault="00F255C4" w:rsidP="00432C3F">
      <w:pPr>
        <w:pStyle w:val="Prrafodelista"/>
        <w:rPr>
          <w:rFonts w:eastAsia="Times New Roman"/>
          <w:lang w:val="es-ES_tradnl" w:eastAsia="es-CO"/>
        </w:rPr>
      </w:pPr>
    </w:p>
    <w:p w:rsidR="00501AD0" w:rsidRPr="00F255C4" w:rsidRDefault="00F255C4" w:rsidP="003B5B2F">
      <w:pPr>
        <w:pStyle w:val="Prrafodelista"/>
        <w:tabs>
          <w:tab w:val="left" w:pos="993"/>
          <w:tab w:val="left" w:pos="8222"/>
        </w:tabs>
        <w:ind w:left="0" w:right="-234"/>
        <w:jc w:val="both"/>
        <w:rPr>
          <w:b/>
        </w:rPr>
      </w:pPr>
      <w:r w:rsidRPr="00F255C4">
        <w:rPr>
          <w:b/>
        </w:rPr>
        <w:tab/>
      </w:r>
      <w:r w:rsidRPr="00F255C4">
        <w:rPr>
          <w:b/>
        </w:rPr>
        <w:t xml:space="preserve">La </w:t>
      </w:r>
      <w:r w:rsidRPr="00F255C4">
        <w:rPr>
          <w:b/>
        </w:rPr>
        <w:t>L</w:t>
      </w:r>
      <w:r w:rsidRPr="00F255C4">
        <w:rPr>
          <w:b/>
        </w:rPr>
        <w:t>ey 2300 de 2023</w:t>
      </w:r>
      <w:r w:rsidRPr="00F255C4">
        <w:rPr>
          <w:b/>
        </w:rPr>
        <w:t>: fines y contenido</w:t>
      </w:r>
      <w:r w:rsidRPr="00F255C4">
        <w:rPr>
          <w:b/>
        </w:rPr>
        <w:t xml:space="preserve"> </w:t>
      </w:r>
    </w:p>
    <w:p w:rsidR="00567946" w:rsidRPr="00F255C4" w:rsidRDefault="00F255C4" w:rsidP="00286BA4">
      <w:pPr>
        <w:pStyle w:val="Prrafodelista"/>
        <w:tabs>
          <w:tab w:val="left" w:pos="284"/>
          <w:tab w:val="right" w:pos="567"/>
          <w:tab w:val="left" w:pos="8222"/>
        </w:tabs>
        <w:ind w:left="0" w:right="-234"/>
        <w:jc w:val="both"/>
        <w:rPr>
          <w:rFonts w:eastAsia="Times New Roman"/>
          <w:lang w:eastAsia="es-CO"/>
        </w:rPr>
      </w:pPr>
    </w:p>
    <w:p w:rsidR="00567946" w:rsidRPr="00F255C4" w:rsidRDefault="00F255C4" w:rsidP="0042283C">
      <w:pPr>
        <w:pStyle w:val="Prrafodelista"/>
        <w:numPr>
          <w:ilvl w:val="0"/>
          <w:numId w:val="2"/>
        </w:numPr>
        <w:tabs>
          <w:tab w:val="left" w:pos="284"/>
          <w:tab w:val="right" w:pos="567"/>
          <w:tab w:val="left" w:pos="8222"/>
        </w:tabs>
        <w:ind w:left="0" w:right="-234" w:firstLine="0"/>
        <w:jc w:val="both"/>
      </w:pPr>
      <w:r w:rsidRPr="00F255C4">
        <w:t xml:space="preserve">La Ley 2300 de 2023 </w:t>
      </w:r>
      <w:r w:rsidRPr="00F255C4">
        <w:t>“</w:t>
      </w:r>
      <w:r w:rsidRPr="00F255C4">
        <w:rPr>
          <w:bCs/>
        </w:rPr>
        <w:t>por medio de la cual se establecen medidas que protejan el derecho a la intimidad de los consumidores</w:t>
      </w:r>
      <w:r w:rsidRPr="00F255C4">
        <w:rPr>
          <w:bCs/>
        </w:rPr>
        <w:t>”</w:t>
      </w:r>
      <w:r w:rsidRPr="00F255C4">
        <w:rPr>
          <w:bCs/>
        </w:rPr>
        <w:t xml:space="preserve"> tiene por objeto según</w:t>
      </w:r>
      <w:r w:rsidRPr="00F255C4">
        <w:rPr>
          <w:bCs/>
        </w:rPr>
        <w:t>,</w:t>
      </w:r>
      <w:r w:rsidRPr="00F255C4">
        <w:rPr>
          <w:bCs/>
        </w:rPr>
        <w:t xml:space="preserve"> lo indica el artículo 1º</w:t>
      </w:r>
      <w:r w:rsidRPr="00F255C4">
        <w:rPr>
          <w:bCs/>
        </w:rPr>
        <w:t>,</w:t>
      </w:r>
      <w:r w:rsidRPr="00F255C4">
        <w:t xml:space="preserve"> proteger el derecho a la intimidad de los consumidores, estableciendo los canales, el horario y la periodicidad en la que estos pueden ser contactados por las entidades vigiladas por la Superintendencia Fi</w:t>
      </w:r>
      <w:r w:rsidRPr="00F255C4">
        <w:t>nanciera y todas las personas naturales y jurídicas que adelanten gestiones de cobranza.</w:t>
      </w:r>
      <w:r w:rsidRPr="00F255C4">
        <w:t xml:space="preserve"> Este objetivo primario de la ley se extiende, en virtud de su artículo 5º, a la protección de los consumidores frente a las actividades comerciales y publicitarias que</w:t>
      </w:r>
      <w:r w:rsidRPr="00F255C4">
        <w:t>, a través de diferentes medios</w:t>
      </w:r>
      <w:r w:rsidRPr="00F255C4">
        <w:t>,</w:t>
      </w:r>
      <w:r w:rsidRPr="00F255C4">
        <w:t xml:space="preserve"> adelantan fabricantes y proveedores.   </w:t>
      </w:r>
      <w:r w:rsidRPr="00F255C4">
        <w:rPr>
          <w:bCs/>
        </w:rPr>
        <w:t xml:space="preserve"> </w:t>
      </w:r>
      <w:r w:rsidRPr="00F255C4">
        <w:t xml:space="preserve"> </w:t>
      </w:r>
    </w:p>
    <w:p w:rsidR="00567946" w:rsidRPr="00F255C4" w:rsidRDefault="00F255C4" w:rsidP="00567946">
      <w:pPr>
        <w:pStyle w:val="Prrafodelista"/>
        <w:tabs>
          <w:tab w:val="left" w:pos="284"/>
          <w:tab w:val="right" w:pos="567"/>
          <w:tab w:val="left" w:pos="8222"/>
        </w:tabs>
        <w:ind w:left="0" w:right="-234"/>
        <w:jc w:val="both"/>
      </w:pPr>
    </w:p>
    <w:p w:rsidR="0042283C" w:rsidRPr="00F255C4" w:rsidRDefault="00F255C4" w:rsidP="0042283C">
      <w:pPr>
        <w:pStyle w:val="Prrafodelista"/>
        <w:numPr>
          <w:ilvl w:val="0"/>
          <w:numId w:val="2"/>
        </w:numPr>
        <w:tabs>
          <w:tab w:val="left" w:pos="284"/>
          <w:tab w:val="right" w:pos="567"/>
          <w:tab w:val="left" w:pos="8222"/>
        </w:tabs>
        <w:ind w:left="0" w:right="-234" w:firstLine="0"/>
        <w:jc w:val="both"/>
      </w:pPr>
      <w:r w:rsidRPr="00F255C4">
        <w:t xml:space="preserve">En el curso del </w:t>
      </w:r>
      <w:r w:rsidRPr="00F255C4">
        <w:t xml:space="preserve">trámite legislativo </w:t>
      </w:r>
      <w:r w:rsidRPr="00F255C4">
        <w:t xml:space="preserve">el propósito fijado en su artículo 1º </w:t>
      </w:r>
      <w:r w:rsidRPr="00F255C4">
        <w:t>fue destacado</w:t>
      </w:r>
      <w:r w:rsidRPr="00F255C4">
        <w:t>. E</w:t>
      </w:r>
      <w:r w:rsidRPr="00F255C4">
        <w:t>l</w:t>
      </w:r>
      <w:r w:rsidRPr="00F255C4">
        <w:t xml:space="preserve"> informe de ponencia para primer debate del proyecto -</w:t>
      </w:r>
      <w:r w:rsidRPr="00F255C4">
        <w:t xml:space="preserve">momento en el cual </w:t>
      </w:r>
      <w:r w:rsidRPr="00F255C4">
        <w:t xml:space="preserve">aún no se regulaba la </w:t>
      </w:r>
      <w:r w:rsidRPr="00F255C4">
        <w:rPr>
          <w:i/>
        </w:rPr>
        <w:t>dimensión comercial</w:t>
      </w:r>
      <w:r w:rsidRPr="00F255C4">
        <w:t>-</w:t>
      </w:r>
      <w:r w:rsidRPr="00F255C4">
        <w:t xml:space="preserve"> advertía que</w:t>
      </w:r>
      <w:r w:rsidRPr="00F255C4">
        <w:t xml:space="preserve"> la iniciativa</w:t>
      </w:r>
      <w:r w:rsidRPr="00F255C4">
        <w:t xml:space="preserve"> </w:t>
      </w:r>
      <w:r w:rsidRPr="00F255C4">
        <w:t xml:space="preserve">tenía </w:t>
      </w:r>
      <w:r w:rsidRPr="00F255C4">
        <w:t>“por objeto implementar mecanismos que hagan eficaz el ejercicio del derecho fundamental a la intimidad de los usuarios del sector financiero, durante los lapsos en que están suspe</w:t>
      </w:r>
      <w:r w:rsidRPr="00F255C4">
        <w:t>ndidas las actividades productivas, como las horas inhábiles, los fines de semana y los días festivos”</w:t>
      </w:r>
      <w:r w:rsidRPr="00F255C4">
        <w:rPr>
          <w:rStyle w:val="Refdenotaalpie"/>
        </w:rPr>
        <w:footnoteReference w:id="1"/>
      </w:r>
      <w:r w:rsidRPr="00F255C4">
        <w:t>. Se indicaba además que “[s]e trata de proteger el ámbito privado del individuo y su familia, de la injerencia externa e invasiva, durante las horas res</w:t>
      </w:r>
      <w:r w:rsidRPr="00F255C4">
        <w:t>ervadas a la intimidad individual y familiar, particularmente de la actividad de los acreedores financieros, casas de cobranza, agencias externas, que alteran e interfieren el ejercicio de ese derecho a través de mecanismos como llamadas, mensajes de texto</w:t>
      </w:r>
      <w:r w:rsidRPr="00F255C4">
        <w:t>, mensajes de datos, correos electrónicos y similares”</w:t>
      </w:r>
      <w:r w:rsidRPr="00F255C4">
        <w:rPr>
          <w:rStyle w:val="Refdenotaalpie"/>
        </w:rPr>
        <w:footnoteReference w:id="2"/>
      </w:r>
      <w:r w:rsidRPr="00F255C4">
        <w:t>.</w:t>
      </w:r>
      <w:r w:rsidRPr="00F255C4">
        <w:t xml:space="preserve"> </w:t>
      </w:r>
    </w:p>
    <w:p w:rsidR="0042283C" w:rsidRPr="00F255C4" w:rsidRDefault="00F255C4" w:rsidP="0042283C">
      <w:pPr>
        <w:pStyle w:val="Prrafodelista"/>
        <w:tabs>
          <w:tab w:val="left" w:pos="284"/>
          <w:tab w:val="right" w:pos="567"/>
          <w:tab w:val="left" w:pos="8222"/>
        </w:tabs>
        <w:ind w:left="0" w:right="-234"/>
        <w:jc w:val="both"/>
      </w:pPr>
    </w:p>
    <w:p w:rsidR="00D0758F" w:rsidRPr="00F255C4" w:rsidRDefault="00F255C4" w:rsidP="0042283C">
      <w:pPr>
        <w:pStyle w:val="Prrafodelista"/>
        <w:numPr>
          <w:ilvl w:val="0"/>
          <w:numId w:val="2"/>
        </w:numPr>
        <w:tabs>
          <w:tab w:val="left" w:pos="284"/>
          <w:tab w:val="right" w:pos="567"/>
          <w:tab w:val="left" w:pos="8222"/>
        </w:tabs>
        <w:ind w:left="0" w:right="-234" w:firstLine="0"/>
        <w:jc w:val="both"/>
      </w:pPr>
      <w:r w:rsidRPr="00F255C4">
        <w:t xml:space="preserve">Avanzado el trámite en el Congreso, la iniciativa amplió su alcance incluyendo </w:t>
      </w:r>
      <w:r w:rsidRPr="00F255C4">
        <w:t>una</w:t>
      </w:r>
      <w:r w:rsidRPr="00F255C4">
        <w:t xml:space="preserve"> doble dimensión</w:t>
      </w:r>
      <w:r w:rsidRPr="00F255C4">
        <w:t>:</w:t>
      </w:r>
      <w:r w:rsidRPr="00F255C4">
        <w:t xml:space="preserve"> </w:t>
      </w:r>
      <w:r w:rsidRPr="00F255C4">
        <w:t xml:space="preserve">la </w:t>
      </w:r>
      <w:r w:rsidRPr="00F255C4">
        <w:t xml:space="preserve">de cobranza y </w:t>
      </w:r>
      <w:r w:rsidRPr="00F255C4">
        <w:t xml:space="preserve">la </w:t>
      </w:r>
      <w:r w:rsidRPr="00F255C4">
        <w:t>comercial. En esa dirección no solo se prescindió de la regla que limitaba la</w:t>
      </w:r>
      <w:r w:rsidRPr="00F255C4">
        <w:t xml:space="preserve"> aplicación de la ley al </w:t>
      </w:r>
      <w:r w:rsidRPr="00F255C4">
        <w:rPr>
          <w:i/>
        </w:rPr>
        <w:t>consumidor financiero</w:t>
      </w:r>
      <w:r w:rsidRPr="00F255C4">
        <w:t>, sino que se incluyó también el que</w:t>
      </w:r>
      <w:r w:rsidRPr="00F255C4">
        <w:t xml:space="preserve"> se convertiría en </w:t>
      </w:r>
      <w:r w:rsidRPr="00F255C4">
        <w:t>el</w:t>
      </w:r>
      <w:r w:rsidRPr="00F255C4">
        <w:t xml:space="preserve"> actual </w:t>
      </w:r>
      <w:r w:rsidRPr="00F255C4">
        <w:t>artículo 5 de la ley</w:t>
      </w:r>
      <w:r w:rsidRPr="00F255C4">
        <w:t>,</w:t>
      </w:r>
      <w:r w:rsidRPr="00F255C4">
        <w:t xml:space="preserve"> </w:t>
      </w:r>
      <w:r w:rsidRPr="00F255C4">
        <w:t>en</w:t>
      </w:r>
      <w:r w:rsidRPr="00F255C4">
        <w:t xml:space="preserve"> cuyo texto</w:t>
      </w:r>
      <w:r w:rsidRPr="00F255C4">
        <w:t xml:space="preserve"> </w:t>
      </w:r>
      <w:r w:rsidRPr="00F255C4">
        <w:t>s</w:t>
      </w:r>
      <w:r w:rsidRPr="00F255C4">
        <w:t xml:space="preserve">e definen </w:t>
      </w:r>
      <w:r w:rsidRPr="00F255C4">
        <w:t xml:space="preserve">reglas a las que deben someterse fabricantes y proveedores a efectos de adelantar </w:t>
      </w:r>
      <w:r w:rsidRPr="00F255C4">
        <w:t xml:space="preserve">las actividades </w:t>
      </w:r>
      <w:r w:rsidRPr="00F255C4">
        <w:t>comerciales y publicitarias</w:t>
      </w:r>
      <w:r w:rsidRPr="00F255C4">
        <w:t>.</w:t>
      </w:r>
    </w:p>
    <w:p w:rsidR="00D0758F" w:rsidRPr="00F255C4" w:rsidRDefault="00F255C4" w:rsidP="00D0758F">
      <w:pPr>
        <w:pStyle w:val="Prrafodelista"/>
      </w:pPr>
    </w:p>
    <w:p w:rsidR="00EC4B08" w:rsidRPr="00F255C4" w:rsidRDefault="00F255C4" w:rsidP="0042283C">
      <w:pPr>
        <w:pStyle w:val="Prrafodelista"/>
        <w:numPr>
          <w:ilvl w:val="0"/>
          <w:numId w:val="2"/>
        </w:numPr>
        <w:tabs>
          <w:tab w:val="left" w:pos="284"/>
          <w:tab w:val="right" w:pos="567"/>
          <w:tab w:val="left" w:pos="8222"/>
        </w:tabs>
        <w:ind w:left="0" w:right="-234" w:firstLine="0"/>
        <w:jc w:val="both"/>
      </w:pPr>
      <w:r w:rsidRPr="00F255C4">
        <w:t xml:space="preserve"> La ampliación del ámbito de aplicación de la ley tuvo su origen en la Plenaria de la Cámara de Representantes</w:t>
      </w:r>
      <w:r w:rsidRPr="00F255C4">
        <w:t>,</w:t>
      </w:r>
      <w:r w:rsidRPr="00F255C4">
        <w:t xml:space="preserve"> en la que se aprobó una regla </w:t>
      </w:r>
      <w:r w:rsidRPr="00F255C4">
        <w:t xml:space="preserve">según </w:t>
      </w:r>
      <w:r w:rsidRPr="00F255C4">
        <w:t xml:space="preserve">la cual “[l]o dispuesto en la presente ley se aplicará en los mismos términos </w:t>
      </w:r>
      <w:r w:rsidRPr="00F255C4">
        <w:t>a las relaciones comerciales entre los productores y/o proveedores de bienes y servicios que estén vigilados por una Superintendencia o sus intermediarios y el consumidor comercial”</w:t>
      </w:r>
      <w:r w:rsidRPr="00F255C4">
        <w:rPr>
          <w:rStyle w:val="Refdenotaalpie"/>
        </w:rPr>
        <w:footnoteReference w:id="3"/>
      </w:r>
      <w:r w:rsidRPr="00F255C4">
        <w:t xml:space="preserve">. </w:t>
      </w:r>
      <w:r w:rsidRPr="00F255C4">
        <w:t>Luego de ello, la Comisión Primera del Senado de la República vot</w:t>
      </w:r>
      <w:r w:rsidRPr="00F255C4">
        <w:t>ó</w:t>
      </w:r>
      <w:r w:rsidRPr="00F255C4">
        <w:t xml:space="preserve"> favor</w:t>
      </w:r>
      <w:r w:rsidRPr="00F255C4">
        <w:t>ablemente dicha ampliación</w:t>
      </w:r>
      <w:r w:rsidRPr="00F255C4">
        <w:t xml:space="preserve"> e introdujo</w:t>
      </w:r>
      <w:r w:rsidRPr="00F255C4">
        <w:t xml:space="preserve"> algunos ajustes </w:t>
      </w:r>
      <w:r w:rsidRPr="00F255C4">
        <w:t>a</w:t>
      </w:r>
      <w:r w:rsidRPr="00F255C4">
        <w:t xml:space="preserve"> la disposición aprobada en la Cámara de Representantes</w:t>
      </w:r>
      <w:r w:rsidRPr="00F255C4">
        <w:rPr>
          <w:rStyle w:val="Refdenotaalpie"/>
        </w:rPr>
        <w:footnoteReference w:id="4"/>
      </w:r>
      <w:r w:rsidRPr="00F255C4">
        <w:t>.</w:t>
      </w:r>
      <w:r w:rsidRPr="00F255C4">
        <w:t xml:space="preserve">  </w:t>
      </w:r>
    </w:p>
    <w:p w:rsidR="00EC4B08" w:rsidRPr="00F255C4" w:rsidRDefault="00F255C4" w:rsidP="00EC4B08">
      <w:pPr>
        <w:pStyle w:val="Prrafodelista"/>
      </w:pPr>
    </w:p>
    <w:p w:rsidR="0042283C" w:rsidRPr="00F255C4" w:rsidRDefault="00F255C4" w:rsidP="0042283C">
      <w:pPr>
        <w:pStyle w:val="Prrafodelista"/>
        <w:numPr>
          <w:ilvl w:val="0"/>
          <w:numId w:val="2"/>
        </w:numPr>
        <w:tabs>
          <w:tab w:val="left" w:pos="284"/>
          <w:tab w:val="right" w:pos="567"/>
          <w:tab w:val="left" w:pos="8222"/>
        </w:tabs>
        <w:ind w:left="0" w:right="-234" w:firstLine="0"/>
        <w:jc w:val="both"/>
      </w:pPr>
      <w:r w:rsidRPr="00F255C4">
        <w:t xml:space="preserve">Más adelante, ya en el </w:t>
      </w:r>
      <w:r w:rsidRPr="00F255C4">
        <w:t>informe</w:t>
      </w:r>
      <w:r w:rsidRPr="00F255C4">
        <w:t xml:space="preserve"> de conciliación presentado para su aprobación a las Plenarias del Senado y de la Cámara se indic</w:t>
      </w:r>
      <w:r w:rsidRPr="00F255C4">
        <w:t>ó</w:t>
      </w:r>
      <w:r w:rsidRPr="00F255C4">
        <w:t xml:space="preserve">, al </w:t>
      </w:r>
      <w:r w:rsidRPr="00F255C4">
        <w:t>realizar una pre</w:t>
      </w:r>
      <w:r w:rsidRPr="00F255C4">
        <w:t xml:space="preserve">cisión sobre </w:t>
      </w:r>
      <w:r w:rsidRPr="00F255C4">
        <w:t>l</w:t>
      </w:r>
      <w:r w:rsidRPr="00F255C4">
        <w:t xml:space="preserve">as formas </w:t>
      </w:r>
      <w:r w:rsidRPr="00F255C4">
        <w:t xml:space="preserve">autorizadas </w:t>
      </w:r>
      <w:r w:rsidRPr="00F255C4">
        <w:t>de interacción</w:t>
      </w:r>
      <w:r w:rsidRPr="00F255C4">
        <w:t xml:space="preserve"> con los consumidores </w:t>
      </w:r>
      <w:r w:rsidRPr="00F255C4">
        <w:t>previstas en el artículo 2 del proyecto</w:t>
      </w:r>
      <w:r w:rsidRPr="00F255C4">
        <w:t>,</w:t>
      </w:r>
      <w:r w:rsidRPr="00F255C4">
        <w:t xml:space="preserve"> </w:t>
      </w:r>
      <w:r w:rsidRPr="00F255C4">
        <w:t>que “[e]l objetivo de este artículo es restringir los canales de comunicación a través de los cuales se contactará a los consum</w:t>
      </w:r>
      <w:r w:rsidRPr="00F255C4">
        <w:t>idores para ejercer actividades de cobranza, y, en virtud de lo dispuesto en el artículo 5 para el ejercicio publicitario o comercial, exclusivamente a aquellos canales que el consumidor autorice”</w:t>
      </w:r>
      <w:r w:rsidRPr="00F255C4">
        <w:rPr>
          <w:rStyle w:val="Refdenotaalpie"/>
        </w:rPr>
        <w:footnoteReference w:id="5"/>
      </w:r>
      <w:r w:rsidRPr="00F255C4">
        <w:t>. De acuerdo con ello</w:t>
      </w:r>
      <w:r w:rsidRPr="00F255C4">
        <w:t>, se dijo,</w:t>
      </w:r>
      <w:r w:rsidRPr="00F255C4">
        <w:t xml:space="preserve"> “ha de entenderse que la ob</w:t>
      </w:r>
      <w:r w:rsidRPr="00F255C4">
        <w:t>ligación de informar y socializar a los consumidores las alternativas de canales para que éste autorice por medio de cuál desea ser contactado, radica en todas las entidades vigiladas por la Superintendencia Financiera de Colombia y personas naturales y ju</w:t>
      </w:r>
      <w:r w:rsidRPr="00F255C4">
        <w:t>rídicas que ejerzan actividades de cobranza, así como en los productores o proveedores de bienes y servicios conforme lo dispuesto en el artículo 5</w:t>
      </w:r>
      <w:r w:rsidRPr="00F255C4">
        <w:t>”</w:t>
      </w:r>
      <w:r w:rsidRPr="00F255C4">
        <w:rPr>
          <w:rStyle w:val="Refdenotaalpie"/>
        </w:rPr>
        <w:footnoteReference w:id="6"/>
      </w:r>
      <w:r w:rsidRPr="00F255C4">
        <w:t xml:space="preserve">.    </w:t>
      </w:r>
      <w:r w:rsidRPr="00F255C4">
        <w:t xml:space="preserve"> </w:t>
      </w:r>
    </w:p>
    <w:p w:rsidR="0042283C" w:rsidRPr="00F255C4" w:rsidRDefault="00F255C4" w:rsidP="0042283C">
      <w:pPr>
        <w:pStyle w:val="Prrafodelista"/>
      </w:pPr>
    </w:p>
    <w:p w:rsidR="00494E21" w:rsidRPr="00F255C4" w:rsidRDefault="00F255C4" w:rsidP="0042283C">
      <w:pPr>
        <w:pStyle w:val="Prrafodelista"/>
        <w:numPr>
          <w:ilvl w:val="0"/>
          <w:numId w:val="2"/>
        </w:numPr>
        <w:tabs>
          <w:tab w:val="left" w:pos="284"/>
          <w:tab w:val="right" w:pos="567"/>
          <w:tab w:val="left" w:pos="8222"/>
        </w:tabs>
        <w:ind w:left="0" w:right="-234" w:firstLine="0"/>
        <w:jc w:val="both"/>
      </w:pPr>
      <w:r w:rsidRPr="00F255C4">
        <w:t>De lo expuesto se concluye que de acuerdo con lo ocurrido en el trámite legislativo</w:t>
      </w:r>
      <w:r w:rsidRPr="00F255C4">
        <w:t>,</w:t>
      </w:r>
      <w:r w:rsidRPr="00F255C4">
        <w:t xml:space="preserve"> la regulación </w:t>
      </w:r>
      <w:r w:rsidRPr="00F255C4">
        <w:t>acusada tuvo como propósito adoptar</w:t>
      </w:r>
      <w:r w:rsidRPr="00F255C4">
        <w:t xml:space="preserve"> reglas</w:t>
      </w:r>
      <w:r w:rsidRPr="00F255C4">
        <w:t xml:space="preserve"> que protegieran a los consumidores frente a las actividades de cobro, comerciales y publicitarias. </w:t>
      </w:r>
      <w:r w:rsidRPr="00F255C4">
        <w:t xml:space="preserve">A partir de ese objetivo </w:t>
      </w:r>
      <w:r w:rsidRPr="00F255C4">
        <w:t>general</w:t>
      </w:r>
      <w:r w:rsidRPr="00F255C4">
        <w:t xml:space="preserve"> contempla</w:t>
      </w:r>
      <w:r w:rsidRPr="00F255C4">
        <w:t xml:space="preserve"> diferentes medidas. </w:t>
      </w:r>
    </w:p>
    <w:p w:rsidR="00494E21" w:rsidRPr="00F255C4" w:rsidRDefault="00F255C4" w:rsidP="00494E21">
      <w:pPr>
        <w:pStyle w:val="Prrafodelista"/>
      </w:pPr>
    </w:p>
    <w:p w:rsidR="0042283C" w:rsidRPr="00F255C4" w:rsidRDefault="00F255C4" w:rsidP="00494E21">
      <w:pPr>
        <w:pStyle w:val="Prrafodelista"/>
        <w:numPr>
          <w:ilvl w:val="1"/>
          <w:numId w:val="2"/>
        </w:numPr>
        <w:tabs>
          <w:tab w:val="left" w:pos="284"/>
          <w:tab w:val="right" w:pos="567"/>
          <w:tab w:val="left" w:pos="8222"/>
        </w:tabs>
        <w:ind w:left="0" w:right="-234" w:firstLine="0"/>
        <w:jc w:val="both"/>
      </w:pPr>
      <w:r w:rsidRPr="00F255C4">
        <w:t xml:space="preserve"> </w:t>
      </w:r>
      <w:r w:rsidRPr="00F255C4">
        <w:t>Un</w:t>
      </w:r>
      <w:r w:rsidRPr="00F255C4">
        <w:t xml:space="preserve"> primer grupo</w:t>
      </w:r>
      <w:r w:rsidRPr="00F255C4">
        <w:t xml:space="preserve"> regula las </w:t>
      </w:r>
      <w:r w:rsidRPr="00F255C4">
        <w:rPr>
          <w:b/>
        </w:rPr>
        <w:t>gestiones de cobranza</w:t>
      </w:r>
      <w:r w:rsidRPr="00F255C4">
        <w:t>.</w:t>
      </w:r>
      <w:r w:rsidRPr="00F255C4">
        <w:t xml:space="preserve"> </w:t>
      </w:r>
      <w:r w:rsidRPr="00F255C4">
        <w:t>P</w:t>
      </w:r>
      <w:r w:rsidRPr="00F255C4">
        <w:t>rev</w:t>
      </w:r>
      <w:r w:rsidRPr="00F255C4">
        <w:t>é</w:t>
      </w:r>
      <w:r w:rsidRPr="00F255C4">
        <w:t xml:space="preserve"> (i) </w:t>
      </w:r>
      <w:r w:rsidRPr="00F255C4">
        <w:t xml:space="preserve">un mandato en virtud del cual el contacto con los deudores solo será posible empleando </w:t>
      </w:r>
      <w:r w:rsidRPr="00F255C4">
        <w:t xml:space="preserve">los canales autorizados </w:t>
      </w:r>
      <w:r w:rsidRPr="00F255C4">
        <w:t xml:space="preserve">por estos, </w:t>
      </w:r>
      <w:r w:rsidRPr="00F255C4">
        <w:t>previa información y socialización de los existentes (art. 2)</w:t>
      </w:r>
      <w:r w:rsidRPr="00F255C4">
        <w:t>;</w:t>
      </w:r>
      <w:r w:rsidRPr="00F255C4">
        <w:t xml:space="preserve"> (ii) límites</w:t>
      </w:r>
      <w:r w:rsidRPr="00F255C4">
        <w:t xml:space="preserve"> específicos</w:t>
      </w:r>
      <w:r w:rsidRPr="00F255C4">
        <w:t xml:space="preserve"> relativos al horario y la periodic</w:t>
      </w:r>
      <w:r w:rsidRPr="00F255C4">
        <w:t>idad con la que pueden adelantarse las actividades de cobro</w:t>
      </w:r>
      <w:r w:rsidRPr="00F255C4">
        <w:rPr>
          <w:rStyle w:val="Textoennegrita"/>
        </w:rPr>
        <w:t xml:space="preserve"> </w:t>
      </w:r>
      <w:r w:rsidRPr="00F255C4">
        <w:rPr>
          <w:rStyle w:val="Textoennegrita"/>
          <w:b w:val="0"/>
        </w:rPr>
        <w:t>(art. 3)</w:t>
      </w:r>
      <w:r w:rsidRPr="00F255C4">
        <w:rPr>
          <w:rStyle w:val="Textoennegrita"/>
          <w:b w:val="0"/>
        </w:rPr>
        <w:t>;</w:t>
      </w:r>
      <w:r w:rsidRPr="00F255C4">
        <w:rPr>
          <w:rStyle w:val="Textoennegrita"/>
          <w:b w:val="0"/>
        </w:rPr>
        <w:t xml:space="preserve"> </w:t>
      </w:r>
      <w:r w:rsidRPr="00F255C4">
        <w:rPr>
          <w:rStyle w:val="Textoennegrita"/>
          <w:b w:val="0"/>
        </w:rPr>
        <w:t xml:space="preserve">y </w:t>
      </w:r>
      <w:r w:rsidRPr="00F255C4">
        <w:rPr>
          <w:rStyle w:val="Textoennegrita"/>
          <w:b w:val="0"/>
        </w:rPr>
        <w:t>(iii) la prohibición de</w:t>
      </w:r>
      <w:r w:rsidRPr="00F255C4">
        <w:rPr>
          <w:rStyle w:val="Textoennegrita"/>
          <w:b w:val="0"/>
        </w:rPr>
        <w:t xml:space="preserve"> comunicarse</w:t>
      </w:r>
      <w:r w:rsidRPr="00F255C4">
        <w:rPr>
          <w:rStyle w:val="Textoennegrita"/>
          <w:b w:val="0"/>
        </w:rPr>
        <w:t xml:space="preserve"> </w:t>
      </w:r>
      <w:r w:rsidRPr="00F255C4">
        <w:rPr>
          <w:rStyle w:val="Textoennegrita"/>
          <w:b w:val="0"/>
        </w:rPr>
        <w:t>con</w:t>
      </w:r>
      <w:r w:rsidRPr="00F255C4">
        <w:rPr>
          <w:rStyle w:val="Textoennegrita"/>
          <w:b w:val="0"/>
        </w:rPr>
        <w:t xml:space="preserve"> las personas que sean referencias personales </w:t>
      </w:r>
      <w:r w:rsidRPr="00F255C4">
        <w:rPr>
          <w:rStyle w:val="Textoennegrita"/>
          <w:b w:val="0"/>
        </w:rPr>
        <w:t>-</w:t>
      </w:r>
      <w:r w:rsidRPr="00F255C4">
        <w:rPr>
          <w:rStyle w:val="Textoennegrita"/>
          <w:b w:val="0"/>
        </w:rPr>
        <w:t>o de otra índole</w:t>
      </w:r>
      <w:r w:rsidRPr="00F255C4">
        <w:rPr>
          <w:rStyle w:val="Textoennegrita"/>
          <w:b w:val="0"/>
        </w:rPr>
        <w:t>- del deudor</w:t>
      </w:r>
      <w:r w:rsidRPr="00F255C4">
        <w:rPr>
          <w:rStyle w:val="Textoennegrita"/>
          <w:b w:val="0"/>
        </w:rPr>
        <w:t xml:space="preserve"> y </w:t>
      </w:r>
      <w:r w:rsidRPr="00F255C4">
        <w:rPr>
          <w:rStyle w:val="Textoennegrita"/>
          <w:b w:val="0"/>
        </w:rPr>
        <w:t xml:space="preserve">la permisión para </w:t>
      </w:r>
      <w:r w:rsidRPr="00F255C4">
        <w:rPr>
          <w:rStyle w:val="Textoennegrita"/>
          <w:b w:val="0"/>
        </w:rPr>
        <w:t xml:space="preserve">establecer contacto con codeudores o avalistas </w:t>
      </w:r>
      <w:r w:rsidRPr="00F255C4">
        <w:rPr>
          <w:rStyle w:val="Textoennegrita"/>
          <w:b w:val="0"/>
        </w:rPr>
        <w:t>(art. 4)</w:t>
      </w:r>
      <w:r w:rsidRPr="00F255C4">
        <w:rPr>
          <w:rStyle w:val="Textoennegrita"/>
          <w:b w:val="0"/>
        </w:rPr>
        <w:t>. Igualmente</w:t>
      </w:r>
      <w:r w:rsidRPr="00F255C4">
        <w:rPr>
          <w:rStyle w:val="Textoennegrita"/>
          <w:b w:val="0"/>
        </w:rPr>
        <w:t>,</w:t>
      </w:r>
      <w:r w:rsidRPr="00F255C4">
        <w:rPr>
          <w:rStyle w:val="Textoennegrita"/>
          <w:b w:val="0"/>
        </w:rPr>
        <w:t xml:space="preserve"> la ley establece </w:t>
      </w:r>
      <w:r w:rsidRPr="00F255C4">
        <w:rPr>
          <w:rStyle w:val="Textoennegrita"/>
          <w:b w:val="0"/>
        </w:rPr>
        <w:t xml:space="preserve">(iv) la prohibición de adelantar gestiones de cobranza </w:t>
      </w:r>
      <w:r w:rsidRPr="00F255C4">
        <w:t>mediante visitas al domicilio o lugar de trabajo del consumidor salvo, entre otras cosas, (a) cuando existiendo autorización se trate de las obligaciones adquirid</w:t>
      </w:r>
      <w:r w:rsidRPr="00F255C4">
        <w:t>as a través de microcréditos, crédito de fomento, desarrollo agropecuario o rural o (b) cuando las gestoras de cobranza no cuenten con información actualizada de los canales autorizados (art. 6)</w:t>
      </w:r>
      <w:r w:rsidRPr="00F255C4">
        <w:t xml:space="preserve">. Igualmente establece </w:t>
      </w:r>
      <w:r w:rsidRPr="00F255C4">
        <w:t>(v) la prohibición de consultar al cons</w:t>
      </w:r>
      <w:r w:rsidRPr="00F255C4">
        <w:t>umidor el motivo del incumplimiento de la obligación sin perjuicio de</w:t>
      </w:r>
      <w:r w:rsidRPr="00F255C4">
        <w:t xml:space="preserve"> valorar con é</w:t>
      </w:r>
      <w:r w:rsidRPr="00F255C4">
        <w:t>l las alternativas de pago que sean acordes con su situación financiera</w:t>
      </w:r>
      <w:r w:rsidRPr="00F255C4">
        <w:t xml:space="preserve"> (art. 7)</w:t>
      </w:r>
      <w:r w:rsidRPr="00F255C4">
        <w:t>. </w:t>
      </w:r>
    </w:p>
    <w:p w:rsidR="00920D05" w:rsidRPr="00F255C4" w:rsidRDefault="00F255C4" w:rsidP="00920D05">
      <w:pPr>
        <w:pStyle w:val="Prrafodelista"/>
        <w:tabs>
          <w:tab w:val="left" w:pos="284"/>
          <w:tab w:val="right" w:pos="567"/>
          <w:tab w:val="left" w:pos="8222"/>
        </w:tabs>
        <w:ind w:left="0" w:right="-234"/>
        <w:jc w:val="both"/>
      </w:pPr>
    </w:p>
    <w:p w:rsidR="0042283C" w:rsidRPr="00F255C4" w:rsidRDefault="00F255C4" w:rsidP="00920D05">
      <w:pPr>
        <w:pStyle w:val="Prrafodelista"/>
        <w:numPr>
          <w:ilvl w:val="1"/>
          <w:numId w:val="2"/>
        </w:numPr>
        <w:tabs>
          <w:tab w:val="left" w:pos="284"/>
          <w:tab w:val="right" w:pos="567"/>
          <w:tab w:val="left" w:pos="8222"/>
        </w:tabs>
        <w:ind w:left="0" w:right="-234" w:firstLine="0"/>
        <w:jc w:val="both"/>
      </w:pPr>
      <w:r w:rsidRPr="00F255C4">
        <w:t xml:space="preserve"> </w:t>
      </w:r>
      <w:r w:rsidRPr="00F255C4">
        <w:t>El</w:t>
      </w:r>
      <w:r w:rsidRPr="00F255C4">
        <w:t xml:space="preserve"> segundo </w:t>
      </w:r>
      <w:r w:rsidRPr="00F255C4">
        <w:t xml:space="preserve">grupo </w:t>
      </w:r>
      <w:r w:rsidRPr="00F255C4">
        <w:t xml:space="preserve">regula </w:t>
      </w:r>
      <w:r w:rsidRPr="00F255C4">
        <w:t>las</w:t>
      </w:r>
      <w:r w:rsidRPr="00F255C4">
        <w:t xml:space="preserve"> </w:t>
      </w:r>
      <w:r w:rsidRPr="00F255C4">
        <w:rPr>
          <w:b/>
        </w:rPr>
        <w:t>gestiones</w:t>
      </w:r>
      <w:r w:rsidRPr="00F255C4">
        <w:rPr>
          <w:b/>
        </w:rPr>
        <w:t xml:space="preserve"> comerciales y publici</w:t>
      </w:r>
      <w:r w:rsidRPr="00F255C4">
        <w:rPr>
          <w:b/>
        </w:rPr>
        <w:t>tarias</w:t>
      </w:r>
      <w:r w:rsidRPr="00F255C4">
        <w:t xml:space="preserve">. </w:t>
      </w:r>
      <w:r w:rsidRPr="00F255C4">
        <w:t>En su artículo 5 la l</w:t>
      </w:r>
      <w:r w:rsidRPr="00F255C4">
        <w:t xml:space="preserve">ey </w:t>
      </w:r>
      <w:r w:rsidRPr="00F255C4">
        <w:t>prevé (i) l</w:t>
      </w:r>
      <w:r w:rsidRPr="00F255C4">
        <w:t>a extensión de</w:t>
      </w:r>
      <w:r w:rsidRPr="00F255C4">
        <w:t xml:space="preserve"> </w:t>
      </w:r>
      <w:r w:rsidRPr="00F255C4">
        <w:t xml:space="preserve">lo </w:t>
      </w:r>
      <w:r w:rsidRPr="00F255C4">
        <w:t>dispuesto en la ley a las relaciones comerciales entre los productores y proveedores de bienes y servicios y el consumidor comercial</w:t>
      </w:r>
      <w:r w:rsidRPr="00F255C4">
        <w:t>,</w:t>
      </w:r>
      <w:r w:rsidRPr="00F255C4">
        <w:t xml:space="preserve"> en lo relativo al envío de mensajes publicitarios a través de </w:t>
      </w:r>
      <w:r w:rsidRPr="00F255C4">
        <w:t>m</w:t>
      </w:r>
      <w:r w:rsidRPr="00F255C4">
        <w:t xml:space="preserve">ensajes </w:t>
      </w:r>
      <w:r w:rsidRPr="00F255C4">
        <w:t>c</w:t>
      </w:r>
      <w:r w:rsidRPr="00F255C4">
        <w:t xml:space="preserve">ortos de </w:t>
      </w:r>
      <w:r w:rsidRPr="00F255C4">
        <w:t>t</w:t>
      </w:r>
      <w:r w:rsidRPr="00F255C4">
        <w:t>exto (SM</w:t>
      </w:r>
      <w:r w:rsidRPr="00F255C4">
        <w:t>S), mensajería por aplicaciones o web, correos electrónicos y llamadas telefónicas; (ii)</w:t>
      </w:r>
      <w:r w:rsidRPr="00F255C4">
        <w:t xml:space="preserve"> el deber</w:t>
      </w:r>
      <w:r w:rsidRPr="00F255C4">
        <w:t xml:space="preserve"> de implementar </w:t>
      </w:r>
      <w:r w:rsidRPr="00F255C4">
        <w:t>un</w:t>
      </w:r>
      <w:r w:rsidRPr="00F255C4">
        <w:t xml:space="preserve"> </w:t>
      </w:r>
      <w:r w:rsidRPr="00F255C4">
        <w:t>r</w:t>
      </w:r>
      <w:r w:rsidRPr="00F255C4">
        <w:t>egistro de números excluidos</w:t>
      </w:r>
      <w:r w:rsidRPr="00F255C4">
        <w:t>; y</w:t>
      </w:r>
      <w:r w:rsidRPr="00F255C4">
        <w:t xml:space="preserve"> (iii) </w:t>
      </w:r>
      <w:r w:rsidRPr="00F255C4">
        <w:t>una</w:t>
      </w:r>
      <w:r w:rsidRPr="00F255C4">
        <w:t xml:space="preserve"> prohibición de </w:t>
      </w:r>
      <w:r w:rsidRPr="00F255C4">
        <w:t xml:space="preserve">imponer a los consumidores la </w:t>
      </w:r>
      <w:r w:rsidRPr="00F255C4">
        <w:t>rec</w:t>
      </w:r>
      <w:r w:rsidRPr="00F255C4">
        <w:t>epción de</w:t>
      </w:r>
      <w:r w:rsidRPr="00F255C4">
        <w:t xml:space="preserve"> mensajes comerciales, salvo aquellos as</w:t>
      </w:r>
      <w:r w:rsidRPr="00F255C4">
        <w:t>untos estrictamente relacionados con el bien o servicio adquirido</w:t>
      </w:r>
      <w:r w:rsidRPr="00F255C4">
        <w:t xml:space="preserve">. Asimismo </w:t>
      </w:r>
      <w:r w:rsidRPr="00F255C4">
        <w:t>(i</w:t>
      </w:r>
      <w:r w:rsidRPr="00F255C4">
        <w:t>v</w:t>
      </w:r>
      <w:r w:rsidRPr="00F255C4">
        <w:t xml:space="preserve">) </w:t>
      </w:r>
      <w:r w:rsidRPr="00F255C4">
        <w:t xml:space="preserve">exige </w:t>
      </w:r>
      <w:r w:rsidRPr="00F255C4">
        <w:t>contar con el consentimiento del consumidor cuando se trate de promociones para alimentar bases de datos</w:t>
      </w:r>
      <w:r w:rsidRPr="00F255C4">
        <w:t>;</w:t>
      </w:r>
      <w:r w:rsidRPr="00F255C4">
        <w:t xml:space="preserve"> (v) la obligación de habilitar un mecanismo ágil, sencillo y eficiente para cancelar en cualquier momento la recepción de mensajes y correos, siempre y cuando no exista el deber contractual de permanecer en la respectiva base de datos de cobro; y (v</w:t>
      </w:r>
      <w:r w:rsidRPr="00F255C4">
        <w:t>i</w:t>
      </w:r>
      <w:r w:rsidRPr="00F255C4">
        <w:t xml:space="preserve">) la </w:t>
      </w:r>
      <w:r w:rsidRPr="00F255C4">
        <w:t>prohibición de enviar mensajes publicitarios desconociendo los horarios establecidos en la ley.</w:t>
      </w:r>
    </w:p>
    <w:p w:rsidR="00432C3F" w:rsidRPr="00F255C4" w:rsidRDefault="00F255C4" w:rsidP="00432C3F">
      <w:pPr>
        <w:pStyle w:val="Prrafodelista"/>
        <w:tabs>
          <w:tab w:val="left" w:pos="284"/>
          <w:tab w:val="right" w:pos="567"/>
          <w:tab w:val="left" w:pos="8222"/>
        </w:tabs>
        <w:ind w:left="0" w:right="-234"/>
        <w:jc w:val="both"/>
      </w:pPr>
    </w:p>
    <w:p w:rsidR="002631F8" w:rsidRPr="00F255C4" w:rsidRDefault="00F255C4" w:rsidP="0042283C">
      <w:pPr>
        <w:pStyle w:val="Prrafodelista"/>
        <w:numPr>
          <w:ilvl w:val="0"/>
          <w:numId w:val="2"/>
        </w:numPr>
        <w:tabs>
          <w:tab w:val="left" w:pos="284"/>
          <w:tab w:val="right" w:pos="567"/>
          <w:tab w:val="left" w:pos="8222"/>
        </w:tabs>
        <w:ind w:left="0" w:right="-234" w:firstLine="0"/>
        <w:jc w:val="both"/>
      </w:pPr>
      <w:r w:rsidRPr="00F255C4">
        <w:t>E</w:t>
      </w:r>
      <w:r w:rsidRPr="00F255C4">
        <w:t>n disposiciones</w:t>
      </w:r>
      <w:r w:rsidRPr="00F255C4">
        <w:t xml:space="preserve"> que son comunes a las dos dimensiones reguladas -de cobranza y comercial-</w:t>
      </w:r>
      <w:r w:rsidRPr="00F255C4">
        <w:t xml:space="preserve"> </w:t>
      </w:r>
      <w:r w:rsidRPr="00F255C4">
        <w:t xml:space="preserve">establece </w:t>
      </w:r>
      <w:r w:rsidRPr="00F255C4">
        <w:t xml:space="preserve">(i) que </w:t>
      </w:r>
      <w:r w:rsidRPr="00F255C4">
        <w:t xml:space="preserve">la regulación no se aplica a </w:t>
      </w:r>
      <w:r w:rsidRPr="00F255C4">
        <w:t>l</w:t>
      </w:r>
      <w:r w:rsidRPr="00F255C4">
        <w:t>as interacciones</w:t>
      </w:r>
      <w:r w:rsidRPr="00F255C4">
        <w:t xml:space="preserve"> que</w:t>
      </w:r>
      <w:r w:rsidRPr="00F255C4">
        <w:t xml:space="preserve"> inform</w:t>
      </w:r>
      <w:r w:rsidRPr="00F255C4">
        <w:t>en</w:t>
      </w:r>
      <w:r w:rsidRPr="00F255C4">
        <w:t xml:space="preserve"> al consumidor sobre </w:t>
      </w:r>
      <w:r w:rsidRPr="00F255C4">
        <w:t xml:space="preserve">la </w:t>
      </w:r>
      <w:r w:rsidRPr="00F255C4">
        <w:t>confirmación de las operaciones monetarias realizadas, sobre ahorros voluntarios y cesantías, sobre transacciones fraudulentas, inusuales o sospechosas</w:t>
      </w:r>
      <w:r w:rsidRPr="00F255C4">
        <w:t xml:space="preserve"> ni al envío </w:t>
      </w:r>
      <w:r w:rsidRPr="00F255C4">
        <w:t xml:space="preserve">de </w:t>
      </w:r>
      <w:r w:rsidRPr="00F255C4">
        <w:t xml:space="preserve">información solicitada por el consumidor o </w:t>
      </w:r>
      <w:r w:rsidRPr="00F255C4">
        <w:t xml:space="preserve">para </w:t>
      </w:r>
      <w:r w:rsidRPr="00F255C4">
        <w:t xml:space="preserve">generar </w:t>
      </w:r>
      <w:r w:rsidRPr="00F255C4">
        <w:t>alertas</w:t>
      </w:r>
      <w:r w:rsidRPr="00F255C4">
        <w:t xml:space="preserve"> (art. 8). A su vez (ii) establece que el incumplimiento de las medidas de protección, se sancionará por la Superintendencia Financiera de Colombia y la Superintendencia de Industria y Comercio, de acuerdo con el marco de competencias previsto en la</w:t>
      </w:r>
      <w:r w:rsidRPr="00F255C4">
        <w:t xml:space="preserve"> Ley 1266 de 2008 o las normas que la modifiquen, adicionen o sustituyan (art. 9). Finalmente (iii) se establece la vigencia de la ley</w:t>
      </w:r>
      <w:r w:rsidRPr="00F255C4">
        <w:t>,</w:t>
      </w:r>
      <w:r w:rsidRPr="00F255C4">
        <w:t xml:space="preserve"> previendo que entrará en vigor en un plazo de tres (3) meses contados a partir de su promulgación y deroga las disposici</w:t>
      </w:r>
      <w:r w:rsidRPr="00F255C4">
        <w:t>ones que le sean contrarias</w:t>
      </w:r>
      <w:r w:rsidRPr="00F255C4">
        <w:t xml:space="preserve"> (art. 10)</w:t>
      </w:r>
      <w:r w:rsidRPr="00F255C4">
        <w:t>.</w:t>
      </w:r>
    </w:p>
    <w:p w:rsidR="00C646C4" w:rsidRPr="00F255C4" w:rsidRDefault="00F255C4" w:rsidP="00C646C4">
      <w:pPr>
        <w:pStyle w:val="Prrafodelista"/>
      </w:pPr>
    </w:p>
    <w:p w:rsidR="002631F8" w:rsidRPr="00F255C4" w:rsidRDefault="00F255C4" w:rsidP="003B5B2F">
      <w:pPr>
        <w:ind w:left="708"/>
        <w:jc w:val="both"/>
        <w:rPr>
          <w:rFonts w:ascii="Times New Roman" w:hAnsi="Times New Roman" w:cs="Times New Roman"/>
          <w:sz w:val="28"/>
          <w:szCs w:val="28"/>
        </w:rPr>
      </w:pPr>
      <w:r w:rsidRPr="00F255C4">
        <w:rPr>
          <w:rFonts w:ascii="Times New Roman" w:hAnsi="Times New Roman" w:cs="Times New Roman"/>
          <w:b/>
          <w:sz w:val="28"/>
          <w:szCs w:val="28"/>
        </w:rPr>
        <w:t xml:space="preserve">La </w:t>
      </w:r>
      <w:r w:rsidRPr="00F255C4">
        <w:rPr>
          <w:rFonts w:ascii="Times New Roman" w:hAnsi="Times New Roman" w:cs="Times New Roman"/>
          <w:b/>
          <w:sz w:val="28"/>
          <w:szCs w:val="28"/>
        </w:rPr>
        <w:t>L</w:t>
      </w:r>
      <w:r w:rsidRPr="00F255C4">
        <w:rPr>
          <w:rFonts w:ascii="Times New Roman" w:hAnsi="Times New Roman" w:cs="Times New Roman"/>
          <w:b/>
          <w:sz w:val="28"/>
          <w:szCs w:val="28"/>
        </w:rPr>
        <w:t xml:space="preserve">ey 2300 de 2023 </w:t>
      </w:r>
      <w:r w:rsidRPr="00F255C4">
        <w:rPr>
          <w:rFonts w:ascii="Times New Roman" w:hAnsi="Times New Roman" w:cs="Times New Roman"/>
          <w:b/>
          <w:sz w:val="28"/>
          <w:szCs w:val="28"/>
        </w:rPr>
        <w:t>y su triple vinculación temática con la Constitución</w:t>
      </w:r>
    </w:p>
    <w:p w:rsidR="00E4134E" w:rsidRPr="00F255C4" w:rsidRDefault="00F255C4" w:rsidP="008443F8">
      <w:pPr>
        <w:pStyle w:val="Prrafodelista"/>
        <w:numPr>
          <w:ilvl w:val="0"/>
          <w:numId w:val="2"/>
        </w:numPr>
        <w:tabs>
          <w:tab w:val="left" w:pos="284"/>
          <w:tab w:val="right" w:pos="567"/>
          <w:tab w:val="left" w:pos="8222"/>
        </w:tabs>
        <w:ind w:left="0" w:right="-234" w:firstLine="0"/>
        <w:jc w:val="both"/>
      </w:pPr>
      <w:r w:rsidRPr="00F255C4">
        <w:t>L</w:t>
      </w:r>
      <w:r w:rsidRPr="00F255C4">
        <w:t>a Ley 2300 de 2023 regula un área de la</w:t>
      </w:r>
      <w:r w:rsidRPr="00F255C4">
        <w:t xml:space="preserve"> actividad social y económica</w:t>
      </w:r>
      <w:r w:rsidRPr="00F255C4">
        <w:t xml:space="preserve"> </w:t>
      </w:r>
      <w:r w:rsidRPr="00F255C4">
        <w:t>vincula</w:t>
      </w:r>
      <w:r w:rsidRPr="00F255C4">
        <w:t>da</w:t>
      </w:r>
      <w:r w:rsidRPr="00F255C4">
        <w:t xml:space="preserve"> con diferentes dimensiones </w:t>
      </w:r>
      <w:r w:rsidRPr="00F255C4">
        <w:t>del texto constitucional</w:t>
      </w:r>
      <w:r w:rsidRPr="00F255C4">
        <w:t>. La</w:t>
      </w:r>
      <w:r w:rsidRPr="00F255C4">
        <w:t xml:space="preserve"> descripción de</w:t>
      </w:r>
      <w:r w:rsidRPr="00F255C4">
        <w:t xml:space="preserve"> esa vinculación</w:t>
      </w:r>
      <w:r w:rsidRPr="00F255C4">
        <w:t xml:space="preserve"> </w:t>
      </w:r>
      <w:r w:rsidRPr="00F255C4">
        <w:t>resulta de interés dado que concurren materias que, desde el punto de vista constitucional</w:t>
      </w:r>
      <w:r w:rsidRPr="00F255C4">
        <w:t xml:space="preserve"> pueden encontrarse</w:t>
      </w:r>
      <w:r w:rsidRPr="00F255C4">
        <w:t xml:space="preserve"> sujeta</w:t>
      </w:r>
      <w:r w:rsidRPr="00F255C4">
        <w:t>s</w:t>
      </w:r>
      <w:r w:rsidRPr="00F255C4">
        <w:t xml:space="preserve"> a un régimen regulatorio -o de fuentes- que no es equivalente. </w:t>
      </w:r>
      <w:r w:rsidRPr="00F255C4">
        <w:t>Para la Corte la regulación acusada se vinc</w:t>
      </w:r>
      <w:r w:rsidRPr="00F255C4">
        <w:t>ula con al menos tres ámbitos temáticos previstos en la Constitución:</w:t>
      </w:r>
      <w:r w:rsidRPr="00F255C4">
        <w:t xml:space="preserve"> </w:t>
      </w:r>
      <w:r w:rsidRPr="00F255C4">
        <w:t>la protección al consumidor (art. 78)</w:t>
      </w:r>
      <w:r w:rsidRPr="00F255C4">
        <w:t xml:space="preserve">, </w:t>
      </w:r>
      <w:r w:rsidRPr="00F255C4">
        <w:t xml:space="preserve">la </w:t>
      </w:r>
      <w:r w:rsidRPr="00F255C4">
        <w:t>Constitución Econ</w:t>
      </w:r>
      <w:r w:rsidRPr="00F255C4">
        <w:t>ó</w:t>
      </w:r>
      <w:r w:rsidRPr="00F255C4">
        <w:t>mica</w:t>
      </w:r>
      <w:r w:rsidRPr="00F255C4">
        <w:t xml:space="preserve"> (arts. 333, 334 y 335) </w:t>
      </w:r>
      <w:r w:rsidRPr="00F255C4">
        <w:t xml:space="preserve">y </w:t>
      </w:r>
      <w:r w:rsidRPr="00F255C4">
        <w:t xml:space="preserve">los </w:t>
      </w:r>
      <w:r w:rsidRPr="00F255C4">
        <w:t>derecho</w:t>
      </w:r>
      <w:r w:rsidRPr="00F255C4">
        <w:t>s</w:t>
      </w:r>
      <w:r w:rsidRPr="00F255C4">
        <w:t xml:space="preserve"> </w:t>
      </w:r>
      <w:r w:rsidRPr="00F255C4">
        <w:t xml:space="preserve">fundamentales </w:t>
      </w:r>
      <w:r w:rsidRPr="00F255C4">
        <w:t>a la intimidad</w:t>
      </w:r>
      <w:r w:rsidRPr="00F255C4">
        <w:t>, al habeas data y al buen nombre</w:t>
      </w:r>
      <w:r w:rsidRPr="00F255C4">
        <w:t xml:space="preserve"> (art. 15)</w:t>
      </w:r>
      <w:r w:rsidRPr="00F255C4">
        <w:t xml:space="preserve">. </w:t>
      </w:r>
      <w:r w:rsidRPr="00F255C4">
        <w:t>A continua</w:t>
      </w:r>
      <w:r w:rsidRPr="00F255C4">
        <w:t xml:space="preserve">ción, la Corte fundamenta esta conclusión identificando, de manera general, la forma como se manifiesta en cada una de ellas la función de regulación a cargo del Estado. </w:t>
      </w:r>
      <w:r w:rsidRPr="00F255C4">
        <w:t xml:space="preserve"> </w:t>
      </w:r>
    </w:p>
    <w:p w:rsidR="006A50E1" w:rsidRPr="00F255C4" w:rsidRDefault="00F255C4" w:rsidP="00432C3F">
      <w:pPr>
        <w:pStyle w:val="Prrafodelista"/>
        <w:tabs>
          <w:tab w:val="left" w:pos="284"/>
          <w:tab w:val="right" w:pos="567"/>
          <w:tab w:val="left" w:pos="8222"/>
        </w:tabs>
        <w:ind w:left="0" w:right="-234"/>
        <w:jc w:val="both"/>
        <w:rPr>
          <w:b/>
          <w:lang w:val="es-ES"/>
        </w:rPr>
      </w:pPr>
    </w:p>
    <w:p w:rsidR="00D42B48" w:rsidRPr="00F255C4" w:rsidRDefault="00F255C4" w:rsidP="00EB3CF4">
      <w:pPr>
        <w:pStyle w:val="Prrafodelista"/>
        <w:tabs>
          <w:tab w:val="left" w:pos="284"/>
          <w:tab w:val="right" w:pos="567"/>
          <w:tab w:val="left" w:pos="8222"/>
        </w:tabs>
        <w:ind w:left="720" w:right="-234"/>
        <w:jc w:val="both"/>
        <w:rPr>
          <w:b/>
          <w:lang w:val="es-ES"/>
        </w:rPr>
      </w:pPr>
      <w:r w:rsidRPr="00F255C4">
        <w:rPr>
          <w:b/>
          <w:lang w:val="es-ES"/>
        </w:rPr>
        <w:t>La Ley 2300 y el régimen de protección al consumidor</w:t>
      </w:r>
    </w:p>
    <w:p w:rsidR="00D42B48" w:rsidRPr="00F255C4" w:rsidRDefault="00F255C4" w:rsidP="00432C3F">
      <w:pPr>
        <w:pStyle w:val="Prrafodelista"/>
        <w:tabs>
          <w:tab w:val="left" w:pos="284"/>
          <w:tab w:val="right" w:pos="567"/>
          <w:tab w:val="left" w:pos="8222"/>
        </w:tabs>
        <w:ind w:left="0" w:right="-234"/>
        <w:jc w:val="both"/>
        <w:rPr>
          <w:lang w:val="es-ES"/>
        </w:rPr>
      </w:pPr>
    </w:p>
    <w:p w:rsidR="00F83DD1" w:rsidRPr="00F255C4" w:rsidRDefault="00F255C4" w:rsidP="00432C3F">
      <w:pPr>
        <w:pStyle w:val="Prrafodelista"/>
        <w:numPr>
          <w:ilvl w:val="0"/>
          <w:numId w:val="2"/>
        </w:numPr>
        <w:tabs>
          <w:tab w:val="left" w:pos="284"/>
          <w:tab w:val="right" w:pos="567"/>
          <w:tab w:val="left" w:pos="8222"/>
        </w:tabs>
        <w:ind w:left="0" w:right="-234" w:firstLine="0"/>
        <w:jc w:val="both"/>
        <w:rPr>
          <w:lang w:val="es-ES"/>
        </w:rPr>
      </w:pPr>
      <w:r w:rsidRPr="00F255C4">
        <w:t xml:space="preserve">La Ley 2300 de 2023 se encuentra en una relación estrecha con la obligación constitucional de </w:t>
      </w:r>
      <w:r w:rsidRPr="00F255C4">
        <w:t>adoptar medidas</w:t>
      </w:r>
      <w:r w:rsidRPr="00F255C4">
        <w:t xml:space="preserve"> de </w:t>
      </w:r>
      <w:r w:rsidRPr="00F255C4">
        <w:rPr>
          <w:i/>
        </w:rPr>
        <w:t>protección al consumidor</w:t>
      </w:r>
      <w:r w:rsidRPr="00F255C4">
        <w:t>,</w:t>
      </w:r>
      <w:r w:rsidRPr="00F255C4">
        <w:t xml:space="preserve"> tal y como ello se encuentra previsto en el artículo 78 de la Constitución</w:t>
      </w:r>
      <w:r w:rsidRPr="00F255C4">
        <w:t>. Según el primer inciso de ese artículo</w:t>
      </w:r>
      <w:r w:rsidRPr="00F255C4">
        <w:t xml:space="preserve"> “[l]a ley regulará el control de calidad de bienes y servicios ofrecidos y prestados a la comunidad, así como la información que debe suministrarse al público en su comercialización</w:t>
      </w:r>
      <w:r w:rsidRPr="00F255C4">
        <w:t>”</w:t>
      </w:r>
      <w:r w:rsidRPr="00F255C4">
        <w:t>. </w:t>
      </w:r>
    </w:p>
    <w:p w:rsidR="00950D39" w:rsidRPr="00F255C4" w:rsidRDefault="00F255C4" w:rsidP="00950D39">
      <w:pPr>
        <w:pStyle w:val="Prrafodelista"/>
        <w:tabs>
          <w:tab w:val="left" w:pos="284"/>
          <w:tab w:val="right" w:pos="567"/>
          <w:tab w:val="left" w:pos="8222"/>
        </w:tabs>
        <w:ind w:left="0" w:right="-234"/>
        <w:jc w:val="both"/>
        <w:rPr>
          <w:lang w:val="es-ES"/>
        </w:rPr>
      </w:pPr>
    </w:p>
    <w:p w:rsidR="00EF406C" w:rsidRPr="00F255C4" w:rsidRDefault="00F255C4" w:rsidP="00A117D5">
      <w:pPr>
        <w:pStyle w:val="Prrafodelista"/>
        <w:numPr>
          <w:ilvl w:val="0"/>
          <w:numId w:val="2"/>
        </w:numPr>
        <w:tabs>
          <w:tab w:val="left" w:pos="284"/>
          <w:tab w:val="right" w:pos="567"/>
          <w:tab w:val="left" w:pos="8222"/>
        </w:tabs>
        <w:ind w:left="0" w:right="-234" w:firstLine="0"/>
        <w:jc w:val="both"/>
        <w:rPr>
          <w:lang w:val="es-ES"/>
        </w:rPr>
      </w:pPr>
      <w:r w:rsidRPr="00F255C4">
        <w:rPr>
          <w:rFonts w:eastAsia="Times New Roman"/>
          <w:lang w:eastAsia="es-CO"/>
        </w:rPr>
        <w:t>La protección del consumidor se manifiesta en diferentes tipos de rel</w:t>
      </w:r>
      <w:r w:rsidRPr="00F255C4">
        <w:rPr>
          <w:rFonts w:eastAsia="Times New Roman"/>
          <w:lang w:eastAsia="es-CO"/>
        </w:rPr>
        <w:t xml:space="preserve">aciones. </w:t>
      </w:r>
      <w:r w:rsidRPr="00F255C4">
        <w:rPr>
          <w:rFonts w:eastAsia="Times New Roman"/>
          <w:lang w:eastAsia="es-CO"/>
        </w:rPr>
        <w:t>L</w:t>
      </w:r>
      <w:r w:rsidRPr="00F255C4">
        <w:rPr>
          <w:rFonts w:eastAsia="Times New Roman"/>
          <w:lang w:eastAsia="es-CO"/>
        </w:rPr>
        <w:t xml:space="preserve">a Ley 1480 </w:t>
      </w:r>
      <w:r w:rsidRPr="00F255C4">
        <w:rPr>
          <w:rFonts w:eastAsia="Times New Roman"/>
          <w:lang w:eastAsia="es-CO"/>
        </w:rPr>
        <w:t xml:space="preserve">de 2011 </w:t>
      </w:r>
      <w:r w:rsidRPr="00F255C4">
        <w:rPr>
          <w:rFonts w:eastAsia="Times New Roman"/>
          <w:lang w:eastAsia="es-CO"/>
        </w:rPr>
        <w:t>establece un régimen general de protección al consumidor definiendo como tal a “</w:t>
      </w:r>
      <w:r w:rsidRPr="00F255C4">
        <w:rPr>
          <w:rFonts w:eastAsia="Times New Roman"/>
          <w:lang w:eastAsia="es-CO"/>
        </w:rPr>
        <w:t>[</w:t>
      </w:r>
      <w:r w:rsidRPr="00F255C4">
        <w:rPr>
          <w:shd w:val="clear" w:color="auto" w:fill="FFFFFF"/>
        </w:rPr>
        <w:t>t]</w:t>
      </w:r>
      <w:r w:rsidRPr="00F255C4">
        <w:rPr>
          <w:shd w:val="clear" w:color="auto" w:fill="FFFFFF"/>
        </w:rPr>
        <w:t>oda persona natural o jurídica que, como destinatario final, adquiera, disfrute o utilice un determinado producto, cualquiera que sea su natural</w:t>
      </w:r>
      <w:r w:rsidRPr="00F255C4">
        <w:rPr>
          <w:shd w:val="clear" w:color="auto" w:fill="FFFFFF"/>
        </w:rPr>
        <w:t>eza para la satisfacción de una necesidad propia, privada, familiar o doméstica y empresarial cuando no esté ligada intrínsecamente a su actividad económica”</w:t>
      </w:r>
      <w:r w:rsidRPr="00F255C4">
        <w:rPr>
          <w:shd w:val="clear" w:color="auto" w:fill="FFFFFF"/>
        </w:rPr>
        <w:t xml:space="preserve"> (art.</w:t>
      </w:r>
      <w:r w:rsidRPr="00F255C4">
        <w:rPr>
          <w:shd w:val="clear" w:color="auto" w:fill="FFFFFF"/>
        </w:rPr>
        <w:t xml:space="preserve"> </w:t>
      </w:r>
      <w:r w:rsidRPr="00F255C4">
        <w:rPr>
          <w:shd w:val="clear" w:color="auto" w:fill="FFFFFF"/>
        </w:rPr>
        <w:t>5.3)</w:t>
      </w:r>
      <w:r w:rsidRPr="00F255C4">
        <w:rPr>
          <w:rStyle w:val="Refdenotaalpie"/>
          <w:shd w:val="clear" w:color="auto" w:fill="FFFFFF"/>
        </w:rPr>
        <w:footnoteReference w:id="7"/>
      </w:r>
      <w:r w:rsidRPr="00F255C4">
        <w:rPr>
          <w:shd w:val="clear" w:color="auto" w:fill="FFFFFF"/>
        </w:rPr>
        <w:t xml:space="preserve">. </w:t>
      </w:r>
      <w:r w:rsidRPr="00F255C4">
        <w:rPr>
          <w:shd w:val="clear" w:color="auto" w:fill="FFFFFF"/>
        </w:rPr>
        <w:t xml:space="preserve">A su vez, la </w:t>
      </w:r>
      <w:r w:rsidRPr="00F255C4">
        <w:rPr>
          <w:shd w:val="clear" w:color="auto" w:fill="FFFFFF"/>
        </w:rPr>
        <w:t>L</w:t>
      </w:r>
      <w:r w:rsidRPr="00F255C4">
        <w:rPr>
          <w:shd w:val="clear" w:color="auto" w:fill="FFFFFF"/>
        </w:rPr>
        <w:t>ey 1328 de 2009</w:t>
      </w:r>
      <w:r w:rsidRPr="00F255C4">
        <w:rPr>
          <w:shd w:val="clear" w:color="auto" w:fill="FFFFFF"/>
        </w:rPr>
        <w:t xml:space="preserve"> define al consumidor financiero como “todo cliente, usu</w:t>
      </w:r>
      <w:r w:rsidRPr="00F255C4">
        <w:rPr>
          <w:shd w:val="clear" w:color="auto" w:fill="FFFFFF"/>
        </w:rPr>
        <w:t xml:space="preserve">ario o cliente potencial de las entidades vigiladas” (art. 5.d). </w:t>
      </w:r>
    </w:p>
    <w:p w:rsidR="00EF406C" w:rsidRPr="00F255C4" w:rsidRDefault="00F255C4" w:rsidP="00EF406C">
      <w:pPr>
        <w:pStyle w:val="Prrafodelista"/>
        <w:rPr>
          <w:shd w:val="clear" w:color="auto" w:fill="FFFFFF"/>
        </w:rPr>
      </w:pPr>
    </w:p>
    <w:p w:rsidR="00C74702" w:rsidRPr="00F255C4" w:rsidRDefault="00F255C4" w:rsidP="00264598">
      <w:pPr>
        <w:pStyle w:val="Prrafodelista"/>
        <w:numPr>
          <w:ilvl w:val="0"/>
          <w:numId w:val="2"/>
        </w:numPr>
        <w:tabs>
          <w:tab w:val="left" w:pos="284"/>
          <w:tab w:val="right" w:pos="567"/>
          <w:tab w:val="left" w:pos="8222"/>
        </w:tabs>
        <w:ind w:left="0" w:right="-234" w:firstLine="0"/>
        <w:jc w:val="both"/>
        <w:rPr>
          <w:lang w:val="es-ES"/>
        </w:rPr>
      </w:pPr>
      <w:r w:rsidRPr="00F255C4">
        <w:rPr>
          <w:shd w:val="clear" w:color="auto" w:fill="FFFFFF"/>
        </w:rPr>
        <w:t>En las leyes referidas se prevén normas que protegen a los consumidores frente a un número significativo de prácticas</w:t>
      </w:r>
      <w:r w:rsidRPr="00F255C4">
        <w:rPr>
          <w:shd w:val="clear" w:color="auto" w:fill="FFFFFF"/>
        </w:rPr>
        <w:t>, cláusulas</w:t>
      </w:r>
      <w:r w:rsidRPr="00F255C4">
        <w:rPr>
          <w:shd w:val="clear" w:color="auto" w:fill="FFFFFF"/>
        </w:rPr>
        <w:t xml:space="preserve"> o comportamientos que pueden incidir en el adecuado desarrol</w:t>
      </w:r>
      <w:r w:rsidRPr="00F255C4">
        <w:rPr>
          <w:shd w:val="clear" w:color="auto" w:fill="FFFFFF"/>
        </w:rPr>
        <w:t>lo de l</w:t>
      </w:r>
      <w:r w:rsidRPr="00F255C4">
        <w:rPr>
          <w:shd w:val="clear" w:color="auto" w:fill="FFFFFF"/>
        </w:rPr>
        <w:t>os vínculos</w:t>
      </w:r>
      <w:r w:rsidRPr="00F255C4">
        <w:rPr>
          <w:shd w:val="clear" w:color="auto" w:fill="FFFFFF"/>
        </w:rPr>
        <w:t xml:space="preserve"> que fabricantes, proveedores o acreedores tienen con aquellos. </w:t>
      </w:r>
      <w:r w:rsidRPr="00F255C4">
        <w:rPr>
          <w:shd w:val="clear" w:color="auto" w:fill="FFFFFF"/>
        </w:rPr>
        <w:t>Varias de sus dispos</w:t>
      </w:r>
      <w:r w:rsidRPr="00F255C4">
        <w:rPr>
          <w:shd w:val="clear" w:color="auto" w:fill="FFFFFF"/>
        </w:rPr>
        <w:t xml:space="preserve">iciones </w:t>
      </w:r>
      <w:r w:rsidRPr="00F255C4">
        <w:rPr>
          <w:shd w:val="clear" w:color="auto" w:fill="FFFFFF"/>
        </w:rPr>
        <w:t xml:space="preserve">guardan </w:t>
      </w:r>
      <w:r w:rsidRPr="00F255C4">
        <w:rPr>
          <w:shd w:val="clear" w:color="auto" w:fill="FFFFFF"/>
        </w:rPr>
        <w:t>relación con la</w:t>
      </w:r>
      <w:r w:rsidRPr="00F255C4">
        <w:rPr>
          <w:shd w:val="clear" w:color="auto" w:fill="FFFFFF"/>
        </w:rPr>
        <w:t xml:space="preserve"> ley</w:t>
      </w:r>
      <w:r w:rsidRPr="00F255C4">
        <w:rPr>
          <w:shd w:val="clear" w:color="auto" w:fill="FFFFFF"/>
        </w:rPr>
        <w:t xml:space="preserve"> acusada</w:t>
      </w:r>
      <w:r w:rsidRPr="00F255C4">
        <w:rPr>
          <w:shd w:val="clear" w:color="auto" w:fill="FFFFFF"/>
        </w:rPr>
        <w:t>. En efecto, l</w:t>
      </w:r>
      <w:r w:rsidRPr="00F255C4">
        <w:rPr>
          <w:shd w:val="clear" w:color="auto" w:fill="FFFFFF"/>
        </w:rPr>
        <w:t xml:space="preserve">a </w:t>
      </w:r>
      <w:r w:rsidRPr="00F255C4">
        <w:rPr>
          <w:shd w:val="clear" w:color="auto" w:fill="FFFFFF"/>
        </w:rPr>
        <w:t xml:space="preserve">Ley 1480 </w:t>
      </w:r>
      <w:r w:rsidRPr="00F255C4">
        <w:rPr>
          <w:shd w:val="clear" w:color="auto" w:fill="FFFFFF"/>
        </w:rPr>
        <w:t xml:space="preserve">de 2011 regula (i) los derechos del consumidor a recibir información adecuada -veraz, </w:t>
      </w:r>
      <w:r w:rsidRPr="00F255C4">
        <w:rPr>
          <w:shd w:val="clear" w:color="auto" w:fill="FFFFFF"/>
        </w:rPr>
        <w:t>completa y comprensible- y a ser protegido frente a las prácticas contractuales abusivas (art. 3)</w:t>
      </w:r>
      <w:r w:rsidRPr="00F255C4">
        <w:rPr>
          <w:shd w:val="clear" w:color="auto" w:fill="FFFFFF"/>
        </w:rPr>
        <w:t xml:space="preserve"> así como</w:t>
      </w:r>
      <w:r w:rsidRPr="00F255C4">
        <w:rPr>
          <w:shd w:val="clear" w:color="auto" w:fill="FFFFFF"/>
        </w:rPr>
        <w:t xml:space="preserve"> (ii) las operaciones mediante sistemas de financiación</w:t>
      </w:r>
      <w:r w:rsidRPr="00F255C4">
        <w:rPr>
          <w:shd w:val="clear" w:color="auto" w:fill="FFFFFF"/>
        </w:rPr>
        <w:t xml:space="preserve"> previendo las condiciones aplicables a los mismos y las restricciones relevantes (art. 45). A </w:t>
      </w:r>
      <w:r w:rsidRPr="00F255C4">
        <w:rPr>
          <w:shd w:val="clear" w:color="auto" w:fill="FFFFFF"/>
        </w:rPr>
        <w:t>su vez, la Ley 1328 de 2009 establece (i) el principio de debida diligencia que impone a las entidades del sector financiero prestar la atención debida y respetuosa en desarrollo de las relaciones que establezcan (art. 3)</w:t>
      </w:r>
      <w:r w:rsidRPr="00F255C4">
        <w:rPr>
          <w:shd w:val="clear" w:color="auto" w:fill="FFFFFF"/>
        </w:rPr>
        <w:t>, (ii) el deber de suministrar info</w:t>
      </w:r>
      <w:r w:rsidRPr="00F255C4">
        <w:rPr>
          <w:shd w:val="clear" w:color="auto" w:fill="FFFFFF"/>
        </w:rPr>
        <w:t xml:space="preserve">rmación clara y veraz de los productos que ofrecen en el mercado (art. 7) y (iii) </w:t>
      </w:r>
      <w:r w:rsidRPr="00F255C4">
        <w:rPr>
          <w:shd w:val="clear" w:color="auto" w:fill="FFFFFF"/>
        </w:rPr>
        <w:t xml:space="preserve">la posibilidad de </w:t>
      </w:r>
      <w:r w:rsidRPr="00F255C4">
        <w:rPr>
          <w:shd w:val="clear" w:color="auto" w:fill="FFFFFF"/>
        </w:rPr>
        <w:t>realizar gestiones de cobro de manera respetuosa y en horarios adecuados (art. 7).</w:t>
      </w:r>
      <w:r w:rsidRPr="00F255C4">
        <w:rPr>
          <w:shd w:val="clear" w:color="auto" w:fill="FFFFFF"/>
        </w:rPr>
        <w:t xml:space="preserve"> </w:t>
      </w:r>
    </w:p>
    <w:p w:rsidR="00C74702" w:rsidRPr="00F255C4" w:rsidRDefault="00F255C4" w:rsidP="00C74702">
      <w:pPr>
        <w:pStyle w:val="Prrafodelista"/>
        <w:tabs>
          <w:tab w:val="left" w:pos="284"/>
          <w:tab w:val="right" w:pos="567"/>
          <w:tab w:val="left" w:pos="8222"/>
        </w:tabs>
        <w:ind w:left="0" w:right="-234"/>
        <w:jc w:val="both"/>
        <w:rPr>
          <w:lang w:val="es-ES"/>
        </w:rPr>
      </w:pPr>
    </w:p>
    <w:p w:rsidR="00264598" w:rsidRPr="00F255C4" w:rsidRDefault="00F255C4" w:rsidP="00264598">
      <w:pPr>
        <w:pStyle w:val="Prrafodelista"/>
        <w:numPr>
          <w:ilvl w:val="0"/>
          <w:numId w:val="2"/>
        </w:numPr>
        <w:tabs>
          <w:tab w:val="left" w:pos="284"/>
          <w:tab w:val="right" w:pos="567"/>
          <w:tab w:val="left" w:pos="8222"/>
        </w:tabs>
        <w:ind w:left="0" w:right="-234" w:firstLine="0"/>
        <w:jc w:val="both"/>
        <w:rPr>
          <w:lang w:val="es-ES"/>
        </w:rPr>
      </w:pPr>
      <w:r w:rsidRPr="00F255C4">
        <w:rPr>
          <w:shd w:val="clear" w:color="auto" w:fill="FFFFFF"/>
        </w:rPr>
        <w:t>Esas normas</w:t>
      </w:r>
      <w:r w:rsidRPr="00F255C4">
        <w:rPr>
          <w:shd w:val="clear" w:color="auto" w:fill="FFFFFF"/>
        </w:rPr>
        <w:t>, complementadas ahora con la Ley 2300 de 2023, concurren</w:t>
      </w:r>
      <w:r w:rsidRPr="00F255C4">
        <w:rPr>
          <w:shd w:val="clear" w:color="auto" w:fill="FFFFFF"/>
        </w:rPr>
        <w:t xml:space="preserve"> </w:t>
      </w:r>
      <w:r w:rsidRPr="00F255C4">
        <w:rPr>
          <w:shd w:val="clear" w:color="auto" w:fill="FFFFFF"/>
        </w:rPr>
        <w:t xml:space="preserve">para </w:t>
      </w:r>
      <w:r w:rsidRPr="00F255C4">
        <w:rPr>
          <w:shd w:val="clear" w:color="auto" w:fill="FFFFFF"/>
        </w:rPr>
        <w:t>regular un área de la vida social</w:t>
      </w:r>
      <w:r w:rsidRPr="00F255C4">
        <w:rPr>
          <w:shd w:val="clear" w:color="auto" w:fill="FFFFFF"/>
        </w:rPr>
        <w:t>, la del consumo,</w:t>
      </w:r>
      <w:r w:rsidRPr="00F255C4">
        <w:rPr>
          <w:shd w:val="clear" w:color="auto" w:fill="FFFFFF"/>
        </w:rPr>
        <w:t xml:space="preserve"> </w:t>
      </w:r>
      <w:r w:rsidRPr="00F255C4">
        <w:rPr>
          <w:shd w:val="clear" w:color="auto" w:fill="FFFFFF"/>
        </w:rPr>
        <w:t xml:space="preserve">caracterizada por la existencia de significativas formas </w:t>
      </w:r>
      <w:r w:rsidRPr="00F255C4">
        <w:rPr>
          <w:shd w:val="clear" w:color="auto" w:fill="FFFFFF"/>
        </w:rPr>
        <w:t>de asimetría</w:t>
      </w:r>
      <w:r w:rsidRPr="00F255C4">
        <w:rPr>
          <w:shd w:val="clear" w:color="auto" w:fill="FFFFFF"/>
        </w:rPr>
        <w:t>. Según lo ha señalado este tribunal la existencia de un régimen especial en esta materia “estriba en la necesidad de compensar con</w:t>
      </w:r>
      <w:r w:rsidRPr="00F255C4">
        <w:rPr>
          <w:shd w:val="clear" w:color="auto" w:fill="FFFFFF"/>
        </w:rPr>
        <w:t xml:space="preserve"> medidas de distinto orden la posición de inferioridad con que consumidores y usuarios, por lo general dispersos y dotados de escasos conocimientos y potencialidades, enfrentan a las fuerzas de la producción y comercialización de bienes y servicios, necesa</w:t>
      </w:r>
      <w:r w:rsidRPr="00F255C4">
        <w:rPr>
          <w:shd w:val="clear" w:color="auto" w:fill="FFFFFF"/>
        </w:rPr>
        <w:t>rios en orden a la satisfacción de sus necesidades materiales”</w:t>
      </w:r>
      <w:r w:rsidRPr="00F255C4">
        <w:rPr>
          <w:rStyle w:val="Refdenotaalpie"/>
          <w:shd w:val="clear" w:color="auto" w:fill="FFFFFF"/>
        </w:rPr>
        <w:footnoteReference w:id="8"/>
      </w:r>
      <w:r w:rsidRPr="00F255C4">
        <w:rPr>
          <w:shd w:val="clear" w:color="auto" w:fill="FFFFFF"/>
        </w:rPr>
        <w:t>.</w:t>
      </w:r>
    </w:p>
    <w:p w:rsidR="00B76836" w:rsidRPr="00F255C4" w:rsidRDefault="00F255C4" w:rsidP="00B76836">
      <w:pPr>
        <w:pStyle w:val="Prrafodelista"/>
        <w:rPr>
          <w:lang w:val="es-ES"/>
        </w:rPr>
      </w:pPr>
    </w:p>
    <w:p w:rsidR="00B76836" w:rsidRPr="00F255C4" w:rsidRDefault="00F255C4" w:rsidP="00B76836">
      <w:pPr>
        <w:pStyle w:val="Prrafodelista"/>
        <w:numPr>
          <w:ilvl w:val="0"/>
          <w:numId w:val="2"/>
        </w:numPr>
        <w:tabs>
          <w:tab w:val="left" w:pos="284"/>
          <w:tab w:val="right" w:pos="567"/>
          <w:tab w:val="left" w:pos="8222"/>
        </w:tabs>
        <w:ind w:left="0" w:right="-234" w:firstLine="0"/>
        <w:jc w:val="both"/>
        <w:rPr>
          <w:lang w:val="es-ES"/>
        </w:rPr>
      </w:pPr>
      <w:r w:rsidRPr="00F255C4">
        <w:rPr>
          <w:lang w:val="es-ES"/>
        </w:rPr>
        <w:t>La protección de los consumidores se manifiesta en diferentes dimensiones</w:t>
      </w:r>
      <w:r w:rsidRPr="00F255C4">
        <w:rPr>
          <w:rStyle w:val="Refdenotaalpie"/>
          <w:lang w:val="es-ES"/>
        </w:rPr>
        <w:footnoteReference w:id="9"/>
      </w:r>
      <w:r w:rsidRPr="00F255C4">
        <w:rPr>
          <w:lang w:val="es-ES"/>
        </w:rPr>
        <w:t>. La primera, en la que se destaca su naturaleza difusa, se traduce en el reconocimiento de que todos l</w:t>
      </w:r>
      <w:r w:rsidRPr="00F255C4">
        <w:rPr>
          <w:shd w:val="clear" w:color="auto" w:fill="FFFFFF"/>
        </w:rPr>
        <w:t xml:space="preserve">os </w:t>
      </w:r>
      <w:r w:rsidRPr="00F255C4">
        <w:rPr>
          <w:shd w:val="clear" w:color="auto" w:fill="FFFFFF"/>
        </w:rPr>
        <w:t>consumidores son titulares de un derecho colectivo de “acceder a bienes y servicios de calidad”</w:t>
      </w:r>
      <w:r w:rsidRPr="00F255C4">
        <w:rPr>
          <w:rStyle w:val="Refdenotaalpie"/>
          <w:shd w:val="clear" w:color="auto" w:fill="FFFFFF"/>
        </w:rPr>
        <w:footnoteReference w:id="10"/>
      </w:r>
      <w:r w:rsidRPr="00F255C4">
        <w:rPr>
          <w:shd w:val="clear" w:color="auto" w:fill="FFFFFF"/>
        </w:rPr>
        <w:t>. A su vez y como efecto de ello, deben reconocerse instrumentos de participación de los consumidores en las decisiones que los afectan. Ha señalado la Corte qu</w:t>
      </w:r>
      <w:r w:rsidRPr="00F255C4">
        <w:rPr>
          <w:shd w:val="clear" w:color="auto" w:fill="FFFFFF"/>
        </w:rPr>
        <w:t>e “[l]a apertura y profundización de canales de expresión y de intervención de los consumidores, en los procesos de decisión de carácter público y comunitario, pertenecen a la esencia del derecho del consumidor, puesto que sin ellos los intereses difusos d</w:t>
      </w:r>
      <w:r w:rsidRPr="00F255C4">
        <w:rPr>
          <w:shd w:val="clear" w:color="auto" w:fill="FFFFFF"/>
        </w:rPr>
        <w:t>e este colectivo, que tienen carácter legítimo, dejan de proyectarse en las políticas públicas y en las actuaciones administrativas”</w:t>
      </w:r>
      <w:r w:rsidRPr="00F255C4">
        <w:rPr>
          <w:rStyle w:val="Refdenotaalpie"/>
          <w:shd w:val="clear" w:color="auto" w:fill="FFFFFF"/>
        </w:rPr>
        <w:footnoteReference w:id="11"/>
      </w:r>
      <w:r w:rsidRPr="00F255C4">
        <w:rPr>
          <w:shd w:val="clear" w:color="auto" w:fill="FFFFFF"/>
        </w:rPr>
        <w:t>.</w:t>
      </w:r>
    </w:p>
    <w:p w:rsidR="00B76836" w:rsidRPr="00F255C4" w:rsidRDefault="00F255C4" w:rsidP="00B76836">
      <w:pPr>
        <w:pStyle w:val="Prrafodelista"/>
        <w:rPr>
          <w:lang w:val="es-ES"/>
        </w:rPr>
      </w:pPr>
    </w:p>
    <w:p w:rsidR="00B76836" w:rsidRPr="00F255C4" w:rsidRDefault="00F255C4" w:rsidP="00B76836">
      <w:pPr>
        <w:pStyle w:val="Prrafodelista"/>
        <w:numPr>
          <w:ilvl w:val="0"/>
          <w:numId w:val="2"/>
        </w:numPr>
        <w:tabs>
          <w:tab w:val="left" w:pos="284"/>
          <w:tab w:val="right" w:pos="567"/>
          <w:tab w:val="left" w:pos="8222"/>
        </w:tabs>
        <w:ind w:left="0" w:right="-234" w:firstLine="0"/>
        <w:jc w:val="both"/>
        <w:rPr>
          <w:lang w:val="es-ES"/>
        </w:rPr>
      </w:pPr>
      <w:r w:rsidRPr="00F255C4">
        <w:rPr>
          <w:lang w:val="es-ES"/>
        </w:rPr>
        <w:t>La segunda dimensión acentúa su naturaleza individual y se revela en todas aquellas garantías que permiten enfrentar los</w:t>
      </w:r>
      <w:r w:rsidRPr="00F255C4">
        <w:rPr>
          <w:lang w:val="es-ES"/>
        </w:rPr>
        <w:t xml:space="preserve"> efectos derivados del carácter asimétrico de las relaciones de consumo. Esas garantías promueven la justicia contractual previendo, por ejemplo, reglas que prohíben acordar determinadas cláusulas o que definen regímenes de responsabilidad específicos. Igu</w:t>
      </w:r>
      <w:r w:rsidRPr="00F255C4">
        <w:rPr>
          <w:lang w:val="es-ES"/>
        </w:rPr>
        <w:t xml:space="preserve">almente, esa dimensión se materializa, por ejemplo, en las medidas generales o sectoriales para proteger el derecho al habeas data de los usuarios. </w:t>
      </w:r>
    </w:p>
    <w:p w:rsidR="00264598" w:rsidRPr="00F255C4" w:rsidRDefault="00F255C4" w:rsidP="00264598">
      <w:pPr>
        <w:pStyle w:val="Prrafodelista"/>
        <w:tabs>
          <w:tab w:val="left" w:pos="284"/>
          <w:tab w:val="right" w:pos="567"/>
          <w:tab w:val="left" w:pos="8222"/>
        </w:tabs>
        <w:ind w:left="0" w:right="-234"/>
        <w:jc w:val="both"/>
        <w:rPr>
          <w:lang w:val="es-ES"/>
        </w:rPr>
      </w:pPr>
    </w:p>
    <w:p w:rsidR="00264598" w:rsidRPr="00F255C4" w:rsidRDefault="00F255C4" w:rsidP="00264598">
      <w:pPr>
        <w:pStyle w:val="Prrafodelista"/>
        <w:numPr>
          <w:ilvl w:val="0"/>
          <w:numId w:val="2"/>
        </w:numPr>
        <w:tabs>
          <w:tab w:val="left" w:pos="284"/>
          <w:tab w:val="right" w:pos="567"/>
          <w:tab w:val="left" w:pos="8222"/>
        </w:tabs>
        <w:ind w:left="0" w:right="-234" w:firstLine="0"/>
        <w:jc w:val="both"/>
        <w:rPr>
          <w:lang w:val="es-ES"/>
        </w:rPr>
      </w:pPr>
      <w:r w:rsidRPr="00F255C4">
        <w:rPr>
          <w:lang w:val="es-ES"/>
        </w:rPr>
        <w:t>La Corte ha establecido que “[</w:t>
      </w:r>
      <w:r w:rsidRPr="00F255C4">
        <w:rPr>
          <w:rFonts w:eastAsia="Times New Roman"/>
          <w:lang w:eastAsia="es-CO"/>
        </w:rPr>
        <w:t>l]a Constitución ordena la existencia de un campo de protección en favor del</w:t>
      </w:r>
      <w:r w:rsidRPr="00F255C4">
        <w:rPr>
          <w:rFonts w:eastAsia="Times New Roman"/>
          <w:lang w:eastAsia="es-CO"/>
        </w:rPr>
        <w:t xml:space="preserve"> consumidor, inspirado en el propósito de restablecer su igualdad frente a los productores y distribuidores, dada la asimetría real en que se desenvuelve la persona que acude al mercado en pos de la satisfacción de sus necesidades humanas.”</w:t>
      </w:r>
      <w:r w:rsidRPr="00F255C4">
        <w:rPr>
          <w:rStyle w:val="Refdenotaalpie"/>
          <w:rFonts w:eastAsia="Times New Roman"/>
          <w:lang w:eastAsia="es-CO"/>
        </w:rPr>
        <w:footnoteReference w:id="12"/>
      </w:r>
      <w:r w:rsidRPr="00F255C4">
        <w:rPr>
          <w:rFonts w:eastAsia="Times New Roman"/>
          <w:lang w:eastAsia="es-CO"/>
        </w:rPr>
        <w:t>. Según la Sala</w:t>
      </w:r>
      <w:r w:rsidRPr="00F255C4">
        <w:rPr>
          <w:rFonts w:eastAsia="Times New Roman"/>
          <w:lang w:eastAsia="es-CO"/>
        </w:rPr>
        <w:t xml:space="preserve"> Plena “la Constitución no entra a determinar los supuestos específicos de protección, tema este que se desarrolla a través del ordenamiento jurídico”</w:t>
      </w:r>
      <w:r w:rsidRPr="00F255C4">
        <w:rPr>
          <w:rStyle w:val="Refdenotaalpie"/>
          <w:rFonts w:eastAsia="Times New Roman"/>
          <w:lang w:eastAsia="es-CO"/>
        </w:rPr>
        <w:footnoteReference w:id="13"/>
      </w:r>
      <w:r w:rsidRPr="00F255C4">
        <w:rPr>
          <w:rFonts w:eastAsia="Times New Roman"/>
          <w:lang w:eastAsia="es-CO"/>
        </w:rPr>
        <w:t>. De esta forma, ha señalado que “[e]l programa de protección, principalmente, se determina a partir de l</w:t>
      </w:r>
      <w:r w:rsidRPr="00F255C4">
        <w:rPr>
          <w:rFonts w:eastAsia="Times New Roman"/>
          <w:lang w:eastAsia="es-CO"/>
        </w:rPr>
        <w:t xml:space="preserve">a </w:t>
      </w:r>
      <w:r w:rsidRPr="00F255C4">
        <w:rPr>
          <w:rFonts w:eastAsia="Times New Roman"/>
          <w:b/>
          <w:lang w:eastAsia="es-CO"/>
        </w:rPr>
        <w:t>ley</w:t>
      </w:r>
      <w:r w:rsidRPr="00F255C4">
        <w:rPr>
          <w:rFonts w:eastAsia="Times New Roman"/>
          <w:lang w:eastAsia="es-CO"/>
        </w:rPr>
        <w:t>, los reglamentos y el contrato”</w:t>
      </w:r>
      <w:r w:rsidRPr="00F255C4">
        <w:rPr>
          <w:rStyle w:val="Refdenotaalpie"/>
          <w:rFonts w:eastAsia="Times New Roman"/>
          <w:lang w:eastAsia="es-CO"/>
        </w:rPr>
        <w:footnoteReference w:id="14"/>
      </w:r>
      <w:r w:rsidRPr="00F255C4">
        <w:rPr>
          <w:rFonts w:eastAsia="Times New Roman"/>
          <w:lang w:eastAsia="es-CO"/>
        </w:rPr>
        <w:t xml:space="preserve">. En esa dirección “[l]a Constitución delimita un campo de protección, pero el contenido preciso del programa de defensa del interés tutelado, es el que se desarrolla y adiciona por la ley y por otras normas y fuentes </w:t>
      </w:r>
      <w:r w:rsidRPr="00F255C4">
        <w:rPr>
          <w:rFonts w:eastAsia="Times New Roman"/>
          <w:lang w:eastAsia="es-CO"/>
        </w:rPr>
        <w:t>de reglas jurídicamente válidas”</w:t>
      </w:r>
      <w:r w:rsidRPr="00F255C4">
        <w:rPr>
          <w:rStyle w:val="Refdenotaalpie"/>
          <w:rFonts w:eastAsia="Times New Roman"/>
          <w:lang w:eastAsia="es-CO"/>
        </w:rPr>
        <w:footnoteReference w:id="15"/>
      </w:r>
      <w:r w:rsidRPr="00F255C4">
        <w:rPr>
          <w:rFonts w:eastAsia="Times New Roman"/>
          <w:lang w:eastAsia="es-CO"/>
        </w:rPr>
        <w:t xml:space="preserve">. Es por ello que “trazado el marco constitucional, a la </w:t>
      </w:r>
      <w:r w:rsidRPr="00F255C4">
        <w:rPr>
          <w:rFonts w:eastAsia="Times New Roman"/>
          <w:b/>
          <w:lang w:eastAsia="es-CO"/>
        </w:rPr>
        <w:t>ley</w:t>
      </w:r>
      <w:r w:rsidRPr="00F255C4">
        <w:rPr>
          <w:rFonts w:eastAsia="Times New Roman"/>
          <w:lang w:eastAsia="es-CO"/>
        </w:rPr>
        <w:t xml:space="preserve"> se confía el cometido dinámico de precisar el contenido específico del respectivo derecho, concretando en el tiempo histórico y en las circunstancias reales el ni</w:t>
      </w:r>
      <w:r w:rsidRPr="00F255C4">
        <w:rPr>
          <w:rFonts w:eastAsia="Times New Roman"/>
          <w:lang w:eastAsia="es-CO"/>
        </w:rPr>
        <w:t>vel de su protección constitucional”. (…)”</w:t>
      </w:r>
      <w:r w:rsidRPr="00F255C4">
        <w:rPr>
          <w:rStyle w:val="Refdenotaalpie"/>
          <w:rFonts w:eastAsia="Times New Roman"/>
          <w:lang w:eastAsia="es-CO"/>
        </w:rPr>
        <w:footnoteReference w:id="16"/>
      </w:r>
      <w:r w:rsidRPr="00F255C4">
        <w:rPr>
          <w:rFonts w:eastAsia="Times New Roman"/>
          <w:lang w:eastAsia="es-CO"/>
        </w:rPr>
        <w:t>.</w:t>
      </w:r>
    </w:p>
    <w:p w:rsidR="00264598" w:rsidRPr="00F255C4" w:rsidRDefault="00F255C4" w:rsidP="00264598">
      <w:pPr>
        <w:pStyle w:val="Prrafodelista"/>
        <w:tabs>
          <w:tab w:val="left" w:pos="284"/>
          <w:tab w:val="right" w:pos="567"/>
          <w:tab w:val="left" w:pos="8222"/>
        </w:tabs>
        <w:ind w:left="0" w:right="-234"/>
        <w:jc w:val="both"/>
        <w:rPr>
          <w:lang w:val="es-ES"/>
        </w:rPr>
      </w:pPr>
    </w:p>
    <w:p w:rsidR="00264598" w:rsidRPr="00F255C4" w:rsidRDefault="00F255C4" w:rsidP="00A117D5">
      <w:pPr>
        <w:pStyle w:val="Prrafodelista"/>
        <w:numPr>
          <w:ilvl w:val="0"/>
          <w:numId w:val="2"/>
        </w:numPr>
        <w:tabs>
          <w:tab w:val="left" w:pos="284"/>
          <w:tab w:val="right" w:pos="567"/>
          <w:tab w:val="left" w:pos="8222"/>
        </w:tabs>
        <w:ind w:left="0" w:right="-234" w:firstLine="0"/>
        <w:jc w:val="both"/>
        <w:rPr>
          <w:lang w:val="es-ES"/>
        </w:rPr>
      </w:pPr>
      <w:r w:rsidRPr="00F255C4">
        <w:rPr>
          <w:lang w:val="es-ES"/>
        </w:rPr>
        <w:t xml:space="preserve">A su vez, </w:t>
      </w:r>
      <w:r w:rsidRPr="00F255C4">
        <w:rPr>
          <w:lang w:val="es-ES"/>
        </w:rPr>
        <w:t>refiriéndose al consumidor financiero este tribunal ha sostenido que “[</w:t>
      </w:r>
      <w:r w:rsidRPr="00F255C4">
        <w:rPr>
          <w:shd w:val="clear" w:color="auto" w:fill="FFFFFF"/>
        </w:rPr>
        <w:t>e]l productor y el proveedor financiero, por contar habitualmente con mayores conocimientos profesionales y técnicos acerca de lo</w:t>
      </w:r>
      <w:r w:rsidRPr="00F255C4">
        <w:rPr>
          <w:shd w:val="clear" w:color="auto" w:fill="FFFFFF"/>
        </w:rPr>
        <w:t>s productos o servicios que ofrece, se encuentra en condiciones de asimetría sobre el consumidor financiero,</w:t>
      </w:r>
      <w:r w:rsidRPr="00F255C4">
        <w:rPr>
          <w:shd w:val="clear" w:color="auto" w:fill="FFFFFF"/>
        </w:rPr>
        <w:t xml:space="preserve"> </w:t>
      </w:r>
      <w:r w:rsidRPr="00F255C4">
        <w:rPr>
          <w:shd w:val="clear" w:color="auto" w:fill="FFFFFF"/>
        </w:rPr>
        <w:t>quien si bien puede tener un saber específico, no por ello deja de ser consumidor financiero”</w:t>
      </w:r>
      <w:r w:rsidRPr="00F255C4">
        <w:rPr>
          <w:rStyle w:val="Refdenotaalpie"/>
          <w:shd w:val="clear" w:color="auto" w:fill="FFFFFF"/>
        </w:rPr>
        <w:footnoteReference w:id="17"/>
      </w:r>
      <w:r w:rsidRPr="00F255C4">
        <w:rPr>
          <w:shd w:val="clear" w:color="auto" w:fill="FFFFFF"/>
        </w:rPr>
        <w:t xml:space="preserve">. Es precisamente por esa circunstancia que la Corte </w:t>
      </w:r>
      <w:r w:rsidRPr="00F255C4">
        <w:rPr>
          <w:shd w:val="clear" w:color="auto" w:fill="FFFFFF"/>
        </w:rPr>
        <w:t xml:space="preserve">ha destacado la importancia de que “el </w:t>
      </w:r>
      <w:r w:rsidRPr="00F255C4">
        <w:rPr>
          <w:b/>
          <w:shd w:val="clear" w:color="auto" w:fill="FFFFFF"/>
        </w:rPr>
        <w:t>legislador</w:t>
      </w:r>
      <w:r w:rsidRPr="00F255C4">
        <w:rPr>
          <w:shd w:val="clear" w:color="auto" w:fill="FFFFFF"/>
        </w:rPr>
        <w:t xml:space="preserve"> señale principios y reglas de información y transparencia (v.gr. prohibición de cláusulas y prácticas abusivas, procedimientos, sanciones), a efectos de contrarrestar, a partir de la asimetría, las desigual</w:t>
      </w:r>
      <w:r w:rsidRPr="00F255C4">
        <w:rPr>
          <w:shd w:val="clear" w:color="auto" w:fill="FFFFFF"/>
        </w:rPr>
        <w:t>dades que experimenta la relación de consumo”</w:t>
      </w:r>
      <w:r w:rsidRPr="00F255C4">
        <w:rPr>
          <w:rStyle w:val="Refdenotaalpie"/>
          <w:shd w:val="clear" w:color="auto" w:fill="FFFFFF"/>
        </w:rPr>
        <w:footnoteReference w:id="18"/>
      </w:r>
      <w:r w:rsidRPr="00F255C4">
        <w:rPr>
          <w:shd w:val="clear" w:color="auto" w:fill="FFFFFF"/>
        </w:rPr>
        <w:t>.</w:t>
      </w:r>
      <w:r w:rsidRPr="00F255C4">
        <w:rPr>
          <w:shd w:val="clear" w:color="auto" w:fill="FFFFFF"/>
        </w:rPr>
        <w:t xml:space="preserve"> </w:t>
      </w:r>
    </w:p>
    <w:p w:rsidR="00A34081" w:rsidRPr="00F255C4" w:rsidRDefault="00F255C4" w:rsidP="00A34081">
      <w:pPr>
        <w:pStyle w:val="Prrafodelista"/>
        <w:tabs>
          <w:tab w:val="left" w:pos="284"/>
          <w:tab w:val="right" w:pos="567"/>
          <w:tab w:val="left" w:pos="8222"/>
        </w:tabs>
        <w:ind w:left="0" w:right="-234"/>
        <w:jc w:val="both"/>
        <w:rPr>
          <w:lang w:val="es-ES"/>
        </w:rPr>
      </w:pPr>
    </w:p>
    <w:p w:rsidR="00A34081" w:rsidRPr="00F255C4" w:rsidRDefault="00F255C4" w:rsidP="00A117D5">
      <w:pPr>
        <w:pStyle w:val="Prrafodelista"/>
        <w:numPr>
          <w:ilvl w:val="0"/>
          <w:numId w:val="2"/>
        </w:numPr>
        <w:tabs>
          <w:tab w:val="left" w:pos="284"/>
          <w:tab w:val="right" w:pos="567"/>
          <w:tab w:val="left" w:pos="8222"/>
        </w:tabs>
        <w:ind w:left="0" w:right="-234" w:firstLine="0"/>
        <w:jc w:val="both"/>
        <w:rPr>
          <w:lang w:val="es-ES"/>
        </w:rPr>
      </w:pPr>
      <w:r w:rsidRPr="00F255C4">
        <w:rPr>
          <w:lang w:val="es-ES"/>
        </w:rPr>
        <w:t>En el marco de este tipo de relaciones</w:t>
      </w:r>
      <w:r w:rsidRPr="00F255C4">
        <w:rPr>
          <w:lang w:val="es-ES"/>
        </w:rPr>
        <w:t>,</w:t>
      </w:r>
      <w:r w:rsidRPr="00F255C4">
        <w:rPr>
          <w:lang w:val="es-ES"/>
        </w:rPr>
        <w:t xml:space="preserve"> este tribunal</w:t>
      </w:r>
      <w:r w:rsidRPr="00F255C4">
        <w:rPr>
          <w:lang w:val="es-ES"/>
        </w:rPr>
        <w:t xml:space="preserve"> ha</w:t>
      </w:r>
      <w:r w:rsidRPr="00F255C4">
        <w:rPr>
          <w:lang w:val="es-ES"/>
        </w:rPr>
        <w:t xml:space="preserve"> insistido en</w:t>
      </w:r>
      <w:r w:rsidRPr="00F255C4">
        <w:rPr>
          <w:lang w:val="es-ES"/>
        </w:rPr>
        <w:t xml:space="preserve"> </w:t>
      </w:r>
      <w:r w:rsidRPr="00F255C4">
        <w:rPr>
          <w:lang w:val="es-ES"/>
        </w:rPr>
        <w:t xml:space="preserve">la relevancia que, desde el punto de vista de los derechos del consumidor, tiene la propaganda comercial. Ha sostenido que el artículo 78 de la Constitución </w:t>
      </w:r>
      <w:r w:rsidRPr="00F255C4">
        <w:rPr>
          <w:shd w:val="clear" w:color="auto" w:fill="FFFFFF"/>
        </w:rPr>
        <w:t>“vincula la intervención estatal de la publicidad comercial a los derechos de</w:t>
      </w:r>
      <w:r w:rsidRPr="00F255C4">
        <w:rPr>
          <w:shd w:val="clear" w:color="auto" w:fill="FFFFFF"/>
        </w:rPr>
        <w:t>l</w:t>
      </w:r>
      <w:r w:rsidRPr="00F255C4">
        <w:rPr>
          <w:shd w:val="clear" w:color="auto" w:fill="FFFFFF"/>
        </w:rPr>
        <w:t xml:space="preserve"> consumidor”</w:t>
      </w:r>
      <w:r w:rsidRPr="00F255C4">
        <w:rPr>
          <w:rStyle w:val="Refdenotaalpie"/>
          <w:shd w:val="clear" w:color="auto" w:fill="FFFFFF"/>
        </w:rPr>
        <w:footnoteReference w:id="19"/>
      </w:r>
      <w:r w:rsidRPr="00F255C4">
        <w:rPr>
          <w:shd w:val="clear" w:color="auto" w:fill="FFFFFF"/>
        </w:rPr>
        <w:t>. Según</w:t>
      </w:r>
      <w:r w:rsidRPr="00F255C4">
        <w:rPr>
          <w:shd w:val="clear" w:color="auto" w:fill="FFFFFF"/>
        </w:rPr>
        <w:t xml:space="preserve"> sostuvo</w:t>
      </w:r>
      <w:r w:rsidRPr="00F255C4">
        <w:rPr>
          <w:shd w:val="clear" w:color="auto" w:fill="FFFFFF"/>
        </w:rPr>
        <w:t xml:space="preserve"> “una de las funciones de dicha publicidad es transmitir información a los integrantes del mercado sobre las calidades del bien o servicio”</w:t>
      </w:r>
      <w:r w:rsidRPr="00F255C4">
        <w:rPr>
          <w:rStyle w:val="Refdenotaalpie"/>
          <w:shd w:val="clear" w:color="auto" w:fill="FFFFFF"/>
        </w:rPr>
        <w:footnoteReference w:id="20"/>
      </w:r>
      <w:r w:rsidRPr="00F255C4">
        <w:rPr>
          <w:shd w:val="clear" w:color="auto" w:fill="FFFFFF"/>
        </w:rPr>
        <w:t xml:space="preserve"> y, por ello, </w:t>
      </w:r>
      <w:r w:rsidRPr="00F255C4">
        <w:rPr>
          <w:shd w:val="clear" w:color="auto" w:fill="FFFFFF"/>
        </w:rPr>
        <w:t>“</w:t>
      </w:r>
      <w:r w:rsidRPr="00F255C4">
        <w:rPr>
          <w:shd w:val="clear" w:color="auto" w:fill="FFFFFF"/>
        </w:rPr>
        <w:t>la cantidad y calidad de datos sobre los productos que ofrezcan los comerciantes a través del</w:t>
      </w:r>
      <w:r w:rsidRPr="00F255C4">
        <w:rPr>
          <w:shd w:val="clear" w:color="auto" w:fill="FFFFFF"/>
        </w:rPr>
        <w:t xml:space="preserve"> mensaje publicitario, son elementos críticos para el juicio de adecuación de las opciones de consumo</w:t>
      </w:r>
      <w:r w:rsidRPr="00F255C4">
        <w:rPr>
          <w:shd w:val="clear" w:color="auto" w:fill="FFFFFF"/>
        </w:rPr>
        <w:t>”</w:t>
      </w:r>
      <w:r w:rsidRPr="00F255C4">
        <w:rPr>
          <w:rStyle w:val="Refdenotaalpie"/>
          <w:shd w:val="clear" w:color="auto" w:fill="FFFFFF"/>
        </w:rPr>
        <w:footnoteReference w:id="21"/>
      </w:r>
      <w:r w:rsidRPr="00F255C4">
        <w:rPr>
          <w:shd w:val="clear" w:color="auto" w:fill="FFFFFF"/>
        </w:rPr>
        <w:t>. </w:t>
      </w:r>
      <w:r w:rsidRPr="00F255C4">
        <w:rPr>
          <w:shd w:val="clear" w:color="auto" w:fill="FFFFFF"/>
        </w:rPr>
        <w:t>Bajo tal premisa “[l]</w:t>
      </w:r>
      <w:r w:rsidRPr="00F255C4">
        <w:rPr>
          <w:shd w:val="clear" w:color="auto" w:fill="FFFFFF"/>
        </w:rPr>
        <w:t xml:space="preserve">a jurisprudencia ha reconocido que la función estatal en este campo se concentra en garantizar que las decisiones de consumo sean </w:t>
      </w:r>
      <w:r w:rsidRPr="00F255C4">
        <w:rPr>
          <w:shd w:val="clear" w:color="auto" w:fill="FFFFFF"/>
        </w:rPr>
        <w:t>informadas, disminuyendo las asimetrías que impidan el conocimiento previo a la adquisición de productos y servicios seguros y de aceptable calidad</w:t>
      </w:r>
      <w:r w:rsidRPr="00F255C4">
        <w:rPr>
          <w:shd w:val="clear" w:color="auto" w:fill="FFFFFF"/>
        </w:rPr>
        <w:t>”</w:t>
      </w:r>
      <w:r w:rsidRPr="00F255C4">
        <w:rPr>
          <w:rStyle w:val="Refdenotaalpie"/>
          <w:shd w:val="clear" w:color="auto" w:fill="FFFFFF"/>
        </w:rPr>
        <w:footnoteReference w:id="22"/>
      </w:r>
      <w:r w:rsidRPr="00F255C4">
        <w:rPr>
          <w:shd w:val="clear" w:color="auto" w:fill="FFFFFF"/>
        </w:rPr>
        <w:t>.</w:t>
      </w:r>
      <w:r w:rsidRPr="00F255C4">
        <w:rPr>
          <w:lang w:val="es-ES"/>
        </w:rPr>
        <w:t xml:space="preserve"> </w:t>
      </w:r>
    </w:p>
    <w:p w:rsidR="00E65C76" w:rsidRPr="00F255C4" w:rsidRDefault="00F255C4" w:rsidP="00E65C76">
      <w:pPr>
        <w:pStyle w:val="Prrafodelista"/>
        <w:tabs>
          <w:tab w:val="left" w:pos="284"/>
          <w:tab w:val="right" w:pos="567"/>
          <w:tab w:val="left" w:pos="8222"/>
        </w:tabs>
        <w:ind w:left="0" w:right="-234"/>
        <w:jc w:val="both"/>
        <w:rPr>
          <w:lang w:val="es-ES"/>
        </w:rPr>
      </w:pPr>
    </w:p>
    <w:p w:rsidR="00F83DD1" w:rsidRPr="00F255C4" w:rsidRDefault="00F255C4" w:rsidP="00A117D5">
      <w:pPr>
        <w:pStyle w:val="Prrafodelista"/>
        <w:numPr>
          <w:ilvl w:val="0"/>
          <w:numId w:val="2"/>
        </w:numPr>
        <w:tabs>
          <w:tab w:val="left" w:pos="284"/>
          <w:tab w:val="right" w:pos="567"/>
          <w:tab w:val="left" w:pos="8222"/>
        </w:tabs>
        <w:ind w:left="0" w:right="-234" w:firstLine="0"/>
        <w:jc w:val="both"/>
        <w:rPr>
          <w:lang w:val="es-ES"/>
        </w:rPr>
      </w:pPr>
      <w:r w:rsidRPr="00F255C4">
        <w:rPr>
          <w:lang w:val="es-ES"/>
        </w:rPr>
        <w:t>Es al legislador ordinario al que le corresponde, en principio, la adopción del régimen de protección a</w:t>
      </w:r>
      <w:r w:rsidRPr="00F255C4">
        <w:rPr>
          <w:lang w:val="es-ES"/>
        </w:rPr>
        <w:t xml:space="preserve">l consumidor. Ni el artículo 78 ni las demás disposiciones constitucionales prevén un tipo especial de legislación en esta materia. </w:t>
      </w:r>
      <w:r w:rsidRPr="00F255C4">
        <w:rPr>
          <w:lang w:val="es-ES"/>
        </w:rPr>
        <w:t xml:space="preserve">La especial posición que tiene la ley </w:t>
      </w:r>
      <w:r w:rsidRPr="00F255C4">
        <w:rPr>
          <w:lang w:val="es-ES"/>
        </w:rPr>
        <w:t xml:space="preserve">ha sido reconocida </w:t>
      </w:r>
      <w:r w:rsidRPr="00F255C4">
        <w:rPr>
          <w:lang w:val="es-ES"/>
        </w:rPr>
        <w:t>por la</w:t>
      </w:r>
      <w:r w:rsidRPr="00F255C4">
        <w:rPr>
          <w:lang w:val="es-ES"/>
        </w:rPr>
        <w:t xml:space="preserve"> </w:t>
      </w:r>
      <w:r w:rsidRPr="00F255C4">
        <w:rPr>
          <w:lang w:val="es-ES"/>
        </w:rPr>
        <w:t xml:space="preserve">Corte </w:t>
      </w:r>
      <w:r w:rsidRPr="00F255C4">
        <w:rPr>
          <w:lang w:val="es-ES"/>
        </w:rPr>
        <w:t>C</w:t>
      </w:r>
      <w:r w:rsidRPr="00F255C4">
        <w:rPr>
          <w:lang w:val="es-ES"/>
        </w:rPr>
        <w:t>onstitucional sin indicar la existencia de un régimen</w:t>
      </w:r>
      <w:r w:rsidRPr="00F255C4">
        <w:rPr>
          <w:lang w:val="es-ES"/>
        </w:rPr>
        <w:t xml:space="preserve"> especial. Ha dicho la Corte </w:t>
      </w:r>
      <w:r w:rsidRPr="00F255C4">
        <w:rPr>
          <w:lang w:val="es-ES"/>
        </w:rPr>
        <w:t>que “</w:t>
      </w:r>
      <w:r w:rsidRPr="00F255C4">
        <w:rPr>
          <w:shd w:val="clear" w:color="auto" w:fill="FFFFFF"/>
        </w:rPr>
        <w:t xml:space="preserve">el tema de las definiciones, los supuestos de protección y los mecanismos de garantía, de acuerdo a la fuente de consumo, corresponde al ordenamiento </w:t>
      </w:r>
      <w:r w:rsidRPr="00F255C4">
        <w:rPr>
          <w:b/>
          <w:shd w:val="clear" w:color="auto" w:fill="FFFFFF"/>
        </w:rPr>
        <w:t>legal</w:t>
      </w:r>
      <w:r w:rsidRPr="00F255C4">
        <w:rPr>
          <w:shd w:val="clear" w:color="auto" w:fill="FFFFFF"/>
        </w:rPr>
        <w:t xml:space="preserve">, de manera que se desarrolle el contenido de defensa del derecho </w:t>
      </w:r>
      <w:r w:rsidRPr="00F255C4">
        <w:rPr>
          <w:shd w:val="clear" w:color="auto" w:fill="FFFFFF"/>
        </w:rPr>
        <w:t>que tutela la carta política, la cual delimita el campo de amparo, más no su ejercicio regular en la dinámica de la economía de mercado”</w:t>
      </w:r>
      <w:r w:rsidRPr="00F255C4">
        <w:rPr>
          <w:rStyle w:val="Refdenotaalpie"/>
          <w:shd w:val="clear" w:color="auto" w:fill="FFFFFF"/>
        </w:rPr>
        <w:footnoteReference w:id="23"/>
      </w:r>
      <w:r w:rsidRPr="00F255C4">
        <w:rPr>
          <w:shd w:val="clear" w:color="auto" w:fill="FFFFFF"/>
        </w:rPr>
        <w:t>.</w:t>
      </w:r>
      <w:r w:rsidRPr="00F255C4">
        <w:rPr>
          <w:rFonts w:eastAsia="Times New Roman"/>
          <w:lang w:eastAsia="es-CO"/>
        </w:rPr>
        <w:t> </w:t>
      </w:r>
      <w:r w:rsidRPr="00F255C4">
        <w:rPr>
          <w:rFonts w:eastAsia="Times New Roman"/>
          <w:lang w:eastAsia="es-CO"/>
        </w:rPr>
        <w:t>Precisamente en esa dirección</w:t>
      </w:r>
      <w:r w:rsidRPr="00F255C4">
        <w:rPr>
          <w:rFonts w:eastAsia="Times New Roman"/>
          <w:lang w:eastAsia="es-CO"/>
        </w:rPr>
        <w:t>,</w:t>
      </w:r>
      <w:r w:rsidRPr="00F255C4">
        <w:rPr>
          <w:rFonts w:eastAsia="Times New Roman"/>
          <w:lang w:eastAsia="es-CO"/>
        </w:rPr>
        <w:t xml:space="preserve"> </w:t>
      </w:r>
      <w:r w:rsidRPr="00F255C4">
        <w:rPr>
          <w:rFonts w:eastAsia="Times New Roman"/>
          <w:lang w:eastAsia="es-CO"/>
        </w:rPr>
        <w:t>al</w:t>
      </w:r>
      <w:r w:rsidRPr="00F255C4">
        <w:rPr>
          <w:rFonts w:eastAsia="Times New Roman"/>
          <w:lang w:eastAsia="es-CO"/>
        </w:rPr>
        <w:t xml:space="preserve"> </w:t>
      </w:r>
      <w:r w:rsidRPr="00F255C4">
        <w:rPr>
          <w:rFonts w:eastAsia="Times New Roman"/>
          <w:lang w:eastAsia="es-CO"/>
        </w:rPr>
        <w:t>constatar la existencia de diversas clases de consumidores -</w:t>
      </w:r>
      <w:r w:rsidRPr="00F255C4">
        <w:rPr>
          <w:shd w:val="clear" w:color="auto" w:fill="FFFFFF"/>
        </w:rPr>
        <w:t>industrial, agrícola, f</w:t>
      </w:r>
      <w:r w:rsidRPr="00F255C4">
        <w:rPr>
          <w:shd w:val="clear" w:color="auto" w:fill="FFFFFF"/>
        </w:rPr>
        <w:t>inanciero, entre otros-</w:t>
      </w:r>
      <w:r w:rsidRPr="00F255C4">
        <w:rPr>
          <w:rFonts w:eastAsia="Times New Roman"/>
          <w:lang w:eastAsia="es-CO"/>
        </w:rPr>
        <w:t xml:space="preserve"> ha señalado que el rol de cada uno de ellos</w:t>
      </w:r>
      <w:r w:rsidRPr="00F255C4">
        <w:rPr>
          <w:rFonts w:eastAsia="Times New Roman"/>
          <w:lang w:eastAsia="es-CO"/>
        </w:rPr>
        <w:t xml:space="preserve"> podrá definirlo el Congreso </w:t>
      </w:r>
      <w:r w:rsidRPr="00F255C4">
        <w:rPr>
          <w:rFonts w:eastAsia="Times New Roman"/>
          <w:lang w:eastAsia="es-CO"/>
        </w:rPr>
        <w:t>“</w:t>
      </w:r>
      <w:r w:rsidRPr="00F255C4">
        <w:rPr>
          <w:shd w:val="clear" w:color="auto" w:fill="FFFFFF"/>
        </w:rPr>
        <w:t>c</w:t>
      </w:r>
      <w:r w:rsidRPr="00F255C4">
        <w:rPr>
          <w:shd w:val="clear" w:color="auto" w:fill="FFFFFF"/>
        </w:rPr>
        <w:t>on fundamento en la potestad de libre configuración legislativa y en el control a bienes y servicios ofrecidos y prestados a la comunidad (</w:t>
      </w:r>
      <w:r w:rsidRPr="00F255C4">
        <w:rPr>
          <w:b/>
          <w:shd w:val="clear" w:color="auto" w:fill="FFFFFF"/>
        </w:rPr>
        <w:t>arts. 78 y 150 Cons</w:t>
      </w:r>
      <w:r w:rsidRPr="00F255C4">
        <w:rPr>
          <w:b/>
          <w:shd w:val="clear" w:color="auto" w:fill="FFFFFF"/>
        </w:rPr>
        <w:t>t</w:t>
      </w:r>
      <w:r w:rsidRPr="00F255C4">
        <w:rPr>
          <w:shd w:val="clear" w:color="auto" w:fill="FFFFFF"/>
        </w:rPr>
        <w:t>.)”</w:t>
      </w:r>
      <w:r w:rsidRPr="00F255C4">
        <w:rPr>
          <w:rStyle w:val="Refdenotaalpie"/>
          <w:shd w:val="clear" w:color="auto" w:fill="FFFFFF"/>
        </w:rPr>
        <w:footnoteReference w:id="24"/>
      </w:r>
      <w:r w:rsidRPr="00F255C4">
        <w:rPr>
          <w:shd w:val="clear" w:color="auto" w:fill="FFFFFF"/>
        </w:rPr>
        <w:t>.</w:t>
      </w:r>
    </w:p>
    <w:p w:rsidR="00E05066" w:rsidRPr="00F255C4" w:rsidRDefault="00F255C4" w:rsidP="00E05066">
      <w:pPr>
        <w:pStyle w:val="Prrafodelista"/>
        <w:tabs>
          <w:tab w:val="left" w:pos="284"/>
          <w:tab w:val="right" w:pos="567"/>
          <w:tab w:val="left" w:pos="8222"/>
        </w:tabs>
        <w:ind w:left="0" w:right="-234"/>
        <w:jc w:val="both"/>
        <w:rPr>
          <w:lang w:val="es-ES"/>
        </w:rPr>
      </w:pPr>
    </w:p>
    <w:p w:rsidR="00E05066" w:rsidRPr="00F255C4" w:rsidRDefault="00F255C4" w:rsidP="00E05066">
      <w:pPr>
        <w:pStyle w:val="Prrafodelista"/>
        <w:numPr>
          <w:ilvl w:val="0"/>
          <w:numId w:val="2"/>
        </w:numPr>
        <w:tabs>
          <w:tab w:val="left" w:pos="284"/>
          <w:tab w:val="right" w:pos="567"/>
          <w:tab w:val="left" w:pos="8222"/>
        </w:tabs>
        <w:ind w:left="0" w:right="-234" w:firstLine="0"/>
        <w:jc w:val="both"/>
        <w:rPr>
          <w:lang w:val="es-ES"/>
        </w:rPr>
      </w:pPr>
      <w:r w:rsidRPr="00F255C4">
        <w:t>Las disposiciones que integran la Ley 2300 incursionan en la legislación prevista para la protección del consumidor. De una parte, sus</w:t>
      </w:r>
      <w:r w:rsidRPr="00F255C4">
        <w:t xml:space="preserve"> normas</w:t>
      </w:r>
      <w:r w:rsidRPr="00F255C4">
        <w:t xml:space="preserve"> se relacionan con la manera en que los acreedores emprenden gestiones de cobro para promover el cumplimien</w:t>
      </w:r>
      <w:r w:rsidRPr="00F255C4">
        <w:t>to de las obligaciones asumidas por los consumidores. A su vez, de otra parte, la dimensión comercial y publicitaria de la ley tiene un vínculo estrecho con las actividades de mercadeo y propaganda comercial por parte de productores y proveedores</w:t>
      </w:r>
      <w:r w:rsidRPr="00F255C4">
        <w:t>,</w:t>
      </w:r>
      <w:r w:rsidRPr="00F255C4">
        <w:t xml:space="preserve"> fija</w:t>
      </w:r>
      <w:r w:rsidRPr="00F255C4">
        <w:t>ndo</w:t>
      </w:r>
      <w:r w:rsidRPr="00F255C4">
        <w:t xml:space="preserve"> </w:t>
      </w:r>
      <w:r w:rsidRPr="00F255C4">
        <w:t xml:space="preserve">criterios específicos acerca de la forma en que debe circular la información en el ámbito de las relaciones de consumo. </w:t>
      </w:r>
    </w:p>
    <w:p w:rsidR="00E05066" w:rsidRPr="00F255C4" w:rsidRDefault="00F255C4" w:rsidP="00E05066">
      <w:pPr>
        <w:pStyle w:val="Prrafodelista"/>
        <w:rPr>
          <w:lang w:val="es-ES"/>
        </w:rPr>
      </w:pPr>
    </w:p>
    <w:p w:rsidR="00E859BF" w:rsidRPr="00F255C4" w:rsidRDefault="00F255C4" w:rsidP="00E05066">
      <w:pPr>
        <w:pStyle w:val="Prrafodelista"/>
        <w:numPr>
          <w:ilvl w:val="0"/>
          <w:numId w:val="2"/>
        </w:numPr>
        <w:tabs>
          <w:tab w:val="left" w:pos="284"/>
          <w:tab w:val="right" w:pos="567"/>
          <w:tab w:val="left" w:pos="8222"/>
        </w:tabs>
        <w:ind w:left="0" w:right="-234" w:firstLine="0"/>
        <w:jc w:val="both"/>
        <w:rPr>
          <w:lang w:val="es-ES"/>
        </w:rPr>
      </w:pPr>
      <w:r w:rsidRPr="00F255C4">
        <w:rPr>
          <w:lang w:val="es-ES"/>
        </w:rPr>
        <w:t>La</w:t>
      </w:r>
      <w:r w:rsidRPr="00F255C4">
        <w:rPr>
          <w:lang w:val="es-ES"/>
        </w:rPr>
        <w:t xml:space="preserve"> ley acusada </w:t>
      </w:r>
      <w:r w:rsidRPr="00F255C4">
        <w:rPr>
          <w:lang w:val="es-ES"/>
        </w:rPr>
        <w:t>se encuentra</w:t>
      </w:r>
      <w:r w:rsidRPr="00F255C4">
        <w:rPr>
          <w:lang w:val="es-ES"/>
        </w:rPr>
        <w:t>,</w:t>
      </w:r>
      <w:r w:rsidRPr="00F255C4">
        <w:rPr>
          <w:lang w:val="es-ES"/>
        </w:rPr>
        <w:t xml:space="preserve"> entonces</w:t>
      </w:r>
      <w:r w:rsidRPr="00F255C4">
        <w:rPr>
          <w:lang w:val="es-ES"/>
        </w:rPr>
        <w:t>,</w:t>
      </w:r>
      <w:r w:rsidRPr="00F255C4">
        <w:rPr>
          <w:lang w:val="es-ES"/>
        </w:rPr>
        <w:t xml:space="preserve"> relacionada</w:t>
      </w:r>
      <w:r w:rsidRPr="00F255C4">
        <w:rPr>
          <w:lang w:val="es-ES"/>
        </w:rPr>
        <w:t xml:space="preserve"> con el régimen de protección del consumidor al que se refiere el artículo 78 de la Constitución. Dicha disposición</w:t>
      </w:r>
      <w:r w:rsidRPr="00F255C4">
        <w:rPr>
          <w:lang w:val="es-ES"/>
        </w:rPr>
        <w:t>,</w:t>
      </w:r>
      <w:r w:rsidRPr="00F255C4">
        <w:rPr>
          <w:lang w:val="es-ES"/>
        </w:rPr>
        <w:t xml:space="preserve"> cuya vocación es universal </w:t>
      </w:r>
      <w:r w:rsidRPr="00F255C4">
        <w:rPr>
          <w:lang w:val="es-ES"/>
        </w:rPr>
        <w:t xml:space="preserve">en tanto comprende todas las </w:t>
      </w:r>
      <w:r w:rsidRPr="00F255C4">
        <w:rPr>
          <w:lang w:val="es-ES"/>
        </w:rPr>
        <w:t>relaciones de consumo</w:t>
      </w:r>
      <w:r w:rsidRPr="00F255C4">
        <w:rPr>
          <w:lang w:val="es-ES"/>
        </w:rPr>
        <w:t>,</w:t>
      </w:r>
      <w:r w:rsidRPr="00F255C4">
        <w:rPr>
          <w:lang w:val="es-ES"/>
        </w:rPr>
        <w:t xml:space="preserve"> debe ser concretada mediante </w:t>
      </w:r>
      <w:r w:rsidRPr="00F255C4">
        <w:rPr>
          <w:lang w:val="es-ES"/>
        </w:rPr>
        <w:t xml:space="preserve">la </w:t>
      </w:r>
      <w:r w:rsidRPr="00F255C4">
        <w:rPr>
          <w:lang w:val="es-ES"/>
        </w:rPr>
        <w:t>legislación ordinaria, tal y</w:t>
      </w:r>
      <w:r w:rsidRPr="00F255C4">
        <w:rPr>
          <w:lang w:val="es-ES"/>
        </w:rPr>
        <w:t xml:space="preserve"> como ello ha tenido lugar</w:t>
      </w:r>
      <w:r w:rsidRPr="00F255C4">
        <w:rPr>
          <w:lang w:val="es-ES"/>
        </w:rPr>
        <w:t>, según se dijo, mediante</w:t>
      </w:r>
      <w:r w:rsidRPr="00F255C4">
        <w:rPr>
          <w:lang w:val="es-ES"/>
        </w:rPr>
        <w:t xml:space="preserve"> la Ley 1328 de 2009 y la Ley 1480 de 2011. </w:t>
      </w:r>
      <w:r w:rsidRPr="00F255C4">
        <w:t>L</w:t>
      </w:r>
      <w:r w:rsidRPr="00F255C4">
        <w:t xml:space="preserve">a ley demandada es </w:t>
      </w:r>
      <w:r w:rsidRPr="00F255C4">
        <w:t xml:space="preserve">entonces </w:t>
      </w:r>
      <w:r w:rsidRPr="00F255C4">
        <w:t>una regulación de consumo según se desprende de su propio título, del uso de la expresión “consumidor” en varias de sus disposicione</w:t>
      </w:r>
      <w:r w:rsidRPr="00F255C4">
        <w:t xml:space="preserve">s y del parentesco temático que guarda con la legislación vigente en esa materia. </w:t>
      </w:r>
    </w:p>
    <w:p w:rsidR="00D42B48" w:rsidRPr="00F255C4" w:rsidRDefault="00F255C4" w:rsidP="00D42B48">
      <w:pPr>
        <w:pStyle w:val="Prrafodelista"/>
        <w:tabs>
          <w:tab w:val="left" w:pos="284"/>
          <w:tab w:val="right" w:pos="567"/>
          <w:tab w:val="left" w:pos="8222"/>
        </w:tabs>
        <w:ind w:left="0" w:right="-234"/>
        <w:jc w:val="both"/>
      </w:pPr>
    </w:p>
    <w:p w:rsidR="00D42B48" w:rsidRPr="00F255C4" w:rsidRDefault="00F255C4" w:rsidP="00D42B48">
      <w:pPr>
        <w:pStyle w:val="Prrafodelista"/>
        <w:numPr>
          <w:ilvl w:val="0"/>
          <w:numId w:val="3"/>
        </w:numPr>
        <w:rPr>
          <w:b/>
        </w:rPr>
      </w:pPr>
      <w:r w:rsidRPr="00F255C4">
        <w:rPr>
          <w:b/>
        </w:rPr>
        <w:t>La ley 2300 y la Constitución Económica</w:t>
      </w:r>
    </w:p>
    <w:p w:rsidR="00D42B48" w:rsidRPr="00F255C4" w:rsidRDefault="00F255C4" w:rsidP="00D42B48">
      <w:pPr>
        <w:pStyle w:val="Prrafodelista"/>
        <w:tabs>
          <w:tab w:val="left" w:pos="284"/>
          <w:tab w:val="right" w:pos="567"/>
          <w:tab w:val="left" w:pos="8222"/>
        </w:tabs>
        <w:ind w:left="0" w:right="-234"/>
        <w:jc w:val="both"/>
      </w:pPr>
    </w:p>
    <w:p w:rsidR="00512D0B" w:rsidRPr="00F255C4" w:rsidRDefault="00F255C4" w:rsidP="004023A2">
      <w:pPr>
        <w:pStyle w:val="Prrafodelista"/>
        <w:numPr>
          <w:ilvl w:val="0"/>
          <w:numId w:val="2"/>
        </w:numPr>
        <w:tabs>
          <w:tab w:val="left" w:pos="284"/>
          <w:tab w:val="right" w:pos="567"/>
          <w:tab w:val="left" w:pos="8222"/>
        </w:tabs>
        <w:ind w:left="0" w:right="-234" w:firstLine="0"/>
        <w:jc w:val="both"/>
      </w:pPr>
      <w:r w:rsidRPr="00F255C4">
        <w:t>La</w:t>
      </w:r>
      <w:r w:rsidRPr="00F255C4">
        <w:t xml:space="preserve"> ley demandada</w:t>
      </w:r>
      <w:r w:rsidRPr="00F255C4">
        <w:t xml:space="preserve"> es una manifestación </w:t>
      </w:r>
      <w:r w:rsidRPr="00F255C4">
        <w:t>de</w:t>
      </w:r>
      <w:r w:rsidRPr="00F255C4">
        <w:t xml:space="preserve"> la</w:t>
      </w:r>
      <w:r w:rsidRPr="00F255C4">
        <w:t xml:space="preserve"> </w:t>
      </w:r>
      <w:r w:rsidRPr="00F255C4">
        <w:rPr>
          <w:i/>
        </w:rPr>
        <w:t>Constitución Económica</w:t>
      </w:r>
      <w:r w:rsidRPr="00F255C4">
        <w:t xml:space="preserve">. Según la Corte “[d]icha categoría ha sido definida </w:t>
      </w:r>
      <w:r w:rsidRPr="00F255C4">
        <w:t xml:space="preserve">(…) </w:t>
      </w:r>
      <w:r w:rsidRPr="00F255C4">
        <w:t xml:space="preserve">como la </w:t>
      </w:r>
      <w:r w:rsidRPr="00F255C4">
        <w:t>parte del Texto Fundamental que sienta los principios superiores que orientan y fundan la posición del Estado en relación con la economía y los derechos de los asociados en este mismo ámbito (…)”</w:t>
      </w:r>
      <w:r w:rsidRPr="00F255C4">
        <w:rPr>
          <w:rStyle w:val="Refdenotaalpie"/>
        </w:rPr>
        <w:footnoteReference w:id="25"/>
      </w:r>
      <w:r w:rsidRPr="00F255C4">
        <w:t>.</w:t>
      </w:r>
      <w:r w:rsidRPr="00F255C4">
        <w:t xml:space="preserve"> </w:t>
      </w:r>
      <w:r w:rsidRPr="00F255C4">
        <w:t>Ha sostenido la Corte que “</w:t>
      </w:r>
      <w:r w:rsidRPr="00F255C4">
        <w:rPr>
          <w:shd w:val="clear" w:color="auto" w:fill="FFFFFF"/>
        </w:rPr>
        <w:t>el Estado Constitucional colomb</w:t>
      </w:r>
      <w:r w:rsidRPr="00F255C4">
        <w:rPr>
          <w:shd w:val="clear" w:color="auto" w:fill="FFFFFF"/>
        </w:rPr>
        <w:t>iano es incompatible tanto con un modelo del liberalismo económico clásico, en el que se proscribe la intervención estatal, como con modalidades de economía de planificación centralizada en las que el Estado es el único agente relevante del mercado y la pr</w:t>
      </w:r>
      <w:r w:rsidRPr="00F255C4">
        <w:rPr>
          <w:shd w:val="clear" w:color="auto" w:fill="FFFFFF"/>
        </w:rPr>
        <w:t>oducción de bienes y servicios es un monopolio público”</w:t>
      </w:r>
      <w:r w:rsidRPr="00F255C4">
        <w:rPr>
          <w:rStyle w:val="Refdenotaalpie"/>
          <w:shd w:val="clear" w:color="auto" w:fill="FFFFFF"/>
        </w:rPr>
        <w:footnoteReference w:id="26"/>
      </w:r>
      <w:r w:rsidRPr="00F255C4">
        <w:rPr>
          <w:shd w:val="clear" w:color="auto" w:fill="FFFFFF"/>
        </w:rPr>
        <w:t xml:space="preserve">. </w:t>
      </w:r>
    </w:p>
    <w:p w:rsidR="00512D0B" w:rsidRPr="00F255C4" w:rsidRDefault="00F255C4" w:rsidP="00512D0B">
      <w:pPr>
        <w:pStyle w:val="Prrafodelista"/>
        <w:tabs>
          <w:tab w:val="left" w:pos="284"/>
          <w:tab w:val="right" w:pos="567"/>
          <w:tab w:val="left" w:pos="8222"/>
        </w:tabs>
        <w:ind w:left="0" w:right="-234"/>
        <w:jc w:val="both"/>
      </w:pPr>
    </w:p>
    <w:p w:rsidR="00F13569" w:rsidRPr="00F255C4" w:rsidRDefault="00F255C4" w:rsidP="00EA3DDB">
      <w:pPr>
        <w:pStyle w:val="Prrafodelista"/>
        <w:tabs>
          <w:tab w:val="left" w:pos="284"/>
          <w:tab w:val="right" w:pos="567"/>
          <w:tab w:val="left" w:pos="8222"/>
        </w:tabs>
        <w:ind w:left="0" w:right="-234"/>
        <w:jc w:val="both"/>
        <w:rPr>
          <w:highlight w:val="yellow"/>
        </w:rPr>
      </w:pPr>
      <w:r w:rsidRPr="00F255C4">
        <w:rPr>
          <w:shd w:val="clear" w:color="auto" w:fill="FFFFFF"/>
        </w:rPr>
        <w:t xml:space="preserve">64. </w:t>
      </w:r>
      <w:r w:rsidRPr="00F255C4">
        <w:rPr>
          <w:shd w:val="clear" w:color="auto" w:fill="FFFFFF"/>
        </w:rPr>
        <w:t xml:space="preserve"> </w:t>
      </w:r>
      <w:r w:rsidRPr="00F255C4">
        <w:rPr>
          <w:shd w:val="clear" w:color="auto" w:fill="FFFFFF"/>
        </w:rPr>
        <w:t>E</w:t>
      </w:r>
      <w:r w:rsidRPr="00F255C4">
        <w:rPr>
          <w:shd w:val="clear" w:color="auto" w:fill="FFFFFF"/>
        </w:rPr>
        <w:t xml:space="preserve">l texto </w:t>
      </w:r>
      <w:r w:rsidRPr="00F255C4">
        <w:rPr>
          <w:shd w:val="clear" w:color="auto" w:fill="FFFFFF"/>
        </w:rPr>
        <w:t>c</w:t>
      </w:r>
      <w:r w:rsidRPr="00F255C4">
        <w:rPr>
          <w:shd w:val="clear" w:color="auto" w:fill="FFFFFF"/>
        </w:rPr>
        <w:t>onstituci</w:t>
      </w:r>
      <w:r w:rsidRPr="00F255C4">
        <w:rPr>
          <w:shd w:val="clear" w:color="auto" w:fill="FFFFFF"/>
        </w:rPr>
        <w:t>onal</w:t>
      </w:r>
      <w:r w:rsidRPr="00F255C4">
        <w:rPr>
          <w:shd w:val="clear" w:color="auto" w:fill="FFFFFF"/>
        </w:rPr>
        <w:t xml:space="preserve"> “adopta un modelo de </w:t>
      </w:r>
      <w:r w:rsidRPr="00F255C4">
        <w:rPr>
          <w:i/>
          <w:iCs/>
          <w:shd w:val="clear" w:color="auto" w:fill="FFFFFF"/>
        </w:rPr>
        <w:t>economía social de mercado</w:t>
      </w:r>
      <w:r w:rsidRPr="00F255C4">
        <w:rPr>
          <w:shd w:val="clear" w:color="auto" w:fill="FFFFFF"/>
        </w:rPr>
        <w:t>,</w:t>
      </w:r>
      <w:r w:rsidRPr="00F255C4">
        <w:rPr>
          <w:shd w:val="clear" w:color="auto" w:fill="FFFFFF"/>
        </w:rPr>
        <w:t xml:space="preserve"> que reconoce a la empresa y, en general, a la iniciativa privada, la condición de </w:t>
      </w:r>
      <w:r w:rsidRPr="00F255C4">
        <w:rPr>
          <w:shd w:val="clear" w:color="auto" w:fill="FFFFFF"/>
        </w:rPr>
        <w:t xml:space="preserve">motor de la economía, pero que </w:t>
      </w:r>
      <w:r w:rsidRPr="00F255C4">
        <w:rPr>
          <w:shd w:val="clear" w:color="auto" w:fill="FFFFFF"/>
        </w:rPr>
        <w:t>limita razonable y proporcionalmente la libertad de empresa y la libre competencia económica, con el único propósito de cumplir fines constitucionalmente valiosos, destinados a la protección del interés general”</w:t>
      </w:r>
      <w:r w:rsidRPr="00F255C4">
        <w:rPr>
          <w:rStyle w:val="Refdenotaalpie"/>
          <w:shd w:val="clear" w:color="auto" w:fill="FFFFFF"/>
        </w:rPr>
        <w:footnoteReference w:id="27"/>
      </w:r>
      <w:r w:rsidRPr="00F255C4">
        <w:rPr>
          <w:shd w:val="clear" w:color="auto" w:fill="FFFFFF"/>
        </w:rPr>
        <w:t>.</w:t>
      </w:r>
      <w:r w:rsidRPr="00F255C4">
        <w:rPr>
          <w:shd w:val="clear" w:color="auto" w:fill="FFFFFF"/>
        </w:rPr>
        <w:t xml:space="preserve"> </w:t>
      </w:r>
      <w:r w:rsidRPr="00F255C4">
        <w:t>A</w:t>
      </w:r>
      <w:r w:rsidRPr="00F255C4">
        <w:t xml:space="preserve"> </w:t>
      </w:r>
      <w:r w:rsidRPr="00F255C4">
        <w:t>l</w:t>
      </w:r>
      <w:r w:rsidRPr="00F255C4">
        <w:t>a promoción del</w:t>
      </w:r>
      <w:r w:rsidRPr="00F255C4">
        <w:t xml:space="preserve"> desarrollo económico co</w:t>
      </w:r>
      <w:r w:rsidRPr="00F255C4">
        <w:t>ncurre</w:t>
      </w:r>
      <w:r w:rsidRPr="00F255C4">
        <w:t xml:space="preserve"> entonces </w:t>
      </w:r>
      <w:r w:rsidRPr="00F255C4">
        <w:t>no solo el Estado mediante la adopción de medidas para estimular la actividad productiva</w:t>
      </w:r>
      <w:r w:rsidRPr="00F255C4">
        <w:t>.</w:t>
      </w:r>
      <w:r w:rsidRPr="00F255C4">
        <w:t xml:space="preserve"> </w:t>
      </w:r>
      <w:r w:rsidRPr="00F255C4">
        <w:t>T</w:t>
      </w:r>
      <w:r w:rsidRPr="00F255C4">
        <w:t xml:space="preserve">ambién </w:t>
      </w:r>
      <w:r w:rsidRPr="00F255C4">
        <w:t>lo hacen</w:t>
      </w:r>
      <w:r w:rsidRPr="00F255C4">
        <w:t xml:space="preserve"> agentes y organizaciones</w:t>
      </w:r>
      <w:r w:rsidRPr="00F255C4">
        <w:t xml:space="preserve"> de diferente naturaleza</w:t>
      </w:r>
      <w:r w:rsidRPr="00F255C4">
        <w:t xml:space="preserve">, </w:t>
      </w:r>
      <w:r w:rsidRPr="00F255C4">
        <w:t xml:space="preserve">cuya participación constituye </w:t>
      </w:r>
      <w:r w:rsidRPr="00F255C4">
        <w:t xml:space="preserve">una condición necesaria para alcanzar la prosperidad </w:t>
      </w:r>
      <w:r w:rsidRPr="00F255C4">
        <w:t>general y la garantía de los derechos</w:t>
      </w:r>
      <w:r w:rsidRPr="00F255C4">
        <w:t xml:space="preserve"> constitucionales, según lo prescrito en el artículo 2 de la Constitución</w:t>
      </w:r>
      <w:r w:rsidRPr="00F255C4">
        <w:t>.</w:t>
      </w:r>
    </w:p>
    <w:p w:rsidR="00F13569" w:rsidRPr="00F255C4" w:rsidRDefault="00F255C4" w:rsidP="00F13569">
      <w:pPr>
        <w:pStyle w:val="Prrafodelista"/>
        <w:tabs>
          <w:tab w:val="left" w:pos="284"/>
          <w:tab w:val="right" w:pos="567"/>
          <w:tab w:val="left" w:pos="8222"/>
        </w:tabs>
        <w:ind w:left="0" w:right="-234"/>
        <w:jc w:val="both"/>
        <w:rPr>
          <w:highlight w:val="yellow"/>
        </w:rPr>
      </w:pPr>
    </w:p>
    <w:p w:rsidR="00C23BB3" w:rsidRPr="00F255C4" w:rsidRDefault="00F255C4" w:rsidP="0059524E">
      <w:pPr>
        <w:pStyle w:val="Prrafodelista"/>
        <w:numPr>
          <w:ilvl w:val="0"/>
          <w:numId w:val="4"/>
        </w:numPr>
        <w:tabs>
          <w:tab w:val="left" w:pos="284"/>
          <w:tab w:val="right" w:pos="567"/>
          <w:tab w:val="left" w:pos="8222"/>
        </w:tabs>
        <w:ind w:left="0" w:right="-234" w:firstLine="0"/>
        <w:jc w:val="both"/>
      </w:pPr>
      <w:r w:rsidRPr="00F255C4">
        <w:t xml:space="preserve">Con ese punto de partida la referida Constitución Económica </w:t>
      </w:r>
      <w:r w:rsidRPr="00F255C4">
        <w:t xml:space="preserve">“[s]e encuentra conformada </w:t>
      </w:r>
      <w:r w:rsidRPr="00F255C4">
        <w:t xml:space="preserve">(…) </w:t>
      </w:r>
      <w:r w:rsidRPr="00F255C4">
        <w:t xml:space="preserve">por las normas constitucionales que ordenan la vida </w:t>
      </w:r>
      <w:r w:rsidRPr="00F255C4">
        <w:t>económica de la sociedad y establecen el marco jurídico esencial para la estructuración y funcionamiento de la actividad material productiva (…)”</w:t>
      </w:r>
      <w:r w:rsidRPr="00F255C4">
        <w:rPr>
          <w:rStyle w:val="Refdenotaalpie"/>
        </w:rPr>
        <w:footnoteReference w:id="28"/>
      </w:r>
      <w:r w:rsidRPr="00F255C4">
        <w:t>. Es por ello que, según este tribunal, “de sus disposiciones deriva un haz de reglas y principios que estable</w:t>
      </w:r>
      <w:r w:rsidRPr="00F255C4">
        <w:t>ce (i) los propósitos de la intervención del Estado en actividades relacionadas -entre otras cosas- con la producción, circulación y consumo de bienes y servicios (arts. 150.21 y 334)”</w:t>
      </w:r>
      <w:r w:rsidRPr="00F255C4">
        <w:rPr>
          <w:rStyle w:val="Refdenotaalpie"/>
        </w:rPr>
        <w:footnoteReference w:id="29"/>
      </w:r>
      <w:r w:rsidRPr="00F255C4">
        <w:t xml:space="preserve"> al tiempo que </w:t>
      </w:r>
      <w:r w:rsidRPr="00F255C4">
        <w:t>“</w:t>
      </w:r>
      <w:r w:rsidRPr="00F255C4">
        <w:t>bajo esta idea (ii) tiene lugar el reconocimiento de la</w:t>
      </w:r>
      <w:r w:rsidRPr="00F255C4">
        <w:t xml:space="preserve"> libertad de empresa y la libre competencia económica (art. 333), en virtud de las cuales las personas pueden concurrir al desarrollo de diferentes actividades económicas (…)”</w:t>
      </w:r>
      <w:r w:rsidRPr="00F255C4">
        <w:rPr>
          <w:rStyle w:val="Refdenotaalpie"/>
        </w:rPr>
        <w:footnoteReference w:id="30"/>
      </w:r>
      <w:r w:rsidRPr="00F255C4">
        <w:t>.</w:t>
      </w:r>
    </w:p>
    <w:p w:rsidR="004023A2" w:rsidRPr="00F255C4" w:rsidRDefault="00F255C4" w:rsidP="004023A2">
      <w:pPr>
        <w:pStyle w:val="Prrafodelista"/>
        <w:tabs>
          <w:tab w:val="left" w:pos="284"/>
          <w:tab w:val="right" w:pos="567"/>
          <w:tab w:val="left" w:pos="8222"/>
        </w:tabs>
        <w:ind w:left="0" w:right="-234"/>
        <w:jc w:val="both"/>
      </w:pPr>
    </w:p>
    <w:p w:rsidR="00F31B32" w:rsidRPr="00F255C4" w:rsidRDefault="00F255C4" w:rsidP="0059524E">
      <w:pPr>
        <w:pStyle w:val="Prrafodelista"/>
        <w:numPr>
          <w:ilvl w:val="0"/>
          <w:numId w:val="4"/>
        </w:numPr>
        <w:tabs>
          <w:tab w:val="left" w:pos="284"/>
          <w:tab w:val="right" w:pos="567"/>
          <w:tab w:val="left" w:pos="8222"/>
        </w:tabs>
        <w:ind w:left="0" w:right="-234" w:firstLine="0"/>
        <w:jc w:val="both"/>
      </w:pPr>
      <w:r w:rsidRPr="00F255C4">
        <w:t xml:space="preserve">La </w:t>
      </w:r>
      <w:r w:rsidRPr="00F255C4">
        <w:t>Ley 2300</w:t>
      </w:r>
      <w:r w:rsidRPr="00F255C4">
        <w:t xml:space="preserve"> </w:t>
      </w:r>
      <w:r w:rsidRPr="00F255C4">
        <w:t xml:space="preserve">de 2023 </w:t>
      </w:r>
      <w:r w:rsidRPr="00F255C4">
        <w:t>regula</w:t>
      </w:r>
      <w:r w:rsidRPr="00F255C4">
        <w:t>, vista desde</w:t>
      </w:r>
      <w:r w:rsidRPr="00F255C4">
        <w:t xml:space="preserve"> este</w:t>
      </w:r>
      <w:r w:rsidRPr="00F255C4">
        <w:t xml:space="preserve"> costado, el modo en que puede ej</w:t>
      </w:r>
      <w:r w:rsidRPr="00F255C4">
        <w:t xml:space="preserve">ercerse </w:t>
      </w:r>
      <w:r w:rsidRPr="00F255C4">
        <w:t xml:space="preserve">la libre iniciativa privada y la libertad de empresa en el contexto de </w:t>
      </w:r>
      <w:r w:rsidRPr="00F255C4">
        <w:t xml:space="preserve">las </w:t>
      </w:r>
      <w:r w:rsidRPr="00F255C4">
        <w:t xml:space="preserve">gestiones de cobro y </w:t>
      </w:r>
      <w:r w:rsidRPr="00F255C4">
        <w:t xml:space="preserve">de las </w:t>
      </w:r>
      <w:r w:rsidRPr="00F255C4">
        <w:t>actividades comerciales y publici</w:t>
      </w:r>
      <w:r w:rsidRPr="00F255C4">
        <w:t>tarias</w:t>
      </w:r>
      <w:r w:rsidRPr="00F255C4">
        <w:t xml:space="preserve">. </w:t>
      </w:r>
      <w:r w:rsidRPr="00F255C4">
        <w:t>H</w:t>
      </w:r>
      <w:r w:rsidRPr="00F255C4">
        <w:t xml:space="preserve">a indicado la Corte que </w:t>
      </w:r>
      <w:r w:rsidRPr="00F255C4">
        <w:rPr>
          <w:lang w:val="es-MX"/>
        </w:rPr>
        <w:t>la facultad de cobrar resulta “necesaria para la libertad económica, la supervi</w:t>
      </w:r>
      <w:r w:rsidRPr="00F255C4">
        <w:rPr>
          <w:lang w:val="es-MX"/>
        </w:rPr>
        <w:t>vencia de las empresas, e incluso la subsistencia de quienes esperan recibir una remuneración por la prestación de servicios o la venta de productos”</w:t>
      </w:r>
      <w:r w:rsidRPr="00F255C4">
        <w:rPr>
          <w:rStyle w:val="Refdenotaalpie"/>
          <w:lang w:val="es-MX"/>
        </w:rPr>
        <w:footnoteReference w:id="31"/>
      </w:r>
      <w:r w:rsidRPr="00F255C4">
        <w:rPr>
          <w:lang w:val="es-MX"/>
        </w:rPr>
        <w:t>.</w:t>
      </w:r>
      <w:r w:rsidRPr="00F255C4">
        <w:rPr>
          <w:lang w:val="es-MX"/>
        </w:rPr>
        <w:t xml:space="preserve"> </w:t>
      </w:r>
      <w:r w:rsidRPr="00F255C4">
        <w:t xml:space="preserve">A su vez, </w:t>
      </w:r>
      <w:r w:rsidRPr="00F255C4">
        <w:t xml:space="preserve">este tribunal </w:t>
      </w:r>
      <w:r w:rsidRPr="00F255C4">
        <w:t>ha destacado que “[u]</w:t>
      </w:r>
      <w:r w:rsidRPr="00F255C4">
        <w:rPr>
          <w:shd w:val="clear" w:color="auto" w:fill="FFFFFF"/>
        </w:rPr>
        <w:t>no de los aspectos en que se expresa</w:t>
      </w:r>
      <w:r w:rsidRPr="00F255C4">
        <w:rPr>
          <w:shd w:val="clear" w:color="auto" w:fill="FFFFFF"/>
        </w:rPr>
        <w:t>n</w:t>
      </w:r>
      <w:r w:rsidRPr="00F255C4">
        <w:rPr>
          <w:shd w:val="clear" w:color="auto" w:fill="FFFFFF"/>
        </w:rPr>
        <w:t xml:space="preserve"> las libertades económicas es la posibilidad de publicitar los productos y servicios, a fin de incentivar su consumo”</w:t>
      </w:r>
      <w:r w:rsidRPr="00F255C4">
        <w:rPr>
          <w:rStyle w:val="Refdenotaalpie"/>
          <w:shd w:val="clear" w:color="auto" w:fill="FFFFFF"/>
        </w:rPr>
        <w:footnoteReference w:id="32"/>
      </w:r>
      <w:r w:rsidRPr="00F255C4">
        <w:rPr>
          <w:shd w:val="clear" w:color="auto" w:fill="FFFFFF"/>
        </w:rPr>
        <w:t>.</w:t>
      </w:r>
      <w:r w:rsidRPr="00F255C4">
        <w:rPr>
          <w:shd w:val="clear" w:color="auto" w:fill="FFFFFF"/>
        </w:rPr>
        <w:t xml:space="preserve"> </w:t>
      </w:r>
      <w:r w:rsidRPr="00F255C4">
        <w:rPr>
          <w:shd w:val="clear" w:color="auto" w:fill="FFFFFF"/>
        </w:rPr>
        <w:t>D</w:t>
      </w:r>
      <w:r w:rsidRPr="00F255C4">
        <w:rPr>
          <w:shd w:val="clear" w:color="auto" w:fill="FFFFFF"/>
        </w:rPr>
        <w:t xml:space="preserve">e </w:t>
      </w:r>
      <w:r w:rsidRPr="00F255C4">
        <w:rPr>
          <w:shd w:val="clear" w:color="auto" w:fill="FFFFFF"/>
        </w:rPr>
        <w:t xml:space="preserve">este </w:t>
      </w:r>
      <w:r w:rsidRPr="00F255C4">
        <w:rPr>
          <w:shd w:val="clear" w:color="auto" w:fill="FFFFFF"/>
        </w:rPr>
        <w:t>modo “tanto la publicidad como la propaganda son expresiones de las citadas libertades y</w:t>
      </w:r>
      <w:r w:rsidRPr="00F255C4">
        <w:rPr>
          <w:shd w:val="clear" w:color="auto" w:fill="FFFFFF"/>
        </w:rPr>
        <w:t xml:space="preserve"> (…)</w:t>
      </w:r>
      <w:r w:rsidRPr="00F255C4">
        <w:rPr>
          <w:shd w:val="clear" w:color="auto" w:fill="FFFFFF"/>
        </w:rPr>
        <w:t xml:space="preserve"> por ende, logran reconocimiento con</w:t>
      </w:r>
      <w:r w:rsidRPr="00F255C4">
        <w:rPr>
          <w:shd w:val="clear" w:color="auto" w:fill="FFFFFF"/>
        </w:rPr>
        <w:t>stitucional como aspectos que integran tales derechos”</w:t>
      </w:r>
      <w:r w:rsidRPr="00F255C4">
        <w:rPr>
          <w:rStyle w:val="Refdenotaalpie"/>
          <w:shd w:val="clear" w:color="auto" w:fill="FFFFFF"/>
        </w:rPr>
        <w:footnoteReference w:id="33"/>
      </w:r>
      <w:r w:rsidRPr="00F255C4">
        <w:rPr>
          <w:shd w:val="clear" w:color="auto" w:fill="FFFFFF"/>
        </w:rPr>
        <w:t>.</w:t>
      </w:r>
      <w:r w:rsidRPr="00F255C4">
        <w:rPr>
          <w:shd w:val="clear" w:color="auto" w:fill="FFFFFF"/>
        </w:rPr>
        <w:t xml:space="preserve"> </w:t>
      </w:r>
    </w:p>
    <w:p w:rsidR="00F31B32" w:rsidRPr="00F255C4" w:rsidRDefault="00F255C4" w:rsidP="00F31B32">
      <w:pPr>
        <w:pStyle w:val="Prrafodelista"/>
      </w:pPr>
    </w:p>
    <w:p w:rsidR="00C23BB3" w:rsidRPr="00F255C4" w:rsidRDefault="00F255C4" w:rsidP="0059524E">
      <w:pPr>
        <w:pStyle w:val="Prrafodelista"/>
        <w:numPr>
          <w:ilvl w:val="0"/>
          <w:numId w:val="4"/>
        </w:numPr>
        <w:tabs>
          <w:tab w:val="left" w:pos="284"/>
          <w:tab w:val="right" w:pos="567"/>
          <w:tab w:val="left" w:pos="8222"/>
        </w:tabs>
        <w:ind w:left="0" w:right="-234" w:firstLine="0"/>
        <w:jc w:val="both"/>
      </w:pPr>
      <w:r w:rsidRPr="00F255C4">
        <w:t xml:space="preserve">Así las cosas, </w:t>
      </w:r>
      <w:r w:rsidRPr="00F255C4">
        <w:t xml:space="preserve">la </w:t>
      </w:r>
      <w:r w:rsidRPr="00F255C4">
        <w:t xml:space="preserve">regulación de esa </w:t>
      </w:r>
      <w:r w:rsidRPr="00F255C4">
        <w:t xml:space="preserve">doble dimensión -cobranza y actividad comercial- constituye una forma de intervención del Estado en la actividad económica y, en particular, en el ejercicio de </w:t>
      </w:r>
      <w:r w:rsidRPr="00F255C4">
        <w:t>las libertades establecidas en el artículo 333 de la Constitución. Las disposiciones prevén las condiciones bajo las cuales los particulares que concurren al mercado pueden desplegar sus actividades cuando, en el marco de relaciones de consumo, emprenden g</w:t>
      </w:r>
      <w:r w:rsidRPr="00F255C4">
        <w:t>estiones encaminadas al cumplimiento de los contratos o suministran información para orientar las preferencias de consumo.</w:t>
      </w:r>
      <w:r w:rsidRPr="00F255C4">
        <w:t xml:space="preserve"> Puede entonces caracterizarse como una manifestación de la competencia del Congreso </w:t>
      </w:r>
      <w:r w:rsidRPr="00F255C4">
        <w:t xml:space="preserve">señalada </w:t>
      </w:r>
      <w:r w:rsidRPr="00F255C4">
        <w:t>en el artículo 150.21 conforme al cual l</w:t>
      </w:r>
      <w:r w:rsidRPr="00F255C4">
        <w:t>e corresponde expedir las leyes de intervención previstas en el artículo 334, las cuales deberán precisar sus fines y alcances y los límites a la libertad económica.</w:t>
      </w:r>
      <w:r w:rsidRPr="00F255C4">
        <w:rPr>
          <w:szCs w:val="20"/>
        </w:rPr>
        <w:t> </w:t>
      </w:r>
      <w:r w:rsidRPr="00F255C4">
        <w:t xml:space="preserve">    </w:t>
      </w:r>
      <w:r w:rsidRPr="00F255C4">
        <w:rPr>
          <w:shd w:val="clear" w:color="auto" w:fill="FFFFFF"/>
        </w:rPr>
        <w:t> </w:t>
      </w:r>
    </w:p>
    <w:p w:rsidR="004023A2" w:rsidRPr="00F255C4" w:rsidRDefault="00F255C4" w:rsidP="004023A2">
      <w:pPr>
        <w:pStyle w:val="Prrafodelista"/>
      </w:pPr>
    </w:p>
    <w:p w:rsidR="00B23BBC" w:rsidRPr="00F255C4" w:rsidRDefault="00F255C4" w:rsidP="0059524E">
      <w:pPr>
        <w:pStyle w:val="Prrafodelista"/>
        <w:numPr>
          <w:ilvl w:val="0"/>
          <w:numId w:val="4"/>
        </w:numPr>
        <w:tabs>
          <w:tab w:val="left" w:pos="284"/>
          <w:tab w:val="right" w:pos="567"/>
          <w:tab w:val="left" w:pos="8222"/>
        </w:tabs>
        <w:ind w:left="0" w:right="-234" w:firstLine="0"/>
        <w:jc w:val="both"/>
      </w:pPr>
      <w:r w:rsidRPr="00F255C4">
        <w:t>Pero no solo ello. En tanto la</w:t>
      </w:r>
      <w:r w:rsidRPr="00F255C4">
        <w:t xml:space="preserve"> ley impugnada</w:t>
      </w:r>
      <w:r w:rsidRPr="00F255C4">
        <w:t xml:space="preserve"> es aplicable también a entidades vigil</w:t>
      </w:r>
      <w:r w:rsidRPr="00F255C4">
        <w:t>adas por la Superintendencia Financiera</w:t>
      </w:r>
      <w:r w:rsidRPr="00F255C4">
        <w:t xml:space="preserve"> según lo prevé su artículo 1, la regulación acusada entra en contacto con el régimen aplicable al desarrollo de las actividades financiera, bursátil y aseguradora. Dicho régimen, que tiene como punto de partida la ca</w:t>
      </w:r>
      <w:r w:rsidRPr="00F255C4">
        <w:t xml:space="preserve">lificación de tales actividades como de </w:t>
      </w:r>
      <w:r w:rsidRPr="00F255C4">
        <w:rPr>
          <w:i/>
        </w:rPr>
        <w:t>interés público</w:t>
      </w:r>
      <w:r w:rsidRPr="00F255C4">
        <w:t>,</w:t>
      </w:r>
      <w:r w:rsidRPr="00F255C4">
        <w:rPr>
          <w:i/>
        </w:rPr>
        <w:t xml:space="preserve"> </w:t>
      </w:r>
      <w:r w:rsidRPr="00F255C4">
        <w:t>se traduce en un régimen especial en el que de manera concurrente se activan las funciones de regulación, intervención, autorización, así como de inspección, vigilancia y control (</w:t>
      </w:r>
      <w:r w:rsidRPr="00F255C4">
        <w:t>a</w:t>
      </w:r>
      <w:r w:rsidRPr="00F255C4">
        <w:t>rt</w:t>
      </w:r>
      <w:r w:rsidRPr="00F255C4">
        <w:t>s</w:t>
      </w:r>
      <w:r w:rsidRPr="00F255C4">
        <w:t xml:space="preserve">. </w:t>
      </w:r>
      <w:r w:rsidRPr="00F255C4">
        <w:t xml:space="preserve">150.19, 189.24 y </w:t>
      </w:r>
      <w:r w:rsidRPr="00F255C4">
        <w:t>335</w:t>
      </w:r>
      <w:r w:rsidRPr="00F255C4">
        <w:t xml:space="preserve">). </w:t>
      </w:r>
    </w:p>
    <w:p w:rsidR="00B23BBC" w:rsidRPr="00F255C4" w:rsidRDefault="00F255C4" w:rsidP="00B23BBC">
      <w:pPr>
        <w:pStyle w:val="Prrafodelista"/>
      </w:pPr>
    </w:p>
    <w:p w:rsidR="00F31B32" w:rsidRPr="00F255C4" w:rsidRDefault="00F255C4" w:rsidP="0059524E">
      <w:pPr>
        <w:pStyle w:val="Prrafodelista"/>
        <w:numPr>
          <w:ilvl w:val="0"/>
          <w:numId w:val="4"/>
        </w:numPr>
        <w:tabs>
          <w:tab w:val="left" w:pos="284"/>
          <w:tab w:val="right" w:pos="567"/>
          <w:tab w:val="left" w:pos="8222"/>
        </w:tabs>
        <w:ind w:left="0" w:right="-234" w:firstLine="0"/>
        <w:jc w:val="both"/>
      </w:pPr>
      <w:r w:rsidRPr="00F255C4">
        <w:t xml:space="preserve">Al margen del tipo de actividad económica de la que se trate -financiera o no- es posible afirmar que </w:t>
      </w:r>
      <w:r w:rsidRPr="00F255C4">
        <w:t xml:space="preserve">no existe un tipo especial de trámite para la aprobación de las </w:t>
      </w:r>
      <w:r w:rsidRPr="00F255C4">
        <w:t>ley</w:t>
      </w:r>
      <w:r w:rsidRPr="00F255C4">
        <w:t>es</w:t>
      </w:r>
      <w:r w:rsidRPr="00F255C4">
        <w:t xml:space="preserve"> que regula</w:t>
      </w:r>
      <w:r w:rsidRPr="00F255C4">
        <w:t>n esas</w:t>
      </w:r>
      <w:r w:rsidRPr="00F255C4">
        <w:t xml:space="preserve"> actividades</w:t>
      </w:r>
      <w:r w:rsidRPr="00F255C4">
        <w:rPr>
          <w:rStyle w:val="Refdenotaalpie"/>
        </w:rPr>
        <w:footnoteReference w:id="34"/>
      </w:r>
      <w:r w:rsidRPr="00F255C4">
        <w:t>. Ello no desconoce, desde lue</w:t>
      </w:r>
      <w:r w:rsidRPr="00F255C4">
        <w:t>go, que en el caso de la actividad financiera pueda tornarse relevante el régimen de las leyes marco o cuadro.</w:t>
      </w:r>
      <w:r w:rsidRPr="00F255C4">
        <w:t xml:space="preserve"> Tal constatación será importante</w:t>
      </w:r>
      <w:r w:rsidRPr="00F255C4">
        <w:t xml:space="preserve"> para efectos de establecer la relación entre la ley o el reglamento</w:t>
      </w:r>
      <w:r w:rsidRPr="00F255C4">
        <w:t>,</w:t>
      </w:r>
      <w:r w:rsidRPr="00F255C4">
        <w:t xml:space="preserve"> pero no afecta</w:t>
      </w:r>
      <w:r w:rsidRPr="00F255C4">
        <w:t xml:space="preserve"> el mandato</w:t>
      </w:r>
      <w:r w:rsidRPr="00F255C4">
        <w:t xml:space="preserve"> en virtud de</w:t>
      </w:r>
      <w:r w:rsidRPr="00F255C4">
        <w:t xml:space="preserve">l </w:t>
      </w:r>
      <w:r w:rsidRPr="00F255C4">
        <w:t>cua</w:t>
      </w:r>
      <w:r w:rsidRPr="00F255C4">
        <w:t>l la regulación de las materias de la Constitución Económica tiene lugar</w:t>
      </w:r>
      <w:r w:rsidRPr="00F255C4">
        <w:t>, como punto de partida y por regla general,</w:t>
      </w:r>
      <w:r w:rsidRPr="00F255C4">
        <w:t xml:space="preserve"> </w:t>
      </w:r>
      <w:r w:rsidRPr="00F255C4">
        <w:t>mediante el empleo de las leyes ordinarias</w:t>
      </w:r>
      <w:r w:rsidRPr="00F255C4">
        <w:rPr>
          <w:rStyle w:val="Refdenotaalpie"/>
        </w:rPr>
        <w:footnoteReference w:id="35"/>
      </w:r>
      <w:r w:rsidRPr="00F255C4">
        <w:t xml:space="preserve">.    </w:t>
      </w:r>
      <w:r w:rsidRPr="00F255C4">
        <w:t xml:space="preserve">    </w:t>
      </w:r>
    </w:p>
    <w:p w:rsidR="00426B5A" w:rsidRPr="00F255C4" w:rsidRDefault="00F255C4" w:rsidP="00426B5A">
      <w:pPr>
        <w:pStyle w:val="Prrafodelista"/>
        <w:tabs>
          <w:tab w:val="left" w:pos="284"/>
          <w:tab w:val="right" w:pos="567"/>
          <w:tab w:val="left" w:pos="8222"/>
        </w:tabs>
        <w:ind w:left="0" w:right="-234"/>
        <w:jc w:val="both"/>
      </w:pPr>
    </w:p>
    <w:p w:rsidR="00D42B48" w:rsidRPr="00F255C4" w:rsidRDefault="00F255C4" w:rsidP="00D42B48">
      <w:pPr>
        <w:pStyle w:val="Prrafodelista"/>
        <w:numPr>
          <w:ilvl w:val="0"/>
          <w:numId w:val="3"/>
        </w:numPr>
        <w:tabs>
          <w:tab w:val="left" w:pos="284"/>
          <w:tab w:val="right" w:pos="567"/>
          <w:tab w:val="left" w:pos="8222"/>
        </w:tabs>
        <w:ind w:right="-234"/>
        <w:jc w:val="both"/>
        <w:rPr>
          <w:b/>
        </w:rPr>
      </w:pPr>
      <w:r w:rsidRPr="00F255C4">
        <w:rPr>
          <w:b/>
        </w:rPr>
        <w:t xml:space="preserve">La Ley 2300 y </w:t>
      </w:r>
      <w:r w:rsidRPr="00F255C4">
        <w:rPr>
          <w:b/>
        </w:rPr>
        <w:t>el artículo 15 de la Constitución</w:t>
      </w:r>
    </w:p>
    <w:p w:rsidR="00D42B48" w:rsidRPr="00F255C4" w:rsidRDefault="00F255C4" w:rsidP="00426B5A">
      <w:pPr>
        <w:pStyle w:val="Prrafodelista"/>
        <w:tabs>
          <w:tab w:val="left" w:pos="284"/>
          <w:tab w:val="right" w:pos="567"/>
          <w:tab w:val="left" w:pos="8222"/>
        </w:tabs>
        <w:ind w:left="0" w:right="-234"/>
        <w:jc w:val="both"/>
      </w:pPr>
    </w:p>
    <w:p w:rsidR="00D42B48" w:rsidRPr="00F255C4" w:rsidRDefault="00F255C4" w:rsidP="0059524E">
      <w:pPr>
        <w:pStyle w:val="Prrafodelista"/>
        <w:numPr>
          <w:ilvl w:val="0"/>
          <w:numId w:val="4"/>
        </w:numPr>
        <w:tabs>
          <w:tab w:val="left" w:pos="284"/>
          <w:tab w:val="right" w:pos="567"/>
          <w:tab w:val="left" w:pos="8222"/>
        </w:tabs>
        <w:ind w:left="0" w:right="-234" w:firstLine="0"/>
        <w:jc w:val="both"/>
      </w:pPr>
      <w:r w:rsidRPr="00F255C4">
        <w:t>La</w:t>
      </w:r>
      <w:r w:rsidRPr="00F255C4">
        <w:t xml:space="preserve"> ley 2300 de 2023</w:t>
      </w:r>
      <w:r w:rsidRPr="00F255C4">
        <w:t xml:space="preserve"> entra también en</w:t>
      </w:r>
      <w:r w:rsidRPr="00F255C4">
        <w:t xml:space="preserve"> contacto con varias disposiciones de derecho fundamental</w:t>
      </w:r>
      <w:r w:rsidRPr="00F255C4">
        <w:t>.</w:t>
      </w:r>
      <w:r w:rsidRPr="00F255C4">
        <w:t xml:space="preserve"> </w:t>
      </w:r>
      <w:r w:rsidRPr="00F255C4">
        <w:t>E</w:t>
      </w:r>
      <w:r w:rsidRPr="00F255C4">
        <w:t>l t</w:t>
      </w:r>
      <w:r w:rsidRPr="00F255C4">
        <w:t>í</w:t>
      </w:r>
      <w:r w:rsidRPr="00F255C4">
        <w:t>tulo de la ley, su objeto y los antecedentes legislativos evidencian que el propósito del Congreso consist</w:t>
      </w:r>
      <w:r w:rsidRPr="00F255C4">
        <w:t>ió</w:t>
      </w:r>
      <w:r w:rsidRPr="00F255C4">
        <w:t xml:space="preserve"> en adoptar una regulación</w:t>
      </w:r>
      <w:r w:rsidRPr="00F255C4">
        <w:t xml:space="preserve"> que no solo (i) </w:t>
      </w:r>
      <w:r w:rsidRPr="00F255C4">
        <w:t>reconoc</w:t>
      </w:r>
      <w:r w:rsidRPr="00F255C4">
        <w:t>e</w:t>
      </w:r>
      <w:r w:rsidRPr="00F255C4">
        <w:t xml:space="preserve"> la </w:t>
      </w:r>
      <w:r w:rsidRPr="00F255C4">
        <w:t xml:space="preserve">facultad de </w:t>
      </w:r>
      <w:r w:rsidRPr="00F255C4">
        <w:t xml:space="preserve">los gestores de </w:t>
      </w:r>
      <w:r w:rsidRPr="00F255C4">
        <w:t>cobranza, proveedores y productores</w:t>
      </w:r>
      <w:r w:rsidRPr="00F255C4">
        <w:t xml:space="preserve"> para emprender </w:t>
      </w:r>
      <w:r w:rsidRPr="00F255C4">
        <w:t>actividades de</w:t>
      </w:r>
      <w:r w:rsidRPr="00F255C4">
        <w:t xml:space="preserve"> recaudo y mercadeo, sino que también (ii)</w:t>
      </w:r>
      <w:r w:rsidRPr="00F255C4">
        <w:t xml:space="preserve"> ampara el interés de los consumidores de no sufrir injerencias en su vida privada personal y familiar a través de mensajes, llamadas o visitas por p</w:t>
      </w:r>
      <w:r w:rsidRPr="00F255C4">
        <w:t xml:space="preserve">arte de aquellos. </w:t>
      </w:r>
    </w:p>
    <w:p w:rsidR="00D42B48" w:rsidRPr="00F255C4" w:rsidRDefault="00F255C4" w:rsidP="00D42B48">
      <w:pPr>
        <w:pStyle w:val="Prrafodelista"/>
        <w:tabs>
          <w:tab w:val="left" w:pos="284"/>
          <w:tab w:val="right" w:pos="567"/>
          <w:tab w:val="left" w:pos="8222"/>
        </w:tabs>
        <w:ind w:left="0" w:right="-234"/>
        <w:jc w:val="both"/>
      </w:pPr>
    </w:p>
    <w:p w:rsidR="00CF702A" w:rsidRPr="00F255C4" w:rsidRDefault="00F255C4" w:rsidP="0059524E">
      <w:pPr>
        <w:pStyle w:val="Prrafodelista"/>
        <w:numPr>
          <w:ilvl w:val="0"/>
          <w:numId w:val="4"/>
        </w:numPr>
        <w:tabs>
          <w:tab w:val="left" w:pos="284"/>
          <w:tab w:val="right" w:pos="567"/>
          <w:tab w:val="left" w:pos="8222"/>
        </w:tabs>
        <w:ind w:left="0" w:right="-234" w:firstLine="0"/>
        <w:jc w:val="both"/>
      </w:pPr>
      <w:r w:rsidRPr="00F255C4">
        <w:t>Se trata de una regulación que</w:t>
      </w:r>
      <w:r w:rsidRPr="00F255C4">
        <w:t xml:space="preserve">, según la denominación de la ley y varias de sus disposiciones, </w:t>
      </w:r>
      <w:r w:rsidRPr="00F255C4">
        <w:t xml:space="preserve">tiene como fin </w:t>
      </w:r>
      <w:r w:rsidRPr="00F255C4">
        <w:t xml:space="preserve">proteger el derecho a la intimidad. </w:t>
      </w:r>
      <w:r w:rsidRPr="00F255C4">
        <w:t xml:space="preserve">La </w:t>
      </w:r>
      <w:r w:rsidRPr="00F255C4">
        <w:t>explícita</w:t>
      </w:r>
      <w:r w:rsidRPr="00F255C4">
        <w:t xml:space="preserve"> mención de</w:t>
      </w:r>
      <w:r w:rsidRPr="00F255C4">
        <w:t xml:space="preserve"> ese derecho</w:t>
      </w:r>
      <w:r w:rsidRPr="00F255C4">
        <w:t xml:space="preserve"> -a partir del cual la demandante erigió su acusación- </w:t>
      </w:r>
      <w:r w:rsidRPr="00F255C4">
        <w:t>no</w:t>
      </w:r>
      <w:r w:rsidRPr="00F255C4">
        <w:t xml:space="preserve"> excluye</w:t>
      </w:r>
      <w:r w:rsidRPr="00F255C4">
        <w:t xml:space="preserve"> </w:t>
      </w:r>
      <w:r w:rsidRPr="00F255C4">
        <w:t xml:space="preserve">la existencia de vínculos con </w:t>
      </w:r>
      <w:r w:rsidRPr="00F255C4">
        <w:t xml:space="preserve">otros </w:t>
      </w:r>
      <w:r w:rsidRPr="00F255C4">
        <w:t>derechos fundamentales. En esta oportunidad la Sala Plena ha constatado, a partir del examen de</w:t>
      </w:r>
      <w:r w:rsidRPr="00F255C4">
        <w:t xml:space="preserve"> la</w:t>
      </w:r>
      <w:r w:rsidRPr="00F255C4">
        <w:t xml:space="preserve"> jurisprudencia originada en el control concreto, </w:t>
      </w:r>
      <w:r w:rsidRPr="00F255C4">
        <w:t xml:space="preserve">que la regulación se encuentra </w:t>
      </w:r>
      <w:r w:rsidRPr="00F255C4">
        <w:t xml:space="preserve">también </w:t>
      </w:r>
      <w:r w:rsidRPr="00F255C4">
        <w:t>asociada con los derec</w:t>
      </w:r>
      <w:r w:rsidRPr="00F255C4">
        <w:t>hos fundamental</w:t>
      </w:r>
      <w:r w:rsidRPr="00F255C4">
        <w:t>es</w:t>
      </w:r>
      <w:r w:rsidRPr="00F255C4">
        <w:t xml:space="preserve"> al habeas data</w:t>
      </w:r>
      <w:r w:rsidRPr="00F255C4">
        <w:t xml:space="preserve"> y</w:t>
      </w:r>
      <w:r w:rsidRPr="00F255C4">
        <w:t xml:space="preserve"> al buen nombre</w:t>
      </w:r>
      <w:r w:rsidRPr="00F255C4">
        <w:t xml:space="preserve">. Diferentes </w:t>
      </w:r>
      <w:r w:rsidRPr="00F255C4">
        <w:t xml:space="preserve">decisiones </w:t>
      </w:r>
      <w:r w:rsidRPr="00F255C4">
        <w:t xml:space="preserve">de este tribunal evidencian la </w:t>
      </w:r>
      <w:r w:rsidRPr="00F255C4">
        <w:t>incidencia que los comportamientos ahora proscrito</w:t>
      </w:r>
      <w:r w:rsidRPr="00F255C4">
        <w:t>s por la legislación acusada</w:t>
      </w:r>
      <w:r w:rsidRPr="00F255C4">
        <w:t>,</w:t>
      </w:r>
      <w:r w:rsidRPr="00F255C4">
        <w:t xml:space="preserve"> </w:t>
      </w:r>
      <w:r w:rsidRPr="00F255C4">
        <w:t xml:space="preserve">tienen </w:t>
      </w:r>
      <w:r w:rsidRPr="00F255C4">
        <w:t>en la</w:t>
      </w:r>
      <w:r w:rsidRPr="00F255C4">
        <w:t xml:space="preserve"> garantía</w:t>
      </w:r>
      <w:r w:rsidRPr="00F255C4">
        <w:t xml:space="preserve"> de los derechos</w:t>
      </w:r>
      <w:r w:rsidRPr="00F255C4">
        <w:t xml:space="preserve"> mencionados</w:t>
      </w:r>
      <w:r w:rsidRPr="00F255C4">
        <w:t>. A continuación, la Co</w:t>
      </w:r>
      <w:r w:rsidRPr="00F255C4">
        <w:t xml:space="preserve">rte presenta una breve síntesis de tales pronunciamientos a fin de justificar esta premisa.  </w:t>
      </w:r>
    </w:p>
    <w:p w:rsidR="00CF702A" w:rsidRPr="00F255C4" w:rsidRDefault="00F255C4" w:rsidP="00CF702A">
      <w:pPr>
        <w:pStyle w:val="Prrafodelista"/>
      </w:pPr>
    </w:p>
    <w:p w:rsidR="00E2226B"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lang w:val="es-ES"/>
        </w:rPr>
        <w:t xml:space="preserve">En la sentencia T-412 de 1992 la Corte concluyó que violaba el derecho al buen nombre </w:t>
      </w:r>
      <w:r w:rsidRPr="00F255C4">
        <w:rPr>
          <w:shd w:val="clear" w:color="auto" w:fill="FFFFFF"/>
        </w:rPr>
        <w:t>la actuación de un cobrador que había acudido al sitio de trabajo de una de</w:t>
      </w:r>
      <w:r w:rsidRPr="00F255C4">
        <w:rPr>
          <w:shd w:val="clear" w:color="auto" w:fill="FFFFFF"/>
        </w:rPr>
        <w:t xml:space="preserve">udora “a conminarla a cumplir con una obligación civil que se encontraba pendiente de pago, con la amenaza de que si no se obtenía el resultado inmediato,  procedería a utilizar el disfraz de "chepito", para que de esta forma y ante la intimidación que la </w:t>
      </w:r>
      <w:r w:rsidRPr="00F255C4">
        <w:rPr>
          <w:shd w:val="clear" w:color="auto" w:fill="FFFFFF"/>
        </w:rPr>
        <w:t>sola imagen  produce, se viera obligada a cancelar la deuda”.</w:t>
      </w:r>
    </w:p>
    <w:p w:rsidR="00286BA4" w:rsidRPr="00F255C4" w:rsidRDefault="00F255C4" w:rsidP="00286BA4">
      <w:pPr>
        <w:pStyle w:val="Prrafodelista"/>
      </w:pPr>
    </w:p>
    <w:p w:rsidR="00D4775F" w:rsidRPr="00F255C4" w:rsidRDefault="00F255C4" w:rsidP="0059524E">
      <w:pPr>
        <w:pStyle w:val="Prrafodelista"/>
        <w:numPr>
          <w:ilvl w:val="0"/>
          <w:numId w:val="4"/>
        </w:numPr>
        <w:tabs>
          <w:tab w:val="left" w:pos="284"/>
          <w:tab w:val="right" w:pos="567"/>
          <w:tab w:val="left" w:pos="8222"/>
        </w:tabs>
        <w:ind w:left="0" w:right="-234" w:firstLine="0"/>
        <w:jc w:val="both"/>
      </w:pPr>
      <w:r w:rsidRPr="00F255C4">
        <w:t>En la sentencia T-</w:t>
      </w:r>
      <w:r w:rsidRPr="00F255C4">
        <w:t xml:space="preserve">340 de 1993 este tribunal se pronunció sobre </w:t>
      </w:r>
      <w:r w:rsidRPr="00F255C4">
        <w:t>l</w:t>
      </w:r>
      <w:r w:rsidRPr="00F255C4">
        <w:t>a solicitud de amparo</w:t>
      </w:r>
      <w:r w:rsidRPr="00F255C4">
        <w:t xml:space="preserve"> </w:t>
      </w:r>
      <w:r w:rsidRPr="00F255C4">
        <w:t>que presentó</w:t>
      </w:r>
      <w:r w:rsidRPr="00F255C4">
        <w:t xml:space="preserve"> una persona debido a </w:t>
      </w:r>
      <w:r w:rsidRPr="00F255C4">
        <w:t xml:space="preserve">la decisión de </w:t>
      </w:r>
      <w:r w:rsidRPr="00F255C4">
        <w:t xml:space="preserve">su </w:t>
      </w:r>
      <w:r w:rsidRPr="00F255C4">
        <w:t>acreedora de fijar</w:t>
      </w:r>
      <w:r w:rsidRPr="00F255C4">
        <w:t xml:space="preserve"> en su residencia “</w:t>
      </w:r>
      <w:r w:rsidRPr="00F255C4">
        <w:rPr>
          <w:shd w:val="clear" w:color="auto" w:fill="FFFFFF"/>
        </w:rPr>
        <w:t xml:space="preserve">avisos alusivos al cobro de la deuda”. La Corte encontró que la referida actuación constituía una violación del derecho a la intimidad y al buen nombre. </w:t>
      </w:r>
      <w:r w:rsidRPr="00F255C4">
        <w:rPr>
          <w:shd w:val="clear" w:color="auto" w:fill="FFFFFF"/>
        </w:rPr>
        <w:t xml:space="preserve">A su juicio </w:t>
      </w:r>
      <w:r w:rsidRPr="00F255C4">
        <w:rPr>
          <w:shd w:val="clear" w:color="auto" w:fill="FFFFFF"/>
        </w:rPr>
        <w:t>“[l]a divulgación de eventos relativos a las personas, con propósitos comerciales o particu</w:t>
      </w:r>
      <w:r w:rsidRPr="00F255C4">
        <w:rPr>
          <w:shd w:val="clear" w:color="auto" w:fill="FFFFFF"/>
        </w:rPr>
        <w:t>lares, cuando debían permanecer en el anonimato</w:t>
      </w:r>
      <w:r w:rsidRPr="00F255C4">
        <w:rPr>
          <w:shd w:val="clear" w:color="auto" w:fill="FFFFFF"/>
        </w:rPr>
        <w:t xml:space="preserve"> (…) </w:t>
      </w:r>
      <w:r w:rsidRPr="00F255C4">
        <w:rPr>
          <w:shd w:val="clear" w:color="auto" w:fill="FFFFFF"/>
        </w:rPr>
        <w:t xml:space="preserve">contraría </w:t>
      </w:r>
      <w:r w:rsidRPr="00F255C4">
        <w:rPr>
          <w:shd w:val="clear" w:color="auto" w:fill="FFFFFF"/>
        </w:rPr>
        <w:t xml:space="preserve">(…) </w:t>
      </w:r>
      <w:r w:rsidRPr="00F255C4">
        <w:rPr>
          <w:shd w:val="clear" w:color="auto" w:fill="FFFFFF"/>
        </w:rPr>
        <w:t>el especial deber de respeto que debe mantenerse sobre estos acontecimientos</w:t>
      </w:r>
      <w:r w:rsidRPr="00F255C4">
        <w:rPr>
          <w:shd w:val="clear" w:color="auto" w:fill="FFFFFF"/>
        </w:rPr>
        <w:t xml:space="preserve"> (…)</w:t>
      </w:r>
      <w:r w:rsidRPr="00F255C4">
        <w:rPr>
          <w:shd w:val="clear" w:color="auto" w:fill="FFFFFF"/>
        </w:rPr>
        <w:t xml:space="preserve">”. </w:t>
      </w:r>
      <w:r w:rsidRPr="00F255C4">
        <w:rPr>
          <w:shd w:val="clear" w:color="auto" w:fill="FFFFFF"/>
        </w:rPr>
        <w:t xml:space="preserve">Sostuvo </w:t>
      </w:r>
      <w:r w:rsidRPr="00F255C4">
        <w:rPr>
          <w:shd w:val="clear" w:color="auto" w:fill="FFFFFF"/>
        </w:rPr>
        <w:t>que “[n]o es aceptable que con estas situaciones se pretenda desnaturalizar figuras como la del req</w:t>
      </w:r>
      <w:r w:rsidRPr="00F255C4">
        <w:rPr>
          <w:shd w:val="clear" w:color="auto" w:fill="FFFFFF"/>
        </w:rPr>
        <w:t>uerimiento particular o privado</w:t>
      </w:r>
      <w:r w:rsidRPr="00F255C4">
        <w:rPr>
          <w:shd w:val="clear" w:color="auto" w:fill="FFFFFF"/>
        </w:rPr>
        <w:t xml:space="preserve"> (…)</w:t>
      </w:r>
      <w:r w:rsidRPr="00F255C4">
        <w:rPr>
          <w:shd w:val="clear" w:color="auto" w:fill="FFFFFF"/>
        </w:rPr>
        <w:t>”</w:t>
      </w:r>
      <w:r w:rsidRPr="00F255C4">
        <w:rPr>
          <w:shd w:val="clear" w:color="auto" w:fill="FFFFFF"/>
        </w:rPr>
        <w:t xml:space="preserve">. </w:t>
      </w:r>
      <w:r w:rsidRPr="00F255C4">
        <w:rPr>
          <w:shd w:val="clear" w:color="auto" w:fill="FFFFFF"/>
        </w:rPr>
        <w:t>Así las cosas “[n]</w:t>
      </w:r>
      <w:r w:rsidRPr="00F255C4">
        <w:rPr>
          <w:shd w:val="clear" w:color="auto" w:fill="FFFFFF"/>
        </w:rPr>
        <w:t>o puede aceptarse que</w:t>
      </w:r>
      <w:r w:rsidRPr="00F255C4">
        <w:rPr>
          <w:shd w:val="clear" w:color="auto" w:fill="FFFFFF"/>
        </w:rPr>
        <w:t xml:space="preserve"> </w:t>
      </w:r>
      <w:r w:rsidRPr="00F255C4">
        <w:rPr>
          <w:shd w:val="clear" w:color="auto" w:fill="FFFFFF"/>
        </w:rPr>
        <w:t>en ejercicio de la facultad de cobro, sea posible violentar los derechos mínimos de cualquier persona, negándole la posibilidad de controvertir la exigibilidad de las obligacione</w:t>
      </w:r>
      <w:r w:rsidRPr="00F255C4">
        <w:rPr>
          <w:shd w:val="clear" w:color="auto" w:fill="FFFFFF"/>
        </w:rPr>
        <w:t>s que se persiguen; mucho menos, atentando contra el libre ejercicio de sus derechos fundamentales</w:t>
      </w:r>
      <w:r w:rsidRPr="00F255C4">
        <w:rPr>
          <w:shd w:val="clear" w:color="auto" w:fill="FFFFFF"/>
        </w:rPr>
        <w:t>”</w:t>
      </w:r>
      <w:r w:rsidRPr="00F255C4">
        <w:rPr>
          <w:shd w:val="clear" w:color="auto" w:fill="FFFFFF"/>
        </w:rPr>
        <w:t xml:space="preserve">. </w:t>
      </w:r>
    </w:p>
    <w:p w:rsidR="00286BA4" w:rsidRPr="00F255C4" w:rsidRDefault="00F255C4" w:rsidP="00286BA4">
      <w:pPr>
        <w:pStyle w:val="Prrafodelista"/>
        <w:tabs>
          <w:tab w:val="left" w:pos="284"/>
          <w:tab w:val="right" w:pos="567"/>
          <w:tab w:val="left" w:pos="8222"/>
        </w:tabs>
        <w:ind w:left="0" w:right="-234"/>
        <w:jc w:val="both"/>
      </w:pPr>
    </w:p>
    <w:p w:rsidR="004E1089"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lang w:val="es-ES"/>
        </w:rPr>
        <w:t>E</w:t>
      </w:r>
      <w:r w:rsidRPr="00F255C4">
        <w:rPr>
          <w:lang w:val="es-ES"/>
        </w:rPr>
        <w:t>n la sentencia T-411 de 1995 la Corte concluyó que</w:t>
      </w:r>
      <w:r w:rsidRPr="00F255C4">
        <w:rPr>
          <w:lang w:val="es-ES"/>
        </w:rPr>
        <w:t xml:space="preserve"> </w:t>
      </w:r>
      <w:r w:rsidRPr="00F255C4">
        <w:rPr>
          <w:lang w:val="es-ES"/>
        </w:rPr>
        <w:t>publica</w:t>
      </w:r>
      <w:r w:rsidRPr="00F255C4">
        <w:rPr>
          <w:lang w:val="es-ES"/>
        </w:rPr>
        <w:t>r en un diario de amplia circulación un</w:t>
      </w:r>
      <w:r w:rsidRPr="00F255C4">
        <w:rPr>
          <w:lang w:val="es-ES"/>
        </w:rPr>
        <w:t xml:space="preserve"> aviso </w:t>
      </w:r>
      <w:r w:rsidRPr="00F255C4">
        <w:rPr>
          <w:lang w:val="es-ES"/>
        </w:rPr>
        <w:t>requ</w:t>
      </w:r>
      <w:r w:rsidRPr="00F255C4">
        <w:rPr>
          <w:lang w:val="es-ES"/>
        </w:rPr>
        <w:t>iriendo</w:t>
      </w:r>
      <w:r w:rsidRPr="00F255C4">
        <w:rPr>
          <w:lang w:val="es-ES"/>
        </w:rPr>
        <w:t xml:space="preserve"> </w:t>
      </w:r>
      <w:r w:rsidRPr="00F255C4">
        <w:rPr>
          <w:lang w:val="es-ES"/>
        </w:rPr>
        <w:t xml:space="preserve">el pago de </w:t>
      </w:r>
      <w:r w:rsidRPr="00F255C4">
        <w:rPr>
          <w:lang w:val="es-ES"/>
        </w:rPr>
        <w:t>una</w:t>
      </w:r>
      <w:r w:rsidRPr="00F255C4">
        <w:rPr>
          <w:lang w:val="es-ES"/>
        </w:rPr>
        <w:t xml:space="preserve"> deuda</w:t>
      </w:r>
      <w:r w:rsidRPr="00F255C4">
        <w:rPr>
          <w:lang w:val="es-ES"/>
        </w:rPr>
        <w:t>,</w:t>
      </w:r>
      <w:r w:rsidRPr="00F255C4">
        <w:rPr>
          <w:lang w:val="es-ES"/>
        </w:rPr>
        <w:t xml:space="preserve"> constituía </w:t>
      </w:r>
      <w:r w:rsidRPr="00F255C4">
        <w:rPr>
          <w:lang w:val="es-ES"/>
        </w:rPr>
        <w:t xml:space="preserve">una </w:t>
      </w:r>
      <w:r w:rsidRPr="00F255C4">
        <w:rPr>
          <w:lang w:val="es-ES"/>
        </w:rPr>
        <w:t>viola</w:t>
      </w:r>
      <w:r w:rsidRPr="00F255C4">
        <w:rPr>
          <w:lang w:val="es-ES"/>
        </w:rPr>
        <w:t>ción</w:t>
      </w:r>
      <w:r w:rsidRPr="00F255C4">
        <w:rPr>
          <w:lang w:val="es-ES"/>
        </w:rPr>
        <w:t xml:space="preserve"> </w:t>
      </w:r>
      <w:r w:rsidRPr="00F255C4">
        <w:rPr>
          <w:lang w:val="es-ES"/>
        </w:rPr>
        <w:t>d</w:t>
      </w:r>
      <w:r w:rsidRPr="00F255C4">
        <w:rPr>
          <w:lang w:val="es-ES"/>
        </w:rPr>
        <w:t xml:space="preserve">el derecho al buen nombre. Indicó </w:t>
      </w:r>
      <w:r w:rsidRPr="00F255C4">
        <w:rPr>
          <w:shd w:val="clear" w:color="auto" w:fill="FFFFFF"/>
        </w:rPr>
        <w:t>“que la divulgación de la condición comercial de una persona, cuando no </w:t>
      </w:r>
      <w:r w:rsidRPr="00F255C4">
        <w:rPr>
          <w:bCs/>
          <w:shd w:val="clear" w:color="auto" w:fill="FFFFFF"/>
        </w:rPr>
        <w:t>obedece a razones legales o a un interés claro de orden público</w:t>
      </w:r>
      <w:r w:rsidRPr="00F255C4">
        <w:rPr>
          <w:shd w:val="clear" w:color="auto" w:fill="FFFFFF"/>
        </w:rPr>
        <w:t>, en la prensa o en cualquier medio de información dirigido por naturale</w:t>
      </w:r>
      <w:r w:rsidRPr="00F255C4">
        <w:rPr>
          <w:shd w:val="clear" w:color="auto" w:fill="FFFFFF"/>
        </w:rPr>
        <w:t xml:space="preserve">za a un grupo ilimitado e indiscriminado de personas, constituye un claro agravio en contra de su buen nombre, ya que esas condiciones financieras no tienen por qué ser conocidas por toda la sociedad”. Indicó además que el acreedor no “puede recurrir a la </w:t>
      </w:r>
      <w:r w:rsidRPr="00F255C4">
        <w:rPr>
          <w:shd w:val="clear" w:color="auto" w:fill="FFFFFF"/>
        </w:rPr>
        <w:t>presión en contra de un deudor para obtener el pago de las deudas ya que para ello existen canales plenamente establecidos y de amplio conocimiento </w:t>
      </w:r>
      <w:r w:rsidRPr="00F255C4">
        <w:rPr>
          <w:shd w:val="clear" w:color="auto" w:fill="FFFFFF"/>
        </w:rPr>
        <w:t xml:space="preserve">(…) </w:t>
      </w:r>
      <w:r w:rsidRPr="00F255C4">
        <w:rPr>
          <w:shd w:val="clear" w:color="auto" w:fill="FFFFFF"/>
        </w:rPr>
        <w:t>que permiten obtener el cumplimiento de obligaciones comerciales sin menoscabar derechos fundamentales”.</w:t>
      </w:r>
      <w:r w:rsidRPr="00F255C4">
        <w:rPr>
          <w:shd w:val="clear" w:color="auto" w:fill="FFFFFF"/>
        </w:rPr>
        <w:t> Advirtió la</w:t>
      </w:r>
      <w:r w:rsidRPr="00F255C4">
        <w:rPr>
          <w:shd w:val="clear" w:color="auto" w:fill="FFFFFF"/>
        </w:rPr>
        <w:t xml:space="preserve"> sentencia</w:t>
      </w:r>
      <w:r w:rsidRPr="00F255C4">
        <w:rPr>
          <w:shd w:val="clear" w:color="auto" w:fill="FFFFFF"/>
        </w:rPr>
        <w:t xml:space="preserve"> que “[s]i estos canales no se utilizan o si utilizándolos se presiona al deudor para que por medio de conductos ajenos a la ley cumpla sus obligaciones, nos encontramos ante un constreñimiento inaceptable, que bajo ningún aspecto pue</w:t>
      </w:r>
      <w:r w:rsidRPr="00F255C4">
        <w:rPr>
          <w:shd w:val="clear" w:color="auto" w:fill="FFFFFF"/>
        </w:rPr>
        <w:t>de ser tolerado por la jurisdicción constitucional”.</w:t>
      </w:r>
    </w:p>
    <w:p w:rsidR="00286BA4" w:rsidRPr="00F255C4" w:rsidRDefault="00F255C4" w:rsidP="00286BA4">
      <w:pPr>
        <w:pStyle w:val="Prrafodelista"/>
        <w:tabs>
          <w:tab w:val="left" w:pos="284"/>
          <w:tab w:val="right" w:pos="567"/>
          <w:tab w:val="left" w:pos="8222"/>
        </w:tabs>
        <w:ind w:left="0" w:right="-234"/>
        <w:jc w:val="both"/>
      </w:pPr>
    </w:p>
    <w:p w:rsidR="00CC0E3C" w:rsidRPr="00F255C4" w:rsidRDefault="00F255C4" w:rsidP="0059524E">
      <w:pPr>
        <w:pStyle w:val="Prrafodelista"/>
        <w:numPr>
          <w:ilvl w:val="0"/>
          <w:numId w:val="4"/>
        </w:numPr>
        <w:tabs>
          <w:tab w:val="left" w:pos="284"/>
          <w:tab w:val="right" w:pos="567"/>
          <w:tab w:val="left" w:pos="8222"/>
        </w:tabs>
        <w:ind w:left="0" w:right="-234" w:firstLine="0"/>
        <w:jc w:val="both"/>
      </w:pPr>
      <w:r w:rsidRPr="00F255C4">
        <w:t>En la sentencia T-814 de 2003 la Corte</w:t>
      </w:r>
      <w:r w:rsidRPr="00F255C4">
        <w:t xml:space="preserve"> determinó </w:t>
      </w:r>
      <w:r w:rsidRPr="00F255C4">
        <w:t>que</w:t>
      </w:r>
      <w:r w:rsidRPr="00F255C4">
        <w:t xml:space="preserve"> vulneraba</w:t>
      </w:r>
      <w:r w:rsidRPr="00F255C4">
        <w:t xml:space="preserve"> el derecho a la intimidad </w:t>
      </w:r>
      <w:r w:rsidRPr="00F255C4">
        <w:t xml:space="preserve">personal y familiar </w:t>
      </w:r>
      <w:r w:rsidRPr="00F255C4">
        <w:t xml:space="preserve">la </w:t>
      </w:r>
      <w:r w:rsidRPr="00F255C4">
        <w:t>instala</w:t>
      </w:r>
      <w:r w:rsidRPr="00F255C4">
        <w:t xml:space="preserve">ción, </w:t>
      </w:r>
      <w:r w:rsidRPr="00F255C4">
        <w:t xml:space="preserve">realizada por </w:t>
      </w:r>
      <w:r w:rsidRPr="00F255C4">
        <w:t>una empresa de telecomunicaciones, de</w:t>
      </w:r>
      <w:r w:rsidRPr="00F255C4">
        <w:t xml:space="preserve"> </w:t>
      </w:r>
      <w:r w:rsidRPr="00F255C4">
        <w:rPr>
          <w:shd w:val="clear" w:color="auto" w:fill="FFFFFF"/>
        </w:rPr>
        <w:t xml:space="preserve">una grabación que </w:t>
      </w:r>
      <w:r w:rsidRPr="00F255C4">
        <w:rPr>
          <w:shd w:val="clear" w:color="auto" w:fill="FFFFFF"/>
        </w:rPr>
        <w:t xml:space="preserve">al </w:t>
      </w:r>
      <w:r w:rsidRPr="00F255C4">
        <w:rPr>
          <w:shd w:val="clear" w:color="auto" w:fill="FFFFFF"/>
        </w:rPr>
        <w:t>desc</w:t>
      </w:r>
      <w:r w:rsidRPr="00F255C4">
        <w:rPr>
          <w:shd w:val="clear" w:color="auto" w:fill="FFFFFF"/>
        </w:rPr>
        <w:t>olga</w:t>
      </w:r>
      <w:r w:rsidRPr="00F255C4">
        <w:rPr>
          <w:shd w:val="clear" w:color="auto" w:fill="FFFFFF"/>
        </w:rPr>
        <w:t>r</w:t>
      </w:r>
      <w:r w:rsidRPr="00F255C4">
        <w:rPr>
          <w:shd w:val="clear" w:color="auto" w:fill="FFFFFF"/>
        </w:rPr>
        <w:t xml:space="preserve"> el auricular</w:t>
      </w:r>
      <w:r w:rsidRPr="00F255C4">
        <w:rPr>
          <w:shd w:val="clear" w:color="auto" w:fill="FFFFFF"/>
        </w:rPr>
        <w:t xml:space="preserve"> </w:t>
      </w:r>
      <w:r w:rsidRPr="00F255C4">
        <w:rPr>
          <w:i/>
          <w:shd w:val="clear" w:color="auto" w:fill="FFFFFF"/>
        </w:rPr>
        <w:t>invitaba</w:t>
      </w:r>
      <w:r w:rsidRPr="00F255C4">
        <w:rPr>
          <w:shd w:val="clear" w:color="auto" w:fill="FFFFFF"/>
        </w:rPr>
        <w:t xml:space="preserve"> al usuario a ponerse al día en la deuda</w:t>
      </w:r>
      <w:r w:rsidRPr="00F255C4">
        <w:rPr>
          <w:shd w:val="clear" w:color="auto" w:fill="FFFFFF"/>
        </w:rPr>
        <w:t>.</w:t>
      </w:r>
      <w:r w:rsidRPr="00F255C4">
        <w:t xml:space="preserve"> </w:t>
      </w:r>
    </w:p>
    <w:p w:rsidR="00CC0E3C" w:rsidRPr="00F255C4" w:rsidRDefault="00F255C4" w:rsidP="00CC0E3C">
      <w:pPr>
        <w:pStyle w:val="Prrafodelista"/>
      </w:pPr>
    </w:p>
    <w:p w:rsidR="00CC0E3C" w:rsidRPr="00F255C4" w:rsidRDefault="00F255C4" w:rsidP="0059524E">
      <w:pPr>
        <w:pStyle w:val="Prrafodelista"/>
        <w:numPr>
          <w:ilvl w:val="0"/>
          <w:numId w:val="4"/>
        </w:numPr>
        <w:tabs>
          <w:tab w:val="left" w:pos="284"/>
          <w:tab w:val="right" w:pos="567"/>
          <w:tab w:val="left" w:pos="8222"/>
        </w:tabs>
        <w:ind w:left="0" w:right="-234" w:firstLine="0"/>
        <w:jc w:val="both"/>
      </w:pPr>
      <w:r w:rsidRPr="00F255C4">
        <w:t>Presentó varias razones para ello. Primero. Ese derecho “</w:t>
      </w:r>
      <w:r w:rsidRPr="00F255C4">
        <w:t>no sólo protege la capacidad de autodeterminación individual frente a amenazas físicas sobre un espacio privado</w:t>
      </w:r>
      <w:r w:rsidRPr="00F255C4">
        <w:t>”</w:t>
      </w:r>
      <w:r w:rsidRPr="00F255C4">
        <w:t xml:space="preserve">. </w:t>
      </w:r>
      <w:r w:rsidRPr="00F255C4">
        <w:t>Ella “</w:t>
      </w:r>
      <w:r w:rsidRPr="00F255C4">
        <w:t xml:space="preserve">se </w:t>
      </w:r>
      <w:r w:rsidRPr="00F255C4">
        <w:t>extiende a diferentes ámbitos en los cuales las personas desarrollan ciertas actividades, con la esperanza de no tener interferencias de las demás personas</w:t>
      </w:r>
      <w:r w:rsidRPr="00F255C4">
        <w:t>”</w:t>
      </w:r>
      <w:r w:rsidRPr="00F255C4">
        <w:t xml:space="preserve">. </w:t>
      </w:r>
      <w:r w:rsidRPr="00F255C4">
        <w:t>Segundo. La protección de la intimidad supone “</w:t>
      </w:r>
      <w:r w:rsidRPr="00F255C4">
        <w:t xml:space="preserve">la facultad de actuar dentro de un espacio privado </w:t>
      </w:r>
      <w:r w:rsidRPr="00F255C4">
        <w:t>sin interferencias visuales, sonoras u olfativas</w:t>
      </w:r>
      <w:r w:rsidRPr="00F255C4">
        <w:t>”</w:t>
      </w:r>
      <w:r w:rsidRPr="00F255C4">
        <w:t xml:space="preserve">. </w:t>
      </w:r>
      <w:r w:rsidRPr="00F255C4">
        <w:t xml:space="preserve">Tercero. </w:t>
      </w:r>
      <w:r w:rsidRPr="00F255C4">
        <w:t>I</w:t>
      </w:r>
      <w:r w:rsidRPr="00F255C4">
        <w:t>nstala</w:t>
      </w:r>
      <w:r w:rsidRPr="00F255C4">
        <w:t>r</w:t>
      </w:r>
      <w:r w:rsidRPr="00F255C4">
        <w:t xml:space="preserve"> una grabación permanente como</w:t>
      </w:r>
      <w:r w:rsidRPr="00F255C4">
        <w:t xml:space="preserve"> forma de</w:t>
      </w:r>
      <w:r w:rsidRPr="00F255C4">
        <w:t xml:space="preserve"> presión para el pago </w:t>
      </w:r>
      <w:r w:rsidRPr="00F255C4">
        <w:rPr>
          <w:shd w:val="clear" w:color="auto" w:fill="FFFFFF"/>
        </w:rPr>
        <w:t>“resulta desproporcionado cuando se efectúa mediante la invasión del “espacio” reservado exclusivamente a sus habitantes”</w:t>
      </w:r>
      <w:r w:rsidRPr="00F255C4">
        <w:rPr>
          <w:shd w:val="clear" w:color="auto" w:fill="FFFFFF"/>
        </w:rPr>
        <w:t>,</w:t>
      </w:r>
      <w:r w:rsidRPr="00F255C4">
        <w:rPr>
          <w:shd w:val="clear" w:color="auto" w:fill="FFFFFF"/>
        </w:rPr>
        <w:t xml:space="preserve"> ocur</w:t>
      </w:r>
      <w:r w:rsidRPr="00F255C4">
        <w:rPr>
          <w:shd w:val="clear" w:color="auto" w:fill="FFFFFF"/>
        </w:rPr>
        <w:t xml:space="preserve">riendo lo mismo si la empresa “decide saturar a los usuarios morosos, enviándoles facturas permanentemente a sus lugares de residencia”. </w:t>
      </w:r>
    </w:p>
    <w:p w:rsidR="00CF702A" w:rsidRPr="00F255C4" w:rsidRDefault="00F255C4" w:rsidP="00CF702A">
      <w:pPr>
        <w:pStyle w:val="Prrafodelista"/>
        <w:tabs>
          <w:tab w:val="left" w:pos="284"/>
          <w:tab w:val="right" w:pos="567"/>
          <w:tab w:val="left" w:pos="8222"/>
        </w:tabs>
        <w:ind w:left="0" w:right="-234"/>
        <w:jc w:val="both"/>
      </w:pPr>
    </w:p>
    <w:p w:rsidR="00E2226B"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shd w:val="clear" w:color="auto" w:fill="FFFFFF"/>
        </w:rPr>
        <w:t>L</w:t>
      </w:r>
      <w:r w:rsidRPr="00F255C4">
        <w:rPr>
          <w:shd w:val="clear" w:color="auto" w:fill="FFFFFF"/>
        </w:rPr>
        <w:t xml:space="preserve">a </w:t>
      </w:r>
      <w:r w:rsidRPr="00F255C4">
        <w:rPr>
          <w:shd w:val="clear" w:color="auto" w:fill="FFFFFF"/>
        </w:rPr>
        <w:t xml:space="preserve">sentencia </w:t>
      </w:r>
      <w:r w:rsidRPr="00F255C4">
        <w:rPr>
          <w:shd w:val="clear" w:color="auto" w:fill="FFFFFF"/>
        </w:rPr>
        <w:t xml:space="preserve">también </w:t>
      </w:r>
      <w:r w:rsidRPr="00F255C4">
        <w:rPr>
          <w:shd w:val="clear" w:color="auto" w:fill="FFFFFF"/>
        </w:rPr>
        <w:t xml:space="preserve">afirmó </w:t>
      </w:r>
      <w:r w:rsidRPr="00F255C4">
        <w:rPr>
          <w:shd w:val="clear" w:color="auto" w:fill="FFFFFF"/>
        </w:rPr>
        <w:t>que “[</w:t>
      </w:r>
      <w:r w:rsidRPr="00F255C4">
        <w:rPr>
          <w:shd w:val="clear" w:color="auto" w:fill="FFFFFF"/>
        </w:rPr>
        <w:t>r</w:t>
      </w:r>
      <w:r w:rsidRPr="00F255C4">
        <w:rPr>
          <w:shd w:val="clear" w:color="auto" w:fill="FFFFFF"/>
        </w:rPr>
        <w:t>]ecurrir a este tipo de instrumentos, invadiendo incluso la privacidad de su hogar</w:t>
      </w:r>
      <w:r w:rsidRPr="00F255C4">
        <w:rPr>
          <w:shd w:val="clear" w:color="auto" w:fill="FFFFFF"/>
        </w:rPr>
        <w:t>, supone una concepción en exceso determinista de la conducta humana” al amparo de la cual se asume que “los individuos son incapaces de adquirir un verdadero sentido de responsabilidad frente a sus obligaciones, si el Estado o la sociedad no los están pre</w:t>
      </w:r>
      <w:r w:rsidRPr="00F255C4">
        <w:rPr>
          <w:shd w:val="clear" w:color="auto" w:fill="FFFFFF"/>
        </w:rPr>
        <w:t>sionando permanentemente aun dentro de su hogar”. Concluyó entonces la Corte “que la instalación de un mensaje permanente en una línea residencial suspendida, en el que se “invita” a los deudores morosos del servicio de teléfono a cancelar sus deudas, vuln</w:t>
      </w:r>
      <w:r w:rsidRPr="00F255C4">
        <w:rPr>
          <w:shd w:val="clear" w:color="auto" w:fill="FFFFFF"/>
        </w:rPr>
        <w:t>era el derecho a la intimidad personal y familiar”.</w:t>
      </w:r>
    </w:p>
    <w:p w:rsidR="00286BA4" w:rsidRPr="00F255C4" w:rsidRDefault="00F255C4" w:rsidP="00286BA4">
      <w:pPr>
        <w:pStyle w:val="Prrafodelista"/>
        <w:tabs>
          <w:tab w:val="left" w:pos="284"/>
          <w:tab w:val="right" w:pos="567"/>
          <w:tab w:val="left" w:pos="8222"/>
        </w:tabs>
        <w:ind w:left="0" w:right="-234"/>
        <w:jc w:val="both"/>
      </w:pPr>
    </w:p>
    <w:p w:rsidR="004537D5" w:rsidRPr="00F255C4" w:rsidRDefault="00F255C4" w:rsidP="0059524E">
      <w:pPr>
        <w:pStyle w:val="Prrafodelista"/>
        <w:numPr>
          <w:ilvl w:val="0"/>
          <w:numId w:val="4"/>
        </w:numPr>
        <w:tabs>
          <w:tab w:val="left" w:pos="284"/>
          <w:tab w:val="right" w:pos="567"/>
          <w:tab w:val="left" w:pos="8222"/>
        </w:tabs>
        <w:ind w:left="0" w:right="-234" w:firstLine="0"/>
        <w:jc w:val="both"/>
      </w:pPr>
      <w:r w:rsidRPr="00F255C4">
        <w:t>En la sentencia T-798 de 2007 l</w:t>
      </w:r>
      <w:r w:rsidRPr="00F255C4">
        <w:t>e correspondía a la Corte establecer</w:t>
      </w:r>
      <w:r w:rsidRPr="00F255C4">
        <w:t xml:space="preserve"> </w:t>
      </w:r>
      <w:r w:rsidRPr="00F255C4">
        <w:t>si se</w:t>
      </w:r>
      <w:r w:rsidRPr="00F255C4">
        <w:t xml:space="preserve"> violaba</w:t>
      </w:r>
      <w:r w:rsidRPr="00F255C4">
        <w:t xml:space="preserve"> el derecho a la intimidad de una persona debido a las llamadas y mensajes que</w:t>
      </w:r>
      <w:r w:rsidRPr="00F255C4">
        <w:t xml:space="preserve"> recibía con el propósito de requerir </w:t>
      </w:r>
      <w:r w:rsidRPr="00F255C4">
        <w:t>el pag</w:t>
      </w:r>
      <w:r w:rsidRPr="00F255C4">
        <w:t xml:space="preserve">o de una deuda de su padre ya fallecido. </w:t>
      </w:r>
      <w:r w:rsidRPr="00F255C4">
        <w:t xml:space="preserve">Este tribunal </w:t>
      </w:r>
      <w:r w:rsidRPr="00F255C4">
        <w:t>inició señalando que “[e]l recurso a estos mecanismos de cobro extraprocesal cumple una finalidad legítima, que es permitir a las personas reclamar el pago de sus acreencias sin acudir necesariamente a</w:t>
      </w:r>
      <w:r w:rsidRPr="00F255C4">
        <w:t xml:space="preserve"> la jurisdicción, evitando así los costos de diversa índole que para ambas partes - deudor y acreedor - supone el dirimir un conflicto ante los tribunales”. </w:t>
      </w:r>
      <w:r w:rsidRPr="00F255C4">
        <w:t xml:space="preserve"> Por ello</w:t>
      </w:r>
      <w:r w:rsidRPr="00F255C4">
        <w:t xml:space="preserve"> “[</w:t>
      </w:r>
      <w:r w:rsidRPr="00F255C4">
        <w:t>s</w:t>
      </w:r>
      <w:r w:rsidRPr="00F255C4">
        <w:t>]e trata, en principio, de una herramienta válida para que las personas agencien sus d</w:t>
      </w:r>
      <w:r w:rsidRPr="00F255C4">
        <w:t>erechos y, de este modo, resuelvan de manera privada y pacífica sus diferencias, evitando congestionar de manera innecesaria la administración de justicia”. </w:t>
      </w:r>
      <w:r w:rsidRPr="00F255C4">
        <w:t>E</w:t>
      </w:r>
      <w:r w:rsidRPr="00F255C4">
        <w:t>llo es admisible</w:t>
      </w:r>
      <w:r w:rsidRPr="00F255C4">
        <w:t>, sostuvo la Corte,</w:t>
      </w:r>
      <w:r w:rsidRPr="00F255C4">
        <w:t xml:space="preserve"> “siempre y cuando el empleo de estos mecanismos efectivamente </w:t>
      </w:r>
      <w:r w:rsidRPr="00F255C4">
        <w:t>contribuya a disminuir la conflictividad social y no, en cambio, se convierta en una fuente adicional de litigios o en un escenario donde los deudores hayan de soportar toda clase de presiones y vejámenes por parte de sus acreedores”.</w:t>
      </w:r>
    </w:p>
    <w:p w:rsidR="00286BA4" w:rsidRPr="00F255C4" w:rsidRDefault="00F255C4" w:rsidP="00286BA4">
      <w:pPr>
        <w:pStyle w:val="Prrafodelista"/>
      </w:pPr>
    </w:p>
    <w:p w:rsidR="0014706F" w:rsidRPr="00F255C4" w:rsidRDefault="00F255C4" w:rsidP="0059524E">
      <w:pPr>
        <w:pStyle w:val="Prrafodelista"/>
        <w:numPr>
          <w:ilvl w:val="0"/>
          <w:numId w:val="4"/>
        </w:numPr>
        <w:tabs>
          <w:tab w:val="left" w:pos="284"/>
          <w:tab w:val="right" w:pos="567"/>
          <w:tab w:val="left" w:pos="8222"/>
        </w:tabs>
        <w:ind w:left="0" w:right="-234" w:firstLine="0"/>
        <w:jc w:val="both"/>
      </w:pPr>
      <w:r w:rsidRPr="00F255C4">
        <w:t>L</w:t>
      </w:r>
      <w:r w:rsidRPr="00F255C4">
        <w:t xml:space="preserve">a Corte </w:t>
      </w:r>
      <w:r w:rsidRPr="00F255C4">
        <w:t xml:space="preserve">reconoció </w:t>
      </w:r>
      <w:r w:rsidRPr="00F255C4">
        <w:t>que “[n]o existen normas que establezcan cuáles son los mecanismos de cobro extraprocesal admitidos; tan sólo se regula esta cuestión por vía negativa, excluyendo como ilícitos aquellos que puedan tipificarse como un constreñimiento ilegal, un ejercicio ar</w:t>
      </w:r>
      <w:r w:rsidRPr="00F255C4">
        <w:t xml:space="preserve">bitrario de las propias razones, o vulneren de manera evidente los derechos fundamentales del deudor”. A pesar de ese silencio la </w:t>
      </w:r>
      <w:r w:rsidRPr="00F255C4">
        <w:t>Sala constató</w:t>
      </w:r>
      <w:r w:rsidRPr="00F255C4">
        <w:t xml:space="preserve"> “que los requerimientos para el pago que se manifiestan en el envío de cuentas de cobro, llamadas telefónicas y </w:t>
      </w:r>
      <w:r w:rsidRPr="00F255C4">
        <w:t>visitas al domicilio o al lugar de trabajo del deudor, aún sin llegar al extremo del constreñimiento ilegal, pueden afectar la tranquilidad e intimidad de las personas sobre quien se ejercitan, en tanto se trata de mecanismos destinados a instar a los deud</w:t>
      </w:r>
      <w:r w:rsidRPr="00F255C4">
        <w:t>ores a cumplir con sus obligaciones”.</w:t>
      </w:r>
    </w:p>
    <w:p w:rsidR="00286BA4" w:rsidRPr="00F255C4" w:rsidRDefault="00F255C4" w:rsidP="00286BA4">
      <w:pPr>
        <w:pStyle w:val="Prrafodelista"/>
      </w:pPr>
    </w:p>
    <w:p w:rsidR="0014706F" w:rsidRPr="00F255C4" w:rsidRDefault="00F255C4" w:rsidP="0059524E">
      <w:pPr>
        <w:pStyle w:val="Prrafodelista"/>
        <w:numPr>
          <w:ilvl w:val="0"/>
          <w:numId w:val="4"/>
        </w:numPr>
        <w:tabs>
          <w:tab w:val="left" w:pos="284"/>
          <w:tab w:val="right" w:pos="567"/>
          <w:tab w:val="left" w:pos="8222"/>
        </w:tabs>
        <w:ind w:left="0" w:right="-234" w:firstLine="0"/>
        <w:jc w:val="both"/>
      </w:pPr>
      <w:r w:rsidRPr="00F255C4">
        <w:t>Luego de ello i</w:t>
      </w:r>
      <w:r w:rsidRPr="00F255C4">
        <w:t>dentificó dos criterios generales para evaluar la legitimidad de los cobro</w:t>
      </w:r>
      <w:r w:rsidRPr="00F255C4">
        <w:t>s</w:t>
      </w:r>
      <w:r w:rsidRPr="00F255C4">
        <w:t xml:space="preserve"> extraprocesales. </w:t>
      </w:r>
      <w:r w:rsidRPr="00F255C4">
        <w:t>Según e</w:t>
      </w:r>
      <w:r w:rsidRPr="00F255C4">
        <w:t xml:space="preserve">l primero “tales mecanismos no son una alternativa de la que el acreedor pueda valerse a discreción y </w:t>
      </w:r>
      <w:r w:rsidRPr="00F255C4">
        <w:t>de manera ilimitada, como sucedáneo de las vías judiciales dispuestas para obtener el cumplimiento de las obligaciones”. Advirtió que, a diferencia del proceso judicial “las medidas extraprocesales de cobro, debido a su informalidad, constituyen un escenar</w:t>
      </w:r>
      <w:r w:rsidRPr="00F255C4">
        <w:t>io privilegiado para el ejercicio de poderes privados, en el que existe el riesgo de que el acreedor, especialmente en contextos de relaciones de poder asimétricas, abuse de su posición dominante para ejercer presiones indebidas sobre el deudor”. Para la C</w:t>
      </w:r>
      <w:r w:rsidRPr="00F255C4">
        <w:t>orte “el empleo de estas formas de cobro sólo es válida en tanto se oriente a procurar formas privadas y pacíficas de solución de litigios que resulten menos gravosas para ambas partes, y en cambio, deje de serlo cuando su ejercicio constituya una fuente a</w:t>
      </w:r>
      <w:r w:rsidRPr="00F255C4">
        <w:t>dicional de conflictos o claramente se proponga como una estrategia para eludir el cumplimiento de los requisitos, cargas, términos de prescripción y demás garantías de imparcialidad que asegura el proceso”.</w:t>
      </w:r>
    </w:p>
    <w:p w:rsidR="00286BA4" w:rsidRPr="00F255C4" w:rsidRDefault="00F255C4" w:rsidP="00286BA4">
      <w:pPr>
        <w:pStyle w:val="Prrafodelista"/>
        <w:tabs>
          <w:tab w:val="left" w:pos="284"/>
          <w:tab w:val="right" w:pos="567"/>
          <w:tab w:val="left" w:pos="8222"/>
        </w:tabs>
        <w:ind w:left="0" w:right="-234"/>
        <w:jc w:val="both"/>
      </w:pPr>
    </w:p>
    <w:p w:rsidR="00E4134E" w:rsidRPr="00F255C4" w:rsidRDefault="00F255C4" w:rsidP="0059524E">
      <w:pPr>
        <w:pStyle w:val="Prrafodelista"/>
        <w:numPr>
          <w:ilvl w:val="0"/>
          <w:numId w:val="4"/>
        </w:numPr>
        <w:tabs>
          <w:tab w:val="left" w:pos="284"/>
          <w:tab w:val="right" w:pos="567"/>
          <w:tab w:val="left" w:pos="8222"/>
        </w:tabs>
        <w:ind w:left="0" w:right="-234" w:firstLine="0"/>
        <w:jc w:val="both"/>
      </w:pPr>
      <w:r w:rsidRPr="00F255C4">
        <w:t>De conformidad con el segundo criterio “constit</w:t>
      </w:r>
      <w:r w:rsidRPr="00F255C4">
        <w:t>uyen formas indebidas de cobro, por ser violatorias del derecho a la intimidad, todas aquellas que busquen presionar el pago poniendo en conocimiento de terceros que no son parte en la relación crediticia, y a las que no asiste un interés respaldado en raz</w:t>
      </w:r>
      <w:r w:rsidRPr="00F255C4">
        <w:t>ones legales o de orden público, la condición de deudor de una persona”.  La Corte encontró que la infracción a este segundo l</w:t>
      </w:r>
      <w:r w:rsidRPr="00F255C4">
        <w:t>í</w:t>
      </w:r>
      <w:r w:rsidRPr="00F255C4">
        <w:t xml:space="preserve">mite había ocurrido. </w:t>
      </w:r>
      <w:r w:rsidRPr="00F255C4">
        <w:t xml:space="preserve">Señaló </w:t>
      </w:r>
      <w:r w:rsidRPr="00F255C4">
        <w:t>que la visita realizada por un agente de cobro al conjunto residencial en el que vivía la accionante</w:t>
      </w:r>
      <w:r w:rsidRPr="00F255C4">
        <w:t xml:space="preserve"> </w:t>
      </w:r>
      <w:r w:rsidRPr="00F255C4">
        <w:t xml:space="preserve">constituía </w:t>
      </w:r>
      <w:r w:rsidRPr="00F255C4">
        <w:rPr>
          <w:shd w:val="clear" w:color="auto" w:fill="FFFFFF"/>
        </w:rPr>
        <w:t>“un mecanismo indebido de cobro y una afectación de la intimidad familiar de la peticionaria, pues al requerir a los porteros y al administrador del condominio residencial el acceso a su domicilio con el fin de entregar una cuenta de cobro, se p</w:t>
      </w:r>
      <w:r w:rsidRPr="00F255C4">
        <w:rPr>
          <w:shd w:val="clear" w:color="auto" w:fill="FFFFFF"/>
        </w:rPr>
        <w:t xml:space="preserve">uso en conocimiento de estas personas la existencia de un litigio no resuelto </w:t>
      </w:r>
      <w:r w:rsidRPr="00F255C4">
        <w:rPr>
          <w:shd w:val="clear" w:color="auto" w:fill="FFFFFF"/>
        </w:rPr>
        <w:t xml:space="preserve">(…) </w:t>
      </w:r>
      <w:r w:rsidRPr="00F255C4">
        <w:rPr>
          <w:shd w:val="clear" w:color="auto" w:fill="FFFFFF"/>
        </w:rPr>
        <w:t>situación que no tiene por qué estar expuesta a la mirada de los particulares</w:t>
      </w:r>
      <w:r w:rsidRPr="00F255C4">
        <w:rPr>
          <w:shd w:val="clear" w:color="auto" w:fill="FFFFFF"/>
        </w:rPr>
        <w:t>”</w:t>
      </w:r>
      <w:r w:rsidRPr="00F255C4">
        <w:rPr>
          <w:shd w:val="clear" w:color="auto" w:fill="FFFFFF"/>
        </w:rPr>
        <w:t xml:space="preserve">.  </w:t>
      </w:r>
    </w:p>
    <w:p w:rsidR="00CF702A" w:rsidRPr="00F255C4" w:rsidRDefault="00F255C4" w:rsidP="00CF702A">
      <w:pPr>
        <w:pStyle w:val="Prrafodelista"/>
        <w:tabs>
          <w:tab w:val="left" w:pos="284"/>
          <w:tab w:val="right" w:pos="567"/>
          <w:tab w:val="left" w:pos="8222"/>
        </w:tabs>
        <w:ind w:left="0" w:right="-234"/>
        <w:jc w:val="both"/>
      </w:pPr>
    </w:p>
    <w:p w:rsidR="00D95E6D"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lang w:val="es-ES"/>
        </w:rPr>
        <w:t xml:space="preserve">En la sentencia T-304 de 2023 la Corte estableció que desconocía el derecho al buen nombre </w:t>
      </w:r>
      <w:r w:rsidRPr="00F255C4">
        <w:rPr>
          <w:lang w:val="es-ES"/>
        </w:rPr>
        <w:t xml:space="preserve">y al habeas data el comportamiento de una empresa dedicada al préstamo de dinero </w:t>
      </w:r>
      <w:r w:rsidRPr="00F255C4">
        <w:rPr>
          <w:lang w:val="es-ES"/>
        </w:rPr>
        <w:t>-</w:t>
      </w:r>
      <w:r w:rsidRPr="00F255C4">
        <w:rPr>
          <w:lang w:val="es-ES"/>
        </w:rPr>
        <w:t>mediante una aplicación en línea</w:t>
      </w:r>
      <w:r w:rsidRPr="00F255C4">
        <w:rPr>
          <w:lang w:val="es-ES"/>
        </w:rPr>
        <w:t>-</w:t>
      </w:r>
      <w:r w:rsidRPr="00F255C4">
        <w:rPr>
          <w:lang w:val="es-ES"/>
        </w:rPr>
        <w:t xml:space="preserve"> </w:t>
      </w:r>
      <w:r w:rsidRPr="00F255C4">
        <w:rPr>
          <w:lang w:val="es-ES"/>
        </w:rPr>
        <w:t xml:space="preserve">consistente en remitir mensajes a los contactos de </w:t>
      </w:r>
      <w:r w:rsidRPr="00F255C4">
        <w:rPr>
          <w:lang w:val="es-ES"/>
        </w:rPr>
        <w:t>W</w:t>
      </w:r>
      <w:r w:rsidRPr="00F255C4">
        <w:rPr>
          <w:lang w:val="es-ES"/>
        </w:rPr>
        <w:t>hatsapp de una persona que había</w:t>
      </w:r>
      <w:r w:rsidRPr="00F255C4">
        <w:rPr>
          <w:lang w:val="es-ES"/>
        </w:rPr>
        <w:t xml:space="preserve"> cumplido su</w:t>
      </w:r>
      <w:r w:rsidRPr="00F255C4">
        <w:rPr>
          <w:lang w:val="es-ES"/>
        </w:rPr>
        <w:t xml:space="preserve"> obligación. Consideró la Corte </w:t>
      </w:r>
      <w:r w:rsidRPr="00F255C4">
        <w:rPr>
          <w:lang w:val="es-ES_tradnl"/>
        </w:rPr>
        <w:t>que “[e]stos</w:t>
      </w:r>
      <w:r w:rsidRPr="00F255C4">
        <w:rPr>
          <w:lang w:val="es-ES_tradnl"/>
        </w:rPr>
        <w:t xml:space="preserve"> mensajes tienen la potencialidad objetiva de causar dudas sobre la idoneidad ética del accionante, así como sobre su credibilidad financiera y reputación como vendedor de productos odontológicos”. Adicionalmente la Corte encontró que constituía una violac</w:t>
      </w:r>
      <w:r w:rsidRPr="00F255C4">
        <w:rPr>
          <w:lang w:val="es-ES_tradnl"/>
        </w:rPr>
        <w:t>ión del derecho al habeas data “</w:t>
      </w:r>
      <w:r w:rsidRPr="00F255C4">
        <w:t>servirse del acceso indebido a sus contactos de WhatsApp para difamar la reputación del accionante y divulgar su número telefónico en el cual recibió llamadas amenazantes, pues esto claramente desborda el límite de la funció</w:t>
      </w:r>
      <w:r w:rsidRPr="00F255C4">
        <w:t>n del administrador de datos personales”.</w:t>
      </w:r>
    </w:p>
    <w:p w:rsidR="00286BA4" w:rsidRPr="00F255C4" w:rsidRDefault="00F255C4" w:rsidP="00286BA4">
      <w:pPr>
        <w:pStyle w:val="Prrafodelista"/>
      </w:pPr>
    </w:p>
    <w:p w:rsidR="007E575E"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lang w:val="es-ES"/>
        </w:rPr>
        <w:t xml:space="preserve">Finalmente, </w:t>
      </w:r>
      <w:r w:rsidRPr="00F255C4">
        <w:rPr>
          <w:lang w:val="es-ES"/>
        </w:rPr>
        <w:t>la sentencia T-384 de 2023 estudió el caso de una persona que luego de haber incurrido en mora en el pago de un préstamo obtenido por medio de una aplicación móvil “</w:t>
      </w:r>
      <w:r w:rsidRPr="00F255C4">
        <w:t xml:space="preserve">recibió múltiples mensajes </w:t>
      </w:r>
      <w:r w:rsidRPr="00F255C4">
        <w:t>amenazantes para lograr el cobro de lo debido”. Además “agentes de la empresa se presentaron al lugar de vivienda de sus padres, pintaron el piso de la entrada con mensajes alusivos al estado de la obligación, pegaron carteles que incluían la foto del acto</w:t>
      </w:r>
      <w:r w:rsidRPr="00F255C4">
        <w:t>r en los que se le identifica como deudor moroso en el barrio donde vive y en su lugar de trabajo y difundieron esa información a través de redes sociales</w:t>
      </w:r>
      <w:r w:rsidRPr="00F255C4">
        <w:t>”</w:t>
      </w:r>
      <w:r w:rsidRPr="00F255C4">
        <w:t xml:space="preserve">. </w:t>
      </w:r>
    </w:p>
    <w:p w:rsidR="00286BA4" w:rsidRPr="00F255C4" w:rsidRDefault="00F255C4" w:rsidP="00286BA4">
      <w:pPr>
        <w:pStyle w:val="Prrafodelista"/>
      </w:pPr>
    </w:p>
    <w:p w:rsidR="00135A46"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lang w:val="es-ES"/>
        </w:rPr>
        <w:t xml:space="preserve">La Corte consideró que </w:t>
      </w:r>
      <w:r w:rsidRPr="00F255C4">
        <w:rPr>
          <w:lang w:val="es-ES"/>
        </w:rPr>
        <w:t xml:space="preserve">tal actuación </w:t>
      </w:r>
      <w:r w:rsidRPr="00F255C4">
        <w:rPr>
          <w:lang w:val="es-ES"/>
        </w:rPr>
        <w:t>desconoc</w:t>
      </w:r>
      <w:r w:rsidRPr="00F255C4">
        <w:rPr>
          <w:lang w:val="es-ES"/>
        </w:rPr>
        <w:t>ía</w:t>
      </w:r>
      <w:r w:rsidRPr="00F255C4">
        <w:rPr>
          <w:lang w:val="es-ES"/>
        </w:rPr>
        <w:t xml:space="preserve"> los derechos fundamentales del accionante. </w:t>
      </w:r>
      <w:r w:rsidRPr="00F255C4">
        <w:rPr>
          <w:lang w:val="es-ES"/>
        </w:rPr>
        <w:t>S</w:t>
      </w:r>
      <w:r w:rsidRPr="00F255C4">
        <w:rPr>
          <w:lang w:val="es-ES"/>
        </w:rPr>
        <w:t>eñaló</w:t>
      </w:r>
      <w:r w:rsidRPr="00F255C4">
        <w:rPr>
          <w:lang w:val="es-ES"/>
        </w:rPr>
        <w:t xml:space="preserve"> que las “</w:t>
      </w:r>
      <w:r w:rsidRPr="00F255C4">
        <w:t xml:space="preserve">visitas reiteradas de los agentes </w:t>
      </w:r>
      <w:r w:rsidRPr="00F255C4">
        <w:t xml:space="preserve">(…) </w:t>
      </w:r>
      <w:r w:rsidRPr="00F255C4">
        <w:t>a su domicilio y al de sus padres, así como la divulgación de su información personal en espacios públicos y redes sociales, constituyen claras intromisiones en su espacio privado, que nada tienen que ver con</w:t>
      </w:r>
      <w:r w:rsidRPr="00F255C4">
        <w:t xml:space="preserve"> el proceso legítimo de cobranza de una deuda”. A su vez, </w:t>
      </w:r>
      <w:r w:rsidRPr="00F255C4">
        <w:t xml:space="preserve">advirtió que </w:t>
      </w:r>
      <w:r w:rsidRPr="00F255C4">
        <w:t xml:space="preserve">“la divulgación pública de la situación del señor </w:t>
      </w:r>
      <w:r w:rsidRPr="00F255C4">
        <w:rPr>
          <w:i/>
        </w:rPr>
        <w:t>Hernán</w:t>
      </w:r>
      <w:r w:rsidRPr="00F255C4">
        <w:t xml:space="preserve">, caracterizándolo como un “cliente moroso” y un estafador, no solo representa una clara infracción a su </w:t>
      </w:r>
      <w:r w:rsidRPr="00F255C4">
        <w:rPr>
          <w:i/>
          <w:iCs/>
        </w:rPr>
        <w:t>derecho al buen nombre</w:t>
      </w:r>
      <w:r w:rsidRPr="00F255C4">
        <w:t xml:space="preserve">, </w:t>
      </w:r>
      <w:r w:rsidRPr="00F255C4">
        <w:t xml:space="preserve">sino que además, mediante el uso de medios altamente visibles y de amplia difusión, como grafitis y carteles en su barrio y en espacios públicos relevantes, incluyendo las inmediaciones de su lugar de trabajo, constituye una ofensa directa y significativa </w:t>
      </w:r>
      <w:r w:rsidRPr="00F255C4">
        <w:t xml:space="preserve">a su </w:t>
      </w:r>
      <w:r w:rsidRPr="00F255C4">
        <w:rPr>
          <w:iCs/>
        </w:rPr>
        <w:t xml:space="preserve">dignidad”. </w:t>
      </w:r>
      <w:r w:rsidRPr="00F255C4">
        <w:rPr>
          <w:iCs/>
        </w:rPr>
        <w:t>L</w:t>
      </w:r>
      <w:r w:rsidRPr="00F255C4">
        <w:rPr>
          <w:iCs/>
        </w:rPr>
        <w:t>a Corte</w:t>
      </w:r>
      <w:r w:rsidRPr="00F255C4">
        <w:rPr>
          <w:iCs/>
        </w:rPr>
        <w:t xml:space="preserve"> constató que “</w:t>
      </w:r>
      <w:r w:rsidRPr="00F255C4">
        <w:t xml:space="preserve">tal exposición pública, efectuada sin el consentimiento del señor </w:t>
      </w:r>
      <w:r w:rsidRPr="00F255C4">
        <w:rPr>
          <w:i/>
        </w:rPr>
        <w:t>Hernán</w:t>
      </w:r>
      <w:r w:rsidRPr="00F255C4">
        <w:t xml:space="preserve"> y con una clara intención difamatoria, infringe las normativas de protección de datos personales y de respeto a la vida privada, ya que dicha in</w:t>
      </w:r>
      <w:r w:rsidRPr="00F255C4">
        <w:t>formación, relacionada con sus finanzas personales, pertenece al ámbito de su intimidad y debe ser tratada con reserva</w:t>
      </w:r>
      <w:r w:rsidRPr="00F255C4">
        <w:t>”</w:t>
      </w:r>
      <w:r w:rsidRPr="00F255C4">
        <w:t>.</w:t>
      </w:r>
    </w:p>
    <w:p w:rsidR="00286BA4" w:rsidRPr="00F255C4" w:rsidRDefault="00F255C4" w:rsidP="00286BA4">
      <w:pPr>
        <w:pStyle w:val="Prrafodelista"/>
        <w:tabs>
          <w:tab w:val="left" w:pos="284"/>
          <w:tab w:val="right" w:pos="567"/>
          <w:tab w:val="left" w:pos="8222"/>
        </w:tabs>
        <w:ind w:left="0" w:right="-234"/>
        <w:jc w:val="both"/>
      </w:pPr>
    </w:p>
    <w:p w:rsidR="00CF702A"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lang w:val="es-ES"/>
        </w:rPr>
        <w:t xml:space="preserve">Los pronunciamientos de la </w:t>
      </w:r>
      <w:r w:rsidRPr="00F255C4">
        <w:rPr>
          <w:lang w:val="es-ES"/>
        </w:rPr>
        <w:t xml:space="preserve">Corte </w:t>
      </w:r>
      <w:r w:rsidRPr="00F255C4">
        <w:rPr>
          <w:lang w:val="es-ES"/>
        </w:rPr>
        <w:t xml:space="preserve">antes referidos </w:t>
      </w:r>
      <w:r w:rsidRPr="00F255C4">
        <w:rPr>
          <w:lang w:val="es-ES"/>
        </w:rPr>
        <w:t>muestran</w:t>
      </w:r>
      <w:r w:rsidRPr="00F255C4">
        <w:rPr>
          <w:lang w:val="es-ES"/>
        </w:rPr>
        <w:t xml:space="preserve"> la forma en que</w:t>
      </w:r>
      <w:r w:rsidRPr="00F255C4">
        <w:rPr>
          <w:lang w:val="es-ES"/>
        </w:rPr>
        <w:t xml:space="preserve"> </w:t>
      </w:r>
      <w:r w:rsidRPr="00F255C4">
        <w:rPr>
          <w:lang w:val="es-ES"/>
        </w:rPr>
        <w:t xml:space="preserve">los contenidos de la </w:t>
      </w:r>
      <w:r w:rsidRPr="00F255C4">
        <w:rPr>
          <w:lang w:val="es-ES"/>
        </w:rPr>
        <w:t>L</w:t>
      </w:r>
      <w:r w:rsidRPr="00F255C4">
        <w:rPr>
          <w:lang w:val="es-ES"/>
        </w:rPr>
        <w:t>ey</w:t>
      </w:r>
      <w:r w:rsidRPr="00F255C4">
        <w:rPr>
          <w:lang w:val="es-ES"/>
        </w:rPr>
        <w:t xml:space="preserve"> 2300 de 2023 </w:t>
      </w:r>
      <w:r w:rsidRPr="00F255C4">
        <w:rPr>
          <w:lang w:val="es-ES"/>
        </w:rPr>
        <w:t xml:space="preserve">se </w:t>
      </w:r>
      <w:r w:rsidRPr="00F255C4">
        <w:rPr>
          <w:lang w:val="es-ES"/>
        </w:rPr>
        <w:t>enlaza</w:t>
      </w:r>
      <w:r w:rsidRPr="00F255C4">
        <w:rPr>
          <w:lang w:val="es-ES"/>
        </w:rPr>
        <w:t>n</w:t>
      </w:r>
      <w:r w:rsidRPr="00F255C4">
        <w:rPr>
          <w:lang w:val="es-ES"/>
        </w:rPr>
        <w:t xml:space="preserve"> </w:t>
      </w:r>
      <w:r w:rsidRPr="00F255C4">
        <w:rPr>
          <w:lang w:val="es-ES"/>
        </w:rPr>
        <w:t xml:space="preserve">a </w:t>
      </w:r>
      <w:r w:rsidRPr="00F255C4">
        <w:rPr>
          <w:lang w:val="es-ES"/>
        </w:rPr>
        <w:t>posici</w:t>
      </w:r>
      <w:r w:rsidRPr="00F255C4">
        <w:rPr>
          <w:lang w:val="es-ES"/>
        </w:rPr>
        <w:t>o</w:t>
      </w:r>
      <w:r w:rsidRPr="00F255C4">
        <w:rPr>
          <w:lang w:val="es-ES"/>
        </w:rPr>
        <w:t>n</w:t>
      </w:r>
      <w:r w:rsidRPr="00F255C4">
        <w:rPr>
          <w:lang w:val="es-ES"/>
        </w:rPr>
        <w:t>es</w:t>
      </w:r>
      <w:r w:rsidRPr="00F255C4">
        <w:rPr>
          <w:lang w:val="es-ES"/>
        </w:rPr>
        <w:t xml:space="preserve"> jurídicas protegidas por los derechos fundamentales. En esa dirección </w:t>
      </w:r>
      <w:r w:rsidRPr="00F255C4">
        <w:rPr>
          <w:lang w:val="es-ES"/>
        </w:rPr>
        <w:t xml:space="preserve">(i) </w:t>
      </w:r>
      <w:r w:rsidRPr="00F255C4">
        <w:rPr>
          <w:lang w:val="es-ES"/>
        </w:rPr>
        <w:t>las disposiciones que establecen l</w:t>
      </w:r>
      <w:r w:rsidRPr="00F255C4">
        <w:rPr>
          <w:lang w:val="es-ES"/>
        </w:rPr>
        <w:t>í</w:t>
      </w:r>
      <w:r w:rsidRPr="00F255C4">
        <w:rPr>
          <w:lang w:val="es-ES"/>
        </w:rPr>
        <w:t>mites a la realización de llamadas, remisión de mensajes o visitas para realizar actividades de cobro se vinculan con manifestaciones del derech</w:t>
      </w:r>
      <w:r w:rsidRPr="00F255C4">
        <w:rPr>
          <w:lang w:val="es-ES"/>
        </w:rPr>
        <w:t>o a la intimidad</w:t>
      </w:r>
      <w:r w:rsidRPr="00F255C4">
        <w:rPr>
          <w:lang w:val="es-ES"/>
        </w:rPr>
        <w:t xml:space="preserve"> (arts. </w:t>
      </w:r>
      <w:r w:rsidRPr="00F255C4">
        <w:rPr>
          <w:lang w:val="es-ES"/>
        </w:rPr>
        <w:t xml:space="preserve">1, </w:t>
      </w:r>
      <w:r w:rsidRPr="00F255C4">
        <w:rPr>
          <w:lang w:val="es-ES"/>
        </w:rPr>
        <w:t>2, 3, 5, 6, 7 y 8)</w:t>
      </w:r>
      <w:r w:rsidRPr="00F255C4">
        <w:rPr>
          <w:lang w:val="es-ES"/>
        </w:rPr>
        <w:t>. Igualmente</w:t>
      </w:r>
      <w:r w:rsidRPr="00F255C4">
        <w:rPr>
          <w:lang w:val="es-ES"/>
        </w:rPr>
        <w:t>,</w:t>
      </w:r>
      <w:r w:rsidRPr="00F255C4">
        <w:rPr>
          <w:lang w:val="es-ES"/>
        </w:rPr>
        <w:t xml:space="preserve"> </w:t>
      </w:r>
      <w:r w:rsidRPr="00F255C4">
        <w:rPr>
          <w:lang w:val="es-ES"/>
        </w:rPr>
        <w:t xml:space="preserve">(ii) </w:t>
      </w:r>
      <w:r w:rsidRPr="00F255C4">
        <w:rPr>
          <w:lang w:val="es-ES"/>
        </w:rPr>
        <w:t>aquellas disposiciones que se refieren, por ejemplo, a la prohibición de ponerse en contacto con las personas que el deudor tiene como referencias personales</w:t>
      </w:r>
      <w:r w:rsidRPr="00F255C4">
        <w:rPr>
          <w:lang w:val="es-ES"/>
        </w:rPr>
        <w:t xml:space="preserve"> </w:t>
      </w:r>
      <w:r w:rsidRPr="00F255C4">
        <w:rPr>
          <w:lang w:val="es-ES"/>
        </w:rPr>
        <w:t>o que prevén la posibilidad de</w:t>
      </w:r>
      <w:r w:rsidRPr="00F255C4">
        <w:t xml:space="preserve"> “al</w:t>
      </w:r>
      <w:r w:rsidRPr="00F255C4">
        <w:t>imentar bases de datos”</w:t>
      </w:r>
      <w:r w:rsidRPr="00F255C4">
        <w:t>,</w:t>
      </w:r>
      <w:r w:rsidRPr="00F255C4">
        <w:rPr>
          <w:lang w:val="es-ES"/>
        </w:rPr>
        <w:t xml:space="preserve"> tienen una relación </w:t>
      </w:r>
      <w:r w:rsidRPr="00F255C4">
        <w:rPr>
          <w:lang w:val="es-ES"/>
        </w:rPr>
        <w:t>con el derecho al buen nombre y al habeas data (art</w:t>
      </w:r>
      <w:r w:rsidRPr="00F255C4">
        <w:rPr>
          <w:lang w:val="es-ES"/>
        </w:rPr>
        <w:t>s</w:t>
      </w:r>
      <w:r w:rsidRPr="00F255C4">
        <w:rPr>
          <w:lang w:val="es-ES"/>
        </w:rPr>
        <w:t>. 4</w:t>
      </w:r>
      <w:r w:rsidRPr="00F255C4">
        <w:rPr>
          <w:lang w:val="es-ES"/>
        </w:rPr>
        <w:t xml:space="preserve"> y 5</w:t>
      </w:r>
      <w:r w:rsidRPr="00F255C4">
        <w:rPr>
          <w:lang w:val="es-ES"/>
        </w:rPr>
        <w:t xml:space="preserve">). </w:t>
      </w:r>
    </w:p>
    <w:p w:rsidR="00387055" w:rsidRPr="00F255C4" w:rsidRDefault="00F255C4" w:rsidP="00387055">
      <w:pPr>
        <w:pStyle w:val="Prrafodelista"/>
        <w:tabs>
          <w:tab w:val="left" w:pos="284"/>
          <w:tab w:val="right" w:pos="567"/>
          <w:tab w:val="left" w:pos="8222"/>
        </w:tabs>
        <w:ind w:left="0" w:right="-234"/>
        <w:jc w:val="both"/>
      </w:pPr>
    </w:p>
    <w:p w:rsidR="00B00D85"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lang w:val="es-ES"/>
        </w:rPr>
        <w:t xml:space="preserve">El análisis </w:t>
      </w:r>
      <w:r w:rsidRPr="00F255C4">
        <w:rPr>
          <w:lang w:val="es-ES"/>
        </w:rPr>
        <w:t xml:space="preserve">realizado en esta sección </w:t>
      </w:r>
      <w:r w:rsidRPr="00F255C4">
        <w:rPr>
          <w:lang w:val="es-ES"/>
        </w:rPr>
        <w:t>muestra la</w:t>
      </w:r>
      <w:r w:rsidRPr="00F255C4">
        <w:rPr>
          <w:lang w:val="es-ES"/>
        </w:rPr>
        <w:t xml:space="preserve"> triple vinculación temática que la </w:t>
      </w:r>
      <w:r w:rsidRPr="00F255C4">
        <w:rPr>
          <w:lang w:val="es-ES"/>
        </w:rPr>
        <w:t>l</w:t>
      </w:r>
      <w:r w:rsidRPr="00F255C4">
        <w:rPr>
          <w:lang w:val="es-ES"/>
        </w:rPr>
        <w:t xml:space="preserve">ey acusada tiene con </w:t>
      </w:r>
      <w:r w:rsidRPr="00F255C4">
        <w:rPr>
          <w:lang w:val="es-ES"/>
        </w:rPr>
        <w:t xml:space="preserve">la Constitución. </w:t>
      </w:r>
      <w:r w:rsidRPr="00F255C4">
        <w:rPr>
          <w:lang w:val="es-ES"/>
        </w:rPr>
        <w:t xml:space="preserve">Esta constatación tiene </w:t>
      </w:r>
      <w:r w:rsidRPr="00F255C4">
        <w:rPr>
          <w:lang w:val="es-ES"/>
        </w:rPr>
        <w:t xml:space="preserve">importancia </w:t>
      </w:r>
      <w:r w:rsidRPr="00F255C4">
        <w:rPr>
          <w:lang w:val="es-ES"/>
        </w:rPr>
        <w:t xml:space="preserve">dado que </w:t>
      </w:r>
      <w:r w:rsidRPr="00F255C4">
        <w:rPr>
          <w:lang w:val="es-ES"/>
        </w:rPr>
        <w:t>refleja</w:t>
      </w:r>
      <w:r w:rsidRPr="00F255C4">
        <w:rPr>
          <w:lang w:val="es-ES"/>
        </w:rPr>
        <w:t xml:space="preserve"> una</w:t>
      </w:r>
      <w:r w:rsidRPr="00F255C4">
        <w:rPr>
          <w:lang w:val="es-ES"/>
        </w:rPr>
        <w:t xml:space="preserve"> estrecha</w:t>
      </w:r>
      <w:r w:rsidRPr="00F255C4">
        <w:rPr>
          <w:lang w:val="es-ES"/>
        </w:rPr>
        <w:t xml:space="preserve"> imbricación de derechos y libertades</w:t>
      </w:r>
      <w:r w:rsidRPr="00F255C4">
        <w:rPr>
          <w:lang w:val="es-ES"/>
        </w:rPr>
        <w:t xml:space="preserve"> constitucionales</w:t>
      </w:r>
      <w:r w:rsidRPr="00F255C4">
        <w:rPr>
          <w:lang w:val="es-ES"/>
        </w:rPr>
        <w:t xml:space="preserve"> </w:t>
      </w:r>
      <w:r w:rsidRPr="00F255C4">
        <w:rPr>
          <w:lang w:val="es-ES"/>
        </w:rPr>
        <w:t>alrededor de la protección del consumidor</w:t>
      </w:r>
      <w:r w:rsidRPr="00F255C4">
        <w:rPr>
          <w:lang w:val="es-ES"/>
        </w:rPr>
        <w:t xml:space="preserve">. Igualmente muestra una compleja </w:t>
      </w:r>
      <w:r w:rsidRPr="00F255C4">
        <w:rPr>
          <w:lang w:val="es-ES"/>
        </w:rPr>
        <w:t>interacción</w:t>
      </w:r>
      <w:r w:rsidRPr="00F255C4">
        <w:rPr>
          <w:lang w:val="es-ES"/>
        </w:rPr>
        <w:t xml:space="preserve"> de competencias de regulación a cargo</w:t>
      </w:r>
      <w:r w:rsidRPr="00F255C4">
        <w:rPr>
          <w:lang w:val="es-ES"/>
        </w:rPr>
        <w:t xml:space="preserve"> del Estado. Así entonces, l</w:t>
      </w:r>
      <w:r w:rsidRPr="00F255C4">
        <w:rPr>
          <w:lang w:val="es-ES"/>
        </w:rPr>
        <w:t>a</w:t>
      </w:r>
      <w:r w:rsidRPr="00F255C4">
        <w:rPr>
          <w:lang w:val="es-ES"/>
        </w:rPr>
        <w:t xml:space="preserve"> </w:t>
      </w:r>
      <w:r w:rsidRPr="00F255C4">
        <w:rPr>
          <w:lang w:val="es-ES"/>
        </w:rPr>
        <w:t>concur</w:t>
      </w:r>
      <w:r w:rsidRPr="00F255C4">
        <w:rPr>
          <w:lang w:val="es-ES"/>
        </w:rPr>
        <w:t xml:space="preserve">rencia de los diferentes ámbitos de regulación (protección al consumidor, Constitución </w:t>
      </w:r>
      <w:r w:rsidRPr="00F255C4">
        <w:rPr>
          <w:lang w:val="es-ES"/>
        </w:rPr>
        <w:t>e</w:t>
      </w:r>
      <w:r w:rsidRPr="00F255C4">
        <w:rPr>
          <w:lang w:val="es-ES"/>
        </w:rPr>
        <w:t>conómica y derechos</w:t>
      </w:r>
      <w:r w:rsidRPr="00F255C4">
        <w:rPr>
          <w:lang w:val="es-ES"/>
        </w:rPr>
        <w:t xml:space="preserve"> fundamentales</w:t>
      </w:r>
      <w:r w:rsidRPr="00F255C4">
        <w:rPr>
          <w:lang w:val="es-ES"/>
        </w:rPr>
        <w:t>) exige a la Corte establecer si</w:t>
      </w:r>
      <w:r w:rsidRPr="00F255C4">
        <w:rPr>
          <w:lang w:val="es-ES"/>
        </w:rPr>
        <w:t xml:space="preserve"> la </w:t>
      </w:r>
      <w:r w:rsidRPr="00F255C4">
        <w:rPr>
          <w:lang w:val="es-ES"/>
        </w:rPr>
        <w:t xml:space="preserve">Ley 2300 está comprendida </w:t>
      </w:r>
      <w:r w:rsidRPr="00F255C4">
        <w:rPr>
          <w:lang w:val="es-ES"/>
        </w:rPr>
        <w:t xml:space="preserve">por la reserva </w:t>
      </w:r>
      <w:r w:rsidRPr="00F255C4">
        <w:rPr>
          <w:lang w:val="es-ES"/>
        </w:rPr>
        <w:t>prevista en el artículo 152.a de la Constitución</w:t>
      </w:r>
      <w:r w:rsidRPr="00F255C4">
        <w:rPr>
          <w:lang w:val="es-ES"/>
        </w:rPr>
        <w:t xml:space="preserve"> o si, por el contrario, </w:t>
      </w:r>
      <w:r w:rsidRPr="00F255C4">
        <w:rPr>
          <w:lang w:val="es-ES"/>
        </w:rPr>
        <w:t xml:space="preserve">la materia allí prevista es propia de la legislación ordinaria. </w:t>
      </w:r>
      <w:r w:rsidRPr="00F255C4">
        <w:rPr>
          <w:lang w:val="es-ES"/>
        </w:rPr>
        <w:t xml:space="preserve"> </w:t>
      </w:r>
      <w:r w:rsidRPr="00F255C4">
        <w:rPr>
          <w:lang w:val="es-ES"/>
        </w:rPr>
        <w:t xml:space="preserve">  </w:t>
      </w:r>
      <w:r w:rsidRPr="00F255C4">
        <w:rPr>
          <w:lang w:val="es-ES"/>
        </w:rPr>
        <w:t xml:space="preserve"> </w:t>
      </w:r>
    </w:p>
    <w:p w:rsidR="001E0FE5" w:rsidRPr="00F255C4" w:rsidRDefault="00F255C4" w:rsidP="00F415FF">
      <w:pPr>
        <w:pStyle w:val="NormalWeb"/>
        <w:tabs>
          <w:tab w:val="left" w:pos="284"/>
        </w:tabs>
        <w:spacing w:before="0" w:beforeAutospacing="0" w:after="0" w:afterAutospacing="0"/>
        <w:ind w:right="-234"/>
        <w:jc w:val="both"/>
        <w:rPr>
          <w:sz w:val="28"/>
          <w:szCs w:val="28"/>
          <w:lang w:val="es-ES"/>
        </w:rPr>
      </w:pPr>
    </w:p>
    <w:p w:rsidR="0052057D" w:rsidRPr="00F255C4" w:rsidRDefault="00F255C4" w:rsidP="00696CCC">
      <w:pPr>
        <w:pStyle w:val="NormalWeb"/>
        <w:tabs>
          <w:tab w:val="left" w:pos="993"/>
        </w:tabs>
        <w:spacing w:before="0" w:beforeAutospacing="0" w:after="0" w:afterAutospacing="0"/>
        <w:ind w:left="708" w:right="-234"/>
        <w:jc w:val="both"/>
        <w:rPr>
          <w:b/>
          <w:sz w:val="28"/>
          <w:szCs w:val="28"/>
        </w:rPr>
      </w:pPr>
      <w:r w:rsidRPr="00F255C4">
        <w:rPr>
          <w:b/>
          <w:sz w:val="28"/>
          <w:szCs w:val="28"/>
        </w:rPr>
        <w:t>La Ley 2300 de 2023 no</w:t>
      </w:r>
      <w:r w:rsidRPr="00F255C4">
        <w:rPr>
          <w:b/>
          <w:sz w:val="28"/>
          <w:szCs w:val="28"/>
        </w:rPr>
        <w:t xml:space="preserve"> está cubierta</w:t>
      </w:r>
      <w:r w:rsidRPr="00F255C4">
        <w:rPr>
          <w:b/>
          <w:sz w:val="28"/>
          <w:szCs w:val="28"/>
        </w:rPr>
        <w:t xml:space="preserve"> por la reserva de ley estatutaria en materia de derechos fundamentales de las personas </w:t>
      </w:r>
    </w:p>
    <w:p w:rsidR="00B657C7" w:rsidRPr="00F255C4" w:rsidRDefault="00F255C4" w:rsidP="0052057D">
      <w:pPr>
        <w:pStyle w:val="NormalWeb"/>
        <w:tabs>
          <w:tab w:val="left" w:pos="284"/>
        </w:tabs>
        <w:spacing w:before="0" w:beforeAutospacing="0" w:after="0" w:afterAutospacing="0"/>
        <w:ind w:right="-234"/>
        <w:jc w:val="both"/>
        <w:rPr>
          <w:sz w:val="28"/>
          <w:szCs w:val="28"/>
        </w:rPr>
      </w:pPr>
    </w:p>
    <w:p w:rsidR="00194EE0" w:rsidRPr="00F255C4" w:rsidRDefault="00F255C4" w:rsidP="0059524E">
      <w:pPr>
        <w:pStyle w:val="Prrafodelista"/>
        <w:numPr>
          <w:ilvl w:val="0"/>
          <w:numId w:val="4"/>
        </w:numPr>
        <w:tabs>
          <w:tab w:val="left" w:pos="284"/>
          <w:tab w:val="right" w:pos="567"/>
          <w:tab w:val="left" w:pos="8222"/>
        </w:tabs>
        <w:ind w:left="0" w:right="-234" w:firstLine="0"/>
        <w:jc w:val="both"/>
      </w:pPr>
      <w:r w:rsidRPr="00F255C4">
        <w:t xml:space="preserve">Con el propósito de resolver el </w:t>
      </w:r>
      <w:r w:rsidRPr="00F255C4">
        <w:t>problema planteado en esta oportunidad</w:t>
      </w:r>
      <w:r w:rsidRPr="00F255C4">
        <w:t>,</w:t>
      </w:r>
      <w:r w:rsidRPr="00F255C4">
        <w:t xml:space="preserve"> </w:t>
      </w:r>
      <w:r w:rsidRPr="00F255C4">
        <w:t>la Corte</w:t>
      </w:r>
      <w:r w:rsidRPr="00F255C4">
        <w:t xml:space="preserve"> identificará</w:t>
      </w:r>
      <w:r w:rsidRPr="00F255C4">
        <w:t xml:space="preserve"> los criterios relevantes </w:t>
      </w:r>
      <w:r w:rsidRPr="00F255C4">
        <w:t xml:space="preserve">para definir si </w:t>
      </w:r>
      <w:r w:rsidRPr="00F255C4">
        <w:t>una</w:t>
      </w:r>
      <w:r w:rsidRPr="00F255C4">
        <w:t xml:space="preserve"> </w:t>
      </w:r>
      <w:r w:rsidRPr="00F255C4">
        <w:t>ley h</w:t>
      </w:r>
      <w:r w:rsidRPr="00F255C4">
        <w:t xml:space="preserve">a desconocido la reserva de ley estatutaria </w:t>
      </w:r>
      <w:r w:rsidRPr="00F255C4">
        <w:t xml:space="preserve">prevista en el </w:t>
      </w:r>
      <w:r w:rsidRPr="00F255C4">
        <w:t>art. 15</w:t>
      </w:r>
      <w:r w:rsidRPr="00F255C4">
        <w:t>2</w:t>
      </w:r>
      <w:r w:rsidRPr="00F255C4">
        <w:t>.a</w:t>
      </w:r>
      <w:r w:rsidRPr="00F255C4">
        <w:t xml:space="preserve">. Luego procederá a su aplicación a fin de evaluar </w:t>
      </w:r>
      <w:r w:rsidRPr="00F255C4">
        <w:t>la constitucionalidad de</w:t>
      </w:r>
      <w:r w:rsidRPr="00F255C4">
        <w:t xml:space="preserve"> la Ley 2300 de 2023.  </w:t>
      </w:r>
    </w:p>
    <w:p w:rsidR="005C4288" w:rsidRPr="00F255C4" w:rsidRDefault="00F255C4" w:rsidP="005C4288">
      <w:pPr>
        <w:pStyle w:val="Prrafodelista"/>
        <w:tabs>
          <w:tab w:val="left" w:pos="284"/>
          <w:tab w:val="right" w:pos="567"/>
          <w:tab w:val="left" w:pos="8222"/>
        </w:tabs>
        <w:ind w:left="0" w:right="-234"/>
        <w:jc w:val="both"/>
      </w:pPr>
    </w:p>
    <w:p w:rsidR="00194EE0" w:rsidRPr="00F255C4" w:rsidRDefault="00F255C4" w:rsidP="00194EE0">
      <w:pPr>
        <w:pStyle w:val="NormalWeb"/>
        <w:numPr>
          <w:ilvl w:val="0"/>
          <w:numId w:val="3"/>
        </w:numPr>
        <w:tabs>
          <w:tab w:val="left" w:pos="284"/>
        </w:tabs>
        <w:spacing w:before="0" w:beforeAutospacing="0" w:after="0" w:afterAutospacing="0"/>
        <w:ind w:right="-234"/>
        <w:jc w:val="both"/>
        <w:rPr>
          <w:sz w:val="28"/>
          <w:szCs w:val="28"/>
        </w:rPr>
      </w:pPr>
      <w:r w:rsidRPr="00F255C4">
        <w:rPr>
          <w:b/>
          <w:sz w:val="28"/>
          <w:szCs w:val="28"/>
        </w:rPr>
        <w:t>L</w:t>
      </w:r>
      <w:r w:rsidRPr="00F255C4">
        <w:rPr>
          <w:b/>
          <w:sz w:val="28"/>
          <w:szCs w:val="28"/>
        </w:rPr>
        <w:t xml:space="preserve">a reserva de ley estatutaria en materia de derechos fundamentales  </w:t>
      </w:r>
    </w:p>
    <w:p w:rsidR="00194EE0" w:rsidRPr="00F255C4" w:rsidRDefault="00F255C4" w:rsidP="0052057D">
      <w:pPr>
        <w:pStyle w:val="NormalWeb"/>
        <w:tabs>
          <w:tab w:val="left" w:pos="284"/>
        </w:tabs>
        <w:spacing w:before="0" w:beforeAutospacing="0" w:after="0" w:afterAutospacing="0"/>
        <w:ind w:right="-234"/>
        <w:jc w:val="both"/>
        <w:rPr>
          <w:sz w:val="28"/>
          <w:szCs w:val="28"/>
        </w:rPr>
      </w:pPr>
    </w:p>
    <w:p w:rsidR="001D4DB3" w:rsidRPr="00F255C4" w:rsidRDefault="00F255C4" w:rsidP="0059524E">
      <w:pPr>
        <w:pStyle w:val="Prrafodelista"/>
        <w:numPr>
          <w:ilvl w:val="0"/>
          <w:numId w:val="4"/>
        </w:numPr>
        <w:tabs>
          <w:tab w:val="left" w:pos="284"/>
          <w:tab w:val="right" w:pos="567"/>
          <w:tab w:val="left" w:pos="8222"/>
        </w:tabs>
        <w:ind w:left="0" w:right="-234" w:firstLine="0"/>
        <w:jc w:val="both"/>
      </w:pPr>
      <w:r w:rsidRPr="00F255C4">
        <w:t>El alcance de la reserva de ley estatutaria</w:t>
      </w:r>
      <w:r w:rsidRPr="00F255C4">
        <w:t xml:space="preserve"> en materia de </w:t>
      </w:r>
      <w:r w:rsidRPr="00F255C4">
        <w:t xml:space="preserve">derechos fundamentales </w:t>
      </w:r>
      <w:r w:rsidRPr="00F255C4">
        <w:t>ha sido objeto de</w:t>
      </w:r>
      <w:r w:rsidRPr="00F255C4">
        <w:t xml:space="preserve"> numerosos</w:t>
      </w:r>
      <w:r w:rsidRPr="00F255C4">
        <w:t xml:space="preserve"> pronunciamientos por parte de</w:t>
      </w:r>
      <w:r w:rsidRPr="00F255C4">
        <w:t xml:space="preserve"> este tribunal</w:t>
      </w:r>
      <w:r w:rsidRPr="00F255C4">
        <w:t xml:space="preserve">. El precedente </w:t>
      </w:r>
      <w:r w:rsidRPr="00F255C4">
        <w:t xml:space="preserve">que </w:t>
      </w:r>
      <w:r w:rsidRPr="00F255C4">
        <w:t>de ellos</w:t>
      </w:r>
      <w:r w:rsidRPr="00F255C4">
        <w:t xml:space="preserve"> </w:t>
      </w:r>
      <w:r w:rsidRPr="00F255C4">
        <w:t xml:space="preserve">se </w:t>
      </w:r>
      <w:r w:rsidRPr="00F255C4">
        <w:t xml:space="preserve">desprende </w:t>
      </w:r>
      <w:r w:rsidRPr="00F255C4">
        <w:t>está</w:t>
      </w:r>
      <w:r w:rsidRPr="00F255C4">
        <w:t xml:space="preserve"> conform</w:t>
      </w:r>
      <w:r w:rsidRPr="00F255C4">
        <w:t>ado</w:t>
      </w:r>
      <w:r w:rsidRPr="00F255C4">
        <w:t>,</w:t>
      </w:r>
      <w:r w:rsidRPr="00F255C4">
        <w:t xml:space="preserve"> de una parte, por </w:t>
      </w:r>
      <w:r w:rsidRPr="00F255C4">
        <w:t xml:space="preserve">un conjunto de </w:t>
      </w:r>
      <w:r w:rsidRPr="00F255C4">
        <w:t xml:space="preserve">pautas </w:t>
      </w:r>
      <w:r w:rsidRPr="00F255C4">
        <w:t>generales</w:t>
      </w:r>
      <w:r w:rsidRPr="00F255C4">
        <w:t xml:space="preserve"> que operan como premisas para emprender el examen de </w:t>
      </w:r>
      <w:r w:rsidRPr="00F255C4">
        <w:t>reserva estatutaria y,</w:t>
      </w:r>
      <w:r w:rsidRPr="00F255C4">
        <w:t xml:space="preserve"> de</w:t>
      </w:r>
      <w:r w:rsidRPr="00F255C4">
        <w:t xml:space="preserve"> otra, </w:t>
      </w:r>
      <w:r w:rsidRPr="00F255C4">
        <w:t xml:space="preserve">por </w:t>
      </w:r>
      <w:r w:rsidRPr="00F255C4">
        <w:t>la enunciación de</w:t>
      </w:r>
      <w:r w:rsidRPr="00F255C4">
        <w:t xml:space="preserve"> los criterios específicos para</w:t>
      </w:r>
      <w:r w:rsidRPr="00F255C4">
        <w:t xml:space="preserve"> establece</w:t>
      </w:r>
      <w:r w:rsidRPr="00F255C4">
        <w:t>r</w:t>
      </w:r>
      <w:r w:rsidRPr="00F255C4">
        <w:t xml:space="preserve"> </w:t>
      </w:r>
      <w:r w:rsidRPr="00F255C4">
        <w:t xml:space="preserve">si </w:t>
      </w:r>
      <w:r w:rsidRPr="00F255C4">
        <w:t xml:space="preserve">una determinada </w:t>
      </w:r>
      <w:r w:rsidRPr="00F255C4">
        <w:t>materia</w:t>
      </w:r>
      <w:r w:rsidRPr="00F255C4">
        <w:t xml:space="preserve"> corresponde, en efecto, a la </w:t>
      </w:r>
      <w:r w:rsidRPr="00F255C4">
        <w:rPr>
          <w:i/>
        </w:rPr>
        <w:t>regulación de los derechos fundamentales</w:t>
      </w:r>
      <w:r w:rsidRPr="00F255C4">
        <w:t xml:space="preserve"> en el sentido del artículo 152.a de la Constitución</w:t>
      </w:r>
      <w:r w:rsidRPr="00F255C4">
        <w:rPr>
          <w:rStyle w:val="Refdenotaalpie"/>
        </w:rPr>
        <w:footnoteReference w:id="36"/>
      </w:r>
      <w:r w:rsidRPr="00F255C4">
        <w:t>.</w:t>
      </w:r>
      <w:r w:rsidRPr="00F255C4">
        <w:t xml:space="preserve"> </w:t>
      </w:r>
      <w:r w:rsidRPr="00F255C4">
        <w:t xml:space="preserve">La Corte sintetiza, a continuación, las líneas centrales </w:t>
      </w:r>
      <w:r w:rsidRPr="00F255C4">
        <w:t>d</w:t>
      </w:r>
      <w:r w:rsidRPr="00F255C4">
        <w:t xml:space="preserve">el precedente en esta materia. </w:t>
      </w:r>
    </w:p>
    <w:p w:rsidR="00C53B52" w:rsidRPr="00F255C4" w:rsidRDefault="00F255C4" w:rsidP="001D4DB3">
      <w:pPr>
        <w:pStyle w:val="Prrafodelista"/>
        <w:tabs>
          <w:tab w:val="left" w:pos="284"/>
          <w:tab w:val="right" w:pos="567"/>
          <w:tab w:val="left" w:pos="8222"/>
        </w:tabs>
        <w:ind w:left="0" w:right="-234"/>
        <w:jc w:val="both"/>
      </w:pPr>
    </w:p>
    <w:p w:rsidR="00C53B52" w:rsidRPr="00F255C4" w:rsidRDefault="00F255C4" w:rsidP="0059524E">
      <w:pPr>
        <w:pStyle w:val="Prrafodelista"/>
        <w:numPr>
          <w:ilvl w:val="0"/>
          <w:numId w:val="4"/>
        </w:numPr>
        <w:tabs>
          <w:tab w:val="left" w:pos="284"/>
          <w:tab w:val="right" w:pos="567"/>
          <w:tab w:val="left" w:pos="8222"/>
        </w:tabs>
        <w:ind w:left="0" w:right="-234" w:firstLine="0"/>
        <w:jc w:val="both"/>
      </w:pPr>
      <w:r w:rsidRPr="00F255C4">
        <w:t>L</w:t>
      </w:r>
      <w:r w:rsidRPr="00F255C4">
        <w:t>a reserva d</w:t>
      </w:r>
      <w:r w:rsidRPr="00F255C4">
        <w:t>e ley estatutaria debe ser interpretada de manera restrictiva</w:t>
      </w:r>
      <w:r w:rsidRPr="00F255C4">
        <w:rPr>
          <w:rStyle w:val="Refdenotaalpie"/>
        </w:rPr>
        <w:footnoteReference w:id="37"/>
      </w:r>
      <w:r w:rsidRPr="00F255C4">
        <w:t xml:space="preserve">. Ello implica reconocer (i) que </w:t>
      </w:r>
      <w:r w:rsidRPr="00F255C4">
        <w:t>estas</w:t>
      </w:r>
      <w:r w:rsidRPr="00F255C4">
        <w:t xml:space="preserve"> leyes, sometidas a un trámite especial y más exigente, </w:t>
      </w:r>
      <w:r w:rsidRPr="00F255C4">
        <w:rPr>
          <w:shd w:val="clear" w:color="auto" w:fill="FFFFFF"/>
          <w:lang w:val="es-ES_tradnl"/>
        </w:rPr>
        <w:t>“</w:t>
      </w:r>
      <w:r w:rsidRPr="00F255C4">
        <w:rPr>
          <w:shd w:val="clear" w:color="auto" w:fill="FFFFFF"/>
          <w:lang w:val="es-MX"/>
        </w:rPr>
        <w:t>no fueron creadas para regular “</w:t>
      </w:r>
      <w:r w:rsidRPr="00F255C4">
        <w:rPr>
          <w:iCs/>
          <w:shd w:val="clear" w:color="auto" w:fill="FFFFFF"/>
          <w:lang w:val="es-MX"/>
        </w:rPr>
        <w:t xml:space="preserve">en forma exhaustiva y casuística todo evento ligado a los derechos </w:t>
      </w:r>
      <w:r w:rsidRPr="00F255C4">
        <w:rPr>
          <w:iCs/>
          <w:shd w:val="clear" w:color="auto" w:fill="FFFFFF"/>
          <w:lang w:val="es-MX"/>
        </w:rPr>
        <w:t>fundamentales</w:t>
      </w:r>
      <w:r w:rsidRPr="00F255C4">
        <w:rPr>
          <w:shd w:val="clear" w:color="auto" w:fill="FFFFFF"/>
          <w:lang w:val="es-MX"/>
        </w:rPr>
        <w:t>”</w:t>
      </w:r>
      <w:r w:rsidRPr="00F255C4">
        <w:rPr>
          <w:rStyle w:val="Refdenotaalpie"/>
          <w:shd w:val="clear" w:color="auto" w:fill="FFFFFF"/>
          <w:lang w:val="es-MX"/>
        </w:rPr>
        <w:footnoteReference w:id="38"/>
      </w:r>
      <w:r w:rsidRPr="00F255C4">
        <w:rPr>
          <w:shd w:val="clear" w:color="auto" w:fill="FFFFFF"/>
          <w:lang w:val="es-MX"/>
        </w:rPr>
        <w:t>.</w:t>
      </w:r>
      <w:r w:rsidRPr="00F255C4">
        <w:rPr>
          <w:shd w:val="clear" w:color="auto" w:fill="FFFFFF"/>
          <w:lang w:val="es-MX"/>
        </w:rPr>
        <w:t xml:space="preserve"> </w:t>
      </w:r>
      <w:r w:rsidRPr="00F255C4">
        <w:rPr>
          <w:shd w:val="clear" w:color="auto" w:fill="FFFFFF"/>
          <w:lang w:val="es-MX"/>
        </w:rPr>
        <w:t>El examen a su infracción (ii) “</w:t>
      </w:r>
      <w:r w:rsidRPr="00F255C4">
        <w:rPr>
          <w:shd w:val="clear" w:color="auto" w:fill="FFFFFF"/>
          <w:lang w:val="es-MX"/>
        </w:rPr>
        <w:t>debe tomar en consideración el contenido material de la ley (más allá de su identificación o calificación formal)</w:t>
      </w:r>
      <w:r w:rsidRPr="00F255C4">
        <w:rPr>
          <w:shd w:val="clear" w:color="auto" w:fill="FFFFFF"/>
          <w:lang w:val="es-MX"/>
        </w:rPr>
        <w:t>”</w:t>
      </w:r>
      <w:r w:rsidRPr="00F255C4">
        <w:rPr>
          <w:rStyle w:val="Refdenotaalpie"/>
          <w:shd w:val="clear" w:color="auto" w:fill="FFFFFF"/>
          <w:lang w:val="es-MX"/>
        </w:rPr>
        <w:footnoteReference w:id="39"/>
      </w:r>
      <w:r w:rsidRPr="00F255C4">
        <w:rPr>
          <w:shd w:val="clear" w:color="auto" w:fill="FFFFFF"/>
          <w:lang w:val="es-MX"/>
        </w:rPr>
        <w:t xml:space="preserve">. A su vez, (iii) el carácter restrictivo de la reserva implica que la interpretación sobre </w:t>
      </w:r>
      <w:r w:rsidRPr="00F255C4">
        <w:rPr>
          <w:shd w:val="clear" w:color="auto" w:fill="FFFFFF"/>
          <w:lang w:val="es-MX"/>
        </w:rPr>
        <w:t xml:space="preserve">su alcance </w:t>
      </w:r>
      <w:r w:rsidRPr="00F255C4">
        <w:rPr>
          <w:shd w:val="clear" w:color="auto" w:fill="FFFFFF"/>
          <w:lang w:val="es-MX"/>
        </w:rPr>
        <w:t xml:space="preserve">debe hacerse </w:t>
      </w:r>
      <w:r w:rsidRPr="00F255C4">
        <w:rPr>
          <w:shd w:val="clear" w:color="auto" w:fill="FFFFFF"/>
          <w:lang w:val="es-MX"/>
        </w:rPr>
        <w:t>“</w:t>
      </w:r>
      <w:r w:rsidRPr="00F255C4">
        <w:rPr>
          <w:shd w:val="clear" w:color="auto" w:fill="FFFFFF"/>
          <w:lang w:val="es-MX"/>
        </w:rPr>
        <w:t>a favor del Legislador ordinario y, en caso de duda, debe preferirse la competencia ordinaria del Congreso de la República</w:t>
      </w:r>
      <w:r w:rsidRPr="00F255C4">
        <w:rPr>
          <w:shd w:val="clear" w:color="auto" w:fill="FFFFFF"/>
          <w:lang w:val="es-MX"/>
        </w:rPr>
        <w:t>”</w:t>
      </w:r>
      <w:bookmarkStart w:id="13" w:name="_ftnref83"/>
      <w:r w:rsidRPr="00F255C4">
        <w:rPr>
          <w:rStyle w:val="Refdenotaalpie"/>
          <w:shd w:val="clear" w:color="auto" w:fill="FFFFFF"/>
          <w:lang w:val="es-MX"/>
        </w:rPr>
        <w:footnoteReference w:id="40"/>
      </w:r>
      <w:r w:rsidRPr="00F255C4">
        <w:rPr>
          <w:shd w:val="clear" w:color="auto" w:fill="FFFFFF"/>
          <w:lang w:val="es-MX"/>
        </w:rPr>
        <w:t>.</w:t>
      </w:r>
      <w:r w:rsidRPr="00F255C4">
        <w:rPr>
          <w:shd w:val="clear" w:color="auto" w:fill="FFFFFF"/>
          <w:lang w:val="es-MX"/>
        </w:rPr>
        <w:t xml:space="preserve"> </w:t>
      </w:r>
    </w:p>
    <w:p w:rsidR="00917F9D" w:rsidRPr="00F255C4" w:rsidRDefault="00F255C4" w:rsidP="00917F9D">
      <w:pPr>
        <w:pStyle w:val="Prrafodelista"/>
      </w:pPr>
    </w:p>
    <w:p w:rsidR="00C53B52" w:rsidRPr="00F255C4" w:rsidRDefault="00F255C4" w:rsidP="0059524E">
      <w:pPr>
        <w:pStyle w:val="Prrafodelista"/>
        <w:numPr>
          <w:ilvl w:val="0"/>
          <w:numId w:val="4"/>
        </w:numPr>
        <w:tabs>
          <w:tab w:val="left" w:pos="284"/>
          <w:tab w:val="right" w:pos="567"/>
          <w:tab w:val="left" w:pos="8222"/>
        </w:tabs>
        <w:ind w:left="0" w:right="-234" w:firstLine="0"/>
        <w:jc w:val="both"/>
      </w:pPr>
      <w:r w:rsidRPr="00F255C4">
        <w:t>Est</w:t>
      </w:r>
      <w:r w:rsidRPr="00F255C4">
        <w:t>as</w:t>
      </w:r>
      <w:r w:rsidRPr="00F255C4">
        <w:t xml:space="preserve"> </w:t>
      </w:r>
      <w:r w:rsidRPr="00F255C4">
        <w:t xml:space="preserve">tres premisas se asientan en </w:t>
      </w:r>
      <w:r w:rsidRPr="00F255C4">
        <w:t xml:space="preserve">la función </w:t>
      </w:r>
      <w:r w:rsidRPr="00F255C4">
        <w:t xml:space="preserve">que cumplen </w:t>
      </w:r>
      <w:r w:rsidRPr="00F255C4">
        <w:t>las leyes estatutarias</w:t>
      </w:r>
      <w:r w:rsidRPr="00F255C4">
        <w:t xml:space="preserve"> respecto de los derechos fundamentales</w:t>
      </w:r>
      <w:r w:rsidRPr="00F255C4">
        <w:t xml:space="preserve">. </w:t>
      </w:r>
      <w:r w:rsidRPr="00F255C4">
        <w:t>L</w:t>
      </w:r>
      <w:r w:rsidRPr="00F255C4">
        <w:t>a Corte ha sostenido que</w:t>
      </w:r>
      <w:r w:rsidRPr="00F255C4">
        <w:t xml:space="preserve"> tales leyes </w:t>
      </w:r>
      <w:r w:rsidRPr="00F255C4">
        <w:t>“</w:t>
      </w:r>
      <w:r w:rsidRPr="00F255C4">
        <w:rPr>
          <w:shd w:val="clear" w:color="auto" w:fill="FFFFFF"/>
        </w:rPr>
        <w:t>tienen por objeto desarrollarlos y complementarlos”</w:t>
      </w:r>
      <w:r w:rsidRPr="00F255C4">
        <w:rPr>
          <w:rStyle w:val="Refdenotaalpie"/>
          <w:shd w:val="clear" w:color="auto" w:fill="FFFFFF"/>
        </w:rPr>
        <w:footnoteReference w:id="41"/>
      </w:r>
      <w:r w:rsidRPr="00F255C4">
        <w:rPr>
          <w:shd w:val="clear" w:color="auto" w:fill="FFFFFF"/>
        </w:rPr>
        <w:t>. Sin embargo, ello “no supone que toda regulación en la cual se toquen aspectos relativos a un derecho fundamental deba hac</w:t>
      </w:r>
      <w:r w:rsidRPr="00F255C4">
        <w:rPr>
          <w:shd w:val="clear" w:color="auto" w:fill="FFFFFF"/>
        </w:rPr>
        <w:t>erse por vía de ley estatutaria”</w:t>
      </w:r>
      <w:r w:rsidRPr="00F255C4">
        <w:rPr>
          <w:rStyle w:val="Refdenotaalpie"/>
          <w:shd w:val="clear" w:color="auto" w:fill="FFFFFF"/>
        </w:rPr>
        <w:footnoteReference w:id="42"/>
      </w:r>
      <w:r w:rsidRPr="00F255C4">
        <w:rPr>
          <w:shd w:val="clear" w:color="auto" w:fill="FFFFFF"/>
        </w:rPr>
        <w:t xml:space="preserve"> dado que, de proceder en esa dirección, “se vaciaría la competencia del legislador ordinario”</w:t>
      </w:r>
      <w:r w:rsidRPr="00F255C4">
        <w:rPr>
          <w:rStyle w:val="Refdenotaalpie"/>
          <w:shd w:val="clear" w:color="auto" w:fill="FFFFFF"/>
        </w:rPr>
        <w:footnoteReference w:id="43"/>
      </w:r>
      <w:r w:rsidRPr="00F255C4">
        <w:rPr>
          <w:shd w:val="clear" w:color="auto" w:fill="FFFFFF"/>
        </w:rPr>
        <w:t xml:space="preserve">. </w:t>
      </w:r>
      <w:r w:rsidRPr="00F255C4">
        <w:rPr>
          <w:shd w:val="clear" w:color="auto" w:fill="FFFFFF"/>
        </w:rPr>
        <w:t>Como lo ha recordado la</w:t>
      </w:r>
      <w:r w:rsidRPr="00F255C4">
        <w:rPr>
          <w:shd w:val="clear" w:color="auto" w:fill="FFFFFF"/>
        </w:rPr>
        <w:t xml:space="preserve"> Sala Plena</w:t>
      </w:r>
      <w:r w:rsidRPr="00F255C4">
        <w:rPr>
          <w:shd w:val="clear" w:color="auto" w:fill="FFFFFF"/>
        </w:rPr>
        <w:t xml:space="preserve"> “la mayoría de las leyes se relacionan de alguna manera con la protección de los derechos f</w:t>
      </w:r>
      <w:r w:rsidRPr="00F255C4">
        <w:rPr>
          <w:shd w:val="clear" w:color="auto" w:fill="FFFFFF"/>
        </w:rPr>
        <w:t>undamentales en un Estado social de derecho, lo que no significa que requieran trámite estatutario”</w:t>
      </w:r>
      <w:r w:rsidRPr="00F255C4">
        <w:rPr>
          <w:rStyle w:val="Refdenotaalpie"/>
          <w:shd w:val="clear" w:color="auto" w:fill="FFFFFF"/>
        </w:rPr>
        <w:footnoteReference w:id="44"/>
      </w:r>
      <w:r w:rsidRPr="00F255C4">
        <w:rPr>
          <w:shd w:val="clear" w:color="auto" w:fill="FFFFFF"/>
        </w:rPr>
        <w:t>.</w:t>
      </w:r>
    </w:p>
    <w:bookmarkEnd w:id="13"/>
    <w:p w:rsidR="00CA5DB3" w:rsidRPr="00F255C4" w:rsidRDefault="00F255C4" w:rsidP="00CA5DB3">
      <w:pPr>
        <w:pStyle w:val="Prrafodelista"/>
      </w:pPr>
    </w:p>
    <w:p w:rsidR="00CA5DB3" w:rsidRPr="00F255C4" w:rsidRDefault="00F255C4" w:rsidP="0059524E">
      <w:pPr>
        <w:pStyle w:val="Prrafodelista"/>
        <w:numPr>
          <w:ilvl w:val="0"/>
          <w:numId w:val="4"/>
        </w:numPr>
        <w:tabs>
          <w:tab w:val="left" w:pos="284"/>
          <w:tab w:val="right" w:pos="567"/>
          <w:tab w:val="left" w:pos="8222"/>
        </w:tabs>
        <w:ind w:left="0" w:right="-234" w:firstLine="0"/>
        <w:jc w:val="both"/>
      </w:pPr>
      <w:r w:rsidRPr="00F255C4">
        <w:t>Con fundamento en este punto de partida</w:t>
      </w:r>
      <w:r w:rsidRPr="00F255C4">
        <w:t>,</w:t>
      </w:r>
      <w:r w:rsidRPr="00F255C4">
        <w:t xml:space="preserve"> la práctica </w:t>
      </w:r>
      <w:r w:rsidRPr="00F255C4">
        <w:t>interpretativa de la Corte ha desarrollado</w:t>
      </w:r>
      <w:r w:rsidRPr="00F255C4">
        <w:t xml:space="preserve"> dos etapas para </w:t>
      </w:r>
      <w:r w:rsidRPr="00F255C4">
        <w:t>determinar si</w:t>
      </w:r>
      <w:r w:rsidRPr="00F255C4">
        <w:t xml:space="preserve"> la legislación acusada</w:t>
      </w:r>
      <w:r w:rsidRPr="00F255C4">
        <w:t xml:space="preserve"> est</w:t>
      </w:r>
      <w:r w:rsidRPr="00F255C4">
        <w:t>á</w:t>
      </w:r>
      <w:r w:rsidRPr="00F255C4">
        <w:t xml:space="preserve"> o no</w:t>
      </w:r>
      <w:r w:rsidRPr="00F255C4">
        <w:t xml:space="preserve"> cubierta por la reserva estatutaria en materia de derechos fundamentales. </w:t>
      </w:r>
      <w:r w:rsidRPr="00F255C4">
        <w:t>En la</w:t>
      </w:r>
      <w:r w:rsidRPr="00F255C4">
        <w:t xml:space="preserve"> primer</w:t>
      </w:r>
      <w:r w:rsidRPr="00F255C4">
        <w:t>a</w:t>
      </w:r>
      <w:r w:rsidRPr="00F255C4">
        <w:t>,</w:t>
      </w:r>
      <w:r w:rsidRPr="00F255C4">
        <w:t xml:space="preserve"> </w:t>
      </w:r>
      <w:r w:rsidRPr="00F255C4">
        <w:t>la</w:t>
      </w:r>
      <w:r w:rsidRPr="00F255C4">
        <w:t xml:space="preserve"> cuestión que se plantea es la siguiente</w:t>
      </w:r>
      <w:r w:rsidRPr="00F255C4">
        <w:t>: ¿la legislación acusada</w:t>
      </w:r>
      <w:r w:rsidRPr="00F255C4">
        <w:rPr>
          <w:shd w:val="clear" w:color="auto" w:fill="FFFFFF"/>
        </w:rPr>
        <w:t xml:space="preserve"> trat</w:t>
      </w:r>
      <w:r w:rsidRPr="00F255C4">
        <w:rPr>
          <w:shd w:val="clear" w:color="auto" w:fill="FFFFFF"/>
        </w:rPr>
        <w:t>a</w:t>
      </w:r>
      <w:r w:rsidRPr="00F255C4">
        <w:rPr>
          <w:shd w:val="clear" w:color="auto" w:fill="FFFFFF"/>
        </w:rPr>
        <w:t xml:space="preserve"> de derechos de carácter fundamental</w:t>
      </w:r>
      <w:r w:rsidRPr="00F255C4">
        <w:rPr>
          <w:shd w:val="clear" w:color="auto" w:fill="FFFFFF"/>
        </w:rPr>
        <w:t>?</w:t>
      </w:r>
      <w:r w:rsidRPr="00F255C4">
        <w:rPr>
          <w:rStyle w:val="Refdenotaalpie"/>
          <w:shd w:val="clear" w:color="auto" w:fill="FFFFFF"/>
        </w:rPr>
        <w:footnoteReference w:id="45"/>
      </w:r>
      <w:r w:rsidRPr="00F255C4">
        <w:rPr>
          <w:shd w:val="clear" w:color="auto" w:fill="FFFFFF"/>
        </w:rPr>
        <w:t xml:space="preserve"> Si la respuesta es negativa puede descartarse la violación al artículo 152.a</w:t>
      </w:r>
      <w:r w:rsidRPr="00F255C4">
        <w:t>.</w:t>
      </w:r>
      <w:r w:rsidRPr="00F255C4">
        <w:t xml:space="preserve"> </w:t>
      </w:r>
      <w:r w:rsidRPr="00F255C4">
        <w:t>S</w:t>
      </w:r>
      <w:r w:rsidRPr="00F255C4">
        <w:t>i</w:t>
      </w:r>
      <w:r w:rsidRPr="00F255C4">
        <w:t>, por el contrario,</w:t>
      </w:r>
      <w:r w:rsidRPr="00F255C4">
        <w:t xml:space="preserve"> la respuesta de la Corte es positiva deberá enfrentar la segunda pregunta: </w:t>
      </w:r>
      <w:r w:rsidRPr="00F255C4">
        <w:t>¿</w:t>
      </w:r>
      <w:r w:rsidRPr="00F255C4">
        <w:t xml:space="preserve">teniendo en cuenta el contenido </w:t>
      </w:r>
      <w:r w:rsidRPr="00F255C4">
        <w:t xml:space="preserve">específico </w:t>
      </w:r>
      <w:r w:rsidRPr="00F255C4">
        <w:t>de la ley acusada</w:t>
      </w:r>
      <w:r w:rsidRPr="00F255C4">
        <w:t xml:space="preserve">, </w:t>
      </w:r>
      <w:r w:rsidRPr="00F255C4">
        <w:t>es posible afirma</w:t>
      </w:r>
      <w:r w:rsidRPr="00F255C4">
        <w:t>r que se est</w:t>
      </w:r>
      <w:r w:rsidRPr="00F255C4">
        <w:t xml:space="preserve">á </w:t>
      </w:r>
      <w:r w:rsidRPr="00F255C4">
        <w:t>regulando un derecho fundamental en el sentido del artículo 152.a?</w:t>
      </w:r>
      <w:r w:rsidRPr="00F255C4">
        <w:t xml:space="preserve"> </w:t>
      </w:r>
    </w:p>
    <w:p w:rsidR="00CA5DB3" w:rsidRPr="00F255C4" w:rsidRDefault="00F255C4" w:rsidP="00CA5DB3">
      <w:pPr>
        <w:pStyle w:val="Prrafodelista"/>
      </w:pPr>
    </w:p>
    <w:p w:rsidR="00BB037C" w:rsidRPr="00F255C4" w:rsidRDefault="00F255C4" w:rsidP="0059524E">
      <w:pPr>
        <w:pStyle w:val="Prrafodelista"/>
        <w:numPr>
          <w:ilvl w:val="1"/>
          <w:numId w:val="4"/>
        </w:numPr>
        <w:tabs>
          <w:tab w:val="left" w:pos="284"/>
          <w:tab w:val="right" w:pos="567"/>
          <w:tab w:val="left" w:pos="8222"/>
        </w:tabs>
        <w:ind w:left="0" w:right="-234" w:firstLine="0"/>
        <w:jc w:val="both"/>
      </w:pPr>
      <w:r w:rsidRPr="00F255C4">
        <w:t xml:space="preserve"> </w:t>
      </w:r>
      <w:r w:rsidRPr="00F255C4">
        <w:t>La definición de si una</w:t>
      </w:r>
      <w:r w:rsidRPr="00F255C4">
        <w:t xml:space="preserve"> disposición o una ley “trata derechos de carácter fundamental” exige</w:t>
      </w:r>
      <w:r w:rsidRPr="00F255C4">
        <w:t xml:space="preserve"> establecer</w:t>
      </w:r>
      <w:r w:rsidRPr="00F255C4">
        <w:t xml:space="preserve"> si los intereses que en ella se reconocen quedan </w:t>
      </w:r>
      <w:r w:rsidRPr="00F255C4">
        <w:t>comprendid</w:t>
      </w:r>
      <w:r w:rsidRPr="00F255C4">
        <w:t>os</w:t>
      </w:r>
      <w:r w:rsidRPr="00F255C4">
        <w:t xml:space="preserve"> por el ámbito de protección </w:t>
      </w:r>
      <w:r w:rsidRPr="00F255C4">
        <w:t xml:space="preserve">que ofrece una disposición </w:t>
      </w:r>
      <w:r w:rsidRPr="00F255C4">
        <w:t>ius</w:t>
      </w:r>
      <w:r w:rsidRPr="00F255C4">
        <w:t>fundamental</w:t>
      </w:r>
      <w:r w:rsidRPr="00F255C4">
        <w:t>.</w:t>
      </w:r>
      <w:r w:rsidRPr="00F255C4">
        <w:t xml:space="preserve"> La cuestión particular que debe resolverse</w:t>
      </w:r>
      <w:r w:rsidRPr="00F255C4">
        <w:t xml:space="preserve"> es</w:t>
      </w:r>
      <w:r w:rsidRPr="00F255C4">
        <w:t xml:space="preserve"> </w:t>
      </w:r>
      <w:r w:rsidRPr="00F255C4">
        <w:t>si</w:t>
      </w:r>
      <w:r w:rsidRPr="00F255C4">
        <w:t xml:space="preserve"> </w:t>
      </w:r>
      <w:r w:rsidRPr="00F255C4">
        <w:t xml:space="preserve">las normas impugnadas están </w:t>
      </w:r>
      <w:r w:rsidRPr="00F255C4">
        <w:t xml:space="preserve">razonablemente </w:t>
      </w:r>
      <w:r w:rsidRPr="00F255C4">
        <w:t>vincula</w:t>
      </w:r>
      <w:r w:rsidRPr="00F255C4">
        <w:t>d</w:t>
      </w:r>
      <w:r w:rsidRPr="00F255C4">
        <w:t>as</w:t>
      </w:r>
      <w:r w:rsidRPr="00F255C4">
        <w:t xml:space="preserve"> </w:t>
      </w:r>
      <w:r w:rsidRPr="00F255C4">
        <w:t xml:space="preserve">con </w:t>
      </w:r>
      <w:r w:rsidRPr="00F255C4">
        <w:t xml:space="preserve">posiciones jurídicas </w:t>
      </w:r>
      <w:r w:rsidRPr="00F255C4">
        <w:rPr>
          <w:i/>
        </w:rPr>
        <w:t>prima facie</w:t>
      </w:r>
      <w:r w:rsidRPr="00F255C4">
        <w:t xml:space="preserve"> protegidas por </w:t>
      </w:r>
      <w:r w:rsidRPr="00F255C4">
        <w:t>un</w:t>
      </w:r>
      <w:r w:rsidRPr="00F255C4">
        <w:t xml:space="preserve"> derecho</w:t>
      </w:r>
      <w:r w:rsidRPr="00F255C4">
        <w:t xml:space="preserve"> de tal naturaleza</w:t>
      </w:r>
      <w:r w:rsidRPr="00F255C4">
        <w:t>.</w:t>
      </w:r>
      <w:r w:rsidRPr="00F255C4">
        <w:t xml:space="preserve"> Esta primera etapa no impone un examen detenido o detallado sobre el alcance definitivo de los derechos. Es suficiente con identificar si las características </w:t>
      </w:r>
      <w:r w:rsidRPr="00F255C4">
        <w:t>y</w:t>
      </w:r>
      <w:r w:rsidRPr="00F255C4">
        <w:t xml:space="preserve"> propiedades de los </w:t>
      </w:r>
      <w:r w:rsidRPr="00F255C4">
        <w:t>previstos</w:t>
      </w:r>
      <w:r w:rsidRPr="00F255C4">
        <w:t xml:space="preserve"> en la ley coinciden con aquellas que definen o integran</w:t>
      </w:r>
      <w:r w:rsidRPr="00F255C4">
        <w:t xml:space="preserve"> </w:t>
      </w:r>
      <w:r w:rsidRPr="00F255C4">
        <w:t>un derecho</w:t>
      </w:r>
      <w:r w:rsidRPr="00F255C4">
        <w:t xml:space="preserve"> fundamental</w:t>
      </w:r>
      <w:r w:rsidRPr="00F255C4">
        <w:t xml:space="preserve">. </w:t>
      </w:r>
      <w:r w:rsidRPr="00F255C4">
        <w:t>De este modo si la regulación acusada se refiere al contenido de un derecho colectivo o trata materias exclusivamente orgánicas, podrá descartarse</w:t>
      </w:r>
      <w:r w:rsidRPr="00F255C4">
        <w:t xml:space="preserve"> el cumplimiento de esta primera exigencia</w:t>
      </w:r>
      <w:r w:rsidRPr="00F255C4">
        <w:t xml:space="preserve">.   </w:t>
      </w:r>
      <w:r w:rsidRPr="00F255C4">
        <w:t xml:space="preserve"> </w:t>
      </w:r>
    </w:p>
    <w:p w:rsidR="00282ABC" w:rsidRPr="00F255C4" w:rsidRDefault="00F255C4" w:rsidP="00282ABC">
      <w:pPr>
        <w:pStyle w:val="Prrafodelista"/>
        <w:tabs>
          <w:tab w:val="left" w:pos="284"/>
          <w:tab w:val="right" w:pos="567"/>
          <w:tab w:val="left" w:pos="8222"/>
        </w:tabs>
        <w:ind w:left="0" w:right="-234"/>
        <w:jc w:val="both"/>
      </w:pPr>
    </w:p>
    <w:p w:rsidR="008C630D" w:rsidRPr="00F255C4" w:rsidRDefault="00F255C4" w:rsidP="0059524E">
      <w:pPr>
        <w:pStyle w:val="Prrafodelista"/>
        <w:numPr>
          <w:ilvl w:val="1"/>
          <w:numId w:val="4"/>
        </w:numPr>
        <w:tabs>
          <w:tab w:val="left" w:pos="284"/>
          <w:tab w:val="right" w:pos="567"/>
          <w:tab w:val="left" w:pos="8222"/>
        </w:tabs>
        <w:ind w:left="0" w:right="-234" w:firstLine="0"/>
        <w:jc w:val="both"/>
      </w:pPr>
      <w:r w:rsidRPr="00F255C4">
        <w:t xml:space="preserve"> En caso de que, como se dijo anteriormente, se</w:t>
      </w:r>
      <w:r w:rsidRPr="00F255C4">
        <w:t xml:space="preserve"> con</w:t>
      </w:r>
      <w:r w:rsidRPr="00F255C4">
        <w:t xml:space="preserve">cluya que en efecto se trata de derechos fundamentales, es necesario </w:t>
      </w:r>
      <w:r w:rsidRPr="00F255C4">
        <w:t xml:space="preserve">realizar un escrutinio respecto </w:t>
      </w:r>
      <w:r w:rsidRPr="00F255C4">
        <w:t>del</w:t>
      </w:r>
      <w:r w:rsidRPr="00F255C4">
        <w:t xml:space="preserve"> tipo de relación que </w:t>
      </w:r>
      <w:r w:rsidRPr="00F255C4">
        <w:t xml:space="preserve">existe </w:t>
      </w:r>
      <w:r w:rsidRPr="00F255C4">
        <w:t>entre la</w:t>
      </w:r>
      <w:r w:rsidRPr="00F255C4">
        <w:t xml:space="preserve"> legislación acusada</w:t>
      </w:r>
      <w:r w:rsidRPr="00F255C4">
        <w:t xml:space="preserve"> y el derecho</w:t>
      </w:r>
      <w:r w:rsidRPr="00F255C4">
        <w:t xml:space="preserve"> -o derechos correspondientes</w:t>
      </w:r>
      <w:r w:rsidRPr="00F255C4">
        <w:t xml:space="preserve">. </w:t>
      </w:r>
      <w:r w:rsidRPr="00F255C4">
        <w:t xml:space="preserve">Aunque </w:t>
      </w:r>
      <w:r w:rsidRPr="00F255C4">
        <w:t xml:space="preserve">la Corte </w:t>
      </w:r>
      <w:r w:rsidRPr="00F255C4">
        <w:t>ha utilizado</w:t>
      </w:r>
      <w:r w:rsidRPr="00F255C4">
        <w:t xml:space="preserve"> diferentes expresi</w:t>
      </w:r>
      <w:r w:rsidRPr="00F255C4">
        <w:t>ones</w:t>
      </w:r>
      <w:r w:rsidRPr="00F255C4">
        <w:t>,</w:t>
      </w:r>
      <w:r w:rsidRPr="00F255C4">
        <w:t xml:space="preserve"> </w:t>
      </w:r>
      <w:r w:rsidRPr="00F255C4">
        <w:t>recientemente señal</w:t>
      </w:r>
      <w:r w:rsidRPr="00F255C4">
        <w:t>ó</w:t>
      </w:r>
      <w:r w:rsidRPr="00F255C4">
        <w:t xml:space="preserve"> que </w:t>
      </w:r>
      <w:r w:rsidRPr="00F255C4">
        <w:t xml:space="preserve">se tratará de una materia estatutaria cuando </w:t>
      </w:r>
      <w:r w:rsidRPr="00F255C4">
        <w:t>la legislación</w:t>
      </w:r>
      <w:r w:rsidRPr="00F255C4">
        <w:t xml:space="preserve"> </w:t>
      </w:r>
      <w:r w:rsidRPr="00F255C4">
        <w:t xml:space="preserve">(i) </w:t>
      </w:r>
      <w:r w:rsidRPr="00F255C4">
        <w:t>ten</w:t>
      </w:r>
      <w:r w:rsidRPr="00F255C4">
        <w:t>ga</w:t>
      </w:r>
      <w:r w:rsidRPr="00F255C4">
        <w:t xml:space="preserve"> por objeto directo la regulación de un derecho fundamental</w:t>
      </w:r>
      <w:r w:rsidRPr="00F255C4">
        <w:t>;</w:t>
      </w:r>
      <w:r w:rsidRPr="00F255C4">
        <w:rPr>
          <w:lang w:val="es-MX"/>
        </w:rPr>
        <w:t xml:space="preserve"> </w:t>
      </w:r>
      <w:r w:rsidRPr="00F255C4">
        <w:rPr>
          <w:shd w:val="clear" w:color="auto" w:fill="FFFFFF"/>
          <w:lang w:val="es-MX"/>
        </w:rPr>
        <w:t>(</w:t>
      </w:r>
      <w:r w:rsidRPr="00F255C4">
        <w:rPr>
          <w:shd w:val="clear" w:color="auto" w:fill="FFFFFF"/>
          <w:lang w:val="es-MX"/>
        </w:rPr>
        <w:t>ii</w:t>
      </w:r>
      <w:r w:rsidRPr="00F255C4">
        <w:rPr>
          <w:shd w:val="clear" w:color="auto" w:fill="FFFFFF"/>
          <w:lang w:val="es-MX"/>
        </w:rPr>
        <w:t xml:space="preserve">) </w:t>
      </w:r>
      <w:r w:rsidRPr="00F255C4">
        <w:rPr>
          <w:shd w:val="clear" w:color="auto" w:fill="FFFFFF"/>
          <w:lang w:val="es-MX"/>
        </w:rPr>
        <w:t xml:space="preserve">lo </w:t>
      </w:r>
      <w:r w:rsidRPr="00F255C4">
        <w:rPr>
          <w:shd w:val="clear" w:color="auto" w:fill="FFFFFF"/>
          <w:lang w:val="es-MX"/>
        </w:rPr>
        <w:t>regule de manera integral, estructural y completa; (</w:t>
      </w:r>
      <w:r w:rsidRPr="00F255C4">
        <w:rPr>
          <w:shd w:val="clear" w:color="auto" w:fill="FFFFFF"/>
          <w:lang w:val="es-MX"/>
        </w:rPr>
        <w:t>iii</w:t>
      </w:r>
      <w:r w:rsidRPr="00F255C4">
        <w:rPr>
          <w:shd w:val="clear" w:color="auto" w:fill="FFFFFF"/>
          <w:lang w:val="es-MX"/>
        </w:rPr>
        <w:t>) verse sobre el núcleo esencial</w:t>
      </w:r>
      <w:r w:rsidRPr="00F255C4">
        <w:rPr>
          <w:shd w:val="clear" w:color="auto" w:fill="FFFFFF"/>
          <w:lang w:val="es-MX"/>
        </w:rPr>
        <w:t xml:space="preserve"> y los principios básicos del derecho, es decir, que regule los aspectos inherentes a</w:t>
      </w:r>
      <w:r w:rsidRPr="00F255C4">
        <w:rPr>
          <w:shd w:val="clear" w:color="auto" w:fill="FFFFFF"/>
          <w:lang w:val="es-MX"/>
        </w:rPr>
        <w:t xml:space="preserve"> su</w:t>
      </w:r>
      <w:r w:rsidRPr="00F255C4">
        <w:rPr>
          <w:shd w:val="clear" w:color="auto" w:fill="FFFFFF"/>
          <w:lang w:val="es-MX"/>
        </w:rPr>
        <w:t xml:space="preserve"> ejercicio; o (</w:t>
      </w:r>
      <w:r w:rsidRPr="00F255C4">
        <w:rPr>
          <w:shd w:val="clear" w:color="auto" w:fill="FFFFFF"/>
          <w:lang w:val="es-MX"/>
        </w:rPr>
        <w:t>i</w:t>
      </w:r>
      <w:r w:rsidRPr="00F255C4">
        <w:rPr>
          <w:shd w:val="clear" w:color="auto" w:fill="FFFFFF"/>
          <w:lang w:val="es-MX"/>
        </w:rPr>
        <w:t>v) se refiera a la afectación o el desarrollo de los elementos estructurales del derecho, esto es, </w:t>
      </w:r>
      <w:r w:rsidRPr="00F255C4">
        <w:rPr>
          <w:shd w:val="clear" w:color="auto" w:fill="FFFFFF"/>
          <w:lang w:val="es-ES"/>
        </w:rPr>
        <w:t>que consagre límites, restricciones, excepciones y pr</w:t>
      </w:r>
      <w:r w:rsidRPr="00F255C4">
        <w:rPr>
          <w:shd w:val="clear" w:color="auto" w:fill="FFFFFF"/>
          <w:lang w:val="es-ES"/>
        </w:rPr>
        <w:t>ohibiciones que afecten la estructura general y los principios del derecho</w:t>
      </w:r>
      <w:r w:rsidRPr="00F255C4">
        <w:rPr>
          <w:rStyle w:val="Refdenotaalpie"/>
        </w:rPr>
        <w:footnoteReference w:id="46"/>
      </w:r>
      <w:r w:rsidRPr="00F255C4">
        <w:t>.</w:t>
      </w:r>
      <w:r w:rsidRPr="00F255C4">
        <w:t xml:space="preserve"> </w:t>
      </w:r>
    </w:p>
    <w:p w:rsidR="00CC2970" w:rsidRPr="00F255C4" w:rsidRDefault="00F255C4" w:rsidP="008C630D">
      <w:pPr>
        <w:rPr>
          <w:rFonts w:ascii="Times New Roman" w:hAnsi="Times New Roman" w:cs="Times New Roman"/>
          <w:sz w:val="28"/>
          <w:lang w:val="es-MX"/>
        </w:rPr>
      </w:pPr>
    </w:p>
    <w:p w:rsidR="008C630D" w:rsidRPr="00F255C4" w:rsidRDefault="00F255C4" w:rsidP="0059524E">
      <w:pPr>
        <w:pStyle w:val="Prrafodelista"/>
        <w:numPr>
          <w:ilvl w:val="0"/>
          <w:numId w:val="4"/>
        </w:numPr>
        <w:tabs>
          <w:tab w:val="left" w:pos="284"/>
          <w:tab w:val="right" w:pos="567"/>
          <w:tab w:val="left" w:pos="8222"/>
        </w:tabs>
        <w:ind w:left="0" w:right="-234" w:firstLine="0"/>
        <w:jc w:val="both"/>
        <w:rPr>
          <w:lang w:val="es-MX"/>
        </w:rPr>
      </w:pPr>
      <w:r w:rsidRPr="00F255C4">
        <w:rPr>
          <w:lang w:val="es-MX"/>
        </w:rPr>
        <w:t>La aplicación de los criterios enunciados por la Corte es compleja. Por ello ha</w:t>
      </w:r>
      <w:r w:rsidRPr="00F255C4">
        <w:rPr>
          <w:lang w:val="es-MX"/>
        </w:rPr>
        <w:t xml:space="preserve"> realizado un esfuerzo</w:t>
      </w:r>
      <w:r w:rsidRPr="00F255C4">
        <w:rPr>
          <w:lang w:val="es-MX"/>
        </w:rPr>
        <w:t xml:space="preserve"> para precisar el alcance de</w:t>
      </w:r>
      <w:r w:rsidRPr="00F255C4">
        <w:rPr>
          <w:lang w:val="es-MX"/>
        </w:rPr>
        <w:t xml:space="preserve">l examen en estos casos. </w:t>
      </w:r>
      <w:r w:rsidRPr="00F255C4">
        <w:rPr>
          <w:lang w:val="es-MX"/>
        </w:rPr>
        <w:t xml:space="preserve">En esa dirección </w:t>
      </w:r>
      <w:r w:rsidRPr="00F255C4">
        <w:rPr>
          <w:lang w:val="es-MX"/>
        </w:rPr>
        <w:t>ha</w:t>
      </w:r>
      <w:r w:rsidRPr="00F255C4">
        <w:rPr>
          <w:lang w:val="es-MX"/>
        </w:rPr>
        <w:t xml:space="preserve"> ide</w:t>
      </w:r>
      <w:r w:rsidRPr="00F255C4">
        <w:rPr>
          <w:lang w:val="es-MX"/>
        </w:rPr>
        <w:t>ntificado</w:t>
      </w:r>
      <w:r w:rsidRPr="00F255C4">
        <w:rPr>
          <w:lang w:val="es-MX"/>
        </w:rPr>
        <w:t xml:space="preserve"> </w:t>
      </w:r>
      <w:r w:rsidRPr="00F255C4">
        <w:rPr>
          <w:lang w:val="es-MX"/>
        </w:rPr>
        <w:t>tres</w:t>
      </w:r>
      <w:r w:rsidRPr="00F255C4">
        <w:rPr>
          <w:lang w:val="es-MX"/>
        </w:rPr>
        <w:t xml:space="preserve"> tareas</w:t>
      </w:r>
      <w:r w:rsidRPr="00F255C4">
        <w:rPr>
          <w:lang w:val="es-MX"/>
        </w:rPr>
        <w:t xml:space="preserve"> que puede cumplir el legislador en materia de derechos fundamentales y que inciden en la activación de la reserva de ley estatutaria. </w:t>
      </w:r>
      <w:r w:rsidRPr="00F255C4">
        <w:rPr>
          <w:shd w:val="clear" w:color="auto" w:fill="FFFFFF"/>
        </w:rPr>
        <w:t xml:space="preserve">Ha dicho la Corte que “cuando la ley actualiza o configura el contenido de un derecho fundamental y </w:t>
      </w:r>
      <w:r w:rsidRPr="00F255C4">
        <w:rPr>
          <w:shd w:val="clear" w:color="auto" w:fill="FFFFFF"/>
        </w:rPr>
        <w:t xml:space="preserve">de esta forma bien mediante </w:t>
      </w:r>
      <w:r w:rsidRPr="00F255C4">
        <w:rPr>
          <w:b/>
          <w:shd w:val="clear" w:color="auto" w:fill="FFFFFF"/>
        </w:rPr>
        <w:t>la configuración</w:t>
      </w:r>
      <w:r w:rsidRPr="00F255C4">
        <w:rPr>
          <w:shd w:val="clear" w:color="auto" w:fill="FFFFFF"/>
        </w:rPr>
        <w:t xml:space="preserve">, o bien mediante </w:t>
      </w:r>
      <w:r w:rsidRPr="00F255C4">
        <w:rPr>
          <w:b/>
          <w:shd w:val="clear" w:color="auto" w:fill="FFFFFF"/>
        </w:rPr>
        <w:t>la actualización</w:t>
      </w:r>
      <w:r w:rsidRPr="00F255C4">
        <w:rPr>
          <w:shd w:val="clear" w:color="auto" w:fill="FFFFFF"/>
        </w:rPr>
        <w:t xml:space="preserve"> regula y precisa sus elementos estructurales, los aspectos inherentes a su ejercicio y los elementos que hacen parte de su ámbito constitucionalmente protegido debe ser expedida por el procedimiento legislativo más exigente previsto por el artículo 153 co</w:t>
      </w:r>
      <w:r w:rsidRPr="00F255C4">
        <w:rPr>
          <w:shd w:val="clear" w:color="auto" w:fill="FFFFFF"/>
        </w:rPr>
        <w:t>nstitucional”</w:t>
      </w:r>
      <w:r w:rsidRPr="00F255C4">
        <w:rPr>
          <w:rStyle w:val="Refdenotaalpie"/>
          <w:shd w:val="clear" w:color="auto" w:fill="FFFFFF"/>
        </w:rPr>
        <w:footnoteReference w:id="47"/>
      </w:r>
      <w:r w:rsidRPr="00F255C4">
        <w:rPr>
          <w:shd w:val="clear" w:color="auto" w:fill="FFFFFF"/>
        </w:rPr>
        <w:t xml:space="preserve"> (negrillas no son del texto)</w:t>
      </w:r>
      <w:r w:rsidRPr="00F255C4">
        <w:rPr>
          <w:shd w:val="clear" w:color="auto" w:fill="FFFFFF"/>
        </w:rPr>
        <w:t>.</w:t>
      </w:r>
      <w:r w:rsidRPr="00F255C4">
        <w:rPr>
          <w:shd w:val="clear" w:color="auto" w:fill="FFFFFF"/>
        </w:rPr>
        <w:t xml:space="preserve"> </w:t>
      </w:r>
    </w:p>
    <w:p w:rsidR="008C630D" w:rsidRPr="00F255C4" w:rsidRDefault="00F255C4" w:rsidP="008C630D">
      <w:pPr>
        <w:pStyle w:val="Prrafodelista"/>
        <w:tabs>
          <w:tab w:val="left" w:pos="284"/>
          <w:tab w:val="right" w:pos="567"/>
          <w:tab w:val="left" w:pos="8222"/>
        </w:tabs>
        <w:ind w:left="0" w:right="-234"/>
        <w:jc w:val="both"/>
        <w:rPr>
          <w:lang w:val="es-MX"/>
        </w:rPr>
      </w:pPr>
    </w:p>
    <w:p w:rsidR="00CC2970" w:rsidRPr="00F255C4" w:rsidRDefault="00F255C4" w:rsidP="0059524E">
      <w:pPr>
        <w:pStyle w:val="Prrafodelista"/>
        <w:numPr>
          <w:ilvl w:val="0"/>
          <w:numId w:val="4"/>
        </w:numPr>
        <w:tabs>
          <w:tab w:val="left" w:pos="284"/>
          <w:tab w:val="right" w:pos="567"/>
          <w:tab w:val="left" w:pos="8222"/>
        </w:tabs>
        <w:ind w:left="0" w:right="-234" w:firstLine="0"/>
        <w:jc w:val="both"/>
        <w:rPr>
          <w:shd w:val="clear" w:color="auto" w:fill="FFFFFF"/>
        </w:rPr>
      </w:pPr>
      <w:r w:rsidRPr="00F255C4">
        <w:rPr>
          <w:shd w:val="clear" w:color="auto" w:fill="FFFFFF"/>
        </w:rPr>
        <w:t xml:space="preserve">Ahora bien </w:t>
      </w:r>
      <w:r w:rsidRPr="00F255C4">
        <w:rPr>
          <w:shd w:val="clear" w:color="auto" w:fill="FFFFFF"/>
        </w:rPr>
        <w:t xml:space="preserve">“cuando la ley tenga como cometido </w:t>
      </w:r>
      <w:r w:rsidRPr="00F255C4">
        <w:rPr>
          <w:b/>
          <w:shd w:val="clear" w:color="auto" w:fill="FFFFFF"/>
        </w:rPr>
        <w:t>armonizar</w:t>
      </w:r>
      <w:r w:rsidRPr="00F255C4">
        <w:rPr>
          <w:shd w:val="clear" w:color="auto" w:fill="FFFFFF"/>
        </w:rPr>
        <w:t xml:space="preserve"> o </w:t>
      </w:r>
      <w:r w:rsidRPr="00F255C4">
        <w:rPr>
          <w:b/>
          <w:shd w:val="clear" w:color="auto" w:fill="FFFFFF"/>
        </w:rPr>
        <w:t>ponderar derechos</w:t>
      </w:r>
      <w:r w:rsidRPr="00F255C4">
        <w:rPr>
          <w:shd w:val="clear" w:color="auto" w:fill="FFFFFF"/>
        </w:rPr>
        <w:t>, que sin duda es su función más común, deberá ser tramitada por procedimientos ordinarios”</w:t>
      </w:r>
      <w:r w:rsidRPr="00F255C4">
        <w:rPr>
          <w:rStyle w:val="Refdenotaalpie"/>
          <w:shd w:val="clear" w:color="auto" w:fill="FFFFFF"/>
        </w:rPr>
        <w:footnoteReference w:id="48"/>
      </w:r>
      <w:r w:rsidRPr="00F255C4">
        <w:rPr>
          <w:shd w:val="clear" w:color="auto" w:fill="FFFFFF"/>
        </w:rPr>
        <w:t xml:space="preserve"> (negrillas no son del texto)</w:t>
      </w:r>
      <w:r w:rsidRPr="00F255C4">
        <w:rPr>
          <w:shd w:val="clear" w:color="auto" w:fill="FFFFFF"/>
        </w:rPr>
        <w:t>.</w:t>
      </w:r>
      <w:r w:rsidRPr="00F255C4">
        <w:rPr>
          <w:shd w:val="clear" w:color="auto" w:fill="FFFFFF"/>
        </w:rPr>
        <w:t xml:space="preserve"> Esta hipóte</w:t>
      </w:r>
      <w:r w:rsidRPr="00F255C4">
        <w:rPr>
          <w:shd w:val="clear" w:color="auto" w:fill="FFFFFF"/>
        </w:rPr>
        <w:t>sis coincide con una regla metodológica</w:t>
      </w:r>
      <w:r w:rsidRPr="00F255C4">
        <w:rPr>
          <w:shd w:val="clear" w:color="auto" w:fill="FFFFFF"/>
        </w:rPr>
        <w:t>,</w:t>
      </w:r>
      <w:r w:rsidRPr="00F255C4">
        <w:rPr>
          <w:shd w:val="clear" w:color="auto" w:fill="FFFFFF"/>
        </w:rPr>
        <w:t xml:space="preserve"> también fijada por la Corte</w:t>
      </w:r>
      <w:r w:rsidRPr="00F255C4">
        <w:rPr>
          <w:shd w:val="clear" w:color="auto" w:fill="FFFFFF"/>
        </w:rPr>
        <w:t>,</w:t>
      </w:r>
      <w:r w:rsidRPr="00F255C4">
        <w:rPr>
          <w:shd w:val="clear" w:color="auto" w:fill="FFFFFF"/>
        </w:rPr>
        <w:t xml:space="preserve"> en virtud de la cual cuando las </w:t>
      </w:r>
      <w:r w:rsidRPr="00F255C4">
        <w:t>leyes “efectúen un desarrollo periférico, complementario o de menor alcance”</w:t>
      </w:r>
      <w:r w:rsidRPr="00F255C4">
        <w:rPr>
          <w:rStyle w:val="Refdenotaalpie"/>
        </w:rPr>
        <w:footnoteReference w:id="49"/>
      </w:r>
      <w:r w:rsidRPr="00F255C4">
        <w:t xml:space="preserve"> de los derechos, </w:t>
      </w:r>
      <w:r w:rsidRPr="00F255C4">
        <w:t xml:space="preserve">será posible hacerlo mediante </w:t>
      </w:r>
      <w:r w:rsidRPr="00F255C4">
        <w:t xml:space="preserve">la legislación ordinaria. </w:t>
      </w:r>
      <w:r w:rsidRPr="00F255C4">
        <w:rPr>
          <w:shd w:val="clear" w:color="auto" w:fill="FFFFFF"/>
        </w:rPr>
        <w:t xml:space="preserve">Es </w:t>
      </w:r>
      <w:r w:rsidRPr="00F255C4">
        <w:rPr>
          <w:shd w:val="clear" w:color="auto" w:fill="FFFFFF"/>
        </w:rPr>
        <w:t>p</w:t>
      </w:r>
      <w:r w:rsidRPr="00F255C4">
        <w:rPr>
          <w:shd w:val="clear" w:color="auto" w:fill="FFFFFF"/>
        </w:rPr>
        <w:t xml:space="preserve">recisamente ello </w:t>
      </w:r>
      <w:r w:rsidRPr="00F255C4">
        <w:rPr>
          <w:shd w:val="clear" w:color="auto" w:fill="FFFFFF"/>
        </w:rPr>
        <w:t xml:space="preserve">a lo que se refiere la Corte cuando indica, por ejemplo </w:t>
      </w:r>
      <w:r w:rsidRPr="00F255C4">
        <w:rPr>
          <w:shd w:val="clear" w:color="auto" w:fill="FFFFFF"/>
        </w:rPr>
        <w:t xml:space="preserve">(a) </w:t>
      </w:r>
      <w:r w:rsidRPr="00F255C4">
        <w:rPr>
          <w:shd w:val="clear" w:color="auto" w:fill="FFFFFF"/>
        </w:rPr>
        <w:t>que “la regulación puntual y detallada del derecho corresponde al legislador ordinario”</w:t>
      </w:r>
      <w:r w:rsidRPr="00F255C4">
        <w:rPr>
          <w:rStyle w:val="Refdenotaalpie"/>
          <w:shd w:val="clear" w:color="auto" w:fill="FFFFFF"/>
        </w:rPr>
        <w:footnoteReference w:id="50"/>
      </w:r>
      <w:r w:rsidRPr="00F255C4">
        <w:rPr>
          <w:shd w:val="clear" w:color="auto" w:fill="FFFFFF"/>
        </w:rPr>
        <w:t>;</w:t>
      </w:r>
      <w:r w:rsidRPr="00F255C4">
        <w:rPr>
          <w:shd w:val="clear" w:color="auto" w:fill="FFFFFF"/>
        </w:rPr>
        <w:t xml:space="preserve"> </w:t>
      </w:r>
      <w:r w:rsidRPr="00F255C4">
        <w:rPr>
          <w:shd w:val="clear" w:color="auto" w:fill="FFFFFF"/>
        </w:rPr>
        <w:t xml:space="preserve">(b) </w:t>
      </w:r>
      <w:r w:rsidRPr="00F255C4">
        <w:rPr>
          <w:shd w:val="clear" w:color="auto" w:fill="FFFFFF"/>
        </w:rPr>
        <w:t xml:space="preserve">que </w:t>
      </w:r>
      <w:r w:rsidRPr="00F255C4">
        <w:rPr>
          <w:shd w:val="clear" w:color="auto" w:fill="FFFFFF"/>
        </w:rPr>
        <w:t xml:space="preserve">las “leyes estatutarias no deben regular en detalle cada variante o cada </w:t>
      </w:r>
      <w:r w:rsidRPr="00F255C4">
        <w:rPr>
          <w:shd w:val="clear" w:color="auto" w:fill="FFFFFF"/>
        </w:rPr>
        <w:t>manifestación de dichos derechos o todos aquellos aspectos que tengan que ver con su ejercicio”</w:t>
      </w:r>
      <w:r w:rsidRPr="00F255C4">
        <w:rPr>
          <w:rStyle w:val="Refdenotaalpie"/>
          <w:shd w:val="clear" w:color="auto" w:fill="FFFFFF"/>
        </w:rPr>
        <w:footnoteReference w:id="51"/>
      </w:r>
      <w:r w:rsidRPr="00F255C4">
        <w:rPr>
          <w:shd w:val="clear" w:color="auto" w:fill="FFFFFF"/>
        </w:rPr>
        <w:t xml:space="preserve">; o </w:t>
      </w:r>
      <w:r w:rsidRPr="00F255C4">
        <w:rPr>
          <w:shd w:val="clear" w:color="auto" w:fill="FFFFFF"/>
        </w:rPr>
        <w:t xml:space="preserve">(c) </w:t>
      </w:r>
      <w:r w:rsidRPr="00F255C4">
        <w:rPr>
          <w:shd w:val="clear" w:color="auto" w:fill="FFFFFF"/>
        </w:rPr>
        <w:t xml:space="preserve">que </w:t>
      </w:r>
      <w:r w:rsidRPr="00F255C4">
        <w:rPr>
          <w:shd w:val="clear" w:color="auto" w:fill="FFFFFF"/>
        </w:rPr>
        <w:t>existen “[a]spectos no esenciales o menos relevantes que pueden ser regulados mediante leyes ordinarias como la reglamentación práctica de su aplica</w:t>
      </w:r>
      <w:r w:rsidRPr="00F255C4">
        <w:rPr>
          <w:shd w:val="clear" w:color="auto" w:fill="FFFFFF"/>
        </w:rPr>
        <w:t>ción o garantía en casos concretos”</w:t>
      </w:r>
      <w:r w:rsidRPr="00F255C4">
        <w:rPr>
          <w:rStyle w:val="Refdenotaalpie"/>
          <w:shd w:val="clear" w:color="auto" w:fill="FFFFFF"/>
        </w:rPr>
        <w:footnoteReference w:id="52"/>
      </w:r>
      <w:r w:rsidRPr="00F255C4">
        <w:rPr>
          <w:shd w:val="clear" w:color="auto" w:fill="FFFFFF"/>
        </w:rPr>
        <w:t>.</w:t>
      </w:r>
    </w:p>
    <w:p w:rsidR="00D1244D" w:rsidRPr="00F255C4" w:rsidRDefault="00F255C4" w:rsidP="00D1244D">
      <w:pPr>
        <w:pStyle w:val="Prrafodelista"/>
        <w:tabs>
          <w:tab w:val="left" w:pos="284"/>
          <w:tab w:val="right" w:pos="567"/>
          <w:tab w:val="left" w:pos="8222"/>
        </w:tabs>
        <w:ind w:left="0" w:right="-234"/>
        <w:jc w:val="both"/>
        <w:rPr>
          <w:lang w:val="es-MX"/>
        </w:rPr>
      </w:pPr>
    </w:p>
    <w:p w:rsidR="00C451A4" w:rsidRPr="00F255C4" w:rsidRDefault="00F255C4" w:rsidP="0059524E">
      <w:pPr>
        <w:pStyle w:val="Prrafodelista"/>
        <w:numPr>
          <w:ilvl w:val="0"/>
          <w:numId w:val="4"/>
        </w:numPr>
        <w:tabs>
          <w:tab w:val="left" w:pos="284"/>
          <w:tab w:val="right" w:pos="567"/>
          <w:tab w:val="left" w:pos="8222"/>
        </w:tabs>
        <w:ind w:left="0" w:right="-234" w:firstLine="0"/>
        <w:jc w:val="both"/>
      </w:pPr>
      <w:r w:rsidRPr="00F255C4">
        <w:t xml:space="preserve">Para que se active </w:t>
      </w:r>
      <w:r w:rsidRPr="00F255C4">
        <w:t xml:space="preserve">la reserva de ley estatutaria no </w:t>
      </w:r>
      <w:r w:rsidRPr="00F255C4">
        <w:t xml:space="preserve">se </w:t>
      </w:r>
      <w:r w:rsidRPr="00F255C4">
        <w:t xml:space="preserve">requiere la concurrencia de todos los supuestos señalados. Cada uno de ellos destaca una dimensión especial de las tareas que puede emprender el legislador. </w:t>
      </w:r>
      <w:r w:rsidRPr="00F255C4">
        <w:t>La ju</w:t>
      </w:r>
      <w:r w:rsidRPr="00F255C4">
        <w:t xml:space="preserve">risprudencia </w:t>
      </w:r>
      <w:r w:rsidRPr="00F255C4">
        <w:t xml:space="preserve">ha indicado, en este contexto, </w:t>
      </w:r>
      <w:r w:rsidRPr="00F255C4">
        <w:rPr>
          <w:shd w:val="clear" w:color="auto" w:fill="FFFFFF"/>
        </w:rPr>
        <w:t>“que cuando se trata de derechos fundamentales y concurren varios criterios materiales, la Corte ha hecho, caso por caso, una ponderación entre ellos y ha considerado determinante la afectación del núcleo esencia</w:t>
      </w:r>
      <w:r w:rsidRPr="00F255C4">
        <w:rPr>
          <w:shd w:val="clear" w:color="auto" w:fill="FFFFFF"/>
        </w:rPr>
        <w:t>l”</w:t>
      </w:r>
      <w:r w:rsidRPr="00F255C4">
        <w:rPr>
          <w:rStyle w:val="Refdenotaalpie"/>
          <w:shd w:val="clear" w:color="auto" w:fill="FFFFFF"/>
        </w:rPr>
        <w:footnoteReference w:id="53"/>
      </w:r>
      <w:r w:rsidRPr="00F255C4">
        <w:rPr>
          <w:shd w:val="clear" w:color="auto" w:fill="FFFFFF"/>
        </w:rPr>
        <w:t>. Es por ello que “si una norma no regula integralmente un derecho pero sí afecta su núcleo esencial, debe ser de ley estatutaria”</w:t>
      </w:r>
      <w:r w:rsidRPr="00F255C4">
        <w:rPr>
          <w:rStyle w:val="Refdenotaalpie"/>
          <w:shd w:val="clear" w:color="auto" w:fill="FFFFFF"/>
        </w:rPr>
        <w:footnoteReference w:id="54"/>
      </w:r>
      <w:r w:rsidRPr="00F255C4">
        <w:rPr>
          <w:shd w:val="clear" w:color="auto" w:fill="FFFFFF"/>
        </w:rPr>
        <w:t>. </w:t>
      </w:r>
      <w:r w:rsidRPr="00F255C4">
        <w:t xml:space="preserve"> </w:t>
      </w:r>
    </w:p>
    <w:p w:rsidR="00FE31A7" w:rsidRPr="00F255C4" w:rsidRDefault="00F255C4" w:rsidP="00FE31A7">
      <w:pPr>
        <w:pStyle w:val="Prrafodelista"/>
      </w:pPr>
    </w:p>
    <w:p w:rsidR="00244767" w:rsidRPr="00F255C4" w:rsidRDefault="00F255C4" w:rsidP="0059524E">
      <w:pPr>
        <w:pStyle w:val="Prrafodelista"/>
        <w:numPr>
          <w:ilvl w:val="0"/>
          <w:numId w:val="4"/>
        </w:numPr>
        <w:tabs>
          <w:tab w:val="left" w:pos="284"/>
          <w:tab w:val="right" w:pos="567"/>
          <w:tab w:val="left" w:pos="8222"/>
        </w:tabs>
        <w:ind w:left="0" w:right="-234" w:firstLine="0"/>
        <w:jc w:val="both"/>
      </w:pPr>
      <w:r w:rsidRPr="00F255C4">
        <w:t xml:space="preserve">La </w:t>
      </w:r>
      <w:r w:rsidRPr="00F255C4">
        <w:t xml:space="preserve">Corte ha establecido que no se encuentran comprendidas por esta reserva </w:t>
      </w:r>
      <w:r w:rsidRPr="00F255C4">
        <w:t xml:space="preserve">disposiciones </w:t>
      </w:r>
      <w:r w:rsidRPr="00F255C4">
        <w:rPr>
          <w:bCs/>
        </w:rPr>
        <w:t>que</w:t>
      </w:r>
      <w:r w:rsidRPr="00F255C4">
        <w:rPr>
          <w:bCs/>
        </w:rPr>
        <w:t xml:space="preserve"> regulan</w:t>
      </w:r>
      <w:r w:rsidRPr="00F255C4">
        <w:rPr>
          <w:bCs/>
        </w:rPr>
        <w:t xml:space="preserve"> </w:t>
      </w:r>
      <w:r w:rsidRPr="00F255C4">
        <w:rPr>
          <w:bCs/>
        </w:rPr>
        <w:t xml:space="preserve">(i) </w:t>
      </w:r>
      <w:r w:rsidRPr="00F255C4">
        <w:t xml:space="preserve">el trabajo </w:t>
      </w:r>
      <w:r w:rsidRPr="00F255C4">
        <w:t>en casa</w:t>
      </w:r>
      <w:r w:rsidRPr="00F255C4">
        <w:rPr>
          <w:rStyle w:val="Refdenotaalpie"/>
        </w:rPr>
        <w:footnoteReference w:id="55"/>
      </w:r>
      <w:r w:rsidRPr="00F255C4">
        <w:t xml:space="preserve">; (ii) </w:t>
      </w:r>
      <w:r w:rsidRPr="00F255C4">
        <w:t xml:space="preserve">la asistencia militar cuando se presenten </w:t>
      </w:r>
      <w:r w:rsidRPr="00F255C4">
        <w:rPr>
          <w:iCs/>
          <w:shd w:val="clear" w:color="auto" w:fill="FFFFFF"/>
        </w:rPr>
        <w:t>hechos de grave alteración de la seguridad y la convivencia</w:t>
      </w:r>
      <w:r w:rsidRPr="00F255C4">
        <w:rPr>
          <w:rStyle w:val="Refdenotaalpie"/>
          <w:bCs/>
        </w:rPr>
        <w:footnoteReference w:id="56"/>
      </w:r>
      <w:r w:rsidRPr="00F255C4">
        <w:rPr>
          <w:bCs/>
        </w:rPr>
        <w:t>;</w:t>
      </w:r>
      <w:r w:rsidRPr="00F255C4">
        <w:rPr>
          <w:bCs/>
        </w:rPr>
        <w:t xml:space="preserve"> </w:t>
      </w:r>
      <w:r w:rsidRPr="00F255C4">
        <w:rPr>
          <w:bCs/>
        </w:rPr>
        <w:t xml:space="preserve">(iii) </w:t>
      </w:r>
      <w:r w:rsidRPr="00F255C4">
        <w:rPr>
          <w:bCs/>
        </w:rPr>
        <w:t>los eventos en los que no</w:t>
      </w:r>
      <w:r w:rsidRPr="00F255C4">
        <w:rPr>
          <w:bCs/>
        </w:rPr>
        <w:t xml:space="preserve"> se requiere</w:t>
      </w:r>
      <w:r w:rsidRPr="00F255C4">
        <w:rPr>
          <w:bCs/>
        </w:rPr>
        <w:t xml:space="preserve"> autorización judicial para retirar servidores públicos con fuero sindical</w:t>
      </w:r>
      <w:r w:rsidRPr="00F255C4">
        <w:rPr>
          <w:rStyle w:val="Refdenotaalpie"/>
          <w:bCs/>
        </w:rPr>
        <w:footnoteReference w:id="57"/>
      </w:r>
      <w:r w:rsidRPr="00F255C4">
        <w:rPr>
          <w:bCs/>
        </w:rPr>
        <w:t>; (i</w:t>
      </w:r>
      <w:r w:rsidRPr="00F255C4">
        <w:rPr>
          <w:bCs/>
        </w:rPr>
        <w:t>v</w:t>
      </w:r>
      <w:r w:rsidRPr="00F255C4">
        <w:rPr>
          <w:bCs/>
        </w:rPr>
        <w:t>) el reemplazo</w:t>
      </w:r>
      <w:r w:rsidRPr="00F255C4">
        <w:rPr>
          <w:bCs/>
        </w:rPr>
        <w:t xml:space="preserve"> de un régimen de interdicción por el sistema de apoyos para la protección de las personas en situación de discapacidad</w:t>
      </w:r>
      <w:r w:rsidRPr="00F255C4">
        <w:rPr>
          <w:rStyle w:val="Refdenotaalpie"/>
          <w:bCs/>
        </w:rPr>
        <w:footnoteReference w:id="58"/>
      </w:r>
      <w:r w:rsidRPr="00F255C4">
        <w:rPr>
          <w:bCs/>
        </w:rPr>
        <w:t>; (v)</w:t>
      </w:r>
      <w:r w:rsidRPr="00F255C4">
        <w:rPr>
          <w:bCs/>
        </w:rPr>
        <w:t xml:space="preserve"> </w:t>
      </w:r>
      <w:r w:rsidRPr="00F255C4">
        <w:rPr>
          <w:bCs/>
        </w:rPr>
        <w:t xml:space="preserve">los </w:t>
      </w:r>
      <w:r w:rsidRPr="00F255C4">
        <w:rPr>
          <w:bCs/>
        </w:rPr>
        <w:t xml:space="preserve">instrumentos para conferir </w:t>
      </w:r>
      <w:r w:rsidRPr="00F255C4">
        <w:rPr>
          <w:shd w:val="clear" w:color="auto" w:fill="FFFFFF"/>
        </w:rPr>
        <w:t xml:space="preserve">mayores garantías e incentivos a los actores del sector TIC y modernizar el marco institucional de </w:t>
      </w:r>
      <w:r w:rsidRPr="00F255C4">
        <w:rPr>
          <w:shd w:val="clear" w:color="auto" w:fill="FFFFFF"/>
        </w:rPr>
        <w:t>las TIC</w:t>
      </w:r>
      <w:r w:rsidRPr="00F255C4">
        <w:rPr>
          <w:rStyle w:val="Refdenotaalpie"/>
          <w:shd w:val="clear" w:color="auto" w:fill="FFFFFF"/>
        </w:rPr>
        <w:footnoteReference w:id="59"/>
      </w:r>
      <w:r w:rsidRPr="00F255C4">
        <w:rPr>
          <w:shd w:val="clear" w:color="auto" w:fill="FFFFFF"/>
        </w:rPr>
        <w:t xml:space="preserve">; </w:t>
      </w:r>
      <w:r w:rsidRPr="00F255C4">
        <w:rPr>
          <w:shd w:val="clear" w:color="auto" w:fill="FFFFFF"/>
        </w:rPr>
        <w:t>(v</w:t>
      </w:r>
      <w:r w:rsidRPr="00F255C4">
        <w:rPr>
          <w:shd w:val="clear" w:color="auto" w:fill="FFFFFF"/>
        </w:rPr>
        <w:t>i</w:t>
      </w:r>
      <w:r w:rsidRPr="00F255C4">
        <w:rPr>
          <w:shd w:val="clear" w:color="auto" w:fill="FFFFFF"/>
        </w:rPr>
        <w:t>) la</w:t>
      </w:r>
      <w:r w:rsidRPr="00F255C4">
        <w:rPr>
          <w:shd w:val="clear" w:color="auto" w:fill="FFFFFF"/>
        </w:rPr>
        <w:t>s</w:t>
      </w:r>
      <w:r w:rsidRPr="00F255C4">
        <w:rPr>
          <w:shd w:val="clear" w:color="auto" w:fill="FFFFFF"/>
        </w:rPr>
        <w:t xml:space="preserve"> competencias para otorgar o renovar permisos de uso del espectro radioeléctrico</w:t>
      </w:r>
      <w:r w:rsidRPr="00F255C4">
        <w:rPr>
          <w:rStyle w:val="Refdenotaalpie"/>
          <w:shd w:val="clear" w:color="auto" w:fill="FFFFFF"/>
        </w:rPr>
        <w:footnoteReference w:id="60"/>
      </w:r>
      <w:r w:rsidRPr="00F255C4">
        <w:rPr>
          <w:shd w:val="clear" w:color="auto" w:fill="FFFFFF"/>
        </w:rPr>
        <w:t>;</w:t>
      </w:r>
      <w:r w:rsidRPr="00F255C4">
        <w:rPr>
          <w:shd w:val="clear" w:color="auto" w:fill="FFFFFF"/>
        </w:rPr>
        <w:t xml:space="preserve"> </w:t>
      </w:r>
      <w:r w:rsidRPr="00F255C4">
        <w:rPr>
          <w:shd w:val="clear" w:color="auto" w:fill="FFFFFF"/>
        </w:rPr>
        <w:t xml:space="preserve">y </w:t>
      </w:r>
      <w:r w:rsidRPr="00F255C4">
        <w:rPr>
          <w:shd w:val="clear" w:color="auto" w:fill="FFFFFF"/>
        </w:rPr>
        <w:t>(</w:t>
      </w:r>
      <w:r w:rsidRPr="00F255C4">
        <w:rPr>
          <w:shd w:val="clear" w:color="auto" w:fill="FFFFFF"/>
        </w:rPr>
        <w:t>vi</w:t>
      </w:r>
      <w:r w:rsidRPr="00F255C4">
        <w:rPr>
          <w:shd w:val="clear" w:color="auto" w:fill="FFFFFF"/>
        </w:rPr>
        <w:t>i</w:t>
      </w:r>
      <w:r w:rsidRPr="00F255C4">
        <w:rPr>
          <w:shd w:val="clear" w:color="auto" w:fill="FFFFFF"/>
        </w:rPr>
        <w:t xml:space="preserve">) </w:t>
      </w:r>
      <w:r w:rsidRPr="00F255C4">
        <w:rPr>
          <w:bCs/>
        </w:rPr>
        <w:t xml:space="preserve">la </w:t>
      </w:r>
      <w:r w:rsidRPr="00F255C4">
        <w:rPr>
          <w:spacing w:val="4"/>
          <w:shd w:val="clear" w:color="auto" w:fill="FFFFFF"/>
        </w:rPr>
        <w:t>suspensión provisional de los funcionarios de elección popular</w:t>
      </w:r>
      <w:r w:rsidRPr="00F255C4">
        <w:rPr>
          <w:rStyle w:val="Refdenotaalpie"/>
          <w:spacing w:val="4"/>
          <w:shd w:val="clear" w:color="auto" w:fill="FFFFFF"/>
        </w:rPr>
        <w:footnoteReference w:id="61"/>
      </w:r>
      <w:r w:rsidRPr="00F255C4">
        <w:rPr>
          <w:spacing w:val="4"/>
          <w:shd w:val="clear" w:color="auto" w:fill="FFFFFF"/>
        </w:rPr>
        <w:t>.</w:t>
      </w:r>
      <w:r w:rsidRPr="00F255C4">
        <w:rPr>
          <w:spacing w:val="4"/>
          <w:shd w:val="clear" w:color="auto" w:fill="FFFFFF"/>
        </w:rPr>
        <w:t xml:space="preserve"> </w:t>
      </w:r>
    </w:p>
    <w:p w:rsidR="00244767" w:rsidRPr="00F255C4" w:rsidRDefault="00F255C4" w:rsidP="00244767">
      <w:pPr>
        <w:pStyle w:val="Prrafodelista"/>
        <w:rPr>
          <w:spacing w:val="4"/>
          <w:shd w:val="clear" w:color="auto" w:fill="FFFFFF"/>
        </w:rPr>
      </w:pPr>
    </w:p>
    <w:p w:rsidR="00DD5A96"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spacing w:val="4"/>
          <w:shd w:val="clear" w:color="auto" w:fill="FFFFFF"/>
        </w:rPr>
        <w:t>Igualmente ha excluido de dicha reserva</w:t>
      </w:r>
      <w:r w:rsidRPr="00F255C4">
        <w:rPr>
          <w:spacing w:val="4"/>
          <w:shd w:val="clear" w:color="auto" w:fill="FFFFFF"/>
        </w:rPr>
        <w:t xml:space="preserve"> las normas relativas a</w:t>
      </w:r>
      <w:r w:rsidRPr="00F255C4">
        <w:rPr>
          <w:spacing w:val="4"/>
          <w:shd w:val="clear" w:color="auto" w:fill="FFFFFF"/>
        </w:rPr>
        <w:t xml:space="preserve"> </w:t>
      </w:r>
      <w:r w:rsidRPr="00F255C4">
        <w:rPr>
          <w:spacing w:val="4"/>
          <w:shd w:val="clear" w:color="auto" w:fill="FFFFFF"/>
        </w:rPr>
        <w:t>(v</w:t>
      </w:r>
      <w:r w:rsidRPr="00F255C4">
        <w:rPr>
          <w:spacing w:val="4"/>
          <w:shd w:val="clear" w:color="auto" w:fill="FFFFFF"/>
        </w:rPr>
        <w:t>ii</w:t>
      </w:r>
      <w:r w:rsidRPr="00F255C4">
        <w:rPr>
          <w:spacing w:val="4"/>
          <w:shd w:val="clear" w:color="auto" w:fill="FFFFFF"/>
        </w:rPr>
        <w:t>i</w:t>
      </w:r>
      <w:r w:rsidRPr="00F255C4">
        <w:rPr>
          <w:spacing w:val="4"/>
          <w:shd w:val="clear" w:color="auto" w:fill="FFFFFF"/>
        </w:rPr>
        <w:t xml:space="preserve">) la </w:t>
      </w:r>
      <w:r w:rsidRPr="00F255C4">
        <w:rPr>
          <w:spacing w:val="4"/>
          <w:shd w:val="clear" w:color="auto" w:fill="FFFFFF"/>
        </w:rPr>
        <w:t>autorización para que l</w:t>
      </w:r>
      <w:r w:rsidRPr="00F255C4">
        <w:rPr>
          <w:shd w:val="clear" w:color="auto" w:fill="FFFFFF"/>
        </w:rPr>
        <w:t>os alcaldes determinen horarios de funcionamiento de establecimientos privados</w:t>
      </w:r>
      <w:r w:rsidRPr="00F255C4">
        <w:rPr>
          <w:shd w:val="clear" w:color="auto" w:fill="FFFFFF"/>
        </w:rPr>
        <w:t xml:space="preserve"> y</w:t>
      </w:r>
      <w:r w:rsidRPr="00F255C4">
        <w:rPr>
          <w:shd w:val="clear" w:color="auto" w:fill="FFFFFF"/>
        </w:rPr>
        <w:t xml:space="preserve"> para que la policía ingrese a tales establecimientos</w:t>
      </w:r>
      <w:r w:rsidRPr="00F255C4">
        <w:rPr>
          <w:rStyle w:val="Refdenotaalpie"/>
          <w:shd w:val="clear" w:color="auto" w:fill="FFFFFF"/>
        </w:rPr>
        <w:footnoteReference w:id="62"/>
      </w:r>
      <w:r w:rsidRPr="00F255C4">
        <w:rPr>
          <w:shd w:val="clear" w:color="auto" w:fill="FFFFFF"/>
        </w:rPr>
        <w:t>; (</w:t>
      </w:r>
      <w:r w:rsidRPr="00F255C4">
        <w:rPr>
          <w:shd w:val="clear" w:color="auto" w:fill="FFFFFF"/>
        </w:rPr>
        <w:t>x</w:t>
      </w:r>
      <w:r w:rsidRPr="00F255C4">
        <w:rPr>
          <w:shd w:val="clear" w:color="auto" w:fill="FFFFFF"/>
        </w:rPr>
        <w:t xml:space="preserve">) </w:t>
      </w:r>
      <w:r w:rsidRPr="00F255C4">
        <w:rPr>
          <w:shd w:val="clear" w:color="auto" w:fill="FFFFFF"/>
        </w:rPr>
        <w:t xml:space="preserve">la identificación de algunos eventos </w:t>
      </w:r>
      <w:r w:rsidRPr="00F255C4">
        <w:rPr>
          <w:shd w:val="clear" w:color="auto" w:fill="FFFFFF"/>
        </w:rPr>
        <w:t xml:space="preserve">de privación ilegal de la libertad que hacen procedente </w:t>
      </w:r>
      <w:r w:rsidRPr="00F255C4">
        <w:rPr>
          <w:shd w:val="clear" w:color="auto" w:fill="FFFFFF"/>
        </w:rPr>
        <w:t>el habeas corpus</w:t>
      </w:r>
      <w:r w:rsidRPr="00F255C4">
        <w:rPr>
          <w:rStyle w:val="Refdenotaalpie"/>
          <w:shd w:val="clear" w:color="auto" w:fill="FFFFFF"/>
        </w:rPr>
        <w:footnoteReference w:id="63"/>
      </w:r>
      <w:r w:rsidRPr="00F255C4">
        <w:rPr>
          <w:shd w:val="clear" w:color="auto" w:fill="FFFFFF"/>
        </w:rPr>
        <w:t>;</w:t>
      </w:r>
      <w:r w:rsidRPr="00F255C4">
        <w:rPr>
          <w:shd w:val="clear" w:color="auto" w:fill="FFFFFF"/>
        </w:rPr>
        <w:t xml:space="preserve"> </w:t>
      </w:r>
      <w:r w:rsidRPr="00F255C4">
        <w:rPr>
          <w:shd w:val="clear" w:color="auto" w:fill="FFFFFF"/>
        </w:rPr>
        <w:t>(</w:t>
      </w:r>
      <w:r w:rsidRPr="00F255C4">
        <w:rPr>
          <w:shd w:val="clear" w:color="auto" w:fill="FFFFFF"/>
        </w:rPr>
        <w:t>x</w:t>
      </w:r>
      <w:r w:rsidRPr="00F255C4">
        <w:rPr>
          <w:shd w:val="clear" w:color="auto" w:fill="FFFFFF"/>
        </w:rPr>
        <w:t>i</w:t>
      </w:r>
      <w:r w:rsidRPr="00F255C4">
        <w:rPr>
          <w:shd w:val="clear" w:color="auto" w:fill="FFFFFF"/>
        </w:rPr>
        <w:t xml:space="preserve">) </w:t>
      </w:r>
      <w:r w:rsidRPr="00F255C4">
        <w:rPr>
          <w:bCs/>
          <w:shd w:val="clear" w:color="auto" w:fill="FFFFFF"/>
          <w:lang w:val="es-ES"/>
        </w:rPr>
        <w:t>los recursos contra los actos administrativos y su agotamiento como requisito de procedibilidad de las acciones contencioso administrativas</w:t>
      </w:r>
      <w:r w:rsidRPr="00F255C4">
        <w:rPr>
          <w:rStyle w:val="Refdenotaalpie"/>
          <w:bCs/>
          <w:shd w:val="clear" w:color="auto" w:fill="FFFFFF"/>
          <w:lang w:val="es-ES"/>
        </w:rPr>
        <w:footnoteReference w:id="64"/>
      </w:r>
      <w:r w:rsidRPr="00F255C4">
        <w:rPr>
          <w:bCs/>
          <w:shd w:val="clear" w:color="auto" w:fill="FFFFFF"/>
          <w:lang w:val="es-ES"/>
        </w:rPr>
        <w:t>;</w:t>
      </w:r>
      <w:r w:rsidRPr="00F255C4">
        <w:rPr>
          <w:shd w:val="clear" w:color="auto" w:fill="FFFFFF"/>
        </w:rPr>
        <w:t xml:space="preserve"> </w:t>
      </w:r>
      <w:r w:rsidRPr="00F255C4">
        <w:rPr>
          <w:shd w:val="clear" w:color="auto" w:fill="FFFFFF"/>
        </w:rPr>
        <w:t>(x</w:t>
      </w:r>
      <w:r w:rsidRPr="00F255C4">
        <w:rPr>
          <w:shd w:val="clear" w:color="auto" w:fill="FFFFFF"/>
        </w:rPr>
        <w:t>ii</w:t>
      </w:r>
      <w:r w:rsidRPr="00F255C4">
        <w:rPr>
          <w:shd w:val="clear" w:color="auto" w:fill="FFFFFF"/>
        </w:rPr>
        <w:t>)</w:t>
      </w:r>
      <w:r w:rsidRPr="00F255C4">
        <w:rPr>
          <w:shd w:val="clear" w:color="auto" w:fill="FFFFFF"/>
        </w:rPr>
        <w:t xml:space="preserve"> la concreción de </w:t>
      </w:r>
      <w:r w:rsidRPr="00F255C4">
        <w:rPr>
          <w:shd w:val="clear" w:color="auto" w:fill="FFFFFF"/>
        </w:rPr>
        <w:t xml:space="preserve">una </w:t>
      </w:r>
      <w:r w:rsidRPr="00F255C4">
        <w:rPr>
          <w:shd w:val="clear" w:color="auto" w:fill="FFFFFF"/>
        </w:rPr>
        <w:t>faceta de accesibilidad y eliminación de barreras</w:t>
      </w:r>
      <w:r w:rsidRPr="00F255C4">
        <w:rPr>
          <w:shd w:val="clear" w:color="auto" w:fill="FFFFFF"/>
        </w:rPr>
        <w:t xml:space="preserve"> para el acceso a obras literarias, científicas o artísticas -entre otras- por parte de personas en situación de discapacidad</w:t>
      </w:r>
      <w:r w:rsidRPr="00F255C4">
        <w:rPr>
          <w:rStyle w:val="Refdenotaalpie"/>
          <w:shd w:val="clear" w:color="auto" w:fill="FFFFFF"/>
        </w:rPr>
        <w:footnoteReference w:id="65"/>
      </w:r>
      <w:r w:rsidRPr="00F255C4">
        <w:rPr>
          <w:shd w:val="clear" w:color="auto" w:fill="FFFFFF"/>
        </w:rPr>
        <w:t>; (x</w:t>
      </w:r>
      <w:r w:rsidRPr="00F255C4">
        <w:rPr>
          <w:shd w:val="clear" w:color="auto" w:fill="FFFFFF"/>
        </w:rPr>
        <w:t>i</w:t>
      </w:r>
      <w:r w:rsidRPr="00F255C4">
        <w:rPr>
          <w:shd w:val="clear" w:color="auto" w:fill="FFFFFF"/>
        </w:rPr>
        <w:t>ii</w:t>
      </w:r>
      <w:r w:rsidRPr="00F255C4">
        <w:rPr>
          <w:shd w:val="clear" w:color="auto" w:fill="FFFFFF"/>
        </w:rPr>
        <w:t xml:space="preserve">) </w:t>
      </w:r>
      <w:r w:rsidRPr="00F255C4">
        <w:t>las inhabilidades para el ejercicio de funciones públicas, para celebrar contratos o para prestar servicios públicos</w:t>
      </w:r>
      <w:r w:rsidRPr="00F255C4">
        <w:rPr>
          <w:rStyle w:val="Refdenotaalpie"/>
        </w:rPr>
        <w:footnoteReference w:id="66"/>
      </w:r>
      <w:r w:rsidRPr="00F255C4">
        <w:t>; (x</w:t>
      </w:r>
      <w:r w:rsidRPr="00F255C4">
        <w:t>i</w:t>
      </w:r>
      <w:r w:rsidRPr="00F255C4">
        <w:t>v</w:t>
      </w:r>
      <w:r w:rsidRPr="00F255C4">
        <w:t>)</w:t>
      </w:r>
      <w:r w:rsidRPr="00F255C4">
        <w:t xml:space="preserve"> la suscripción de documentos de voluntad anticipada</w:t>
      </w:r>
      <w:r w:rsidRPr="00F255C4">
        <w:rPr>
          <w:rStyle w:val="Refdenotaalpie"/>
        </w:rPr>
        <w:footnoteReference w:id="67"/>
      </w:r>
      <w:r w:rsidRPr="00F255C4">
        <w:t>;</w:t>
      </w:r>
      <w:r w:rsidRPr="00F255C4">
        <w:t xml:space="preserve"> (xv)</w:t>
      </w:r>
      <w:r w:rsidRPr="00F255C4">
        <w:t xml:space="preserve"> </w:t>
      </w:r>
      <w:r w:rsidRPr="00F255C4">
        <w:t>los derechos de las víctimas en procesos de justicia y paz</w:t>
      </w:r>
      <w:r w:rsidRPr="00F255C4">
        <w:rPr>
          <w:rStyle w:val="Refdenotaalpie"/>
        </w:rPr>
        <w:footnoteReference w:id="68"/>
      </w:r>
      <w:r w:rsidRPr="00F255C4">
        <w:t>;</w:t>
      </w:r>
      <w:r w:rsidRPr="00F255C4">
        <w:rPr>
          <w:shd w:val="clear" w:color="auto" w:fill="FFFFFF"/>
        </w:rPr>
        <w:t xml:space="preserve"> </w:t>
      </w:r>
      <w:r w:rsidRPr="00F255C4">
        <w:rPr>
          <w:shd w:val="clear" w:color="auto" w:fill="FFFFFF"/>
        </w:rPr>
        <w:t xml:space="preserve"> (x</w:t>
      </w:r>
      <w:r w:rsidRPr="00F255C4">
        <w:rPr>
          <w:shd w:val="clear" w:color="auto" w:fill="FFFFFF"/>
        </w:rPr>
        <w:t>v</w:t>
      </w:r>
      <w:r w:rsidRPr="00F255C4">
        <w:rPr>
          <w:shd w:val="clear" w:color="auto" w:fill="FFFFFF"/>
        </w:rPr>
        <w:t>i</w:t>
      </w:r>
      <w:r w:rsidRPr="00F255C4">
        <w:rPr>
          <w:shd w:val="clear" w:color="auto" w:fill="FFFFFF"/>
        </w:rPr>
        <w:t>) el incentivo económico en el trámite de las acciones populares</w:t>
      </w:r>
      <w:r w:rsidRPr="00F255C4">
        <w:rPr>
          <w:rStyle w:val="Refdenotaalpie"/>
          <w:shd w:val="clear" w:color="auto" w:fill="FFFFFF"/>
        </w:rPr>
        <w:footnoteReference w:id="69"/>
      </w:r>
      <w:r w:rsidRPr="00F255C4">
        <w:rPr>
          <w:shd w:val="clear" w:color="auto" w:fill="FFFFFF"/>
        </w:rPr>
        <w:t xml:space="preserve">; </w:t>
      </w:r>
      <w:r w:rsidRPr="00F255C4">
        <w:rPr>
          <w:shd w:val="clear" w:color="auto" w:fill="FFFFFF"/>
        </w:rPr>
        <w:t xml:space="preserve">y </w:t>
      </w:r>
      <w:r w:rsidRPr="00F255C4">
        <w:rPr>
          <w:shd w:val="clear" w:color="auto" w:fill="FFFFFF"/>
        </w:rPr>
        <w:t>(xv</w:t>
      </w:r>
      <w:r w:rsidRPr="00F255C4">
        <w:rPr>
          <w:shd w:val="clear" w:color="auto" w:fill="FFFFFF"/>
        </w:rPr>
        <w:t>i</w:t>
      </w:r>
      <w:r w:rsidRPr="00F255C4">
        <w:rPr>
          <w:shd w:val="clear" w:color="auto" w:fill="FFFFFF"/>
        </w:rPr>
        <w:t>i</w:t>
      </w:r>
      <w:r w:rsidRPr="00F255C4">
        <w:rPr>
          <w:shd w:val="clear" w:color="auto" w:fill="FFFFFF"/>
        </w:rPr>
        <w:t>) el deber de entregar a la administración tributaria</w:t>
      </w:r>
      <w:r w:rsidRPr="00F255C4">
        <w:rPr>
          <w:shd w:val="clear" w:color="auto" w:fill="FFFFFF"/>
        </w:rPr>
        <w:t xml:space="preserve"> información personal con el fin de realizar y controlar las obligaciones impositivas</w:t>
      </w:r>
      <w:r w:rsidRPr="00F255C4">
        <w:rPr>
          <w:rStyle w:val="Refdenotaalpie"/>
          <w:shd w:val="clear" w:color="auto" w:fill="FFFFFF"/>
        </w:rPr>
        <w:footnoteReference w:id="70"/>
      </w:r>
      <w:r w:rsidRPr="00F255C4">
        <w:rPr>
          <w:shd w:val="clear" w:color="auto" w:fill="FFFFFF"/>
        </w:rPr>
        <w:t>.</w:t>
      </w:r>
    </w:p>
    <w:p w:rsidR="00DD5A96" w:rsidRPr="00F255C4" w:rsidRDefault="00F255C4" w:rsidP="00DD5A96">
      <w:pPr>
        <w:pStyle w:val="Prrafodelista"/>
        <w:rPr>
          <w:shd w:val="clear" w:color="auto" w:fill="FFFFFF"/>
        </w:rPr>
      </w:pPr>
    </w:p>
    <w:p w:rsidR="00126E35"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shd w:val="clear" w:color="auto" w:fill="FFFFFF"/>
        </w:rPr>
        <w:t>A su vez ha encontrado</w:t>
      </w:r>
      <w:r w:rsidRPr="00F255C4">
        <w:rPr>
          <w:shd w:val="clear" w:color="auto" w:fill="FFFFFF"/>
        </w:rPr>
        <w:t xml:space="preserve"> cubierta</w:t>
      </w:r>
      <w:r w:rsidRPr="00F255C4">
        <w:rPr>
          <w:shd w:val="clear" w:color="auto" w:fill="FFFFFF"/>
        </w:rPr>
        <w:t xml:space="preserve"> por la reserva de ley estatutaria</w:t>
      </w:r>
      <w:r w:rsidRPr="00F255C4">
        <w:rPr>
          <w:shd w:val="clear" w:color="auto" w:fill="FFFFFF"/>
        </w:rPr>
        <w:t xml:space="preserve"> en materia de derechos fundamentales</w:t>
      </w:r>
      <w:r w:rsidRPr="00F255C4">
        <w:rPr>
          <w:shd w:val="clear" w:color="auto" w:fill="FFFFFF"/>
        </w:rPr>
        <w:t xml:space="preserve"> </w:t>
      </w:r>
      <w:r w:rsidRPr="00F255C4">
        <w:rPr>
          <w:shd w:val="clear" w:color="auto" w:fill="FFFFFF"/>
        </w:rPr>
        <w:t>la regulación relativa</w:t>
      </w:r>
      <w:r w:rsidRPr="00F255C4">
        <w:rPr>
          <w:shd w:val="clear" w:color="auto" w:fill="FFFFFF"/>
        </w:rPr>
        <w:t>, entre otras cosas,</w:t>
      </w:r>
      <w:r w:rsidRPr="00F255C4">
        <w:rPr>
          <w:shd w:val="clear" w:color="auto" w:fill="FFFFFF"/>
        </w:rPr>
        <w:t xml:space="preserve"> </w:t>
      </w:r>
      <w:r w:rsidRPr="00F255C4">
        <w:rPr>
          <w:shd w:val="clear" w:color="auto" w:fill="FFFFFF"/>
        </w:rPr>
        <w:t>(i</w:t>
      </w:r>
      <w:r w:rsidRPr="00F255C4">
        <w:rPr>
          <w:shd w:val="clear" w:color="auto" w:fill="FFFFFF"/>
        </w:rPr>
        <w:t>)</w:t>
      </w:r>
      <w:r w:rsidRPr="00F255C4">
        <w:rPr>
          <w:shd w:val="clear" w:color="auto" w:fill="FFFFFF"/>
        </w:rPr>
        <w:t xml:space="preserve"> </w:t>
      </w:r>
      <w:r w:rsidRPr="00F255C4">
        <w:rPr>
          <w:shd w:val="clear" w:color="auto" w:fill="FFFFFF"/>
        </w:rPr>
        <w:t xml:space="preserve">a </w:t>
      </w:r>
      <w:r w:rsidRPr="00F255C4">
        <w:rPr>
          <w:shd w:val="clear" w:color="auto" w:fill="FFFFFF"/>
        </w:rPr>
        <w:t>las condiciones</w:t>
      </w:r>
      <w:r w:rsidRPr="00F255C4">
        <w:rPr>
          <w:shd w:val="clear" w:color="auto" w:fill="FFFFFF"/>
        </w:rPr>
        <w:t xml:space="preserve"> de ejercicio de los derechos de reunión y protesta pública pacífica</w:t>
      </w:r>
      <w:r w:rsidRPr="00F255C4">
        <w:rPr>
          <w:rStyle w:val="Refdenotaalpie"/>
          <w:shd w:val="clear" w:color="auto" w:fill="FFFFFF"/>
        </w:rPr>
        <w:footnoteReference w:id="71"/>
      </w:r>
      <w:r w:rsidRPr="00F255C4">
        <w:rPr>
          <w:shd w:val="clear" w:color="auto" w:fill="FFFFFF"/>
        </w:rPr>
        <w:t xml:space="preserve">; (ii) </w:t>
      </w:r>
      <w:r w:rsidRPr="00F255C4">
        <w:rPr>
          <w:shd w:val="clear" w:color="auto" w:fill="FFFFFF"/>
        </w:rPr>
        <w:t xml:space="preserve">a </w:t>
      </w:r>
      <w:r w:rsidRPr="00F255C4">
        <w:rPr>
          <w:shd w:val="clear" w:color="auto" w:fill="FFFFFF"/>
        </w:rPr>
        <w:t xml:space="preserve">la aplicación del incidente de impacto fiscal </w:t>
      </w:r>
      <w:r w:rsidRPr="00F255C4">
        <w:rPr>
          <w:shd w:val="clear" w:color="auto" w:fill="FFFFFF"/>
        </w:rPr>
        <w:t>en</w:t>
      </w:r>
      <w:r w:rsidRPr="00F255C4">
        <w:rPr>
          <w:shd w:val="clear" w:color="auto" w:fill="FFFFFF"/>
        </w:rPr>
        <w:t xml:space="preserve"> las sentencias de tutela</w:t>
      </w:r>
      <w:r w:rsidRPr="00F255C4">
        <w:rPr>
          <w:rStyle w:val="Refdenotaalpie"/>
          <w:shd w:val="clear" w:color="auto" w:fill="FFFFFF"/>
        </w:rPr>
        <w:footnoteReference w:id="72"/>
      </w:r>
      <w:r w:rsidRPr="00F255C4">
        <w:rPr>
          <w:shd w:val="clear" w:color="auto" w:fill="FFFFFF"/>
        </w:rPr>
        <w:t xml:space="preserve">; </w:t>
      </w:r>
      <w:r w:rsidRPr="00F255C4">
        <w:rPr>
          <w:shd w:val="clear" w:color="auto" w:fill="FFFFFF"/>
        </w:rPr>
        <w:t xml:space="preserve">(iii) </w:t>
      </w:r>
      <w:r w:rsidRPr="00F255C4">
        <w:rPr>
          <w:shd w:val="clear" w:color="auto" w:fill="FFFFFF"/>
        </w:rPr>
        <w:t xml:space="preserve">a </w:t>
      </w:r>
      <w:r w:rsidRPr="00F255C4">
        <w:rPr>
          <w:shd w:val="clear" w:color="auto" w:fill="FFFFFF"/>
        </w:rPr>
        <w:t xml:space="preserve">las </w:t>
      </w:r>
      <w:r w:rsidRPr="00F255C4">
        <w:rPr>
          <w:iCs/>
          <w:shd w:val="clear" w:color="auto" w:fill="FFFFFF"/>
          <w:lang w:val="es-ES_tradnl"/>
        </w:rPr>
        <w:t>actividades de inteligencia y contrainteligencia</w:t>
      </w:r>
      <w:r w:rsidRPr="00F255C4">
        <w:rPr>
          <w:rStyle w:val="Refdenotaalpie"/>
          <w:iCs/>
          <w:shd w:val="clear" w:color="auto" w:fill="FFFFFF"/>
          <w:lang w:val="es-ES_tradnl"/>
        </w:rPr>
        <w:footnoteReference w:id="73"/>
      </w:r>
      <w:r w:rsidRPr="00F255C4">
        <w:rPr>
          <w:iCs/>
          <w:shd w:val="clear" w:color="auto" w:fill="FFFFFF"/>
          <w:lang w:val="es-ES_tradnl"/>
        </w:rPr>
        <w:t xml:space="preserve">; (iv) </w:t>
      </w:r>
      <w:r w:rsidRPr="00F255C4">
        <w:rPr>
          <w:shd w:val="clear" w:color="auto" w:fill="FFFFFF"/>
        </w:rPr>
        <w:t>al</w:t>
      </w:r>
      <w:r w:rsidRPr="00F255C4">
        <w:rPr>
          <w:shd w:val="clear" w:color="auto" w:fill="FFFFFF"/>
        </w:rPr>
        <w:t xml:space="preserve"> derecho de petición regulado en el CPACA</w:t>
      </w:r>
      <w:r w:rsidRPr="00F255C4">
        <w:rPr>
          <w:rStyle w:val="Refdenotaalpie"/>
          <w:shd w:val="clear" w:color="auto" w:fill="FFFFFF"/>
        </w:rPr>
        <w:footnoteReference w:id="74"/>
      </w:r>
      <w:r w:rsidRPr="00F255C4">
        <w:rPr>
          <w:shd w:val="clear" w:color="auto" w:fill="FFFFFF"/>
        </w:rPr>
        <w:t>; (v)</w:t>
      </w:r>
      <w:r w:rsidRPr="00F255C4">
        <w:rPr>
          <w:shd w:val="clear" w:color="auto" w:fill="FFFFFF"/>
        </w:rPr>
        <w:t xml:space="preserve"> al habeas data financiero</w:t>
      </w:r>
      <w:r w:rsidRPr="00F255C4">
        <w:rPr>
          <w:rStyle w:val="Refdenotaalpie"/>
          <w:shd w:val="clear" w:color="auto" w:fill="FFFFFF"/>
        </w:rPr>
        <w:footnoteReference w:id="75"/>
      </w:r>
      <w:r w:rsidRPr="00F255C4">
        <w:rPr>
          <w:shd w:val="clear" w:color="auto" w:fill="FFFFFF"/>
        </w:rPr>
        <w:t xml:space="preserve">; (vi) </w:t>
      </w:r>
      <w:r w:rsidRPr="00F255C4">
        <w:rPr>
          <w:shd w:val="clear" w:color="auto" w:fill="FFFFFF"/>
        </w:rPr>
        <w:t>a la caducidad del dato negativo contenido en bases de datos</w:t>
      </w:r>
      <w:r w:rsidRPr="00F255C4">
        <w:rPr>
          <w:rStyle w:val="Refdenotaalpie"/>
          <w:shd w:val="clear" w:color="auto" w:fill="FFFFFF"/>
        </w:rPr>
        <w:footnoteReference w:id="76"/>
      </w:r>
      <w:r w:rsidRPr="00F255C4">
        <w:rPr>
          <w:shd w:val="clear" w:color="auto" w:fill="FFFFFF"/>
        </w:rPr>
        <w:t xml:space="preserve">; </w:t>
      </w:r>
      <w:r w:rsidRPr="00F255C4">
        <w:rPr>
          <w:shd w:val="clear" w:color="auto" w:fill="FFFFFF"/>
        </w:rPr>
        <w:t xml:space="preserve">(vii) </w:t>
      </w:r>
      <w:r w:rsidRPr="00F255C4">
        <w:rPr>
          <w:shd w:val="clear" w:color="auto" w:fill="FFFFFF"/>
        </w:rPr>
        <w:t>al ejercicio de</w:t>
      </w:r>
      <w:r w:rsidRPr="00F255C4">
        <w:rPr>
          <w:shd w:val="clear" w:color="auto" w:fill="FFFFFF"/>
        </w:rPr>
        <w:t>l habeas corpus</w:t>
      </w:r>
      <w:r w:rsidRPr="00F255C4">
        <w:rPr>
          <w:rStyle w:val="Refdenotaalpie"/>
          <w:shd w:val="clear" w:color="auto" w:fill="FFFFFF"/>
        </w:rPr>
        <w:footnoteReference w:id="77"/>
      </w:r>
      <w:r w:rsidRPr="00F255C4">
        <w:rPr>
          <w:shd w:val="clear" w:color="auto" w:fill="FFFFFF"/>
        </w:rPr>
        <w:t xml:space="preserve">; </w:t>
      </w:r>
      <w:r w:rsidRPr="00F255C4">
        <w:rPr>
          <w:shd w:val="clear" w:color="auto" w:fill="FFFFFF"/>
        </w:rPr>
        <w:t xml:space="preserve">y </w:t>
      </w:r>
      <w:r w:rsidRPr="00F255C4">
        <w:rPr>
          <w:shd w:val="clear" w:color="auto" w:fill="FFFFFF"/>
        </w:rPr>
        <w:t>(v</w:t>
      </w:r>
      <w:r w:rsidRPr="00F255C4">
        <w:rPr>
          <w:shd w:val="clear" w:color="auto" w:fill="FFFFFF"/>
        </w:rPr>
        <w:t>ii</w:t>
      </w:r>
      <w:r w:rsidRPr="00F255C4">
        <w:rPr>
          <w:shd w:val="clear" w:color="auto" w:fill="FFFFFF"/>
        </w:rPr>
        <w:t>i</w:t>
      </w:r>
      <w:r w:rsidRPr="00F255C4">
        <w:rPr>
          <w:shd w:val="clear" w:color="auto" w:fill="FFFFFF"/>
        </w:rPr>
        <w:t xml:space="preserve">) </w:t>
      </w:r>
      <w:r w:rsidRPr="00F255C4">
        <w:rPr>
          <w:shd w:val="clear" w:color="auto" w:fill="FFFFFF"/>
        </w:rPr>
        <w:t xml:space="preserve">a </w:t>
      </w:r>
      <w:r w:rsidRPr="00F255C4">
        <w:rPr>
          <w:shd w:val="clear" w:color="auto" w:fill="FFFFFF"/>
        </w:rPr>
        <w:t>la forma y procedimientos conforme a los cuales la administrac</w:t>
      </w:r>
      <w:r w:rsidRPr="00F255C4">
        <w:rPr>
          <w:shd w:val="clear" w:color="auto" w:fill="FFFFFF"/>
        </w:rPr>
        <w:t>ión puede proceder a la recolección, tratamiento y circulación de datos personales</w:t>
      </w:r>
      <w:r w:rsidRPr="00F255C4">
        <w:rPr>
          <w:rStyle w:val="Refdenotaalpie"/>
          <w:shd w:val="clear" w:color="auto" w:fill="FFFFFF"/>
        </w:rPr>
        <w:footnoteReference w:id="78"/>
      </w:r>
      <w:r w:rsidRPr="00F255C4">
        <w:rPr>
          <w:shd w:val="clear" w:color="auto" w:fill="FFFFFF"/>
        </w:rPr>
        <w:t xml:space="preserve">. </w:t>
      </w:r>
    </w:p>
    <w:p w:rsidR="006A6B80" w:rsidRPr="00F255C4" w:rsidRDefault="00F255C4" w:rsidP="006A6B80">
      <w:pPr>
        <w:pStyle w:val="Prrafodelista"/>
      </w:pPr>
    </w:p>
    <w:p w:rsidR="00126E35" w:rsidRPr="00F255C4" w:rsidRDefault="00F255C4" w:rsidP="0059524E">
      <w:pPr>
        <w:pStyle w:val="Prrafodelista"/>
        <w:numPr>
          <w:ilvl w:val="0"/>
          <w:numId w:val="4"/>
        </w:numPr>
        <w:tabs>
          <w:tab w:val="left" w:pos="284"/>
          <w:tab w:val="right" w:pos="567"/>
          <w:tab w:val="left" w:pos="8222"/>
        </w:tabs>
        <w:ind w:left="0" w:right="-234" w:firstLine="0"/>
        <w:jc w:val="both"/>
      </w:pPr>
      <w:r w:rsidRPr="00F255C4">
        <w:t>La</w:t>
      </w:r>
      <w:r w:rsidRPr="00F255C4">
        <w:t xml:space="preserve">s decisiones de este tribunal </w:t>
      </w:r>
      <w:r w:rsidRPr="00F255C4">
        <w:t>muestra</w:t>
      </w:r>
      <w:r w:rsidRPr="00F255C4">
        <w:t xml:space="preserve">n </w:t>
      </w:r>
      <w:r w:rsidRPr="00F255C4">
        <w:t>un significativo esfuerzo</w:t>
      </w:r>
      <w:r w:rsidRPr="00F255C4">
        <w:t xml:space="preserve"> en la identificación de pautas </w:t>
      </w:r>
      <w:r w:rsidRPr="00F255C4">
        <w:t xml:space="preserve">metodológicas para </w:t>
      </w:r>
      <w:r w:rsidRPr="00F255C4">
        <w:t xml:space="preserve">realizar </w:t>
      </w:r>
      <w:r w:rsidRPr="00F255C4">
        <w:t>el examen constitucional</w:t>
      </w:r>
      <w:r w:rsidRPr="00F255C4">
        <w:t>.</w:t>
      </w:r>
      <w:r w:rsidRPr="00F255C4">
        <w:t xml:space="preserve"> </w:t>
      </w:r>
      <w:r w:rsidRPr="00F255C4">
        <w:t>Igualmente</w:t>
      </w:r>
      <w:r w:rsidRPr="00F255C4">
        <w:t xml:space="preserve"> evidencian</w:t>
      </w:r>
      <w:r w:rsidRPr="00F255C4">
        <w:t xml:space="preserve"> </w:t>
      </w:r>
      <w:r w:rsidRPr="00F255C4">
        <w:t>el</w:t>
      </w:r>
      <w:r w:rsidRPr="00F255C4">
        <w:t xml:space="preserve"> </w:t>
      </w:r>
      <w:r w:rsidRPr="00F255C4">
        <w:t xml:space="preserve">particular </w:t>
      </w:r>
      <w:r w:rsidRPr="00F255C4">
        <w:t xml:space="preserve">escrutinio </w:t>
      </w:r>
      <w:r w:rsidRPr="00F255C4">
        <w:t>de cada</w:t>
      </w:r>
      <w:r w:rsidRPr="00F255C4">
        <w:t xml:space="preserve"> disposición</w:t>
      </w:r>
      <w:r w:rsidRPr="00F255C4">
        <w:t xml:space="preserve"> a efectos de</w:t>
      </w:r>
      <w:r w:rsidRPr="00F255C4">
        <w:t xml:space="preserve"> identificar si</w:t>
      </w:r>
      <w:r w:rsidRPr="00F255C4">
        <w:t>, en función de</w:t>
      </w:r>
      <w:r w:rsidRPr="00F255C4">
        <w:t xml:space="preserve"> su</w:t>
      </w:r>
      <w:r w:rsidRPr="00F255C4">
        <w:t xml:space="preserve"> contenido,</w:t>
      </w:r>
      <w:r w:rsidRPr="00F255C4">
        <w:t xml:space="preserve"> queda comprendida por la reserva</w:t>
      </w:r>
      <w:r w:rsidRPr="00F255C4">
        <w:t xml:space="preserve"> establecida en el artículo 152 de la Carta</w:t>
      </w:r>
      <w:r w:rsidRPr="00F255C4">
        <w:t xml:space="preserve">.  </w:t>
      </w:r>
    </w:p>
    <w:p w:rsidR="005834F4" w:rsidRPr="00F255C4" w:rsidRDefault="00F255C4" w:rsidP="005834F4">
      <w:pPr>
        <w:pStyle w:val="Prrafodelista"/>
        <w:tabs>
          <w:tab w:val="left" w:pos="284"/>
          <w:tab w:val="right" w:pos="567"/>
          <w:tab w:val="left" w:pos="8222"/>
        </w:tabs>
        <w:ind w:left="0" w:right="-234"/>
        <w:jc w:val="both"/>
      </w:pPr>
    </w:p>
    <w:p w:rsidR="005C4288" w:rsidRPr="00F255C4" w:rsidRDefault="00F255C4" w:rsidP="005C4288">
      <w:pPr>
        <w:pStyle w:val="Prrafodelista"/>
        <w:numPr>
          <w:ilvl w:val="0"/>
          <w:numId w:val="3"/>
        </w:numPr>
        <w:ind w:right="-234"/>
        <w:jc w:val="both"/>
        <w:rPr>
          <w:shd w:val="clear" w:color="auto" w:fill="FFFFFF"/>
        </w:rPr>
      </w:pPr>
      <w:r w:rsidRPr="00F255C4">
        <w:rPr>
          <w:b/>
          <w:shd w:val="clear" w:color="auto" w:fill="FFFFFF"/>
        </w:rPr>
        <w:t xml:space="preserve">La </w:t>
      </w:r>
      <w:r w:rsidRPr="00F255C4">
        <w:rPr>
          <w:b/>
          <w:shd w:val="clear" w:color="auto" w:fill="FFFFFF"/>
        </w:rPr>
        <w:t>L</w:t>
      </w:r>
      <w:r w:rsidRPr="00F255C4">
        <w:rPr>
          <w:b/>
          <w:shd w:val="clear" w:color="auto" w:fill="FFFFFF"/>
        </w:rPr>
        <w:t>ey 2300 de 2023 no desconoció la reserva de ley estatutari</w:t>
      </w:r>
      <w:r w:rsidRPr="00F255C4">
        <w:rPr>
          <w:b/>
          <w:shd w:val="clear" w:color="auto" w:fill="FFFFFF"/>
        </w:rPr>
        <w:t>a en materia de derechos fundamentales</w:t>
      </w:r>
    </w:p>
    <w:p w:rsidR="005C4288" w:rsidRPr="00F255C4" w:rsidRDefault="00F255C4" w:rsidP="005C4288">
      <w:pPr>
        <w:pStyle w:val="Prrafodelista"/>
        <w:tabs>
          <w:tab w:val="left" w:pos="284"/>
          <w:tab w:val="right" w:pos="567"/>
          <w:tab w:val="left" w:pos="8222"/>
        </w:tabs>
        <w:ind w:left="0" w:right="-234"/>
        <w:jc w:val="both"/>
      </w:pPr>
    </w:p>
    <w:p w:rsidR="004430DD"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shd w:val="clear" w:color="auto" w:fill="FFFFFF"/>
        </w:rPr>
        <w:t>Para la Corte la Ley 2300 de 2023 no desconoce la reserva de ley estatutaria prevista en el artículo 152.a de la Constitución. En efecto</w:t>
      </w:r>
      <w:r w:rsidRPr="00F255C4">
        <w:rPr>
          <w:shd w:val="clear" w:color="auto" w:fill="FFFFFF"/>
        </w:rPr>
        <w:t>,</w:t>
      </w:r>
      <w:r w:rsidRPr="00F255C4">
        <w:rPr>
          <w:shd w:val="clear" w:color="auto" w:fill="FFFFFF"/>
        </w:rPr>
        <w:t xml:space="preserve"> si bien la regulación “</w:t>
      </w:r>
      <w:r w:rsidRPr="00F255C4">
        <w:rPr>
          <w:i/>
          <w:shd w:val="clear" w:color="auto" w:fill="FFFFFF"/>
        </w:rPr>
        <w:t>trata de un derecho fundamental</w:t>
      </w:r>
      <w:r w:rsidRPr="00F255C4">
        <w:rPr>
          <w:shd w:val="clear" w:color="auto" w:fill="FFFFFF"/>
        </w:rPr>
        <w:t>”</w:t>
      </w:r>
      <w:r w:rsidRPr="00F255C4">
        <w:rPr>
          <w:shd w:val="clear" w:color="auto" w:fill="FFFFFF"/>
        </w:rPr>
        <w:t xml:space="preserve"> </w:t>
      </w:r>
      <w:r w:rsidRPr="00F255C4">
        <w:rPr>
          <w:shd w:val="clear" w:color="auto" w:fill="FFFFFF"/>
        </w:rPr>
        <w:t>su</w:t>
      </w:r>
      <w:r w:rsidRPr="00F255C4">
        <w:rPr>
          <w:shd w:val="clear" w:color="auto" w:fill="FFFFFF"/>
        </w:rPr>
        <w:t xml:space="preserve"> contenido no satisface las condiciones previstas por este tribunal para entender activada dicha reserva. A continuación, se fundamenta esta conclusión. </w:t>
      </w:r>
    </w:p>
    <w:p w:rsidR="004430DD" w:rsidRPr="00F255C4" w:rsidRDefault="00F255C4" w:rsidP="004430DD">
      <w:pPr>
        <w:pStyle w:val="Prrafodelista"/>
        <w:rPr>
          <w:shd w:val="clear" w:color="auto" w:fill="FFFFFF"/>
        </w:rPr>
      </w:pPr>
    </w:p>
    <w:p w:rsidR="005C7A1C"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shd w:val="clear" w:color="auto" w:fill="FFFFFF"/>
        </w:rPr>
        <w:t>La</w:t>
      </w:r>
      <w:r w:rsidRPr="00F255C4">
        <w:rPr>
          <w:shd w:val="clear" w:color="auto" w:fill="FFFFFF"/>
        </w:rPr>
        <w:t xml:space="preserve"> ley acusada tiene una conexión con los derechos fundamentales</w:t>
      </w:r>
      <w:r w:rsidRPr="00F255C4">
        <w:rPr>
          <w:shd w:val="clear" w:color="auto" w:fill="FFFFFF"/>
        </w:rPr>
        <w:t xml:space="preserve"> reconocidos en el artículo 15 de la </w:t>
      </w:r>
      <w:r w:rsidRPr="00F255C4">
        <w:rPr>
          <w:shd w:val="clear" w:color="auto" w:fill="FFFFFF"/>
        </w:rPr>
        <w:t xml:space="preserve">Constitución: </w:t>
      </w:r>
      <w:r w:rsidRPr="00F255C4">
        <w:rPr>
          <w:shd w:val="clear" w:color="auto" w:fill="FFFFFF"/>
        </w:rPr>
        <w:t xml:space="preserve">a la intimidad, </w:t>
      </w:r>
      <w:r w:rsidRPr="00F255C4">
        <w:rPr>
          <w:shd w:val="clear" w:color="auto" w:fill="FFFFFF"/>
        </w:rPr>
        <w:t>al</w:t>
      </w:r>
      <w:r w:rsidRPr="00F255C4">
        <w:rPr>
          <w:shd w:val="clear" w:color="auto" w:fill="FFFFFF"/>
        </w:rPr>
        <w:t xml:space="preserve"> habeas data y al buen nombre. </w:t>
      </w:r>
      <w:r w:rsidRPr="00F255C4">
        <w:rPr>
          <w:shd w:val="clear" w:color="auto" w:fill="FFFFFF"/>
        </w:rPr>
        <w:t>Esta conclusión se fundamenta en</w:t>
      </w:r>
      <w:r w:rsidRPr="00F255C4">
        <w:rPr>
          <w:shd w:val="clear" w:color="auto" w:fill="FFFFFF"/>
        </w:rPr>
        <w:t xml:space="preserve"> al menos dos</w:t>
      </w:r>
      <w:r w:rsidRPr="00F255C4">
        <w:rPr>
          <w:shd w:val="clear" w:color="auto" w:fill="FFFFFF"/>
        </w:rPr>
        <w:t xml:space="preserve"> razones. Primero</w:t>
      </w:r>
      <w:r w:rsidRPr="00F255C4">
        <w:rPr>
          <w:shd w:val="clear" w:color="auto" w:fill="FFFFFF"/>
        </w:rPr>
        <w:t>.</w:t>
      </w:r>
      <w:r w:rsidRPr="00F255C4">
        <w:rPr>
          <w:shd w:val="clear" w:color="auto" w:fill="FFFFFF"/>
        </w:rPr>
        <w:t xml:space="preserve"> </w:t>
      </w:r>
      <w:r w:rsidRPr="00F255C4">
        <w:rPr>
          <w:shd w:val="clear" w:color="auto" w:fill="FFFFFF"/>
        </w:rPr>
        <w:t>D</w:t>
      </w:r>
      <w:r w:rsidRPr="00F255C4">
        <w:rPr>
          <w:shd w:val="clear" w:color="auto" w:fill="FFFFFF"/>
        </w:rPr>
        <w:t xml:space="preserve">el título de la </w:t>
      </w:r>
      <w:r w:rsidRPr="00F255C4">
        <w:rPr>
          <w:shd w:val="clear" w:color="auto" w:fill="FFFFFF"/>
        </w:rPr>
        <w:t>l</w:t>
      </w:r>
      <w:r w:rsidRPr="00F255C4">
        <w:rPr>
          <w:shd w:val="clear" w:color="auto" w:fill="FFFFFF"/>
        </w:rPr>
        <w:t xml:space="preserve">ey y </w:t>
      </w:r>
      <w:r w:rsidRPr="00F255C4">
        <w:rPr>
          <w:shd w:val="clear" w:color="auto" w:fill="FFFFFF"/>
        </w:rPr>
        <w:t>de su</w:t>
      </w:r>
      <w:r w:rsidRPr="00F255C4">
        <w:rPr>
          <w:shd w:val="clear" w:color="auto" w:fill="FFFFFF"/>
        </w:rPr>
        <w:t xml:space="preserve"> objeto </w:t>
      </w:r>
      <w:r w:rsidRPr="00F255C4">
        <w:rPr>
          <w:shd w:val="clear" w:color="auto" w:fill="FFFFFF"/>
        </w:rPr>
        <w:t>-</w:t>
      </w:r>
      <w:r w:rsidRPr="00F255C4">
        <w:rPr>
          <w:shd w:val="clear" w:color="auto" w:fill="FFFFFF"/>
        </w:rPr>
        <w:t>definido en el artículo 1</w:t>
      </w:r>
      <w:r w:rsidRPr="00F255C4">
        <w:rPr>
          <w:shd w:val="clear" w:color="auto" w:fill="FFFFFF"/>
        </w:rPr>
        <w:t>-</w:t>
      </w:r>
      <w:r w:rsidRPr="00F255C4">
        <w:rPr>
          <w:shd w:val="clear" w:color="auto" w:fill="FFFFFF"/>
        </w:rPr>
        <w:t xml:space="preserve"> se desprende que su</w:t>
      </w:r>
      <w:r w:rsidRPr="00F255C4">
        <w:rPr>
          <w:shd w:val="clear" w:color="auto" w:fill="FFFFFF"/>
        </w:rPr>
        <w:t xml:space="preserve"> propósito particular</w:t>
      </w:r>
      <w:r w:rsidRPr="00F255C4">
        <w:rPr>
          <w:shd w:val="clear" w:color="auto" w:fill="FFFFFF"/>
        </w:rPr>
        <w:t xml:space="preserve"> </w:t>
      </w:r>
      <w:r w:rsidRPr="00F255C4">
        <w:rPr>
          <w:shd w:val="clear" w:color="auto" w:fill="FFFFFF"/>
        </w:rPr>
        <w:t>consist</w:t>
      </w:r>
      <w:r w:rsidRPr="00F255C4">
        <w:rPr>
          <w:shd w:val="clear" w:color="auto" w:fill="FFFFFF"/>
        </w:rPr>
        <w:t>ió</w:t>
      </w:r>
      <w:r w:rsidRPr="00F255C4">
        <w:rPr>
          <w:shd w:val="clear" w:color="auto" w:fill="FFFFFF"/>
        </w:rPr>
        <w:t xml:space="preserve"> en la adopción</w:t>
      </w:r>
      <w:r w:rsidRPr="00F255C4">
        <w:rPr>
          <w:shd w:val="clear" w:color="auto" w:fill="FFFFFF"/>
        </w:rPr>
        <w:t xml:space="preserve"> de </w:t>
      </w:r>
      <w:r w:rsidRPr="00F255C4">
        <w:rPr>
          <w:shd w:val="clear" w:color="auto" w:fill="FFFFFF"/>
        </w:rPr>
        <w:t>medidas para pro</w:t>
      </w:r>
      <w:r w:rsidRPr="00F255C4">
        <w:rPr>
          <w:shd w:val="clear" w:color="auto" w:fill="FFFFFF"/>
        </w:rPr>
        <w:t xml:space="preserve">teger el derecho a la intimidad. </w:t>
      </w:r>
      <w:r w:rsidRPr="00F255C4">
        <w:rPr>
          <w:shd w:val="clear" w:color="auto" w:fill="FFFFFF"/>
        </w:rPr>
        <w:t>Ello fue</w:t>
      </w:r>
      <w:r w:rsidRPr="00F255C4">
        <w:rPr>
          <w:shd w:val="clear" w:color="auto" w:fill="FFFFFF"/>
        </w:rPr>
        <w:t xml:space="preserve"> advertido</w:t>
      </w:r>
      <w:r w:rsidRPr="00F255C4">
        <w:rPr>
          <w:shd w:val="clear" w:color="auto" w:fill="FFFFFF"/>
        </w:rPr>
        <w:t xml:space="preserve"> en el curso </w:t>
      </w:r>
      <w:r w:rsidRPr="00F255C4">
        <w:rPr>
          <w:shd w:val="clear" w:color="auto" w:fill="FFFFFF"/>
        </w:rPr>
        <w:t>d</w:t>
      </w:r>
      <w:r w:rsidRPr="00F255C4">
        <w:rPr>
          <w:shd w:val="clear" w:color="auto" w:fill="FFFFFF"/>
        </w:rPr>
        <w:t>el trámite legislativo</w:t>
      </w:r>
      <w:r w:rsidRPr="00F255C4">
        <w:rPr>
          <w:shd w:val="clear" w:color="auto" w:fill="FFFFFF"/>
        </w:rPr>
        <w:t>,</w:t>
      </w:r>
      <w:r w:rsidRPr="00F255C4">
        <w:rPr>
          <w:shd w:val="clear" w:color="auto" w:fill="FFFFFF"/>
        </w:rPr>
        <w:t xml:space="preserve"> tal y como </w:t>
      </w:r>
      <w:r w:rsidRPr="00F255C4">
        <w:rPr>
          <w:shd w:val="clear" w:color="auto" w:fill="FFFFFF"/>
        </w:rPr>
        <w:t xml:space="preserve">se indicó en </w:t>
      </w:r>
      <w:r w:rsidRPr="00F255C4">
        <w:rPr>
          <w:shd w:val="clear" w:color="auto" w:fill="FFFFFF"/>
        </w:rPr>
        <w:t xml:space="preserve">los informes de ponencia presentados </w:t>
      </w:r>
      <w:r w:rsidRPr="00F255C4">
        <w:rPr>
          <w:shd w:val="clear" w:color="auto" w:fill="FFFFFF"/>
        </w:rPr>
        <w:t xml:space="preserve">en cada </w:t>
      </w:r>
      <w:r w:rsidRPr="00F255C4">
        <w:rPr>
          <w:shd w:val="clear" w:color="auto" w:fill="FFFFFF"/>
        </w:rPr>
        <w:t>uno de los debates</w:t>
      </w:r>
      <w:r w:rsidRPr="00F255C4">
        <w:rPr>
          <w:rStyle w:val="Refdenotaalpie"/>
          <w:shd w:val="clear" w:color="auto" w:fill="FFFFFF"/>
        </w:rPr>
        <w:footnoteReference w:id="79"/>
      </w:r>
      <w:r w:rsidRPr="00F255C4">
        <w:rPr>
          <w:shd w:val="clear" w:color="auto" w:fill="FFFFFF"/>
        </w:rPr>
        <w:t xml:space="preserve">. </w:t>
      </w:r>
    </w:p>
    <w:p w:rsidR="005C7A1C" w:rsidRPr="00F255C4" w:rsidRDefault="00F255C4" w:rsidP="005C7A1C">
      <w:pPr>
        <w:pStyle w:val="Prrafodelista"/>
        <w:rPr>
          <w:shd w:val="clear" w:color="auto" w:fill="FFFFFF"/>
        </w:rPr>
      </w:pPr>
    </w:p>
    <w:p w:rsidR="00672D2C" w:rsidRPr="00F255C4" w:rsidRDefault="00F255C4" w:rsidP="0059524E">
      <w:pPr>
        <w:pStyle w:val="Prrafodelista"/>
        <w:numPr>
          <w:ilvl w:val="0"/>
          <w:numId w:val="4"/>
        </w:numPr>
        <w:tabs>
          <w:tab w:val="left" w:pos="284"/>
          <w:tab w:val="right" w:pos="567"/>
          <w:tab w:val="left" w:pos="8222"/>
        </w:tabs>
        <w:ind w:left="0" w:right="-234" w:firstLine="0"/>
        <w:jc w:val="both"/>
        <w:rPr>
          <w:shd w:val="clear" w:color="auto" w:fill="FFFFFF"/>
        </w:rPr>
      </w:pPr>
      <w:r w:rsidRPr="00F255C4">
        <w:rPr>
          <w:shd w:val="clear" w:color="auto" w:fill="FFFFFF"/>
        </w:rPr>
        <w:t xml:space="preserve">En contra de esta conclusión podría sostenerse, tal y </w:t>
      </w:r>
      <w:r w:rsidRPr="00F255C4">
        <w:rPr>
          <w:shd w:val="clear" w:color="auto" w:fill="FFFFFF"/>
        </w:rPr>
        <w:t>como lo</w:t>
      </w:r>
      <w:r w:rsidRPr="00F255C4">
        <w:rPr>
          <w:shd w:val="clear" w:color="auto" w:fill="FFFFFF"/>
        </w:rPr>
        <w:t xml:space="preserve"> propuso</w:t>
      </w:r>
      <w:r w:rsidRPr="00F255C4">
        <w:rPr>
          <w:shd w:val="clear" w:color="auto" w:fill="FFFFFF"/>
        </w:rPr>
        <w:t xml:space="preserve"> en su intervención la procuradora general de la Nación, </w:t>
      </w:r>
      <w:r w:rsidRPr="00F255C4">
        <w:rPr>
          <w:shd w:val="clear" w:color="auto" w:fill="FFFFFF"/>
        </w:rPr>
        <w:t>que</w:t>
      </w:r>
      <w:r w:rsidRPr="00F255C4">
        <w:rPr>
          <w:shd w:val="clear" w:color="auto" w:fill="FFFFFF"/>
        </w:rPr>
        <w:t xml:space="preserve"> los derechos de los consumidores son derechos colectivos</w:t>
      </w:r>
      <w:r w:rsidRPr="00F255C4">
        <w:rPr>
          <w:shd w:val="clear" w:color="auto" w:fill="FFFFFF"/>
        </w:rPr>
        <w:t>. Ello</w:t>
      </w:r>
      <w:r w:rsidRPr="00F255C4">
        <w:rPr>
          <w:shd w:val="clear" w:color="auto" w:fill="FFFFFF"/>
        </w:rPr>
        <w:t xml:space="preserve"> excluiría, de</w:t>
      </w:r>
      <w:r w:rsidRPr="00F255C4">
        <w:rPr>
          <w:shd w:val="clear" w:color="auto" w:fill="FFFFFF"/>
        </w:rPr>
        <w:t>sde el principio,</w:t>
      </w:r>
      <w:r w:rsidRPr="00F255C4">
        <w:rPr>
          <w:shd w:val="clear" w:color="auto" w:fill="FFFFFF"/>
        </w:rPr>
        <w:t xml:space="preserve"> la activación de la reserva de ley estatutaria. No obstante, </w:t>
      </w:r>
      <w:r w:rsidRPr="00F255C4">
        <w:rPr>
          <w:shd w:val="clear" w:color="auto" w:fill="FFFFFF"/>
        </w:rPr>
        <w:t xml:space="preserve">si bien es </w:t>
      </w:r>
      <w:r w:rsidRPr="00F255C4">
        <w:rPr>
          <w:shd w:val="clear" w:color="auto" w:fill="FFFFFF"/>
        </w:rPr>
        <w:t xml:space="preserve">cierto que la </w:t>
      </w:r>
      <w:r w:rsidRPr="00F255C4">
        <w:rPr>
          <w:shd w:val="clear" w:color="auto" w:fill="FFFFFF"/>
        </w:rPr>
        <w:t>Ley 2300 de 2023 establece reglas relativas a las relaciones de consumo</w:t>
      </w:r>
      <w:r w:rsidRPr="00F255C4">
        <w:rPr>
          <w:shd w:val="clear" w:color="auto" w:fill="FFFFFF"/>
        </w:rPr>
        <w:t xml:space="preserve">, </w:t>
      </w:r>
      <w:r w:rsidRPr="00F255C4">
        <w:rPr>
          <w:shd w:val="clear" w:color="auto" w:fill="FFFFFF"/>
        </w:rPr>
        <w:t>su contenido versa sobre las manifestaciones individuales de su protección</w:t>
      </w:r>
      <w:r w:rsidRPr="00F255C4">
        <w:rPr>
          <w:shd w:val="clear" w:color="auto" w:fill="FFFFFF"/>
        </w:rPr>
        <w:t>,</w:t>
      </w:r>
      <w:r w:rsidRPr="00F255C4">
        <w:rPr>
          <w:shd w:val="clear" w:color="auto" w:fill="FFFFFF"/>
        </w:rPr>
        <w:t xml:space="preserve"> de modo que no resulta factible excluir, de plano, su relación con los derechos fundamentales. </w:t>
      </w:r>
    </w:p>
    <w:p w:rsidR="0020797A" w:rsidRPr="00F255C4" w:rsidRDefault="00F255C4" w:rsidP="0020797A">
      <w:pPr>
        <w:pStyle w:val="Prrafodelista"/>
        <w:tabs>
          <w:tab w:val="left" w:pos="284"/>
          <w:tab w:val="right" w:pos="567"/>
          <w:tab w:val="left" w:pos="8222"/>
        </w:tabs>
        <w:ind w:left="0" w:right="-234"/>
        <w:jc w:val="both"/>
        <w:rPr>
          <w:shd w:val="clear" w:color="auto" w:fill="FFFFFF"/>
        </w:rPr>
      </w:pPr>
    </w:p>
    <w:p w:rsidR="003013B8"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shd w:val="clear" w:color="auto" w:fill="FFFFFF"/>
        </w:rPr>
        <w:t>Segundo.</w:t>
      </w:r>
      <w:r w:rsidRPr="00F255C4">
        <w:rPr>
          <w:shd w:val="clear" w:color="auto" w:fill="FFFFFF"/>
        </w:rPr>
        <w:t xml:space="preserve"> </w:t>
      </w:r>
      <w:r w:rsidRPr="00F255C4">
        <w:rPr>
          <w:shd w:val="clear" w:color="auto" w:fill="FFFFFF"/>
        </w:rPr>
        <w:t>L</w:t>
      </w:r>
      <w:r w:rsidRPr="00F255C4">
        <w:rPr>
          <w:shd w:val="clear" w:color="auto" w:fill="FFFFFF"/>
        </w:rPr>
        <w:t>a jurisprudencia constitucional</w:t>
      </w:r>
      <w:r w:rsidRPr="00F255C4">
        <w:rPr>
          <w:shd w:val="clear" w:color="auto" w:fill="FFFFFF"/>
        </w:rPr>
        <w:t xml:space="preserve"> </w:t>
      </w:r>
      <w:r w:rsidRPr="00F255C4">
        <w:rPr>
          <w:shd w:val="clear" w:color="auto" w:fill="FFFFFF"/>
        </w:rPr>
        <w:t>muestra que las diferentes formas de comunicación y actuación empleadas para gestionar el pago de</w:t>
      </w:r>
      <w:r w:rsidRPr="00F255C4">
        <w:rPr>
          <w:shd w:val="clear" w:color="auto" w:fill="FFFFFF"/>
        </w:rPr>
        <w:t xml:space="preserve"> </w:t>
      </w:r>
      <w:r w:rsidRPr="00F255C4">
        <w:rPr>
          <w:shd w:val="clear" w:color="auto" w:fill="FFFFFF"/>
        </w:rPr>
        <w:t xml:space="preserve">créditos insolutos de consumidores o para desarrollar las actividades de mercadeo o publicidad </w:t>
      </w:r>
      <w:r w:rsidRPr="00F255C4">
        <w:rPr>
          <w:shd w:val="clear" w:color="auto" w:fill="FFFFFF"/>
        </w:rPr>
        <w:t>mediante el envío de mensajes a</w:t>
      </w:r>
      <w:r w:rsidRPr="00F255C4">
        <w:rPr>
          <w:shd w:val="clear" w:color="auto" w:fill="FFFFFF"/>
        </w:rPr>
        <w:t xml:space="preserve"> los consumidores</w:t>
      </w:r>
      <w:r w:rsidRPr="00F255C4">
        <w:rPr>
          <w:shd w:val="clear" w:color="auto" w:fill="FFFFFF"/>
        </w:rPr>
        <w:t>,</w:t>
      </w:r>
      <w:r w:rsidRPr="00F255C4">
        <w:rPr>
          <w:shd w:val="clear" w:color="auto" w:fill="FFFFFF"/>
        </w:rPr>
        <w:t xml:space="preserve"> </w:t>
      </w:r>
      <w:r w:rsidRPr="00F255C4">
        <w:rPr>
          <w:shd w:val="clear" w:color="auto" w:fill="FFFFFF"/>
        </w:rPr>
        <w:t>pueden</w:t>
      </w:r>
      <w:r w:rsidRPr="00F255C4">
        <w:rPr>
          <w:shd w:val="clear" w:color="auto" w:fill="FFFFFF"/>
        </w:rPr>
        <w:t xml:space="preserve"> vulnerar </w:t>
      </w:r>
      <w:r w:rsidRPr="00F255C4">
        <w:rPr>
          <w:shd w:val="clear" w:color="auto" w:fill="FFFFFF"/>
        </w:rPr>
        <w:t>los derechos fundamentales</w:t>
      </w:r>
      <w:r w:rsidRPr="00F255C4">
        <w:rPr>
          <w:shd w:val="clear" w:color="auto" w:fill="FFFFFF"/>
        </w:rPr>
        <w:t xml:space="preserve"> referidos. </w:t>
      </w:r>
    </w:p>
    <w:p w:rsidR="003013B8" w:rsidRPr="00F255C4" w:rsidRDefault="00F255C4" w:rsidP="003013B8">
      <w:pPr>
        <w:pStyle w:val="Prrafodelista"/>
        <w:rPr>
          <w:shd w:val="clear" w:color="auto" w:fill="FFFFFF"/>
        </w:rPr>
      </w:pPr>
    </w:p>
    <w:p w:rsidR="00EE55FF"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shd w:val="clear" w:color="auto" w:fill="FFFFFF"/>
        </w:rPr>
        <w:t>De esta forma la gestión de cobranza y la remisión de propaganda comercial sin límites claros y sin la autorización de</w:t>
      </w:r>
      <w:r w:rsidRPr="00F255C4">
        <w:rPr>
          <w:shd w:val="clear" w:color="auto" w:fill="FFFFFF"/>
        </w:rPr>
        <w:t xml:space="preserve"> sus destinatarios</w:t>
      </w:r>
      <w:r w:rsidRPr="00F255C4">
        <w:rPr>
          <w:shd w:val="clear" w:color="auto" w:fill="FFFFFF"/>
        </w:rPr>
        <w:t xml:space="preserve">, </w:t>
      </w:r>
      <w:r w:rsidRPr="00F255C4">
        <w:rPr>
          <w:shd w:val="clear" w:color="auto" w:fill="FFFFFF"/>
        </w:rPr>
        <w:t>afecta la intimidad de las personas y, de s</w:t>
      </w:r>
      <w:r w:rsidRPr="00F255C4">
        <w:rPr>
          <w:shd w:val="clear" w:color="auto" w:fill="FFFFFF"/>
        </w:rPr>
        <w:t>er conocidos por otros,</w:t>
      </w:r>
      <w:r w:rsidRPr="00F255C4">
        <w:rPr>
          <w:shd w:val="clear" w:color="auto" w:fill="FFFFFF"/>
        </w:rPr>
        <w:t xml:space="preserve"> </w:t>
      </w:r>
      <w:r w:rsidRPr="00F255C4">
        <w:rPr>
          <w:shd w:val="clear" w:color="auto" w:fill="FFFFFF"/>
        </w:rPr>
        <w:t xml:space="preserve">impacta </w:t>
      </w:r>
      <w:r w:rsidRPr="00F255C4">
        <w:rPr>
          <w:shd w:val="clear" w:color="auto" w:fill="FFFFFF"/>
        </w:rPr>
        <w:t>el derecho</w:t>
      </w:r>
      <w:r w:rsidRPr="00F255C4">
        <w:rPr>
          <w:shd w:val="clear" w:color="auto" w:fill="FFFFFF"/>
        </w:rPr>
        <w:t xml:space="preserve"> </w:t>
      </w:r>
      <w:r w:rsidRPr="00F255C4">
        <w:rPr>
          <w:shd w:val="clear" w:color="auto" w:fill="FFFFFF"/>
        </w:rPr>
        <w:t>al</w:t>
      </w:r>
      <w:r w:rsidRPr="00F255C4">
        <w:rPr>
          <w:shd w:val="clear" w:color="auto" w:fill="FFFFFF"/>
        </w:rPr>
        <w:t xml:space="preserve"> buen nombre.</w:t>
      </w:r>
      <w:r w:rsidRPr="00F255C4">
        <w:rPr>
          <w:shd w:val="clear" w:color="auto" w:fill="FFFFFF"/>
        </w:rPr>
        <w:t xml:space="preserve"> Igualmente, el uso de datos personales recaudados </w:t>
      </w:r>
      <w:r w:rsidRPr="00F255C4">
        <w:rPr>
          <w:shd w:val="clear" w:color="auto" w:fill="FFFFFF"/>
        </w:rPr>
        <w:t xml:space="preserve">con ocasión de una </w:t>
      </w:r>
      <w:r w:rsidRPr="00F255C4">
        <w:rPr>
          <w:shd w:val="clear" w:color="auto" w:fill="FFFFFF"/>
        </w:rPr>
        <w:t>relación de consumo puede afectar el derecho al habeas data. Conforme a ello</w:t>
      </w:r>
      <w:r w:rsidRPr="00F255C4">
        <w:rPr>
          <w:shd w:val="clear" w:color="auto" w:fill="FFFFFF"/>
        </w:rPr>
        <w:t>,</w:t>
      </w:r>
      <w:r w:rsidRPr="00F255C4">
        <w:rPr>
          <w:shd w:val="clear" w:color="auto" w:fill="FFFFFF"/>
        </w:rPr>
        <w:t xml:space="preserve"> los derechos a no ser molestado en el ámbito privado, a que no se afecte la reputación o buena imagen y a la adecuada administración de datos personales </w:t>
      </w:r>
      <w:r w:rsidRPr="00F255C4">
        <w:rPr>
          <w:shd w:val="clear" w:color="auto" w:fill="FFFFFF"/>
        </w:rPr>
        <w:t>se relacionan con las disposiciones de la ley</w:t>
      </w:r>
      <w:r w:rsidRPr="00F255C4">
        <w:rPr>
          <w:shd w:val="clear" w:color="auto" w:fill="FFFFFF"/>
        </w:rPr>
        <w:t xml:space="preserve"> juzgada,</w:t>
      </w:r>
      <w:r w:rsidRPr="00F255C4">
        <w:rPr>
          <w:shd w:val="clear" w:color="auto" w:fill="FFFFFF"/>
        </w:rPr>
        <w:t xml:space="preserve"> tal y como lo muestran diferentes pronunciamien</w:t>
      </w:r>
      <w:r w:rsidRPr="00F255C4">
        <w:rPr>
          <w:shd w:val="clear" w:color="auto" w:fill="FFFFFF"/>
        </w:rPr>
        <w:t>tos de este tribunal (entre otras las sentencias T-412 de 1992, T-340 de 1993, T-411 de 1995, T-814 de 2003</w:t>
      </w:r>
      <w:r w:rsidRPr="00F255C4">
        <w:rPr>
          <w:shd w:val="clear" w:color="auto" w:fill="FFFFFF"/>
        </w:rPr>
        <w:t>,</w:t>
      </w:r>
      <w:r w:rsidRPr="00F255C4">
        <w:rPr>
          <w:shd w:val="clear" w:color="auto" w:fill="FFFFFF"/>
        </w:rPr>
        <w:t xml:space="preserve"> T-798 de 2007, T-304 de 2023 y T-384 de 2023)</w:t>
      </w:r>
      <w:r w:rsidRPr="00F255C4">
        <w:rPr>
          <w:shd w:val="clear" w:color="auto" w:fill="FFFFFF"/>
        </w:rPr>
        <w:t>.</w:t>
      </w:r>
      <w:r w:rsidRPr="00F255C4">
        <w:rPr>
          <w:shd w:val="clear" w:color="auto" w:fill="FFFFFF"/>
        </w:rPr>
        <w:t xml:space="preserve"> </w:t>
      </w:r>
    </w:p>
    <w:p w:rsidR="00EE55FF" w:rsidRPr="00F255C4" w:rsidRDefault="00F255C4" w:rsidP="00EE55FF">
      <w:pPr>
        <w:pStyle w:val="Prrafodelista"/>
        <w:rPr>
          <w:shd w:val="clear" w:color="auto" w:fill="FFFFFF"/>
        </w:rPr>
      </w:pPr>
    </w:p>
    <w:p w:rsidR="00C451A4"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shd w:val="clear" w:color="auto" w:fill="FFFFFF"/>
        </w:rPr>
        <w:t>L</w:t>
      </w:r>
      <w:r w:rsidRPr="00F255C4">
        <w:rPr>
          <w:shd w:val="clear" w:color="auto" w:fill="FFFFFF"/>
        </w:rPr>
        <w:t>a</w:t>
      </w:r>
      <w:r w:rsidRPr="00F255C4">
        <w:rPr>
          <w:shd w:val="clear" w:color="auto" w:fill="FFFFFF"/>
        </w:rPr>
        <w:t xml:space="preserve"> ley</w:t>
      </w:r>
      <w:r w:rsidRPr="00F255C4">
        <w:rPr>
          <w:shd w:val="clear" w:color="auto" w:fill="FFFFFF"/>
        </w:rPr>
        <w:t xml:space="preserve"> juzgada</w:t>
      </w:r>
      <w:r w:rsidRPr="00F255C4">
        <w:rPr>
          <w:shd w:val="clear" w:color="auto" w:fill="FFFFFF"/>
        </w:rPr>
        <w:t xml:space="preserve"> </w:t>
      </w:r>
      <w:r w:rsidRPr="00F255C4">
        <w:rPr>
          <w:shd w:val="clear" w:color="auto" w:fill="FFFFFF"/>
        </w:rPr>
        <w:t xml:space="preserve">también </w:t>
      </w:r>
      <w:r w:rsidRPr="00F255C4">
        <w:rPr>
          <w:shd w:val="clear" w:color="auto" w:fill="FFFFFF"/>
        </w:rPr>
        <w:t>hace eco</w:t>
      </w:r>
      <w:r w:rsidRPr="00F255C4">
        <w:rPr>
          <w:shd w:val="clear" w:color="auto" w:fill="FFFFFF"/>
        </w:rPr>
        <w:t>, en un</w:t>
      </w:r>
      <w:r w:rsidRPr="00F255C4">
        <w:rPr>
          <w:shd w:val="clear" w:color="auto" w:fill="FFFFFF"/>
        </w:rPr>
        <w:t xml:space="preserve"> ámbito diferente, </w:t>
      </w:r>
      <w:r w:rsidRPr="00F255C4">
        <w:rPr>
          <w:shd w:val="clear" w:color="auto" w:fill="FFFFFF"/>
        </w:rPr>
        <w:t>d</w:t>
      </w:r>
      <w:r w:rsidRPr="00F255C4">
        <w:rPr>
          <w:shd w:val="clear" w:color="auto" w:fill="FFFFFF"/>
        </w:rPr>
        <w:t>e</w:t>
      </w:r>
      <w:r w:rsidRPr="00F255C4">
        <w:rPr>
          <w:shd w:val="clear" w:color="auto" w:fill="FFFFFF"/>
        </w:rPr>
        <w:t xml:space="preserve"> los</w:t>
      </w:r>
      <w:r w:rsidRPr="00F255C4">
        <w:rPr>
          <w:shd w:val="clear" w:color="auto" w:fill="FFFFFF"/>
        </w:rPr>
        <w:t xml:space="preserve"> derecho</w:t>
      </w:r>
      <w:r w:rsidRPr="00F255C4">
        <w:rPr>
          <w:shd w:val="clear" w:color="auto" w:fill="FFFFFF"/>
        </w:rPr>
        <w:t>s</w:t>
      </w:r>
      <w:r w:rsidRPr="00F255C4">
        <w:rPr>
          <w:shd w:val="clear" w:color="auto" w:fill="FFFFFF"/>
        </w:rPr>
        <w:t xml:space="preserve"> al descanso</w:t>
      </w:r>
      <w:r w:rsidRPr="00F255C4">
        <w:rPr>
          <w:rStyle w:val="Refdenotaalpie"/>
          <w:shd w:val="clear" w:color="auto" w:fill="FFFFFF"/>
        </w:rPr>
        <w:footnoteReference w:id="80"/>
      </w:r>
      <w:r w:rsidRPr="00F255C4">
        <w:rPr>
          <w:shd w:val="clear" w:color="auto" w:fill="FFFFFF"/>
        </w:rPr>
        <w:t xml:space="preserve"> </w:t>
      </w:r>
      <w:r w:rsidRPr="00F255C4">
        <w:rPr>
          <w:shd w:val="clear" w:color="auto" w:fill="FFFFFF"/>
        </w:rPr>
        <w:t xml:space="preserve">y </w:t>
      </w:r>
      <w:r w:rsidRPr="00F255C4">
        <w:rPr>
          <w:shd w:val="clear" w:color="auto" w:fill="FFFFFF"/>
        </w:rPr>
        <w:t xml:space="preserve">a </w:t>
      </w:r>
      <w:r w:rsidRPr="00F255C4">
        <w:rPr>
          <w:shd w:val="clear" w:color="auto" w:fill="FFFFFF"/>
        </w:rPr>
        <w:t>l</w:t>
      </w:r>
      <w:r w:rsidRPr="00F255C4">
        <w:rPr>
          <w:shd w:val="clear" w:color="auto" w:fill="FFFFFF"/>
        </w:rPr>
        <w:t>a</w:t>
      </w:r>
      <w:r w:rsidRPr="00F255C4">
        <w:rPr>
          <w:shd w:val="clear" w:color="auto" w:fill="FFFFFF"/>
        </w:rPr>
        <w:t xml:space="preserve"> desconexión digital</w:t>
      </w:r>
      <w:r w:rsidRPr="00F255C4">
        <w:rPr>
          <w:rStyle w:val="Refdenotaalpie"/>
          <w:shd w:val="clear" w:color="auto" w:fill="FFFFFF"/>
        </w:rPr>
        <w:footnoteReference w:id="81"/>
      </w:r>
      <w:r w:rsidRPr="00F255C4">
        <w:rPr>
          <w:shd w:val="clear" w:color="auto" w:fill="FFFFFF"/>
        </w:rPr>
        <w:t xml:space="preserve"> que este tribunal ha </w:t>
      </w:r>
      <w:r w:rsidRPr="00F255C4">
        <w:rPr>
          <w:shd w:val="clear" w:color="auto" w:fill="FFFFFF"/>
        </w:rPr>
        <w:t xml:space="preserve">calificado como </w:t>
      </w:r>
      <w:r w:rsidRPr="00F255C4">
        <w:rPr>
          <w:shd w:val="clear" w:color="auto" w:fill="FFFFFF"/>
        </w:rPr>
        <w:t>fundamentales</w:t>
      </w:r>
      <w:r w:rsidRPr="00F255C4">
        <w:rPr>
          <w:shd w:val="clear" w:color="auto" w:fill="FFFFFF"/>
        </w:rPr>
        <w:t xml:space="preserve"> en</w:t>
      </w:r>
      <w:r w:rsidRPr="00F255C4">
        <w:rPr>
          <w:shd w:val="clear" w:color="auto" w:fill="FFFFFF"/>
        </w:rPr>
        <w:t xml:space="preserve"> las relaciones de trabajo</w:t>
      </w:r>
      <w:r w:rsidRPr="00F255C4">
        <w:rPr>
          <w:shd w:val="clear" w:color="auto" w:fill="FFFFFF"/>
        </w:rPr>
        <w:t>.</w:t>
      </w:r>
      <w:r w:rsidRPr="00F255C4">
        <w:rPr>
          <w:shd w:val="clear" w:color="auto" w:fill="FFFFFF"/>
        </w:rPr>
        <w:t xml:space="preserve"> Constituye</w:t>
      </w:r>
      <w:r w:rsidRPr="00F255C4">
        <w:rPr>
          <w:shd w:val="clear" w:color="auto" w:fill="FFFFFF"/>
        </w:rPr>
        <w:t xml:space="preserve"> una manifestación de</w:t>
      </w:r>
      <w:r w:rsidRPr="00F255C4">
        <w:rPr>
          <w:shd w:val="clear" w:color="auto" w:fill="FFFFFF"/>
        </w:rPr>
        <w:t xml:space="preserve"> la tranquilidad individual que, como ha dicho la Corte, “es un derecho personalísimo derivado de la vida digna, es una te</w:t>
      </w:r>
      <w:r w:rsidRPr="00F255C4">
        <w:rPr>
          <w:shd w:val="clear" w:color="auto" w:fill="FFFFFF"/>
        </w:rPr>
        <w:t>ndencia inherente al ser personal y un bien jurídicamente protegible que comprende el derecho al sosiego”</w:t>
      </w:r>
      <w:r w:rsidRPr="00F255C4">
        <w:rPr>
          <w:rStyle w:val="Refdenotaalpie"/>
          <w:shd w:val="clear" w:color="auto" w:fill="FFFFFF"/>
        </w:rPr>
        <w:footnoteReference w:id="82"/>
      </w:r>
      <w:r w:rsidRPr="00F255C4">
        <w:rPr>
          <w:shd w:val="clear" w:color="auto" w:fill="FFFFFF"/>
        </w:rPr>
        <w:t xml:space="preserve">. </w:t>
      </w:r>
      <w:r w:rsidRPr="00F255C4">
        <w:rPr>
          <w:shd w:val="clear" w:color="auto" w:fill="FFFFFF"/>
        </w:rPr>
        <w:t xml:space="preserve">Según </w:t>
      </w:r>
      <w:r w:rsidRPr="00F255C4">
        <w:rPr>
          <w:shd w:val="clear" w:color="auto" w:fill="FFFFFF"/>
        </w:rPr>
        <w:t>se desprende d</w:t>
      </w:r>
      <w:r w:rsidRPr="00F255C4">
        <w:rPr>
          <w:shd w:val="clear" w:color="auto" w:fill="FFFFFF"/>
        </w:rPr>
        <w:t>e</w:t>
      </w:r>
      <w:r w:rsidRPr="00F255C4">
        <w:rPr>
          <w:shd w:val="clear" w:color="auto" w:fill="FFFFFF"/>
        </w:rPr>
        <w:t xml:space="preserve"> su</w:t>
      </w:r>
      <w:r w:rsidRPr="00F255C4">
        <w:rPr>
          <w:shd w:val="clear" w:color="auto" w:fill="FFFFFF"/>
        </w:rPr>
        <w:t xml:space="preserve"> artículo 3</w:t>
      </w:r>
      <w:r w:rsidRPr="00F255C4">
        <w:rPr>
          <w:shd w:val="clear" w:color="auto" w:fill="FFFFFF"/>
        </w:rPr>
        <w:t xml:space="preserve">º, </w:t>
      </w:r>
      <w:r w:rsidRPr="00F255C4">
        <w:rPr>
          <w:shd w:val="clear" w:color="auto" w:fill="FFFFFF"/>
        </w:rPr>
        <w:t>l</w:t>
      </w:r>
      <w:r w:rsidRPr="00F255C4">
        <w:t>as prácticas de cobr</w:t>
      </w:r>
      <w:r w:rsidRPr="00F255C4">
        <w:t>o</w:t>
      </w:r>
      <w:r w:rsidRPr="00F255C4">
        <w:t xml:space="preserve"> </w:t>
      </w:r>
      <w:r w:rsidRPr="00F255C4">
        <w:t xml:space="preserve">deben realizarse </w:t>
      </w:r>
      <w:r w:rsidRPr="00F255C4">
        <w:t xml:space="preserve">con respeto y </w:t>
      </w:r>
      <w:r w:rsidRPr="00F255C4">
        <w:t xml:space="preserve">en </w:t>
      </w:r>
      <w:r w:rsidRPr="00F255C4">
        <w:t xml:space="preserve">los </w:t>
      </w:r>
      <w:r w:rsidRPr="00F255C4">
        <w:t xml:space="preserve">horarios </w:t>
      </w:r>
      <w:r w:rsidRPr="00F255C4">
        <w:t xml:space="preserve">que la propia ley </w:t>
      </w:r>
      <w:r w:rsidRPr="00F255C4">
        <w:t>defin</w:t>
      </w:r>
      <w:r w:rsidRPr="00F255C4">
        <w:t>e</w:t>
      </w:r>
      <w:r w:rsidRPr="00F255C4">
        <w:t xml:space="preserve">, de modo que </w:t>
      </w:r>
      <w:r w:rsidRPr="00F255C4">
        <w:t>l</w:t>
      </w:r>
      <w:r w:rsidRPr="00F255C4">
        <w:t>as personas pued</w:t>
      </w:r>
      <w:r w:rsidRPr="00F255C4">
        <w:t>a</w:t>
      </w:r>
      <w:r w:rsidRPr="00F255C4">
        <w:t>n</w:t>
      </w:r>
      <w:r w:rsidRPr="00F255C4">
        <w:t xml:space="preserve"> </w:t>
      </w:r>
      <w:r w:rsidRPr="00F255C4">
        <w:t xml:space="preserve">resguardarse </w:t>
      </w:r>
      <w:r w:rsidRPr="00F255C4">
        <w:t>de</w:t>
      </w:r>
      <w:r w:rsidRPr="00F255C4">
        <w:t xml:space="preserve"> las</w:t>
      </w:r>
      <w:r w:rsidRPr="00F255C4">
        <w:t xml:space="preserve"> vicisitudes o incidencias </w:t>
      </w:r>
      <w:r w:rsidRPr="00F255C4">
        <w:t>que</w:t>
      </w:r>
      <w:r w:rsidRPr="00F255C4">
        <w:t xml:space="preserve"> acompañan </w:t>
      </w:r>
      <w:r w:rsidRPr="00F255C4">
        <w:t xml:space="preserve">sus </w:t>
      </w:r>
      <w:r w:rsidRPr="00F255C4">
        <w:t>relaciones</w:t>
      </w:r>
      <w:r w:rsidRPr="00F255C4">
        <w:t xml:space="preserve"> económicas</w:t>
      </w:r>
      <w:r w:rsidRPr="00F255C4">
        <w:t>. Se trata</w:t>
      </w:r>
      <w:r w:rsidRPr="00F255C4">
        <w:t xml:space="preserve"> de una</w:t>
      </w:r>
      <w:r w:rsidRPr="00F255C4">
        <w:t xml:space="preserve"> garantía</w:t>
      </w:r>
      <w:r w:rsidRPr="00F255C4">
        <w:t xml:space="preserve"> que</w:t>
      </w:r>
      <w:r w:rsidRPr="00F255C4">
        <w:t xml:space="preserve"> asegura</w:t>
      </w:r>
      <w:r w:rsidRPr="00F255C4">
        <w:t xml:space="preserve"> un</w:t>
      </w:r>
      <w:r w:rsidRPr="00F255C4">
        <w:t xml:space="preserve"> espacio temporal inmune a las voces y llamadas</w:t>
      </w:r>
      <w:r w:rsidRPr="00F255C4">
        <w:t xml:space="preserve">, a los correos y </w:t>
      </w:r>
      <w:r w:rsidRPr="00F255C4">
        <w:t xml:space="preserve">a los </w:t>
      </w:r>
      <w:r w:rsidRPr="00F255C4">
        <w:t>mensajes,</w:t>
      </w:r>
      <w:r w:rsidRPr="00F255C4">
        <w:t xml:space="preserve"> </w:t>
      </w:r>
      <w:r w:rsidRPr="00F255C4">
        <w:t xml:space="preserve">que </w:t>
      </w:r>
      <w:r w:rsidRPr="00F255C4">
        <w:t>a veces sin pausa</w:t>
      </w:r>
      <w:r w:rsidRPr="00F255C4">
        <w:t xml:space="preserve"> rodean</w:t>
      </w:r>
      <w:r w:rsidRPr="00F255C4">
        <w:t xml:space="preserve"> </w:t>
      </w:r>
      <w:r w:rsidRPr="00F255C4">
        <w:t>a</w:t>
      </w:r>
      <w:r w:rsidRPr="00F255C4">
        <w:t xml:space="preserve"> </w:t>
      </w:r>
      <w:r w:rsidRPr="00F255C4">
        <w:t>deudores y consumidores. Esa inmunidad</w:t>
      </w:r>
      <w:r w:rsidRPr="00F255C4">
        <w:t>,</w:t>
      </w:r>
      <w:r w:rsidRPr="00F255C4">
        <w:t xml:space="preserve"> en los tiempos ruidosos que ahora</w:t>
      </w:r>
      <w:r w:rsidRPr="00F255C4">
        <w:t xml:space="preserve"> corren,</w:t>
      </w:r>
      <w:r w:rsidRPr="00F255C4">
        <w:t xml:space="preserve"> asegura la vigencia de</w:t>
      </w:r>
      <w:r w:rsidRPr="00F255C4">
        <w:t>l</w:t>
      </w:r>
      <w:r w:rsidRPr="00F255C4">
        <w:t xml:space="preserve"> derecho </w:t>
      </w:r>
      <w:r w:rsidRPr="00F255C4">
        <w:rPr>
          <w:i/>
        </w:rPr>
        <w:t>a estar solo</w:t>
      </w:r>
      <w:r w:rsidRPr="00F255C4">
        <w:rPr>
          <w:i/>
        </w:rPr>
        <w:t xml:space="preserve"> </w:t>
      </w:r>
      <w:r w:rsidRPr="00F255C4">
        <w:t>cuando</w:t>
      </w:r>
      <w:r w:rsidRPr="00F255C4">
        <w:t xml:space="preserve"> el cuerpo </w:t>
      </w:r>
      <w:r w:rsidRPr="00F255C4">
        <w:t>y la mente</w:t>
      </w:r>
      <w:r w:rsidRPr="00F255C4">
        <w:t xml:space="preserve"> re</w:t>
      </w:r>
      <w:r w:rsidRPr="00F255C4">
        <w:t>claman</w:t>
      </w:r>
      <w:r w:rsidRPr="00F255C4">
        <w:t xml:space="preserve"> una pausa.</w:t>
      </w:r>
      <w:r w:rsidRPr="00F255C4">
        <w:t xml:space="preserve"> </w:t>
      </w:r>
    </w:p>
    <w:p w:rsidR="00EE55FF" w:rsidRPr="00F255C4" w:rsidRDefault="00F255C4" w:rsidP="00EE55FF">
      <w:pPr>
        <w:pStyle w:val="Prrafodelista"/>
        <w:tabs>
          <w:tab w:val="left" w:pos="284"/>
          <w:tab w:val="right" w:pos="567"/>
          <w:tab w:val="left" w:pos="8222"/>
        </w:tabs>
        <w:ind w:left="0" w:right="-234"/>
        <w:jc w:val="both"/>
      </w:pPr>
    </w:p>
    <w:p w:rsidR="00244767" w:rsidRPr="00F255C4" w:rsidRDefault="00F255C4" w:rsidP="0059524E">
      <w:pPr>
        <w:pStyle w:val="Prrafodelista"/>
        <w:numPr>
          <w:ilvl w:val="0"/>
          <w:numId w:val="4"/>
        </w:numPr>
        <w:tabs>
          <w:tab w:val="left" w:pos="284"/>
          <w:tab w:val="right" w:pos="567"/>
          <w:tab w:val="left" w:pos="8222"/>
        </w:tabs>
        <w:ind w:left="0" w:right="-234" w:firstLine="0"/>
        <w:jc w:val="both"/>
      </w:pPr>
      <w:r w:rsidRPr="00F255C4">
        <w:t>Según se señaló</w:t>
      </w:r>
      <w:r w:rsidRPr="00F255C4">
        <w:t xml:space="preserve"> n</w:t>
      </w:r>
      <w:r w:rsidRPr="00F255C4">
        <w:t xml:space="preserve">o </w:t>
      </w:r>
      <w:r w:rsidRPr="00F255C4">
        <w:t>es una condición suficiente que la regulación</w:t>
      </w:r>
      <w:r w:rsidRPr="00F255C4">
        <w:t xml:space="preserve"> juzgada </w:t>
      </w:r>
      <w:r w:rsidRPr="00F255C4">
        <w:rPr>
          <w:i/>
        </w:rPr>
        <w:t>trate</w:t>
      </w:r>
      <w:r w:rsidRPr="00F255C4">
        <w:rPr>
          <w:i/>
        </w:rPr>
        <w:t xml:space="preserve"> de</w:t>
      </w:r>
      <w:r w:rsidRPr="00F255C4">
        <w:rPr>
          <w:i/>
        </w:rPr>
        <w:t xml:space="preserve"> un derecho fundamental</w:t>
      </w:r>
      <w:r w:rsidRPr="00F255C4">
        <w:t>.</w:t>
      </w:r>
      <w:r w:rsidRPr="00F255C4">
        <w:t xml:space="preserve"> </w:t>
      </w:r>
      <w:r w:rsidRPr="00F255C4">
        <w:t xml:space="preserve">De lo contrario, como lo ha advertido este tribunal, la competencia del legislador ordinario quedaría disuelta debido al creciente e inevitable contacto que las diferentes áreas del ordenamiento jurídico tienen con los derechos </w:t>
      </w:r>
      <w:r w:rsidRPr="00F255C4">
        <w:t xml:space="preserve">fundamentales. </w:t>
      </w:r>
      <w:r w:rsidRPr="00F255C4">
        <w:t xml:space="preserve">Es </w:t>
      </w:r>
      <w:r w:rsidRPr="00F255C4">
        <w:t xml:space="preserve">ahora </w:t>
      </w:r>
      <w:r w:rsidRPr="00F255C4">
        <w:t>necesario</w:t>
      </w:r>
      <w:r w:rsidRPr="00F255C4">
        <w:t xml:space="preserve"> </w:t>
      </w:r>
      <w:r w:rsidRPr="00F255C4">
        <w:t xml:space="preserve">considerar los criterios señalados por la jurisprudencia. </w:t>
      </w:r>
    </w:p>
    <w:p w:rsidR="00244767" w:rsidRPr="00F255C4" w:rsidRDefault="00F255C4" w:rsidP="00244767">
      <w:pPr>
        <w:pStyle w:val="Prrafodelista"/>
      </w:pPr>
    </w:p>
    <w:p w:rsidR="000E1D2B" w:rsidRPr="00F255C4" w:rsidRDefault="00F255C4" w:rsidP="0059524E">
      <w:pPr>
        <w:pStyle w:val="Prrafodelista"/>
        <w:numPr>
          <w:ilvl w:val="0"/>
          <w:numId w:val="4"/>
        </w:numPr>
        <w:tabs>
          <w:tab w:val="left" w:pos="284"/>
          <w:tab w:val="right" w:pos="567"/>
          <w:tab w:val="left" w:pos="8222"/>
        </w:tabs>
        <w:ind w:left="0" w:right="-234" w:firstLine="0"/>
        <w:jc w:val="both"/>
      </w:pPr>
      <w:r w:rsidRPr="00F255C4">
        <w:t xml:space="preserve">La Ley 2300 no tiene por </w:t>
      </w:r>
      <w:r w:rsidRPr="00F255C4">
        <w:rPr>
          <w:b/>
          <w:i/>
        </w:rPr>
        <w:t>objeto directo</w:t>
      </w:r>
      <w:r w:rsidRPr="00F255C4">
        <w:t xml:space="preserve"> la regulación de un derecho fundamental</w:t>
      </w:r>
      <w:r w:rsidRPr="00F255C4">
        <w:t xml:space="preserve"> en el sentido del artículo 152.a de la Constitución</w:t>
      </w:r>
      <w:r w:rsidRPr="00F255C4">
        <w:t>.</w:t>
      </w:r>
      <w:r w:rsidRPr="00F255C4">
        <w:t xml:space="preserve"> Se trata de una ley que</w:t>
      </w:r>
      <w:r w:rsidRPr="00F255C4">
        <w:t xml:space="preserve"> inclu</w:t>
      </w:r>
      <w:r w:rsidRPr="00F255C4">
        <w:t>ye</w:t>
      </w:r>
      <w:r w:rsidRPr="00F255C4">
        <w:t xml:space="preserve"> medidas</w:t>
      </w:r>
      <w:r w:rsidRPr="00F255C4">
        <w:t xml:space="preserve"> particulares</w:t>
      </w:r>
      <w:r w:rsidRPr="00F255C4">
        <w:t xml:space="preserve"> </w:t>
      </w:r>
      <w:r w:rsidRPr="00F255C4">
        <w:t xml:space="preserve">a fin de </w:t>
      </w:r>
      <w:r w:rsidRPr="00F255C4">
        <w:t>evitar algunos comportamientos que, en el marco de las relaciones de consumo,</w:t>
      </w:r>
      <w:r w:rsidRPr="00F255C4">
        <w:t xml:space="preserve"> tienen la capacidad de</w:t>
      </w:r>
      <w:r w:rsidRPr="00F255C4">
        <w:t xml:space="preserve"> </w:t>
      </w:r>
      <w:r w:rsidRPr="00F255C4">
        <w:t xml:space="preserve">violar </w:t>
      </w:r>
      <w:r w:rsidRPr="00F255C4">
        <w:t>los derechos reconocidos en el artículo 15 de la</w:t>
      </w:r>
      <w:r w:rsidRPr="00F255C4">
        <w:t xml:space="preserve"> Carta Política. </w:t>
      </w:r>
      <w:r w:rsidRPr="00F255C4">
        <w:t xml:space="preserve">Su </w:t>
      </w:r>
      <w:r w:rsidRPr="00F255C4">
        <w:t xml:space="preserve">objeto </w:t>
      </w:r>
      <w:r w:rsidRPr="00F255C4">
        <w:t xml:space="preserve">no consiste en </w:t>
      </w:r>
      <w:r w:rsidRPr="00F255C4">
        <w:t>configurar o actualizar l</w:t>
      </w:r>
      <w:r w:rsidRPr="00F255C4">
        <w:t xml:space="preserve">os elementos definitorios o centrales de los derechos fundamentales relacionados con la materia. </w:t>
      </w:r>
    </w:p>
    <w:p w:rsidR="000E1D2B" w:rsidRPr="00F255C4" w:rsidRDefault="00F255C4" w:rsidP="000E1D2B">
      <w:pPr>
        <w:pStyle w:val="Prrafodelista"/>
      </w:pPr>
    </w:p>
    <w:p w:rsidR="00147B4B" w:rsidRPr="00F255C4" w:rsidRDefault="00F255C4" w:rsidP="0059524E">
      <w:pPr>
        <w:pStyle w:val="Prrafodelista"/>
        <w:numPr>
          <w:ilvl w:val="0"/>
          <w:numId w:val="4"/>
        </w:numPr>
        <w:tabs>
          <w:tab w:val="left" w:pos="284"/>
          <w:tab w:val="right" w:pos="567"/>
          <w:tab w:val="left" w:pos="8222"/>
        </w:tabs>
        <w:ind w:left="0" w:right="-234" w:firstLine="0"/>
        <w:jc w:val="both"/>
      </w:pPr>
      <w:r w:rsidRPr="00F255C4">
        <w:t>E</w:t>
      </w:r>
      <w:r w:rsidRPr="00F255C4">
        <w:t>sta</w:t>
      </w:r>
      <w:r w:rsidRPr="00F255C4">
        <w:t xml:space="preserve"> postura</w:t>
      </w:r>
      <w:r w:rsidRPr="00F255C4">
        <w:t xml:space="preserve"> podría</w:t>
      </w:r>
      <w:r w:rsidRPr="00F255C4">
        <w:t xml:space="preserve"> objetarse</w:t>
      </w:r>
      <w:r w:rsidRPr="00F255C4">
        <w:t xml:space="preserve"> indicando que</w:t>
      </w:r>
      <w:r w:rsidRPr="00F255C4">
        <w:t xml:space="preserve"> </w:t>
      </w:r>
      <w:r w:rsidRPr="00F255C4">
        <w:t>el propio título de la ley</w:t>
      </w:r>
      <w:r w:rsidRPr="00F255C4">
        <w:t>,</w:t>
      </w:r>
      <w:r w:rsidRPr="00F255C4">
        <w:t xml:space="preserve"> </w:t>
      </w:r>
      <w:r w:rsidRPr="00F255C4">
        <w:t xml:space="preserve">así como </w:t>
      </w:r>
      <w:r w:rsidRPr="00F255C4">
        <w:t>su</w:t>
      </w:r>
      <w:r w:rsidRPr="00F255C4">
        <w:t xml:space="preserve"> artículo </w:t>
      </w:r>
      <w:r w:rsidRPr="00F255C4">
        <w:t xml:space="preserve">1, </w:t>
      </w:r>
      <w:r w:rsidRPr="00F255C4">
        <w:t>señala que</w:t>
      </w:r>
      <w:r w:rsidRPr="00F255C4">
        <w:t xml:space="preserve"> tiene como fin proteger el </w:t>
      </w:r>
      <w:r w:rsidRPr="00F255C4">
        <w:t>derecho a la intimidad</w:t>
      </w:r>
      <w:r w:rsidRPr="00F255C4">
        <w:t xml:space="preserve">. </w:t>
      </w:r>
      <w:r w:rsidRPr="00F255C4">
        <w:t xml:space="preserve">Siendo ello así resultaría </w:t>
      </w:r>
      <w:r w:rsidRPr="00F255C4">
        <w:t>difícil descartar</w:t>
      </w:r>
      <w:r w:rsidRPr="00F255C4">
        <w:t xml:space="preserve"> el cumplimiento de este requisito</w:t>
      </w:r>
      <w:r w:rsidRPr="00F255C4">
        <w:t xml:space="preserve">. </w:t>
      </w:r>
      <w:r w:rsidRPr="00F255C4">
        <w:t xml:space="preserve">Para la Corte, </w:t>
      </w:r>
      <w:r w:rsidRPr="00F255C4">
        <w:t>existen dos razones que</w:t>
      </w:r>
      <w:r w:rsidRPr="00F255C4">
        <w:t xml:space="preserve"> debilitan</w:t>
      </w:r>
      <w:r w:rsidRPr="00F255C4">
        <w:t xml:space="preserve"> esa objeción</w:t>
      </w:r>
      <w:r w:rsidRPr="00F255C4">
        <w:t xml:space="preserve">. </w:t>
      </w:r>
    </w:p>
    <w:p w:rsidR="00147B4B" w:rsidRPr="00F255C4" w:rsidRDefault="00F255C4" w:rsidP="00147B4B">
      <w:pPr>
        <w:pStyle w:val="Prrafodelista"/>
      </w:pPr>
    </w:p>
    <w:p w:rsidR="00147B4B" w:rsidRPr="00F255C4" w:rsidRDefault="00F255C4" w:rsidP="0059524E">
      <w:pPr>
        <w:pStyle w:val="Prrafodelista"/>
        <w:numPr>
          <w:ilvl w:val="0"/>
          <w:numId w:val="4"/>
        </w:numPr>
        <w:tabs>
          <w:tab w:val="left" w:pos="284"/>
          <w:tab w:val="right" w:pos="567"/>
          <w:tab w:val="left" w:pos="8222"/>
        </w:tabs>
        <w:ind w:left="0" w:right="-234" w:firstLine="0"/>
        <w:jc w:val="both"/>
      </w:pPr>
      <w:r w:rsidRPr="00F255C4">
        <w:t>La primera de ellas</w:t>
      </w:r>
      <w:r w:rsidRPr="00F255C4">
        <w:t xml:space="preserve"> toma nota de que</w:t>
      </w:r>
      <w:r w:rsidRPr="00F255C4">
        <w:t xml:space="preserve"> la Sala Plena</w:t>
      </w:r>
      <w:r w:rsidRPr="00F255C4">
        <w:t xml:space="preserve"> “ha rechazado que los criterios formales como que la ley e</w:t>
      </w:r>
      <w:r w:rsidRPr="00F255C4">
        <w:t>n cuestión haga referencia a alguna de las materias del artículo 152, sean suficientes por sí solos para obligar al trámite de ley estatutaria”</w:t>
      </w:r>
      <w:r w:rsidRPr="00F255C4">
        <w:rPr>
          <w:rStyle w:val="Refdenotaalpie"/>
        </w:rPr>
        <w:footnoteReference w:id="83"/>
      </w:r>
      <w:r w:rsidRPr="00F255C4">
        <w:t xml:space="preserve">. De esta manera la sola referencia a que tal sea el objeto no es un elemento que permita concluir </w:t>
      </w:r>
      <w:r w:rsidRPr="00F255C4">
        <w:t>de manera ant</w:t>
      </w:r>
      <w:r w:rsidRPr="00F255C4">
        <w:t xml:space="preserve">icipada </w:t>
      </w:r>
      <w:r w:rsidRPr="00F255C4">
        <w:t>que la regulación est</w:t>
      </w:r>
      <w:r w:rsidRPr="00F255C4">
        <w:t xml:space="preserve">é </w:t>
      </w:r>
      <w:r w:rsidRPr="00F255C4">
        <w:t xml:space="preserve">afectada por la reserva. </w:t>
      </w:r>
    </w:p>
    <w:p w:rsidR="00147B4B" w:rsidRPr="00F255C4" w:rsidRDefault="00F255C4" w:rsidP="00147B4B">
      <w:pPr>
        <w:pStyle w:val="Prrafodelista"/>
      </w:pPr>
    </w:p>
    <w:p w:rsidR="00147B4B" w:rsidRPr="00F255C4" w:rsidRDefault="00F255C4" w:rsidP="0059524E">
      <w:pPr>
        <w:pStyle w:val="Prrafodelista"/>
        <w:numPr>
          <w:ilvl w:val="0"/>
          <w:numId w:val="4"/>
        </w:numPr>
        <w:tabs>
          <w:tab w:val="left" w:pos="284"/>
          <w:tab w:val="right" w:pos="567"/>
          <w:tab w:val="left" w:pos="8222"/>
        </w:tabs>
        <w:ind w:left="0" w:right="-234" w:firstLine="0"/>
        <w:jc w:val="both"/>
      </w:pPr>
      <w:r w:rsidRPr="00F255C4">
        <w:t xml:space="preserve">La segunda razón </w:t>
      </w:r>
      <w:r w:rsidRPr="00F255C4">
        <w:t xml:space="preserve">consiste en </w:t>
      </w:r>
      <w:r w:rsidRPr="00F255C4">
        <w:t xml:space="preserve">que el objeto directo de la ley no es la regulación de los derechos fundamentales </w:t>
      </w:r>
      <w:r w:rsidRPr="00F255C4">
        <w:t>en el sentido del artículo 152.a de la Constitución. Se trata, en una dirección diferen</w:t>
      </w:r>
      <w:r w:rsidRPr="00F255C4">
        <w:t>te</w:t>
      </w:r>
      <w:r w:rsidRPr="00F255C4">
        <w:t>,</w:t>
      </w:r>
      <w:r w:rsidRPr="00F255C4">
        <w:t xml:space="preserve"> de </w:t>
      </w:r>
      <w:r w:rsidRPr="00F255C4">
        <w:t>la adopción de medidas</w:t>
      </w:r>
      <w:r w:rsidRPr="00F255C4">
        <w:t xml:space="preserve"> operativas</w:t>
      </w:r>
      <w:r w:rsidRPr="00F255C4">
        <w:t xml:space="preserve"> de contenido </w:t>
      </w:r>
      <w:r w:rsidRPr="00F255C4">
        <w:t xml:space="preserve">variable. Su fin es controlar algunas de las formas </w:t>
      </w:r>
      <w:r w:rsidRPr="00F255C4">
        <w:t>de interacción entre gestores de cobranza, productores, proveedores y consumidores mediante la regulación de los canales, horarios y periodicidad de l</w:t>
      </w:r>
      <w:r w:rsidRPr="00F255C4">
        <w:t xml:space="preserve">as comunicaciones entre estos. </w:t>
      </w:r>
      <w:r w:rsidRPr="00F255C4">
        <w:t>Dicho de otra manera</w:t>
      </w:r>
      <w:r w:rsidRPr="00F255C4">
        <w:t>, no podría asimilarse la adopción de medidas específicas de comunicación en relaciones de consumo con una regulación que establezca -y este no es el caso de la Ley 2300 de 2023</w:t>
      </w:r>
      <w:r w:rsidRPr="00F255C4">
        <w:t>-</w:t>
      </w:r>
      <w:r w:rsidRPr="00F255C4">
        <w:t xml:space="preserve"> </w:t>
      </w:r>
      <w:r w:rsidRPr="00F255C4">
        <w:t>el ámbito de protección de</w:t>
      </w:r>
      <w:r w:rsidRPr="00F255C4">
        <w:t xml:space="preserve">l derecho, </w:t>
      </w:r>
      <w:r w:rsidRPr="00F255C4">
        <w:t>sus</w:t>
      </w:r>
      <w:r w:rsidRPr="00F255C4">
        <w:t xml:space="preserve"> restricciones admisibles, el tipo de</w:t>
      </w:r>
      <w:r w:rsidRPr="00F255C4">
        <w:t xml:space="preserve"> posiciones que ampara </w:t>
      </w:r>
      <w:r w:rsidRPr="00F255C4">
        <w:t>o</w:t>
      </w:r>
      <w:r w:rsidRPr="00F255C4">
        <w:t xml:space="preserve"> las relaciones que de ellas surgen.</w:t>
      </w:r>
      <w:r w:rsidRPr="00F255C4">
        <w:t xml:space="preserve"> La examinada es, indudablemente una regulación importante para los derechos constitucionales, pero a su contenido no puede adscribirse la vocaci</w:t>
      </w:r>
      <w:r w:rsidRPr="00F255C4">
        <w:t xml:space="preserve">ón de estabilidad que acompaña a la legislación estatutaria.  </w:t>
      </w:r>
      <w:r w:rsidRPr="00F255C4">
        <w:t xml:space="preserve"> </w:t>
      </w:r>
    </w:p>
    <w:p w:rsidR="00147B4B" w:rsidRPr="00F255C4" w:rsidRDefault="00F255C4" w:rsidP="00147B4B">
      <w:pPr>
        <w:pStyle w:val="Prrafodelista"/>
      </w:pPr>
    </w:p>
    <w:p w:rsidR="00BE3D06"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shd w:val="clear" w:color="auto" w:fill="FFFFFF"/>
          <w:lang w:val="es-MX"/>
        </w:rPr>
        <w:t xml:space="preserve">La ley no versa sobre </w:t>
      </w:r>
      <w:r w:rsidRPr="00F255C4">
        <w:rPr>
          <w:b/>
          <w:i/>
          <w:shd w:val="clear" w:color="auto" w:fill="FFFFFF"/>
          <w:lang w:val="es-MX"/>
        </w:rPr>
        <w:t>el núcleo esencial y los principios básicos del derecho</w:t>
      </w:r>
      <w:r w:rsidRPr="00F255C4">
        <w:rPr>
          <w:shd w:val="clear" w:color="auto" w:fill="FFFFFF"/>
          <w:lang w:val="es-MX"/>
        </w:rPr>
        <w:t xml:space="preserve"> y, en consecuencia, no regula aspectos inherentes a</w:t>
      </w:r>
      <w:r w:rsidRPr="00F255C4">
        <w:rPr>
          <w:shd w:val="clear" w:color="auto" w:fill="FFFFFF"/>
          <w:lang w:val="es-MX"/>
        </w:rPr>
        <w:t xml:space="preserve"> su</w:t>
      </w:r>
      <w:r w:rsidRPr="00F255C4">
        <w:rPr>
          <w:shd w:val="clear" w:color="auto" w:fill="FFFFFF"/>
          <w:lang w:val="es-MX"/>
        </w:rPr>
        <w:t xml:space="preserve"> ejercicio. </w:t>
      </w:r>
      <w:r w:rsidRPr="00F255C4">
        <w:rPr>
          <w:shd w:val="clear" w:color="auto" w:fill="FFFFFF"/>
          <w:lang w:val="es-MX"/>
        </w:rPr>
        <w:t>Como qued</w:t>
      </w:r>
      <w:r w:rsidRPr="00F255C4">
        <w:rPr>
          <w:shd w:val="clear" w:color="auto" w:fill="FFFFFF"/>
          <w:lang w:val="es-MX"/>
        </w:rPr>
        <w:t>ó</w:t>
      </w:r>
      <w:r w:rsidRPr="00F255C4">
        <w:rPr>
          <w:shd w:val="clear" w:color="auto" w:fill="FFFFFF"/>
          <w:lang w:val="es-MX"/>
        </w:rPr>
        <w:t xml:space="preserve"> dicho, l</w:t>
      </w:r>
      <w:r w:rsidRPr="00F255C4">
        <w:rPr>
          <w:shd w:val="clear" w:color="auto" w:fill="FFFFFF"/>
          <w:lang w:val="es-MX"/>
        </w:rPr>
        <w:t xml:space="preserve">as disposiciones acusadas adoptan medidas </w:t>
      </w:r>
      <w:r w:rsidRPr="00F255C4">
        <w:rPr>
          <w:shd w:val="clear" w:color="auto" w:fill="FFFFFF"/>
          <w:lang w:val="es-MX"/>
        </w:rPr>
        <w:t xml:space="preserve">principalmente </w:t>
      </w:r>
      <w:r w:rsidRPr="00F255C4">
        <w:rPr>
          <w:shd w:val="clear" w:color="auto" w:fill="FFFFFF"/>
          <w:lang w:val="es-MX"/>
        </w:rPr>
        <w:t xml:space="preserve">operativas que, si </w:t>
      </w:r>
      <w:r w:rsidRPr="00F255C4">
        <w:rPr>
          <w:shd w:val="clear" w:color="auto" w:fill="FFFFFF"/>
          <w:lang w:val="es-MX"/>
        </w:rPr>
        <w:t>bien contribuye</w:t>
      </w:r>
      <w:r w:rsidRPr="00F255C4">
        <w:rPr>
          <w:shd w:val="clear" w:color="auto" w:fill="FFFFFF"/>
          <w:lang w:val="es-MX"/>
        </w:rPr>
        <w:t>n</w:t>
      </w:r>
      <w:r w:rsidRPr="00F255C4">
        <w:rPr>
          <w:shd w:val="clear" w:color="auto" w:fill="FFFFFF"/>
          <w:lang w:val="es-MX"/>
        </w:rPr>
        <w:t xml:space="preserve"> a la </w:t>
      </w:r>
      <w:r w:rsidRPr="00F255C4">
        <w:rPr>
          <w:shd w:val="clear" w:color="auto" w:fill="FFFFFF"/>
          <w:lang w:val="es-MX"/>
        </w:rPr>
        <w:t>prote</w:t>
      </w:r>
      <w:r w:rsidRPr="00F255C4">
        <w:rPr>
          <w:shd w:val="clear" w:color="auto" w:fill="FFFFFF"/>
          <w:lang w:val="es-MX"/>
        </w:rPr>
        <w:t>cción de</w:t>
      </w:r>
      <w:r w:rsidRPr="00F255C4">
        <w:rPr>
          <w:shd w:val="clear" w:color="auto" w:fill="FFFFFF"/>
          <w:lang w:val="es-MX"/>
        </w:rPr>
        <w:t xml:space="preserve"> algunas manifestaciones de los derechos fundamentales</w:t>
      </w:r>
      <w:r w:rsidRPr="00F255C4">
        <w:rPr>
          <w:shd w:val="clear" w:color="auto" w:fill="FFFFFF"/>
          <w:lang w:val="es-MX"/>
        </w:rPr>
        <w:t xml:space="preserve"> concernidos</w:t>
      </w:r>
      <w:r w:rsidRPr="00F255C4">
        <w:rPr>
          <w:shd w:val="clear" w:color="auto" w:fill="FFFFFF"/>
          <w:lang w:val="es-MX"/>
        </w:rPr>
        <w:t>, no</w:t>
      </w:r>
      <w:r w:rsidRPr="00F255C4">
        <w:rPr>
          <w:shd w:val="clear" w:color="auto" w:fill="FFFFFF"/>
          <w:lang w:val="es-MX"/>
        </w:rPr>
        <w:t xml:space="preserve"> definen</w:t>
      </w:r>
      <w:r w:rsidRPr="00F255C4">
        <w:rPr>
          <w:shd w:val="clear" w:color="auto" w:fill="FFFFFF"/>
          <w:lang w:val="es-MX"/>
        </w:rPr>
        <w:t xml:space="preserve"> </w:t>
      </w:r>
      <w:r w:rsidRPr="00F255C4">
        <w:rPr>
          <w:shd w:val="clear" w:color="auto" w:fill="FFFFFF"/>
          <w:lang w:val="es-MX"/>
        </w:rPr>
        <w:t xml:space="preserve">el </w:t>
      </w:r>
      <w:r w:rsidRPr="00F255C4">
        <w:rPr>
          <w:shd w:val="clear" w:color="auto" w:fill="FFFFFF"/>
          <w:lang w:val="es-MX"/>
        </w:rPr>
        <w:t>contenido esencial del derecho</w:t>
      </w:r>
      <w:r w:rsidRPr="00F255C4">
        <w:rPr>
          <w:shd w:val="clear" w:color="auto" w:fill="FFFFFF"/>
          <w:lang w:val="es-MX"/>
        </w:rPr>
        <w:t xml:space="preserve"> o los principios centrales que l</w:t>
      </w:r>
      <w:r w:rsidRPr="00F255C4">
        <w:rPr>
          <w:shd w:val="clear" w:color="auto" w:fill="FFFFFF"/>
          <w:lang w:val="es-MX"/>
        </w:rPr>
        <w:t xml:space="preserve">o configuran. </w:t>
      </w:r>
      <w:r w:rsidRPr="00F255C4">
        <w:rPr>
          <w:shd w:val="clear" w:color="auto" w:fill="FFFFFF"/>
          <w:lang w:val="es-MX"/>
        </w:rPr>
        <w:t xml:space="preserve"> </w:t>
      </w:r>
    </w:p>
    <w:p w:rsidR="00BE3D06" w:rsidRPr="00F255C4" w:rsidRDefault="00F255C4" w:rsidP="00BE3D06">
      <w:pPr>
        <w:pStyle w:val="Prrafodelista"/>
        <w:rPr>
          <w:shd w:val="clear" w:color="auto" w:fill="FFFFFF"/>
          <w:lang w:val="es-MX"/>
        </w:rPr>
      </w:pPr>
    </w:p>
    <w:p w:rsidR="007652BD"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shd w:val="clear" w:color="auto" w:fill="FFFFFF"/>
          <w:lang w:val="es-MX"/>
        </w:rPr>
        <w:t>El núcleo esencial de los derechos fundamentales</w:t>
      </w:r>
      <w:r w:rsidRPr="00F255C4">
        <w:rPr>
          <w:shd w:val="clear" w:color="auto" w:fill="FFFFFF"/>
          <w:lang w:val="es-MX"/>
        </w:rPr>
        <w:t xml:space="preserve"> es mencionado</w:t>
      </w:r>
      <w:r w:rsidRPr="00F255C4">
        <w:rPr>
          <w:shd w:val="clear" w:color="auto" w:fill="FFFFFF"/>
          <w:lang w:val="es-MX"/>
        </w:rPr>
        <w:t xml:space="preserve"> en el artículo 334 de la Constitución al indicar que </w:t>
      </w:r>
      <w:r w:rsidRPr="00F255C4">
        <w:rPr>
          <w:shd w:val="clear" w:color="auto" w:fill="FFFFFF"/>
          <w:lang w:val="es-MX"/>
        </w:rPr>
        <w:t xml:space="preserve">no podrá afectarse </w:t>
      </w:r>
      <w:r w:rsidRPr="00F255C4">
        <w:rPr>
          <w:shd w:val="clear" w:color="auto" w:fill="FFFFFF"/>
          <w:lang w:val="es-MX"/>
        </w:rPr>
        <w:t xml:space="preserve">en </w:t>
      </w:r>
      <w:r w:rsidRPr="00F255C4">
        <w:rPr>
          <w:shd w:val="clear" w:color="auto" w:fill="FFFFFF"/>
          <w:lang w:val="es-MX"/>
        </w:rPr>
        <w:t>el incidente de impacto fiscal. Igualmente</w:t>
      </w:r>
      <w:r w:rsidRPr="00F255C4">
        <w:rPr>
          <w:shd w:val="clear" w:color="auto" w:fill="FFFFFF"/>
          <w:lang w:val="es-MX"/>
        </w:rPr>
        <w:t>,</w:t>
      </w:r>
      <w:r w:rsidRPr="00F255C4">
        <w:rPr>
          <w:shd w:val="clear" w:color="auto" w:fill="FFFFFF"/>
          <w:lang w:val="es-MX"/>
        </w:rPr>
        <w:t xml:space="preserve"> la legislación estatutaria en materia de estados de excep</w:t>
      </w:r>
      <w:r w:rsidRPr="00F255C4">
        <w:rPr>
          <w:shd w:val="clear" w:color="auto" w:fill="FFFFFF"/>
          <w:lang w:val="es-MX"/>
        </w:rPr>
        <w:t xml:space="preserve">ción establece que la restricción de los derechos </w:t>
      </w:r>
      <w:r w:rsidRPr="00F255C4">
        <w:rPr>
          <w:shd w:val="clear" w:color="auto" w:fill="FFFFFF"/>
          <w:lang w:val="es-MX"/>
        </w:rPr>
        <w:t xml:space="preserve">que en esos eventos se autoriza no puede afectar </w:t>
      </w:r>
      <w:r w:rsidRPr="00F255C4">
        <w:rPr>
          <w:shd w:val="clear" w:color="auto" w:fill="FFFFFF"/>
          <w:lang w:val="es-MX"/>
        </w:rPr>
        <w:t>en ning</w:t>
      </w:r>
      <w:r w:rsidRPr="00F255C4">
        <w:rPr>
          <w:shd w:val="clear" w:color="auto" w:fill="FFFFFF"/>
          <w:lang w:val="es-MX"/>
        </w:rPr>
        <w:t>ú</w:t>
      </w:r>
      <w:r w:rsidRPr="00F255C4">
        <w:rPr>
          <w:shd w:val="clear" w:color="auto" w:fill="FFFFFF"/>
          <w:lang w:val="es-MX"/>
        </w:rPr>
        <w:t>n caso</w:t>
      </w:r>
      <w:r w:rsidRPr="00F255C4">
        <w:rPr>
          <w:shd w:val="clear" w:color="auto" w:fill="FFFFFF"/>
          <w:lang w:val="es-MX"/>
        </w:rPr>
        <w:t xml:space="preserve"> el referido núcleo</w:t>
      </w:r>
      <w:r w:rsidRPr="00F255C4">
        <w:rPr>
          <w:shd w:val="clear" w:color="auto" w:fill="FFFFFF"/>
          <w:lang w:val="es-MX"/>
        </w:rPr>
        <w:t xml:space="preserve"> (</w:t>
      </w:r>
      <w:r w:rsidRPr="00F255C4">
        <w:rPr>
          <w:shd w:val="clear" w:color="auto" w:fill="FFFFFF"/>
          <w:lang w:val="es-MX"/>
        </w:rPr>
        <w:t xml:space="preserve">arts. 6 y 7 de la </w:t>
      </w:r>
      <w:r w:rsidRPr="00F255C4">
        <w:rPr>
          <w:shd w:val="clear" w:color="auto" w:fill="FFFFFF"/>
          <w:lang w:val="es-MX"/>
        </w:rPr>
        <w:t>Ley 137 de 1994</w:t>
      </w:r>
      <w:r w:rsidRPr="00F255C4">
        <w:rPr>
          <w:shd w:val="clear" w:color="auto" w:fill="FFFFFF"/>
          <w:lang w:val="es-MX"/>
        </w:rPr>
        <w:t>)</w:t>
      </w:r>
      <w:r w:rsidRPr="00F255C4">
        <w:rPr>
          <w:shd w:val="clear" w:color="auto" w:fill="FFFFFF"/>
          <w:lang w:val="es-MX"/>
        </w:rPr>
        <w:t xml:space="preserve">. Esta </w:t>
      </w:r>
      <w:r w:rsidRPr="00F255C4">
        <w:rPr>
          <w:i/>
          <w:shd w:val="clear" w:color="auto" w:fill="FFFFFF"/>
          <w:lang w:val="es-MX"/>
        </w:rPr>
        <w:t xml:space="preserve">restricción a las restricciones </w:t>
      </w:r>
      <w:r w:rsidRPr="00F255C4">
        <w:rPr>
          <w:shd w:val="clear" w:color="auto" w:fill="FFFFFF"/>
          <w:lang w:val="es-MX"/>
        </w:rPr>
        <w:t xml:space="preserve">de los derechos implica que para cada derecho </w:t>
      </w:r>
      <w:r w:rsidRPr="00F255C4">
        <w:rPr>
          <w:shd w:val="clear" w:color="auto" w:fill="FFFFFF"/>
          <w:lang w:val="es-MX"/>
        </w:rPr>
        <w:t>fundamental existe un ámbito irreductible, mínimo o inexpugnable que bajo ninguna condición puede ser desconocido.</w:t>
      </w:r>
      <w:r w:rsidRPr="00F255C4">
        <w:rPr>
          <w:shd w:val="clear" w:color="auto" w:fill="FFFFFF"/>
          <w:lang w:val="es-MX"/>
        </w:rPr>
        <w:t xml:space="preserve"> Buena parte de la fuerza de los derechos se asienta en esta premisa. </w:t>
      </w:r>
      <w:r w:rsidRPr="00F255C4">
        <w:rPr>
          <w:shd w:val="clear" w:color="auto" w:fill="FFFFFF"/>
          <w:lang w:val="es-MX"/>
        </w:rPr>
        <w:t xml:space="preserve"> </w:t>
      </w:r>
    </w:p>
    <w:p w:rsidR="007652BD" w:rsidRPr="00F255C4" w:rsidRDefault="00F255C4" w:rsidP="007652BD">
      <w:pPr>
        <w:pStyle w:val="Prrafodelista"/>
        <w:rPr>
          <w:shd w:val="clear" w:color="auto" w:fill="FFFFFF"/>
          <w:lang w:val="es-MX"/>
        </w:rPr>
      </w:pPr>
    </w:p>
    <w:p w:rsidR="00E817AC"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shd w:val="clear" w:color="auto" w:fill="FFFFFF"/>
          <w:lang w:val="es-MX"/>
        </w:rPr>
        <w:t>Esta idea ha suscitado</w:t>
      </w:r>
      <w:r w:rsidRPr="00F255C4">
        <w:rPr>
          <w:shd w:val="clear" w:color="auto" w:fill="FFFFFF"/>
          <w:lang w:val="es-MX"/>
        </w:rPr>
        <w:t xml:space="preserve"> discusiones</w:t>
      </w:r>
      <w:r w:rsidRPr="00F255C4">
        <w:rPr>
          <w:shd w:val="clear" w:color="auto" w:fill="FFFFFF"/>
          <w:lang w:val="es-MX"/>
        </w:rPr>
        <w:t xml:space="preserve"> </w:t>
      </w:r>
      <w:r w:rsidRPr="00F255C4">
        <w:rPr>
          <w:shd w:val="clear" w:color="auto" w:fill="FFFFFF"/>
          <w:lang w:val="es-MX"/>
        </w:rPr>
        <w:t xml:space="preserve">acerca de </w:t>
      </w:r>
      <w:r w:rsidRPr="00F255C4">
        <w:rPr>
          <w:shd w:val="clear" w:color="auto" w:fill="FFFFFF"/>
          <w:lang w:val="es-MX"/>
        </w:rPr>
        <w:t>la</w:t>
      </w:r>
      <w:r w:rsidRPr="00F255C4">
        <w:rPr>
          <w:shd w:val="clear" w:color="auto" w:fill="FFFFFF"/>
          <w:lang w:val="es-MX"/>
        </w:rPr>
        <w:t xml:space="preserve"> </w:t>
      </w:r>
      <w:r w:rsidRPr="00F255C4">
        <w:rPr>
          <w:shd w:val="clear" w:color="auto" w:fill="FFFFFF"/>
          <w:lang w:val="es-MX"/>
        </w:rPr>
        <w:t xml:space="preserve">forma </w:t>
      </w:r>
      <w:r w:rsidRPr="00F255C4">
        <w:rPr>
          <w:shd w:val="clear" w:color="auto" w:fill="FFFFFF"/>
          <w:lang w:val="es-MX"/>
        </w:rPr>
        <w:t>adecuada para</w:t>
      </w:r>
      <w:r w:rsidRPr="00F255C4">
        <w:rPr>
          <w:shd w:val="clear" w:color="auto" w:fill="FFFFFF"/>
          <w:lang w:val="es-MX"/>
        </w:rPr>
        <w:t xml:space="preserve"> identificar dicho núcleo. La literatura sobre el particular transita entre quienes sostienen que puede identificarse ex ante, esto es, con independencia de sus relaciones con otros derechos</w:t>
      </w:r>
      <w:r w:rsidRPr="00F255C4">
        <w:rPr>
          <w:rStyle w:val="Refdenotaalpie"/>
          <w:shd w:val="clear" w:color="auto" w:fill="FFFFFF"/>
          <w:lang w:val="es-MX"/>
        </w:rPr>
        <w:footnoteReference w:id="84"/>
      </w:r>
      <w:r w:rsidRPr="00F255C4">
        <w:rPr>
          <w:shd w:val="clear" w:color="auto" w:fill="FFFFFF"/>
          <w:lang w:val="es-MX"/>
        </w:rPr>
        <w:t xml:space="preserve"> </w:t>
      </w:r>
      <w:r w:rsidRPr="00F255C4">
        <w:rPr>
          <w:shd w:val="clear" w:color="auto" w:fill="FFFFFF"/>
          <w:lang w:val="es-MX"/>
        </w:rPr>
        <w:t>y los que</w:t>
      </w:r>
      <w:r w:rsidRPr="00F255C4">
        <w:rPr>
          <w:shd w:val="clear" w:color="auto" w:fill="FFFFFF"/>
          <w:lang w:val="es-MX"/>
        </w:rPr>
        <w:t xml:space="preserve"> afirman </w:t>
      </w:r>
      <w:r w:rsidRPr="00F255C4">
        <w:rPr>
          <w:shd w:val="clear" w:color="auto" w:fill="FFFFFF"/>
          <w:lang w:val="es-MX"/>
        </w:rPr>
        <w:t xml:space="preserve">que </w:t>
      </w:r>
      <w:r w:rsidRPr="00F255C4">
        <w:rPr>
          <w:shd w:val="clear" w:color="auto" w:fill="FFFFFF"/>
          <w:lang w:val="es-MX"/>
        </w:rPr>
        <w:t xml:space="preserve">solo podrá identificarse </w:t>
      </w:r>
      <w:r w:rsidRPr="00F255C4">
        <w:rPr>
          <w:shd w:val="clear" w:color="auto" w:fill="FFFFFF"/>
          <w:lang w:val="es-MX"/>
        </w:rPr>
        <w:t xml:space="preserve">después de la </w:t>
      </w:r>
      <w:r w:rsidRPr="00F255C4">
        <w:rPr>
          <w:shd w:val="clear" w:color="auto" w:fill="FFFFFF"/>
          <w:lang w:val="es-MX"/>
        </w:rPr>
        <w:t>aplicación del principio de proporcionalidad</w:t>
      </w:r>
      <w:r w:rsidRPr="00F255C4">
        <w:rPr>
          <w:rStyle w:val="Refdenotaalpie"/>
          <w:shd w:val="clear" w:color="auto" w:fill="FFFFFF"/>
          <w:lang w:val="es-MX"/>
        </w:rPr>
        <w:footnoteReference w:id="85"/>
      </w:r>
      <w:r w:rsidRPr="00F255C4">
        <w:rPr>
          <w:shd w:val="clear" w:color="auto" w:fill="FFFFFF"/>
          <w:lang w:val="es-MX"/>
        </w:rPr>
        <w:t>.</w:t>
      </w:r>
      <w:r w:rsidRPr="00F255C4">
        <w:rPr>
          <w:shd w:val="clear" w:color="auto" w:fill="FFFFFF"/>
          <w:lang w:val="es-MX"/>
        </w:rPr>
        <w:t xml:space="preserve"> Al margen de</w:t>
      </w:r>
      <w:r w:rsidRPr="00F255C4">
        <w:rPr>
          <w:shd w:val="clear" w:color="auto" w:fill="FFFFFF"/>
          <w:lang w:val="es-MX"/>
        </w:rPr>
        <w:t xml:space="preserve"> </w:t>
      </w:r>
      <w:r w:rsidRPr="00F255C4">
        <w:rPr>
          <w:shd w:val="clear" w:color="auto" w:fill="FFFFFF"/>
          <w:lang w:val="es-MX"/>
        </w:rPr>
        <w:t xml:space="preserve">tales discrepancias </w:t>
      </w:r>
      <w:r w:rsidRPr="00F255C4">
        <w:rPr>
          <w:shd w:val="clear" w:color="auto" w:fill="FFFFFF"/>
          <w:lang w:val="es-MX"/>
        </w:rPr>
        <w:t>es posible indicar que</w:t>
      </w:r>
      <w:r w:rsidRPr="00F255C4">
        <w:rPr>
          <w:shd w:val="clear" w:color="auto" w:fill="FFFFFF"/>
          <w:lang w:val="es-MX"/>
        </w:rPr>
        <w:t>,</w:t>
      </w:r>
      <w:r w:rsidRPr="00F255C4">
        <w:rPr>
          <w:shd w:val="clear" w:color="auto" w:fill="FFFFFF"/>
          <w:lang w:val="es-MX"/>
        </w:rPr>
        <w:t xml:space="preserve"> para efectos del escrutinio que impone el análisis de reserva de ley estatutaria, la Corte debe definir si la regulación analizada se ocupa o no </w:t>
      </w:r>
      <w:r w:rsidRPr="00F255C4">
        <w:rPr>
          <w:shd w:val="clear" w:color="auto" w:fill="FFFFFF"/>
          <w:lang w:val="es-MX"/>
        </w:rPr>
        <w:t xml:space="preserve">de </w:t>
      </w:r>
      <w:r w:rsidRPr="00F255C4">
        <w:rPr>
          <w:shd w:val="clear" w:color="auto" w:fill="FFFFFF"/>
          <w:lang w:val="es-MX"/>
        </w:rPr>
        <w:t xml:space="preserve">las </w:t>
      </w:r>
      <w:r w:rsidRPr="00F255C4">
        <w:rPr>
          <w:shd w:val="clear" w:color="auto" w:fill="FFFFFF"/>
        </w:rPr>
        <w:t>posiciones más relevantes o importantes del derecho</w:t>
      </w:r>
      <w:r w:rsidRPr="00F255C4">
        <w:rPr>
          <w:rStyle w:val="Refdenotaalpie"/>
          <w:shd w:val="clear" w:color="auto" w:fill="FFFFFF"/>
        </w:rPr>
        <w:footnoteReference w:id="86"/>
      </w:r>
      <w:r w:rsidRPr="00F255C4">
        <w:rPr>
          <w:shd w:val="clear" w:color="auto" w:fill="FFFFFF"/>
        </w:rPr>
        <w:t>.</w:t>
      </w:r>
      <w:r w:rsidRPr="00F255C4">
        <w:rPr>
          <w:shd w:val="clear" w:color="auto" w:fill="FFFFFF"/>
          <w:lang w:val="es-MX"/>
        </w:rPr>
        <w:t xml:space="preserve">  </w:t>
      </w:r>
      <w:r w:rsidRPr="00F255C4">
        <w:rPr>
          <w:shd w:val="clear" w:color="auto" w:fill="FFFFFF"/>
          <w:lang w:val="es-MX"/>
        </w:rPr>
        <w:t xml:space="preserve">    </w:t>
      </w:r>
      <w:r w:rsidRPr="00F255C4">
        <w:rPr>
          <w:i/>
          <w:shd w:val="clear" w:color="auto" w:fill="FFFFFF"/>
          <w:lang w:val="es-MX"/>
        </w:rPr>
        <w:t xml:space="preserve"> </w:t>
      </w:r>
      <w:r w:rsidRPr="00F255C4">
        <w:rPr>
          <w:shd w:val="clear" w:color="auto" w:fill="FFFFFF"/>
          <w:lang w:val="es-MX"/>
        </w:rPr>
        <w:t xml:space="preserve">  </w:t>
      </w:r>
    </w:p>
    <w:p w:rsidR="009F63A4" w:rsidRPr="00F255C4" w:rsidRDefault="00F255C4" w:rsidP="009F63A4">
      <w:pPr>
        <w:pStyle w:val="Prrafodelista"/>
      </w:pPr>
    </w:p>
    <w:p w:rsidR="00677F79" w:rsidRPr="00F255C4" w:rsidRDefault="00F255C4" w:rsidP="0059524E">
      <w:pPr>
        <w:pStyle w:val="Prrafodelista"/>
        <w:numPr>
          <w:ilvl w:val="0"/>
          <w:numId w:val="4"/>
        </w:numPr>
        <w:tabs>
          <w:tab w:val="left" w:pos="284"/>
          <w:tab w:val="right" w:pos="567"/>
          <w:tab w:val="left" w:pos="8222"/>
        </w:tabs>
        <w:ind w:left="0" w:right="-234" w:firstLine="0"/>
        <w:jc w:val="both"/>
      </w:pPr>
      <w:r w:rsidRPr="00F255C4">
        <w:t xml:space="preserve"> A pesar de que tal definición </w:t>
      </w:r>
      <w:r w:rsidRPr="00F255C4">
        <w:t xml:space="preserve">es </w:t>
      </w:r>
      <w:r w:rsidRPr="00F255C4">
        <w:t>difícil en algunos casos, n</w:t>
      </w:r>
      <w:r w:rsidRPr="00F255C4">
        <w:t>o es ello lo que ocurre en est</w:t>
      </w:r>
      <w:r w:rsidRPr="00F255C4">
        <w:t>a oportunidad</w:t>
      </w:r>
      <w:r w:rsidRPr="00F255C4">
        <w:t xml:space="preserve">. Las medidas específicas </w:t>
      </w:r>
      <w:r w:rsidRPr="00F255C4">
        <w:t xml:space="preserve">adoptadas por la </w:t>
      </w:r>
      <w:r w:rsidRPr="00F255C4">
        <w:t>L</w:t>
      </w:r>
      <w:r w:rsidRPr="00F255C4">
        <w:t>ey</w:t>
      </w:r>
      <w:r w:rsidRPr="00F255C4">
        <w:t xml:space="preserve"> 2300 son,</w:t>
      </w:r>
      <w:r w:rsidRPr="00F255C4">
        <w:t xml:space="preserve"> entre </w:t>
      </w:r>
      <w:r w:rsidRPr="00F255C4">
        <w:t>muchas otras que pueden e</w:t>
      </w:r>
      <w:r w:rsidRPr="00F255C4">
        <w:t xml:space="preserve">xistir, </w:t>
      </w:r>
      <w:r w:rsidRPr="00F255C4">
        <w:t>instrumentos operativos</w:t>
      </w:r>
      <w:r w:rsidRPr="00F255C4">
        <w:t xml:space="preserve"> encaminados</w:t>
      </w:r>
      <w:r w:rsidRPr="00F255C4">
        <w:t xml:space="preserve"> </w:t>
      </w:r>
      <w:r w:rsidRPr="00F255C4">
        <w:t xml:space="preserve">a </w:t>
      </w:r>
      <w:r w:rsidRPr="00F255C4">
        <w:t>reducir la afectación de los intereses de los consumidores frente a comunicaciones cada vez más complejas</w:t>
      </w:r>
      <w:r w:rsidRPr="00F255C4">
        <w:t xml:space="preserve">, intensas </w:t>
      </w:r>
      <w:r w:rsidRPr="00F255C4">
        <w:t>y diversas. Sin embargo,</w:t>
      </w:r>
      <w:r w:rsidRPr="00F255C4">
        <w:t xml:space="preserve"> las estrategias de contención implementadas por el legislador </w:t>
      </w:r>
      <w:r w:rsidRPr="00F255C4">
        <w:t xml:space="preserve">no </w:t>
      </w:r>
      <w:r w:rsidRPr="00F255C4">
        <w:t>definen la identidad del derecho</w:t>
      </w:r>
      <w:r w:rsidRPr="00F255C4">
        <w:t>.</w:t>
      </w:r>
      <w:r w:rsidRPr="00F255C4">
        <w:t xml:space="preserve"> </w:t>
      </w:r>
      <w:r w:rsidRPr="00F255C4">
        <w:t>P</w:t>
      </w:r>
      <w:r w:rsidRPr="00F255C4">
        <w:t>ueden contribuir a su realización</w:t>
      </w:r>
      <w:r w:rsidRPr="00F255C4">
        <w:t xml:space="preserve"> y optimización</w:t>
      </w:r>
      <w:r w:rsidRPr="00F255C4">
        <w:t xml:space="preserve"> -como de hecho también lo</w:t>
      </w:r>
      <w:r w:rsidRPr="00F255C4">
        <w:t xml:space="preserve"> pueden hacer normas sancionatorias-,</w:t>
      </w:r>
      <w:r w:rsidRPr="00F255C4">
        <w:t xml:space="preserve"> </w:t>
      </w:r>
      <w:r w:rsidRPr="00F255C4">
        <w:t>pero no lo definen</w:t>
      </w:r>
      <w:r w:rsidRPr="00F255C4">
        <w:t xml:space="preserve">. </w:t>
      </w:r>
      <w:r w:rsidRPr="00F255C4">
        <w:t xml:space="preserve">Los rasgos a los que se anuda la </w:t>
      </w:r>
      <w:r w:rsidRPr="00F255C4">
        <w:rPr>
          <w:i/>
        </w:rPr>
        <w:t>esencia</w:t>
      </w:r>
      <w:r w:rsidRPr="00F255C4">
        <w:t xml:space="preserve"> de los derechos a la intimidad, al habeas data y</w:t>
      </w:r>
      <w:r w:rsidRPr="00F255C4">
        <w:t xml:space="preserve"> al buen nombre no se alteran o afectan cuando se adoptan disposiciones esencialmente operativas o instrumentales que regulan el modo en que una relación de consumo particular debe desarrollarse.</w:t>
      </w:r>
      <w:r w:rsidRPr="00F255C4">
        <w:t xml:space="preserve"> </w:t>
      </w:r>
    </w:p>
    <w:p w:rsidR="00677F79" w:rsidRPr="00F255C4" w:rsidRDefault="00F255C4" w:rsidP="00677F79">
      <w:pPr>
        <w:pStyle w:val="Prrafodelista"/>
      </w:pPr>
    </w:p>
    <w:p w:rsidR="00F607E7" w:rsidRPr="00F255C4" w:rsidRDefault="00F255C4" w:rsidP="0059524E">
      <w:pPr>
        <w:pStyle w:val="Prrafodelista"/>
        <w:numPr>
          <w:ilvl w:val="0"/>
          <w:numId w:val="4"/>
        </w:numPr>
        <w:tabs>
          <w:tab w:val="left" w:pos="284"/>
          <w:tab w:val="right" w:pos="567"/>
          <w:tab w:val="left" w:pos="8222"/>
        </w:tabs>
        <w:ind w:left="0" w:right="-234" w:firstLine="0"/>
        <w:jc w:val="both"/>
      </w:pPr>
      <w:r w:rsidRPr="00F255C4">
        <w:t>Esta conclusión no excluye, en modo alguno</w:t>
      </w:r>
      <w:r w:rsidRPr="00F255C4">
        <w:t>,</w:t>
      </w:r>
      <w:r w:rsidRPr="00F255C4">
        <w:t xml:space="preserve"> </w:t>
      </w:r>
      <w:r w:rsidRPr="00F255C4">
        <w:t>la posibilidad</w:t>
      </w:r>
      <w:r w:rsidRPr="00F255C4">
        <w:t xml:space="preserve"> de sujetar a reserva de ley estatutaria, regulaciones de naturaleza </w:t>
      </w:r>
      <w:r w:rsidRPr="00F255C4">
        <w:t>procedimental</w:t>
      </w:r>
      <w:r w:rsidRPr="00F255C4">
        <w:t xml:space="preserve"> o procesal que configuren dimensiones medulares de los derechos fundamentales. </w:t>
      </w:r>
      <w:r w:rsidRPr="00F255C4">
        <w:t xml:space="preserve">Sin embargo, esa hipótesis no se predica </w:t>
      </w:r>
      <w:r w:rsidRPr="00F255C4">
        <w:t>de</w:t>
      </w:r>
      <w:r w:rsidRPr="00F255C4">
        <w:t xml:space="preserve"> la ley analizada en tanto los procedimientos de co</w:t>
      </w:r>
      <w:r w:rsidRPr="00F255C4">
        <w:t>municación allí previstos</w:t>
      </w:r>
      <w:r w:rsidRPr="00F255C4">
        <w:t>,</w:t>
      </w:r>
      <w:r w:rsidRPr="00F255C4">
        <w:t xml:space="preserve"> </w:t>
      </w:r>
      <w:r w:rsidRPr="00F255C4">
        <w:t xml:space="preserve">únicamente </w:t>
      </w:r>
      <w:r w:rsidRPr="00F255C4">
        <w:t xml:space="preserve">tienen por objeto articular </w:t>
      </w:r>
      <w:r w:rsidRPr="00F255C4">
        <w:t xml:space="preserve">o armonizar </w:t>
      </w:r>
      <w:r w:rsidRPr="00F255C4">
        <w:t xml:space="preserve">los intereses de quienes intervienen en las relaciones </w:t>
      </w:r>
      <w:r w:rsidRPr="00F255C4">
        <w:t xml:space="preserve">que </w:t>
      </w:r>
      <w:r w:rsidRPr="00F255C4">
        <w:t xml:space="preserve">regula. </w:t>
      </w:r>
      <w:r w:rsidRPr="00F255C4">
        <w:t xml:space="preserve"> </w:t>
      </w:r>
      <w:r w:rsidRPr="00F255C4">
        <w:t xml:space="preserve">  </w:t>
      </w:r>
      <w:r w:rsidRPr="00F255C4">
        <w:t xml:space="preserve">  </w:t>
      </w:r>
    </w:p>
    <w:p w:rsidR="00F607E7" w:rsidRPr="00F255C4" w:rsidRDefault="00F255C4" w:rsidP="00F607E7">
      <w:pPr>
        <w:pStyle w:val="Prrafodelista"/>
      </w:pPr>
    </w:p>
    <w:p w:rsidR="00D9096B" w:rsidRPr="00F255C4" w:rsidRDefault="00F255C4" w:rsidP="0059524E">
      <w:pPr>
        <w:pStyle w:val="Prrafodelista"/>
        <w:numPr>
          <w:ilvl w:val="0"/>
          <w:numId w:val="4"/>
        </w:numPr>
        <w:tabs>
          <w:tab w:val="left" w:pos="284"/>
          <w:tab w:val="right" w:pos="567"/>
          <w:tab w:val="left" w:pos="8222"/>
        </w:tabs>
        <w:ind w:left="0" w:right="-234" w:firstLine="0"/>
        <w:jc w:val="both"/>
      </w:pPr>
      <w:r w:rsidRPr="00F255C4">
        <w:t xml:space="preserve">  La</w:t>
      </w:r>
      <w:r w:rsidRPr="00F255C4">
        <w:t xml:space="preserve"> ley impugnada</w:t>
      </w:r>
      <w:r w:rsidRPr="00F255C4">
        <w:t xml:space="preserve"> tampoco </w:t>
      </w:r>
      <w:r w:rsidRPr="00F255C4">
        <w:rPr>
          <w:shd w:val="clear" w:color="auto" w:fill="FFFFFF"/>
          <w:lang w:val="es-MX"/>
        </w:rPr>
        <w:t xml:space="preserve">afecta </w:t>
      </w:r>
      <w:r w:rsidRPr="00F255C4">
        <w:rPr>
          <w:shd w:val="clear" w:color="auto" w:fill="FFFFFF"/>
          <w:lang w:val="es-MX"/>
        </w:rPr>
        <w:t xml:space="preserve">los </w:t>
      </w:r>
      <w:r w:rsidRPr="00F255C4">
        <w:rPr>
          <w:b/>
          <w:i/>
          <w:shd w:val="clear" w:color="auto" w:fill="FFFFFF"/>
          <w:lang w:val="es-MX"/>
        </w:rPr>
        <w:t>elementos estructurales del derecho</w:t>
      </w:r>
      <w:r w:rsidRPr="00F255C4">
        <w:rPr>
          <w:shd w:val="clear" w:color="auto" w:fill="FFFFFF"/>
          <w:lang w:val="es-MX"/>
        </w:rPr>
        <w:t xml:space="preserve"> mediante la fijación de</w:t>
      </w:r>
      <w:r w:rsidRPr="00F255C4">
        <w:rPr>
          <w:shd w:val="clear" w:color="auto" w:fill="FFFFFF"/>
          <w:lang w:val="es-ES"/>
        </w:rPr>
        <w:t xml:space="preserve"> límites, restricciones, excepciones y prohibiciones que afecten </w:t>
      </w:r>
      <w:r w:rsidRPr="00F255C4">
        <w:rPr>
          <w:shd w:val="clear" w:color="auto" w:fill="FFFFFF"/>
          <w:lang w:val="es-ES"/>
        </w:rPr>
        <w:t>su</w:t>
      </w:r>
      <w:r w:rsidRPr="00F255C4">
        <w:rPr>
          <w:shd w:val="clear" w:color="auto" w:fill="FFFFFF"/>
          <w:lang w:val="es-ES"/>
        </w:rPr>
        <w:t xml:space="preserve"> estructura general</w:t>
      </w:r>
      <w:r w:rsidRPr="00F255C4">
        <w:t>. Lo que ha quedado señalado antes permite descartar esta hipótesis. En este caso, las disposiciones demandadas se ocupan, empleando las palabras de la Corte, de una mate</w:t>
      </w:r>
      <w:r w:rsidRPr="00F255C4">
        <w:t>ria periférica o complementaria a los elementos centrales de los derechos fundamentales relevantes.</w:t>
      </w:r>
    </w:p>
    <w:p w:rsidR="00D9096B" w:rsidRPr="00F255C4" w:rsidRDefault="00F255C4" w:rsidP="00D9096B">
      <w:pPr>
        <w:pStyle w:val="Prrafodelista"/>
      </w:pPr>
    </w:p>
    <w:p w:rsidR="003033A8" w:rsidRPr="00F255C4" w:rsidRDefault="00F255C4" w:rsidP="0059524E">
      <w:pPr>
        <w:pStyle w:val="Prrafodelista"/>
        <w:numPr>
          <w:ilvl w:val="0"/>
          <w:numId w:val="4"/>
        </w:numPr>
        <w:tabs>
          <w:tab w:val="left" w:pos="284"/>
          <w:tab w:val="right" w:pos="567"/>
          <w:tab w:val="left" w:pos="8222"/>
        </w:tabs>
        <w:ind w:left="0" w:right="-234" w:firstLine="0"/>
        <w:jc w:val="both"/>
      </w:pPr>
      <w:r w:rsidRPr="00F255C4">
        <w:t>Si se examina en detalle el contenido de la Ley 2300 puede concluirse que ella refleja un esfuerzo por articular diferentes intereses en tensión. Los de aq</w:t>
      </w:r>
      <w:r w:rsidRPr="00F255C4">
        <w:t>uellos que adelantan gestiones de cobranza o comerciales y los de los consumidores</w:t>
      </w:r>
      <w:r w:rsidRPr="00F255C4">
        <w:t>. Se trata entonces de un</w:t>
      </w:r>
      <w:r w:rsidRPr="00F255C4">
        <w:t xml:space="preserve"> régimen</w:t>
      </w:r>
      <w:r w:rsidRPr="00F255C4">
        <w:t xml:space="preserve"> </w:t>
      </w:r>
      <w:r w:rsidRPr="00F255C4">
        <w:t>que no se</w:t>
      </w:r>
      <w:r w:rsidRPr="00F255C4">
        <w:t xml:space="preserve"> encamina a configurar o actualizar los derechos fundamentales concernidos. Su finalidad </w:t>
      </w:r>
      <w:r w:rsidRPr="00F255C4">
        <w:t xml:space="preserve">ha consistido </w:t>
      </w:r>
      <w:r w:rsidRPr="00F255C4">
        <w:t>-</w:t>
      </w:r>
      <w:r w:rsidRPr="00F255C4">
        <w:t>como</w:t>
      </w:r>
      <w:r w:rsidRPr="00F255C4">
        <w:t xml:space="preserve"> lo dice el precedente </w:t>
      </w:r>
      <w:r w:rsidRPr="00F255C4">
        <w:t xml:space="preserve">de la Corte relativo </w:t>
      </w:r>
      <w:r w:rsidRPr="00F255C4">
        <w:t>a</w:t>
      </w:r>
      <w:r w:rsidRPr="00F255C4">
        <w:t>l papel que debe cumplir la legislación ordinaria</w:t>
      </w:r>
      <w:r w:rsidRPr="00F255C4">
        <w:t>-</w:t>
      </w:r>
      <w:r w:rsidRPr="00F255C4">
        <w:t xml:space="preserve"> en </w:t>
      </w:r>
      <w:r w:rsidRPr="00F255C4">
        <w:rPr>
          <w:shd w:val="clear" w:color="auto" w:fill="FFFFFF"/>
        </w:rPr>
        <w:t>armonizar o ponderar los derechos y libertades que se encuentran en juego.</w:t>
      </w:r>
      <w:r w:rsidRPr="00F255C4">
        <w:rPr>
          <w:shd w:val="clear" w:color="auto" w:fill="FFFFFF"/>
        </w:rPr>
        <w:t xml:space="preserve"> </w:t>
      </w:r>
      <w:r w:rsidRPr="00F255C4">
        <w:rPr>
          <w:shd w:val="clear" w:color="auto" w:fill="FFFFFF"/>
        </w:rPr>
        <w:t>El conjunto de condiciones</w:t>
      </w:r>
      <w:r w:rsidRPr="00F255C4">
        <w:rPr>
          <w:shd w:val="clear" w:color="auto" w:fill="FFFFFF"/>
        </w:rPr>
        <w:t xml:space="preserve"> o l</w:t>
      </w:r>
      <w:r w:rsidRPr="00F255C4">
        <w:rPr>
          <w:shd w:val="clear" w:color="auto" w:fill="FFFFFF"/>
        </w:rPr>
        <w:t>í</w:t>
      </w:r>
      <w:r w:rsidRPr="00F255C4">
        <w:rPr>
          <w:shd w:val="clear" w:color="auto" w:fill="FFFFFF"/>
        </w:rPr>
        <w:t>mites</w:t>
      </w:r>
      <w:r w:rsidRPr="00F255C4">
        <w:rPr>
          <w:shd w:val="clear" w:color="auto" w:fill="FFFFFF"/>
        </w:rPr>
        <w:t xml:space="preserve"> que se</w:t>
      </w:r>
      <w:r w:rsidRPr="00F255C4">
        <w:rPr>
          <w:shd w:val="clear" w:color="auto" w:fill="FFFFFF"/>
        </w:rPr>
        <w:t xml:space="preserve"> establecen</w:t>
      </w:r>
      <w:r w:rsidRPr="00F255C4">
        <w:rPr>
          <w:shd w:val="clear" w:color="auto" w:fill="FFFFFF"/>
        </w:rPr>
        <w:t xml:space="preserve"> </w:t>
      </w:r>
      <w:r w:rsidRPr="00F255C4">
        <w:rPr>
          <w:shd w:val="clear" w:color="auto" w:fill="FFFFFF"/>
        </w:rPr>
        <w:t xml:space="preserve">en la ley </w:t>
      </w:r>
      <w:r w:rsidRPr="00F255C4">
        <w:rPr>
          <w:shd w:val="clear" w:color="auto" w:fill="FFFFFF"/>
        </w:rPr>
        <w:t>para</w:t>
      </w:r>
      <w:r w:rsidRPr="00F255C4">
        <w:rPr>
          <w:shd w:val="clear" w:color="auto" w:fill="FFFFFF"/>
        </w:rPr>
        <w:t xml:space="preserve"> el desarrollo de</w:t>
      </w:r>
      <w:r w:rsidRPr="00F255C4">
        <w:rPr>
          <w:shd w:val="clear" w:color="auto" w:fill="FFFFFF"/>
        </w:rPr>
        <w:t xml:space="preserve"> las actividades de cobranza </w:t>
      </w:r>
      <w:r w:rsidRPr="00F255C4">
        <w:rPr>
          <w:shd w:val="clear" w:color="auto" w:fill="FFFFFF"/>
        </w:rPr>
        <w:t>y</w:t>
      </w:r>
      <w:r w:rsidRPr="00F255C4">
        <w:rPr>
          <w:shd w:val="clear" w:color="auto" w:fill="FFFFFF"/>
        </w:rPr>
        <w:t xml:space="preserve"> comerciales </w:t>
      </w:r>
      <w:r w:rsidRPr="00F255C4">
        <w:rPr>
          <w:shd w:val="clear" w:color="auto" w:fill="FFFFFF"/>
        </w:rPr>
        <w:t xml:space="preserve">no tienen por objeto la configuración </w:t>
      </w:r>
      <w:r w:rsidRPr="00F255C4">
        <w:rPr>
          <w:shd w:val="clear" w:color="auto" w:fill="FFFFFF"/>
        </w:rPr>
        <w:t xml:space="preserve">específica </w:t>
      </w:r>
      <w:r w:rsidRPr="00F255C4">
        <w:rPr>
          <w:shd w:val="clear" w:color="auto" w:fill="FFFFFF"/>
        </w:rPr>
        <w:t xml:space="preserve">de los derechos fundamentales ni la definición de su ámbito </w:t>
      </w:r>
      <w:r w:rsidRPr="00F255C4">
        <w:rPr>
          <w:shd w:val="clear" w:color="auto" w:fill="FFFFFF"/>
        </w:rPr>
        <w:t xml:space="preserve">general </w:t>
      </w:r>
      <w:r w:rsidRPr="00F255C4">
        <w:rPr>
          <w:shd w:val="clear" w:color="auto" w:fill="FFFFFF"/>
        </w:rPr>
        <w:t xml:space="preserve">de protección sino, en una dirección diferente, </w:t>
      </w:r>
      <w:r w:rsidRPr="00F255C4">
        <w:rPr>
          <w:shd w:val="clear" w:color="auto" w:fill="FFFFFF"/>
        </w:rPr>
        <w:t>la precisión de</w:t>
      </w:r>
      <w:r w:rsidRPr="00F255C4">
        <w:rPr>
          <w:shd w:val="clear" w:color="auto" w:fill="FFFFFF"/>
        </w:rPr>
        <w:t xml:space="preserve"> la forma en que deben concordars</w:t>
      </w:r>
      <w:r w:rsidRPr="00F255C4">
        <w:rPr>
          <w:shd w:val="clear" w:color="auto" w:fill="FFFFFF"/>
        </w:rPr>
        <w:t>e los intereses</w:t>
      </w:r>
      <w:r w:rsidRPr="00F255C4">
        <w:rPr>
          <w:shd w:val="clear" w:color="auto" w:fill="FFFFFF"/>
        </w:rPr>
        <w:t xml:space="preserve"> de consumidores y empresarios.</w:t>
      </w:r>
      <w:r w:rsidRPr="00F255C4">
        <w:rPr>
          <w:shd w:val="clear" w:color="auto" w:fill="FFFFFF"/>
        </w:rPr>
        <w:t xml:space="preserve">  </w:t>
      </w:r>
      <w:r w:rsidRPr="00F255C4">
        <w:rPr>
          <w:shd w:val="clear" w:color="auto" w:fill="FFFFFF"/>
        </w:rPr>
        <w:t xml:space="preserve"> </w:t>
      </w:r>
    </w:p>
    <w:p w:rsidR="003033A8" w:rsidRPr="00F255C4" w:rsidRDefault="00F255C4" w:rsidP="003033A8">
      <w:pPr>
        <w:pStyle w:val="Prrafodelista"/>
        <w:rPr>
          <w:shd w:val="clear" w:color="auto" w:fill="FFFFFF"/>
        </w:rPr>
      </w:pPr>
    </w:p>
    <w:p w:rsidR="00244767"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shd w:val="clear" w:color="auto" w:fill="FFFFFF"/>
        </w:rPr>
        <w:t xml:space="preserve">Admitir que la materia examinada tuviera que sujetarse a las exigencias propias de la aprobación de una ley estatutaria -a la que se anuda </w:t>
      </w:r>
      <w:r w:rsidRPr="00F255C4">
        <w:rPr>
          <w:shd w:val="clear" w:color="auto" w:fill="FFFFFF"/>
        </w:rPr>
        <w:t>una</w:t>
      </w:r>
      <w:r w:rsidRPr="00F255C4">
        <w:rPr>
          <w:shd w:val="clear" w:color="auto" w:fill="FFFFFF"/>
        </w:rPr>
        <w:t xml:space="preserve"> vocación de permanencia-</w:t>
      </w:r>
      <w:r w:rsidRPr="00F255C4">
        <w:rPr>
          <w:shd w:val="clear" w:color="auto" w:fill="FFFFFF"/>
        </w:rPr>
        <w:t>,</w:t>
      </w:r>
      <w:r w:rsidRPr="00F255C4">
        <w:rPr>
          <w:shd w:val="clear" w:color="auto" w:fill="FFFFFF"/>
        </w:rPr>
        <w:t xml:space="preserve"> desconocería que los asuntos relativ</w:t>
      </w:r>
      <w:r w:rsidRPr="00F255C4">
        <w:rPr>
          <w:shd w:val="clear" w:color="auto" w:fill="FFFFFF"/>
        </w:rPr>
        <w:t>os a las formas de comunicación y los límites a su empleo puede</w:t>
      </w:r>
      <w:r w:rsidRPr="00F255C4">
        <w:rPr>
          <w:shd w:val="clear" w:color="auto" w:fill="FFFFFF"/>
        </w:rPr>
        <w:t>n</w:t>
      </w:r>
      <w:r w:rsidRPr="00F255C4">
        <w:rPr>
          <w:shd w:val="clear" w:color="auto" w:fill="FFFFFF"/>
        </w:rPr>
        <w:t xml:space="preserve"> ser cambiante</w:t>
      </w:r>
      <w:r w:rsidRPr="00F255C4">
        <w:rPr>
          <w:shd w:val="clear" w:color="auto" w:fill="FFFFFF"/>
        </w:rPr>
        <w:t>s</w:t>
      </w:r>
      <w:r w:rsidRPr="00F255C4">
        <w:rPr>
          <w:shd w:val="clear" w:color="auto" w:fill="FFFFFF"/>
        </w:rPr>
        <w:t xml:space="preserve">. No </w:t>
      </w:r>
      <w:r w:rsidRPr="00F255C4">
        <w:rPr>
          <w:shd w:val="clear" w:color="auto" w:fill="FFFFFF"/>
        </w:rPr>
        <w:t xml:space="preserve">se </w:t>
      </w:r>
      <w:r w:rsidRPr="00F255C4">
        <w:rPr>
          <w:shd w:val="clear" w:color="auto" w:fill="FFFFFF"/>
        </w:rPr>
        <w:t>puede pasar por alto que</w:t>
      </w:r>
      <w:r w:rsidRPr="00F255C4">
        <w:rPr>
          <w:shd w:val="clear" w:color="auto" w:fill="FFFFFF"/>
        </w:rPr>
        <w:t>, como también lo ha dicho la Sala Plena,</w:t>
      </w:r>
      <w:r w:rsidRPr="00F255C4">
        <w:rPr>
          <w:shd w:val="clear" w:color="auto" w:fill="FFFFFF"/>
        </w:rPr>
        <w:t xml:space="preserve"> </w:t>
      </w:r>
      <w:r w:rsidRPr="00F255C4">
        <w:rPr>
          <w:shd w:val="clear" w:color="auto" w:fill="FFFFFF"/>
        </w:rPr>
        <w:t>una</w:t>
      </w:r>
      <w:r w:rsidRPr="00F255C4">
        <w:rPr>
          <w:shd w:val="clear" w:color="auto" w:fill="FFFFFF"/>
        </w:rPr>
        <w:t xml:space="preserve"> ampliación de la reserva de ley estatutaria “impide que el mismo sistema tenga un carácter dinámico</w:t>
      </w:r>
      <w:r w:rsidRPr="00F255C4">
        <w:rPr>
          <w:shd w:val="clear" w:color="auto" w:fill="FFFFFF"/>
        </w:rPr>
        <w:t xml:space="preserve"> frente a las nuevas realidades, pues por el mayor número de exigencias impuestas para su trámite y promulgación, el cambio normativo requerido para acoplar el derecho a las transformaciones de la sociedad sería más tardío y se rompería la regla general de</w:t>
      </w:r>
      <w:r w:rsidRPr="00F255C4">
        <w:rPr>
          <w:shd w:val="clear" w:color="auto" w:fill="FFFFFF"/>
        </w:rPr>
        <w:t xml:space="preserve"> mayoría simple para la creación legislativa”</w:t>
      </w:r>
      <w:r w:rsidRPr="00F255C4">
        <w:rPr>
          <w:rStyle w:val="Refdenotaalpie"/>
          <w:shd w:val="clear" w:color="auto" w:fill="FFFFFF"/>
        </w:rPr>
        <w:footnoteReference w:id="87"/>
      </w:r>
      <w:r w:rsidRPr="00F255C4">
        <w:rPr>
          <w:shd w:val="clear" w:color="auto" w:fill="FFFFFF"/>
        </w:rPr>
        <w:t>.</w:t>
      </w:r>
    </w:p>
    <w:p w:rsidR="00B358A2" w:rsidRPr="00F255C4" w:rsidRDefault="00F255C4" w:rsidP="00B358A2">
      <w:pPr>
        <w:pStyle w:val="Prrafodelista"/>
      </w:pPr>
    </w:p>
    <w:p w:rsidR="003033A8" w:rsidRPr="00F255C4" w:rsidRDefault="00F255C4" w:rsidP="0059524E">
      <w:pPr>
        <w:pStyle w:val="Prrafodelista"/>
        <w:numPr>
          <w:ilvl w:val="0"/>
          <w:numId w:val="4"/>
        </w:numPr>
        <w:tabs>
          <w:tab w:val="left" w:pos="284"/>
          <w:tab w:val="right" w:pos="567"/>
          <w:tab w:val="left" w:pos="8222"/>
        </w:tabs>
        <w:ind w:left="0" w:right="-234" w:firstLine="0"/>
        <w:jc w:val="both"/>
      </w:pPr>
      <w:r w:rsidRPr="00F255C4">
        <w:t xml:space="preserve">Cabe en este sentido recordar </w:t>
      </w:r>
      <w:r w:rsidRPr="00F255C4">
        <w:t xml:space="preserve">que respecto de </w:t>
      </w:r>
      <w:r w:rsidRPr="00F255C4">
        <w:t>las gestiones de cobr</w:t>
      </w:r>
      <w:r w:rsidRPr="00F255C4">
        <w:t>o</w:t>
      </w:r>
      <w:r w:rsidRPr="00F255C4">
        <w:t>,</w:t>
      </w:r>
      <w:r w:rsidRPr="00F255C4">
        <w:t xml:space="preserve"> la Ley 1328 de 2009 ha previsto que las entidades financieras tienen el deber de </w:t>
      </w:r>
      <w:r w:rsidRPr="00F255C4">
        <w:rPr>
          <w:shd w:val="clear" w:color="auto" w:fill="FFFFFF"/>
        </w:rPr>
        <w:t>realizar</w:t>
      </w:r>
      <w:r w:rsidRPr="00F255C4">
        <w:rPr>
          <w:shd w:val="clear" w:color="auto" w:fill="FFFFFF"/>
        </w:rPr>
        <w:t>las</w:t>
      </w:r>
      <w:r w:rsidRPr="00F255C4">
        <w:rPr>
          <w:shd w:val="clear" w:color="auto" w:fill="FFFFFF"/>
        </w:rPr>
        <w:t xml:space="preserve"> de manera respetuosa y en horarios adecuados. Precisamente </w:t>
      </w:r>
      <w:r w:rsidRPr="00F255C4">
        <w:rPr>
          <w:shd w:val="clear" w:color="auto" w:fill="FFFFFF"/>
        </w:rPr>
        <w:t>en el curso del trámite legislativo la Superintendencia Financiera advirtió que no</w:t>
      </w:r>
      <w:r w:rsidRPr="00F255C4">
        <w:rPr>
          <w:shd w:val="clear" w:color="auto" w:fill="FFFFFF"/>
        </w:rPr>
        <w:t xml:space="preserve"> parecía imperativo </w:t>
      </w:r>
      <w:r w:rsidRPr="00F255C4">
        <w:rPr>
          <w:shd w:val="clear" w:color="auto" w:fill="FFFFFF"/>
        </w:rPr>
        <w:t xml:space="preserve">expedir </w:t>
      </w:r>
      <w:r w:rsidRPr="00F255C4">
        <w:rPr>
          <w:shd w:val="clear" w:color="auto" w:fill="FFFFFF"/>
        </w:rPr>
        <w:t>l</w:t>
      </w:r>
      <w:r w:rsidRPr="00F255C4">
        <w:rPr>
          <w:shd w:val="clear" w:color="auto" w:fill="FFFFFF"/>
        </w:rPr>
        <w:t>a regulación</w:t>
      </w:r>
      <w:r w:rsidRPr="00F255C4">
        <w:rPr>
          <w:shd w:val="clear" w:color="auto" w:fill="FFFFFF"/>
        </w:rPr>
        <w:t>,</w:t>
      </w:r>
      <w:r w:rsidRPr="00F255C4">
        <w:rPr>
          <w:shd w:val="clear" w:color="auto" w:fill="FFFFFF"/>
        </w:rPr>
        <w:t xml:space="preserve"> dado que dicho organismo había impartido</w:t>
      </w:r>
      <w:r w:rsidRPr="00F255C4">
        <w:rPr>
          <w:shd w:val="clear" w:color="auto" w:fill="FFFFFF"/>
        </w:rPr>
        <w:t>, sobre el particular,</w:t>
      </w:r>
      <w:r w:rsidRPr="00F255C4">
        <w:rPr>
          <w:shd w:val="clear" w:color="auto" w:fill="FFFFFF"/>
        </w:rPr>
        <w:t xml:space="preserve"> instrucc</w:t>
      </w:r>
      <w:r w:rsidRPr="00F255C4">
        <w:rPr>
          <w:shd w:val="clear" w:color="auto" w:fill="FFFFFF"/>
        </w:rPr>
        <w:t>iones</w:t>
      </w:r>
      <w:r w:rsidRPr="00F255C4">
        <w:rPr>
          <w:shd w:val="clear" w:color="auto" w:fill="FFFFFF"/>
        </w:rPr>
        <w:t xml:space="preserve"> precisas </w:t>
      </w:r>
      <w:r w:rsidRPr="00F255C4">
        <w:rPr>
          <w:shd w:val="clear" w:color="auto" w:fill="FFFFFF"/>
        </w:rPr>
        <w:t xml:space="preserve">en la Circular Básica Jurídica. </w:t>
      </w:r>
      <w:r w:rsidRPr="00F255C4">
        <w:t>Señaló que tales instrucciones “son de carácter obligatorio y establecen, entre otras, que las gestiones de cobro deben efectuarse de manera respetuosa y en horarios adecuados para los consumidores financieros</w:t>
      </w:r>
      <w:r w:rsidRPr="00F255C4">
        <w:t>, entendiéndose como horarios adecuados aquellos que no afecten la intimidad personal y familiar del deudor”</w:t>
      </w:r>
      <w:r w:rsidRPr="00F255C4">
        <w:rPr>
          <w:rStyle w:val="Refdenotaalpie"/>
        </w:rPr>
        <w:footnoteReference w:id="88"/>
      </w:r>
      <w:r w:rsidRPr="00F255C4">
        <w:t>. Ello es así, sostuvo la Superintendencia, “por cuanto, el perfil del consumidor debe ser el determinante al momento de ser contactado, de acuerdo</w:t>
      </w:r>
      <w:r w:rsidRPr="00F255C4">
        <w:t xml:space="preserve"> con sus horarios laborales, respetando así la intimidad del adeudado”</w:t>
      </w:r>
      <w:r w:rsidRPr="00F255C4">
        <w:rPr>
          <w:rStyle w:val="Refdenotaalpie"/>
        </w:rPr>
        <w:footnoteReference w:id="89"/>
      </w:r>
      <w:r w:rsidRPr="00F255C4">
        <w:t xml:space="preserve">. </w:t>
      </w:r>
      <w:r w:rsidRPr="00F255C4">
        <w:t>De lo expuesto se desprende que no existe una razón que pueda justificar que los contenidos de la ley demandada se estabilicen mediante su elevación a legislación estatutaria. De hech</w:t>
      </w:r>
      <w:r w:rsidRPr="00F255C4">
        <w:t xml:space="preserve">o, los cambios constantes que en materia tecnológica se suscitan apuntan, justamente, en la dirección contraria. </w:t>
      </w:r>
    </w:p>
    <w:p w:rsidR="00421829" w:rsidRPr="00F255C4" w:rsidRDefault="00F255C4" w:rsidP="00421829">
      <w:pPr>
        <w:pStyle w:val="Prrafodelista"/>
        <w:tabs>
          <w:tab w:val="left" w:pos="284"/>
          <w:tab w:val="right" w:pos="567"/>
          <w:tab w:val="left" w:pos="8222"/>
        </w:tabs>
        <w:ind w:left="0" w:right="-234"/>
        <w:jc w:val="both"/>
      </w:pPr>
    </w:p>
    <w:p w:rsidR="00A9490B"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shd w:val="clear" w:color="auto" w:fill="FFFFFF"/>
          <w:lang w:val="es-MX"/>
        </w:rPr>
        <w:t xml:space="preserve">Con apoyo en las </w:t>
      </w:r>
      <w:r w:rsidRPr="00F255C4">
        <w:rPr>
          <w:shd w:val="clear" w:color="auto" w:fill="FFFFFF"/>
          <w:lang w:val="es-MX"/>
        </w:rPr>
        <w:t xml:space="preserve">consideraciones anteriores puede además excluirse que la Ley 2300 haya regulado de </w:t>
      </w:r>
      <w:r w:rsidRPr="00F255C4">
        <w:rPr>
          <w:shd w:val="clear" w:color="auto" w:fill="FFFFFF"/>
          <w:lang w:val="es-MX"/>
        </w:rPr>
        <w:t xml:space="preserve">manera integral, estructural y completa </w:t>
      </w:r>
      <w:r w:rsidRPr="00F255C4">
        <w:rPr>
          <w:shd w:val="clear" w:color="auto" w:fill="FFFFFF"/>
          <w:lang w:val="es-MX"/>
        </w:rPr>
        <w:t>un derecho fundamental</w:t>
      </w:r>
      <w:r w:rsidRPr="00F255C4">
        <w:rPr>
          <w:shd w:val="clear" w:color="auto" w:fill="FFFFFF"/>
          <w:lang w:val="es-MX"/>
        </w:rPr>
        <w:t>. Se trata de una legislación</w:t>
      </w:r>
      <w:r w:rsidRPr="00F255C4">
        <w:rPr>
          <w:shd w:val="clear" w:color="auto" w:fill="FFFFFF"/>
          <w:lang w:val="es-MX"/>
        </w:rPr>
        <w:t xml:space="preserve"> que</w:t>
      </w:r>
      <w:r w:rsidRPr="00F255C4">
        <w:rPr>
          <w:shd w:val="clear" w:color="auto" w:fill="FFFFFF"/>
          <w:lang w:val="es-MX"/>
        </w:rPr>
        <w:t xml:space="preserve"> constituye</w:t>
      </w:r>
      <w:r w:rsidRPr="00F255C4">
        <w:rPr>
          <w:shd w:val="clear" w:color="auto" w:fill="FFFFFF"/>
          <w:lang w:val="es-MX"/>
        </w:rPr>
        <w:t xml:space="preserve"> un avance para disciplinar y ordenar las relaciones de consumo y que incluso</w:t>
      </w:r>
      <w:r w:rsidRPr="00F255C4">
        <w:rPr>
          <w:shd w:val="clear" w:color="auto" w:fill="FFFFFF"/>
          <w:lang w:val="es-MX"/>
        </w:rPr>
        <w:t xml:space="preserve"> parece</w:t>
      </w:r>
      <w:r w:rsidRPr="00F255C4">
        <w:rPr>
          <w:shd w:val="clear" w:color="auto" w:fill="FFFFFF"/>
          <w:lang w:val="es-MX"/>
        </w:rPr>
        <w:t xml:space="preserve"> concordante con algunas decisiones de tutela adoptadas por la Corte</w:t>
      </w:r>
      <w:r w:rsidRPr="00F255C4">
        <w:rPr>
          <w:shd w:val="clear" w:color="auto" w:fill="FFFFFF"/>
          <w:lang w:val="es-MX"/>
        </w:rPr>
        <w:t xml:space="preserve">. Sin embargo, ella se ocupa </w:t>
      </w:r>
      <w:r w:rsidRPr="00F255C4">
        <w:rPr>
          <w:shd w:val="clear" w:color="auto" w:fill="FFFFFF"/>
          <w:lang w:val="es-MX"/>
        </w:rPr>
        <w:t>solo parc</w:t>
      </w:r>
      <w:r w:rsidRPr="00F255C4">
        <w:rPr>
          <w:shd w:val="clear" w:color="auto" w:fill="FFFFFF"/>
          <w:lang w:val="es-MX"/>
        </w:rPr>
        <w:t xml:space="preserve">ialmente </w:t>
      </w:r>
      <w:r w:rsidRPr="00F255C4">
        <w:rPr>
          <w:shd w:val="clear" w:color="auto" w:fill="FFFFFF"/>
          <w:lang w:val="es-MX"/>
        </w:rPr>
        <w:t>de dimensiones instrumentales u operativas.</w:t>
      </w:r>
      <w:r w:rsidRPr="00F255C4">
        <w:rPr>
          <w:shd w:val="clear" w:color="auto" w:fill="FFFFFF"/>
          <w:lang w:val="es-MX"/>
        </w:rPr>
        <w:t xml:space="preserve"> El carácter no integral de la regulación fue incluso puest</w:t>
      </w:r>
      <w:r w:rsidRPr="00F255C4">
        <w:rPr>
          <w:shd w:val="clear" w:color="auto" w:fill="FFFFFF"/>
          <w:lang w:val="es-MX"/>
        </w:rPr>
        <w:t>o</w:t>
      </w:r>
      <w:r w:rsidRPr="00F255C4">
        <w:rPr>
          <w:shd w:val="clear" w:color="auto" w:fill="FFFFFF"/>
          <w:lang w:val="es-MX"/>
        </w:rPr>
        <w:t xml:space="preserve"> de presente a lo largo del trámite le</w:t>
      </w:r>
      <w:r w:rsidRPr="00F255C4">
        <w:rPr>
          <w:shd w:val="clear" w:color="auto" w:fill="FFFFFF"/>
          <w:lang w:val="es-MX"/>
        </w:rPr>
        <w:t xml:space="preserve">gislativo en los informes de ponencia. </w:t>
      </w:r>
      <w:r w:rsidRPr="00F255C4">
        <w:rPr>
          <w:shd w:val="clear" w:color="auto" w:fill="FFFFFF"/>
          <w:lang w:val="es-MX"/>
        </w:rPr>
        <w:t>Así,</w:t>
      </w:r>
      <w:r w:rsidRPr="00F255C4">
        <w:rPr>
          <w:shd w:val="clear" w:color="auto" w:fill="FFFFFF"/>
          <w:lang w:val="es-MX"/>
        </w:rPr>
        <w:t xml:space="preserve"> por ejemplo, en el presentado para primer debate se indicó que</w:t>
      </w:r>
      <w:r w:rsidRPr="00F255C4">
        <w:rPr>
          <w:shd w:val="clear" w:color="auto" w:fill="FFFFFF"/>
          <w:lang w:val="es-MX"/>
        </w:rPr>
        <w:t xml:space="preserve"> “[</w:t>
      </w:r>
      <w:r w:rsidRPr="00F255C4">
        <w:t>s]e trata de la protección de apenas un aspecto del derecho fundamental a la intimidad, y no de una regulación integral del mismo, por lo que no se hace necesario tramitarla como Ley Estatutaria, sino que es propia del trámite ordinario”</w:t>
      </w:r>
      <w:r w:rsidRPr="00F255C4">
        <w:rPr>
          <w:rStyle w:val="Refdenotaalpie"/>
        </w:rPr>
        <w:footnoteReference w:id="90"/>
      </w:r>
      <w:r w:rsidRPr="00F255C4">
        <w:t>.</w:t>
      </w:r>
      <w:r w:rsidRPr="00F255C4">
        <w:rPr>
          <w:shd w:val="clear" w:color="auto" w:fill="FFFFFF"/>
          <w:lang w:val="es-MX"/>
        </w:rPr>
        <w:t xml:space="preserve"> </w:t>
      </w:r>
    </w:p>
    <w:p w:rsidR="00A9490B" w:rsidRPr="00F255C4" w:rsidRDefault="00F255C4" w:rsidP="00A9490B">
      <w:pPr>
        <w:pStyle w:val="Prrafodelista"/>
        <w:rPr>
          <w:shd w:val="clear" w:color="auto" w:fill="FFFFFF"/>
          <w:lang w:val="es-MX"/>
        </w:rPr>
      </w:pPr>
    </w:p>
    <w:p w:rsidR="00CB3D26" w:rsidRPr="00F255C4" w:rsidRDefault="00F255C4" w:rsidP="0059524E">
      <w:pPr>
        <w:pStyle w:val="Prrafodelista"/>
        <w:numPr>
          <w:ilvl w:val="0"/>
          <w:numId w:val="4"/>
        </w:numPr>
        <w:tabs>
          <w:tab w:val="left" w:pos="284"/>
          <w:tab w:val="right" w:pos="567"/>
          <w:tab w:val="left" w:pos="8222"/>
        </w:tabs>
        <w:ind w:left="0" w:right="-234" w:firstLine="0"/>
        <w:jc w:val="both"/>
      </w:pPr>
      <w:r w:rsidRPr="00F255C4">
        <w:rPr>
          <w:shd w:val="clear" w:color="auto" w:fill="FFFFFF"/>
          <w:lang w:val="es-MX"/>
        </w:rPr>
        <w:t>En apoyo de</w:t>
      </w:r>
      <w:r w:rsidRPr="00F255C4">
        <w:rPr>
          <w:shd w:val="clear" w:color="auto" w:fill="FFFFFF"/>
          <w:lang w:val="es-MX"/>
        </w:rPr>
        <w:t xml:space="preserve"> la conclusión</w:t>
      </w:r>
      <w:r w:rsidRPr="00F255C4">
        <w:rPr>
          <w:shd w:val="clear" w:color="auto" w:fill="FFFFFF"/>
          <w:lang w:val="es-MX"/>
        </w:rPr>
        <w:t xml:space="preserve"> </w:t>
      </w:r>
      <w:r w:rsidRPr="00F255C4">
        <w:rPr>
          <w:shd w:val="clear" w:color="auto" w:fill="FFFFFF"/>
          <w:lang w:val="es-MX"/>
        </w:rPr>
        <w:t xml:space="preserve">a la que </w:t>
      </w:r>
      <w:r w:rsidRPr="00F255C4">
        <w:rPr>
          <w:shd w:val="clear" w:color="auto" w:fill="FFFFFF"/>
          <w:lang w:val="es-MX"/>
        </w:rPr>
        <w:t xml:space="preserve">ahora </w:t>
      </w:r>
      <w:r w:rsidRPr="00F255C4">
        <w:rPr>
          <w:shd w:val="clear" w:color="auto" w:fill="FFFFFF"/>
          <w:lang w:val="es-MX"/>
        </w:rPr>
        <w:t>arriba la Corte</w:t>
      </w:r>
      <w:r w:rsidRPr="00F255C4">
        <w:rPr>
          <w:shd w:val="clear" w:color="auto" w:fill="FFFFFF"/>
          <w:lang w:val="es-MX"/>
        </w:rPr>
        <w:t>,</w:t>
      </w:r>
      <w:r w:rsidRPr="00F255C4">
        <w:rPr>
          <w:shd w:val="clear" w:color="auto" w:fill="FFFFFF"/>
          <w:lang w:val="es-MX"/>
        </w:rPr>
        <w:t xml:space="preserve"> milita</w:t>
      </w:r>
      <w:r w:rsidRPr="00F255C4">
        <w:rPr>
          <w:shd w:val="clear" w:color="auto" w:fill="FFFFFF"/>
          <w:lang w:val="es-MX"/>
        </w:rPr>
        <w:t xml:space="preserve"> </w:t>
      </w:r>
      <w:r w:rsidRPr="00F255C4">
        <w:rPr>
          <w:shd w:val="clear" w:color="auto" w:fill="FFFFFF"/>
          <w:lang w:val="es-MX"/>
        </w:rPr>
        <w:t xml:space="preserve">una </w:t>
      </w:r>
      <w:r w:rsidRPr="00F255C4">
        <w:rPr>
          <w:shd w:val="clear" w:color="auto" w:fill="FFFFFF"/>
          <w:lang w:val="es-MX"/>
        </w:rPr>
        <w:t>raz</w:t>
      </w:r>
      <w:r w:rsidRPr="00F255C4">
        <w:rPr>
          <w:shd w:val="clear" w:color="auto" w:fill="FFFFFF"/>
          <w:lang w:val="es-MX"/>
        </w:rPr>
        <w:t>ón</w:t>
      </w:r>
      <w:r w:rsidRPr="00F255C4">
        <w:rPr>
          <w:shd w:val="clear" w:color="auto" w:fill="FFFFFF"/>
          <w:lang w:val="es-MX"/>
        </w:rPr>
        <w:t xml:space="preserve"> adicional</w:t>
      </w:r>
      <w:r w:rsidRPr="00F255C4">
        <w:rPr>
          <w:shd w:val="clear" w:color="auto" w:fill="FFFFFF"/>
          <w:lang w:val="es-MX"/>
        </w:rPr>
        <w:t xml:space="preserve"> -a su juicio de enorme importancia-,</w:t>
      </w:r>
      <w:r w:rsidRPr="00F255C4">
        <w:rPr>
          <w:shd w:val="clear" w:color="auto" w:fill="FFFFFF"/>
          <w:lang w:val="es-MX"/>
        </w:rPr>
        <w:t xml:space="preserve"> que se apoya en las consideraciones </w:t>
      </w:r>
      <w:r w:rsidRPr="00F255C4">
        <w:rPr>
          <w:shd w:val="clear" w:color="auto" w:fill="FFFFFF"/>
          <w:lang w:val="es-MX"/>
        </w:rPr>
        <w:t xml:space="preserve">expuestas </w:t>
      </w:r>
      <w:r w:rsidRPr="00F255C4">
        <w:rPr>
          <w:shd w:val="clear" w:color="auto" w:fill="FFFFFF"/>
          <w:lang w:val="es-MX"/>
        </w:rPr>
        <w:t>al analizar la triple vinculación temática de la ley y la Constitución</w:t>
      </w:r>
      <w:r w:rsidRPr="00F255C4">
        <w:rPr>
          <w:shd w:val="clear" w:color="auto" w:fill="FFFFFF"/>
          <w:lang w:val="es-MX"/>
        </w:rPr>
        <w:t>.</w:t>
      </w:r>
      <w:r w:rsidRPr="00F255C4">
        <w:rPr>
          <w:shd w:val="clear" w:color="auto" w:fill="FFFFFF"/>
          <w:lang w:val="es-MX"/>
        </w:rPr>
        <w:t xml:space="preserve"> </w:t>
      </w:r>
      <w:r w:rsidRPr="00F255C4">
        <w:rPr>
          <w:shd w:val="clear" w:color="auto" w:fill="FFFFFF"/>
          <w:lang w:val="es-MX"/>
        </w:rPr>
        <w:t>E</w:t>
      </w:r>
      <w:r w:rsidRPr="00F255C4">
        <w:rPr>
          <w:shd w:val="clear" w:color="auto" w:fill="FFFFFF"/>
          <w:lang w:val="es-MX"/>
        </w:rPr>
        <w:t>n</w:t>
      </w:r>
      <w:r w:rsidRPr="00F255C4">
        <w:rPr>
          <w:shd w:val="clear" w:color="auto" w:fill="FFFFFF"/>
          <w:lang w:val="es-MX"/>
        </w:rPr>
        <w:t xml:space="preserve"> el caso de la Ley 2300 de 2023 </w:t>
      </w:r>
      <w:r w:rsidRPr="00F255C4">
        <w:rPr>
          <w:shd w:val="clear" w:color="auto" w:fill="FFFFFF"/>
          <w:lang w:val="es-MX"/>
        </w:rPr>
        <w:t xml:space="preserve">se </w:t>
      </w:r>
      <w:r w:rsidRPr="00F255C4">
        <w:rPr>
          <w:shd w:val="clear" w:color="auto" w:fill="FFFFFF"/>
          <w:lang w:val="es-MX"/>
        </w:rPr>
        <w:t>constata</w:t>
      </w:r>
      <w:r w:rsidRPr="00F255C4">
        <w:rPr>
          <w:shd w:val="clear" w:color="auto" w:fill="FFFFFF"/>
          <w:lang w:val="es-MX"/>
        </w:rPr>
        <w:t xml:space="preserve"> </w:t>
      </w:r>
      <w:r w:rsidRPr="00F255C4">
        <w:rPr>
          <w:shd w:val="clear" w:color="auto" w:fill="FFFFFF"/>
          <w:lang w:val="es-MX"/>
        </w:rPr>
        <w:t xml:space="preserve">que la Constitución Económica y el Régimen de Protección al Consumidor ejercen </w:t>
      </w:r>
      <w:r w:rsidRPr="00F255C4">
        <w:rPr>
          <w:shd w:val="clear" w:color="auto" w:fill="FFFFFF"/>
          <w:lang w:val="es-MX"/>
        </w:rPr>
        <w:t xml:space="preserve">sobre su contenido </w:t>
      </w:r>
      <w:r w:rsidRPr="00F255C4">
        <w:rPr>
          <w:shd w:val="clear" w:color="auto" w:fill="FFFFFF"/>
          <w:lang w:val="es-MX"/>
        </w:rPr>
        <w:t>una especial</w:t>
      </w:r>
      <w:r w:rsidRPr="00F255C4">
        <w:rPr>
          <w:shd w:val="clear" w:color="auto" w:fill="FFFFFF"/>
          <w:lang w:val="es-MX"/>
        </w:rPr>
        <w:t xml:space="preserve"> fuerza de atracción</w:t>
      </w:r>
      <w:r w:rsidRPr="00F255C4">
        <w:rPr>
          <w:shd w:val="clear" w:color="auto" w:fill="FFFFFF"/>
          <w:lang w:val="es-MX"/>
        </w:rPr>
        <w:t>.</w:t>
      </w:r>
      <w:r w:rsidRPr="00F255C4">
        <w:rPr>
          <w:shd w:val="clear" w:color="auto" w:fill="FFFFFF"/>
          <w:lang w:val="es-MX"/>
        </w:rPr>
        <w:t xml:space="preserve"> </w:t>
      </w:r>
      <w:r w:rsidRPr="00F255C4">
        <w:rPr>
          <w:shd w:val="clear" w:color="auto" w:fill="FFFFFF"/>
          <w:lang w:val="es-MX"/>
        </w:rPr>
        <w:t xml:space="preserve">Ello sugiere </w:t>
      </w:r>
      <w:r w:rsidRPr="00F255C4">
        <w:rPr>
          <w:shd w:val="clear" w:color="auto" w:fill="FFFFFF"/>
          <w:lang w:val="es-MX"/>
        </w:rPr>
        <w:t xml:space="preserve">que </w:t>
      </w:r>
      <w:r w:rsidRPr="00F255C4">
        <w:rPr>
          <w:shd w:val="clear" w:color="auto" w:fill="FFFFFF"/>
          <w:lang w:val="es-MX"/>
        </w:rPr>
        <w:t xml:space="preserve">es </w:t>
      </w:r>
      <w:r w:rsidRPr="00F255C4">
        <w:rPr>
          <w:shd w:val="clear" w:color="auto" w:fill="FFFFFF"/>
          <w:lang w:val="es-MX"/>
        </w:rPr>
        <w:t xml:space="preserve">ese </w:t>
      </w:r>
      <w:r w:rsidRPr="00F255C4">
        <w:rPr>
          <w:shd w:val="clear" w:color="auto" w:fill="FFFFFF"/>
          <w:lang w:val="es-MX"/>
        </w:rPr>
        <w:t xml:space="preserve">el </w:t>
      </w:r>
      <w:r w:rsidRPr="00F255C4">
        <w:rPr>
          <w:shd w:val="clear" w:color="auto" w:fill="FFFFFF"/>
          <w:lang w:val="es-MX"/>
        </w:rPr>
        <w:t xml:space="preserve">marco </w:t>
      </w:r>
      <w:r w:rsidRPr="00F255C4">
        <w:rPr>
          <w:shd w:val="clear" w:color="auto" w:fill="FFFFFF"/>
          <w:lang w:val="es-MX"/>
        </w:rPr>
        <w:t>constitucional</w:t>
      </w:r>
      <w:r w:rsidRPr="00F255C4">
        <w:rPr>
          <w:shd w:val="clear" w:color="auto" w:fill="FFFFFF"/>
          <w:lang w:val="es-MX"/>
        </w:rPr>
        <w:t xml:space="preserve"> al que se acomoda mejor</w:t>
      </w:r>
      <w:r w:rsidRPr="00F255C4">
        <w:rPr>
          <w:shd w:val="clear" w:color="auto" w:fill="FFFFFF"/>
          <w:lang w:val="es-MX"/>
        </w:rPr>
        <w:t>. Dicho d</w:t>
      </w:r>
      <w:r w:rsidRPr="00F255C4">
        <w:rPr>
          <w:shd w:val="clear" w:color="auto" w:fill="FFFFFF"/>
          <w:lang w:val="es-MX"/>
        </w:rPr>
        <w:t>e otra forma,</w:t>
      </w:r>
      <w:r w:rsidRPr="00F255C4">
        <w:rPr>
          <w:shd w:val="clear" w:color="auto" w:fill="FFFFFF"/>
          <w:lang w:val="es-MX"/>
        </w:rPr>
        <w:t xml:space="preserve"> a pesar de que es</w:t>
      </w:r>
      <w:r w:rsidRPr="00F255C4">
        <w:rPr>
          <w:shd w:val="clear" w:color="auto" w:fill="FFFFFF"/>
          <w:lang w:val="es-MX"/>
        </w:rPr>
        <w:t xml:space="preserve"> innegable que la Ley 2300 se</w:t>
      </w:r>
      <w:r w:rsidRPr="00F255C4">
        <w:rPr>
          <w:shd w:val="clear" w:color="auto" w:fill="FFFFFF"/>
          <w:lang w:val="es-MX"/>
        </w:rPr>
        <w:t xml:space="preserve"> relaciona</w:t>
      </w:r>
      <w:r w:rsidRPr="00F255C4">
        <w:rPr>
          <w:shd w:val="clear" w:color="auto" w:fill="FFFFFF"/>
          <w:lang w:val="es-MX"/>
        </w:rPr>
        <w:t xml:space="preserve"> con</w:t>
      </w:r>
      <w:r w:rsidRPr="00F255C4">
        <w:rPr>
          <w:shd w:val="clear" w:color="auto" w:fill="FFFFFF"/>
          <w:lang w:val="es-MX"/>
        </w:rPr>
        <w:t xml:space="preserve"> algunas </w:t>
      </w:r>
      <w:r w:rsidRPr="00F255C4">
        <w:rPr>
          <w:shd w:val="clear" w:color="auto" w:fill="FFFFFF"/>
          <w:lang w:val="es-MX"/>
        </w:rPr>
        <w:t xml:space="preserve">facetas de los derechos fundamentales, </w:t>
      </w:r>
      <w:r w:rsidRPr="00F255C4">
        <w:rPr>
          <w:shd w:val="clear" w:color="auto" w:fill="FFFFFF"/>
          <w:lang w:val="es-MX"/>
        </w:rPr>
        <w:t>su contenido se</w:t>
      </w:r>
      <w:r w:rsidRPr="00F255C4">
        <w:rPr>
          <w:shd w:val="clear" w:color="auto" w:fill="FFFFFF"/>
          <w:lang w:val="es-MX"/>
        </w:rPr>
        <w:t xml:space="preserve"> comprende </w:t>
      </w:r>
      <w:r w:rsidRPr="00F255C4">
        <w:rPr>
          <w:shd w:val="clear" w:color="auto" w:fill="FFFFFF"/>
          <w:lang w:val="es-MX"/>
        </w:rPr>
        <w:t xml:space="preserve">mejor </w:t>
      </w:r>
      <w:r w:rsidRPr="00F255C4">
        <w:rPr>
          <w:shd w:val="clear" w:color="auto" w:fill="FFFFFF"/>
          <w:lang w:val="es-MX"/>
        </w:rPr>
        <w:t xml:space="preserve">cuando ella es vista a partir de su </w:t>
      </w:r>
      <w:r w:rsidRPr="00F255C4">
        <w:rPr>
          <w:shd w:val="clear" w:color="auto" w:fill="FFFFFF"/>
          <w:lang w:val="es-MX"/>
        </w:rPr>
        <w:t xml:space="preserve">propósito de </w:t>
      </w:r>
      <w:r w:rsidRPr="00F255C4">
        <w:rPr>
          <w:shd w:val="clear" w:color="auto" w:fill="FFFFFF"/>
          <w:lang w:val="es-MX"/>
        </w:rPr>
        <w:t>armonizar</w:t>
      </w:r>
      <w:r w:rsidRPr="00F255C4">
        <w:rPr>
          <w:shd w:val="clear" w:color="auto" w:fill="FFFFFF"/>
          <w:lang w:val="es-MX"/>
        </w:rPr>
        <w:t xml:space="preserve"> </w:t>
      </w:r>
      <w:r w:rsidRPr="00F255C4">
        <w:rPr>
          <w:shd w:val="clear" w:color="auto" w:fill="FFFFFF"/>
          <w:lang w:val="es-MX"/>
        </w:rPr>
        <w:t xml:space="preserve">los intereses de los consumidores (art. 78) </w:t>
      </w:r>
      <w:r w:rsidRPr="00F255C4">
        <w:rPr>
          <w:shd w:val="clear" w:color="auto" w:fill="FFFFFF"/>
          <w:lang w:val="es-MX"/>
        </w:rPr>
        <w:t xml:space="preserve">y las </w:t>
      </w:r>
      <w:r w:rsidRPr="00F255C4">
        <w:rPr>
          <w:shd w:val="clear" w:color="auto" w:fill="FFFFFF"/>
          <w:lang w:val="es-MX"/>
        </w:rPr>
        <w:t>libertades económicas</w:t>
      </w:r>
      <w:r w:rsidRPr="00F255C4">
        <w:rPr>
          <w:shd w:val="clear" w:color="auto" w:fill="FFFFFF"/>
          <w:lang w:val="es-MX"/>
        </w:rPr>
        <w:t xml:space="preserve"> de acreedores y comerciantes</w:t>
      </w:r>
      <w:r w:rsidRPr="00F255C4">
        <w:rPr>
          <w:shd w:val="clear" w:color="auto" w:fill="FFFFFF"/>
          <w:lang w:val="es-MX"/>
        </w:rPr>
        <w:t xml:space="preserve"> (art</w:t>
      </w:r>
      <w:r w:rsidRPr="00F255C4">
        <w:rPr>
          <w:shd w:val="clear" w:color="auto" w:fill="FFFFFF"/>
          <w:lang w:val="es-MX"/>
        </w:rPr>
        <w:t>s</w:t>
      </w:r>
      <w:r w:rsidRPr="00F255C4">
        <w:rPr>
          <w:shd w:val="clear" w:color="auto" w:fill="FFFFFF"/>
          <w:lang w:val="es-MX"/>
        </w:rPr>
        <w:t>. 333</w:t>
      </w:r>
      <w:r w:rsidRPr="00F255C4">
        <w:rPr>
          <w:shd w:val="clear" w:color="auto" w:fill="FFFFFF"/>
          <w:lang w:val="es-MX"/>
        </w:rPr>
        <w:t>, 334 y 335</w:t>
      </w:r>
      <w:r w:rsidRPr="00F255C4">
        <w:rPr>
          <w:shd w:val="clear" w:color="auto" w:fill="FFFFFF"/>
          <w:lang w:val="es-MX"/>
        </w:rPr>
        <w:t>).</w:t>
      </w:r>
      <w:r w:rsidRPr="00F255C4">
        <w:rPr>
          <w:shd w:val="clear" w:color="auto" w:fill="FFFFFF"/>
          <w:lang w:val="es-MX"/>
        </w:rPr>
        <w:t xml:space="preserve"> </w:t>
      </w:r>
      <w:r w:rsidRPr="00F255C4">
        <w:rPr>
          <w:shd w:val="clear" w:color="auto" w:fill="FFFFFF"/>
          <w:lang w:val="es-MX"/>
        </w:rPr>
        <w:t xml:space="preserve">El paso ahora dado por el Congreso se enlaza con el interés de que </w:t>
      </w:r>
      <w:r w:rsidRPr="00F255C4">
        <w:rPr>
          <w:shd w:val="clear" w:color="auto" w:fill="FFFFFF"/>
          <w:lang w:val="es-MX"/>
        </w:rPr>
        <w:t xml:space="preserve">las interacciones </w:t>
      </w:r>
      <w:r w:rsidRPr="00F255C4">
        <w:rPr>
          <w:shd w:val="clear" w:color="auto" w:fill="FFFFFF"/>
          <w:lang w:val="es-MX"/>
        </w:rPr>
        <w:t xml:space="preserve">que el mercado </w:t>
      </w:r>
      <w:r w:rsidRPr="00F255C4">
        <w:rPr>
          <w:shd w:val="clear" w:color="auto" w:fill="FFFFFF"/>
          <w:lang w:val="es-MX"/>
        </w:rPr>
        <w:t xml:space="preserve">promueve </w:t>
      </w:r>
      <w:r w:rsidRPr="00F255C4">
        <w:rPr>
          <w:shd w:val="clear" w:color="auto" w:fill="FFFFFF"/>
          <w:lang w:val="es-MX"/>
        </w:rPr>
        <w:t>t</w:t>
      </w:r>
      <w:r w:rsidRPr="00F255C4">
        <w:rPr>
          <w:shd w:val="clear" w:color="auto" w:fill="FFFFFF"/>
          <w:lang w:val="es-MX"/>
        </w:rPr>
        <w:t>engan lugar en un mar</w:t>
      </w:r>
      <w:r w:rsidRPr="00F255C4">
        <w:rPr>
          <w:shd w:val="clear" w:color="auto" w:fill="FFFFFF"/>
          <w:lang w:val="es-MX"/>
        </w:rPr>
        <w:t>co que se tome en serio la especial posición de los consumidores</w:t>
      </w:r>
      <w:r w:rsidRPr="00F255C4">
        <w:rPr>
          <w:shd w:val="clear" w:color="auto" w:fill="FFFFFF"/>
          <w:lang w:val="es-MX"/>
        </w:rPr>
        <w:t>.</w:t>
      </w:r>
      <w:r w:rsidRPr="00F255C4">
        <w:rPr>
          <w:shd w:val="clear" w:color="auto" w:fill="FFFFFF"/>
          <w:lang w:val="es-MX"/>
        </w:rPr>
        <w:t xml:space="preserve"> </w:t>
      </w:r>
      <w:r w:rsidRPr="00F255C4">
        <w:rPr>
          <w:shd w:val="clear" w:color="auto" w:fill="FFFFFF"/>
          <w:lang w:val="es-MX"/>
        </w:rPr>
        <w:t>E</w:t>
      </w:r>
      <w:r w:rsidRPr="00F255C4">
        <w:rPr>
          <w:shd w:val="clear" w:color="auto" w:fill="FFFFFF"/>
          <w:lang w:val="es-MX"/>
        </w:rPr>
        <w:t>n ese contexto</w:t>
      </w:r>
      <w:r w:rsidRPr="00F255C4">
        <w:rPr>
          <w:shd w:val="clear" w:color="auto" w:fill="FFFFFF"/>
          <w:lang w:val="es-MX"/>
        </w:rPr>
        <w:t xml:space="preserve"> es el legislador </w:t>
      </w:r>
      <w:r w:rsidRPr="00F255C4">
        <w:rPr>
          <w:shd w:val="clear" w:color="auto" w:fill="FFFFFF"/>
          <w:lang w:val="es-MX"/>
        </w:rPr>
        <w:t>ordinari</w:t>
      </w:r>
      <w:r w:rsidRPr="00F255C4">
        <w:rPr>
          <w:shd w:val="clear" w:color="auto" w:fill="FFFFFF"/>
          <w:lang w:val="es-MX"/>
        </w:rPr>
        <w:t>o</w:t>
      </w:r>
      <w:r w:rsidRPr="00F255C4">
        <w:rPr>
          <w:shd w:val="clear" w:color="auto" w:fill="FFFFFF"/>
          <w:lang w:val="es-MX"/>
        </w:rPr>
        <w:t xml:space="preserve"> </w:t>
      </w:r>
      <w:r w:rsidRPr="00F255C4">
        <w:rPr>
          <w:shd w:val="clear" w:color="auto" w:fill="FFFFFF"/>
          <w:lang w:val="es-MX"/>
        </w:rPr>
        <w:t xml:space="preserve">quien </w:t>
      </w:r>
      <w:r w:rsidRPr="00F255C4">
        <w:rPr>
          <w:shd w:val="clear" w:color="auto" w:fill="FFFFFF"/>
          <w:lang w:val="es-MX"/>
        </w:rPr>
        <w:t>tiene el protagonismo</w:t>
      </w:r>
      <w:r w:rsidRPr="00F255C4">
        <w:rPr>
          <w:shd w:val="clear" w:color="auto" w:fill="FFFFFF"/>
          <w:lang w:val="es-MX"/>
        </w:rPr>
        <w:t xml:space="preserve"> y, en consecuencia,</w:t>
      </w:r>
      <w:r w:rsidRPr="00F255C4">
        <w:rPr>
          <w:shd w:val="clear" w:color="auto" w:fill="FFFFFF"/>
          <w:lang w:val="es-MX"/>
        </w:rPr>
        <w:t xml:space="preserve"> </w:t>
      </w:r>
      <w:r w:rsidRPr="00F255C4">
        <w:rPr>
          <w:shd w:val="clear" w:color="auto" w:fill="FFFFFF"/>
          <w:lang w:val="es-MX"/>
        </w:rPr>
        <w:t xml:space="preserve">la ley </w:t>
      </w:r>
      <w:r w:rsidRPr="00F255C4">
        <w:rPr>
          <w:shd w:val="clear" w:color="auto" w:fill="FFFFFF"/>
          <w:lang w:val="es-MX"/>
        </w:rPr>
        <w:t>será declarada exequible.</w:t>
      </w:r>
      <w:r w:rsidRPr="00F255C4">
        <w:rPr>
          <w:shd w:val="clear" w:color="auto" w:fill="FFFFFF"/>
          <w:lang w:val="es-MX"/>
        </w:rPr>
        <w:t xml:space="preserve"> </w:t>
      </w:r>
    </w:p>
    <w:p w:rsidR="00E202E4" w:rsidRPr="00F255C4" w:rsidRDefault="00F255C4" w:rsidP="00E202E4">
      <w:pPr>
        <w:pStyle w:val="Prrafodelista"/>
      </w:pPr>
    </w:p>
    <w:p w:rsidR="00E202E4" w:rsidRPr="00F255C4" w:rsidRDefault="00F255C4" w:rsidP="005862EE">
      <w:pPr>
        <w:pStyle w:val="Prrafodelista"/>
        <w:numPr>
          <w:ilvl w:val="0"/>
          <w:numId w:val="1"/>
        </w:numPr>
        <w:shd w:val="clear" w:color="auto" w:fill="FFFFFF"/>
        <w:ind w:left="0" w:right="-284" w:firstLine="0"/>
        <w:jc w:val="both"/>
        <w:rPr>
          <w:rFonts w:eastAsia="Times New Roman"/>
          <w:b/>
          <w:bCs/>
          <w:lang w:eastAsia="es-CO"/>
        </w:rPr>
      </w:pPr>
      <w:r w:rsidRPr="00F255C4">
        <w:rPr>
          <w:rFonts w:eastAsia="Times New Roman"/>
          <w:b/>
          <w:bCs/>
          <w:lang w:eastAsia="es-CO"/>
        </w:rPr>
        <w:t>D</w:t>
      </w:r>
      <w:r w:rsidRPr="00F255C4">
        <w:rPr>
          <w:rFonts w:eastAsia="Times New Roman"/>
          <w:b/>
          <w:bCs/>
          <w:lang w:eastAsia="es-CO"/>
        </w:rPr>
        <w:t>ecisión</w:t>
      </w:r>
    </w:p>
    <w:p w:rsidR="005862EE" w:rsidRPr="00F255C4" w:rsidRDefault="00F255C4" w:rsidP="005862EE">
      <w:pPr>
        <w:pStyle w:val="Prrafodelista"/>
        <w:shd w:val="clear" w:color="auto" w:fill="FFFFFF"/>
        <w:ind w:left="1080" w:right="-284"/>
        <w:jc w:val="both"/>
        <w:rPr>
          <w:rFonts w:eastAsia="Times New Roman"/>
          <w:lang w:eastAsia="es-CO"/>
        </w:rPr>
      </w:pPr>
    </w:p>
    <w:p w:rsidR="00E202E4" w:rsidRPr="00F255C4" w:rsidRDefault="00F255C4" w:rsidP="00E202E4">
      <w:pPr>
        <w:shd w:val="clear" w:color="auto" w:fill="FFFFFF"/>
        <w:spacing w:after="0" w:line="240" w:lineRule="auto"/>
        <w:ind w:right="-284"/>
        <w:jc w:val="both"/>
        <w:rPr>
          <w:rFonts w:ascii="Times New Roman" w:eastAsia="Times New Roman" w:hAnsi="Times New Roman" w:cs="Times New Roman"/>
          <w:sz w:val="28"/>
        </w:rPr>
      </w:pPr>
      <w:r w:rsidRPr="00F255C4">
        <w:rPr>
          <w:rFonts w:ascii="Times New Roman" w:eastAsia="Times New Roman" w:hAnsi="Times New Roman" w:cs="Times New Roman"/>
          <w:sz w:val="28"/>
          <w:szCs w:val="28"/>
        </w:rPr>
        <w:t xml:space="preserve"> En mérito de lo expuesto, la Sala Plena de la Corte </w:t>
      </w:r>
      <w:r w:rsidRPr="00F255C4">
        <w:rPr>
          <w:rFonts w:ascii="Times New Roman" w:eastAsia="Times New Roman" w:hAnsi="Times New Roman" w:cs="Times New Roman"/>
          <w:sz w:val="28"/>
          <w:szCs w:val="28"/>
        </w:rPr>
        <w:t>Constitucional, administrando justicia en nombre del pueblo y por mandato de la Constitución,</w:t>
      </w:r>
    </w:p>
    <w:p w:rsidR="00E202E4" w:rsidRPr="00F255C4" w:rsidRDefault="00F255C4" w:rsidP="00E202E4">
      <w:pPr>
        <w:shd w:val="clear" w:color="auto" w:fill="FFFFFF"/>
        <w:spacing w:after="0" w:line="240" w:lineRule="auto"/>
        <w:ind w:right="-284"/>
        <w:jc w:val="both"/>
        <w:rPr>
          <w:rFonts w:ascii="Times New Roman" w:eastAsia="Times New Roman" w:hAnsi="Times New Roman" w:cs="Times New Roman"/>
          <w:sz w:val="28"/>
        </w:rPr>
      </w:pPr>
      <w:r w:rsidRPr="00F255C4">
        <w:rPr>
          <w:rFonts w:ascii="Times New Roman" w:eastAsia="Times New Roman" w:hAnsi="Times New Roman" w:cs="Times New Roman"/>
          <w:sz w:val="28"/>
          <w:szCs w:val="28"/>
        </w:rPr>
        <w:t> </w:t>
      </w:r>
      <w:r w:rsidRPr="00F255C4">
        <w:rPr>
          <w:rFonts w:ascii="Times New Roman" w:eastAsia="Times New Roman" w:hAnsi="Times New Roman" w:cs="Times New Roman"/>
          <w:b/>
          <w:bCs/>
          <w:sz w:val="28"/>
          <w:szCs w:val="28"/>
        </w:rPr>
        <w:t> </w:t>
      </w:r>
    </w:p>
    <w:p w:rsidR="00E202E4" w:rsidRPr="00F255C4" w:rsidRDefault="00F255C4" w:rsidP="00E202E4">
      <w:pPr>
        <w:shd w:val="clear" w:color="auto" w:fill="FFFFFF"/>
        <w:spacing w:after="0" w:line="240" w:lineRule="auto"/>
        <w:ind w:right="-284"/>
        <w:jc w:val="center"/>
        <w:rPr>
          <w:rFonts w:ascii="Times New Roman" w:eastAsia="Times New Roman" w:hAnsi="Times New Roman" w:cs="Times New Roman"/>
          <w:sz w:val="28"/>
        </w:rPr>
      </w:pPr>
      <w:r w:rsidRPr="00F255C4">
        <w:rPr>
          <w:rFonts w:ascii="Times New Roman" w:eastAsia="Times New Roman" w:hAnsi="Times New Roman" w:cs="Times New Roman"/>
          <w:b/>
          <w:bCs/>
          <w:sz w:val="28"/>
          <w:szCs w:val="28"/>
        </w:rPr>
        <w:t>RESUELVE</w:t>
      </w:r>
    </w:p>
    <w:p w:rsidR="00E202E4" w:rsidRPr="00F255C4" w:rsidRDefault="00F255C4" w:rsidP="00E202E4">
      <w:pPr>
        <w:shd w:val="clear" w:color="auto" w:fill="FFFFFF"/>
        <w:spacing w:after="0" w:line="240" w:lineRule="auto"/>
        <w:ind w:right="-284"/>
        <w:jc w:val="both"/>
        <w:rPr>
          <w:rFonts w:ascii="Times New Roman" w:eastAsia="Times New Roman" w:hAnsi="Times New Roman" w:cs="Times New Roman"/>
          <w:sz w:val="28"/>
        </w:rPr>
      </w:pPr>
      <w:r w:rsidRPr="00F255C4">
        <w:rPr>
          <w:rFonts w:ascii="Times New Roman" w:eastAsia="Times New Roman" w:hAnsi="Times New Roman" w:cs="Times New Roman"/>
          <w:sz w:val="28"/>
          <w:szCs w:val="28"/>
        </w:rPr>
        <w:t> </w:t>
      </w:r>
    </w:p>
    <w:p w:rsidR="00E202E4" w:rsidRPr="00F255C4" w:rsidRDefault="00F255C4" w:rsidP="00E202E4">
      <w:pPr>
        <w:shd w:val="clear" w:color="auto" w:fill="FFFFFF"/>
        <w:spacing w:after="0" w:line="240" w:lineRule="auto"/>
        <w:ind w:right="-284"/>
        <w:jc w:val="both"/>
        <w:rPr>
          <w:rFonts w:ascii="Times New Roman" w:eastAsia="Times New Roman" w:hAnsi="Times New Roman" w:cs="Times New Roman"/>
          <w:sz w:val="28"/>
        </w:rPr>
      </w:pPr>
      <w:r w:rsidRPr="00F255C4">
        <w:rPr>
          <w:rFonts w:ascii="Times New Roman" w:eastAsia="Times New Roman" w:hAnsi="Times New Roman" w:cs="Times New Roman"/>
          <w:b/>
          <w:bCs/>
          <w:sz w:val="28"/>
          <w:szCs w:val="28"/>
        </w:rPr>
        <w:t>ÚNICO</w:t>
      </w:r>
      <w:r w:rsidRPr="00F255C4">
        <w:rPr>
          <w:rFonts w:ascii="Times New Roman" w:eastAsia="Times New Roman" w:hAnsi="Times New Roman" w:cs="Times New Roman"/>
          <w:b/>
          <w:bCs/>
          <w:sz w:val="28"/>
          <w:szCs w:val="28"/>
        </w:rPr>
        <w:t xml:space="preserve">. </w:t>
      </w:r>
      <w:r w:rsidRPr="00F255C4">
        <w:rPr>
          <w:rFonts w:ascii="Times New Roman" w:eastAsia="Times New Roman" w:hAnsi="Times New Roman" w:cs="Times New Roman"/>
          <w:sz w:val="28"/>
          <w:szCs w:val="28"/>
        </w:rPr>
        <w:t>Declarar </w:t>
      </w:r>
      <w:r w:rsidRPr="00F255C4">
        <w:rPr>
          <w:rFonts w:ascii="Times New Roman" w:eastAsia="Times New Roman" w:hAnsi="Times New Roman" w:cs="Times New Roman"/>
          <w:b/>
          <w:bCs/>
          <w:sz w:val="28"/>
          <w:szCs w:val="28"/>
        </w:rPr>
        <w:t>EXEQUIBLE</w:t>
      </w:r>
      <w:r w:rsidRPr="00F255C4">
        <w:rPr>
          <w:rFonts w:ascii="Times New Roman" w:eastAsia="Times New Roman" w:hAnsi="Times New Roman" w:cs="Times New Roman"/>
          <w:sz w:val="28"/>
          <w:szCs w:val="28"/>
        </w:rPr>
        <w:t xml:space="preserve"> la Ley 2300 de 2023 </w:t>
      </w:r>
      <w:r w:rsidRPr="00F255C4">
        <w:rPr>
          <w:rFonts w:ascii="Times New Roman" w:hAnsi="Times New Roman" w:cs="Times New Roman"/>
          <w:sz w:val="28"/>
          <w:szCs w:val="28"/>
        </w:rPr>
        <w:t>“por medio de la cual se establecen medidas que protejan el derecho a la intimidad de los consumidores</w:t>
      </w:r>
      <w:r w:rsidRPr="00F255C4">
        <w:rPr>
          <w:rFonts w:ascii="Times New Roman" w:hAnsi="Times New Roman" w:cs="Times New Roman"/>
          <w:sz w:val="28"/>
          <w:szCs w:val="28"/>
        </w:rPr>
        <w:t xml:space="preserve">”, únicamente por el cargo analizado en esta sentencia.  </w:t>
      </w:r>
      <w:r w:rsidRPr="00F255C4">
        <w:rPr>
          <w:rFonts w:ascii="Times New Roman" w:eastAsia="Times New Roman" w:hAnsi="Times New Roman" w:cs="Times New Roman"/>
          <w:sz w:val="28"/>
          <w:szCs w:val="28"/>
        </w:rPr>
        <w:t xml:space="preserve"> </w:t>
      </w:r>
    </w:p>
    <w:p w:rsidR="00E202E4" w:rsidRPr="00F255C4" w:rsidRDefault="00F255C4" w:rsidP="00E202E4">
      <w:pPr>
        <w:shd w:val="clear" w:color="auto" w:fill="FFFFFF"/>
        <w:spacing w:after="0" w:line="240" w:lineRule="auto"/>
        <w:ind w:right="-284"/>
        <w:jc w:val="both"/>
        <w:rPr>
          <w:rFonts w:ascii="Times New Roman" w:eastAsia="Times New Roman" w:hAnsi="Times New Roman" w:cs="Times New Roman"/>
          <w:sz w:val="28"/>
        </w:rPr>
      </w:pPr>
      <w:r w:rsidRPr="00F255C4">
        <w:rPr>
          <w:rFonts w:ascii="Times New Roman" w:eastAsia="Times New Roman" w:hAnsi="Times New Roman" w:cs="Times New Roman"/>
          <w:sz w:val="28"/>
          <w:szCs w:val="28"/>
        </w:rPr>
        <w:t> </w:t>
      </w:r>
    </w:p>
    <w:p w:rsidR="00E202E4" w:rsidRPr="00F255C4" w:rsidRDefault="00F255C4" w:rsidP="00E202E4">
      <w:pPr>
        <w:shd w:val="clear" w:color="auto" w:fill="FFFFFF"/>
        <w:spacing w:after="0" w:line="240" w:lineRule="auto"/>
        <w:ind w:right="-284"/>
        <w:jc w:val="both"/>
        <w:rPr>
          <w:rFonts w:ascii="Times New Roman" w:eastAsia="Times New Roman" w:hAnsi="Times New Roman" w:cs="Times New Roman"/>
          <w:sz w:val="28"/>
        </w:rPr>
      </w:pPr>
      <w:r w:rsidRPr="00F255C4">
        <w:rPr>
          <w:rFonts w:ascii="Times New Roman" w:eastAsia="Times New Roman" w:hAnsi="Times New Roman" w:cs="Times New Roman"/>
          <w:sz w:val="28"/>
          <w:szCs w:val="28"/>
          <w:shd w:val="clear" w:color="auto" w:fill="FFFFFF"/>
        </w:rPr>
        <w:t>Notifíquese, comuníquese, publíquese y archívese el expediente.</w:t>
      </w:r>
    </w:p>
    <w:p w:rsidR="00E202E4" w:rsidRPr="00F255C4" w:rsidRDefault="00F255C4" w:rsidP="00E202E4">
      <w:pPr>
        <w:pStyle w:val="Prrafodelista"/>
        <w:tabs>
          <w:tab w:val="left" w:pos="284"/>
          <w:tab w:val="right" w:pos="567"/>
          <w:tab w:val="left" w:pos="8222"/>
        </w:tabs>
        <w:ind w:left="0" w:right="-234"/>
        <w:jc w:val="both"/>
      </w:pPr>
    </w:p>
    <w:p w:rsidR="00CB3D26" w:rsidRPr="00F255C4" w:rsidRDefault="00F255C4" w:rsidP="00CB3D26">
      <w:pPr>
        <w:pStyle w:val="Prrafodelista"/>
        <w:rPr>
          <w:shd w:val="clear" w:color="auto" w:fill="FFFFFF"/>
          <w:lang w:val="es-MX"/>
        </w:rPr>
      </w:pPr>
    </w:p>
    <w:p w:rsidR="003033A8" w:rsidRPr="00F255C4" w:rsidRDefault="00F255C4" w:rsidP="00E202E4">
      <w:pPr>
        <w:pStyle w:val="Prrafodelista"/>
        <w:tabs>
          <w:tab w:val="left" w:pos="284"/>
          <w:tab w:val="right" w:pos="567"/>
          <w:tab w:val="left" w:pos="8222"/>
        </w:tabs>
        <w:ind w:left="0" w:right="-234"/>
        <w:jc w:val="both"/>
      </w:pPr>
    </w:p>
    <w:p w:rsidR="00244767" w:rsidRPr="00F255C4" w:rsidRDefault="00F255C4" w:rsidP="00244767">
      <w:pPr>
        <w:pStyle w:val="Prrafodelista"/>
      </w:pPr>
    </w:p>
    <w:p w:rsidR="004B2BF4" w:rsidRPr="00F255C4" w:rsidRDefault="00F255C4" w:rsidP="004B2BF4">
      <w:pPr>
        <w:pStyle w:val="Textoindependiente2"/>
        <w:shd w:val="clear" w:color="auto" w:fill="FFFFFF"/>
        <w:spacing w:after="0"/>
        <w:ind w:right="380"/>
        <w:jc w:val="both"/>
        <w:rPr>
          <w:rFonts w:ascii="Times New Roman" w:hAnsi="Times New Roman" w:cs="Times New Roman"/>
          <w:i/>
          <w:iCs/>
          <w:sz w:val="28"/>
          <w:szCs w:val="28"/>
        </w:rPr>
      </w:pPr>
    </w:p>
    <w:p w:rsidR="004B2BF4" w:rsidRPr="00F255C4" w:rsidRDefault="00F255C4" w:rsidP="004B2BF4">
      <w:pPr>
        <w:tabs>
          <w:tab w:val="left" w:pos="284"/>
        </w:tabs>
        <w:ind w:right="333"/>
        <w:jc w:val="both"/>
        <w:rPr>
          <w:rFonts w:ascii="Times New Roman" w:hAnsi="Times New Roman" w:cs="Times New Roman"/>
          <w:sz w:val="28"/>
          <w:szCs w:val="28"/>
        </w:rPr>
      </w:pPr>
    </w:p>
    <w:p w:rsidR="00A264E4" w:rsidRPr="00F255C4" w:rsidRDefault="00F255C4" w:rsidP="004B2BF4">
      <w:pPr>
        <w:tabs>
          <w:tab w:val="left" w:pos="284"/>
        </w:tabs>
        <w:ind w:right="333"/>
        <w:jc w:val="both"/>
        <w:rPr>
          <w:rFonts w:ascii="Times New Roman" w:hAnsi="Times New Roman" w:cs="Times New Roman"/>
          <w:sz w:val="28"/>
          <w:szCs w:val="28"/>
        </w:rPr>
      </w:pPr>
    </w:p>
    <w:p w:rsidR="00A264E4" w:rsidRPr="00F255C4" w:rsidRDefault="00F255C4" w:rsidP="004B2BF4">
      <w:pPr>
        <w:tabs>
          <w:tab w:val="left" w:pos="284"/>
        </w:tabs>
        <w:ind w:right="333"/>
        <w:jc w:val="both"/>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JOSE FERNANDO REYES CUARTAS</w:t>
      </w: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Presidente</w:t>
      </w: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NATALIA ÁNGEL CABO</w:t>
      </w: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Magistrada</w:t>
      </w: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JUAN CARLOS CORTÉS GONZÁLEZ</w:t>
      </w: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Magistrado</w:t>
      </w: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 xml:space="preserve">DIANA </w:t>
      </w:r>
      <w:r w:rsidRPr="00F255C4">
        <w:rPr>
          <w:rFonts w:ascii="Times New Roman" w:hAnsi="Times New Roman" w:cs="Times New Roman"/>
          <w:sz w:val="28"/>
          <w:szCs w:val="28"/>
        </w:rPr>
        <w:t>FAJARDO RIVERA</w:t>
      </w: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Magistrada</w:t>
      </w: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Ausente con permiso</w:t>
      </w: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VLADIMIR FERNÁNDEZ ANDRADE</w:t>
      </w: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Magistrado</w:t>
      </w: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Con impedimento aceptado</w:t>
      </w: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 xml:space="preserve">JORGE ENRIQUE IBÁÑEZ NAJAR </w:t>
      </w: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Magistrado</w:t>
      </w: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ANTONIO JOSÉ LIZARAZO OCAMPO</w:t>
      </w: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Magistrado</w:t>
      </w: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PAOLA ANDREA MENESES MOSQUERA</w:t>
      </w: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Magistrada</w:t>
      </w: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 xml:space="preserve">Ausente con </w:t>
      </w:r>
      <w:r w:rsidRPr="00F255C4">
        <w:rPr>
          <w:rFonts w:ascii="Times New Roman" w:hAnsi="Times New Roman" w:cs="Times New Roman"/>
          <w:sz w:val="28"/>
          <w:szCs w:val="28"/>
        </w:rPr>
        <w:t>permiso</w:t>
      </w: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CRISTINA PARDO SCHLESINGER</w:t>
      </w: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Magistrada</w:t>
      </w: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ANDREA LILIANA ROMERO LOPEZ</w:t>
      </w:r>
    </w:p>
    <w:p w:rsidR="00A264E4" w:rsidRPr="00F255C4" w:rsidRDefault="00F255C4" w:rsidP="00A264E4">
      <w:pPr>
        <w:tabs>
          <w:tab w:val="left" w:pos="284"/>
        </w:tabs>
        <w:ind w:right="333"/>
        <w:jc w:val="center"/>
        <w:rPr>
          <w:rFonts w:ascii="Times New Roman" w:hAnsi="Times New Roman" w:cs="Times New Roman"/>
          <w:sz w:val="28"/>
          <w:szCs w:val="28"/>
        </w:rPr>
      </w:pPr>
      <w:r w:rsidRPr="00F255C4">
        <w:rPr>
          <w:rFonts w:ascii="Times New Roman" w:hAnsi="Times New Roman" w:cs="Times New Roman"/>
          <w:sz w:val="28"/>
          <w:szCs w:val="28"/>
        </w:rPr>
        <w:t>Secretaria General</w:t>
      </w: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p w:rsidR="00A264E4" w:rsidRPr="00F255C4" w:rsidRDefault="00F255C4" w:rsidP="00A264E4">
      <w:pPr>
        <w:tabs>
          <w:tab w:val="left" w:pos="284"/>
        </w:tabs>
        <w:ind w:right="333"/>
        <w:jc w:val="center"/>
        <w:rPr>
          <w:rFonts w:ascii="Times New Roman" w:hAnsi="Times New Roman" w:cs="Times New Roman"/>
          <w:sz w:val="28"/>
          <w:szCs w:val="28"/>
        </w:rPr>
      </w:pPr>
    </w:p>
    <w:sectPr w:rsidR="00A264E4" w:rsidRPr="00F255C4">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255C4">
      <w:pPr>
        <w:spacing w:after="0" w:line="240" w:lineRule="auto"/>
      </w:pPr>
      <w:r>
        <w:separator/>
      </w:r>
    </w:p>
  </w:endnote>
  <w:endnote w:type="continuationSeparator" w:id="0">
    <w:p w:rsidR="00000000" w:rsidRDefault="00F25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255C4">
      <w:pPr>
        <w:spacing w:after="0" w:line="240" w:lineRule="auto"/>
      </w:pPr>
      <w:r>
        <w:separator/>
      </w:r>
    </w:p>
  </w:footnote>
  <w:footnote w:type="continuationSeparator" w:id="0">
    <w:p w:rsidR="00000000" w:rsidRDefault="00F255C4">
      <w:pPr>
        <w:spacing w:after="0" w:line="240" w:lineRule="auto"/>
      </w:pPr>
      <w:r>
        <w:continuationSeparator/>
      </w:r>
    </w:p>
  </w:footnote>
  <w:footnote w:id="1">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Gaceta del Congreso 1097 de 20</w:t>
      </w:r>
      <w:r>
        <w:rPr>
          <w:sz w:val="20"/>
          <w:szCs w:val="20"/>
        </w:rPr>
        <w:t>2</w:t>
      </w:r>
      <w:r w:rsidRPr="00474CD4">
        <w:rPr>
          <w:sz w:val="20"/>
          <w:szCs w:val="20"/>
        </w:rPr>
        <w:t>1 p. 8.</w:t>
      </w:r>
    </w:p>
  </w:footnote>
  <w:footnote w:id="2">
    <w:p w:rsidR="00441548" w:rsidRPr="00474CD4" w:rsidRDefault="00F255C4" w:rsidP="008C595D">
      <w:pPr>
        <w:tabs>
          <w:tab w:val="left" w:pos="284"/>
        </w:tabs>
        <w:spacing w:after="0" w:line="240" w:lineRule="auto"/>
        <w:ind w:right="-234"/>
        <w:jc w:val="both"/>
        <w:rPr>
          <w:rFonts w:ascii="Times New Roman" w:hAnsi="Times New Roman" w:cs="Times New Roman"/>
          <w:sz w:val="20"/>
          <w:szCs w:val="20"/>
        </w:rPr>
      </w:pPr>
      <w:r w:rsidRPr="00474CD4">
        <w:rPr>
          <w:rStyle w:val="Refdenotaalpie"/>
          <w:rFonts w:ascii="Times New Roman" w:hAnsi="Times New Roman" w:cs="Times New Roman"/>
          <w:sz w:val="20"/>
          <w:szCs w:val="20"/>
        </w:rPr>
        <w:footnoteRef/>
      </w:r>
      <w:r w:rsidRPr="00474CD4">
        <w:rPr>
          <w:rFonts w:ascii="Times New Roman" w:hAnsi="Times New Roman" w:cs="Times New Roman"/>
          <w:sz w:val="20"/>
          <w:szCs w:val="20"/>
        </w:rPr>
        <w:t xml:space="preserve"> Gaceta del Congreso 1097 de 2021 p. 8. En el mismo informe se señala: “Esa esfera íntima, magistralmente definida por nuestro máximo Tribunal en materia de derechos fundamentales, es la que se pretende proteger por medio de este Proyecto de Ley. Como meca</w:t>
      </w:r>
      <w:r w:rsidRPr="00474CD4">
        <w:rPr>
          <w:rFonts w:ascii="Times New Roman" w:hAnsi="Times New Roman" w:cs="Times New Roman"/>
          <w:sz w:val="20"/>
          <w:szCs w:val="20"/>
        </w:rPr>
        <w:t xml:space="preserve">nismo se propone </w:t>
      </w:r>
      <w:r w:rsidRPr="00474CD4">
        <w:rPr>
          <w:rFonts w:ascii="Times New Roman" w:hAnsi="Times New Roman" w:cs="Times New Roman"/>
          <w:sz w:val="20"/>
          <w:szCs w:val="20"/>
        </w:rPr>
        <w:t xml:space="preserve">(…) </w:t>
      </w:r>
      <w:r w:rsidRPr="00474CD4">
        <w:rPr>
          <w:rFonts w:ascii="Times New Roman" w:hAnsi="Times New Roman" w:cs="Times New Roman"/>
          <w:sz w:val="20"/>
          <w:szCs w:val="20"/>
        </w:rPr>
        <w:t>una mínima consideración particular y pública a su interioridad</w:t>
      </w:r>
      <w:r w:rsidRPr="00474CD4">
        <w:rPr>
          <w:rFonts w:ascii="Times New Roman" w:hAnsi="Times New Roman" w:cs="Times New Roman"/>
          <w:sz w:val="20"/>
          <w:szCs w:val="20"/>
        </w:rPr>
        <w:t xml:space="preserve"> (…)</w:t>
      </w:r>
      <w:r w:rsidRPr="00474CD4">
        <w:rPr>
          <w:rFonts w:ascii="Times New Roman" w:hAnsi="Times New Roman" w:cs="Times New Roman"/>
          <w:sz w:val="20"/>
          <w:szCs w:val="20"/>
        </w:rPr>
        <w:t>, restringiendo las llamadas, mensajes de datos y de textos, correos electrónicos y mecanismos similares de recordatorios, cobranzas, que perturban el derecho a la inti</w:t>
      </w:r>
      <w:r w:rsidRPr="00474CD4">
        <w:rPr>
          <w:rFonts w:ascii="Times New Roman" w:hAnsi="Times New Roman" w:cs="Times New Roman"/>
          <w:sz w:val="20"/>
          <w:szCs w:val="20"/>
        </w:rPr>
        <w:t>midad durante la noche, los fines de semana y festivos, por parte del sector financiero”. Gaceta del Congreso 1097 de 20</w:t>
      </w:r>
      <w:r w:rsidRPr="00474CD4">
        <w:rPr>
          <w:rFonts w:ascii="Times New Roman" w:hAnsi="Times New Roman" w:cs="Times New Roman"/>
          <w:sz w:val="20"/>
          <w:szCs w:val="20"/>
        </w:rPr>
        <w:t>2</w:t>
      </w:r>
      <w:r w:rsidRPr="00474CD4">
        <w:rPr>
          <w:rFonts w:ascii="Times New Roman" w:hAnsi="Times New Roman" w:cs="Times New Roman"/>
          <w:sz w:val="20"/>
          <w:szCs w:val="20"/>
        </w:rPr>
        <w:t>1 p. 9.</w:t>
      </w:r>
    </w:p>
  </w:footnote>
  <w:footnote w:id="3">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Gaceta del Congreso 682 de 2022, p. 1.</w:t>
      </w:r>
    </w:p>
  </w:footnote>
  <w:footnote w:id="4">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Gaceta del Congreso 1622 de 2022, p. 6. El texto aprobado fue el siguiente: “Lo disp</w:t>
      </w:r>
      <w:r w:rsidRPr="00474CD4">
        <w:rPr>
          <w:sz w:val="20"/>
          <w:szCs w:val="20"/>
        </w:rPr>
        <w:t>uesto en la presente ley se aplicará en los mismos términos a las relaciones comerciales entre los productores y proveedores de bienes y servicios y el consumidor comercial. Para ello la Superintendencia de Industria y Comercio, o la entidad que haga sus v</w:t>
      </w:r>
      <w:r w:rsidRPr="00474CD4">
        <w:rPr>
          <w:sz w:val="20"/>
          <w:szCs w:val="20"/>
        </w:rPr>
        <w:t>eces, habilitará y reglamentará, en un término no mayor a 6 meses la creación de una lista de consumidores. El ingreso a dicha lista se constituye como voluntario por parte del consumidor y deberá ser consultada por los proveedores de bienes y servicios pa</w:t>
      </w:r>
      <w:r w:rsidRPr="00474CD4">
        <w:rPr>
          <w:sz w:val="20"/>
          <w:szCs w:val="20"/>
        </w:rPr>
        <w:t xml:space="preserve">ra excluir de ser contactados a aquellos consumidores que pertenezcan a la lista. Parágrafo. Lo anterior sin perjuicio de acciones discriminatorias que condicionen el ingreso o retiro de la lista para acceder a los bienes y servicios. Parágrafo. Cuando se </w:t>
      </w:r>
      <w:r w:rsidRPr="00474CD4">
        <w:rPr>
          <w:sz w:val="20"/>
          <w:szCs w:val="20"/>
        </w:rPr>
        <w:t>realice una transacción comercial de bienes o servicios o se ingrese a un edificio o local o se adquiera cualquier otra promoción no podrá obligarse al consumidor a aceptar recibir mensajes comerciales de ninguna índole, salvo aquellos asuntos estrictament</w:t>
      </w:r>
      <w:r w:rsidRPr="00474CD4">
        <w:rPr>
          <w:sz w:val="20"/>
          <w:szCs w:val="20"/>
        </w:rPr>
        <w:t>e relacionados con el bien o servicio adquirido. El emisor del mensaje deberá habilitar y disponer de un mecanismo ágil, sencillo y eficiente para cancelar en cualquier momento la recepción de mensajes y correos”.</w:t>
      </w:r>
    </w:p>
  </w:footnote>
  <w:footnote w:id="5">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Gaceta 473 de 2023, pp. 1 y 2 (Nota de p</w:t>
      </w:r>
      <w:r w:rsidRPr="00474CD4">
        <w:rPr>
          <w:sz w:val="20"/>
          <w:szCs w:val="20"/>
          <w:lang w:val="es-ES"/>
        </w:rPr>
        <w:t xml:space="preserve">ie No. 1). </w:t>
      </w:r>
    </w:p>
  </w:footnote>
  <w:footnote w:id="6">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Gaceta 473 de 2023, pp. 1 y 2 (Nota de pie No. 1).</w:t>
      </w:r>
    </w:p>
  </w:footnote>
  <w:footnote w:id="7">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 xml:space="preserve">El segundo inciso del artículo 2º de la Ley 1480 establece: </w:t>
      </w:r>
      <w:r w:rsidRPr="00474CD4">
        <w:rPr>
          <w:sz w:val="20"/>
          <w:szCs w:val="20"/>
          <w:lang w:val="es-ES"/>
        </w:rPr>
        <w:t>“</w:t>
      </w:r>
      <w:r w:rsidRPr="00474CD4">
        <w:rPr>
          <w:sz w:val="20"/>
          <w:szCs w:val="20"/>
          <w:shd w:val="clear" w:color="auto" w:fill="FFFFFF"/>
        </w:rPr>
        <w:t>Las normas contenidas en esta ley son aplicables en general a las relaciones de consumo y a la responsabilidad de los productore</w:t>
      </w:r>
      <w:r w:rsidRPr="00474CD4">
        <w:rPr>
          <w:sz w:val="20"/>
          <w:szCs w:val="20"/>
          <w:shd w:val="clear" w:color="auto" w:fill="FFFFFF"/>
        </w:rPr>
        <w:t>s y proveedores frente al consumidor en todos los sectores de la economía respecto de los cuales no exista regulación especial, evento en el cual aplicará la regulación especial y suplementariamente las normas establecidas en esta Ley”.</w:t>
      </w:r>
      <w:r w:rsidRPr="00474CD4">
        <w:rPr>
          <w:sz w:val="20"/>
          <w:szCs w:val="20"/>
          <w:lang w:val="es-ES"/>
        </w:rPr>
        <w:t xml:space="preserve"> </w:t>
      </w:r>
    </w:p>
  </w:footnote>
  <w:footnote w:id="8">
    <w:p w:rsidR="00203DD4" w:rsidRPr="00C5386D" w:rsidRDefault="00F255C4">
      <w:pPr>
        <w:pStyle w:val="Textonotapie"/>
        <w:rPr>
          <w:sz w:val="20"/>
          <w:szCs w:val="20"/>
          <w:lang w:val="es-ES"/>
        </w:rPr>
      </w:pPr>
      <w:r w:rsidRPr="00C5386D">
        <w:rPr>
          <w:rStyle w:val="Refdenotaalpie"/>
          <w:sz w:val="20"/>
          <w:szCs w:val="20"/>
        </w:rPr>
        <w:footnoteRef/>
      </w:r>
      <w:r w:rsidRPr="00C5386D">
        <w:rPr>
          <w:sz w:val="20"/>
          <w:szCs w:val="20"/>
        </w:rPr>
        <w:t xml:space="preserve"> </w:t>
      </w:r>
      <w:r w:rsidRPr="00C5386D">
        <w:rPr>
          <w:sz w:val="20"/>
          <w:szCs w:val="20"/>
          <w:lang w:val="es-ES"/>
        </w:rPr>
        <w:t>Sentencia C-1141</w:t>
      </w:r>
      <w:r w:rsidRPr="00C5386D">
        <w:rPr>
          <w:sz w:val="20"/>
          <w:szCs w:val="20"/>
          <w:lang w:val="es-ES"/>
        </w:rPr>
        <w:t xml:space="preserve"> de 2000.</w:t>
      </w:r>
    </w:p>
  </w:footnote>
  <w:footnote w:id="9">
    <w:p w:rsidR="00B76836" w:rsidRPr="00474CD4" w:rsidRDefault="00F255C4" w:rsidP="00B76836">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Este punto de partida fue definido por la sentencia C-1141 de 2000 al afirmar que el derecho del consumo tendría carácter poliédrico: “</w:t>
      </w:r>
      <w:r w:rsidRPr="00474CD4">
        <w:rPr>
          <w:sz w:val="20"/>
          <w:szCs w:val="20"/>
          <w:shd w:val="clear" w:color="auto" w:fill="FFFFFF"/>
        </w:rPr>
        <w:t>Los derechos del consumidor, no se agotan en la legítima pretensión a obtener en el mercado, de los productor</w:t>
      </w:r>
      <w:r w:rsidRPr="00474CD4">
        <w:rPr>
          <w:sz w:val="20"/>
          <w:szCs w:val="20"/>
          <w:shd w:val="clear" w:color="auto" w:fill="FFFFFF"/>
        </w:rPr>
        <w:t>es y distribuidores, bienes y servicios que reúnan unos requisitos mínimos de calidad y de aptitud para satisfacer sus necesidades, la cual hace parte del contenido esencial del derecho del consumidor. El derecho del consumidor, cabe advertir, tiene caráct</w:t>
      </w:r>
      <w:r w:rsidRPr="00474CD4">
        <w:rPr>
          <w:sz w:val="20"/>
          <w:szCs w:val="20"/>
          <w:shd w:val="clear" w:color="auto" w:fill="FFFFFF"/>
        </w:rPr>
        <w:t>er poliédrico. Su objeto, en efecto, incorpora pretensiones, intereses y situaciones de orden sustancial (calidad de bienes y servicios; información); de orden procesal (exigibilidad judicial de garantías; indemnización de perjuicios por productos defectuo</w:t>
      </w:r>
      <w:r w:rsidRPr="00474CD4">
        <w:rPr>
          <w:sz w:val="20"/>
          <w:szCs w:val="20"/>
          <w:shd w:val="clear" w:color="auto" w:fill="FFFFFF"/>
        </w:rPr>
        <w:t>sos; acciones de clase etc.); de orden participativo (frente a la administración pública y a los órganos reguladores)”.</w:t>
      </w:r>
    </w:p>
  </w:footnote>
  <w:footnote w:id="10">
    <w:p w:rsidR="00B76836" w:rsidRPr="00474CD4" w:rsidRDefault="00F255C4" w:rsidP="00B76836">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 xml:space="preserve">Sentencia C-749 de 2009. </w:t>
      </w:r>
    </w:p>
  </w:footnote>
  <w:footnote w:id="11">
    <w:p w:rsidR="00474CD4" w:rsidRPr="00C5386D" w:rsidRDefault="00F255C4">
      <w:pPr>
        <w:pStyle w:val="Textonotapie"/>
        <w:rPr>
          <w:sz w:val="20"/>
          <w:szCs w:val="20"/>
        </w:rPr>
      </w:pPr>
      <w:r w:rsidRPr="00C5386D">
        <w:rPr>
          <w:rStyle w:val="Refdenotaalpie"/>
          <w:sz w:val="20"/>
          <w:szCs w:val="20"/>
        </w:rPr>
        <w:footnoteRef/>
      </w:r>
      <w:r w:rsidRPr="00C5386D">
        <w:rPr>
          <w:sz w:val="20"/>
          <w:szCs w:val="20"/>
        </w:rPr>
        <w:t xml:space="preserve"> Sentencia</w:t>
      </w:r>
      <w:r>
        <w:rPr>
          <w:sz w:val="20"/>
          <w:szCs w:val="20"/>
        </w:rPr>
        <w:t xml:space="preserve"> </w:t>
      </w:r>
      <w:r>
        <w:rPr>
          <w:sz w:val="20"/>
          <w:szCs w:val="20"/>
        </w:rPr>
        <w:t xml:space="preserve">C-1141 de 2000. Reiterada en las Sentencias </w:t>
      </w:r>
      <w:r w:rsidRPr="00474CD4">
        <w:rPr>
          <w:sz w:val="20"/>
          <w:szCs w:val="20"/>
          <w:lang w:val="es-ES"/>
        </w:rPr>
        <w:t>C-749 de 2009</w:t>
      </w:r>
      <w:r>
        <w:rPr>
          <w:sz w:val="20"/>
          <w:szCs w:val="20"/>
          <w:lang w:val="es-ES"/>
        </w:rPr>
        <w:t xml:space="preserve"> y</w:t>
      </w:r>
      <w:r w:rsidRPr="00C5386D">
        <w:rPr>
          <w:sz w:val="20"/>
          <w:szCs w:val="20"/>
        </w:rPr>
        <w:t xml:space="preserve"> C-133 de 2014.</w:t>
      </w:r>
    </w:p>
  </w:footnote>
  <w:footnote w:id="12">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C-1141 de</w:t>
      </w:r>
      <w:r w:rsidRPr="00474CD4">
        <w:rPr>
          <w:sz w:val="20"/>
          <w:szCs w:val="20"/>
          <w:lang w:val="es-ES"/>
        </w:rPr>
        <w:t xml:space="preserve"> 2000.</w:t>
      </w:r>
    </w:p>
  </w:footnote>
  <w:footnote w:id="13">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C-1141 de 2000.</w:t>
      </w:r>
    </w:p>
  </w:footnote>
  <w:footnote w:id="14">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C-1141 de 2000.</w:t>
      </w:r>
    </w:p>
  </w:footnote>
  <w:footnote w:id="15">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C-1141 de 2000.</w:t>
      </w:r>
    </w:p>
  </w:footnote>
  <w:footnote w:id="16">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C-1141 de 2000.</w:t>
      </w:r>
    </w:p>
  </w:footnote>
  <w:footnote w:id="17">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C-909 de 2012.</w:t>
      </w:r>
    </w:p>
  </w:footnote>
  <w:footnote w:id="18">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C-909 de 2012.</w:t>
      </w:r>
    </w:p>
  </w:footnote>
  <w:footnote w:id="19">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C-830 de 2010.</w:t>
      </w:r>
    </w:p>
  </w:footnote>
  <w:footnote w:id="20">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C-830 de 2010.</w:t>
      </w:r>
    </w:p>
  </w:footnote>
  <w:footnote w:id="21">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C-830 de 2010.</w:t>
      </w:r>
    </w:p>
  </w:footnote>
  <w:footnote w:id="22">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C-830 de 2010.</w:t>
      </w:r>
    </w:p>
  </w:footnote>
  <w:footnote w:id="23">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C-909 de 2012.</w:t>
      </w:r>
    </w:p>
  </w:footnote>
  <w:footnote w:id="24">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C-909 de 2012.</w:t>
      </w:r>
    </w:p>
  </w:footnote>
  <w:footnote w:id="25">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C-188 de 2022.</w:t>
      </w:r>
    </w:p>
  </w:footnote>
  <w:footnote w:id="26">
    <w:p w:rsidR="00F13569"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Sentencia C-228 de 2010.</w:t>
      </w:r>
    </w:p>
  </w:footnote>
  <w:footnote w:id="27">
    <w:p w:rsidR="00F13569"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Sentencia C-228 de 2010.</w:t>
      </w:r>
    </w:p>
  </w:footnote>
  <w:footnote w:id="28">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C-188 de 2022.</w:t>
      </w:r>
    </w:p>
  </w:footnote>
  <w:footnote w:id="29">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C-188 de 2022.</w:t>
      </w:r>
    </w:p>
  </w:footnote>
  <w:footnote w:id="30">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C-188 de 2022.</w:t>
      </w:r>
    </w:p>
  </w:footnote>
  <w:footnote w:id="31">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 xml:space="preserve">Sentencia </w:t>
      </w:r>
      <w:r w:rsidRPr="00474CD4">
        <w:rPr>
          <w:sz w:val="20"/>
          <w:szCs w:val="20"/>
          <w:lang w:val="es-ES"/>
        </w:rPr>
        <w:t>T-548 de 2023.</w:t>
      </w:r>
    </w:p>
  </w:footnote>
  <w:footnote w:id="32">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C-830 de 2010.</w:t>
      </w:r>
    </w:p>
  </w:footnote>
  <w:footnote w:id="33">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 xml:space="preserve">Sentencia C-830 de 2010. </w:t>
      </w:r>
    </w:p>
  </w:footnote>
  <w:footnote w:id="34">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En la sentencia C-579 de 2001 explicó la Corte: “</w:t>
      </w:r>
      <w:r w:rsidRPr="00474CD4">
        <w:rPr>
          <w:sz w:val="20"/>
          <w:szCs w:val="20"/>
          <w:shd w:val="clear" w:color="auto" w:fill="FFFFFF"/>
        </w:rPr>
        <w:t>Asimismo, ha indicado la Corte que el Legislador puede consagrar normas marco dentro de leyes ordinarias, por cuanto ambas requieren el</w:t>
      </w:r>
      <w:r w:rsidRPr="00474CD4">
        <w:rPr>
          <w:sz w:val="20"/>
          <w:szCs w:val="20"/>
          <w:shd w:val="clear" w:color="auto" w:fill="FFFFFF"/>
        </w:rPr>
        <w:t xml:space="preserve"> mismo trámite ante el Congreso; lo que las diferencia será el grado de amplitud que habrá de caracterizar las leyes marco, en relación con las materias específicas que la Constitución les señala (…)”.</w:t>
      </w:r>
    </w:p>
  </w:footnote>
  <w:footnote w:id="35">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La sentencia C-188 de 2022 señala: “</w:t>
      </w:r>
      <w:r w:rsidRPr="00474CD4">
        <w:rPr>
          <w:sz w:val="20"/>
          <w:szCs w:val="20"/>
          <w:shd w:val="clear" w:color="auto" w:fill="FFFFFF"/>
        </w:rPr>
        <w:t>La relación entr</w:t>
      </w:r>
      <w:r w:rsidRPr="00474CD4">
        <w:rPr>
          <w:sz w:val="20"/>
          <w:szCs w:val="20"/>
          <w:shd w:val="clear" w:color="auto" w:fill="FFFFFF"/>
        </w:rPr>
        <w:t>e la ley y el reglamento puede variar según las dimensiones de la actividad económica. No es posible establecer para todos los casos una relación definitiva entre el grado mínimo de legislación -materialidad legislativa- y el nivel máximo de reglamentación</w:t>
      </w:r>
      <w:r w:rsidRPr="00474CD4">
        <w:rPr>
          <w:sz w:val="20"/>
          <w:szCs w:val="20"/>
          <w:shd w:val="clear" w:color="auto" w:fill="FFFFFF"/>
        </w:rPr>
        <w:t>. No es lo mismo regular las actividades financiera, bursátil y aseguradora que se sujetan a la técnica de las leyes marco (art. 150.19) (…) y en las cuales las competencias del ejecutivo se dilatan, que adoptar normas que atribuyen competencias sancionato</w:t>
      </w:r>
      <w:r w:rsidRPr="00474CD4">
        <w:rPr>
          <w:sz w:val="20"/>
          <w:szCs w:val="20"/>
          <w:shd w:val="clear" w:color="auto" w:fill="FFFFFF"/>
        </w:rPr>
        <w:t>rias a las autoridades administrativas (…). Igualmente, puede no ser equivalente la competencia del legislador para autorizar la fijación de requisitos o permisos relacionados con el ejercicio de la iniciativa privada (art. 333, inc. 1) que la prevista par</w:t>
      </w:r>
      <w:r w:rsidRPr="00474CD4">
        <w:rPr>
          <w:sz w:val="20"/>
          <w:szCs w:val="20"/>
          <w:shd w:val="clear" w:color="auto" w:fill="FFFFFF"/>
        </w:rPr>
        <w:t>a adoptar normas que aseguren la libre competencia (art. 333, inc. 4) o delimiten las libertades económicas (art. 333, inc. 5). Sin embargo, será siempre imprescindible que el legislador haya establecido un punto de partida suficiente que pueda erigirse en</w:t>
      </w:r>
      <w:r w:rsidRPr="00474CD4">
        <w:rPr>
          <w:sz w:val="20"/>
          <w:szCs w:val="20"/>
          <w:shd w:val="clear" w:color="auto" w:fill="FFFFFF"/>
        </w:rPr>
        <w:t xml:space="preserve"> un límite real a la actividad de reglamentación, esto es, una base fundamental de reserva democrática. Aunque complementaria, la tarea de reglamentar se subordina a la obra del legislador (…)”.</w:t>
      </w:r>
    </w:p>
  </w:footnote>
  <w:footnote w:id="36">
    <w:p w:rsidR="00441548" w:rsidRPr="00EC0866" w:rsidRDefault="00F255C4" w:rsidP="008C595D">
      <w:pPr>
        <w:pStyle w:val="NormalWeb"/>
        <w:spacing w:before="0" w:beforeAutospacing="0" w:after="0" w:afterAutospacing="0"/>
        <w:ind w:right="-234"/>
        <w:jc w:val="both"/>
        <w:rPr>
          <w:sz w:val="20"/>
          <w:szCs w:val="20"/>
        </w:rPr>
      </w:pPr>
      <w:r w:rsidRPr="00EC0866">
        <w:rPr>
          <w:rStyle w:val="Refdenotaalpie"/>
          <w:sz w:val="20"/>
          <w:szCs w:val="20"/>
        </w:rPr>
        <w:footnoteRef/>
      </w:r>
      <w:r w:rsidRPr="00EC0866">
        <w:rPr>
          <w:sz w:val="20"/>
          <w:szCs w:val="20"/>
        </w:rPr>
        <w:t xml:space="preserve"> Es importante considerar que se encuentran también sujetas a la reserva de ley estatutaria otras materias también previstas en el artículo 152 de la Constitución. Allí se mencionan, además de los derechos y deberes fundamentales, así como los mecanismos p</w:t>
      </w:r>
      <w:r w:rsidRPr="00EC0866">
        <w:rPr>
          <w:sz w:val="20"/>
          <w:szCs w:val="20"/>
        </w:rPr>
        <w:t>ara su protección, las materias relativas a (i) la Administración de justicia, (ii) la Organización y régimen de los partidos y movimientos políticos; estatuto de la oposición y funciones electorales; (iii) las Instituciones y mecanismos de participación c</w:t>
      </w:r>
      <w:r w:rsidRPr="00EC0866">
        <w:rPr>
          <w:sz w:val="20"/>
          <w:szCs w:val="20"/>
        </w:rPr>
        <w:t>iudadana, (iv) los estados de excepción y (v) la igualdad electoral entre los candidatos a la Presidencia de la República que reúnan los requisitos que determine la ley.</w:t>
      </w:r>
    </w:p>
  </w:footnote>
  <w:footnote w:id="37">
    <w:p w:rsidR="00441548" w:rsidRPr="00474CD4"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lang w:val="es-ES"/>
        </w:rPr>
        <w:t xml:space="preserve"> La sentencia C-212 de 2022 destacó que salvo el caso de las funciones electorales </w:t>
      </w:r>
      <w:r w:rsidRPr="00EC0866">
        <w:rPr>
          <w:sz w:val="20"/>
          <w:szCs w:val="20"/>
          <w:shd w:val="clear" w:color="auto" w:fill="FFFFFF"/>
          <w:lang w:val="es-ES_tradnl"/>
        </w:rPr>
        <w:t>“e</w:t>
      </w:r>
      <w:r w:rsidRPr="00EC0866">
        <w:rPr>
          <w:sz w:val="20"/>
          <w:szCs w:val="20"/>
          <w:shd w:val="clear" w:color="auto" w:fill="FFFFFF"/>
          <w:lang w:val="es-ES_tradnl"/>
        </w:rPr>
        <w:t>l trámite de una iniciativa como estatutaria no es la regla general sino la </w:t>
      </w:r>
      <w:r w:rsidRPr="00EC0866">
        <w:rPr>
          <w:b/>
          <w:bCs/>
          <w:i/>
          <w:iCs/>
          <w:sz w:val="20"/>
          <w:szCs w:val="20"/>
          <w:shd w:val="clear" w:color="auto" w:fill="FFFFFF"/>
          <w:lang w:val="es-ES_tradnl"/>
        </w:rPr>
        <w:t>excepción</w:t>
      </w:r>
      <w:r w:rsidRPr="00EC0866">
        <w:rPr>
          <w:sz w:val="20"/>
          <w:szCs w:val="20"/>
          <w:shd w:val="clear" w:color="auto" w:fill="FFFFFF"/>
          <w:lang w:val="es-ES_tradnl"/>
        </w:rPr>
        <w:t>, por lo que su campo de aplicación debe interpretarse de forma restrictiva”.</w:t>
      </w:r>
      <w:r w:rsidRPr="00474CD4">
        <w:rPr>
          <w:sz w:val="20"/>
          <w:szCs w:val="20"/>
          <w:lang w:val="es-ES"/>
        </w:rPr>
        <w:t xml:space="preserve"> </w:t>
      </w:r>
    </w:p>
  </w:footnote>
  <w:footnote w:id="38">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C-212 de 2022.</w:t>
      </w:r>
    </w:p>
  </w:footnote>
  <w:footnote w:id="39">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 xml:space="preserve">Sentencia C-212 de 2022. También en ese sentido las sentencias C-007 de 2017 y C-106 de 2018. </w:t>
      </w:r>
    </w:p>
  </w:footnote>
  <w:footnote w:id="40">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C-212 de 2022. En esa misma dirección y entre muchas otras se encuentran las sentencias C-981 de 2005, C-818 de 2011, C-902 de 2011, C-540 de 2012, C</w:t>
      </w:r>
      <w:r w:rsidRPr="00474CD4">
        <w:rPr>
          <w:sz w:val="20"/>
          <w:szCs w:val="20"/>
          <w:lang w:val="es-ES"/>
        </w:rPr>
        <w:t>-233 de 2014, C-870 de 2014, C-007 de 2017, C-106 de 2018, C-172 de 2021, y C-100 de 2022.</w:t>
      </w:r>
    </w:p>
  </w:footnote>
  <w:footnote w:id="41">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C-013 de 1993. Igualmente, en esa dirección se encuentra la sentencia C-172 de 2021.</w:t>
      </w:r>
    </w:p>
  </w:footnote>
  <w:footnote w:id="42">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 xml:space="preserve">Sentencia C-013 de 1993. También en se sentido la sentencia C-038 </w:t>
      </w:r>
      <w:r w:rsidRPr="00474CD4">
        <w:rPr>
          <w:sz w:val="20"/>
          <w:szCs w:val="20"/>
          <w:lang w:val="es-ES"/>
        </w:rPr>
        <w:t>de 2018</w:t>
      </w:r>
      <w:r w:rsidRPr="00474CD4">
        <w:rPr>
          <w:sz w:val="20"/>
          <w:szCs w:val="20"/>
          <w:lang w:val="es-ES"/>
        </w:rPr>
        <w:t>.</w:t>
      </w:r>
    </w:p>
  </w:footnote>
  <w:footnote w:id="43">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C-013 de 1993.</w:t>
      </w:r>
    </w:p>
  </w:footnote>
  <w:footnote w:id="44">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Sentencia C-172 de 2021. Esta precisión fue formulada en la sentencia C-247 de 1995 indicando: “</w:t>
      </w:r>
      <w:r w:rsidRPr="00474CD4">
        <w:rPr>
          <w:sz w:val="20"/>
          <w:szCs w:val="20"/>
          <w:shd w:val="clear" w:color="auto" w:fill="FFFFFF"/>
        </w:rPr>
        <w:t>En el caso de los derechos fundamentales, es bien sabido que pueden verse afectados directa o indirectamente, de una u otr</w:t>
      </w:r>
      <w:r w:rsidRPr="00474CD4">
        <w:rPr>
          <w:sz w:val="20"/>
          <w:szCs w:val="20"/>
          <w:shd w:val="clear" w:color="auto" w:fill="FFFFFF"/>
        </w:rPr>
        <w:t>a forma, por cualquier regla jurídica, ya en el campo de las relaciones entre particulares, o en el de las muy diversas actividades del Estado. En últimas, en el contenido de todo precepto se encuentra, por su misma naturaleza, una orden, una autorización,</w:t>
      </w:r>
      <w:r w:rsidRPr="00474CD4">
        <w:rPr>
          <w:sz w:val="20"/>
          <w:szCs w:val="20"/>
          <w:shd w:val="clear" w:color="auto" w:fill="FFFFFF"/>
        </w:rPr>
        <w:t xml:space="preserve"> una prohibición, una restricción, una regla general o una excepción, cuyos efectos pueden entrar en la órbita de los derechos esenciales de una persona natural o jurídica”. Luego de ello precisó: “En ese orden de ideas, el correcto entendimiento del artíc</w:t>
      </w:r>
      <w:r w:rsidRPr="00474CD4">
        <w:rPr>
          <w:sz w:val="20"/>
          <w:szCs w:val="20"/>
          <w:shd w:val="clear" w:color="auto" w:fill="FFFFFF"/>
        </w:rPr>
        <w:t>ulo 152 de la Constitución no puede consistir en que el legislador evada las exigencias formales de excepción para aquellos casos en que, según la Carta, tiene lugar la ley estatutaria, pero tampoco en que esta modalidad legislativa abarque, sin un criteri</w:t>
      </w:r>
      <w:r w:rsidRPr="00474CD4">
        <w:rPr>
          <w:sz w:val="20"/>
          <w:szCs w:val="20"/>
          <w:shd w:val="clear" w:color="auto" w:fill="FFFFFF"/>
        </w:rPr>
        <w:t>o razonable que encaje dentro del sistema positivo colombiano, todas las normas que integran el orden jurídico”. A su vez, en la sentencia C-035 de 2015 la Corte explicó que “en virtud del efecto irradiación de las normas de derecho fundamental, las amplia</w:t>
      </w:r>
      <w:r w:rsidRPr="00474CD4">
        <w:rPr>
          <w:sz w:val="20"/>
          <w:szCs w:val="20"/>
          <w:shd w:val="clear" w:color="auto" w:fill="FFFFFF"/>
        </w:rPr>
        <w:t>s zonas de indeterminación de las cláusulas en las que se consagran, y su jerarquía normativa, prácticamente cualquier norma de estatus infra constitucional podrá ser asociada a las distintas posiciones jurídicas que se desprenden de cada derecho” En igual</w:t>
      </w:r>
      <w:r w:rsidRPr="00474CD4">
        <w:rPr>
          <w:sz w:val="20"/>
          <w:szCs w:val="20"/>
          <w:shd w:val="clear" w:color="auto" w:fill="FFFFFF"/>
        </w:rPr>
        <w:t xml:space="preserve"> dirección se encuentran, entre otras, las sentencias C-035 de 2015, C-223 de 2017 y C-204 de 2019.</w:t>
      </w:r>
    </w:p>
  </w:footnote>
  <w:footnote w:id="45">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 xml:space="preserve">Sentencia C-212 de 2022. </w:t>
      </w:r>
    </w:p>
  </w:footnote>
  <w:footnote w:id="46">
    <w:p w:rsidR="00441548" w:rsidRPr="00474CD4" w:rsidRDefault="00F255C4" w:rsidP="008C595D">
      <w:pPr>
        <w:spacing w:after="0" w:line="240" w:lineRule="auto"/>
        <w:ind w:right="-234"/>
        <w:jc w:val="both"/>
        <w:rPr>
          <w:rFonts w:ascii="Times New Roman" w:hAnsi="Times New Roman" w:cs="Times New Roman"/>
          <w:sz w:val="20"/>
          <w:szCs w:val="20"/>
        </w:rPr>
      </w:pPr>
      <w:r w:rsidRPr="00474CD4">
        <w:rPr>
          <w:rStyle w:val="Refdenotaalpie"/>
          <w:rFonts w:ascii="Times New Roman" w:hAnsi="Times New Roman" w:cs="Times New Roman"/>
          <w:sz w:val="20"/>
          <w:szCs w:val="20"/>
        </w:rPr>
        <w:footnoteRef/>
      </w:r>
      <w:r w:rsidRPr="00474CD4">
        <w:rPr>
          <w:rFonts w:ascii="Times New Roman" w:hAnsi="Times New Roman" w:cs="Times New Roman"/>
          <w:sz w:val="20"/>
          <w:szCs w:val="20"/>
        </w:rPr>
        <w:t xml:space="preserve"> </w:t>
      </w:r>
      <w:r w:rsidRPr="00474CD4">
        <w:rPr>
          <w:rFonts w:ascii="Times New Roman" w:hAnsi="Times New Roman" w:cs="Times New Roman"/>
          <w:sz w:val="20"/>
          <w:szCs w:val="20"/>
          <w:lang w:val="es-ES"/>
        </w:rPr>
        <w:t xml:space="preserve">Sentencia C-007 de 2017. En esa misma dirección y con variaciones menores se encuentran, por ejemplo, las sentencias C-319 de </w:t>
      </w:r>
      <w:r w:rsidRPr="00474CD4">
        <w:rPr>
          <w:rFonts w:ascii="Times New Roman" w:hAnsi="Times New Roman" w:cs="Times New Roman"/>
          <w:sz w:val="20"/>
          <w:szCs w:val="20"/>
          <w:lang w:val="es-ES"/>
        </w:rPr>
        <w:t>2006, C-106 de 2018, C-204 de 2019, C-015 de 2020 y C-212 de 2022. En otras oportunidades la Corte ha empleado otras formulaciones. Por ejemplo, la sentencia C-035 de 2015 indicó que “</w:t>
      </w:r>
      <w:r w:rsidRPr="00474CD4">
        <w:rPr>
          <w:rFonts w:ascii="Times New Roman" w:hAnsi="Times New Roman" w:cs="Times New Roman"/>
          <w:sz w:val="20"/>
          <w:szCs w:val="20"/>
        </w:rPr>
        <w:t xml:space="preserve">la reserva cobija a las normas que (i) desarrollen integralmente un derecho fundamental y sus mecanismos de protección; (ii) establezcan sus elementos estructurales; (iii) limiten o restrinjan aspectos íntimamente ligados a su núcleo esencial”. Una </w:t>
      </w:r>
      <w:r w:rsidRPr="00474CD4">
        <w:rPr>
          <w:rFonts w:ascii="Times New Roman" w:hAnsi="Times New Roman" w:cs="Times New Roman"/>
          <w:sz w:val="20"/>
          <w:szCs w:val="20"/>
          <w:lang w:val="es-ES"/>
        </w:rPr>
        <w:t>formula</w:t>
      </w:r>
      <w:r w:rsidRPr="00474CD4">
        <w:rPr>
          <w:rFonts w:ascii="Times New Roman" w:hAnsi="Times New Roman" w:cs="Times New Roman"/>
          <w:sz w:val="20"/>
          <w:szCs w:val="20"/>
          <w:lang w:val="es-ES"/>
        </w:rPr>
        <w:t>ción más simple presentó la sentencia C-038 de 2018 al indicar que la reserva se activa “</w:t>
      </w:r>
      <w:r w:rsidRPr="00474CD4">
        <w:rPr>
          <w:rFonts w:ascii="Times New Roman" w:hAnsi="Times New Roman" w:cs="Times New Roman"/>
          <w:sz w:val="20"/>
          <w:szCs w:val="20"/>
          <w:shd w:val="clear" w:color="auto" w:fill="FFFFFF"/>
        </w:rPr>
        <w:t>cuando el legislador (i) regula de manera integral un derecho fundamental o (ii) establece disposiciones directamente vinculadas con las posiciones más relevantes o im</w:t>
      </w:r>
      <w:r w:rsidRPr="00474CD4">
        <w:rPr>
          <w:rFonts w:ascii="Times New Roman" w:hAnsi="Times New Roman" w:cs="Times New Roman"/>
          <w:sz w:val="20"/>
          <w:szCs w:val="20"/>
          <w:shd w:val="clear" w:color="auto" w:fill="FFFFFF"/>
        </w:rPr>
        <w:t xml:space="preserve">portantes del derecho, configurándolas o limitándolas”. </w:t>
      </w:r>
      <w:r w:rsidRPr="00474CD4">
        <w:rPr>
          <w:rFonts w:ascii="Times New Roman" w:hAnsi="Times New Roman" w:cs="Times New Roman"/>
          <w:sz w:val="20"/>
          <w:szCs w:val="20"/>
          <w:lang w:val="es-ES"/>
        </w:rPr>
        <w:t xml:space="preserve">  </w:t>
      </w:r>
    </w:p>
  </w:footnote>
  <w:footnote w:id="47">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C-791 de 2011.</w:t>
      </w:r>
    </w:p>
  </w:footnote>
  <w:footnote w:id="48">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C-791 de 2011. Igualmente, la sentencia C-233 de 2014.</w:t>
      </w:r>
    </w:p>
  </w:footnote>
  <w:footnote w:id="49">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C-035 de 2015.</w:t>
      </w:r>
    </w:p>
  </w:footnote>
  <w:footnote w:id="50">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 xml:space="preserve">Sentencia C-818 de 2011. </w:t>
      </w:r>
    </w:p>
  </w:footnote>
  <w:footnote w:id="51">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C-818 de 2011.</w:t>
      </w:r>
    </w:p>
  </w:footnote>
  <w:footnote w:id="52">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 xml:space="preserve">Sentencia C-540 de </w:t>
      </w:r>
      <w:r w:rsidRPr="00474CD4">
        <w:rPr>
          <w:sz w:val="20"/>
          <w:szCs w:val="20"/>
          <w:lang w:val="es-ES"/>
        </w:rPr>
        <w:t>2012.</w:t>
      </w:r>
    </w:p>
  </w:footnote>
  <w:footnote w:id="53">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 xml:space="preserve">Sentencia C-567 de 1997. </w:t>
      </w:r>
    </w:p>
  </w:footnote>
  <w:footnote w:id="54">
    <w:p w:rsidR="00441548" w:rsidRPr="00EC0866"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Refiriéndose a la reserva de ley estatutaria respecto de la regulación de los mecanismos de protección de los derechos fundamentales, la sentencia C-870 de 2014 indicó: “</w:t>
      </w:r>
      <w:r w:rsidRPr="00474CD4">
        <w:rPr>
          <w:sz w:val="20"/>
          <w:szCs w:val="20"/>
          <w:shd w:val="clear" w:color="auto" w:fill="FFFFFF"/>
        </w:rPr>
        <w:t> Como se infiere de lo expuesto, la jurisprudencia</w:t>
      </w:r>
      <w:r w:rsidRPr="00474CD4">
        <w:rPr>
          <w:sz w:val="20"/>
          <w:szCs w:val="20"/>
          <w:shd w:val="clear" w:color="auto" w:fill="FFFFFF"/>
        </w:rPr>
        <w:t xml:space="preserve"> constitucional ha mantenido un criterio restrictivo sobre la exigibilidad de la cláusula de reserva de ley estatutaria frente a los procedimientos y recursos previstos para la protección de los derechos fundamentales (CP art. 152.a), los cuales pueden ser</w:t>
      </w:r>
      <w:r w:rsidRPr="00474CD4">
        <w:rPr>
          <w:sz w:val="20"/>
          <w:szCs w:val="20"/>
          <w:shd w:val="clear" w:color="auto" w:fill="FFFFFF"/>
        </w:rPr>
        <w:t xml:space="preserve"> tanto de naturaleza judicial como administrativa</w:t>
      </w:r>
      <w:r w:rsidRPr="00474CD4">
        <w:rPr>
          <w:sz w:val="20"/>
          <w:szCs w:val="20"/>
        </w:rPr>
        <w:t xml:space="preserve"> (…)</w:t>
      </w:r>
      <w:r w:rsidRPr="00474CD4">
        <w:rPr>
          <w:sz w:val="20"/>
          <w:szCs w:val="20"/>
          <w:shd w:val="clear" w:color="auto" w:fill="FFFFFF"/>
        </w:rPr>
        <w:t>. Así se ha reclamado dicho trámite: (i) cuando se pretende establecer la estructura básica de uno de tales mecanismos de protección</w:t>
      </w:r>
      <w:r w:rsidRPr="00474CD4">
        <w:rPr>
          <w:sz w:val="20"/>
          <w:szCs w:val="20"/>
        </w:rPr>
        <w:t xml:space="preserve"> (…)</w:t>
      </w:r>
      <w:r w:rsidRPr="00474CD4">
        <w:rPr>
          <w:sz w:val="20"/>
          <w:szCs w:val="20"/>
          <w:shd w:val="clear" w:color="auto" w:fill="FFFFFF"/>
        </w:rPr>
        <w:t>; o (ii) cuando se regula de manera </w:t>
      </w:r>
      <w:r w:rsidRPr="00474CD4">
        <w:rPr>
          <w:i/>
          <w:iCs/>
          <w:sz w:val="20"/>
          <w:szCs w:val="20"/>
        </w:rPr>
        <w:t>integral </w:t>
      </w:r>
      <w:r w:rsidRPr="00474CD4">
        <w:rPr>
          <w:sz w:val="20"/>
          <w:szCs w:val="20"/>
          <w:shd w:val="clear" w:color="auto" w:fill="FFFFFF"/>
        </w:rPr>
        <w:t xml:space="preserve">un procedimiento o </w:t>
      </w:r>
      <w:r w:rsidRPr="00474CD4">
        <w:rPr>
          <w:sz w:val="20"/>
          <w:szCs w:val="20"/>
          <w:shd w:val="clear" w:color="auto" w:fill="FFFFFF"/>
        </w:rPr>
        <w:t>recurso dirigido al amparo de los derechos fundamentales, siempre que se trate de un medio necesario e indispensable para asegurar su conservación</w:t>
      </w:r>
      <w:r w:rsidRPr="00474CD4">
        <w:rPr>
          <w:sz w:val="20"/>
          <w:szCs w:val="20"/>
        </w:rPr>
        <w:t xml:space="preserve"> (…)</w:t>
      </w:r>
      <w:r w:rsidRPr="00474CD4">
        <w:rPr>
          <w:sz w:val="20"/>
          <w:szCs w:val="20"/>
          <w:shd w:val="clear" w:color="auto" w:fill="FFFFFF"/>
        </w:rPr>
        <w:t>; o (iii) cuando se produce un desarrollo legal que directa e inmediatamente tenga por objeto diseñar o im</w:t>
      </w:r>
      <w:r w:rsidRPr="00474CD4">
        <w:rPr>
          <w:sz w:val="20"/>
          <w:szCs w:val="20"/>
          <w:shd w:val="clear" w:color="auto" w:fill="FFFFFF"/>
        </w:rPr>
        <w:t>pactar en un mecanismo de defensa de un derecho </w:t>
      </w:r>
      <w:r w:rsidRPr="00474CD4">
        <w:rPr>
          <w:i/>
          <w:iCs/>
          <w:sz w:val="20"/>
          <w:szCs w:val="20"/>
        </w:rPr>
        <w:t>iusfundamental</w:t>
      </w:r>
      <w:r w:rsidRPr="00474CD4">
        <w:rPr>
          <w:sz w:val="20"/>
          <w:szCs w:val="20"/>
        </w:rPr>
        <w:t xml:space="preserve"> (…)</w:t>
      </w:r>
      <w:r w:rsidRPr="00474CD4">
        <w:rPr>
          <w:sz w:val="20"/>
          <w:szCs w:val="20"/>
          <w:shd w:val="clear" w:color="auto" w:fill="FFFFFF"/>
        </w:rPr>
        <w:t xml:space="preserve">; o (iv) cuando la materia objeto de regulación se refiere a aspectos trascendentales de la estructura y funciona-miento de los medios previstos para salvaguardar uno de los citados </w:t>
      </w:r>
      <w:r w:rsidRPr="00EC0866">
        <w:rPr>
          <w:sz w:val="20"/>
          <w:szCs w:val="20"/>
          <w:shd w:val="clear" w:color="auto" w:fill="FFFFFF"/>
        </w:rPr>
        <w:t>derechos</w:t>
      </w:r>
      <w:r w:rsidRPr="00EC0866">
        <w:rPr>
          <w:sz w:val="20"/>
          <w:szCs w:val="20"/>
        </w:rPr>
        <w:t xml:space="preserve"> (…)</w:t>
      </w:r>
      <w:r w:rsidRPr="00EC0866">
        <w:rPr>
          <w:sz w:val="20"/>
          <w:szCs w:val="20"/>
          <w:shd w:val="clear" w:color="auto" w:fill="FFFFFF"/>
        </w:rPr>
        <w:t>, incluyendo la definición del régimen de competencias</w:t>
      </w:r>
      <w:r w:rsidRPr="00EC0866">
        <w:rPr>
          <w:sz w:val="20"/>
          <w:szCs w:val="20"/>
        </w:rPr>
        <w:t xml:space="preserve"> (…)”</w:t>
      </w:r>
      <w:r w:rsidRPr="00EC0866">
        <w:rPr>
          <w:sz w:val="20"/>
          <w:szCs w:val="20"/>
          <w:shd w:val="clear" w:color="auto" w:fill="FFFFFF"/>
        </w:rPr>
        <w:t>.</w:t>
      </w:r>
      <w:r w:rsidRPr="00EC0866">
        <w:rPr>
          <w:sz w:val="20"/>
          <w:szCs w:val="20"/>
          <w:lang w:val="es-ES"/>
        </w:rPr>
        <w:t xml:space="preserve"> </w:t>
      </w:r>
    </w:p>
  </w:footnote>
  <w:footnote w:id="55">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Sentencia C-212 de 2022.</w:t>
      </w:r>
      <w:r w:rsidRPr="00EC0866">
        <w:rPr>
          <w:sz w:val="20"/>
          <w:szCs w:val="20"/>
          <w:lang w:val="es-ES"/>
        </w:rPr>
        <w:t xml:space="preserve"> En esta decisión la Corte concluyó que la </w:t>
      </w:r>
      <w:r w:rsidRPr="00EC0866">
        <w:rPr>
          <w:sz w:val="20"/>
          <w:szCs w:val="20"/>
          <w:shd w:val="clear" w:color="auto" w:fill="FFFFFF"/>
        </w:rPr>
        <w:t>Ley 2088 de 2021 “</w:t>
      </w:r>
      <w:r w:rsidRPr="00EC0866">
        <w:rPr>
          <w:i/>
          <w:iCs/>
          <w:sz w:val="20"/>
          <w:szCs w:val="20"/>
          <w:shd w:val="clear" w:color="auto" w:fill="FFFFFF"/>
        </w:rPr>
        <w:t>por la cual se regula el trabajo en casa y se dictan otras disposiciones</w:t>
      </w:r>
      <w:r w:rsidRPr="00EC0866">
        <w:rPr>
          <w:sz w:val="20"/>
          <w:szCs w:val="20"/>
          <w:shd w:val="clear" w:color="auto" w:fill="FFFFFF"/>
        </w:rPr>
        <w:t>”</w:t>
      </w:r>
      <w:r w:rsidRPr="00EC0866">
        <w:rPr>
          <w:sz w:val="20"/>
          <w:szCs w:val="20"/>
          <w:shd w:val="clear" w:color="auto" w:fill="FFFFFF"/>
        </w:rPr>
        <w:t xml:space="preserve"> no estaba cubierta por la res</w:t>
      </w:r>
      <w:r w:rsidRPr="00EC0866">
        <w:rPr>
          <w:sz w:val="20"/>
          <w:szCs w:val="20"/>
          <w:shd w:val="clear" w:color="auto" w:fill="FFFFFF"/>
        </w:rPr>
        <w:t>erva de ley estatutaria dado que “no se está en presencia de una regulación </w:t>
      </w:r>
      <w:r w:rsidRPr="00EC0866">
        <w:rPr>
          <w:sz w:val="20"/>
          <w:szCs w:val="20"/>
          <w:shd w:val="clear" w:color="auto" w:fill="FFFFFF"/>
          <w:lang w:val="es-MX"/>
        </w:rPr>
        <w:t>(i) integral, estructural y completa del derecho al trabajo; (ii) no se impacta en su núcleo esencial; (iii) ni se refiere a los elementos estructurales que conduzcan a una afectac</w:t>
      </w:r>
      <w:r w:rsidRPr="00EC0866">
        <w:rPr>
          <w:sz w:val="20"/>
          <w:szCs w:val="20"/>
          <w:shd w:val="clear" w:color="auto" w:fill="FFFFFF"/>
          <w:lang w:val="es-MX"/>
        </w:rPr>
        <w:t>ión de este derecho”.</w:t>
      </w:r>
    </w:p>
  </w:footnote>
  <w:footnote w:id="56">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Sentencia C-100 de 2022.</w:t>
      </w:r>
      <w:r w:rsidRPr="00EC0866">
        <w:rPr>
          <w:sz w:val="20"/>
          <w:szCs w:val="20"/>
          <w:lang w:val="es-ES"/>
        </w:rPr>
        <w:t xml:space="preserve"> Sostuvo la Corte que la disposición</w:t>
      </w:r>
      <w:r w:rsidRPr="00EC0866">
        <w:rPr>
          <w:sz w:val="20"/>
          <w:szCs w:val="20"/>
          <w:shd w:val="clear" w:color="auto" w:fill="FFFFFF"/>
        </w:rPr>
        <w:t xml:space="preserve"> prevista en el artículo 170 de la Ley 1801 de 2016 “no versa sobre componentes mínimos o elementos que hagan parte del núcleo esencial de algún derecho fundamental en concreto, de manera que no es posible dilucidar de su contenido la regulación específica</w:t>
      </w:r>
      <w:r w:rsidRPr="00EC0866">
        <w:rPr>
          <w:sz w:val="20"/>
          <w:szCs w:val="20"/>
          <w:shd w:val="clear" w:color="auto" w:fill="FFFFFF"/>
        </w:rPr>
        <w:t xml:space="preserve"> de principios o estructura, inherentes a esa clase de derechos”. Advirtió que “aunque la norma podría efectivamente tener alguna incidencia en el ejercicio de los derechos fundamentales indicados por los accionantes, ello obedecería a una aplicación indeb</w:t>
      </w:r>
      <w:r w:rsidRPr="00EC0866">
        <w:rPr>
          <w:sz w:val="20"/>
          <w:szCs w:val="20"/>
          <w:shd w:val="clear" w:color="auto" w:fill="FFFFFF"/>
        </w:rPr>
        <w:t>ida de la norma”.</w:t>
      </w:r>
    </w:p>
  </w:footnote>
  <w:footnote w:id="57">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Sentencia C-172 de 2021.</w:t>
      </w:r>
      <w:r w:rsidRPr="00EC0866">
        <w:rPr>
          <w:sz w:val="20"/>
          <w:szCs w:val="20"/>
          <w:lang w:val="es-ES"/>
        </w:rPr>
        <w:t xml:space="preserve"> La Corte señaló que la regulación “</w:t>
      </w:r>
      <w:r w:rsidRPr="00EC0866">
        <w:rPr>
          <w:sz w:val="20"/>
          <w:szCs w:val="20"/>
          <w:shd w:val="clear" w:color="auto" w:fill="FFFFFF"/>
        </w:rPr>
        <w:t>no desconocía la reserva de ley estatutaria pues no estaba regulando integralmente un derecho fundamental ni previendo aspectos esenciales e inescindibles a la garantía del der</w:t>
      </w:r>
      <w:r w:rsidRPr="00EC0866">
        <w:rPr>
          <w:sz w:val="20"/>
          <w:szCs w:val="20"/>
          <w:shd w:val="clear" w:color="auto" w:fill="FFFFFF"/>
        </w:rPr>
        <w:t>echo a la asociación sindical”.</w:t>
      </w:r>
    </w:p>
  </w:footnote>
  <w:footnote w:id="58">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Sentencia C-022 de 2021.</w:t>
      </w:r>
      <w:r w:rsidRPr="00EC0866">
        <w:rPr>
          <w:sz w:val="20"/>
          <w:szCs w:val="20"/>
          <w:lang w:val="es-ES"/>
        </w:rPr>
        <w:t xml:space="preserve"> La Sala Pena señalo </w:t>
      </w:r>
      <w:r w:rsidRPr="00EC0866">
        <w:rPr>
          <w:sz w:val="20"/>
          <w:szCs w:val="20"/>
          <w:lang w:val="es-ES"/>
        </w:rPr>
        <w:t xml:space="preserve">que </w:t>
      </w:r>
      <w:r w:rsidRPr="00EC0866">
        <w:rPr>
          <w:sz w:val="20"/>
          <w:szCs w:val="20"/>
          <w:lang w:val="es-ES"/>
        </w:rPr>
        <w:t xml:space="preserve">la </w:t>
      </w:r>
      <w:r w:rsidRPr="00EC0866">
        <w:rPr>
          <w:sz w:val="20"/>
          <w:szCs w:val="20"/>
          <w:shd w:val="clear" w:color="auto" w:fill="FFFFFF"/>
        </w:rPr>
        <w:t xml:space="preserve">Ley 1996 de 2019 </w:t>
      </w:r>
      <w:r w:rsidRPr="00EC0866">
        <w:rPr>
          <w:sz w:val="20"/>
          <w:szCs w:val="20"/>
          <w:shd w:val="clear" w:color="auto" w:fill="FFFFFF"/>
        </w:rPr>
        <w:t>“</w:t>
      </w:r>
      <w:r w:rsidRPr="00EC0866">
        <w:rPr>
          <w:sz w:val="20"/>
          <w:szCs w:val="20"/>
          <w:shd w:val="clear" w:color="auto" w:fill="FFFFFF"/>
        </w:rPr>
        <w:t>regula una de las aristas del derecho fundamental a la personalidad jurídica, como lo es la capacidad de goce y ejercicio</w:t>
      </w:r>
      <w:r w:rsidRPr="00EC0866">
        <w:rPr>
          <w:sz w:val="20"/>
          <w:szCs w:val="20"/>
          <w:shd w:val="clear" w:color="auto" w:fill="FFFFFF"/>
        </w:rPr>
        <w:t>”</w:t>
      </w:r>
      <w:r w:rsidRPr="00EC0866">
        <w:rPr>
          <w:sz w:val="20"/>
          <w:szCs w:val="20"/>
          <w:shd w:val="clear" w:color="auto" w:fill="FFFFFF"/>
        </w:rPr>
        <w:t xml:space="preserve"> </w:t>
      </w:r>
      <w:r w:rsidRPr="00EC0866">
        <w:rPr>
          <w:sz w:val="20"/>
          <w:szCs w:val="20"/>
          <w:shd w:val="clear" w:color="auto" w:fill="FFFFFF"/>
        </w:rPr>
        <w:t>e “</w:t>
      </w:r>
      <w:r w:rsidRPr="00EC0866">
        <w:rPr>
          <w:sz w:val="20"/>
          <w:szCs w:val="20"/>
          <w:shd w:val="clear" w:color="auto" w:fill="FFFFFF"/>
        </w:rPr>
        <w:t>incorpora medidas y mecani</w:t>
      </w:r>
      <w:r w:rsidRPr="00EC0866">
        <w:rPr>
          <w:sz w:val="20"/>
          <w:szCs w:val="20"/>
          <w:shd w:val="clear" w:color="auto" w:fill="FFFFFF"/>
        </w:rPr>
        <w:t>smos dirigidos a favor de las personas con discapacidad para el ejercicio de aquel derecho</w:t>
      </w:r>
      <w:r w:rsidRPr="00EC0866">
        <w:rPr>
          <w:sz w:val="20"/>
          <w:szCs w:val="20"/>
          <w:shd w:val="clear" w:color="auto" w:fill="FFFFFF"/>
        </w:rPr>
        <w:t xml:space="preserve">”. Destacó que dicha regulación </w:t>
      </w:r>
      <w:r w:rsidRPr="00EC0866">
        <w:rPr>
          <w:sz w:val="20"/>
          <w:szCs w:val="20"/>
          <w:shd w:val="clear" w:color="auto" w:fill="FFFFFF"/>
        </w:rPr>
        <w:t>elimina</w:t>
      </w:r>
      <w:r w:rsidRPr="00EC0866">
        <w:rPr>
          <w:sz w:val="20"/>
          <w:szCs w:val="20"/>
          <w:shd w:val="clear" w:color="auto" w:fill="FFFFFF"/>
        </w:rPr>
        <w:t xml:space="preserve"> para ello</w:t>
      </w:r>
      <w:r w:rsidRPr="00EC0866">
        <w:rPr>
          <w:sz w:val="20"/>
          <w:szCs w:val="20"/>
          <w:shd w:val="clear" w:color="auto" w:fill="FFFFFF"/>
        </w:rPr>
        <w:t xml:space="preserve"> </w:t>
      </w:r>
      <w:r w:rsidRPr="00EC0866">
        <w:rPr>
          <w:sz w:val="20"/>
          <w:szCs w:val="20"/>
          <w:shd w:val="clear" w:color="auto" w:fill="FFFFFF"/>
        </w:rPr>
        <w:t>“</w:t>
      </w:r>
      <w:r w:rsidRPr="00EC0866">
        <w:rPr>
          <w:sz w:val="20"/>
          <w:szCs w:val="20"/>
          <w:shd w:val="clear" w:color="auto" w:fill="FFFFFF"/>
        </w:rPr>
        <w:t>barreras legales como la interdicción y las reemplaza por un sistema de apoyos que permite a las personas con disca</w:t>
      </w:r>
      <w:r w:rsidRPr="00EC0866">
        <w:rPr>
          <w:sz w:val="20"/>
          <w:szCs w:val="20"/>
          <w:shd w:val="clear" w:color="auto" w:fill="FFFFFF"/>
        </w:rPr>
        <w:t>pacidad tomar decisiones bajo su voluntad y preferencias</w:t>
      </w:r>
      <w:r w:rsidRPr="00EC0866">
        <w:rPr>
          <w:sz w:val="20"/>
          <w:szCs w:val="20"/>
          <w:shd w:val="clear" w:color="auto" w:fill="FFFFFF"/>
        </w:rPr>
        <w:t>”</w:t>
      </w:r>
      <w:r w:rsidRPr="00EC0866">
        <w:rPr>
          <w:sz w:val="20"/>
          <w:szCs w:val="20"/>
          <w:shd w:val="clear" w:color="auto" w:fill="FFFFFF"/>
        </w:rPr>
        <w:t xml:space="preserve">. </w:t>
      </w:r>
      <w:r w:rsidRPr="00EC0866">
        <w:rPr>
          <w:sz w:val="20"/>
          <w:szCs w:val="20"/>
          <w:shd w:val="clear" w:color="auto" w:fill="FFFFFF"/>
        </w:rPr>
        <w:t>Con fundamento en ello concluyó que “</w:t>
      </w:r>
      <w:r w:rsidRPr="00EC0866">
        <w:rPr>
          <w:sz w:val="20"/>
          <w:szCs w:val="20"/>
          <w:shd w:val="clear" w:color="auto" w:fill="FFFFFF"/>
        </w:rPr>
        <w:t>no se afecta el núcleo esencial del derecho fundamental a la personalidad jurídica, y por tanto, el legislador no desconoció el mandato constitucional de los ar</w:t>
      </w:r>
      <w:r w:rsidRPr="00EC0866">
        <w:rPr>
          <w:sz w:val="20"/>
          <w:szCs w:val="20"/>
          <w:shd w:val="clear" w:color="auto" w:fill="FFFFFF"/>
        </w:rPr>
        <w:t>tículos 152 y 153 de la Constitución</w:t>
      </w:r>
      <w:r w:rsidRPr="00EC0866">
        <w:rPr>
          <w:sz w:val="20"/>
          <w:szCs w:val="20"/>
          <w:shd w:val="clear" w:color="auto" w:fill="FFFFFF"/>
        </w:rPr>
        <w:t>”.</w:t>
      </w:r>
    </w:p>
  </w:footnote>
  <w:footnote w:id="59">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Sentencia C-127 de 2020.</w:t>
      </w:r>
      <w:r w:rsidRPr="00EC0866">
        <w:rPr>
          <w:sz w:val="20"/>
          <w:szCs w:val="20"/>
          <w:lang w:val="es-ES"/>
        </w:rPr>
        <w:t xml:space="preserve"> Indicó la Corte que “</w:t>
      </w:r>
      <w:r w:rsidRPr="00EC0866">
        <w:rPr>
          <w:sz w:val="20"/>
          <w:szCs w:val="20"/>
          <w:shd w:val="clear" w:color="auto" w:fill="FFFFFF"/>
        </w:rPr>
        <w:t>ni el objeto ni el contenido de tal régimen está dirigido a la regulación de los derechos fundamentales que emanan del artículo 20 de la Constitución Política en ninguno</w:t>
      </w:r>
      <w:r w:rsidRPr="00EC0866">
        <w:rPr>
          <w:sz w:val="20"/>
          <w:szCs w:val="20"/>
          <w:shd w:val="clear" w:color="auto" w:fill="FFFFFF"/>
        </w:rPr>
        <w:t xml:space="preserve"> de sus ámbitos y que, por tal razón, no tienen la posibilidad de afectar su núcleo esencial”. Precisó que “las normas que componen el referido régimen TIC constituyen el mero desarrollo del mandato que prevé el artículo 75 superior”.</w:t>
      </w:r>
    </w:p>
  </w:footnote>
  <w:footnote w:id="60">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 xml:space="preserve">Sentencia C-127 de </w:t>
      </w:r>
      <w:r w:rsidRPr="00EC0866">
        <w:rPr>
          <w:sz w:val="20"/>
          <w:szCs w:val="20"/>
          <w:lang w:val="es-ES"/>
        </w:rPr>
        <w:t>2020.</w:t>
      </w:r>
      <w:r w:rsidRPr="00EC0866">
        <w:rPr>
          <w:sz w:val="20"/>
          <w:szCs w:val="20"/>
          <w:lang w:val="es-ES"/>
        </w:rPr>
        <w:t xml:space="preserve"> Sostuvo la </w:t>
      </w:r>
      <w:r w:rsidRPr="00EC0866">
        <w:rPr>
          <w:sz w:val="20"/>
          <w:szCs w:val="20"/>
          <w:lang w:val="es-ES"/>
        </w:rPr>
        <w:t>Sala que “</w:t>
      </w:r>
      <w:r w:rsidRPr="00EC0866">
        <w:rPr>
          <w:sz w:val="20"/>
          <w:szCs w:val="20"/>
        </w:rPr>
        <w:t xml:space="preserve">con los artículos 8º y 9º de la Ley 1978 no se hizo una regulación integral, estructural o completa de los derechos fundamentales que surgen del artículo 20 de la Constitución, al punto de que su contenido tocara con los núcleos </w:t>
      </w:r>
      <w:r w:rsidRPr="00EC0866">
        <w:rPr>
          <w:sz w:val="20"/>
          <w:szCs w:val="20"/>
        </w:rPr>
        <w:t>esenciales de cada uno de ellos o se reglamentara o limitara su ejercicio”. Además, destacó que las disposiciones simplemente desarrollaban “</w:t>
      </w:r>
      <w:r w:rsidRPr="00EC0866">
        <w:rPr>
          <w:bCs/>
          <w:sz w:val="20"/>
          <w:szCs w:val="20"/>
          <w:shd w:val="clear" w:color="auto" w:fill="FFFFFF"/>
          <w:lang w:val="es-MX"/>
        </w:rPr>
        <w:t>el artículo 75 superior en la más básica dimensión de la facultad de gestión estatal del espectro que implica el po</w:t>
      </w:r>
      <w:r w:rsidRPr="00EC0866">
        <w:rPr>
          <w:bCs/>
          <w:sz w:val="20"/>
          <w:szCs w:val="20"/>
          <w:shd w:val="clear" w:color="auto" w:fill="FFFFFF"/>
          <w:lang w:val="es-MX"/>
        </w:rPr>
        <w:t>der para asignar su uso”.</w:t>
      </w:r>
    </w:p>
  </w:footnote>
  <w:footnote w:id="61">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Sentencia C-015 de 2020.</w:t>
      </w:r>
      <w:r w:rsidRPr="00EC0866">
        <w:rPr>
          <w:sz w:val="20"/>
          <w:szCs w:val="20"/>
          <w:lang w:val="es-ES"/>
        </w:rPr>
        <w:t xml:space="preserve"> Señaló en esa oportunidad que </w:t>
      </w:r>
      <w:r w:rsidRPr="00EC0866">
        <w:rPr>
          <w:spacing w:val="4"/>
          <w:sz w:val="20"/>
          <w:szCs w:val="20"/>
          <w:shd w:val="clear" w:color="auto" w:fill="FFFFFF"/>
        </w:rPr>
        <w:t xml:space="preserve">“la suspensión provisional de los funcionarios de elección popular carece de reserva de ley estatutaria, por cuanto en aplicación del criterio restrictivo de la procedencia </w:t>
      </w:r>
      <w:r w:rsidRPr="00EC0866">
        <w:rPr>
          <w:spacing w:val="4"/>
          <w:sz w:val="20"/>
          <w:szCs w:val="20"/>
          <w:shd w:val="clear" w:color="auto" w:fill="FFFFFF"/>
        </w:rPr>
        <w:t>de trámite se constata que no tiene por objeto directo regular el derecho político de acceso a cargos públicos”. Además de ello sostuvo que “no es una regulación sistemática, integral y estructural de la garantía mencionada, dado que jamás señala caracterí</w:t>
      </w:r>
      <w:r w:rsidRPr="00EC0866">
        <w:rPr>
          <w:spacing w:val="4"/>
          <w:sz w:val="20"/>
          <w:szCs w:val="20"/>
          <w:shd w:val="clear" w:color="auto" w:fill="FFFFFF"/>
        </w:rPr>
        <w:t>sticas de la misma” y “[t]ampoco afecta el núcleo esencial de ese derecho político, ni apareja una interferencia desproporcionada”.</w:t>
      </w:r>
    </w:p>
  </w:footnote>
  <w:footnote w:id="62">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Sentencia C-204 de 2019.</w:t>
      </w:r>
      <w:r w:rsidRPr="00EC0866">
        <w:rPr>
          <w:sz w:val="20"/>
          <w:szCs w:val="20"/>
        </w:rPr>
        <w:t xml:space="preserve"> Señaló la Corte: “</w:t>
      </w:r>
      <w:r w:rsidRPr="00EC0866">
        <w:rPr>
          <w:sz w:val="20"/>
          <w:szCs w:val="20"/>
          <w:shd w:val="clear" w:color="auto" w:fill="FFFFFF"/>
        </w:rPr>
        <w:t>Aunque la norma puede efectivamente tener incidencia en el ejercicio de los der</w:t>
      </w:r>
      <w:r w:rsidRPr="00EC0866">
        <w:rPr>
          <w:sz w:val="20"/>
          <w:szCs w:val="20"/>
          <w:shd w:val="clear" w:color="auto" w:fill="FFFFFF"/>
        </w:rPr>
        <w:t>echos fundamentales indicados, no se trata de su objeto directo o no es su finalidad, por lo que la interpretación restrictiva de la reserva de Ley Estatutaria conduce a sostener que el artículo 86 de la Ley 1801 de 2016 no coincide con la materia del nume</w:t>
      </w:r>
      <w:r w:rsidRPr="00EC0866">
        <w:rPr>
          <w:sz w:val="20"/>
          <w:szCs w:val="20"/>
          <w:shd w:val="clear" w:color="auto" w:fill="FFFFFF"/>
        </w:rPr>
        <w:t>ral 1, del artículo 152 de la Constitución. Es evidente que no introduce una regulación integral, estructural o completa de dichos derechos fundamentales. La norma no versa sobre componentes mínimos que no admitan ser objeto de intervención por parte de la</w:t>
      </w:r>
      <w:r w:rsidRPr="00EC0866">
        <w:rPr>
          <w:sz w:val="20"/>
          <w:szCs w:val="20"/>
          <w:shd w:val="clear" w:color="auto" w:fill="FFFFFF"/>
        </w:rPr>
        <w:t xml:space="preserve">s autoridades públicas: en cuanto al derecho de asociación, en los términos anteriormente expuestos, la imposición de horarios de funcionamiento, para ciertas actividades, no constituye una afectación de las prerrogativas mínimas que definen este derecho, </w:t>
      </w:r>
      <w:r w:rsidRPr="00EC0866">
        <w:rPr>
          <w:sz w:val="20"/>
          <w:szCs w:val="20"/>
          <w:shd w:val="clear" w:color="auto" w:fill="FFFFFF"/>
        </w:rPr>
        <w:t>como la posibilidad de crear una asociación, adherirse a ella o retirarse de la misma, de manera voluntaria. Los derechos a la intimidad y al libre desarrollo de la personalidad de las personas naturales, ejercidos en espacios intermedios (semipúblicos y s</w:t>
      </w:r>
      <w:r w:rsidRPr="00EC0866">
        <w:rPr>
          <w:sz w:val="20"/>
          <w:szCs w:val="20"/>
          <w:shd w:val="clear" w:color="auto" w:fill="FFFFFF"/>
        </w:rPr>
        <w:t>emiprivados), son susceptibles de mayores limitaciones que cuando los mismos se ejercen en espacios privados, como el domicilio”.</w:t>
      </w:r>
    </w:p>
  </w:footnote>
  <w:footnote w:id="63">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 xml:space="preserve">Sentencia C-038 de 2018. </w:t>
      </w:r>
      <w:r w:rsidRPr="00EC0866">
        <w:rPr>
          <w:sz w:val="20"/>
          <w:szCs w:val="20"/>
          <w:lang w:val="es-ES"/>
        </w:rPr>
        <w:t>Sostuvo este tribunal: “</w:t>
      </w:r>
      <w:r w:rsidRPr="00EC0866">
        <w:rPr>
          <w:sz w:val="20"/>
          <w:szCs w:val="20"/>
          <w:shd w:val="clear" w:color="auto" w:fill="FFFFFF"/>
        </w:rPr>
        <w:t>El decreto ley revisado no desconoció la reserva de ley estatutaria. No pre</w:t>
      </w:r>
      <w:r w:rsidRPr="00EC0866">
        <w:rPr>
          <w:sz w:val="20"/>
          <w:szCs w:val="20"/>
          <w:shd w:val="clear" w:color="auto" w:fill="FFFFFF"/>
        </w:rPr>
        <w:t>vé una regla novedosa en materia de habeas corpus que modifique o complemente la legislación estatutaria previa. Se limita, por el contrario, a reiterar la procedencia de la acción de habeas corpus cuando no se resuelva oportunamente -sin justificación alg</w:t>
      </w:r>
      <w:r w:rsidRPr="00EC0866">
        <w:rPr>
          <w:sz w:val="20"/>
          <w:szCs w:val="20"/>
          <w:shd w:val="clear" w:color="auto" w:fill="FFFFFF"/>
        </w:rPr>
        <w:t>una- una solicitud de libertad</w:t>
      </w:r>
      <w:r w:rsidRPr="00EC0866">
        <w:rPr>
          <w:sz w:val="20"/>
          <w:szCs w:val="20"/>
          <w:shd w:val="clear" w:color="auto" w:fill="FFFFFF"/>
        </w:rPr>
        <w:t xml:space="preserve"> (…).</w:t>
      </w:r>
      <w:r w:rsidRPr="00EC0866">
        <w:rPr>
          <w:sz w:val="20"/>
          <w:szCs w:val="20"/>
          <w:shd w:val="clear" w:color="auto" w:fill="FFFFFF"/>
        </w:rPr>
        <w:t xml:space="preserve"> La dilación u omisión injustificada para otorgar la libertad condicional -según las reglas establecidas en la Ley 1820 de 2016 y el Decreto 277 de 2017- constituye un evento de prolongación ilegal de la libertad en los términos señalados en la referida re</w:t>
      </w:r>
      <w:r w:rsidRPr="00EC0866">
        <w:rPr>
          <w:sz w:val="20"/>
          <w:szCs w:val="20"/>
          <w:shd w:val="clear" w:color="auto" w:fill="FFFFFF"/>
        </w:rPr>
        <w:t>gulación estatutaria. Conforme a lo anterior, dado que el decreto no introduce modificación o variación alguna del régimen legal preexistente -limitándose a identificar o reiterar una consecuencia ya prevista- no cabe ni siquiera considerar que el Gobierno</w:t>
      </w:r>
      <w:r w:rsidRPr="00EC0866">
        <w:rPr>
          <w:sz w:val="20"/>
          <w:szCs w:val="20"/>
          <w:shd w:val="clear" w:color="auto" w:fill="FFFFFF"/>
        </w:rPr>
        <w:t xml:space="preserve"> Nacional hubiere incursionado en competencias exclusivas del Congreso de la República como legislador estatutario”.</w:t>
      </w:r>
    </w:p>
  </w:footnote>
  <w:footnote w:id="64">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Sentencia C-007 de 2017.</w:t>
      </w:r>
      <w:r w:rsidRPr="00EC0866">
        <w:rPr>
          <w:sz w:val="20"/>
          <w:szCs w:val="20"/>
          <w:lang w:val="es-ES"/>
        </w:rPr>
        <w:t xml:space="preserve"> Dijo la Corte: “</w:t>
      </w:r>
      <w:r w:rsidRPr="00EC0866">
        <w:rPr>
          <w:sz w:val="20"/>
          <w:szCs w:val="20"/>
          <w:shd w:val="clear" w:color="auto" w:fill="FFFFFF"/>
          <w:lang w:val="es-ES"/>
        </w:rPr>
        <w:t>Si bien la normativa parcialmente acusada establece las reglas que rigen una determinada actuaci</w:t>
      </w:r>
      <w:r w:rsidRPr="00EC0866">
        <w:rPr>
          <w:sz w:val="20"/>
          <w:szCs w:val="20"/>
          <w:shd w:val="clear" w:color="auto" w:fill="FFFFFF"/>
          <w:lang w:val="es-ES"/>
        </w:rPr>
        <w:t>ón procesal como una forma del derecho de petición, específicamente los recursos en contra de actos administrativos y su agotamiento como requisito para iniciar la actuación judicial, éstas no buscan, de manera general, consagrar límites, restricciones, ex</w:t>
      </w:r>
      <w:r w:rsidRPr="00EC0866">
        <w:rPr>
          <w:sz w:val="20"/>
          <w:szCs w:val="20"/>
          <w:shd w:val="clear" w:color="auto" w:fill="FFFFFF"/>
          <w:lang w:val="es-ES"/>
        </w:rPr>
        <w:t>cepciones y prohibiciones que afecten la estructura general y los principios del derecho. En esencia, una norma de esta naturaleza regula actuaciones administrativas y judiciales que, aun cuando son una forma del ejercicio del derecho de petición, desarrol</w:t>
      </w:r>
      <w:r w:rsidRPr="00EC0866">
        <w:rPr>
          <w:sz w:val="20"/>
          <w:szCs w:val="20"/>
          <w:shd w:val="clear" w:color="auto" w:fill="FFFFFF"/>
          <w:lang w:val="es-ES"/>
        </w:rPr>
        <w:t>lan las especificidades en una rama del derecho, concretamente, la manera cómo controvertir actuaciones administrativas, pero no buscan definir en general la esencia del derecho de petición o fijar sus alcances y limitaciones por fuera de este ámbito”.</w:t>
      </w:r>
    </w:p>
  </w:footnote>
  <w:footnote w:id="65">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S</w:t>
      </w:r>
      <w:r w:rsidRPr="00EC0866">
        <w:rPr>
          <w:sz w:val="20"/>
          <w:szCs w:val="20"/>
          <w:lang w:val="es-ES"/>
        </w:rPr>
        <w:t xml:space="preserve">entencia C-035 de 2015. </w:t>
      </w:r>
      <w:r w:rsidRPr="00EC0866">
        <w:rPr>
          <w:sz w:val="20"/>
          <w:szCs w:val="20"/>
          <w:lang w:val="es-ES"/>
        </w:rPr>
        <w:t>Señaló en esa oportunidad: “</w:t>
      </w:r>
      <w:r w:rsidRPr="00EC0866">
        <w:rPr>
          <w:sz w:val="20"/>
          <w:szCs w:val="20"/>
          <w:shd w:val="clear" w:color="auto" w:fill="FFFFFF"/>
        </w:rPr>
        <w:t>En conclusión, la Ley 1680 de 2013</w:t>
      </w:r>
      <w:r w:rsidRPr="00EC0866">
        <w:rPr>
          <w:sz w:val="20"/>
          <w:szCs w:val="20"/>
          <w:shd w:val="clear" w:color="auto" w:fill="FFFFFF"/>
        </w:rPr>
        <w:t xml:space="preserve"> (…)</w:t>
      </w:r>
      <w:r w:rsidRPr="00EC0866">
        <w:rPr>
          <w:i/>
          <w:iCs/>
          <w:sz w:val="20"/>
          <w:szCs w:val="20"/>
          <w:shd w:val="clear" w:color="auto" w:fill="FFFFFF"/>
          <w:lang w:val="es-ES_tradnl"/>
        </w:rPr>
        <w:t> </w:t>
      </w:r>
      <w:r w:rsidRPr="00EC0866">
        <w:rPr>
          <w:sz w:val="20"/>
          <w:szCs w:val="20"/>
          <w:shd w:val="clear" w:color="auto" w:fill="FFFFFF"/>
        </w:rPr>
        <w:t>no prevé un desarrollo integral de los elementos estructurales del derecho a la igualdad material, ni un desarrollo similar de los derechos de las personas con disca</w:t>
      </w:r>
      <w:r w:rsidRPr="00EC0866">
        <w:rPr>
          <w:sz w:val="20"/>
          <w:szCs w:val="20"/>
          <w:shd w:val="clear" w:color="auto" w:fill="FFFFFF"/>
        </w:rPr>
        <w:t>pacidad visual. Se trata de normas que, de forma concreta, persiguen eliminar barreras de acceso a la información para personas ciegas y con limitación: reglas que se dictan al amparo de la Constitución y de disposiciones estatutarias que han sentado las b</w:t>
      </w:r>
      <w:r w:rsidRPr="00EC0866">
        <w:rPr>
          <w:sz w:val="20"/>
          <w:szCs w:val="20"/>
          <w:shd w:val="clear" w:color="auto" w:fill="FFFFFF"/>
        </w:rPr>
        <w:t>ases para la protección, defensa y garantía de sus derechos y su trámite no se hallaba sujeto al especial de las leyes estatutarias”.</w:t>
      </w:r>
    </w:p>
  </w:footnote>
  <w:footnote w:id="66">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Sentencia C-106 de 2018.</w:t>
      </w:r>
      <w:r w:rsidRPr="00EC0866">
        <w:rPr>
          <w:sz w:val="20"/>
          <w:szCs w:val="20"/>
          <w:lang w:val="es-ES"/>
        </w:rPr>
        <w:t xml:space="preserve"> Indicó</w:t>
      </w:r>
      <w:r w:rsidRPr="00EC0866">
        <w:rPr>
          <w:sz w:val="20"/>
          <w:szCs w:val="20"/>
          <w:lang w:val="es-ES"/>
        </w:rPr>
        <w:t xml:space="preserve"> la Sala Plena: </w:t>
      </w:r>
      <w:r w:rsidRPr="00EC0866">
        <w:rPr>
          <w:sz w:val="20"/>
          <w:szCs w:val="20"/>
          <w:shd w:val="clear" w:color="auto" w:fill="FFFFFF"/>
          <w:lang w:val="es-MX"/>
        </w:rPr>
        <w:t>“</w:t>
      </w:r>
      <w:r w:rsidRPr="00EC0866">
        <w:rPr>
          <w:sz w:val="20"/>
          <w:szCs w:val="20"/>
          <w:shd w:val="clear" w:color="auto" w:fill="FFFFFF"/>
        </w:rPr>
        <w:t xml:space="preserve">el establecimiento de las inhabilidades no corresponde a ninguna de las </w:t>
      </w:r>
      <w:r w:rsidRPr="00EC0866">
        <w:rPr>
          <w:sz w:val="20"/>
          <w:szCs w:val="20"/>
          <w:shd w:val="clear" w:color="auto" w:fill="FFFFFF"/>
        </w:rPr>
        <w:t>hipótesis en las que la jurisprudencia relativa a la reserva de ley estatutaria exige el trámite de este tipo de ley ya que, a pesar de que las inhabilidades pueden constituir límites o restricciones a los derechos políticos, no afectan su núcleo esencial,</w:t>
      </w:r>
      <w:r w:rsidRPr="00EC0866">
        <w:rPr>
          <w:sz w:val="20"/>
          <w:szCs w:val="20"/>
          <w:shd w:val="clear" w:color="auto" w:fill="FFFFFF"/>
        </w:rPr>
        <w:t xml:space="preserve"> componentes intangibles o su estructura. En efecto, como quedó precisado en la presente decisión, los derechos políticos son por esencia limitables por el legislador nacional, el que, en desarrollo del sistema y régimen político de cada Estado, legítimame</w:t>
      </w:r>
      <w:r w:rsidRPr="00EC0866">
        <w:rPr>
          <w:sz w:val="20"/>
          <w:szCs w:val="20"/>
          <w:shd w:val="clear" w:color="auto" w:fill="FFFFFF"/>
        </w:rPr>
        <w:t>nte establece las condiciones, calidades o restricciones para el ejercicio de los derechos políticos a elegir, ser elegido o ejercer funciones públicas. Esto explica que no se trata de afectaciones excepcionales al derecho, cuya intensidad o impacto impliq</w:t>
      </w:r>
      <w:r w:rsidRPr="00EC0866">
        <w:rPr>
          <w:sz w:val="20"/>
          <w:szCs w:val="20"/>
          <w:shd w:val="clear" w:color="auto" w:fill="FFFFFF"/>
        </w:rPr>
        <w:t>ue el trámite del procedimiento legislativo reforzado propio de una ley estatutaria (…)”.</w:t>
      </w:r>
      <w:r w:rsidRPr="00EC0866">
        <w:rPr>
          <w:sz w:val="20"/>
          <w:szCs w:val="20"/>
          <w:lang w:val="es-ES"/>
        </w:rPr>
        <w:t xml:space="preserve"> </w:t>
      </w:r>
    </w:p>
  </w:footnote>
  <w:footnote w:id="67">
    <w:p w:rsidR="00441548" w:rsidRPr="00EC0866" w:rsidRDefault="00F255C4" w:rsidP="008C595D">
      <w:pPr>
        <w:pStyle w:val="predeterminado"/>
        <w:shd w:val="clear" w:color="auto" w:fill="FFFFFF"/>
        <w:spacing w:before="0" w:beforeAutospacing="0" w:after="0" w:afterAutospacing="0"/>
        <w:ind w:right="-234"/>
        <w:jc w:val="both"/>
        <w:rPr>
          <w:sz w:val="20"/>
          <w:szCs w:val="20"/>
        </w:rPr>
      </w:pPr>
      <w:r w:rsidRPr="00EC0866">
        <w:rPr>
          <w:rStyle w:val="Refdenotaalpie"/>
          <w:sz w:val="20"/>
          <w:szCs w:val="20"/>
        </w:rPr>
        <w:footnoteRef/>
      </w:r>
      <w:r w:rsidRPr="00EC0866">
        <w:rPr>
          <w:sz w:val="20"/>
          <w:szCs w:val="20"/>
        </w:rPr>
        <w:t xml:space="preserve"> </w:t>
      </w:r>
      <w:r w:rsidRPr="00EC0866">
        <w:rPr>
          <w:sz w:val="20"/>
          <w:szCs w:val="20"/>
          <w:lang w:val="es-ES"/>
        </w:rPr>
        <w:t>Sentencia C-233 de 2014.</w:t>
      </w:r>
      <w:r w:rsidRPr="00EC0866">
        <w:rPr>
          <w:sz w:val="20"/>
          <w:szCs w:val="20"/>
          <w:lang w:val="es-ES"/>
        </w:rPr>
        <w:t xml:space="preserve"> Señaló </w:t>
      </w:r>
      <w:r w:rsidRPr="00EC0866">
        <w:rPr>
          <w:sz w:val="20"/>
          <w:szCs w:val="20"/>
          <w:lang w:val="es-ES"/>
        </w:rPr>
        <w:t xml:space="preserve">la Corte: </w:t>
      </w:r>
      <w:r w:rsidRPr="00EC0866">
        <w:rPr>
          <w:sz w:val="20"/>
          <w:szCs w:val="20"/>
          <w:lang w:val="es-ES"/>
        </w:rPr>
        <w:t>“</w:t>
      </w:r>
      <w:r w:rsidRPr="00EC0866">
        <w:rPr>
          <w:sz w:val="20"/>
          <w:szCs w:val="20"/>
        </w:rPr>
        <w:t xml:space="preserve">Desde este punto de vista no se aprecia razón alguna para que este contenido normativo haya debido ser regulado por una </w:t>
      </w:r>
      <w:r w:rsidRPr="00EC0866">
        <w:rPr>
          <w:sz w:val="20"/>
          <w:szCs w:val="20"/>
        </w:rPr>
        <w:t>ley estatutaria, por cuanto: i) No está determinando un límite para el derecho a la vida; ii) No está determinando cuándo debe considerarse que un ser humano ha muerto; iii) No asigna al médico obligación alguna de las anteriores situaciones; iv) El relevo</w:t>
      </w:r>
      <w:r w:rsidRPr="00EC0866">
        <w:rPr>
          <w:sz w:val="20"/>
          <w:szCs w:val="20"/>
        </w:rPr>
        <w:t xml:space="preserve"> de la obligación de curar se da con base en un presupuesto de actuación: el diagnóstico de muerte cerebral; y v)   Aunque implícito en la anterior conclusión, el médico no decide nada respecto de alguien que se considera vivo o en un estado de inconscienc</w:t>
      </w:r>
      <w:r w:rsidRPr="00EC0866">
        <w:rPr>
          <w:sz w:val="20"/>
          <w:szCs w:val="20"/>
        </w:rPr>
        <w:t>ia reversible”.</w:t>
      </w:r>
    </w:p>
  </w:footnote>
  <w:footnote w:id="68">
    <w:p w:rsidR="00441548" w:rsidRPr="00EC0866" w:rsidRDefault="00F255C4" w:rsidP="008C595D">
      <w:pPr>
        <w:shd w:val="clear" w:color="auto" w:fill="FFFFFF"/>
        <w:spacing w:after="0" w:line="240" w:lineRule="auto"/>
        <w:ind w:right="-234"/>
        <w:jc w:val="both"/>
        <w:rPr>
          <w:rFonts w:ascii="Times New Roman" w:eastAsia="Times New Roman" w:hAnsi="Times New Roman" w:cs="Times New Roman"/>
          <w:sz w:val="20"/>
          <w:szCs w:val="20"/>
        </w:rPr>
      </w:pPr>
      <w:r w:rsidRPr="00EC0866">
        <w:rPr>
          <w:rStyle w:val="Refdenotaalpie"/>
          <w:rFonts w:ascii="Times New Roman" w:hAnsi="Times New Roman" w:cs="Times New Roman"/>
          <w:sz w:val="20"/>
          <w:szCs w:val="20"/>
        </w:rPr>
        <w:footnoteRef/>
      </w:r>
      <w:r w:rsidRPr="00EC0866">
        <w:rPr>
          <w:rFonts w:ascii="Times New Roman" w:hAnsi="Times New Roman" w:cs="Times New Roman"/>
          <w:sz w:val="20"/>
          <w:szCs w:val="20"/>
        </w:rPr>
        <w:t xml:space="preserve"> Sentencia C-319 de 2006.</w:t>
      </w:r>
      <w:r w:rsidRPr="00EC0866">
        <w:rPr>
          <w:rFonts w:ascii="Times New Roman" w:hAnsi="Times New Roman" w:cs="Times New Roman"/>
          <w:sz w:val="20"/>
          <w:szCs w:val="20"/>
        </w:rPr>
        <w:t xml:space="preserve"> Estableció en esa oportunidad: “</w:t>
      </w:r>
      <w:r w:rsidRPr="00EC0866">
        <w:rPr>
          <w:rFonts w:ascii="Times New Roman" w:eastAsia="Times New Roman" w:hAnsi="Times New Roman" w:cs="Times New Roman"/>
          <w:sz w:val="20"/>
          <w:szCs w:val="20"/>
        </w:rPr>
        <w:t xml:space="preserve">Ninguno de los dos supuestos tiene lugar en este caso, en la medida en que el objeto de la Ley 975 de 2005, es el de establecer un marco jurídico para la realización de procesos de </w:t>
      </w:r>
      <w:r w:rsidRPr="00EC0866">
        <w:rPr>
          <w:rFonts w:ascii="Times New Roman" w:eastAsia="Times New Roman" w:hAnsi="Times New Roman" w:cs="Times New Roman"/>
          <w:sz w:val="20"/>
          <w:szCs w:val="20"/>
        </w:rPr>
        <w:t>paz y mecanismos de reconciliación con los grupos armados organizados al margen de la ley, lo cual incluye entre varios aspectos, un procedimiento de investigación y juzgamiento, sanciones y la regulación de los derechos de las víctimas y deberes de los vi</w:t>
      </w:r>
      <w:r w:rsidRPr="00EC0866">
        <w:rPr>
          <w:rFonts w:ascii="Times New Roman" w:eastAsia="Times New Roman" w:hAnsi="Times New Roman" w:cs="Times New Roman"/>
          <w:sz w:val="20"/>
          <w:szCs w:val="20"/>
        </w:rPr>
        <w:t>ctimarios. // Si bien es claro que los derechos de las víctimas son la concreción de los derechos fundamentales de acceso a la justicia y debido proceso, -en cuanto además de la reparación del daño, la víctima tiene el derecho al establecimiento de la verd</w:t>
      </w:r>
      <w:r w:rsidRPr="00EC0866">
        <w:rPr>
          <w:rFonts w:ascii="Times New Roman" w:eastAsia="Times New Roman" w:hAnsi="Times New Roman" w:cs="Times New Roman"/>
          <w:sz w:val="20"/>
          <w:szCs w:val="20"/>
        </w:rPr>
        <w:t>ad-, la Corte pone de presente que la Ley 975 de 2005 no tiene por objeto disponer del contenido esencial de tales derechos, ni regularlos de manera íntegra, estructural o completa”.</w:t>
      </w:r>
    </w:p>
  </w:footnote>
  <w:footnote w:id="69">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Sentencia C-902 de 2011. </w:t>
      </w:r>
      <w:r w:rsidRPr="00EC0866">
        <w:rPr>
          <w:sz w:val="20"/>
          <w:szCs w:val="20"/>
        </w:rPr>
        <w:t>Precisó la Corte que “</w:t>
      </w:r>
      <w:r w:rsidRPr="00EC0866">
        <w:rPr>
          <w:sz w:val="20"/>
          <w:szCs w:val="20"/>
          <w:shd w:val="clear" w:color="auto" w:fill="FFFFFF"/>
        </w:rPr>
        <w:t xml:space="preserve">la Ley 1425 de 2010, al </w:t>
      </w:r>
      <w:r w:rsidRPr="00EC0866">
        <w:rPr>
          <w:sz w:val="20"/>
          <w:szCs w:val="20"/>
          <w:shd w:val="clear" w:color="auto" w:fill="FFFFFF"/>
        </w:rPr>
        <w:t xml:space="preserve">eliminar los incentivos económicos de las acciones populares, no reguló aspectos estructurales del ejercicio de derechos fundamentales o de los mecanismos para su protección. Como se ha visto, tampoco restringió el ejercicio de las acciones populares para </w:t>
      </w:r>
      <w:r w:rsidRPr="00EC0866">
        <w:rPr>
          <w:sz w:val="20"/>
          <w:szCs w:val="20"/>
          <w:shd w:val="clear" w:color="auto" w:fill="FFFFFF"/>
        </w:rPr>
        <w:t>la defensa de derechos e intereses colectivos”.</w:t>
      </w:r>
    </w:p>
  </w:footnote>
  <w:footnote w:id="70">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Sentencia C-981 de 2005.</w:t>
      </w:r>
      <w:r w:rsidRPr="00EC0866">
        <w:rPr>
          <w:sz w:val="20"/>
          <w:szCs w:val="20"/>
          <w:lang w:val="es-ES"/>
        </w:rPr>
        <w:t xml:space="preserve"> Estableció  la Corte: “</w:t>
      </w:r>
      <w:r w:rsidRPr="00EC0866">
        <w:rPr>
          <w:sz w:val="20"/>
          <w:szCs w:val="20"/>
          <w:shd w:val="clear" w:color="auto" w:fill="FFFFFF"/>
        </w:rPr>
        <w:t xml:space="preserve">En efecto, ninguna de las disposiciones acusadas se orienta a configurar los elementos esenciales del derecho fundamental al habeas data que consagra el </w:t>
      </w:r>
      <w:r w:rsidRPr="00EC0866">
        <w:rPr>
          <w:sz w:val="20"/>
          <w:szCs w:val="20"/>
          <w:shd w:val="clear" w:color="auto" w:fill="FFFFFF"/>
        </w:rPr>
        <w:t>artículo 15 de la Constitución;  ni se trata de regulaciones orientadas a  crear bancos de datos, ni establecen condiciones de tiempo o límites para que la información o datos negativos de las personas sean removidos por caducidad, ni se orientan a impedir</w:t>
      </w:r>
      <w:r w:rsidRPr="00EC0866">
        <w:rPr>
          <w:sz w:val="20"/>
          <w:szCs w:val="20"/>
          <w:shd w:val="clear" w:color="auto" w:fill="FFFFFF"/>
        </w:rPr>
        <w:t xml:space="preserve"> el derecho de las personas de conocer, actualizar o rectificar los datos que sobre ellas obtenga la administración tributaria”.</w:t>
      </w:r>
    </w:p>
  </w:footnote>
  <w:footnote w:id="71">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Sentencia C-223 de 2017.</w:t>
      </w:r>
      <w:r w:rsidRPr="00EC0866">
        <w:rPr>
          <w:sz w:val="20"/>
          <w:szCs w:val="20"/>
          <w:lang w:val="es-ES"/>
        </w:rPr>
        <w:t xml:space="preserve"> Señaló que “</w:t>
      </w:r>
      <w:r w:rsidRPr="00EC0866">
        <w:rPr>
          <w:sz w:val="20"/>
          <w:szCs w:val="20"/>
          <w:shd w:val="clear" w:color="auto" w:fill="FFFFFF"/>
          <w:lang w:val="es-ES_tradnl"/>
        </w:rPr>
        <w:t>que la normatividad dispuesta entre los artículos 47 a 75 de la Ley 1801 de 2016, </w:t>
      </w:r>
      <w:r w:rsidRPr="00EC0866">
        <w:rPr>
          <w:sz w:val="20"/>
          <w:szCs w:val="20"/>
          <w:bdr w:val="none" w:sz="0" w:space="0" w:color="auto" w:frame="1"/>
          <w:shd w:val="clear" w:color="auto" w:fill="FFFFFF"/>
          <w:lang w:val="es-ES"/>
        </w:rPr>
        <w:t>c</w:t>
      </w:r>
      <w:r w:rsidRPr="00EC0866">
        <w:rPr>
          <w:sz w:val="20"/>
          <w:szCs w:val="20"/>
          <w:shd w:val="clear" w:color="auto" w:fill="FFFFFF"/>
          <w:lang w:val="es-ES"/>
        </w:rPr>
        <w:t>onsis</w:t>
      </w:r>
      <w:r w:rsidRPr="00EC0866">
        <w:rPr>
          <w:sz w:val="20"/>
          <w:szCs w:val="20"/>
          <w:shd w:val="clear" w:color="auto" w:fill="FFFFFF"/>
          <w:lang w:val="es-ES"/>
        </w:rPr>
        <w:t>te en una regulación integral de los derechos fundamentales de reunión y manifestación pública, con incidencia sobre los derechos interrelacionados y concurrentes de libertad de expresión y los derechos políticos, que versa </w:t>
      </w:r>
      <w:r w:rsidRPr="00EC0866">
        <w:rPr>
          <w:sz w:val="20"/>
          <w:szCs w:val="20"/>
          <w:bdr w:val="none" w:sz="0" w:space="0" w:color="auto" w:frame="1"/>
          <w:shd w:val="clear" w:color="auto" w:fill="FFFFFF"/>
          <w:lang w:val="es-MX"/>
        </w:rPr>
        <w:t>sobre el núcleo esencial, los el</w:t>
      </w:r>
      <w:r w:rsidRPr="00EC0866">
        <w:rPr>
          <w:sz w:val="20"/>
          <w:szCs w:val="20"/>
          <w:bdr w:val="none" w:sz="0" w:space="0" w:color="auto" w:frame="1"/>
          <w:shd w:val="clear" w:color="auto" w:fill="FFFFFF"/>
          <w:lang w:val="es-MX"/>
        </w:rPr>
        <w:t>ementos estructurales y los principios básicos de esos mismos derechos, en el sentido de haber consagrado </w:t>
      </w:r>
      <w:r w:rsidRPr="00EC0866">
        <w:rPr>
          <w:sz w:val="20"/>
          <w:szCs w:val="20"/>
          <w:bdr w:val="none" w:sz="0" w:space="0" w:color="auto" w:frame="1"/>
          <w:shd w:val="clear" w:color="auto" w:fill="FFFFFF"/>
          <w:lang w:val="es-ES"/>
        </w:rPr>
        <w:t>límites, restricciones, excepciones y prohibiciones que afecten la estructura y los principios de tales derechos, lo que obliga a que esa regulación d</w:t>
      </w:r>
      <w:r w:rsidRPr="00EC0866">
        <w:rPr>
          <w:sz w:val="20"/>
          <w:szCs w:val="20"/>
          <w:bdr w:val="none" w:sz="0" w:space="0" w:color="auto" w:frame="1"/>
          <w:shd w:val="clear" w:color="auto" w:fill="FFFFFF"/>
          <w:lang w:val="es-ES"/>
        </w:rPr>
        <w:t>eba ser expedida por los procedimientos de la ley estatutaria y no por los de la ley ordinaria (…)”. </w:t>
      </w:r>
    </w:p>
  </w:footnote>
  <w:footnote w:id="72">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Sentencia C-870 de 2014.</w:t>
      </w:r>
      <w:r w:rsidRPr="00EC0866">
        <w:rPr>
          <w:sz w:val="20"/>
          <w:szCs w:val="20"/>
          <w:lang w:val="es-ES"/>
        </w:rPr>
        <w:t xml:space="preserve"> Señaló la sentencia: “</w:t>
      </w:r>
      <w:r w:rsidRPr="00EC0866">
        <w:rPr>
          <w:sz w:val="20"/>
          <w:szCs w:val="20"/>
          <w:shd w:val="clear" w:color="auto" w:fill="FFFFFF"/>
        </w:rPr>
        <w:t>esta Corporación encuentra que los preceptos demandados, sí están sujetos a la reserva de ley estatutaria</w:t>
      </w:r>
      <w:r w:rsidRPr="00EC0866">
        <w:rPr>
          <w:sz w:val="20"/>
          <w:szCs w:val="20"/>
          <w:shd w:val="clear" w:color="auto" w:fill="FFFFFF"/>
        </w:rPr>
        <w:t>, en la medida en que respecto de ellos se predican los criterios (iii) y (iv) identificados por la jurisprudencia de la Corte, para exigir excepcionalmente el uso de esta tipología especial de ley. En efecto, por una parte, se observa que los preceptos de</w:t>
      </w:r>
      <w:r w:rsidRPr="00EC0866">
        <w:rPr>
          <w:sz w:val="20"/>
          <w:szCs w:val="20"/>
          <w:shd w:val="clear" w:color="auto" w:fill="FFFFFF"/>
        </w:rPr>
        <w:t>mandados de la Ley 1695 de 2013 constituyen </w:t>
      </w:r>
      <w:r w:rsidRPr="00EC0866">
        <w:rPr>
          <w:i/>
          <w:iCs/>
          <w:sz w:val="20"/>
          <w:szCs w:val="20"/>
          <w:shd w:val="clear" w:color="auto" w:fill="FFFFFF"/>
        </w:rPr>
        <w:t>un desarrollo legal que impacta de manera directa en la acción de tutela como mecanismo de protección y defensa de los derechos fundamentales</w:t>
      </w:r>
      <w:r w:rsidRPr="00EC0866">
        <w:rPr>
          <w:sz w:val="20"/>
          <w:szCs w:val="20"/>
          <w:shd w:val="clear" w:color="auto" w:fill="FFFFFF"/>
        </w:rPr>
        <w:t xml:space="preserve">; y por la otra, que pese a consagrar aspectos procesales del IIF, su </w:t>
      </w:r>
      <w:r w:rsidRPr="00EC0866">
        <w:rPr>
          <w:sz w:val="20"/>
          <w:szCs w:val="20"/>
          <w:shd w:val="clear" w:color="auto" w:fill="FFFFFF"/>
        </w:rPr>
        <w:t>alcance tiene la potencialidad de incidir </w:t>
      </w:r>
      <w:r w:rsidRPr="00EC0866">
        <w:rPr>
          <w:i/>
          <w:iCs/>
          <w:sz w:val="20"/>
          <w:szCs w:val="20"/>
          <w:shd w:val="clear" w:color="auto" w:fill="FFFFFF"/>
        </w:rPr>
        <w:t>en elementos básicos del funcionamiento y estructura del juicio de amparo</w:t>
      </w:r>
      <w:r w:rsidRPr="00EC0866">
        <w:rPr>
          <w:sz w:val="20"/>
          <w:szCs w:val="20"/>
          <w:shd w:val="clear" w:color="auto" w:fill="FFFFFF"/>
        </w:rPr>
        <w:t>, en particular en lo que refiere al régimen de producción de efectos”.</w:t>
      </w:r>
    </w:p>
  </w:footnote>
  <w:footnote w:id="73">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Sentencia C-540 de 2012.</w:t>
      </w:r>
      <w:r w:rsidRPr="00EC0866">
        <w:rPr>
          <w:sz w:val="20"/>
          <w:szCs w:val="20"/>
          <w:lang w:val="es-ES"/>
        </w:rPr>
        <w:t xml:space="preserve"> Dijo esta Corporación: “</w:t>
      </w:r>
      <w:r w:rsidRPr="00EC0866">
        <w:rPr>
          <w:sz w:val="20"/>
          <w:szCs w:val="20"/>
          <w:shd w:val="clear" w:color="auto" w:fill="FFFFFF"/>
        </w:rPr>
        <w:t xml:space="preserve">(…) </w:t>
      </w:r>
      <w:r w:rsidRPr="00EC0866">
        <w:rPr>
          <w:sz w:val="20"/>
          <w:szCs w:val="20"/>
          <w:shd w:val="clear" w:color="auto" w:fill="FFFFFF"/>
        </w:rPr>
        <w:t>el contenido d</w:t>
      </w:r>
      <w:r w:rsidRPr="00EC0866">
        <w:rPr>
          <w:sz w:val="20"/>
          <w:szCs w:val="20"/>
          <w:shd w:val="clear" w:color="auto" w:fill="FFFFFF"/>
        </w:rPr>
        <w:t>el proyecto de ley revisado que concierne al desarrollo de actividades de inteligencia y contrainteligencia, envuelve indubitablemente regulaciones que comprometen elementos estructurales y básicos de los derechos fundamentales como la intimidad, el habeas</w:t>
      </w:r>
      <w:r w:rsidRPr="00EC0866">
        <w:rPr>
          <w:sz w:val="20"/>
          <w:szCs w:val="20"/>
          <w:shd w:val="clear" w:color="auto" w:fill="FFFFFF"/>
        </w:rPr>
        <w:t xml:space="preserve"> data, el buen nombre, el acceso a la información, el debido proceso y el principio de legalidad, lo cual explica que su aprobación se cumpla bajo la reserva de ley estatutaria (art. 152, lit. a) superior). P</w:t>
      </w:r>
      <w:r w:rsidRPr="00EC0866">
        <w:rPr>
          <w:sz w:val="20"/>
          <w:szCs w:val="20"/>
          <w:shd w:val="clear" w:color="auto" w:fill="FFFFFF"/>
          <w:lang w:val="es-ES_tradnl"/>
        </w:rPr>
        <w:t>uede afirmarse que las disposiciones del proyect</w:t>
      </w:r>
      <w:r w:rsidRPr="00EC0866">
        <w:rPr>
          <w:sz w:val="20"/>
          <w:szCs w:val="20"/>
          <w:shd w:val="clear" w:color="auto" w:fill="FFFFFF"/>
          <w:lang w:val="es-ES_tradnl"/>
        </w:rPr>
        <w:t>o de ley estatutaria sistematizan dentro de un cuerpo legal materias que atañen y resultan próximas al contenido esencial de los derechos fundamentales. Imponen limitaciones a su ejercicio y regulan aspectos principalísimos de estos derechos. Además, sus p</w:t>
      </w:r>
      <w:r w:rsidRPr="00EC0866">
        <w:rPr>
          <w:sz w:val="20"/>
          <w:szCs w:val="20"/>
          <w:shd w:val="clear" w:color="auto" w:fill="FFFFFF"/>
          <w:lang w:val="es-ES_tradnl"/>
        </w:rPr>
        <w:t>receptos en principio buscan estatuir un sistema normativo integral”.</w:t>
      </w:r>
    </w:p>
  </w:footnote>
  <w:footnote w:id="74">
    <w:p w:rsidR="00441548" w:rsidRPr="00EC0866" w:rsidRDefault="00F255C4" w:rsidP="008C595D">
      <w:pPr>
        <w:shd w:val="clear" w:color="auto" w:fill="FFFFFF"/>
        <w:spacing w:after="0" w:line="240" w:lineRule="auto"/>
        <w:ind w:right="-234"/>
        <w:jc w:val="both"/>
        <w:rPr>
          <w:rFonts w:ascii="Times New Roman" w:eastAsia="Times New Roman" w:hAnsi="Times New Roman" w:cs="Times New Roman"/>
          <w:sz w:val="20"/>
          <w:szCs w:val="20"/>
        </w:rPr>
      </w:pPr>
      <w:r w:rsidRPr="00EC0866">
        <w:rPr>
          <w:rStyle w:val="Refdenotaalpie"/>
          <w:rFonts w:ascii="Times New Roman" w:hAnsi="Times New Roman" w:cs="Times New Roman"/>
          <w:sz w:val="20"/>
          <w:szCs w:val="20"/>
        </w:rPr>
        <w:footnoteRef/>
      </w:r>
      <w:r w:rsidRPr="00EC0866">
        <w:rPr>
          <w:rFonts w:ascii="Times New Roman" w:hAnsi="Times New Roman" w:cs="Times New Roman"/>
          <w:sz w:val="20"/>
          <w:szCs w:val="20"/>
        </w:rPr>
        <w:t xml:space="preserve"> </w:t>
      </w:r>
      <w:r w:rsidRPr="00EC0866">
        <w:rPr>
          <w:rFonts w:ascii="Times New Roman" w:hAnsi="Times New Roman" w:cs="Times New Roman"/>
          <w:sz w:val="20"/>
          <w:szCs w:val="20"/>
          <w:lang w:val="es-ES"/>
        </w:rPr>
        <w:t>Sentencia C-818 de 2011.</w:t>
      </w:r>
      <w:r w:rsidRPr="00EC0866">
        <w:rPr>
          <w:rFonts w:ascii="Times New Roman" w:hAnsi="Times New Roman" w:cs="Times New Roman"/>
          <w:sz w:val="20"/>
          <w:szCs w:val="20"/>
          <w:lang w:val="es-ES"/>
        </w:rPr>
        <w:t xml:space="preserve"> Indicó la Sala: “</w:t>
      </w:r>
      <w:r w:rsidRPr="00EC0866">
        <w:rPr>
          <w:rFonts w:ascii="Times New Roman" w:eastAsia="Times New Roman" w:hAnsi="Times New Roman" w:cs="Times New Roman"/>
          <w:sz w:val="20"/>
          <w:szCs w:val="20"/>
        </w:rPr>
        <w:t xml:space="preserve">De todo lo anterior resulta que esta situación encuadra en varios de los criterios que de conformidad con la jurisprudencia de esta </w:t>
      </w:r>
      <w:r w:rsidRPr="00EC0866">
        <w:rPr>
          <w:rFonts w:ascii="Times New Roman" w:eastAsia="Times New Roman" w:hAnsi="Times New Roman" w:cs="Times New Roman"/>
          <w:sz w:val="20"/>
          <w:szCs w:val="20"/>
        </w:rPr>
        <w:t>Corporación hacen necesaria la regulación de un determinado tema mediante ley estatutaria. Efectivamente </w:t>
      </w:r>
      <w:r w:rsidRPr="00EC0866">
        <w:rPr>
          <w:rFonts w:ascii="Times New Roman" w:eastAsia="Times New Roman" w:hAnsi="Times New Roman" w:cs="Times New Roman"/>
          <w:b/>
          <w:bCs/>
          <w:sz w:val="20"/>
          <w:szCs w:val="20"/>
        </w:rPr>
        <w:t>(i)</w:t>
      </w:r>
      <w:r w:rsidRPr="00EC0866">
        <w:rPr>
          <w:rFonts w:ascii="Times New Roman" w:eastAsia="Times New Roman" w:hAnsi="Times New Roman" w:cs="Times New Roman"/>
          <w:sz w:val="20"/>
          <w:szCs w:val="20"/>
        </w:rPr>
        <w:t> cuando menos, se trata de normas que se refieren a contenidos muy cercanos a los elementos estructurales esenciales del derecho de petición y </w:t>
      </w:r>
      <w:r w:rsidRPr="00EC0866">
        <w:rPr>
          <w:rFonts w:ascii="Times New Roman" w:eastAsia="Times New Roman" w:hAnsi="Times New Roman" w:cs="Times New Roman"/>
          <w:b/>
          <w:bCs/>
          <w:sz w:val="20"/>
          <w:szCs w:val="20"/>
        </w:rPr>
        <w:t>(ii)</w:t>
      </w:r>
      <w:r w:rsidRPr="00EC0866">
        <w:rPr>
          <w:rFonts w:ascii="Times New Roman" w:eastAsia="Times New Roman" w:hAnsi="Times New Roman" w:cs="Times New Roman"/>
          <w:sz w:val="20"/>
          <w:szCs w:val="20"/>
        </w:rPr>
        <w:t> </w:t>
      </w:r>
      <w:r w:rsidRPr="00EC0866">
        <w:rPr>
          <w:rFonts w:ascii="Times New Roman" w:eastAsia="Times New Roman" w:hAnsi="Times New Roman" w:cs="Times New Roman"/>
          <w:sz w:val="20"/>
          <w:szCs w:val="20"/>
        </w:rPr>
        <w:t>los artículos 13 a 33 contienen un desarrollo integral y sistemático del derecho fundamental de petición, y por tanto, todas las materias tratadas, sea cual fuere su contenido específico, han debido ser objeto de una ley estatutaria”.</w:t>
      </w:r>
    </w:p>
  </w:footnote>
  <w:footnote w:id="75">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Sentencia C-1011 de</w:t>
      </w:r>
      <w:r w:rsidRPr="00EC0866">
        <w:rPr>
          <w:sz w:val="20"/>
          <w:szCs w:val="20"/>
          <w:lang w:val="es-ES"/>
        </w:rPr>
        <w:t xml:space="preserve"> 2008.</w:t>
      </w:r>
      <w:r w:rsidRPr="00EC0866">
        <w:rPr>
          <w:sz w:val="20"/>
          <w:szCs w:val="20"/>
          <w:lang w:val="es-ES"/>
        </w:rPr>
        <w:t xml:space="preserve"> En esta providencia indicó la Corte: “</w:t>
      </w:r>
      <w:r w:rsidRPr="00EC0866">
        <w:rPr>
          <w:sz w:val="20"/>
          <w:szCs w:val="20"/>
          <w:shd w:val="clear" w:color="auto" w:fill="FFFFFF"/>
        </w:rPr>
        <w:t>Para el caso específico del hábeas data, esta Corporación se ha pronunciado en diversas ocasiones en el sentido que los asuntos relativos a </w:t>
      </w:r>
      <w:r w:rsidRPr="00EC0866">
        <w:rPr>
          <w:i/>
          <w:iCs/>
          <w:sz w:val="20"/>
          <w:szCs w:val="20"/>
          <w:shd w:val="clear" w:color="auto" w:fill="FFFFFF"/>
        </w:rPr>
        <w:t>(i) </w:t>
      </w:r>
      <w:r w:rsidRPr="00EC0866">
        <w:rPr>
          <w:sz w:val="20"/>
          <w:szCs w:val="20"/>
          <w:shd w:val="clear" w:color="auto" w:fill="FFFFFF"/>
        </w:rPr>
        <w:t xml:space="preserve">el ejercicio de las facultades de conocer, actualizar y rectificar </w:t>
      </w:r>
      <w:r w:rsidRPr="00EC0866">
        <w:rPr>
          <w:sz w:val="20"/>
          <w:szCs w:val="20"/>
          <w:shd w:val="clear" w:color="auto" w:fill="FFFFFF"/>
        </w:rPr>
        <w:t>la información personal contenida en una base de datos; y </w:t>
      </w:r>
      <w:r w:rsidRPr="00EC0866">
        <w:rPr>
          <w:i/>
          <w:iCs/>
          <w:sz w:val="20"/>
          <w:szCs w:val="20"/>
          <w:shd w:val="clear" w:color="auto" w:fill="FFFFFF"/>
        </w:rPr>
        <w:t>(ii) </w:t>
      </w:r>
      <w:r w:rsidRPr="00EC0866">
        <w:rPr>
          <w:sz w:val="20"/>
          <w:szCs w:val="20"/>
          <w:shd w:val="clear" w:color="auto" w:fill="FFFFFF"/>
        </w:rPr>
        <w:t>el establecimiento de términos de caducidad del dato financiero sobre incumplimiento en el pago, son materias relacionadas con el contenido esencial del derecho al hábeas data y, por ende, debe</w:t>
      </w:r>
      <w:r w:rsidRPr="00EC0866">
        <w:rPr>
          <w:sz w:val="20"/>
          <w:szCs w:val="20"/>
          <w:shd w:val="clear" w:color="auto" w:fill="FFFFFF"/>
        </w:rPr>
        <w:t>n ser reguladas a través de leyes estatutarias”.</w:t>
      </w:r>
    </w:p>
  </w:footnote>
  <w:footnote w:id="76">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Sentencias C-384 de 2000, C-729 de 2000 y C-687 de 2002.</w:t>
      </w:r>
      <w:r w:rsidRPr="00EC0866">
        <w:rPr>
          <w:sz w:val="20"/>
          <w:szCs w:val="20"/>
        </w:rPr>
        <w:t xml:space="preserve"> En la sentencia C-1011 de 2008 precisó la Corte: “</w:t>
      </w:r>
      <w:r w:rsidRPr="00EC0866">
        <w:rPr>
          <w:sz w:val="20"/>
          <w:szCs w:val="20"/>
          <w:shd w:val="clear" w:color="auto" w:fill="FFFFFF"/>
        </w:rPr>
        <w:t>Este precedente ha sido reiterado por la Corte en las sentencias C-729/00, C-687/02 y C-993/04.  E</w:t>
      </w:r>
      <w:r w:rsidRPr="00EC0866">
        <w:rPr>
          <w:sz w:val="20"/>
          <w:szCs w:val="20"/>
          <w:shd w:val="clear" w:color="auto" w:fill="FFFFFF"/>
        </w:rPr>
        <w:t xml:space="preserve">n todas estas sentencias, la Corte ha concluido que normas dirigidas a fijar términos de caducidad o condiciones para la exclusión de información financiera sobre incumplimiento hacen parte de la reserva de ley estatutaria, puesto que regulan el contenido </w:t>
      </w:r>
      <w:r w:rsidRPr="00EC0866">
        <w:rPr>
          <w:sz w:val="20"/>
          <w:szCs w:val="20"/>
          <w:shd w:val="clear" w:color="auto" w:fill="FFFFFF"/>
        </w:rPr>
        <w:t>esencial del derecho al hábeas data.  Ello en tanto regulaciones de este tipo tenían una relación inescindible con </w:t>
      </w:r>
      <w:r w:rsidRPr="00EC0866">
        <w:rPr>
          <w:i/>
          <w:iCs/>
          <w:sz w:val="20"/>
          <w:szCs w:val="20"/>
          <w:shd w:val="clear" w:color="auto" w:fill="FFFFFF"/>
        </w:rPr>
        <w:t>(i) </w:t>
      </w:r>
      <w:r w:rsidRPr="00EC0866">
        <w:rPr>
          <w:sz w:val="20"/>
          <w:szCs w:val="20"/>
          <w:shd w:val="clear" w:color="auto" w:fill="FFFFFF"/>
        </w:rPr>
        <w:t>el ejercicio de las facultades de conocimiento, actualización y rectificación de la información personal contenida en bases de datos; </w:t>
      </w:r>
      <w:r w:rsidRPr="00EC0866">
        <w:rPr>
          <w:i/>
          <w:iCs/>
          <w:sz w:val="20"/>
          <w:szCs w:val="20"/>
          <w:shd w:val="clear" w:color="auto" w:fill="FFFFFF"/>
        </w:rPr>
        <w:t>(ii) </w:t>
      </w:r>
      <w:r w:rsidRPr="00EC0866">
        <w:rPr>
          <w:sz w:val="20"/>
          <w:szCs w:val="20"/>
          <w:shd w:val="clear" w:color="auto" w:fill="FFFFFF"/>
        </w:rPr>
        <w:t>el ejercicio del derecho a la información, propio de la facultad de recolectar, tratar y circular esos mismos datos personales; competencias estas previstas en el artículo 15 C.P</w:t>
      </w:r>
      <w:r w:rsidRPr="00EC0866">
        <w:rPr>
          <w:sz w:val="20"/>
          <w:szCs w:val="20"/>
        </w:rPr>
        <w:t xml:space="preserve"> (…)”.</w:t>
      </w:r>
      <w:r w:rsidRPr="00EC0866">
        <w:rPr>
          <w:sz w:val="20"/>
          <w:szCs w:val="20"/>
          <w:shd w:val="clear" w:color="auto" w:fill="FFFFFF"/>
        </w:rPr>
        <w:t> </w:t>
      </w:r>
      <w:r w:rsidRPr="00EC0866">
        <w:rPr>
          <w:sz w:val="20"/>
          <w:szCs w:val="20"/>
        </w:rPr>
        <w:t xml:space="preserve"> </w:t>
      </w:r>
    </w:p>
  </w:footnote>
  <w:footnote w:id="77">
    <w:p w:rsidR="00441548" w:rsidRPr="00EC0866"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Sentencia C-620 de 2001.</w:t>
      </w:r>
      <w:r w:rsidRPr="00EC0866">
        <w:rPr>
          <w:sz w:val="20"/>
          <w:szCs w:val="20"/>
        </w:rPr>
        <w:t xml:space="preserve"> Destacó este tribunal: “</w:t>
      </w:r>
      <w:r w:rsidRPr="00EC0866">
        <w:rPr>
          <w:sz w:val="20"/>
          <w:szCs w:val="20"/>
          <w:shd w:val="clear" w:color="auto" w:fill="FFFFFF"/>
        </w:rPr>
        <w:t>En este orden</w:t>
      </w:r>
      <w:r w:rsidRPr="00EC0866">
        <w:rPr>
          <w:sz w:val="20"/>
          <w:szCs w:val="20"/>
          <w:shd w:val="clear" w:color="auto" w:fill="FFFFFF"/>
        </w:rPr>
        <w:t xml:space="preserve"> de ideas, la Corte considera que al proceder el legislador a regular en forma íntegra y completa el derecho fundamental de </w:t>
      </w:r>
      <w:r w:rsidRPr="00EC0866">
        <w:rPr>
          <w:i/>
          <w:iCs/>
          <w:sz w:val="20"/>
          <w:szCs w:val="20"/>
          <w:shd w:val="clear" w:color="auto" w:fill="FFFFFF"/>
        </w:rPr>
        <w:t>habeas corpus</w:t>
      </w:r>
      <w:r w:rsidRPr="00EC0866">
        <w:rPr>
          <w:sz w:val="20"/>
          <w:szCs w:val="20"/>
          <w:shd w:val="clear" w:color="auto" w:fill="FFFFFF"/>
        </w:rPr>
        <w:t> y los mecanismos y procedimientos para su protección por medio de una ley ordinaria, además de tocar aspectos atinente</w:t>
      </w:r>
      <w:r w:rsidRPr="00EC0866">
        <w:rPr>
          <w:sz w:val="20"/>
          <w:szCs w:val="20"/>
          <w:shd w:val="clear" w:color="auto" w:fill="FFFFFF"/>
        </w:rPr>
        <w:t>s a su núcleo esencial, infringió abiertamente el artículo 152-a) de la Carta, que exige reserva de ley estatutaria, lo que motiva el retiro del ordenamiento positivo de los artículos 382 a 389 de la ley 600/00, como ya se ha anotado”.</w:t>
      </w:r>
      <w:r w:rsidRPr="00EC0866">
        <w:rPr>
          <w:sz w:val="20"/>
          <w:szCs w:val="20"/>
        </w:rPr>
        <w:t xml:space="preserve"> </w:t>
      </w:r>
    </w:p>
  </w:footnote>
  <w:footnote w:id="78">
    <w:p w:rsidR="00441548" w:rsidRPr="00474CD4" w:rsidRDefault="00F255C4" w:rsidP="008C595D">
      <w:pPr>
        <w:pStyle w:val="Textonotapie"/>
        <w:ind w:right="-234"/>
        <w:jc w:val="both"/>
        <w:rPr>
          <w:sz w:val="20"/>
          <w:szCs w:val="20"/>
          <w:lang w:val="es-ES"/>
        </w:rPr>
      </w:pPr>
      <w:r w:rsidRPr="00EC0866">
        <w:rPr>
          <w:rStyle w:val="Refdenotaalpie"/>
          <w:sz w:val="20"/>
          <w:szCs w:val="20"/>
        </w:rPr>
        <w:footnoteRef/>
      </w:r>
      <w:r w:rsidRPr="00EC0866">
        <w:rPr>
          <w:sz w:val="20"/>
          <w:szCs w:val="20"/>
        </w:rPr>
        <w:t xml:space="preserve"> </w:t>
      </w:r>
      <w:r w:rsidRPr="00EC0866">
        <w:rPr>
          <w:sz w:val="20"/>
          <w:szCs w:val="20"/>
          <w:lang w:val="es-ES"/>
        </w:rPr>
        <w:t>Sentencia C-567 d</w:t>
      </w:r>
      <w:r w:rsidRPr="00EC0866">
        <w:rPr>
          <w:sz w:val="20"/>
          <w:szCs w:val="20"/>
          <w:lang w:val="es-ES"/>
        </w:rPr>
        <w:t>e 1997.</w:t>
      </w:r>
      <w:r w:rsidRPr="00EC0866">
        <w:rPr>
          <w:sz w:val="20"/>
          <w:szCs w:val="20"/>
          <w:lang w:val="es-ES"/>
        </w:rPr>
        <w:t xml:space="preserve"> Precisó en esa oportunidad: “</w:t>
      </w:r>
      <w:r w:rsidRPr="00EC0866">
        <w:rPr>
          <w:sz w:val="20"/>
          <w:szCs w:val="20"/>
          <w:shd w:val="clear" w:color="auto" w:fill="FFFFFF"/>
        </w:rPr>
        <w:t>Corresponde a la ley estatutaria que regule el derecho fundamental a la autodeterminación informativa, ocuparse específicamente de determinar la forma y procedimientos conforme a los cuales la administración puede proce</w:t>
      </w:r>
      <w:r w:rsidRPr="00EC0866">
        <w:rPr>
          <w:sz w:val="20"/>
          <w:szCs w:val="20"/>
          <w:shd w:val="clear" w:color="auto" w:fill="FFFFFF"/>
        </w:rPr>
        <w:t>der a la recolección, tratamiento y circulación de datos personales, de modo que se respete la libertad y demás garantías consagradas en la Constitución (C.P. art. 15). Al margen de la respectiva ley estatutaria - general o especial -, no podría la adminis</w:t>
      </w:r>
      <w:r w:rsidRPr="00EC0866">
        <w:rPr>
          <w:sz w:val="20"/>
          <w:szCs w:val="20"/>
          <w:shd w:val="clear" w:color="auto" w:fill="FFFFFF"/>
        </w:rPr>
        <w:t xml:space="preserve">tración dar vida a un banco de datos personales destinados a la circulación ya sea dentro de la órbita pública o por fuera de ella. Según la Constitución, la recolección de datos, su tratamiento y, particularmente, su circulación, constituyen acciones que </w:t>
      </w:r>
      <w:r w:rsidRPr="00EC0866">
        <w:rPr>
          <w:sz w:val="20"/>
          <w:szCs w:val="20"/>
          <w:shd w:val="clear" w:color="auto" w:fill="FFFFFF"/>
        </w:rPr>
        <w:t>pueden afectar de manera profunda la libertad personal y, por consiguiente, están sujetas a reserva de ley estatutaria, por lo menos, en lo que atañe a la fijación de sus contornos esenciales”.</w:t>
      </w:r>
    </w:p>
  </w:footnote>
  <w:footnote w:id="79">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Gacetas des del Congreso 1097 de 2021 pp. 8 y 9 (Comisión Pr</w:t>
      </w:r>
      <w:r w:rsidRPr="00474CD4">
        <w:rPr>
          <w:sz w:val="20"/>
          <w:szCs w:val="20"/>
          <w:lang w:val="es-ES"/>
        </w:rPr>
        <w:t xml:space="preserve">imera de la Cámara de representantes); 1709 de 2021 pp.10 y 11 (Plenaria de la Cámara de Representantes); 1029 de 2022 pp. 1-8 (Comisión Primera del Senado de la República); y 1622 de 2022 pp. 1-3 (Plenaria del Senado de República).  </w:t>
      </w:r>
    </w:p>
  </w:footnote>
  <w:footnote w:id="80">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rPr>
        <w:t xml:space="preserve">Sentencia C-019 de </w:t>
      </w:r>
      <w:r w:rsidRPr="00474CD4">
        <w:rPr>
          <w:sz w:val="20"/>
          <w:szCs w:val="20"/>
        </w:rPr>
        <w:t>2004. La Corte indicó: “</w:t>
      </w:r>
      <w:r w:rsidRPr="00474CD4">
        <w:rPr>
          <w:sz w:val="20"/>
          <w:szCs w:val="20"/>
          <w:shd w:val="clear" w:color="auto" w:fill="FFFFFF"/>
          <w:lang w:eastAsia="en-US"/>
        </w:rPr>
        <w:t>Por ello mismo, pese a las restricciones propias de la relación laboral, actualmente, el derecho al descanso conviene entenderlo como la oportunidad que se le otorga al empleado para reparar sus fuerzas intelectuales y materiales, p</w:t>
      </w:r>
      <w:r w:rsidRPr="00474CD4">
        <w:rPr>
          <w:sz w:val="20"/>
          <w:szCs w:val="20"/>
          <w:shd w:val="clear" w:color="auto" w:fill="FFFFFF"/>
          <w:lang w:eastAsia="en-US"/>
        </w:rPr>
        <w:t>ara proteger su salud física y mental,</w:t>
      </w:r>
      <w:r w:rsidRPr="00474CD4">
        <w:rPr>
          <w:sz w:val="20"/>
          <w:szCs w:val="20"/>
          <w:lang w:eastAsia="en-US"/>
        </w:rPr>
        <w:t xml:space="preserve"> (…)</w:t>
      </w:r>
      <w:r w:rsidRPr="00474CD4">
        <w:rPr>
          <w:sz w:val="20"/>
          <w:szCs w:val="20"/>
          <w:shd w:val="clear" w:color="auto" w:fill="FFFFFF"/>
          <w:lang w:eastAsia="en-US"/>
        </w:rPr>
        <w:t xml:space="preserve"> para compartir con su familia mayores y mejores espacios de encuentro fraternal, para abordar actividades idóneas al solaz espiritual, para incursionar más en la lectura y el conocimiento, y, a manera de </w:t>
      </w:r>
      <w:r w:rsidRPr="00474CD4">
        <w:rPr>
          <w:sz w:val="20"/>
          <w:szCs w:val="20"/>
          <w:shd w:val="clear" w:color="auto" w:fill="FFFFFF"/>
          <w:lang w:eastAsia="en-US"/>
        </w:rPr>
        <w:t>posibilidad estética, para acercarse paulatinamente al hacer artístico en sus múltiples manifestaciones.  Sin desconocer que tales propósitos requieren para su materialización de apoyos institucionales que envuelven lo económico, al igual que el aporte per</w:t>
      </w:r>
      <w:r w:rsidRPr="00474CD4">
        <w:rPr>
          <w:sz w:val="20"/>
          <w:szCs w:val="20"/>
          <w:shd w:val="clear" w:color="auto" w:fill="FFFFFF"/>
          <w:lang w:eastAsia="en-US"/>
        </w:rPr>
        <w:t xml:space="preserve">sonal que cada cual pueda y quiera hacer en pro de sus intereses y de la familia de la cual forme parte.  En todo caso, dado que el derecho al descanso es un derecho fundamental, se impone en cabeza del Estado proveer a su realización práctica a través de </w:t>
      </w:r>
      <w:r w:rsidRPr="00474CD4">
        <w:rPr>
          <w:sz w:val="20"/>
          <w:szCs w:val="20"/>
          <w:shd w:val="clear" w:color="auto" w:fill="FFFFFF"/>
          <w:lang w:eastAsia="en-US"/>
        </w:rPr>
        <w:t>sus políticas, de su legislación, de la ejecución de ésta, y por supuesto, al tenor de la función controladora”.</w:t>
      </w:r>
    </w:p>
  </w:footnote>
  <w:footnote w:id="81">
    <w:p w:rsidR="00152ACD"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C-331 de 2023. Señaló la Corte: “</w:t>
      </w:r>
      <w:r w:rsidRPr="00474CD4">
        <w:rPr>
          <w:sz w:val="20"/>
          <w:szCs w:val="20"/>
          <w:shd w:val="clear" w:color="auto" w:fill="FFFFFF"/>
        </w:rPr>
        <w:t>Es un derecho humano laboral que concreta el descanso y el tiempo libre e implica que la persona n</w:t>
      </w:r>
      <w:r w:rsidRPr="00474CD4">
        <w:rPr>
          <w:sz w:val="20"/>
          <w:szCs w:val="20"/>
          <w:shd w:val="clear" w:color="auto" w:fill="FFFFFF"/>
        </w:rPr>
        <w:t>o pueda ser contactada por ningún medio o herramienta física o digital luego de cumplir razonablemente las actividades que le fueron confiadas”.</w:t>
      </w:r>
    </w:p>
  </w:footnote>
  <w:footnote w:id="82">
    <w:p w:rsidR="00646389"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p>
  </w:footnote>
  <w:footnote w:id="83">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 xml:space="preserve">Sentencia C-646 de 2001. En igual dirección y entre muchas otras se encuentra la sentencia C-204 de 2019.  </w:t>
      </w:r>
    </w:p>
  </w:footnote>
  <w:footnote w:id="84">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Una aproximación en esa dirección parece encontrarse en fórmulas como la planteada en la sentencia C-993 de 2004: “</w:t>
      </w:r>
      <w:r w:rsidRPr="00474CD4">
        <w:rPr>
          <w:sz w:val="20"/>
          <w:szCs w:val="20"/>
          <w:shd w:val="clear" w:color="auto" w:fill="FFFFFF"/>
        </w:rPr>
        <w:t>Debe entenderse el núcleo esenc</w:t>
      </w:r>
      <w:r w:rsidRPr="00474CD4">
        <w:rPr>
          <w:sz w:val="20"/>
          <w:szCs w:val="20"/>
          <w:shd w:val="clear" w:color="auto" w:fill="FFFFFF"/>
        </w:rPr>
        <w:t>ial de un derecho fundamental como aquel sin el cual un derecho deja de ser lo que es o lo convierte en otro derecho diferente o lo que caracteriza o tipifica al derecho fundamental y sin lo cual se le quita su esencia fundamental”.</w:t>
      </w:r>
    </w:p>
  </w:footnote>
  <w:footnote w:id="85">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Algunos pasajes de la</w:t>
      </w:r>
      <w:r w:rsidRPr="00474CD4">
        <w:rPr>
          <w:sz w:val="20"/>
          <w:szCs w:val="20"/>
          <w:lang w:val="es-ES"/>
        </w:rPr>
        <w:t xml:space="preserve"> jurisprudencia constitucional reflejan esta perspectiva. Así por ejemplo</w:t>
      </w:r>
      <w:r w:rsidRPr="00474CD4">
        <w:rPr>
          <w:sz w:val="20"/>
          <w:szCs w:val="20"/>
          <w:lang w:val="es-ES"/>
        </w:rPr>
        <w:t>,</w:t>
      </w:r>
      <w:r w:rsidRPr="00474CD4">
        <w:rPr>
          <w:sz w:val="20"/>
          <w:szCs w:val="20"/>
          <w:lang w:val="es-ES"/>
        </w:rPr>
        <w:t xml:space="preserve"> la sentencia T-425 de 1995 explic</w:t>
      </w:r>
      <w:r w:rsidRPr="00474CD4">
        <w:rPr>
          <w:sz w:val="20"/>
          <w:szCs w:val="20"/>
          <w:lang w:val="es-ES"/>
        </w:rPr>
        <w:t>ó</w:t>
      </w:r>
      <w:r w:rsidRPr="00474CD4">
        <w:rPr>
          <w:sz w:val="20"/>
          <w:szCs w:val="20"/>
          <w:lang w:val="es-ES"/>
        </w:rPr>
        <w:t>: “</w:t>
      </w:r>
      <w:r w:rsidRPr="00474CD4">
        <w:rPr>
          <w:sz w:val="20"/>
          <w:szCs w:val="20"/>
          <w:shd w:val="clear" w:color="auto" w:fill="FFFFFF"/>
        </w:rPr>
        <w:t>El principio de armonización concreta implica la mutua delimitación de los bienes contrapuestos, mediante la concordancia práctica de las respec</w:t>
      </w:r>
      <w:r w:rsidRPr="00474CD4">
        <w:rPr>
          <w:sz w:val="20"/>
          <w:szCs w:val="20"/>
          <w:shd w:val="clear" w:color="auto" w:fill="FFFFFF"/>
        </w:rPr>
        <w:t>tivas normas constitucionales, de modo que se asegure su máxima efectividad. En este proceso de armonización concreta de los derechos, el </w:t>
      </w:r>
      <w:r w:rsidRPr="00474CD4">
        <w:rPr>
          <w:b/>
          <w:bCs/>
          <w:sz w:val="20"/>
          <w:szCs w:val="20"/>
          <w:shd w:val="clear" w:color="auto" w:fill="FFFFFF"/>
        </w:rPr>
        <w:t>principio de proporcionalidad</w:t>
      </w:r>
      <w:r w:rsidRPr="00474CD4">
        <w:rPr>
          <w:sz w:val="20"/>
          <w:szCs w:val="20"/>
          <w:shd w:val="clear" w:color="auto" w:fill="FFFFFF"/>
        </w:rPr>
        <w:t>, que se deduce del deber de respetar los derechos ajenos y no abusar de los propios (C.P</w:t>
      </w:r>
      <w:r w:rsidRPr="00474CD4">
        <w:rPr>
          <w:sz w:val="20"/>
          <w:szCs w:val="20"/>
          <w:shd w:val="clear" w:color="auto" w:fill="FFFFFF"/>
        </w:rPr>
        <w:t>., art. 95-1), juega un papel crucial. Los límites trazados al ejercicio de los derechos, en el caso concreto, deben ser proporcionales, esto es, no deben ir más allá de lo indispensable para permitir la máxima efectividad de los derechos en pugna. La prop</w:t>
      </w:r>
      <w:r w:rsidRPr="00474CD4">
        <w:rPr>
          <w:sz w:val="20"/>
          <w:szCs w:val="20"/>
          <w:shd w:val="clear" w:color="auto" w:fill="FFFFFF"/>
        </w:rPr>
        <w:t>orcionalidad se refiere entonces a la comparación de dos variables relativas, cuyos alcances se precisan en la situación concreta, y no a la ponderación entre una variable constante o absoluta, y otras que no lo son. La delimitación proporcional de los bie</w:t>
      </w:r>
      <w:r w:rsidRPr="00474CD4">
        <w:rPr>
          <w:sz w:val="20"/>
          <w:szCs w:val="20"/>
          <w:shd w:val="clear" w:color="auto" w:fill="FFFFFF"/>
        </w:rPr>
        <w:t>nes jurídicos en conflicto, mediante su armonización en la situación concreta, se hace necesaria cuando se toma en serio la finalidad social del Estado de garantizar la efectividad de los principios, derechos y deberes consagrados en la Constitución (C.P.,</w:t>
      </w:r>
      <w:r w:rsidRPr="00474CD4">
        <w:rPr>
          <w:sz w:val="20"/>
          <w:szCs w:val="20"/>
          <w:shd w:val="clear" w:color="auto" w:fill="FFFFFF"/>
        </w:rPr>
        <w:t xml:space="preserve"> art. 2), y se pretende impedir que, por la vía de la restricción injustificada de los derechos, termine por socavarse el contenido de uno o varios de ellos</w:t>
      </w:r>
      <w:r>
        <w:rPr>
          <w:sz w:val="20"/>
          <w:szCs w:val="20"/>
          <w:shd w:val="clear" w:color="auto" w:fill="FFFFFF"/>
        </w:rPr>
        <w:t>”</w:t>
      </w:r>
      <w:r w:rsidRPr="00474CD4">
        <w:rPr>
          <w:sz w:val="20"/>
          <w:szCs w:val="20"/>
          <w:shd w:val="clear" w:color="auto" w:fill="FFFFFF"/>
        </w:rPr>
        <w:t>.</w:t>
      </w:r>
    </w:p>
  </w:footnote>
  <w:footnote w:id="86">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Sentencia C-038 de 2018.</w:t>
      </w:r>
    </w:p>
  </w:footnote>
  <w:footnote w:id="87">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Sentencia C-687 de 2002. </w:t>
      </w:r>
    </w:p>
  </w:footnote>
  <w:footnote w:id="88">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Gaceta 322 de 2022</w:t>
      </w:r>
      <w:r>
        <w:rPr>
          <w:sz w:val="20"/>
          <w:szCs w:val="20"/>
          <w:lang w:val="es-ES"/>
        </w:rPr>
        <w:t>,</w:t>
      </w:r>
      <w:r w:rsidRPr="00474CD4">
        <w:rPr>
          <w:sz w:val="20"/>
          <w:szCs w:val="20"/>
          <w:lang w:val="es-ES"/>
        </w:rPr>
        <w:t xml:space="preserve"> p. 18. </w:t>
      </w:r>
    </w:p>
  </w:footnote>
  <w:footnote w:id="89">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Gaceta 322</w:t>
      </w:r>
      <w:r w:rsidRPr="00474CD4">
        <w:rPr>
          <w:sz w:val="20"/>
          <w:szCs w:val="20"/>
          <w:lang w:val="es-ES"/>
        </w:rPr>
        <w:t xml:space="preserve"> de 2022 p. 18.</w:t>
      </w:r>
    </w:p>
  </w:footnote>
  <w:footnote w:id="90">
    <w:p w:rsidR="00441548" w:rsidRPr="00474CD4" w:rsidRDefault="00F255C4" w:rsidP="008C595D">
      <w:pPr>
        <w:pStyle w:val="Textonotapie"/>
        <w:ind w:right="-234"/>
        <w:jc w:val="both"/>
        <w:rPr>
          <w:sz w:val="20"/>
          <w:szCs w:val="20"/>
          <w:lang w:val="es-ES"/>
        </w:rPr>
      </w:pPr>
      <w:r w:rsidRPr="00474CD4">
        <w:rPr>
          <w:rStyle w:val="Refdenotaalpie"/>
          <w:sz w:val="20"/>
          <w:szCs w:val="20"/>
        </w:rPr>
        <w:footnoteRef/>
      </w:r>
      <w:r w:rsidRPr="00474CD4">
        <w:rPr>
          <w:sz w:val="20"/>
          <w:szCs w:val="20"/>
        </w:rPr>
        <w:t xml:space="preserve"> </w:t>
      </w:r>
      <w:r w:rsidRPr="00474CD4">
        <w:rPr>
          <w:sz w:val="20"/>
          <w:szCs w:val="20"/>
          <w:lang w:val="es-ES"/>
        </w:rPr>
        <w:t xml:space="preserve">Gaceta 1097 de 2021. p. 9.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65573"/>
    <w:multiLevelType w:val="hybridMultilevel"/>
    <w:tmpl w:val="56823D24"/>
    <w:lvl w:ilvl="0" w:tplc="080A000F">
      <w:start w:val="65"/>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CFD3AB4"/>
    <w:multiLevelType w:val="multilevel"/>
    <w:tmpl w:val="ECC857D2"/>
    <w:lvl w:ilvl="0">
      <w:start w:val="1"/>
      <w:numFmt w:val="decimal"/>
      <w:lvlText w:val="%1."/>
      <w:lvlJc w:val="left"/>
      <w:pPr>
        <w:ind w:left="720" w:hanging="360"/>
      </w:pPr>
      <w:rPr>
        <w:rFonts w:ascii="Times New Roman" w:hAnsi="Times New Roman" w:cs="Times New Roman" w:hint="default"/>
        <w:b w:val="0"/>
        <w:color w:val="auto"/>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E11218D"/>
    <w:multiLevelType w:val="hybridMultilevel"/>
    <w:tmpl w:val="60BA5D94"/>
    <w:lvl w:ilvl="0" w:tplc="CEC04848">
      <w:start w:val="1"/>
      <w:numFmt w:val="bullet"/>
      <w:lvlText w:val="-"/>
      <w:lvlJc w:val="left"/>
      <w:pPr>
        <w:ind w:left="720" w:hanging="360"/>
      </w:pPr>
      <w:rPr>
        <w:rFonts w:ascii="Times New Roman" w:eastAsia="Calibr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FFF464B"/>
    <w:multiLevelType w:val="hybridMultilevel"/>
    <w:tmpl w:val="B4E43044"/>
    <w:lvl w:ilvl="0" w:tplc="140C55A2">
      <w:start w:val="1"/>
      <w:numFmt w:val="upperRoman"/>
      <w:lvlText w:val="%1."/>
      <w:lvlJc w:val="left"/>
      <w:pPr>
        <w:ind w:left="1080" w:hanging="72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4696"/>
    <w:rsid w:val="007B4696"/>
    <w:rsid w:val="007E5975"/>
    <w:rsid w:val="00F255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A160441B-97FF-498B-A1AC-FDF725A30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4B0F9D"/>
    <w:pPr>
      <w:keepNext/>
      <w:spacing w:after="0" w:line="360" w:lineRule="atLeast"/>
      <w:ind w:right="51"/>
      <w:jc w:val="center"/>
      <w:outlineLvl w:val="0"/>
    </w:pPr>
    <w:rPr>
      <w:rFonts w:ascii="Times New Roman" w:eastAsia="Times New Roman" w:hAnsi="Times New Roman" w:cs="Times New Roman"/>
      <w:b/>
      <w:sz w:val="32"/>
      <w:szCs w:val="24"/>
      <w:lang w:eastAsia="es-ES"/>
    </w:rPr>
  </w:style>
  <w:style w:type="paragraph" w:styleId="Ttulo2">
    <w:name w:val="heading 2"/>
    <w:basedOn w:val="Normal"/>
    <w:next w:val="Normal"/>
    <w:link w:val="Ttulo2Car"/>
    <w:uiPriority w:val="9"/>
    <w:unhideWhenUsed/>
    <w:qFormat/>
    <w:rsid w:val="007652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7652B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7652B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7652B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otapieCar">
    <w:name w:val="Texto nota pie Car"/>
    <w:aliases w:val="Footnote Text Char Char Char Char Char Car,Footnote Text Char Char Char Char Car,Ref. de nota al pie1 Car,FA Fu Car,texto de nota al pie Car,Footnote Text Char Car,Footnote Text Char Char Char Char Char Char Char Char Car,ft Car"/>
    <w:link w:val="Textonotapie"/>
    <w:uiPriority w:val="99"/>
    <w:qFormat/>
    <w:locked/>
    <w:rsid w:val="00CB456A"/>
    <w:rPr>
      <w:rFonts w:ascii="Times New Roman" w:hAnsi="Times New Roman" w:cs="Times New Roman"/>
      <w:lang w:eastAsia="es-ES"/>
    </w:rPr>
  </w:style>
  <w:style w:type="paragraph" w:styleId="Textonotapie">
    <w:name w:val="footnote text"/>
    <w:aliases w:val="Footnote Text Char Char Char Char Char,Footnote Text Char Char Char Char,Ref. de nota al pie1,FA Fu,texto de nota al pie,Footnote Text Char,Footnote Text Char Char Char Char Char Char Char Char,Footnote referenc,ft,Footnote reference,Ca"/>
    <w:basedOn w:val="Normal"/>
    <w:link w:val="TextonotapieCar"/>
    <w:uiPriority w:val="99"/>
    <w:unhideWhenUsed/>
    <w:qFormat/>
    <w:rsid w:val="00CB456A"/>
    <w:pPr>
      <w:autoSpaceDE w:val="0"/>
      <w:autoSpaceDN w:val="0"/>
      <w:spacing w:after="0" w:line="240" w:lineRule="auto"/>
    </w:pPr>
    <w:rPr>
      <w:rFonts w:ascii="Times New Roman" w:hAnsi="Times New Roman" w:cs="Times New Roman"/>
      <w:lang w:eastAsia="es-ES"/>
    </w:rPr>
  </w:style>
  <w:style w:type="character" w:customStyle="1" w:styleId="TextonotapieCar1">
    <w:name w:val="Texto nota pie Car1"/>
    <w:basedOn w:val="Fuentedeprrafopredeter"/>
    <w:uiPriority w:val="99"/>
    <w:semiHidden/>
    <w:rsid w:val="00CB456A"/>
    <w:rPr>
      <w:sz w:val="20"/>
      <w:szCs w:val="20"/>
    </w:rPr>
  </w:style>
  <w:style w:type="character" w:customStyle="1" w:styleId="PrrafodelistaCar">
    <w:name w:val="Párrafo de lista Car"/>
    <w:aliases w:val="Colorful List - Accent 11 Car,Ha Car,List Paragraph1 Car,lp1 Car,List Paragraph2 Car,List Car,titulo 3 Car,Párrafo de lista1 Car,Bullets Car,Párrafo de lista2 Car,Lista vistosa - Énfasis 11 Car,Cuadrícula clara - Énfasis 31 Car"/>
    <w:link w:val="Prrafodelista"/>
    <w:uiPriority w:val="34"/>
    <w:qFormat/>
    <w:locked/>
    <w:rsid w:val="00CB456A"/>
    <w:rPr>
      <w:rFonts w:ascii="Times New Roman" w:eastAsia="Calibri" w:hAnsi="Times New Roman" w:cs="Times New Roman"/>
      <w:sz w:val="28"/>
      <w:szCs w:val="28"/>
      <w:lang w:eastAsia="es-ES"/>
    </w:rPr>
  </w:style>
  <w:style w:type="paragraph" w:styleId="Prrafodelista">
    <w:name w:val="List Paragraph"/>
    <w:aliases w:val="Colorful List - Accent 11,Ha,List Paragraph1,lp1,List Paragraph2,List,titulo 3,Párrafo de lista1,Bullets,Párrafo de lista2,Lista vistosa - Énfasis 11,Cuadrícula clara - Énfasis 31,Dot pt,F5 List Paragraph,No Spacing1,Indicator Text"/>
    <w:basedOn w:val="Normal"/>
    <w:link w:val="PrrafodelistaCar"/>
    <w:uiPriority w:val="34"/>
    <w:qFormat/>
    <w:rsid w:val="00CB456A"/>
    <w:pPr>
      <w:autoSpaceDE w:val="0"/>
      <w:autoSpaceDN w:val="0"/>
      <w:spacing w:after="0" w:line="240" w:lineRule="auto"/>
      <w:ind w:left="708"/>
    </w:pPr>
    <w:rPr>
      <w:rFonts w:ascii="Times New Roman" w:eastAsia="Calibri" w:hAnsi="Times New Roman" w:cs="Times New Roman"/>
      <w:sz w:val="28"/>
      <w:szCs w:val="28"/>
      <w:lang w:eastAsia="es-ES"/>
    </w:rPr>
  </w:style>
  <w:style w:type="character" w:styleId="Refdenotaalpie">
    <w:name w:val="footnote reference"/>
    <w:aliases w:val="Footnotes refss,Texto de nota al pie,referencia nota al pie,Ref,de nota al pie,Ref1,Appel note de bas de page,Footnote number,BVI fnr,f,Ref. de nota al pie 2,Fago Fußnotenzeichen,4_G,16 Point,Superscript 6 Point,Texto nota al pie,R,F"/>
    <w:link w:val="4GChar"/>
    <w:uiPriority w:val="99"/>
    <w:unhideWhenUsed/>
    <w:qFormat/>
    <w:rsid w:val="00CB456A"/>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CB456A"/>
    <w:pPr>
      <w:spacing w:after="0" w:line="240" w:lineRule="auto"/>
      <w:jc w:val="both"/>
    </w:pPr>
    <w:rPr>
      <w:vertAlign w:val="superscript"/>
    </w:rPr>
  </w:style>
  <w:style w:type="table" w:styleId="Tablaconcuadrcula">
    <w:name w:val="Table Grid"/>
    <w:basedOn w:val="Tablanormal"/>
    <w:uiPriority w:val="39"/>
    <w:rsid w:val="00CE5A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B0F9D"/>
    <w:rPr>
      <w:rFonts w:ascii="Times New Roman" w:eastAsia="Times New Roman" w:hAnsi="Times New Roman" w:cs="Times New Roman"/>
      <w:b/>
      <w:sz w:val="32"/>
      <w:szCs w:val="24"/>
      <w:lang w:eastAsia="es-ES"/>
    </w:rPr>
  </w:style>
  <w:style w:type="paragraph" w:styleId="Textoindependiente3">
    <w:name w:val="Body Text 3"/>
    <w:basedOn w:val="Normal"/>
    <w:link w:val="Textoindependiente3Car"/>
    <w:uiPriority w:val="99"/>
    <w:rsid w:val="004B0F9D"/>
    <w:pPr>
      <w:spacing w:after="0" w:line="240" w:lineRule="auto"/>
      <w:ind w:right="51"/>
      <w:jc w:val="both"/>
    </w:pPr>
    <w:rPr>
      <w:rFonts w:ascii="Times New Roman" w:eastAsia="Times New Roman" w:hAnsi="Times New Roman" w:cs="Times New Roman"/>
      <w:sz w:val="28"/>
      <w:szCs w:val="24"/>
      <w:lang w:eastAsia="es-ES"/>
    </w:rPr>
  </w:style>
  <w:style w:type="character" w:customStyle="1" w:styleId="Textoindependiente3Car">
    <w:name w:val="Texto independiente 3 Car"/>
    <w:basedOn w:val="Fuentedeprrafopredeter"/>
    <w:link w:val="Textoindependiente3"/>
    <w:uiPriority w:val="99"/>
    <w:rsid w:val="004B0F9D"/>
    <w:rPr>
      <w:rFonts w:ascii="Times New Roman" w:eastAsia="Times New Roman" w:hAnsi="Times New Roman" w:cs="Times New Roman"/>
      <w:sz w:val="28"/>
      <w:szCs w:val="24"/>
      <w:lang w:eastAsia="es-ES"/>
    </w:rPr>
  </w:style>
  <w:style w:type="paragraph" w:styleId="Encabezado">
    <w:name w:val="header"/>
    <w:basedOn w:val="Normal"/>
    <w:link w:val="EncabezadoCar"/>
    <w:uiPriority w:val="99"/>
    <w:unhideWhenUsed/>
    <w:rsid w:val="004B0F9D"/>
    <w:pPr>
      <w:tabs>
        <w:tab w:val="center" w:pos="4419"/>
        <w:tab w:val="right" w:pos="8838"/>
      </w:tabs>
      <w:autoSpaceDE w:val="0"/>
      <w:autoSpaceDN w:val="0"/>
      <w:spacing w:after="0" w:line="240" w:lineRule="auto"/>
    </w:pPr>
    <w:rPr>
      <w:rFonts w:ascii="Times New Roman" w:eastAsia="Times New Roman" w:hAnsi="Times New Roman" w:cs="Times New Roman"/>
      <w:sz w:val="28"/>
      <w:szCs w:val="28"/>
      <w:lang w:eastAsia="es-ES"/>
    </w:rPr>
  </w:style>
  <w:style w:type="character" w:customStyle="1" w:styleId="EncabezadoCar">
    <w:name w:val="Encabezado Car"/>
    <w:basedOn w:val="Fuentedeprrafopredeter"/>
    <w:link w:val="Encabezado"/>
    <w:uiPriority w:val="99"/>
    <w:rsid w:val="004B0F9D"/>
    <w:rPr>
      <w:rFonts w:ascii="Times New Roman" w:eastAsia="Times New Roman" w:hAnsi="Times New Roman" w:cs="Times New Roman"/>
      <w:sz w:val="28"/>
      <w:szCs w:val="28"/>
      <w:lang w:eastAsia="es-ES"/>
    </w:rPr>
  </w:style>
  <w:style w:type="paragraph" w:styleId="Textoindependiente">
    <w:name w:val="Body Text"/>
    <w:basedOn w:val="Normal"/>
    <w:link w:val="TextoindependienteCar"/>
    <w:uiPriority w:val="99"/>
    <w:rsid w:val="004B0F9D"/>
    <w:pPr>
      <w:spacing w:after="120" w:line="240" w:lineRule="auto"/>
    </w:pPr>
    <w:rPr>
      <w:rFonts w:ascii="Times New Roman" w:eastAsia="Times New Roman" w:hAnsi="Times New Roman" w:cs="Times New Roman"/>
      <w:sz w:val="28"/>
      <w:szCs w:val="24"/>
      <w:lang w:eastAsia="es-ES"/>
    </w:rPr>
  </w:style>
  <w:style w:type="character" w:customStyle="1" w:styleId="TextoindependienteCar">
    <w:name w:val="Texto independiente Car"/>
    <w:basedOn w:val="Fuentedeprrafopredeter"/>
    <w:link w:val="Textoindependiente"/>
    <w:uiPriority w:val="99"/>
    <w:rsid w:val="004B0F9D"/>
    <w:rPr>
      <w:rFonts w:ascii="Times New Roman" w:eastAsia="Times New Roman" w:hAnsi="Times New Roman" w:cs="Times New Roman"/>
      <w:sz w:val="28"/>
      <w:szCs w:val="24"/>
      <w:lang w:eastAsia="es-ES"/>
    </w:rPr>
  </w:style>
  <w:style w:type="paragraph" w:styleId="Textodebloque">
    <w:name w:val="Block Text"/>
    <w:basedOn w:val="Normal"/>
    <w:uiPriority w:val="99"/>
    <w:rsid w:val="004B0F9D"/>
    <w:pPr>
      <w:spacing w:after="0" w:line="240" w:lineRule="auto"/>
      <w:ind w:left="2835" w:right="51"/>
      <w:jc w:val="both"/>
    </w:pPr>
    <w:rPr>
      <w:rFonts w:ascii="Times New Roman" w:eastAsia="Times New Roman" w:hAnsi="Times New Roman" w:cs="Times New Roman"/>
      <w:b/>
      <w:bCs/>
      <w:sz w:val="28"/>
      <w:szCs w:val="24"/>
      <w:lang w:val="es-ES_tradnl" w:eastAsia="es-ES"/>
    </w:rPr>
  </w:style>
  <w:style w:type="paragraph" w:customStyle="1" w:styleId="Style4">
    <w:name w:val="Style4"/>
    <w:basedOn w:val="Normal"/>
    <w:uiPriority w:val="99"/>
    <w:rsid w:val="004B0F9D"/>
    <w:pPr>
      <w:widowControl w:val="0"/>
      <w:autoSpaceDE w:val="0"/>
      <w:autoSpaceDN w:val="0"/>
      <w:adjustRightInd w:val="0"/>
      <w:spacing w:after="0" w:line="240" w:lineRule="auto"/>
    </w:pPr>
    <w:rPr>
      <w:rFonts w:ascii="Times New Roman" w:hAnsi="Times New Roman" w:cs="Times New Roman"/>
      <w:sz w:val="24"/>
      <w:szCs w:val="24"/>
      <w:lang w:val="es-ES" w:eastAsia="es-ES"/>
    </w:rPr>
  </w:style>
  <w:style w:type="character" w:styleId="Hipervnculo">
    <w:name w:val="Hyperlink"/>
    <w:basedOn w:val="Fuentedeprrafopredeter"/>
    <w:uiPriority w:val="99"/>
    <w:unhideWhenUsed/>
    <w:rsid w:val="004B0F9D"/>
    <w:rPr>
      <w:rFonts w:cs="Times New Roman"/>
      <w:color w:val="0563C1" w:themeColor="hyperlink"/>
      <w:u w:val="single"/>
    </w:rPr>
  </w:style>
  <w:style w:type="paragraph" w:styleId="NormalWeb">
    <w:name w:val="Normal (Web)"/>
    <w:basedOn w:val="Normal"/>
    <w:uiPriority w:val="99"/>
    <w:unhideWhenUsed/>
    <w:rsid w:val="00BD30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toggle">
    <w:name w:val="toctoggle"/>
    <w:basedOn w:val="Fuentedeprrafopredeter"/>
    <w:rsid w:val="00BD309B"/>
  </w:style>
  <w:style w:type="character" w:styleId="Textoennegrita">
    <w:name w:val="Strong"/>
    <w:basedOn w:val="Fuentedeprrafopredeter"/>
    <w:uiPriority w:val="22"/>
    <w:qFormat/>
    <w:rsid w:val="00BD309B"/>
    <w:rPr>
      <w:b/>
      <w:bCs/>
    </w:rPr>
  </w:style>
  <w:style w:type="character" w:styleId="nfasis">
    <w:name w:val="Emphasis"/>
    <w:basedOn w:val="Fuentedeprrafopredeter"/>
    <w:uiPriority w:val="20"/>
    <w:qFormat/>
    <w:rsid w:val="00BD309B"/>
    <w:rPr>
      <w:i/>
      <w:iCs/>
    </w:rPr>
  </w:style>
  <w:style w:type="character" w:customStyle="1" w:styleId="markedcontent">
    <w:name w:val="markedcontent"/>
    <w:basedOn w:val="Fuentedeprrafopredeter"/>
    <w:rsid w:val="00EF14FB"/>
  </w:style>
  <w:style w:type="paragraph" w:customStyle="1" w:styleId="sangradetindependiente">
    <w:name w:val="sangradetindependiente"/>
    <w:basedOn w:val="Normal"/>
    <w:rsid w:val="00E2226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iedepagina">
    <w:name w:val="Pie de pagina"/>
    <w:aliases w:val="Ref. de nota al pie2"/>
    <w:basedOn w:val="Normal"/>
    <w:uiPriority w:val="99"/>
    <w:rsid w:val="00D4775F"/>
    <w:pPr>
      <w:spacing w:line="240" w:lineRule="exact"/>
    </w:pPr>
    <w:rPr>
      <w:rFonts w:ascii="Times New Roman" w:hAnsi="Times New Roman" w:cs="Times New Roman"/>
      <w:sz w:val="24"/>
      <w:szCs w:val="24"/>
      <w:vertAlign w:val="superscript"/>
    </w:rPr>
  </w:style>
  <w:style w:type="paragraph" w:styleId="Textoindependiente2">
    <w:name w:val="Body Text 2"/>
    <w:basedOn w:val="Normal"/>
    <w:link w:val="Textoindependiente2Car"/>
    <w:uiPriority w:val="99"/>
    <w:unhideWhenUsed/>
    <w:rsid w:val="00262448"/>
    <w:pPr>
      <w:spacing w:after="120" w:line="480" w:lineRule="auto"/>
    </w:pPr>
  </w:style>
  <w:style w:type="character" w:customStyle="1" w:styleId="Textoindependiente2Car">
    <w:name w:val="Texto independiente 2 Car"/>
    <w:basedOn w:val="Fuentedeprrafopredeter"/>
    <w:link w:val="Textoindependiente2"/>
    <w:uiPriority w:val="99"/>
    <w:rsid w:val="00262448"/>
  </w:style>
  <w:style w:type="character" w:customStyle="1" w:styleId="Ttulo2Car">
    <w:name w:val="Título 2 Car"/>
    <w:basedOn w:val="Fuentedeprrafopredeter"/>
    <w:link w:val="Ttulo2"/>
    <w:uiPriority w:val="9"/>
    <w:rsid w:val="007652BD"/>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7652BD"/>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7652BD"/>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rsid w:val="007652BD"/>
    <w:rPr>
      <w:rFonts w:asciiTheme="majorHAnsi" w:eastAsiaTheme="majorEastAsia" w:hAnsiTheme="majorHAnsi" w:cstheme="majorBidi"/>
      <w:color w:val="2E74B5" w:themeColor="accent1" w:themeShade="BF"/>
    </w:rPr>
  </w:style>
  <w:style w:type="paragraph" w:styleId="Lista">
    <w:name w:val="List"/>
    <w:basedOn w:val="Normal"/>
    <w:uiPriority w:val="99"/>
    <w:unhideWhenUsed/>
    <w:rsid w:val="007652BD"/>
    <w:pPr>
      <w:ind w:left="283" w:hanging="283"/>
      <w:contextualSpacing/>
    </w:pPr>
  </w:style>
  <w:style w:type="paragraph" w:styleId="Continuarlista">
    <w:name w:val="List Continue"/>
    <w:basedOn w:val="Normal"/>
    <w:uiPriority w:val="99"/>
    <w:unhideWhenUsed/>
    <w:rsid w:val="007652BD"/>
    <w:pPr>
      <w:spacing w:after="120"/>
      <w:ind w:left="283"/>
      <w:contextualSpacing/>
    </w:pPr>
  </w:style>
  <w:style w:type="paragraph" w:styleId="Sangradetextonormal">
    <w:name w:val="Body Text Indent"/>
    <w:basedOn w:val="Normal"/>
    <w:link w:val="SangradetextonormalCar"/>
    <w:uiPriority w:val="99"/>
    <w:semiHidden/>
    <w:unhideWhenUsed/>
    <w:rsid w:val="007652BD"/>
    <w:pPr>
      <w:spacing w:after="120"/>
      <w:ind w:left="283"/>
    </w:pPr>
  </w:style>
  <w:style w:type="character" w:customStyle="1" w:styleId="SangradetextonormalCar">
    <w:name w:val="Sangría de texto normal Car"/>
    <w:basedOn w:val="Fuentedeprrafopredeter"/>
    <w:link w:val="Sangradetextonormal"/>
    <w:uiPriority w:val="99"/>
    <w:semiHidden/>
    <w:rsid w:val="007652BD"/>
  </w:style>
  <w:style w:type="paragraph" w:styleId="Textoindependienteprimerasangra2">
    <w:name w:val="Body Text First Indent 2"/>
    <w:basedOn w:val="Sangradetextonormal"/>
    <w:link w:val="Textoindependienteprimerasangra2Car"/>
    <w:uiPriority w:val="99"/>
    <w:unhideWhenUsed/>
    <w:rsid w:val="007652BD"/>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652BD"/>
  </w:style>
  <w:style w:type="character" w:customStyle="1" w:styleId="UnresolvedMention">
    <w:name w:val="Unresolved Mention"/>
    <w:basedOn w:val="Fuentedeprrafopredeter"/>
    <w:uiPriority w:val="99"/>
    <w:semiHidden/>
    <w:unhideWhenUsed/>
    <w:rsid w:val="007652BD"/>
    <w:rPr>
      <w:color w:val="605E5C"/>
      <w:shd w:val="clear" w:color="auto" w:fill="E1DFDD"/>
    </w:rPr>
  </w:style>
  <w:style w:type="paragraph" w:styleId="Piedepgina">
    <w:name w:val="footer"/>
    <w:basedOn w:val="Normal"/>
    <w:link w:val="PiedepginaCar"/>
    <w:uiPriority w:val="99"/>
    <w:unhideWhenUsed/>
    <w:rsid w:val="0005131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51313"/>
  </w:style>
  <w:style w:type="paragraph" w:customStyle="1" w:styleId="predeterminado">
    <w:name w:val="predeterminado"/>
    <w:basedOn w:val="Normal"/>
    <w:rsid w:val="000E4B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f">
    <w:name w:val="ref"/>
    <w:basedOn w:val="Fuentedeprrafopredeter"/>
    <w:rsid w:val="008C595D"/>
  </w:style>
  <w:style w:type="paragraph" w:styleId="Revisin">
    <w:name w:val="Revision"/>
    <w:hidden/>
    <w:uiPriority w:val="99"/>
    <w:semiHidden/>
    <w:rsid w:val="0037277E"/>
    <w:pPr>
      <w:spacing w:after="0" w:line="240" w:lineRule="auto"/>
    </w:pPr>
  </w:style>
  <w:style w:type="paragraph" w:styleId="Textodeglobo">
    <w:name w:val="Balloon Text"/>
    <w:basedOn w:val="Normal"/>
    <w:link w:val="TextodegloboCar"/>
    <w:uiPriority w:val="99"/>
    <w:semiHidden/>
    <w:unhideWhenUsed/>
    <w:rsid w:val="0065004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500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15163</Words>
  <Characters>83401</Characters>
  <Application>Microsoft Office Word</Application>
  <DocSecurity>0</DocSecurity>
  <Lines>695</Lines>
  <Paragraphs>196</Paragraphs>
  <ScaleCrop>false</ScaleCrop>
  <Company/>
  <LinksUpToDate>false</LinksUpToDate>
  <CharactersWithSpaces>98368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2024-09-10T15:28:00Z</dcterms:created>
  <dcterms:modified xsi:type="dcterms:W3CDTF">2024-09-10T15:28:00Z</dcterms:modified>
</cp:coreProperties>
</file>